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horzAnchor="page" w:tblpX="1" w:tblpY="-1440"/>
        <w:tblW w:w="12922" w:type="dxa"/>
        <w:tblCellSpacing w:w="15" w:type="dxa"/>
        <w:tblCellMar>
          <w:top w:w="15" w:type="dxa"/>
          <w:left w:w="15" w:type="dxa"/>
          <w:bottom w:w="15" w:type="dxa"/>
          <w:right w:w="15" w:type="dxa"/>
        </w:tblCellMar>
        <w:tblLook w:val="04A0" w:firstRow="1" w:lastRow="0" w:firstColumn="1" w:lastColumn="0" w:noHBand="0" w:noVBand="1"/>
      </w:tblPr>
      <w:tblGrid>
        <w:gridCol w:w="9720"/>
        <w:gridCol w:w="93"/>
        <w:gridCol w:w="65"/>
        <w:gridCol w:w="104"/>
        <w:gridCol w:w="45"/>
        <w:gridCol w:w="1494"/>
        <w:gridCol w:w="362"/>
        <w:gridCol w:w="176"/>
        <w:gridCol w:w="114"/>
        <w:gridCol w:w="204"/>
        <w:gridCol w:w="452"/>
        <w:gridCol w:w="93"/>
      </w:tblGrid>
      <w:tr w:rsidR="00266EE8" w14:paraId="096DB4B8" w14:textId="77777777" w:rsidTr="00001AE2">
        <w:trPr>
          <w:gridAfter w:val="10"/>
          <w:divId w:val="239146410"/>
          <w:wAfter w:w="3064" w:type="dxa"/>
          <w:tblCellSpacing w:w="15" w:type="dxa"/>
        </w:trPr>
        <w:tc>
          <w:tcPr>
            <w:tcW w:w="9768" w:type="dxa"/>
            <w:gridSpan w:val="2"/>
            <w:tcBorders>
              <w:top w:val="nil"/>
              <w:left w:val="nil"/>
              <w:bottom w:val="nil"/>
              <w:right w:val="nil"/>
            </w:tcBorders>
            <w:hideMark/>
          </w:tcPr>
          <w:p w14:paraId="5E67FD4A" w14:textId="77777777" w:rsidR="00C1429D" w:rsidRDefault="00000000" w:rsidP="00C1429D">
            <w:pPr>
              <w:pStyle w:val="NormalWeb"/>
              <w:ind w:left="679"/>
              <w:rPr>
                <w:rFonts w:ascii="Verdana" w:hAnsi="Verdana"/>
                <w:color w:val="000000"/>
              </w:rPr>
            </w:pPr>
            <w:r>
              <w:rPr>
                <w:rFonts w:ascii="Verdana" w:hAnsi="Verdana"/>
                <w:color w:val="000000"/>
              </w:rPr>
              <w:br/>
            </w:r>
          </w:p>
          <w:p w14:paraId="2B3F44FB" w14:textId="77777777" w:rsidR="00C1429D" w:rsidRDefault="00C1429D" w:rsidP="00C1429D">
            <w:pPr>
              <w:pStyle w:val="NormalWeb"/>
              <w:ind w:left="679"/>
              <w:rPr>
                <w:rFonts w:ascii="Verdana" w:hAnsi="Verdana"/>
                <w:color w:val="000000"/>
              </w:rPr>
            </w:pPr>
          </w:p>
          <w:p w14:paraId="45633178" w14:textId="566CE94E" w:rsidR="00266EE8" w:rsidRPr="00C1429D" w:rsidRDefault="00000000" w:rsidP="00E73811">
            <w:pPr>
              <w:pStyle w:val="NormalWeb"/>
              <w:ind w:left="679" w:right="245"/>
              <w:rPr>
                <w:rFonts w:ascii="Verdana" w:hAnsi="Verdana"/>
                <w:b/>
                <w:bCs/>
                <w:color w:val="000000"/>
              </w:rPr>
            </w:pPr>
            <w:r w:rsidRPr="00C1429D">
              <w:rPr>
                <w:rFonts w:ascii="Verdana" w:hAnsi="Verdana"/>
                <w:b/>
                <w:bCs/>
                <w:color w:val="000000"/>
              </w:rPr>
              <w:t>Malaysian Journal of Analytical Sciences Vol 28 No 3 2024</w:t>
            </w:r>
          </w:p>
        </w:tc>
      </w:tr>
      <w:tr w:rsidR="00266EE8" w14:paraId="2DDDDA5B" w14:textId="77777777" w:rsidTr="00001AE2">
        <w:trPr>
          <w:gridAfter w:val="3"/>
          <w:divId w:val="239146410"/>
          <w:wAfter w:w="704" w:type="dxa"/>
          <w:tblCellSpacing w:w="15" w:type="dxa"/>
        </w:trPr>
        <w:tc>
          <w:tcPr>
            <w:tcW w:w="9768" w:type="dxa"/>
            <w:gridSpan w:val="2"/>
            <w:tcBorders>
              <w:top w:val="nil"/>
              <w:left w:val="nil"/>
              <w:bottom w:val="nil"/>
              <w:right w:val="nil"/>
            </w:tcBorders>
            <w:shd w:val="clear" w:color="auto" w:fill="FFFFFF"/>
            <w:hideMark/>
          </w:tcPr>
          <w:p w14:paraId="50BAAE71" w14:textId="77777777" w:rsidR="00266EE8" w:rsidRDefault="00266EE8" w:rsidP="00C1429D">
            <w:pPr>
              <w:pStyle w:val="br"/>
              <w:rPr>
                <w:rFonts w:ascii="Verdana" w:hAnsi="Verdana"/>
                <w:color w:val="000000"/>
              </w:rPr>
            </w:pPr>
          </w:p>
          <w:p w14:paraId="24C2F65A" w14:textId="77777777" w:rsidR="00266EE8" w:rsidRDefault="00266EE8" w:rsidP="00C1429D">
            <w:pPr>
              <w:rPr>
                <w:rFonts w:ascii="Verdana" w:eastAsia="Times New Roman" w:hAnsi="Verdana"/>
                <w:color w:val="000000"/>
                <w:spacing w:val="-10"/>
                <w:sz w:val="20"/>
                <w:szCs w:val="20"/>
              </w:rPr>
            </w:pPr>
          </w:p>
        </w:tc>
        <w:tc>
          <w:tcPr>
            <w:tcW w:w="2330" w:type="dxa"/>
            <w:gridSpan w:val="7"/>
            <w:tcBorders>
              <w:top w:val="nil"/>
              <w:left w:val="nil"/>
              <w:bottom w:val="nil"/>
              <w:right w:val="nil"/>
            </w:tcBorders>
            <w:shd w:val="clear" w:color="auto" w:fill="FFFFFF"/>
            <w:hideMark/>
          </w:tcPr>
          <w:p w14:paraId="6671913E" w14:textId="77777777" w:rsidR="00266EE8" w:rsidRDefault="00266EE8" w:rsidP="00C1429D">
            <w:pPr>
              <w:rPr>
                <w:rFonts w:ascii="Verdana" w:eastAsia="Times New Roman" w:hAnsi="Verdana"/>
                <w:color w:val="000000"/>
                <w:spacing w:val="-10"/>
                <w:sz w:val="20"/>
                <w:szCs w:val="20"/>
              </w:rPr>
            </w:pPr>
          </w:p>
        </w:tc>
      </w:tr>
      <w:tr w:rsidR="00266EE8" w14:paraId="7E7F92BF"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0E65A9E8" w14:textId="77777777" w:rsidR="00266EE8" w:rsidRDefault="00000000" w:rsidP="00C1429D">
            <w:pPr>
              <w:ind w:right="780"/>
              <w:rPr>
                <w:rFonts w:ascii="Verdana" w:eastAsia="Times New Roman" w:hAnsi="Verdana"/>
                <w:color w:val="000000"/>
                <w:spacing w:val="-10"/>
                <w:sz w:val="20"/>
                <w:szCs w:val="20"/>
              </w:rPr>
            </w:pPr>
            <w:r>
              <w:rPr>
                <w:rFonts w:ascii="Verdana" w:eastAsia="Times New Roman" w:hAnsi="Verdana"/>
                <w:color w:val="000000"/>
                <w:spacing w:val="-10"/>
                <w:sz w:val="20"/>
                <w:szCs w:val="20"/>
              </w:rPr>
              <w:t> </w:t>
            </w:r>
          </w:p>
          <w:p w14:paraId="330E9EF0" w14:textId="77777777" w:rsidR="00C1429D" w:rsidRDefault="00C1429D" w:rsidP="00C1429D">
            <w:pPr>
              <w:ind w:right="780"/>
              <w:rPr>
                <w:rFonts w:ascii="Verdana" w:eastAsia="Times New Roman" w:hAnsi="Verdana"/>
                <w:color w:val="000000"/>
                <w:spacing w:val="-10"/>
                <w:sz w:val="20"/>
                <w:szCs w:val="20"/>
              </w:rPr>
            </w:pPr>
          </w:p>
        </w:tc>
        <w:tc>
          <w:tcPr>
            <w:tcW w:w="2330" w:type="dxa"/>
            <w:gridSpan w:val="7"/>
            <w:vAlign w:val="center"/>
            <w:hideMark/>
          </w:tcPr>
          <w:p w14:paraId="52F43AC6" w14:textId="77777777" w:rsidR="00266EE8" w:rsidRDefault="00266EE8" w:rsidP="00C1429D">
            <w:pPr>
              <w:jc w:val="both"/>
              <w:rPr>
                <w:rFonts w:eastAsia="Times New Roman"/>
                <w:sz w:val="20"/>
                <w:szCs w:val="20"/>
              </w:rPr>
            </w:pPr>
          </w:p>
        </w:tc>
      </w:tr>
      <w:tr w:rsidR="00266EE8" w14:paraId="7DC956C2" w14:textId="77777777" w:rsidTr="00001AE2">
        <w:trPr>
          <w:gridAfter w:val="6"/>
          <w:divId w:val="239146410"/>
          <w:wAfter w:w="1356" w:type="dxa"/>
          <w:tblCellSpacing w:w="15" w:type="dxa"/>
        </w:trPr>
        <w:tc>
          <w:tcPr>
            <w:tcW w:w="9982" w:type="dxa"/>
            <w:gridSpan w:val="5"/>
            <w:tcBorders>
              <w:top w:val="nil"/>
              <w:left w:val="nil"/>
              <w:bottom w:val="nil"/>
              <w:right w:val="nil"/>
            </w:tcBorders>
            <w:hideMark/>
          </w:tcPr>
          <w:p w14:paraId="103717C7" w14:textId="77777777" w:rsidR="00266EE8" w:rsidRDefault="00000000" w:rsidP="00353A60">
            <w:pPr>
              <w:pStyle w:val="paper"/>
              <w:ind w:left="949" w:right="122" w:hanging="450"/>
              <w:rPr>
                <w:rFonts w:ascii="Verdana" w:hAnsi="Verdana"/>
              </w:rPr>
            </w:pPr>
            <w:r>
              <w:rPr>
                <w:rFonts w:ascii="Verdana" w:hAnsi="Verdana"/>
              </w:rPr>
              <w:t>       </w:t>
            </w:r>
            <w:r>
              <w:rPr>
                <w:rFonts w:ascii="Verdana" w:hAnsi="Verdana"/>
                <w:b/>
                <w:bCs/>
              </w:rPr>
              <w:t>Nano and Advanced Materials Analysis</w:t>
            </w:r>
            <w:r>
              <w:rPr>
                <w:rFonts w:ascii="Verdana" w:hAnsi="Verdana"/>
              </w:rPr>
              <w:t xml:space="preserve"> </w:t>
            </w:r>
          </w:p>
          <w:p w14:paraId="2C97EE55" w14:textId="521D11DB" w:rsidR="00266EE8" w:rsidRDefault="00000000" w:rsidP="00353A60">
            <w:pPr>
              <w:pStyle w:val="paper"/>
              <w:ind w:left="949" w:right="122" w:hanging="450"/>
              <w:rPr>
                <w:rFonts w:ascii="Verdana" w:hAnsi="Verdana"/>
              </w:rPr>
            </w:pPr>
            <w:r>
              <w:rPr>
                <w:rFonts w:ascii="Verdana" w:hAnsi="Verdana"/>
              </w:rPr>
              <w:t>1.   </w:t>
            </w:r>
            <w:r w:rsidR="00C1429D">
              <w:rPr>
                <w:rFonts w:ascii="Verdana" w:hAnsi="Verdana"/>
              </w:rPr>
              <w:t xml:space="preserve"> </w:t>
            </w:r>
            <w:r>
              <w:rPr>
                <w:rFonts w:ascii="Verdana" w:hAnsi="Verdana"/>
              </w:rPr>
              <w:t>THE CONVERSION OF CELLULOSE TO GLUCOSE USING NOBLE METAL PLATINUM SUPPORTED ON ZEOLITE</w:t>
            </w:r>
            <w:r>
              <w:rPr>
                <w:rFonts w:ascii="Verdana" w:hAnsi="Verdana"/>
              </w:rPr>
              <w:br/>
            </w:r>
            <w:r>
              <w:rPr>
                <w:rFonts w:ascii="Verdana" w:hAnsi="Verdana"/>
                <w:i/>
                <w:iCs/>
              </w:rPr>
              <w:t>Puteri Nurain Syahirah Megat Muhammad Kamal, Nor Farisha Farhana Mohd Zaid, and Amin Safwan Alikasturi</w:t>
            </w:r>
            <w:r>
              <w:rPr>
                <w:rFonts w:ascii="Verdana" w:hAnsi="Verdana"/>
              </w:rPr>
              <w:br/>
            </w:r>
          </w:p>
        </w:tc>
        <w:tc>
          <w:tcPr>
            <w:tcW w:w="1464" w:type="dxa"/>
            <w:tcBorders>
              <w:top w:val="nil"/>
              <w:left w:val="nil"/>
              <w:bottom w:val="nil"/>
              <w:right w:val="nil"/>
            </w:tcBorders>
            <w:hideMark/>
          </w:tcPr>
          <w:p w14:paraId="5B9EFFD4" w14:textId="77777777" w:rsidR="00266EE8" w:rsidRDefault="00000000" w:rsidP="00E73811">
            <w:pPr>
              <w:spacing w:before="100" w:beforeAutospacing="1" w:after="100" w:afterAutospacing="1"/>
              <w:ind w:left="358" w:right="-300" w:hanging="90"/>
              <w:rPr>
                <w:rFonts w:ascii="Verdana" w:hAnsi="Verdana"/>
                <w:color w:val="000000"/>
                <w:spacing w:val="-10"/>
                <w:sz w:val="20"/>
                <w:szCs w:val="20"/>
              </w:rPr>
            </w:pPr>
            <w:r>
              <w:rPr>
                <w:rFonts w:ascii="Verdana" w:eastAsia="Times New Roman" w:hAnsi="Verdana"/>
                <w:color w:val="000000"/>
                <w:spacing w:val="-10"/>
                <w:sz w:val="20"/>
                <w:szCs w:val="20"/>
              </w:rPr>
              <w:t>480-488</w:t>
            </w:r>
          </w:p>
        </w:tc>
      </w:tr>
      <w:tr w:rsidR="00266EE8" w14:paraId="2A3DE552" w14:textId="77777777" w:rsidTr="00001AE2">
        <w:trPr>
          <w:gridAfter w:val="6"/>
          <w:divId w:val="239146410"/>
          <w:wAfter w:w="1356" w:type="dxa"/>
          <w:tblCellSpacing w:w="15" w:type="dxa"/>
        </w:trPr>
        <w:tc>
          <w:tcPr>
            <w:tcW w:w="9982" w:type="dxa"/>
            <w:gridSpan w:val="5"/>
            <w:tcBorders>
              <w:top w:val="nil"/>
              <w:left w:val="nil"/>
              <w:bottom w:val="nil"/>
              <w:right w:val="nil"/>
            </w:tcBorders>
            <w:hideMark/>
          </w:tcPr>
          <w:p w14:paraId="30123C26" w14:textId="77777777" w:rsidR="00266EE8" w:rsidRDefault="00000000" w:rsidP="00353A60">
            <w:pPr>
              <w:spacing w:before="100" w:beforeAutospacing="1" w:after="100" w:afterAutospacing="1"/>
              <w:ind w:left="1039" w:right="122" w:hanging="540"/>
              <w:rPr>
                <w:rFonts w:ascii="Verdana" w:hAnsi="Verdana"/>
                <w:color w:val="000000"/>
                <w:spacing w:val="-10"/>
                <w:sz w:val="20"/>
                <w:szCs w:val="20"/>
              </w:rPr>
            </w:pPr>
            <w:r>
              <w:rPr>
                <w:rFonts w:ascii="Verdana" w:eastAsia="Times New Roman" w:hAnsi="Verdana"/>
                <w:color w:val="000000"/>
                <w:spacing w:val="-10"/>
                <w:sz w:val="20"/>
                <w:szCs w:val="20"/>
              </w:rPr>
              <w:t> </w:t>
            </w:r>
          </w:p>
        </w:tc>
        <w:tc>
          <w:tcPr>
            <w:tcW w:w="1464" w:type="dxa"/>
            <w:tcBorders>
              <w:top w:val="nil"/>
              <w:left w:val="nil"/>
              <w:bottom w:val="nil"/>
              <w:right w:val="nil"/>
            </w:tcBorders>
            <w:hideMark/>
          </w:tcPr>
          <w:p w14:paraId="469A5865" w14:textId="77777777" w:rsidR="00266EE8" w:rsidRDefault="00266EE8" w:rsidP="00E73811">
            <w:pPr>
              <w:ind w:left="358" w:right="-300" w:hanging="90"/>
              <w:rPr>
                <w:rFonts w:ascii="Verdana" w:hAnsi="Verdana"/>
                <w:color w:val="000000"/>
                <w:spacing w:val="-10"/>
                <w:sz w:val="20"/>
                <w:szCs w:val="20"/>
              </w:rPr>
            </w:pPr>
          </w:p>
        </w:tc>
      </w:tr>
      <w:tr w:rsidR="00266EE8" w14:paraId="5F01A918" w14:textId="77777777" w:rsidTr="00001AE2">
        <w:trPr>
          <w:gridAfter w:val="6"/>
          <w:divId w:val="239146410"/>
          <w:wAfter w:w="1356" w:type="dxa"/>
          <w:tblCellSpacing w:w="15" w:type="dxa"/>
        </w:trPr>
        <w:tc>
          <w:tcPr>
            <w:tcW w:w="9982" w:type="dxa"/>
            <w:gridSpan w:val="5"/>
            <w:tcBorders>
              <w:top w:val="nil"/>
              <w:left w:val="nil"/>
              <w:bottom w:val="nil"/>
              <w:right w:val="nil"/>
            </w:tcBorders>
            <w:hideMark/>
          </w:tcPr>
          <w:p w14:paraId="23935155" w14:textId="77777777" w:rsidR="00266EE8" w:rsidRDefault="00000000" w:rsidP="00E73811">
            <w:pPr>
              <w:pStyle w:val="paper"/>
              <w:ind w:right="122"/>
              <w:rPr>
                <w:rFonts w:ascii="Verdana" w:hAnsi="Verdana"/>
              </w:rPr>
            </w:pPr>
            <w:r>
              <w:rPr>
                <w:rFonts w:ascii="Verdana" w:hAnsi="Verdana"/>
              </w:rPr>
              <w:t>       </w:t>
            </w:r>
            <w:r>
              <w:rPr>
                <w:rFonts w:ascii="Verdana" w:hAnsi="Verdana"/>
                <w:b/>
                <w:bCs/>
              </w:rPr>
              <w:t>Organic and Inorganic Analysis</w:t>
            </w:r>
            <w:r>
              <w:rPr>
                <w:rFonts w:ascii="Verdana" w:hAnsi="Verdana"/>
              </w:rPr>
              <w:t xml:space="preserve"> </w:t>
            </w:r>
          </w:p>
        </w:tc>
        <w:tc>
          <w:tcPr>
            <w:tcW w:w="1464" w:type="dxa"/>
            <w:tcBorders>
              <w:top w:val="nil"/>
              <w:left w:val="nil"/>
              <w:bottom w:val="nil"/>
              <w:right w:val="nil"/>
            </w:tcBorders>
            <w:hideMark/>
          </w:tcPr>
          <w:p w14:paraId="65A3FBD9" w14:textId="77777777" w:rsidR="00266EE8" w:rsidRDefault="00266EE8" w:rsidP="00E73811">
            <w:pPr>
              <w:ind w:left="358" w:right="-300" w:hanging="90"/>
              <w:rPr>
                <w:rFonts w:ascii="Verdana" w:hAnsi="Verdana"/>
              </w:rPr>
            </w:pPr>
          </w:p>
        </w:tc>
      </w:tr>
      <w:tr w:rsidR="00266EE8" w14:paraId="73C20A2B" w14:textId="77777777" w:rsidTr="00001AE2">
        <w:trPr>
          <w:gridAfter w:val="6"/>
          <w:divId w:val="239146410"/>
          <w:wAfter w:w="1356" w:type="dxa"/>
          <w:tblCellSpacing w:w="15" w:type="dxa"/>
        </w:trPr>
        <w:tc>
          <w:tcPr>
            <w:tcW w:w="9982" w:type="dxa"/>
            <w:gridSpan w:val="5"/>
            <w:tcBorders>
              <w:top w:val="nil"/>
              <w:left w:val="nil"/>
              <w:bottom w:val="nil"/>
              <w:right w:val="nil"/>
            </w:tcBorders>
            <w:hideMark/>
          </w:tcPr>
          <w:p w14:paraId="5DC0E1D2" w14:textId="62C47AAA" w:rsidR="00266EE8" w:rsidRDefault="00000000" w:rsidP="00E73811">
            <w:pPr>
              <w:pStyle w:val="paper"/>
              <w:ind w:right="122"/>
              <w:rPr>
                <w:rFonts w:ascii="Verdana" w:hAnsi="Verdana"/>
              </w:rPr>
            </w:pPr>
            <w:r>
              <w:rPr>
                <w:rFonts w:ascii="Verdana" w:hAnsi="Verdana"/>
              </w:rPr>
              <w:t xml:space="preserve">2.    SYNTHESIS AND MODELLING OF FUNCTIONALIZED UiO-66 METALORGANIC FRAMEWORKS FOR GAS ADSORPTION </w:t>
            </w:r>
            <w:r>
              <w:rPr>
                <w:rFonts w:ascii="Verdana" w:hAnsi="Verdana"/>
              </w:rPr>
              <w:br/>
            </w:r>
            <w:r>
              <w:rPr>
                <w:rFonts w:ascii="Verdana" w:hAnsi="Verdana"/>
                <w:i/>
                <w:iCs/>
              </w:rPr>
              <w:t xml:space="preserve">Tuan Nurul Azura Tuan Kob@Yaakub, Mohd Basyaruddin Abdul Rahman, Felipe Gandara, and Muhammad Alif Mohammad Latif </w:t>
            </w:r>
          </w:p>
        </w:tc>
        <w:tc>
          <w:tcPr>
            <w:tcW w:w="1464" w:type="dxa"/>
            <w:tcBorders>
              <w:top w:val="nil"/>
              <w:left w:val="nil"/>
              <w:bottom w:val="nil"/>
              <w:right w:val="nil"/>
            </w:tcBorders>
            <w:hideMark/>
          </w:tcPr>
          <w:p w14:paraId="4BA428E7" w14:textId="77777777" w:rsidR="00266EE8" w:rsidRDefault="00000000" w:rsidP="00E73811">
            <w:pPr>
              <w:spacing w:before="100" w:beforeAutospacing="1" w:after="100" w:afterAutospacing="1"/>
              <w:ind w:left="358" w:right="-390" w:hanging="90"/>
              <w:rPr>
                <w:rFonts w:ascii="Verdana" w:hAnsi="Verdana"/>
                <w:color w:val="000000"/>
                <w:spacing w:val="-10"/>
                <w:sz w:val="20"/>
                <w:szCs w:val="20"/>
              </w:rPr>
            </w:pPr>
            <w:r>
              <w:rPr>
                <w:rFonts w:ascii="Verdana" w:eastAsia="Times New Roman" w:hAnsi="Verdana"/>
                <w:color w:val="000000"/>
                <w:spacing w:val="-10"/>
                <w:sz w:val="20"/>
                <w:szCs w:val="20"/>
              </w:rPr>
              <w:t>489-499</w:t>
            </w:r>
          </w:p>
        </w:tc>
      </w:tr>
      <w:tr w:rsidR="00266EE8" w14:paraId="581F3685" w14:textId="77777777" w:rsidTr="00001AE2">
        <w:trPr>
          <w:gridAfter w:val="6"/>
          <w:divId w:val="239146410"/>
          <w:wAfter w:w="1356" w:type="dxa"/>
          <w:tblCellSpacing w:w="15" w:type="dxa"/>
        </w:trPr>
        <w:tc>
          <w:tcPr>
            <w:tcW w:w="9982" w:type="dxa"/>
            <w:gridSpan w:val="5"/>
            <w:tcBorders>
              <w:top w:val="nil"/>
              <w:left w:val="nil"/>
              <w:bottom w:val="nil"/>
              <w:right w:val="nil"/>
            </w:tcBorders>
            <w:hideMark/>
          </w:tcPr>
          <w:p w14:paraId="760D152B" w14:textId="77777777" w:rsidR="00266EE8" w:rsidRDefault="00000000" w:rsidP="00E73811">
            <w:pPr>
              <w:spacing w:before="100" w:beforeAutospacing="1" w:after="100" w:afterAutospacing="1"/>
              <w:ind w:right="122"/>
              <w:rPr>
                <w:rFonts w:ascii="Verdana" w:hAnsi="Verdana"/>
                <w:color w:val="000000"/>
                <w:spacing w:val="-10"/>
                <w:sz w:val="20"/>
                <w:szCs w:val="20"/>
              </w:rPr>
            </w:pPr>
            <w:r>
              <w:rPr>
                <w:rFonts w:ascii="Verdana" w:eastAsia="Times New Roman" w:hAnsi="Verdana"/>
                <w:color w:val="000000"/>
                <w:spacing w:val="-10"/>
                <w:sz w:val="20"/>
                <w:szCs w:val="20"/>
              </w:rPr>
              <w:t> </w:t>
            </w:r>
          </w:p>
        </w:tc>
        <w:tc>
          <w:tcPr>
            <w:tcW w:w="1464" w:type="dxa"/>
            <w:tcBorders>
              <w:top w:val="nil"/>
              <w:left w:val="nil"/>
              <w:bottom w:val="nil"/>
              <w:right w:val="nil"/>
            </w:tcBorders>
            <w:hideMark/>
          </w:tcPr>
          <w:p w14:paraId="6EF21512" w14:textId="77777777" w:rsidR="00266EE8" w:rsidRDefault="00266EE8" w:rsidP="00E73811">
            <w:pPr>
              <w:ind w:left="358" w:hanging="90"/>
              <w:rPr>
                <w:rFonts w:ascii="Verdana" w:hAnsi="Verdana"/>
                <w:color w:val="000000"/>
                <w:spacing w:val="-10"/>
                <w:sz w:val="20"/>
                <w:szCs w:val="20"/>
              </w:rPr>
            </w:pPr>
          </w:p>
        </w:tc>
      </w:tr>
      <w:tr w:rsidR="00266EE8" w14:paraId="5DD4891F" w14:textId="77777777" w:rsidTr="00001AE2">
        <w:trPr>
          <w:gridAfter w:val="6"/>
          <w:divId w:val="239146410"/>
          <w:wAfter w:w="1356" w:type="dxa"/>
          <w:tblCellSpacing w:w="15" w:type="dxa"/>
        </w:trPr>
        <w:tc>
          <w:tcPr>
            <w:tcW w:w="9982" w:type="dxa"/>
            <w:gridSpan w:val="5"/>
            <w:tcBorders>
              <w:top w:val="nil"/>
              <w:left w:val="nil"/>
              <w:bottom w:val="nil"/>
              <w:right w:val="nil"/>
            </w:tcBorders>
            <w:hideMark/>
          </w:tcPr>
          <w:p w14:paraId="407B6435" w14:textId="77777777" w:rsidR="00266EE8" w:rsidRDefault="00000000" w:rsidP="00CF36F8">
            <w:pPr>
              <w:pStyle w:val="paper"/>
              <w:ind w:right="122"/>
              <w:rPr>
                <w:rFonts w:ascii="Verdana" w:hAnsi="Verdana"/>
              </w:rPr>
            </w:pPr>
            <w:r>
              <w:rPr>
                <w:rFonts w:ascii="Verdana" w:hAnsi="Verdana"/>
              </w:rPr>
              <w:t>       </w:t>
            </w:r>
            <w:r>
              <w:rPr>
                <w:rFonts w:ascii="Verdana" w:hAnsi="Verdana"/>
                <w:b/>
                <w:bCs/>
              </w:rPr>
              <w:t>Nano and Advanced Materials Analysis</w:t>
            </w:r>
            <w:r>
              <w:rPr>
                <w:rFonts w:ascii="Verdana" w:hAnsi="Verdana"/>
              </w:rPr>
              <w:t xml:space="preserve"> </w:t>
            </w:r>
          </w:p>
        </w:tc>
        <w:tc>
          <w:tcPr>
            <w:tcW w:w="1464" w:type="dxa"/>
            <w:tcBorders>
              <w:top w:val="nil"/>
              <w:left w:val="nil"/>
              <w:bottom w:val="nil"/>
              <w:right w:val="nil"/>
            </w:tcBorders>
            <w:hideMark/>
          </w:tcPr>
          <w:p w14:paraId="58C02190" w14:textId="77777777" w:rsidR="00266EE8" w:rsidRDefault="00266EE8" w:rsidP="00E73811">
            <w:pPr>
              <w:ind w:left="358" w:hanging="90"/>
              <w:rPr>
                <w:rFonts w:ascii="Verdana" w:hAnsi="Verdana"/>
              </w:rPr>
            </w:pPr>
          </w:p>
        </w:tc>
      </w:tr>
      <w:tr w:rsidR="00266EE8" w14:paraId="6B6C1C77" w14:textId="77777777" w:rsidTr="00001AE2">
        <w:trPr>
          <w:gridAfter w:val="6"/>
          <w:divId w:val="239146410"/>
          <w:wAfter w:w="1356" w:type="dxa"/>
          <w:tblCellSpacing w:w="15" w:type="dxa"/>
        </w:trPr>
        <w:tc>
          <w:tcPr>
            <w:tcW w:w="9982" w:type="dxa"/>
            <w:gridSpan w:val="5"/>
            <w:tcBorders>
              <w:top w:val="nil"/>
              <w:left w:val="nil"/>
              <w:bottom w:val="nil"/>
              <w:right w:val="nil"/>
            </w:tcBorders>
            <w:hideMark/>
          </w:tcPr>
          <w:p w14:paraId="3D9D551C" w14:textId="124100B2" w:rsidR="00266EE8" w:rsidRDefault="00000000" w:rsidP="00CF36F8">
            <w:pPr>
              <w:pStyle w:val="paper"/>
              <w:ind w:right="122"/>
              <w:rPr>
                <w:rFonts w:ascii="Verdana" w:hAnsi="Verdana"/>
              </w:rPr>
            </w:pPr>
            <w:r>
              <w:rPr>
                <w:rFonts w:ascii="Verdana" w:hAnsi="Verdana"/>
              </w:rPr>
              <w:t>3.    NANOCRYSTALLINE CELLULOSE EXTRACTED FROM DISCARDED CIGARETTE BUTTS</w:t>
            </w:r>
            <w:r>
              <w:rPr>
                <w:rFonts w:ascii="Verdana" w:hAnsi="Verdana"/>
              </w:rPr>
              <w:br/>
            </w:r>
            <w:r>
              <w:rPr>
                <w:rFonts w:ascii="Verdana" w:hAnsi="Verdana"/>
                <w:i/>
                <w:iCs/>
              </w:rPr>
              <w:t>Muhammad Hafiz Azlan, Khairatun Najwa Mohd Amin, and Noraziah Abu Yazid</w:t>
            </w:r>
          </w:p>
        </w:tc>
        <w:tc>
          <w:tcPr>
            <w:tcW w:w="1464" w:type="dxa"/>
            <w:tcBorders>
              <w:top w:val="nil"/>
              <w:left w:val="nil"/>
              <w:bottom w:val="nil"/>
              <w:right w:val="nil"/>
            </w:tcBorders>
            <w:hideMark/>
          </w:tcPr>
          <w:p w14:paraId="57D6EDC2" w14:textId="77777777" w:rsidR="00266EE8" w:rsidRDefault="00000000" w:rsidP="00CF36F8">
            <w:pPr>
              <w:spacing w:before="100" w:beforeAutospacing="1" w:after="100" w:afterAutospacing="1"/>
              <w:ind w:left="268"/>
              <w:rPr>
                <w:rFonts w:ascii="Verdana" w:hAnsi="Verdana"/>
                <w:color w:val="000000"/>
                <w:spacing w:val="-10"/>
                <w:sz w:val="20"/>
                <w:szCs w:val="20"/>
              </w:rPr>
            </w:pPr>
            <w:r>
              <w:rPr>
                <w:rFonts w:ascii="Verdana" w:eastAsia="Times New Roman" w:hAnsi="Verdana"/>
                <w:color w:val="000000"/>
                <w:spacing w:val="-10"/>
                <w:sz w:val="20"/>
                <w:szCs w:val="20"/>
              </w:rPr>
              <w:t>500-511</w:t>
            </w:r>
          </w:p>
        </w:tc>
      </w:tr>
      <w:tr w:rsidR="00266EE8" w14:paraId="7C534CB4" w14:textId="77777777" w:rsidTr="00001AE2">
        <w:trPr>
          <w:gridAfter w:val="6"/>
          <w:divId w:val="239146410"/>
          <w:wAfter w:w="1356" w:type="dxa"/>
          <w:tblCellSpacing w:w="15" w:type="dxa"/>
        </w:trPr>
        <w:tc>
          <w:tcPr>
            <w:tcW w:w="9982" w:type="dxa"/>
            <w:gridSpan w:val="5"/>
            <w:tcBorders>
              <w:top w:val="nil"/>
              <w:left w:val="nil"/>
              <w:bottom w:val="nil"/>
              <w:right w:val="nil"/>
            </w:tcBorders>
            <w:hideMark/>
          </w:tcPr>
          <w:p w14:paraId="2D8CFE23" w14:textId="77777777" w:rsidR="00266EE8" w:rsidRDefault="00000000" w:rsidP="00C1429D">
            <w:pPr>
              <w:spacing w:before="100" w:beforeAutospacing="1" w:after="100" w:afterAutospacing="1"/>
              <w:rPr>
                <w:rFonts w:ascii="Verdana" w:hAnsi="Verdana"/>
                <w:color w:val="000000"/>
                <w:spacing w:val="-10"/>
                <w:sz w:val="20"/>
                <w:szCs w:val="20"/>
              </w:rPr>
            </w:pPr>
            <w:r>
              <w:rPr>
                <w:rFonts w:ascii="Verdana" w:eastAsia="Times New Roman" w:hAnsi="Verdana"/>
                <w:color w:val="000000"/>
                <w:spacing w:val="-10"/>
                <w:sz w:val="20"/>
                <w:szCs w:val="20"/>
              </w:rPr>
              <w:t> </w:t>
            </w:r>
          </w:p>
        </w:tc>
        <w:tc>
          <w:tcPr>
            <w:tcW w:w="1464" w:type="dxa"/>
            <w:tcBorders>
              <w:top w:val="nil"/>
              <w:left w:val="nil"/>
              <w:bottom w:val="nil"/>
              <w:right w:val="nil"/>
            </w:tcBorders>
            <w:hideMark/>
          </w:tcPr>
          <w:p w14:paraId="14FE56C4" w14:textId="77777777" w:rsidR="00266EE8" w:rsidRDefault="00266EE8" w:rsidP="00C1429D">
            <w:pPr>
              <w:rPr>
                <w:rFonts w:ascii="Verdana" w:hAnsi="Verdana"/>
                <w:color w:val="000000"/>
                <w:spacing w:val="-10"/>
                <w:sz w:val="20"/>
                <w:szCs w:val="20"/>
              </w:rPr>
            </w:pPr>
          </w:p>
        </w:tc>
      </w:tr>
      <w:tr w:rsidR="00266EE8" w14:paraId="5376041F" w14:textId="77777777" w:rsidTr="00001AE2">
        <w:trPr>
          <w:gridAfter w:val="6"/>
          <w:divId w:val="239146410"/>
          <w:wAfter w:w="1356" w:type="dxa"/>
          <w:tblCellSpacing w:w="15" w:type="dxa"/>
        </w:trPr>
        <w:tc>
          <w:tcPr>
            <w:tcW w:w="9982" w:type="dxa"/>
            <w:gridSpan w:val="5"/>
            <w:tcBorders>
              <w:top w:val="nil"/>
              <w:left w:val="nil"/>
              <w:bottom w:val="nil"/>
              <w:right w:val="nil"/>
            </w:tcBorders>
            <w:hideMark/>
          </w:tcPr>
          <w:p w14:paraId="22B29BBD" w14:textId="77777777" w:rsidR="00266EE8" w:rsidRDefault="00000000" w:rsidP="00CF36F8">
            <w:pPr>
              <w:pStyle w:val="paper"/>
              <w:ind w:right="32"/>
              <w:rPr>
                <w:rFonts w:ascii="Verdana" w:hAnsi="Verdana"/>
              </w:rPr>
            </w:pPr>
            <w:r>
              <w:rPr>
                <w:rFonts w:ascii="Verdana" w:hAnsi="Verdana"/>
              </w:rPr>
              <w:t>       </w:t>
            </w:r>
            <w:r>
              <w:rPr>
                <w:rFonts w:ascii="Verdana" w:hAnsi="Verdana"/>
                <w:b/>
                <w:bCs/>
              </w:rPr>
              <w:t>Organic and Inorganic Analysis</w:t>
            </w:r>
            <w:r>
              <w:rPr>
                <w:rFonts w:ascii="Verdana" w:hAnsi="Verdana"/>
              </w:rPr>
              <w:t xml:space="preserve"> </w:t>
            </w:r>
          </w:p>
        </w:tc>
        <w:tc>
          <w:tcPr>
            <w:tcW w:w="1464" w:type="dxa"/>
            <w:tcBorders>
              <w:top w:val="nil"/>
              <w:left w:val="nil"/>
              <w:bottom w:val="nil"/>
              <w:right w:val="nil"/>
            </w:tcBorders>
            <w:hideMark/>
          </w:tcPr>
          <w:p w14:paraId="390D6F5D" w14:textId="77777777" w:rsidR="00266EE8" w:rsidRDefault="00266EE8" w:rsidP="00C1429D">
            <w:pPr>
              <w:rPr>
                <w:rFonts w:ascii="Verdana" w:hAnsi="Verdana"/>
              </w:rPr>
            </w:pPr>
          </w:p>
        </w:tc>
      </w:tr>
      <w:tr w:rsidR="00266EE8" w14:paraId="1F3E5893" w14:textId="77777777" w:rsidTr="00001AE2">
        <w:trPr>
          <w:gridAfter w:val="6"/>
          <w:divId w:val="239146410"/>
          <w:wAfter w:w="1356" w:type="dxa"/>
          <w:tblCellSpacing w:w="15" w:type="dxa"/>
        </w:trPr>
        <w:tc>
          <w:tcPr>
            <w:tcW w:w="9982" w:type="dxa"/>
            <w:gridSpan w:val="5"/>
            <w:tcBorders>
              <w:top w:val="nil"/>
              <w:left w:val="nil"/>
              <w:bottom w:val="nil"/>
              <w:right w:val="nil"/>
            </w:tcBorders>
            <w:hideMark/>
          </w:tcPr>
          <w:p w14:paraId="71890215" w14:textId="3FBF677E" w:rsidR="00266EE8" w:rsidRDefault="00000000" w:rsidP="00CF36F8">
            <w:pPr>
              <w:pStyle w:val="paper"/>
              <w:ind w:right="32"/>
              <w:rPr>
                <w:rFonts w:ascii="Verdana" w:hAnsi="Verdana"/>
              </w:rPr>
            </w:pPr>
            <w:r>
              <w:rPr>
                <w:rFonts w:ascii="Verdana" w:hAnsi="Verdana"/>
              </w:rPr>
              <w:t>4.    SYNTHESIS AND CHARACTERISATION OF REUSABLE PVA-SODIUM ALGINATE-Ni CATALYST IN HECK REACTION</w:t>
            </w:r>
            <w:r>
              <w:rPr>
                <w:rFonts w:ascii="Verdana" w:hAnsi="Verdana"/>
              </w:rPr>
              <w:br/>
            </w:r>
            <w:r>
              <w:rPr>
                <w:rFonts w:ascii="Verdana" w:hAnsi="Verdana"/>
                <w:i/>
                <w:iCs/>
              </w:rPr>
              <w:t>Norul Azilah Abdul Rahman, Nurul Afiqah Mohd Haris, Karimah Kassim, Mazni Musa, and Nur Rahimah Said</w:t>
            </w:r>
          </w:p>
        </w:tc>
        <w:tc>
          <w:tcPr>
            <w:tcW w:w="1464" w:type="dxa"/>
            <w:tcBorders>
              <w:top w:val="nil"/>
              <w:left w:val="nil"/>
              <w:bottom w:val="nil"/>
              <w:right w:val="nil"/>
            </w:tcBorders>
            <w:hideMark/>
          </w:tcPr>
          <w:p w14:paraId="3021E441" w14:textId="77777777" w:rsidR="00266EE8" w:rsidRDefault="00000000" w:rsidP="00CF36F8">
            <w:pPr>
              <w:spacing w:before="100" w:beforeAutospacing="1" w:after="100" w:afterAutospacing="1"/>
              <w:ind w:left="268"/>
              <w:rPr>
                <w:rFonts w:ascii="Verdana" w:hAnsi="Verdana"/>
                <w:color w:val="000000"/>
                <w:spacing w:val="-10"/>
                <w:sz w:val="20"/>
                <w:szCs w:val="20"/>
              </w:rPr>
            </w:pPr>
            <w:r>
              <w:rPr>
                <w:rFonts w:ascii="Verdana" w:eastAsia="Times New Roman" w:hAnsi="Verdana"/>
                <w:color w:val="000000"/>
                <w:spacing w:val="-10"/>
                <w:sz w:val="20"/>
                <w:szCs w:val="20"/>
              </w:rPr>
              <w:t>512-521</w:t>
            </w:r>
          </w:p>
        </w:tc>
      </w:tr>
      <w:tr w:rsidR="00266EE8" w14:paraId="77D501C4" w14:textId="77777777" w:rsidTr="00001AE2">
        <w:trPr>
          <w:gridAfter w:val="6"/>
          <w:divId w:val="239146410"/>
          <w:wAfter w:w="1356" w:type="dxa"/>
          <w:tblCellSpacing w:w="15" w:type="dxa"/>
        </w:trPr>
        <w:tc>
          <w:tcPr>
            <w:tcW w:w="9982" w:type="dxa"/>
            <w:gridSpan w:val="5"/>
            <w:tcBorders>
              <w:top w:val="nil"/>
              <w:left w:val="nil"/>
              <w:bottom w:val="nil"/>
              <w:right w:val="nil"/>
            </w:tcBorders>
            <w:hideMark/>
          </w:tcPr>
          <w:p w14:paraId="35D8B367" w14:textId="77777777" w:rsidR="00266EE8" w:rsidRDefault="00000000" w:rsidP="00C1429D">
            <w:pPr>
              <w:spacing w:before="100" w:beforeAutospacing="1" w:after="100" w:afterAutospacing="1"/>
              <w:rPr>
                <w:rFonts w:ascii="Verdana" w:hAnsi="Verdana"/>
                <w:color w:val="000000"/>
                <w:spacing w:val="-10"/>
                <w:sz w:val="20"/>
                <w:szCs w:val="20"/>
              </w:rPr>
            </w:pPr>
            <w:r>
              <w:rPr>
                <w:rFonts w:ascii="Verdana" w:eastAsia="Times New Roman" w:hAnsi="Verdana"/>
                <w:color w:val="000000"/>
                <w:spacing w:val="-10"/>
                <w:sz w:val="20"/>
                <w:szCs w:val="20"/>
              </w:rPr>
              <w:t> </w:t>
            </w:r>
          </w:p>
        </w:tc>
        <w:tc>
          <w:tcPr>
            <w:tcW w:w="1464" w:type="dxa"/>
            <w:tcBorders>
              <w:top w:val="nil"/>
              <w:left w:val="nil"/>
              <w:bottom w:val="nil"/>
              <w:right w:val="nil"/>
            </w:tcBorders>
            <w:hideMark/>
          </w:tcPr>
          <w:p w14:paraId="55675281" w14:textId="77777777" w:rsidR="00266EE8" w:rsidRDefault="00266EE8" w:rsidP="00CF36F8">
            <w:pPr>
              <w:ind w:left="268"/>
              <w:rPr>
                <w:rFonts w:ascii="Verdana" w:hAnsi="Verdana"/>
                <w:color w:val="000000"/>
                <w:spacing w:val="-10"/>
                <w:sz w:val="20"/>
                <w:szCs w:val="20"/>
              </w:rPr>
            </w:pPr>
          </w:p>
        </w:tc>
      </w:tr>
      <w:tr w:rsidR="00266EE8" w14:paraId="0B137F86" w14:textId="77777777" w:rsidTr="00001AE2">
        <w:trPr>
          <w:gridAfter w:val="6"/>
          <w:divId w:val="239146410"/>
          <w:wAfter w:w="1356" w:type="dxa"/>
          <w:tblCellSpacing w:w="15" w:type="dxa"/>
        </w:trPr>
        <w:tc>
          <w:tcPr>
            <w:tcW w:w="9982" w:type="dxa"/>
            <w:gridSpan w:val="5"/>
            <w:tcBorders>
              <w:top w:val="nil"/>
              <w:left w:val="nil"/>
              <w:bottom w:val="nil"/>
              <w:right w:val="nil"/>
            </w:tcBorders>
            <w:hideMark/>
          </w:tcPr>
          <w:p w14:paraId="41B1B36A" w14:textId="77777777" w:rsidR="00266EE8" w:rsidRDefault="00000000" w:rsidP="00CF36F8">
            <w:pPr>
              <w:pStyle w:val="paper"/>
              <w:ind w:right="122"/>
              <w:rPr>
                <w:rFonts w:ascii="Verdana" w:hAnsi="Verdana"/>
              </w:rPr>
            </w:pPr>
            <w:r>
              <w:rPr>
                <w:rFonts w:ascii="Verdana" w:hAnsi="Verdana"/>
              </w:rPr>
              <w:t>       </w:t>
            </w:r>
            <w:r>
              <w:rPr>
                <w:rFonts w:ascii="Verdana" w:hAnsi="Verdana"/>
                <w:b/>
                <w:bCs/>
              </w:rPr>
              <w:t>Environmental Analysis</w:t>
            </w:r>
            <w:r>
              <w:rPr>
                <w:rFonts w:ascii="Verdana" w:hAnsi="Verdana"/>
              </w:rPr>
              <w:t xml:space="preserve"> </w:t>
            </w:r>
          </w:p>
        </w:tc>
        <w:tc>
          <w:tcPr>
            <w:tcW w:w="1464" w:type="dxa"/>
            <w:tcBorders>
              <w:top w:val="nil"/>
              <w:left w:val="nil"/>
              <w:bottom w:val="nil"/>
              <w:right w:val="nil"/>
            </w:tcBorders>
            <w:hideMark/>
          </w:tcPr>
          <w:p w14:paraId="593CC30C" w14:textId="77777777" w:rsidR="00266EE8" w:rsidRDefault="00266EE8" w:rsidP="00CF36F8">
            <w:pPr>
              <w:ind w:left="268"/>
              <w:rPr>
                <w:rFonts w:ascii="Verdana" w:hAnsi="Verdana"/>
              </w:rPr>
            </w:pPr>
          </w:p>
        </w:tc>
      </w:tr>
      <w:tr w:rsidR="00266EE8" w14:paraId="42A53BE2" w14:textId="77777777" w:rsidTr="00001AE2">
        <w:trPr>
          <w:gridAfter w:val="6"/>
          <w:divId w:val="239146410"/>
          <w:wAfter w:w="1356" w:type="dxa"/>
          <w:tblCellSpacing w:w="15" w:type="dxa"/>
        </w:trPr>
        <w:tc>
          <w:tcPr>
            <w:tcW w:w="9982" w:type="dxa"/>
            <w:gridSpan w:val="5"/>
            <w:tcBorders>
              <w:top w:val="nil"/>
              <w:left w:val="nil"/>
              <w:bottom w:val="nil"/>
              <w:right w:val="nil"/>
            </w:tcBorders>
            <w:hideMark/>
          </w:tcPr>
          <w:p w14:paraId="060FFB32" w14:textId="2CF2189A" w:rsidR="00266EE8" w:rsidRDefault="00000000" w:rsidP="00CF36F8">
            <w:pPr>
              <w:pStyle w:val="paper"/>
              <w:ind w:right="122"/>
              <w:rPr>
                <w:rFonts w:ascii="Verdana" w:hAnsi="Verdana"/>
              </w:rPr>
            </w:pPr>
            <w:r>
              <w:rPr>
                <w:rFonts w:ascii="Verdana" w:hAnsi="Verdana"/>
              </w:rPr>
              <w:t xml:space="preserve">5.    METHANOGEN INHIBITOR EFFECT ON ANAEROBIC DEGRADATION OF 1,2-DICHLOROETHANE BY SUNGAI ULAR SEDIMENT </w:t>
            </w:r>
            <w:r>
              <w:rPr>
                <w:rFonts w:ascii="Verdana" w:hAnsi="Verdana"/>
              </w:rPr>
              <w:br/>
            </w:r>
            <w:r>
              <w:rPr>
                <w:rFonts w:ascii="Verdana" w:hAnsi="Verdana"/>
                <w:i/>
                <w:iCs/>
              </w:rPr>
              <w:t>Nur Intan Shaheera Nuralhuda, Muhammad Haikal Muhaimin Ariza Fattah, Nur Kholis Zulkifli, and Siti Hatijah Mortan</w:t>
            </w:r>
          </w:p>
        </w:tc>
        <w:tc>
          <w:tcPr>
            <w:tcW w:w="1464" w:type="dxa"/>
            <w:tcBorders>
              <w:top w:val="nil"/>
              <w:left w:val="nil"/>
              <w:bottom w:val="nil"/>
              <w:right w:val="nil"/>
            </w:tcBorders>
            <w:hideMark/>
          </w:tcPr>
          <w:p w14:paraId="2E245387" w14:textId="77777777" w:rsidR="00266EE8" w:rsidRDefault="00000000" w:rsidP="00CF36F8">
            <w:pPr>
              <w:spacing w:before="100" w:beforeAutospacing="1" w:after="100" w:afterAutospacing="1"/>
              <w:ind w:left="268"/>
              <w:rPr>
                <w:rFonts w:ascii="Verdana" w:hAnsi="Verdana"/>
                <w:color w:val="000000"/>
                <w:spacing w:val="-10"/>
                <w:sz w:val="20"/>
                <w:szCs w:val="20"/>
              </w:rPr>
            </w:pPr>
            <w:r>
              <w:rPr>
                <w:rFonts w:ascii="Verdana" w:eastAsia="Times New Roman" w:hAnsi="Verdana"/>
                <w:color w:val="000000"/>
                <w:spacing w:val="-10"/>
                <w:sz w:val="20"/>
                <w:szCs w:val="20"/>
              </w:rPr>
              <w:t>522-529</w:t>
            </w:r>
          </w:p>
        </w:tc>
      </w:tr>
      <w:tr w:rsidR="00266EE8" w14:paraId="2D75F704" w14:textId="77777777" w:rsidTr="00001AE2">
        <w:trPr>
          <w:gridAfter w:val="6"/>
          <w:divId w:val="239146410"/>
          <w:wAfter w:w="1356" w:type="dxa"/>
          <w:tblCellSpacing w:w="15" w:type="dxa"/>
        </w:trPr>
        <w:tc>
          <w:tcPr>
            <w:tcW w:w="9982" w:type="dxa"/>
            <w:gridSpan w:val="5"/>
            <w:tcBorders>
              <w:top w:val="nil"/>
              <w:left w:val="nil"/>
              <w:bottom w:val="nil"/>
              <w:right w:val="nil"/>
            </w:tcBorders>
            <w:hideMark/>
          </w:tcPr>
          <w:p w14:paraId="57F71EC6" w14:textId="77777777" w:rsidR="00266EE8" w:rsidRDefault="00000000" w:rsidP="00CF36F8">
            <w:pPr>
              <w:spacing w:before="100" w:beforeAutospacing="1" w:after="100" w:afterAutospacing="1"/>
              <w:ind w:right="122"/>
              <w:rPr>
                <w:rFonts w:ascii="Verdana" w:hAnsi="Verdana"/>
                <w:color w:val="000000"/>
                <w:spacing w:val="-10"/>
                <w:sz w:val="20"/>
                <w:szCs w:val="20"/>
              </w:rPr>
            </w:pPr>
            <w:r>
              <w:rPr>
                <w:rFonts w:ascii="Verdana" w:eastAsia="Times New Roman" w:hAnsi="Verdana"/>
                <w:color w:val="000000"/>
                <w:spacing w:val="-10"/>
                <w:sz w:val="20"/>
                <w:szCs w:val="20"/>
              </w:rPr>
              <w:t> </w:t>
            </w:r>
          </w:p>
        </w:tc>
        <w:tc>
          <w:tcPr>
            <w:tcW w:w="1464" w:type="dxa"/>
            <w:tcBorders>
              <w:top w:val="nil"/>
              <w:left w:val="nil"/>
              <w:bottom w:val="nil"/>
              <w:right w:val="nil"/>
            </w:tcBorders>
            <w:hideMark/>
          </w:tcPr>
          <w:p w14:paraId="3E646B52" w14:textId="77777777" w:rsidR="00266EE8" w:rsidRDefault="00266EE8" w:rsidP="00C1429D">
            <w:pPr>
              <w:rPr>
                <w:rFonts w:ascii="Verdana" w:hAnsi="Verdana"/>
                <w:color w:val="000000"/>
                <w:spacing w:val="-10"/>
                <w:sz w:val="20"/>
                <w:szCs w:val="20"/>
              </w:rPr>
            </w:pPr>
          </w:p>
        </w:tc>
      </w:tr>
      <w:tr w:rsidR="00266EE8" w14:paraId="23078151" w14:textId="77777777" w:rsidTr="00001AE2">
        <w:trPr>
          <w:gridAfter w:val="6"/>
          <w:divId w:val="239146410"/>
          <w:wAfter w:w="1356" w:type="dxa"/>
          <w:tblCellSpacing w:w="15" w:type="dxa"/>
        </w:trPr>
        <w:tc>
          <w:tcPr>
            <w:tcW w:w="9982" w:type="dxa"/>
            <w:gridSpan w:val="5"/>
            <w:tcBorders>
              <w:top w:val="nil"/>
              <w:left w:val="nil"/>
              <w:bottom w:val="nil"/>
              <w:right w:val="nil"/>
            </w:tcBorders>
            <w:hideMark/>
          </w:tcPr>
          <w:p w14:paraId="21922035" w14:textId="77777777" w:rsidR="00266EE8" w:rsidRDefault="00000000" w:rsidP="00CF36F8">
            <w:pPr>
              <w:pStyle w:val="paper"/>
              <w:ind w:right="122"/>
              <w:rPr>
                <w:rFonts w:ascii="Verdana" w:hAnsi="Verdana"/>
              </w:rPr>
            </w:pPr>
            <w:r>
              <w:rPr>
                <w:rFonts w:ascii="Verdana" w:hAnsi="Verdana"/>
              </w:rPr>
              <w:t>       </w:t>
            </w:r>
            <w:r>
              <w:rPr>
                <w:rFonts w:ascii="Verdana" w:hAnsi="Verdana"/>
                <w:b/>
                <w:bCs/>
              </w:rPr>
              <w:t>Computational Analysis</w:t>
            </w:r>
            <w:r>
              <w:rPr>
                <w:rFonts w:ascii="Verdana" w:hAnsi="Verdana"/>
              </w:rPr>
              <w:t xml:space="preserve"> </w:t>
            </w:r>
          </w:p>
        </w:tc>
        <w:tc>
          <w:tcPr>
            <w:tcW w:w="1464" w:type="dxa"/>
            <w:tcBorders>
              <w:top w:val="nil"/>
              <w:left w:val="nil"/>
              <w:bottom w:val="nil"/>
              <w:right w:val="nil"/>
            </w:tcBorders>
            <w:hideMark/>
          </w:tcPr>
          <w:p w14:paraId="7DEA5D3A" w14:textId="77777777" w:rsidR="00266EE8" w:rsidRDefault="00266EE8" w:rsidP="00C1429D">
            <w:pPr>
              <w:rPr>
                <w:rFonts w:ascii="Verdana" w:hAnsi="Verdana"/>
              </w:rPr>
            </w:pPr>
          </w:p>
        </w:tc>
      </w:tr>
      <w:tr w:rsidR="00266EE8" w14:paraId="10D72BEC" w14:textId="77777777" w:rsidTr="00001AE2">
        <w:trPr>
          <w:gridAfter w:val="6"/>
          <w:divId w:val="239146410"/>
          <w:wAfter w:w="1356" w:type="dxa"/>
          <w:tblCellSpacing w:w="15" w:type="dxa"/>
        </w:trPr>
        <w:tc>
          <w:tcPr>
            <w:tcW w:w="9982" w:type="dxa"/>
            <w:gridSpan w:val="5"/>
            <w:tcBorders>
              <w:top w:val="nil"/>
              <w:left w:val="nil"/>
              <w:bottom w:val="nil"/>
              <w:right w:val="nil"/>
            </w:tcBorders>
            <w:hideMark/>
          </w:tcPr>
          <w:p w14:paraId="71F8D504" w14:textId="5EA69EE4" w:rsidR="00266EE8" w:rsidRDefault="00000000" w:rsidP="00CF36F8">
            <w:pPr>
              <w:pStyle w:val="paper"/>
              <w:ind w:right="122"/>
              <w:rPr>
                <w:rFonts w:ascii="Verdana" w:hAnsi="Verdana"/>
              </w:rPr>
            </w:pPr>
            <w:r>
              <w:rPr>
                <w:rFonts w:ascii="Verdana" w:hAnsi="Verdana"/>
              </w:rPr>
              <w:t xml:space="preserve">6.    INVESTIGATIONS ON THE INCLUSION OF BETULINIC ACID INTO CDMOF-1 PERFORMED BY QUANTUM MECHANICS CALCULATIONS AND MOLECULAR DOCKING SIMULATION </w:t>
            </w:r>
            <w:r>
              <w:rPr>
                <w:rFonts w:ascii="Verdana" w:hAnsi="Verdana"/>
              </w:rPr>
              <w:br/>
            </w:r>
            <w:r>
              <w:rPr>
                <w:rFonts w:ascii="Verdana" w:hAnsi="Verdana"/>
                <w:i/>
                <w:iCs/>
              </w:rPr>
              <w:t>Saurelle Kenfack Tiofack, Mostafa Yousefzadeh Borzehandani, Patrice Kenfack Tsobnang, Muhammad Alif Mohamad Latif, Bimo Ario Tejo, Haslina Ahmad, Jean Ngoune, and Mohd Basyaruddin Abdul Rahman</w:t>
            </w:r>
          </w:p>
        </w:tc>
        <w:tc>
          <w:tcPr>
            <w:tcW w:w="1464" w:type="dxa"/>
            <w:tcBorders>
              <w:top w:val="nil"/>
              <w:left w:val="nil"/>
              <w:bottom w:val="nil"/>
              <w:right w:val="nil"/>
            </w:tcBorders>
            <w:hideMark/>
          </w:tcPr>
          <w:p w14:paraId="7210FD6D" w14:textId="77777777" w:rsidR="00266EE8" w:rsidRDefault="00000000" w:rsidP="00CF36F8">
            <w:pPr>
              <w:spacing w:before="100" w:beforeAutospacing="1" w:after="100" w:afterAutospacing="1"/>
              <w:ind w:left="268"/>
              <w:rPr>
                <w:rFonts w:ascii="Verdana" w:hAnsi="Verdana"/>
                <w:color w:val="000000"/>
                <w:spacing w:val="-10"/>
                <w:sz w:val="20"/>
                <w:szCs w:val="20"/>
              </w:rPr>
            </w:pPr>
            <w:r>
              <w:rPr>
                <w:rFonts w:ascii="Verdana" w:eastAsia="Times New Roman" w:hAnsi="Verdana"/>
                <w:color w:val="000000"/>
                <w:spacing w:val="-10"/>
                <w:sz w:val="20"/>
                <w:szCs w:val="20"/>
              </w:rPr>
              <w:t>530-542</w:t>
            </w:r>
          </w:p>
        </w:tc>
      </w:tr>
      <w:tr w:rsidR="00266EE8" w14:paraId="61901465" w14:textId="77777777" w:rsidTr="00001AE2">
        <w:trPr>
          <w:divId w:val="239146410"/>
          <w:tblCellSpacing w:w="15" w:type="dxa"/>
        </w:trPr>
        <w:tc>
          <w:tcPr>
            <w:tcW w:w="12784" w:type="dxa"/>
            <w:gridSpan w:val="11"/>
            <w:tcBorders>
              <w:top w:val="nil"/>
              <w:left w:val="nil"/>
              <w:bottom w:val="nil"/>
              <w:right w:val="nil"/>
            </w:tcBorders>
            <w:hideMark/>
          </w:tcPr>
          <w:p w14:paraId="29BCB0D0" w14:textId="77777777" w:rsidR="00266EE8" w:rsidRDefault="00000000" w:rsidP="00C1429D">
            <w:pPr>
              <w:spacing w:before="100" w:beforeAutospacing="1" w:after="100" w:afterAutospacing="1"/>
              <w:rPr>
                <w:rFonts w:ascii="Verdana" w:hAnsi="Verdana"/>
                <w:color w:val="000000"/>
                <w:spacing w:val="-10"/>
                <w:sz w:val="20"/>
                <w:szCs w:val="20"/>
              </w:rPr>
            </w:pPr>
            <w:r>
              <w:rPr>
                <w:rFonts w:ascii="Verdana" w:eastAsia="Times New Roman" w:hAnsi="Verdana"/>
                <w:color w:val="000000"/>
                <w:spacing w:val="-10"/>
                <w:sz w:val="20"/>
                <w:szCs w:val="20"/>
              </w:rPr>
              <w:t> </w:t>
            </w:r>
          </w:p>
        </w:tc>
        <w:tc>
          <w:tcPr>
            <w:tcW w:w="48" w:type="dxa"/>
            <w:tcBorders>
              <w:top w:val="nil"/>
              <w:left w:val="nil"/>
              <w:bottom w:val="nil"/>
              <w:right w:val="nil"/>
            </w:tcBorders>
            <w:hideMark/>
          </w:tcPr>
          <w:p w14:paraId="46D7D841" w14:textId="77777777" w:rsidR="00266EE8" w:rsidRDefault="00266EE8" w:rsidP="00C1429D">
            <w:pPr>
              <w:rPr>
                <w:rFonts w:ascii="Verdana" w:hAnsi="Verdana"/>
                <w:color w:val="000000"/>
                <w:spacing w:val="-10"/>
                <w:sz w:val="20"/>
                <w:szCs w:val="20"/>
              </w:rPr>
            </w:pPr>
          </w:p>
        </w:tc>
      </w:tr>
      <w:tr w:rsidR="00266EE8" w14:paraId="5058D653" w14:textId="77777777" w:rsidTr="00001AE2">
        <w:trPr>
          <w:divId w:val="239146410"/>
          <w:tblCellSpacing w:w="15" w:type="dxa"/>
        </w:trPr>
        <w:tc>
          <w:tcPr>
            <w:tcW w:w="12784" w:type="dxa"/>
            <w:gridSpan w:val="11"/>
            <w:tcBorders>
              <w:top w:val="nil"/>
              <w:left w:val="nil"/>
              <w:bottom w:val="nil"/>
              <w:right w:val="nil"/>
            </w:tcBorders>
            <w:hideMark/>
          </w:tcPr>
          <w:p w14:paraId="6F6B5E46" w14:textId="77777777" w:rsidR="00266EE8" w:rsidRDefault="00000000" w:rsidP="00CF36F8">
            <w:pPr>
              <w:pStyle w:val="paper"/>
              <w:ind w:right="2539"/>
              <w:rPr>
                <w:rFonts w:ascii="Verdana" w:hAnsi="Verdana"/>
              </w:rPr>
            </w:pPr>
            <w:r>
              <w:rPr>
                <w:rFonts w:ascii="Verdana" w:hAnsi="Verdana"/>
              </w:rPr>
              <w:t>       </w:t>
            </w:r>
            <w:r>
              <w:rPr>
                <w:rFonts w:ascii="Verdana" w:hAnsi="Verdana"/>
                <w:b/>
                <w:bCs/>
              </w:rPr>
              <w:t>Nano and Advanced Materials Analysis</w:t>
            </w:r>
            <w:r>
              <w:rPr>
                <w:rFonts w:ascii="Verdana" w:hAnsi="Verdana"/>
              </w:rPr>
              <w:t xml:space="preserve"> </w:t>
            </w:r>
          </w:p>
        </w:tc>
        <w:tc>
          <w:tcPr>
            <w:tcW w:w="48" w:type="dxa"/>
            <w:tcBorders>
              <w:top w:val="nil"/>
              <w:left w:val="nil"/>
              <w:bottom w:val="nil"/>
              <w:right w:val="nil"/>
            </w:tcBorders>
            <w:hideMark/>
          </w:tcPr>
          <w:p w14:paraId="050C9FBD" w14:textId="77777777" w:rsidR="00266EE8" w:rsidRDefault="00266EE8" w:rsidP="00C1429D">
            <w:pPr>
              <w:rPr>
                <w:rFonts w:ascii="Verdana" w:hAnsi="Verdana"/>
              </w:rPr>
            </w:pPr>
          </w:p>
        </w:tc>
      </w:tr>
      <w:tr w:rsidR="00CF36F8" w14:paraId="755CA50B" w14:textId="77777777" w:rsidTr="00001AE2">
        <w:trPr>
          <w:gridAfter w:val="2"/>
          <w:divId w:val="239146410"/>
          <w:wAfter w:w="500" w:type="dxa"/>
          <w:tblCellSpacing w:w="15" w:type="dxa"/>
        </w:trPr>
        <w:tc>
          <w:tcPr>
            <w:tcW w:w="9937" w:type="dxa"/>
            <w:gridSpan w:val="4"/>
            <w:tcBorders>
              <w:top w:val="nil"/>
              <w:left w:val="nil"/>
              <w:bottom w:val="nil"/>
              <w:right w:val="nil"/>
            </w:tcBorders>
            <w:hideMark/>
          </w:tcPr>
          <w:p w14:paraId="06E820DA" w14:textId="77777777" w:rsidR="00266EE8" w:rsidRDefault="00000000" w:rsidP="00CF36F8">
            <w:pPr>
              <w:pStyle w:val="paper"/>
              <w:ind w:right="70"/>
              <w:rPr>
                <w:rFonts w:ascii="Verdana" w:hAnsi="Verdana"/>
              </w:rPr>
            </w:pPr>
            <w:r>
              <w:rPr>
                <w:rFonts w:ascii="Verdana" w:hAnsi="Verdana"/>
              </w:rPr>
              <w:t>7.    UNVEILING THE IMPACT OF BACTERIAL CELLULOSE DERIVED FROM NATA DE COCO AND SORBITOL ON BIOCOMPOSITE FILM PROPERTIES FOR POTENTIAL FOOD PACKAGING</w:t>
            </w:r>
            <w:r>
              <w:rPr>
                <w:rFonts w:ascii="Verdana" w:hAnsi="Verdana"/>
              </w:rPr>
              <w:br/>
            </w:r>
            <w:r>
              <w:rPr>
                <w:rFonts w:ascii="Verdana" w:hAnsi="Verdana"/>
                <w:i/>
                <w:iCs/>
              </w:rPr>
              <w:t>Sharifah Fathiyah Sy Mohamad, Nur Fikriyah Yaacob, and Intan Anak Ekong</w:t>
            </w:r>
            <w:r>
              <w:rPr>
                <w:rFonts w:ascii="Verdana" w:hAnsi="Verdana"/>
              </w:rPr>
              <w:br/>
            </w:r>
          </w:p>
          <w:p w14:paraId="7B22FE9F" w14:textId="2BBB0EC0" w:rsidR="00353A60" w:rsidRDefault="00353A60" w:rsidP="00CF36F8">
            <w:pPr>
              <w:pStyle w:val="paper"/>
              <w:ind w:right="70"/>
              <w:rPr>
                <w:rFonts w:ascii="Verdana" w:hAnsi="Verdana"/>
              </w:rPr>
            </w:pPr>
          </w:p>
        </w:tc>
        <w:tc>
          <w:tcPr>
            <w:tcW w:w="2365" w:type="dxa"/>
            <w:gridSpan w:val="6"/>
            <w:tcBorders>
              <w:top w:val="nil"/>
              <w:left w:val="nil"/>
              <w:bottom w:val="nil"/>
              <w:right w:val="nil"/>
            </w:tcBorders>
            <w:hideMark/>
          </w:tcPr>
          <w:p w14:paraId="088F1D1D" w14:textId="3825C67C" w:rsidR="00266EE8" w:rsidRDefault="00000000" w:rsidP="00CF36F8">
            <w:pPr>
              <w:spacing w:before="100" w:beforeAutospacing="1" w:after="100" w:afterAutospacing="1"/>
              <w:ind w:left="410" w:right="168" w:hanging="90"/>
              <w:rPr>
                <w:rFonts w:ascii="Verdana" w:hAnsi="Verdana"/>
                <w:color w:val="000000"/>
                <w:spacing w:val="-10"/>
                <w:sz w:val="20"/>
                <w:szCs w:val="20"/>
              </w:rPr>
            </w:pPr>
            <w:r>
              <w:rPr>
                <w:rFonts w:ascii="Verdana" w:eastAsia="Times New Roman" w:hAnsi="Verdana"/>
                <w:color w:val="000000"/>
                <w:spacing w:val="-10"/>
                <w:sz w:val="20"/>
                <w:szCs w:val="20"/>
              </w:rPr>
              <w:t>543-5</w:t>
            </w:r>
            <w:r w:rsidR="00EA739E">
              <w:rPr>
                <w:rFonts w:ascii="Verdana" w:eastAsia="Times New Roman" w:hAnsi="Verdana"/>
                <w:color w:val="000000"/>
                <w:spacing w:val="-10"/>
                <w:sz w:val="20"/>
                <w:szCs w:val="20"/>
              </w:rPr>
              <w:t>5</w:t>
            </w:r>
            <w:r>
              <w:rPr>
                <w:rFonts w:ascii="Verdana" w:eastAsia="Times New Roman" w:hAnsi="Verdana"/>
                <w:color w:val="000000"/>
                <w:spacing w:val="-10"/>
                <w:sz w:val="20"/>
                <w:szCs w:val="20"/>
              </w:rPr>
              <w:t>4</w:t>
            </w:r>
          </w:p>
        </w:tc>
      </w:tr>
      <w:tr w:rsidR="00266EE8" w14:paraId="1023F6CC" w14:textId="77777777" w:rsidTr="00001AE2">
        <w:trPr>
          <w:gridAfter w:val="5"/>
          <w:divId w:val="239146410"/>
          <w:wAfter w:w="994" w:type="dxa"/>
          <w:tblCellSpacing w:w="15" w:type="dxa"/>
        </w:trPr>
        <w:tc>
          <w:tcPr>
            <w:tcW w:w="9675" w:type="dxa"/>
            <w:tcBorders>
              <w:top w:val="nil"/>
              <w:left w:val="nil"/>
              <w:bottom w:val="nil"/>
              <w:right w:val="nil"/>
            </w:tcBorders>
            <w:hideMark/>
          </w:tcPr>
          <w:p w14:paraId="253513FC" w14:textId="77777777" w:rsidR="00266EE8" w:rsidRDefault="00000000" w:rsidP="00353A60">
            <w:pPr>
              <w:pStyle w:val="paper"/>
              <w:ind w:right="-480"/>
              <w:rPr>
                <w:rFonts w:ascii="Verdana" w:hAnsi="Verdana"/>
              </w:rPr>
            </w:pPr>
            <w:r>
              <w:rPr>
                <w:rFonts w:ascii="Verdana" w:hAnsi="Verdana"/>
              </w:rPr>
              <w:t>       </w:t>
            </w:r>
            <w:r>
              <w:rPr>
                <w:rFonts w:ascii="Verdana" w:hAnsi="Verdana"/>
                <w:b/>
                <w:bCs/>
              </w:rPr>
              <w:t>Organic and Inorganic Analysis</w:t>
            </w:r>
            <w:r>
              <w:rPr>
                <w:rFonts w:ascii="Verdana" w:hAnsi="Verdana"/>
              </w:rPr>
              <w:t xml:space="preserve"> </w:t>
            </w:r>
          </w:p>
        </w:tc>
        <w:tc>
          <w:tcPr>
            <w:tcW w:w="2133" w:type="dxa"/>
            <w:gridSpan w:val="6"/>
            <w:tcBorders>
              <w:top w:val="nil"/>
              <w:left w:val="nil"/>
              <w:bottom w:val="nil"/>
              <w:right w:val="nil"/>
            </w:tcBorders>
            <w:hideMark/>
          </w:tcPr>
          <w:p w14:paraId="004C74A8" w14:textId="77777777" w:rsidR="00266EE8" w:rsidRDefault="00266EE8" w:rsidP="00C1429D">
            <w:pPr>
              <w:rPr>
                <w:rFonts w:ascii="Verdana" w:hAnsi="Verdana"/>
              </w:rPr>
            </w:pPr>
          </w:p>
        </w:tc>
      </w:tr>
      <w:tr w:rsidR="00266EE8" w14:paraId="4026BC41" w14:textId="77777777" w:rsidTr="00001AE2">
        <w:trPr>
          <w:gridAfter w:val="5"/>
          <w:divId w:val="239146410"/>
          <w:wAfter w:w="994" w:type="dxa"/>
          <w:tblCellSpacing w:w="15" w:type="dxa"/>
        </w:trPr>
        <w:tc>
          <w:tcPr>
            <w:tcW w:w="9675" w:type="dxa"/>
            <w:tcBorders>
              <w:top w:val="nil"/>
              <w:left w:val="nil"/>
              <w:bottom w:val="nil"/>
              <w:right w:val="nil"/>
            </w:tcBorders>
            <w:hideMark/>
          </w:tcPr>
          <w:p w14:paraId="4EBFB891" w14:textId="53FC04EE" w:rsidR="00266EE8" w:rsidRDefault="00000000" w:rsidP="00353A60">
            <w:pPr>
              <w:pStyle w:val="paper"/>
              <w:ind w:right="-480"/>
              <w:rPr>
                <w:rFonts w:ascii="Verdana" w:hAnsi="Verdana"/>
              </w:rPr>
            </w:pPr>
            <w:r>
              <w:rPr>
                <w:rFonts w:ascii="Verdana" w:hAnsi="Verdana"/>
              </w:rPr>
              <w:t>8.    GLYCEROL ACETYLATION INTO ACETINS OVER SnO</w:t>
            </w:r>
            <w:r>
              <w:rPr>
                <w:rFonts w:ascii="Verdana" w:hAnsi="Verdana"/>
                <w:vertAlign w:val="subscript"/>
              </w:rPr>
              <w:t>2</w:t>
            </w:r>
            <w:r>
              <w:rPr>
                <w:rFonts w:ascii="Verdana" w:hAnsi="Verdana"/>
              </w:rPr>
              <w:t xml:space="preserve">-BASED BIMETALLIC OXIDE CATALYST </w:t>
            </w:r>
            <w:r>
              <w:rPr>
                <w:rFonts w:ascii="Verdana" w:hAnsi="Verdana"/>
              </w:rPr>
              <w:br/>
            </w:r>
            <w:r>
              <w:rPr>
                <w:rFonts w:ascii="Verdana" w:hAnsi="Verdana"/>
                <w:i/>
                <w:iCs/>
              </w:rPr>
              <w:t>Ain Arisya Azami, Irmawati Ramli, Shera Farisya Mohamad Rasid, Muhammad Shamirul Khairul Lail, Mohd Rafein Zakaria, and Sarwat Iqbal</w:t>
            </w:r>
          </w:p>
        </w:tc>
        <w:tc>
          <w:tcPr>
            <w:tcW w:w="2133" w:type="dxa"/>
            <w:gridSpan w:val="6"/>
            <w:tcBorders>
              <w:top w:val="nil"/>
              <w:left w:val="nil"/>
              <w:bottom w:val="nil"/>
              <w:right w:val="nil"/>
            </w:tcBorders>
            <w:hideMark/>
          </w:tcPr>
          <w:p w14:paraId="2C186D52" w14:textId="54149301" w:rsidR="00266EE8" w:rsidRDefault="00000000" w:rsidP="00EA739E">
            <w:pPr>
              <w:spacing w:before="100" w:beforeAutospacing="1" w:after="100" w:afterAutospacing="1"/>
              <w:ind w:left="423" w:firstLine="180"/>
              <w:rPr>
                <w:rFonts w:ascii="Verdana" w:hAnsi="Verdana"/>
                <w:color w:val="000000"/>
                <w:spacing w:val="-10"/>
                <w:sz w:val="20"/>
                <w:szCs w:val="20"/>
              </w:rPr>
            </w:pPr>
            <w:r>
              <w:rPr>
                <w:rFonts w:ascii="Verdana" w:eastAsia="Times New Roman" w:hAnsi="Verdana"/>
                <w:color w:val="000000"/>
                <w:spacing w:val="-10"/>
                <w:sz w:val="20"/>
                <w:szCs w:val="20"/>
              </w:rPr>
              <w:t>5</w:t>
            </w:r>
            <w:r w:rsidR="00EA739E">
              <w:rPr>
                <w:rFonts w:ascii="Verdana" w:eastAsia="Times New Roman" w:hAnsi="Verdana"/>
                <w:color w:val="000000"/>
                <w:spacing w:val="-10"/>
                <w:sz w:val="20"/>
                <w:szCs w:val="20"/>
              </w:rPr>
              <w:t>5</w:t>
            </w:r>
            <w:r>
              <w:rPr>
                <w:rFonts w:ascii="Verdana" w:eastAsia="Times New Roman" w:hAnsi="Verdana"/>
                <w:color w:val="000000"/>
                <w:spacing w:val="-10"/>
                <w:sz w:val="20"/>
                <w:szCs w:val="20"/>
              </w:rPr>
              <w:t>5-568</w:t>
            </w:r>
          </w:p>
        </w:tc>
      </w:tr>
      <w:tr w:rsidR="00266EE8" w14:paraId="4E8221BB"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2910DECF" w14:textId="77777777" w:rsidR="00266EE8" w:rsidRDefault="00000000" w:rsidP="00C1429D">
            <w:pPr>
              <w:spacing w:before="100" w:beforeAutospacing="1" w:after="100" w:afterAutospacing="1"/>
              <w:rPr>
                <w:rFonts w:ascii="Verdana" w:hAnsi="Verdana"/>
                <w:color w:val="000000"/>
                <w:spacing w:val="-10"/>
                <w:sz w:val="20"/>
                <w:szCs w:val="20"/>
              </w:rPr>
            </w:pPr>
            <w:r>
              <w:rPr>
                <w:rFonts w:ascii="Verdana" w:eastAsia="Times New Roman" w:hAnsi="Verdana"/>
                <w:color w:val="000000"/>
                <w:spacing w:val="-10"/>
                <w:sz w:val="20"/>
                <w:szCs w:val="20"/>
              </w:rPr>
              <w:lastRenderedPageBreak/>
              <w:t> </w:t>
            </w:r>
          </w:p>
        </w:tc>
        <w:tc>
          <w:tcPr>
            <w:tcW w:w="2330" w:type="dxa"/>
            <w:gridSpan w:val="7"/>
            <w:tcBorders>
              <w:top w:val="nil"/>
              <w:left w:val="nil"/>
              <w:bottom w:val="nil"/>
              <w:right w:val="nil"/>
            </w:tcBorders>
            <w:hideMark/>
          </w:tcPr>
          <w:p w14:paraId="074072D6" w14:textId="77777777" w:rsidR="00266EE8" w:rsidRDefault="00266EE8" w:rsidP="00C1429D">
            <w:pPr>
              <w:rPr>
                <w:rFonts w:ascii="Verdana" w:hAnsi="Verdana"/>
                <w:color w:val="000000"/>
                <w:spacing w:val="-10"/>
                <w:sz w:val="20"/>
                <w:szCs w:val="20"/>
              </w:rPr>
            </w:pPr>
          </w:p>
        </w:tc>
      </w:tr>
      <w:tr w:rsidR="00266EE8" w14:paraId="4D1B8345"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7154E04B" w14:textId="77777777" w:rsidR="00266EE8" w:rsidRDefault="00000000" w:rsidP="00CF36F8">
            <w:pPr>
              <w:pStyle w:val="paper"/>
              <w:ind w:right="-5"/>
              <w:rPr>
                <w:rFonts w:ascii="Verdana" w:hAnsi="Verdana"/>
              </w:rPr>
            </w:pPr>
            <w:r>
              <w:rPr>
                <w:rFonts w:ascii="Verdana" w:hAnsi="Verdana"/>
              </w:rPr>
              <w:t>       </w:t>
            </w:r>
            <w:r>
              <w:rPr>
                <w:rFonts w:ascii="Verdana" w:hAnsi="Verdana"/>
                <w:b/>
                <w:bCs/>
              </w:rPr>
              <w:t>Environmental Analysis</w:t>
            </w:r>
            <w:r>
              <w:rPr>
                <w:rFonts w:ascii="Verdana" w:hAnsi="Verdana"/>
              </w:rPr>
              <w:t xml:space="preserve"> </w:t>
            </w:r>
          </w:p>
        </w:tc>
        <w:tc>
          <w:tcPr>
            <w:tcW w:w="2330" w:type="dxa"/>
            <w:gridSpan w:val="7"/>
            <w:tcBorders>
              <w:top w:val="nil"/>
              <w:left w:val="nil"/>
              <w:bottom w:val="nil"/>
              <w:right w:val="nil"/>
            </w:tcBorders>
            <w:hideMark/>
          </w:tcPr>
          <w:p w14:paraId="602D8386" w14:textId="77777777" w:rsidR="00266EE8" w:rsidRDefault="00266EE8" w:rsidP="00C1429D">
            <w:pPr>
              <w:rPr>
                <w:rFonts w:ascii="Verdana" w:hAnsi="Verdana"/>
              </w:rPr>
            </w:pPr>
          </w:p>
        </w:tc>
      </w:tr>
      <w:tr w:rsidR="00266EE8" w14:paraId="3DB4591E"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3387D4DE" w14:textId="474ED67D" w:rsidR="00266EE8" w:rsidRDefault="00000000" w:rsidP="00CF36F8">
            <w:pPr>
              <w:pStyle w:val="paper"/>
              <w:ind w:right="-5"/>
              <w:rPr>
                <w:rFonts w:ascii="Verdana" w:hAnsi="Verdana"/>
              </w:rPr>
            </w:pPr>
            <w:r>
              <w:rPr>
                <w:rFonts w:ascii="Verdana" w:hAnsi="Verdana"/>
              </w:rPr>
              <w:t xml:space="preserve">9.    MICROPLASTIC POLLUTION IN MALAYSIA: STATUS AND CHALLENGES - A BRIEF OVERVIEW </w:t>
            </w:r>
            <w:r>
              <w:rPr>
                <w:rFonts w:ascii="Verdana" w:hAnsi="Verdana"/>
              </w:rPr>
              <w:br/>
            </w:r>
            <w:r>
              <w:rPr>
                <w:rFonts w:ascii="Verdana" w:hAnsi="Verdana"/>
                <w:i/>
                <w:iCs/>
              </w:rPr>
              <w:t>Nurul Shahfiza Noor, Noorfatimah Yahaya, Nur Nadhirah Mohamad Zain, Nik Nur Syazni Nik Mohamed Kamal, Mohd Syahir Mansor, Mohd Yusmaidie Aziz, and Maisarah Nasution Waras</w:t>
            </w:r>
            <w:r>
              <w:rPr>
                <w:rFonts w:ascii="Verdana" w:hAnsi="Verdana"/>
              </w:rPr>
              <w:br/>
            </w:r>
          </w:p>
        </w:tc>
        <w:tc>
          <w:tcPr>
            <w:tcW w:w="2330" w:type="dxa"/>
            <w:gridSpan w:val="7"/>
            <w:tcBorders>
              <w:top w:val="nil"/>
              <w:left w:val="nil"/>
              <w:bottom w:val="nil"/>
              <w:right w:val="nil"/>
            </w:tcBorders>
            <w:hideMark/>
          </w:tcPr>
          <w:p w14:paraId="7CFE2A94" w14:textId="77777777" w:rsidR="00266EE8" w:rsidRDefault="00000000" w:rsidP="00CF36F8">
            <w:pPr>
              <w:spacing w:before="100" w:beforeAutospacing="1" w:after="100" w:afterAutospacing="1"/>
              <w:ind w:left="485"/>
              <w:rPr>
                <w:rFonts w:ascii="Verdana" w:hAnsi="Verdana"/>
                <w:color w:val="000000"/>
                <w:spacing w:val="-10"/>
                <w:sz w:val="20"/>
                <w:szCs w:val="20"/>
              </w:rPr>
            </w:pPr>
            <w:r>
              <w:rPr>
                <w:rFonts w:ascii="Verdana" w:eastAsia="Times New Roman" w:hAnsi="Verdana"/>
                <w:color w:val="000000"/>
                <w:spacing w:val="-10"/>
                <w:sz w:val="20"/>
                <w:szCs w:val="20"/>
              </w:rPr>
              <w:t>569-585</w:t>
            </w:r>
          </w:p>
        </w:tc>
      </w:tr>
      <w:tr w:rsidR="00266EE8" w14:paraId="5A367161"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4ACB965C" w14:textId="77777777" w:rsidR="00266EE8" w:rsidRDefault="00000000" w:rsidP="00C1429D">
            <w:pPr>
              <w:spacing w:before="100" w:beforeAutospacing="1" w:after="100" w:afterAutospacing="1"/>
              <w:rPr>
                <w:rFonts w:ascii="Verdana" w:hAnsi="Verdana"/>
                <w:color w:val="000000"/>
                <w:spacing w:val="-10"/>
                <w:sz w:val="20"/>
                <w:szCs w:val="20"/>
              </w:rPr>
            </w:pPr>
            <w:r>
              <w:rPr>
                <w:rFonts w:ascii="Verdana" w:eastAsia="Times New Roman" w:hAnsi="Verdana"/>
                <w:color w:val="000000"/>
                <w:spacing w:val="-10"/>
                <w:sz w:val="20"/>
                <w:szCs w:val="20"/>
              </w:rPr>
              <w:t> </w:t>
            </w:r>
          </w:p>
        </w:tc>
        <w:tc>
          <w:tcPr>
            <w:tcW w:w="2330" w:type="dxa"/>
            <w:gridSpan w:val="7"/>
            <w:tcBorders>
              <w:top w:val="nil"/>
              <w:left w:val="nil"/>
              <w:bottom w:val="nil"/>
              <w:right w:val="nil"/>
            </w:tcBorders>
            <w:hideMark/>
          </w:tcPr>
          <w:p w14:paraId="7F5425AE" w14:textId="77777777" w:rsidR="00266EE8" w:rsidRDefault="00266EE8" w:rsidP="00CF36F8">
            <w:pPr>
              <w:ind w:left="485"/>
              <w:rPr>
                <w:rFonts w:ascii="Verdana" w:hAnsi="Verdana"/>
                <w:color w:val="000000"/>
                <w:spacing w:val="-10"/>
                <w:sz w:val="20"/>
                <w:szCs w:val="20"/>
              </w:rPr>
            </w:pPr>
          </w:p>
        </w:tc>
      </w:tr>
      <w:tr w:rsidR="00266EE8" w14:paraId="749D780E"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75A8891A" w14:textId="77777777" w:rsidR="00266EE8" w:rsidRDefault="00000000" w:rsidP="00CF36F8">
            <w:pPr>
              <w:pStyle w:val="paper"/>
              <w:ind w:right="-95"/>
              <w:rPr>
                <w:rFonts w:ascii="Verdana" w:hAnsi="Verdana"/>
              </w:rPr>
            </w:pPr>
            <w:r>
              <w:rPr>
                <w:rFonts w:ascii="Verdana" w:hAnsi="Verdana"/>
              </w:rPr>
              <w:t>       </w:t>
            </w:r>
            <w:r>
              <w:rPr>
                <w:rFonts w:ascii="Verdana" w:hAnsi="Verdana"/>
                <w:b/>
                <w:bCs/>
              </w:rPr>
              <w:t>Organic and Inorganic Analysis</w:t>
            </w:r>
            <w:r>
              <w:rPr>
                <w:rFonts w:ascii="Verdana" w:hAnsi="Verdana"/>
              </w:rPr>
              <w:t xml:space="preserve"> </w:t>
            </w:r>
          </w:p>
        </w:tc>
        <w:tc>
          <w:tcPr>
            <w:tcW w:w="2330" w:type="dxa"/>
            <w:gridSpan w:val="7"/>
            <w:tcBorders>
              <w:top w:val="nil"/>
              <w:left w:val="nil"/>
              <w:bottom w:val="nil"/>
              <w:right w:val="nil"/>
            </w:tcBorders>
            <w:hideMark/>
          </w:tcPr>
          <w:p w14:paraId="5DA095BE" w14:textId="77777777" w:rsidR="00266EE8" w:rsidRDefault="00266EE8" w:rsidP="00CF36F8">
            <w:pPr>
              <w:ind w:left="485"/>
              <w:rPr>
                <w:rFonts w:ascii="Verdana" w:hAnsi="Verdana"/>
              </w:rPr>
            </w:pPr>
          </w:p>
        </w:tc>
      </w:tr>
      <w:tr w:rsidR="00266EE8" w14:paraId="33A37204"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5813AFB7" w14:textId="44FF225B" w:rsidR="00266EE8" w:rsidRDefault="00000000" w:rsidP="00CF36F8">
            <w:pPr>
              <w:pStyle w:val="paper"/>
              <w:ind w:right="-95"/>
              <w:rPr>
                <w:rFonts w:ascii="Verdana" w:hAnsi="Verdana"/>
              </w:rPr>
            </w:pPr>
            <w:r>
              <w:rPr>
                <w:rFonts w:ascii="Verdana" w:hAnsi="Verdana"/>
              </w:rPr>
              <w:t>10.  SYNTHESIS AND MOLECULAR DOCKING SIMULATION OF CINNAMIC ACIDS DERIVATIVES AGAINSTS DENV2 NS2B/NS3</w:t>
            </w:r>
            <w:r>
              <w:rPr>
                <w:rFonts w:ascii="Verdana" w:hAnsi="Verdana"/>
              </w:rPr>
              <w:br/>
            </w:r>
            <w:r>
              <w:rPr>
                <w:rFonts w:ascii="Verdana" w:hAnsi="Verdana"/>
                <w:i/>
                <w:iCs/>
              </w:rPr>
              <w:t>Nadia Mohamed Yusoff, Siti Nor Khadijah Addis, Nurul Huda Abdul Wahab, Fauziah Abdullah, and Asnuzilawati Asari</w:t>
            </w:r>
            <w:r>
              <w:rPr>
                <w:rFonts w:ascii="Verdana" w:hAnsi="Verdana"/>
              </w:rPr>
              <w:br/>
            </w:r>
          </w:p>
        </w:tc>
        <w:tc>
          <w:tcPr>
            <w:tcW w:w="2330" w:type="dxa"/>
            <w:gridSpan w:val="7"/>
            <w:tcBorders>
              <w:top w:val="nil"/>
              <w:left w:val="nil"/>
              <w:bottom w:val="nil"/>
              <w:right w:val="nil"/>
            </w:tcBorders>
            <w:hideMark/>
          </w:tcPr>
          <w:p w14:paraId="0648D86D" w14:textId="77777777" w:rsidR="00266EE8" w:rsidRDefault="00000000" w:rsidP="00CF36F8">
            <w:pPr>
              <w:spacing w:before="100" w:beforeAutospacing="1" w:after="100" w:afterAutospacing="1"/>
              <w:ind w:left="485"/>
              <w:rPr>
                <w:rFonts w:ascii="Verdana" w:hAnsi="Verdana"/>
                <w:color w:val="000000"/>
                <w:spacing w:val="-10"/>
                <w:sz w:val="20"/>
                <w:szCs w:val="20"/>
              </w:rPr>
            </w:pPr>
            <w:r>
              <w:rPr>
                <w:rFonts w:ascii="Verdana" w:eastAsia="Times New Roman" w:hAnsi="Verdana"/>
                <w:color w:val="000000"/>
                <w:spacing w:val="-10"/>
                <w:sz w:val="20"/>
                <w:szCs w:val="20"/>
              </w:rPr>
              <w:t>586-602</w:t>
            </w:r>
          </w:p>
        </w:tc>
      </w:tr>
      <w:tr w:rsidR="00266EE8" w14:paraId="44F3A037"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2059C192" w14:textId="77777777" w:rsidR="00266EE8" w:rsidRDefault="00000000" w:rsidP="00C1429D">
            <w:pPr>
              <w:spacing w:before="100" w:beforeAutospacing="1" w:after="100" w:afterAutospacing="1"/>
              <w:rPr>
                <w:rFonts w:ascii="Verdana" w:hAnsi="Verdana"/>
                <w:color w:val="000000"/>
                <w:spacing w:val="-10"/>
                <w:sz w:val="20"/>
                <w:szCs w:val="20"/>
              </w:rPr>
            </w:pPr>
            <w:r>
              <w:rPr>
                <w:rFonts w:ascii="Verdana" w:eastAsia="Times New Roman" w:hAnsi="Verdana"/>
                <w:color w:val="000000"/>
                <w:spacing w:val="-10"/>
                <w:sz w:val="20"/>
                <w:szCs w:val="20"/>
              </w:rPr>
              <w:t> </w:t>
            </w:r>
          </w:p>
        </w:tc>
        <w:tc>
          <w:tcPr>
            <w:tcW w:w="2330" w:type="dxa"/>
            <w:gridSpan w:val="7"/>
            <w:tcBorders>
              <w:top w:val="nil"/>
              <w:left w:val="nil"/>
              <w:bottom w:val="nil"/>
              <w:right w:val="nil"/>
            </w:tcBorders>
            <w:hideMark/>
          </w:tcPr>
          <w:p w14:paraId="2E63C7C5" w14:textId="77777777" w:rsidR="00266EE8" w:rsidRDefault="00266EE8" w:rsidP="00CF36F8">
            <w:pPr>
              <w:ind w:left="485"/>
              <w:rPr>
                <w:rFonts w:ascii="Verdana" w:hAnsi="Verdana"/>
                <w:color w:val="000000"/>
                <w:spacing w:val="-10"/>
                <w:sz w:val="20"/>
                <w:szCs w:val="20"/>
              </w:rPr>
            </w:pPr>
          </w:p>
        </w:tc>
      </w:tr>
      <w:tr w:rsidR="00266EE8" w14:paraId="1F3E340F" w14:textId="77777777" w:rsidTr="00001AE2">
        <w:trPr>
          <w:gridAfter w:val="4"/>
          <w:divId w:val="239146410"/>
          <w:wAfter w:w="818" w:type="dxa"/>
          <w:tblCellSpacing w:w="15" w:type="dxa"/>
        </w:trPr>
        <w:tc>
          <w:tcPr>
            <w:tcW w:w="9833" w:type="dxa"/>
            <w:gridSpan w:val="3"/>
            <w:tcBorders>
              <w:top w:val="nil"/>
              <w:left w:val="nil"/>
              <w:bottom w:val="nil"/>
              <w:right w:val="nil"/>
            </w:tcBorders>
            <w:hideMark/>
          </w:tcPr>
          <w:p w14:paraId="51563B0A" w14:textId="77777777" w:rsidR="00266EE8" w:rsidRDefault="00000000" w:rsidP="00CF36F8">
            <w:pPr>
              <w:pStyle w:val="paper"/>
              <w:ind w:right="-33"/>
              <w:rPr>
                <w:rFonts w:ascii="Verdana" w:hAnsi="Verdana"/>
              </w:rPr>
            </w:pPr>
            <w:r>
              <w:rPr>
                <w:rFonts w:ascii="Verdana" w:hAnsi="Verdana"/>
              </w:rPr>
              <w:t>       </w:t>
            </w:r>
            <w:r>
              <w:rPr>
                <w:rFonts w:ascii="Verdana" w:hAnsi="Verdana"/>
                <w:b/>
                <w:bCs/>
              </w:rPr>
              <w:t>Analytical Method</w:t>
            </w:r>
            <w:r>
              <w:rPr>
                <w:rFonts w:ascii="Verdana" w:hAnsi="Verdana"/>
              </w:rPr>
              <w:t xml:space="preserve"> </w:t>
            </w:r>
          </w:p>
        </w:tc>
        <w:tc>
          <w:tcPr>
            <w:tcW w:w="2151" w:type="dxa"/>
            <w:gridSpan w:val="5"/>
            <w:tcBorders>
              <w:top w:val="nil"/>
              <w:left w:val="nil"/>
              <w:bottom w:val="nil"/>
              <w:right w:val="nil"/>
            </w:tcBorders>
            <w:hideMark/>
          </w:tcPr>
          <w:p w14:paraId="7423DF66" w14:textId="77777777" w:rsidR="00266EE8" w:rsidRDefault="00266EE8" w:rsidP="00CF36F8">
            <w:pPr>
              <w:ind w:left="485"/>
              <w:rPr>
                <w:rFonts w:ascii="Verdana" w:hAnsi="Verdana"/>
              </w:rPr>
            </w:pPr>
          </w:p>
        </w:tc>
      </w:tr>
      <w:tr w:rsidR="00266EE8" w14:paraId="67151765" w14:textId="77777777" w:rsidTr="00001AE2">
        <w:trPr>
          <w:gridAfter w:val="4"/>
          <w:divId w:val="239146410"/>
          <w:wAfter w:w="818" w:type="dxa"/>
          <w:tblCellSpacing w:w="15" w:type="dxa"/>
        </w:trPr>
        <w:tc>
          <w:tcPr>
            <w:tcW w:w="9833" w:type="dxa"/>
            <w:gridSpan w:val="3"/>
            <w:tcBorders>
              <w:top w:val="nil"/>
              <w:left w:val="nil"/>
              <w:bottom w:val="nil"/>
              <w:right w:val="nil"/>
            </w:tcBorders>
            <w:hideMark/>
          </w:tcPr>
          <w:p w14:paraId="305FDB6C" w14:textId="066BEFC4" w:rsidR="00266EE8" w:rsidRDefault="00000000" w:rsidP="00CF36F8">
            <w:pPr>
              <w:pStyle w:val="paper"/>
              <w:ind w:right="-33"/>
              <w:rPr>
                <w:rFonts w:ascii="Verdana" w:hAnsi="Verdana"/>
              </w:rPr>
            </w:pPr>
            <w:r>
              <w:rPr>
                <w:rFonts w:ascii="Verdana" w:hAnsi="Verdana"/>
              </w:rPr>
              <w:t>11.  FORMULATION AND EVALUATION OF BODY SCRUB USING PINEAPPLE WASTE AS NATURAL EXFOLIATOR</w:t>
            </w:r>
            <w:r>
              <w:rPr>
                <w:rFonts w:ascii="Verdana" w:hAnsi="Verdana"/>
              </w:rPr>
              <w:br/>
            </w:r>
            <w:r>
              <w:rPr>
                <w:rFonts w:ascii="Verdana" w:hAnsi="Verdana"/>
                <w:i/>
                <w:iCs/>
              </w:rPr>
              <w:t xml:space="preserve">Nur Aisha Ahmi, and Siti Fatimah Sabran </w:t>
            </w:r>
            <w:r>
              <w:rPr>
                <w:rFonts w:ascii="Verdana" w:hAnsi="Verdana"/>
              </w:rPr>
              <w:br/>
            </w:r>
          </w:p>
        </w:tc>
        <w:tc>
          <w:tcPr>
            <w:tcW w:w="2151" w:type="dxa"/>
            <w:gridSpan w:val="5"/>
            <w:tcBorders>
              <w:top w:val="nil"/>
              <w:left w:val="nil"/>
              <w:bottom w:val="nil"/>
              <w:right w:val="nil"/>
            </w:tcBorders>
            <w:hideMark/>
          </w:tcPr>
          <w:p w14:paraId="68718C02" w14:textId="77777777" w:rsidR="00266EE8" w:rsidRDefault="00000000" w:rsidP="00CF36F8">
            <w:pPr>
              <w:spacing w:before="100" w:beforeAutospacing="1" w:after="100" w:afterAutospacing="1"/>
              <w:ind w:left="358"/>
              <w:rPr>
                <w:rFonts w:ascii="Verdana" w:hAnsi="Verdana"/>
                <w:color w:val="000000"/>
                <w:spacing w:val="-10"/>
                <w:sz w:val="20"/>
                <w:szCs w:val="20"/>
              </w:rPr>
            </w:pPr>
            <w:r>
              <w:rPr>
                <w:rFonts w:ascii="Verdana" w:eastAsia="Times New Roman" w:hAnsi="Verdana"/>
                <w:color w:val="000000"/>
                <w:spacing w:val="-10"/>
                <w:sz w:val="20"/>
                <w:szCs w:val="20"/>
              </w:rPr>
              <w:t>603-610</w:t>
            </w:r>
          </w:p>
        </w:tc>
      </w:tr>
      <w:tr w:rsidR="00266EE8" w14:paraId="41F9A8CD"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2F2F6265" w14:textId="77777777" w:rsidR="00266EE8" w:rsidRDefault="00000000" w:rsidP="00C1429D">
            <w:pPr>
              <w:spacing w:before="100" w:beforeAutospacing="1" w:after="100" w:afterAutospacing="1"/>
              <w:rPr>
                <w:rFonts w:ascii="Verdana" w:hAnsi="Verdana"/>
                <w:color w:val="000000"/>
                <w:spacing w:val="-10"/>
                <w:sz w:val="20"/>
                <w:szCs w:val="20"/>
              </w:rPr>
            </w:pPr>
            <w:r>
              <w:rPr>
                <w:rFonts w:ascii="Verdana" w:eastAsia="Times New Roman" w:hAnsi="Verdana"/>
                <w:color w:val="000000"/>
                <w:spacing w:val="-10"/>
                <w:sz w:val="20"/>
                <w:szCs w:val="20"/>
              </w:rPr>
              <w:t> </w:t>
            </w:r>
          </w:p>
        </w:tc>
        <w:tc>
          <w:tcPr>
            <w:tcW w:w="2330" w:type="dxa"/>
            <w:gridSpan w:val="7"/>
            <w:tcBorders>
              <w:top w:val="nil"/>
              <w:left w:val="nil"/>
              <w:bottom w:val="nil"/>
              <w:right w:val="nil"/>
            </w:tcBorders>
            <w:hideMark/>
          </w:tcPr>
          <w:p w14:paraId="47DE9B53" w14:textId="77777777" w:rsidR="00266EE8" w:rsidRDefault="00266EE8" w:rsidP="00CF36F8">
            <w:pPr>
              <w:ind w:left="485"/>
              <w:rPr>
                <w:rFonts w:ascii="Verdana" w:hAnsi="Verdana"/>
                <w:color w:val="000000"/>
                <w:spacing w:val="-10"/>
                <w:sz w:val="20"/>
                <w:szCs w:val="20"/>
              </w:rPr>
            </w:pPr>
          </w:p>
        </w:tc>
      </w:tr>
      <w:tr w:rsidR="00266EE8" w14:paraId="58D3C358"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21CD9EA9" w14:textId="77777777" w:rsidR="00266EE8" w:rsidRDefault="00000000" w:rsidP="00CF36F8">
            <w:pPr>
              <w:pStyle w:val="paper"/>
              <w:ind w:right="-95"/>
              <w:rPr>
                <w:rFonts w:ascii="Verdana" w:hAnsi="Verdana"/>
              </w:rPr>
            </w:pPr>
            <w:r>
              <w:rPr>
                <w:rFonts w:ascii="Verdana" w:hAnsi="Verdana"/>
              </w:rPr>
              <w:t>       </w:t>
            </w:r>
            <w:r>
              <w:rPr>
                <w:rFonts w:ascii="Verdana" w:hAnsi="Verdana"/>
                <w:b/>
                <w:bCs/>
              </w:rPr>
              <w:t>Analytical Method</w:t>
            </w:r>
            <w:r>
              <w:rPr>
                <w:rFonts w:ascii="Verdana" w:hAnsi="Verdana"/>
              </w:rPr>
              <w:t xml:space="preserve"> </w:t>
            </w:r>
          </w:p>
        </w:tc>
        <w:tc>
          <w:tcPr>
            <w:tcW w:w="2330" w:type="dxa"/>
            <w:gridSpan w:val="7"/>
            <w:tcBorders>
              <w:top w:val="nil"/>
              <w:left w:val="nil"/>
              <w:bottom w:val="nil"/>
              <w:right w:val="nil"/>
            </w:tcBorders>
            <w:hideMark/>
          </w:tcPr>
          <w:p w14:paraId="684C793B" w14:textId="77777777" w:rsidR="00266EE8" w:rsidRDefault="00266EE8" w:rsidP="00CF36F8">
            <w:pPr>
              <w:ind w:left="485"/>
              <w:rPr>
                <w:rFonts w:ascii="Verdana" w:hAnsi="Verdana"/>
              </w:rPr>
            </w:pPr>
          </w:p>
        </w:tc>
      </w:tr>
      <w:tr w:rsidR="00266EE8" w14:paraId="3F91B9A4"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4EF9EAEC" w14:textId="2DC4189F" w:rsidR="00266EE8" w:rsidRDefault="00000000" w:rsidP="00CF36F8">
            <w:pPr>
              <w:pStyle w:val="paper"/>
              <w:ind w:right="-95"/>
              <w:rPr>
                <w:rFonts w:ascii="Verdana" w:hAnsi="Verdana"/>
              </w:rPr>
            </w:pPr>
            <w:r>
              <w:rPr>
                <w:rFonts w:ascii="Verdana" w:hAnsi="Verdana"/>
              </w:rPr>
              <w:t>12.  A REVIEW ON CONVERSION OF MICROPLASTICS INTO VALUE-ADDED PRODUCTS: CHALLENGES AND PERSPECTIVES</w:t>
            </w:r>
            <w:r>
              <w:rPr>
                <w:rFonts w:ascii="Verdana" w:hAnsi="Verdana"/>
              </w:rPr>
              <w:br/>
            </w:r>
            <w:r>
              <w:rPr>
                <w:rFonts w:ascii="Verdana" w:hAnsi="Verdana"/>
                <w:i/>
                <w:iCs/>
              </w:rPr>
              <w:t>Nurul Mohd Ridzuan Afifah, Jennifer Janani Sathiaseelan, Seng Hon Kee, Tan Suet May Amelia, Wei Yien Lua, Nazli Aziz, Wan Mohd Afiq Wan Mohd Khalik, Sevakumaran Vigneswari, and Kesaven Bhubalan</w:t>
            </w:r>
            <w:r>
              <w:rPr>
                <w:rFonts w:ascii="Verdana" w:hAnsi="Verdana"/>
              </w:rPr>
              <w:br/>
            </w:r>
          </w:p>
        </w:tc>
        <w:tc>
          <w:tcPr>
            <w:tcW w:w="2330" w:type="dxa"/>
            <w:gridSpan w:val="7"/>
            <w:tcBorders>
              <w:top w:val="nil"/>
              <w:left w:val="nil"/>
              <w:bottom w:val="nil"/>
              <w:right w:val="nil"/>
            </w:tcBorders>
            <w:hideMark/>
          </w:tcPr>
          <w:p w14:paraId="64B64569" w14:textId="77777777" w:rsidR="00266EE8" w:rsidRDefault="00000000" w:rsidP="00CF36F8">
            <w:pPr>
              <w:spacing w:before="100" w:beforeAutospacing="1" w:after="100" w:afterAutospacing="1"/>
              <w:ind w:left="330"/>
              <w:rPr>
                <w:rFonts w:ascii="Verdana" w:hAnsi="Verdana"/>
                <w:color w:val="000000"/>
                <w:spacing w:val="-10"/>
                <w:sz w:val="20"/>
                <w:szCs w:val="20"/>
              </w:rPr>
            </w:pPr>
            <w:r>
              <w:rPr>
                <w:rFonts w:ascii="Verdana" w:eastAsia="Times New Roman" w:hAnsi="Verdana"/>
                <w:color w:val="000000"/>
                <w:spacing w:val="-10"/>
                <w:sz w:val="20"/>
                <w:szCs w:val="20"/>
              </w:rPr>
              <w:t>611-631</w:t>
            </w:r>
          </w:p>
        </w:tc>
      </w:tr>
      <w:tr w:rsidR="00266EE8" w14:paraId="05686104"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548BA304" w14:textId="77777777" w:rsidR="00266EE8" w:rsidRDefault="00000000" w:rsidP="00C1429D">
            <w:pPr>
              <w:spacing w:before="100" w:beforeAutospacing="1" w:after="100" w:afterAutospacing="1"/>
              <w:rPr>
                <w:rFonts w:ascii="Verdana" w:hAnsi="Verdana"/>
                <w:color w:val="000000"/>
                <w:spacing w:val="-10"/>
                <w:sz w:val="20"/>
                <w:szCs w:val="20"/>
              </w:rPr>
            </w:pPr>
            <w:r>
              <w:rPr>
                <w:rFonts w:ascii="Verdana" w:eastAsia="Times New Roman" w:hAnsi="Verdana"/>
                <w:color w:val="000000"/>
                <w:spacing w:val="-10"/>
                <w:sz w:val="20"/>
                <w:szCs w:val="20"/>
              </w:rPr>
              <w:t> </w:t>
            </w:r>
          </w:p>
        </w:tc>
        <w:tc>
          <w:tcPr>
            <w:tcW w:w="2330" w:type="dxa"/>
            <w:gridSpan w:val="7"/>
            <w:tcBorders>
              <w:top w:val="nil"/>
              <w:left w:val="nil"/>
              <w:bottom w:val="nil"/>
              <w:right w:val="nil"/>
            </w:tcBorders>
            <w:hideMark/>
          </w:tcPr>
          <w:p w14:paraId="0BF9B383" w14:textId="77777777" w:rsidR="00266EE8" w:rsidRDefault="00266EE8" w:rsidP="00CF36F8">
            <w:pPr>
              <w:ind w:left="485"/>
              <w:rPr>
                <w:rFonts w:ascii="Verdana" w:hAnsi="Verdana"/>
                <w:color w:val="000000"/>
                <w:spacing w:val="-10"/>
                <w:sz w:val="20"/>
                <w:szCs w:val="20"/>
              </w:rPr>
            </w:pPr>
          </w:p>
        </w:tc>
      </w:tr>
      <w:tr w:rsidR="00266EE8" w14:paraId="00D3FD52"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105E8151" w14:textId="77777777" w:rsidR="00266EE8" w:rsidRDefault="00000000" w:rsidP="00CF36F8">
            <w:pPr>
              <w:pStyle w:val="paper"/>
              <w:ind w:right="-95"/>
              <w:rPr>
                <w:rFonts w:ascii="Verdana" w:hAnsi="Verdana"/>
              </w:rPr>
            </w:pPr>
            <w:r>
              <w:rPr>
                <w:rFonts w:ascii="Verdana" w:hAnsi="Verdana"/>
              </w:rPr>
              <w:t>       </w:t>
            </w:r>
            <w:r>
              <w:rPr>
                <w:rFonts w:ascii="Verdana" w:hAnsi="Verdana"/>
                <w:b/>
                <w:bCs/>
              </w:rPr>
              <w:t>Analytical Method</w:t>
            </w:r>
            <w:r>
              <w:rPr>
                <w:rFonts w:ascii="Verdana" w:hAnsi="Verdana"/>
              </w:rPr>
              <w:t xml:space="preserve"> </w:t>
            </w:r>
          </w:p>
        </w:tc>
        <w:tc>
          <w:tcPr>
            <w:tcW w:w="2330" w:type="dxa"/>
            <w:gridSpan w:val="7"/>
            <w:tcBorders>
              <w:top w:val="nil"/>
              <w:left w:val="nil"/>
              <w:bottom w:val="nil"/>
              <w:right w:val="nil"/>
            </w:tcBorders>
            <w:hideMark/>
          </w:tcPr>
          <w:p w14:paraId="1493B002" w14:textId="77777777" w:rsidR="00266EE8" w:rsidRDefault="00266EE8" w:rsidP="00CF36F8">
            <w:pPr>
              <w:ind w:left="485"/>
              <w:rPr>
                <w:rFonts w:ascii="Verdana" w:hAnsi="Verdana"/>
              </w:rPr>
            </w:pPr>
          </w:p>
        </w:tc>
      </w:tr>
      <w:tr w:rsidR="00266EE8" w14:paraId="1A006B91"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5FA9D5EE" w14:textId="60561158" w:rsidR="00266EE8" w:rsidRDefault="00000000" w:rsidP="00CF36F8">
            <w:pPr>
              <w:pStyle w:val="paper"/>
              <w:ind w:right="-95"/>
              <w:rPr>
                <w:rFonts w:ascii="Verdana" w:hAnsi="Verdana"/>
              </w:rPr>
            </w:pPr>
            <w:r>
              <w:rPr>
                <w:rFonts w:ascii="Verdana" w:hAnsi="Verdana"/>
              </w:rPr>
              <w:t xml:space="preserve">13.  INNOVATOVE ECO-FRIENDLY WOOD ADHESIVE FORMULATIONS:EXPLORING THE EFFICACY OF GELATINIZED CASSAVA STARCH AND POLYVINYL ALCOHOL CROSSLINKED WITH CITRIC ACID </w:t>
            </w:r>
            <w:r>
              <w:rPr>
                <w:rFonts w:ascii="Verdana" w:hAnsi="Verdana"/>
              </w:rPr>
              <w:br/>
            </w:r>
            <w:r>
              <w:rPr>
                <w:rFonts w:ascii="Verdana" w:hAnsi="Verdana"/>
                <w:i/>
                <w:iCs/>
              </w:rPr>
              <w:t>Bima Prasetya Pancasakti, Danang Tri Hartanto, Vincent Sinarta, Masyta Dinda Riani, and Budhijanto</w:t>
            </w:r>
            <w:r>
              <w:rPr>
                <w:rFonts w:ascii="Verdana" w:hAnsi="Verdana"/>
              </w:rPr>
              <w:br/>
            </w:r>
          </w:p>
        </w:tc>
        <w:tc>
          <w:tcPr>
            <w:tcW w:w="2330" w:type="dxa"/>
            <w:gridSpan w:val="7"/>
            <w:tcBorders>
              <w:top w:val="nil"/>
              <w:left w:val="nil"/>
              <w:bottom w:val="nil"/>
              <w:right w:val="nil"/>
            </w:tcBorders>
            <w:hideMark/>
          </w:tcPr>
          <w:p w14:paraId="1180EC93" w14:textId="00354176" w:rsidR="00266EE8" w:rsidRDefault="00252824" w:rsidP="00252824">
            <w:pPr>
              <w:spacing w:before="100" w:beforeAutospacing="1" w:after="100" w:afterAutospacing="1"/>
              <w:ind w:left="330" w:right="513"/>
              <w:rPr>
                <w:rFonts w:ascii="Verdana" w:hAnsi="Verdana"/>
                <w:color w:val="000000"/>
                <w:spacing w:val="-10"/>
                <w:sz w:val="20"/>
                <w:szCs w:val="20"/>
              </w:rPr>
            </w:pPr>
            <w:r>
              <w:rPr>
                <w:rFonts w:ascii="Verdana" w:eastAsia="Times New Roman" w:hAnsi="Verdana"/>
                <w:color w:val="000000"/>
                <w:spacing w:val="-10"/>
                <w:sz w:val="20"/>
                <w:szCs w:val="20"/>
              </w:rPr>
              <w:t>632-644</w:t>
            </w:r>
          </w:p>
        </w:tc>
      </w:tr>
      <w:tr w:rsidR="00266EE8" w14:paraId="4A7F0760"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1D2B5AF1" w14:textId="77777777" w:rsidR="00266EE8" w:rsidRDefault="00000000" w:rsidP="00C1429D">
            <w:pPr>
              <w:spacing w:before="100" w:beforeAutospacing="1" w:after="100" w:afterAutospacing="1"/>
              <w:rPr>
                <w:rFonts w:ascii="Verdana" w:hAnsi="Verdana"/>
                <w:color w:val="000000"/>
                <w:spacing w:val="-10"/>
                <w:sz w:val="20"/>
                <w:szCs w:val="20"/>
              </w:rPr>
            </w:pPr>
            <w:r>
              <w:rPr>
                <w:rFonts w:ascii="Verdana" w:eastAsia="Times New Roman" w:hAnsi="Verdana"/>
                <w:color w:val="000000"/>
                <w:spacing w:val="-10"/>
                <w:sz w:val="20"/>
                <w:szCs w:val="20"/>
              </w:rPr>
              <w:t> </w:t>
            </w:r>
          </w:p>
        </w:tc>
        <w:tc>
          <w:tcPr>
            <w:tcW w:w="2330" w:type="dxa"/>
            <w:gridSpan w:val="7"/>
            <w:tcBorders>
              <w:top w:val="nil"/>
              <w:left w:val="nil"/>
              <w:bottom w:val="nil"/>
              <w:right w:val="nil"/>
            </w:tcBorders>
            <w:hideMark/>
          </w:tcPr>
          <w:p w14:paraId="234C8B0C" w14:textId="77777777" w:rsidR="00266EE8" w:rsidRDefault="00266EE8" w:rsidP="00C1429D">
            <w:pPr>
              <w:rPr>
                <w:rFonts w:ascii="Verdana" w:hAnsi="Verdana"/>
                <w:color w:val="000000"/>
                <w:spacing w:val="-10"/>
                <w:sz w:val="20"/>
                <w:szCs w:val="20"/>
              </w:rPr>
            </w:pPr>
          </w:p>
        </w:tc>
      </w:tr>
      <w:tr w:rsidR="00266EE8" w14:paraId="0C1D1CE6"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064ADAAD" w14:textId="77777777" w:rsidR="00266EE8" w:rsidRDefault="00000000" w:rsidP="002C3013">
            <w:pPr>
              <w:pStyle w:val="paper"/>
              <w:ind w:right="0"/>
              <w:rPr>
                <w:rFonts w:ascii="Verdana" w:hAnsi="Verdana"/>
              </w:rPr>
            </w:pPr>
            <w:r>
              <w:rPr>
                <w:rFonts w:ascii="Verdana" w:hAnsi="Verdana"/>
              </w:rPr>
              <w:t>       </w:t>
            </w:r>
            <w:r>
              <w:rPr>
                <w:rFonts w:ascii="Verdana" w:hAnsi="Verdana"/>
                <w:b/>
                <w:bCs/>
              </w:rPr>
              <w:t>Analytical Method</w:t>
            </w:r>
            <w:r>
              <w:rPr>
                <w:rFonts w:ascii="Verdana" w:hAnsi="Verdana"/>
              </w:rPr>
              <w:t xml:space="preserve"> </w:t>
            </w:r>
          </w:p>
        </w:tc>
        <w:tc>
          <w:tcPr>
            <w:tcW w:w="2330" w:type="dxa"/>
            <w:gridSpan w:val="7"/>
            <w:tcBorders>
              <w:top w:val="nil"/>
              <w:left w:val="nil"/>
              <w:bottom w:val="nil"/>
              <w:right w:val="nil"/>
            </w:tcBorders>
            <w:hideMark/>
          </w:tcPr>
          <w:p w14:paraId="00B3C870" w14:textId="77777777" w:rsidR="00266EE8" w:rsidRDefault="00266EE8" w:rsidP="00C1429D">
            <w:pPr>
              <w:rPr>
                <w:rFonts w:ascii="Verdana" w:hAnsi="Verdana"/>
              </w:rPr>
            </w:pPr>
          </w:p>
        </w:tc>
      </w:tr>
      <w:tr w:rsidR="00266EE8" w14:paraId="5F6C98DD"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53EA5D79" w14:textId="0175FC24" w:rsidR="00266EE8" w:rsidRDefault="00000000" w:rsidP="002C3013">
            <w:pPr>
              <w:pStyle w:val="paper"/>
              <w:ind w:right="0"/>
              <w:rPr>
                <w:rFonts w:ascii="Verdana" w:hAnsi="Verdana"/>
              </w:rPr>
            </w:pPr>
            <w:r>
              <w:rPr>
                <w:rFonts w:ascii="Verdana" w:hAnsi="Verdana"/>
              </w:rPr>
              <w:t>14.  EXPLORING DEEP EUTECTIC SOLVENTS AS A POTENTIAL SOLVENT FOR THE EXTRACTION OF FOOD ADDITIVE ALLURA RED IN FOOD TECHNOLOGY APPLICATION</w:t>
            </w:r>
            <w:r>
              <w:rPr>
                <w:rFonts w:ascii="Verdana" w:hAnsi="Verdana"/>
              </w:rPr>
              <w:br/>
            </w:r>
            <w:r>
              <w:rPr>
                <w:rFonts w:ascii="Verdana" w:hAnsi="Verdana"/>
                <w:i/>
                <w:iCs/>
              </w:rPr>
              <w:t>Thanussha Elangovan, Nor Munira Hashim, Nurina Izzah Mohd Husani, Noorfatimah Yahaya, Farhanini Yusoff, and Nur Nadhirah Mohamad Zain</w:t>
            </w:r>
            <w:r>
              <w:rPr>
                <w:rFonts w:ascii="Verdana" w:hAnsi="Verdana"/>
              </w:rPr>
              <w:br/>
            </w:r>
          </w:p>
        </w:tc>
        <w:tc>
          <w:tcPr>
            <w:tcW w:w="2330" w:type="dxa"/>
            <w:gridSpan w:val="7"/>
            <w:tcBorders>
              <w:top w:val="nil"/>
              <w:left w:val="nil"/>
              <w:bottom w:val="nil"/>
              <w:right w:val="nil"/>
            </w:tcBorders>
            <w:hideMark/>
          </w:tcPr>
          <w:p w14:paraId="6110DFF5" w14:textId="77777777" w:rsidR="00266EE8" w:rsidRDefault="00000000" w:rsidP="002C3013">
            <w:pPr>
              <w:spacing w:before="100" w:beforeAutospacing="1" w:after="100" w:afterAutospacing="1"/>
              <w:ind w:left="330"/>
              <w:rPr>
                <w:rFonts w:ascii="Verdana" w:hAnsi="Verdana"/>
                <w:color w:val="000000"/>
                <w:spacing w:val="-10"/>
                <w:sz w:val="20"/>
                <w:szCs w:val="20"/>
              </w:rPr>
            </w:pPr>
            <w:r>
              <w:rPr>
                <w:rFonts w:ascii="Verdana" w:eastAsia="Times New Roman" w:hAnsi="Verdana"/>
                <w:color w:val="000000"/>
                <w:spacing w:val="-10"/>
                <w:sz w:val="20"/>
                <w:szCs w:val="20"/>
              </w:rPr>
              <w:t>645-663</w:t>
            </w:r>
          </w:p>
        </w:tc>
      </w:tr>
      <w:tr w:rsidR="00266EE8" w14:paraId="5ECDDC67"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64312E79" w14:textId="77777777" w:rsidR="00266EE8" w:rsidRDefault="00000000" w:rsidP="002C3013">
            <w:pPr>
              <w:spacing w:before="100" w:beforeAutospacing="1" w:after="100" w:afterAutospacing="1"/>
              <w:rPr>
                <w:rFonts w:ascii="Verdana" w:hAnsi="Verdana"/>
                <w:color w:val="000000"/>
                <w:spacing w:val="-10"/>
                <w:sz w:val="20"/>
                <w:szCs w:val="20"/>
              </w:rPr>
            </w:pPr>
            <w:r>
              <w:rPr>
                <w:rFonts w:ascii="Verdana" w:eastAsia="Times New Roman" w:hAnsi="Verdana"/>
                <w:color w:val="000000"/>
                <w:spacing w:val="-10"/>
                <w:sz w:val="20"/>
                <w:szCs w:val="20"/>
              </w:rPr>
              <w:t> </w:t>
            </w:r>
          </w:p>
        </w:tc>
        <w:tc>
          <w:tcPr>
            <w:tcW w:w="2330" w:type="dxa"/>
            <w:gridSpan w:val="7"/>
            <w:tcBorders>
              <w:top w:val="nil"/>
              <w:left w:val="nil"/>
              <w:bottom w:val="nil"/>
              <w:right w:val="nil"/>
            </w:tcBorders>
            <w:hideMark/>
          </w:tcPr>
          <w:p w14:paraId="4DD0D024" w14:textId="77777777" w:rsidR="00266EE8" w:rsidRDefault="00266EE8" w:rsidP="002C3013">
            <w:pPr>
              <w:ind w:left="330"/>
              <w:rPr>
                <w:rFonts w:ascii="Verdana" w:hAnsi="Verdana"/>
                <w:color w:val="000000"/>
                <w:spacing w:val="-10"/>
                <w:sz w:val="20"/>
                <w:szCs w:val="20"/>
              </w:rPr>
            </w:pPr>
          </w:p>
        </w:tc>
      </w:tr>
      <w:tr w:rsidR="00266EE8" w14:paraId="5B3342B0"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1A8D47C4" w14:textId="77777777" w:rsidR="00266EE8" w:rsidRDefault="00000000" w:rsidP="002C3013">
            <w:pPr>
              <w:pStyle w:val="paper"/>
              <w:ind w:right="0"/>
              <w:rPr>
                <w:rFonts w:ascii="Verdana" w:hAnsi="Verdana"/>
              </w:rPr>
            </w:pPr>
            <w:r>
              <w:rPr>
                <w:rFonts w:ascii="Verdana" w:hAnsi="Verdana"/>
              </w:rPr>
              <w:t>       </w:t>
            </w:r>
            <w:r>
              <w:rPr>
                <w:rFonts w:ascii="Verdana" w:hAnsi="Verdana"/>
                <w:b/>
                <w:bCs/>
              </w:rPr>
              <w:t>Analytical Method</w:t>
            </w:r>
            <w:r>
              <w:rPr>
                <w:rFonts w:ascii="Verdana" w:hAnsi="Verdana"/>
              </w:rPr>
              <w:t xml:space="preserve"> </w:t>
            </w:r>
          </w:p>
        </w:tc>
        <w:tc>
          <w:tcPr>
            <w:tcW w:w="2330" w:type="dxa"/>
            <w:gridSpan w:val="7"/>
            <w:tcBorders>
              <w:top w:val="nil"/>
              <w:left w:val="nil"/>
              <w:bottom w:val="nil"/>
              <w:right w:val="nil"/>
            </w:tcBorders>
            <w:hideMark/>
          </w:tcPr>
          <w:p w14:paraId="3906F6B5" w14:textId="77777777" w:rsidR="00266EE8" w:rsidRDefault="00266EE8" w:rsidP="002C3013">
            <w:pPr>
              <w:ind w:left="330"/>
              <w:rPr>
                <w:rFonts w:ascii="Verdana" w:hAnsi="Verdana"/>
              </w:rPr>
            </w:pPr>
          </w:p>
        </w:tc>
      </w:tr>
      <w:tr w:rsidR="00266EE8" w14:paraId="74B948FF"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6293E31C" w14:textId="77777777" w:rsidR="00697BA9" w:rsidRDefault="00000000" w:rsidP="002C3013">
            <w:pPr>
              <w:pStyle w:val="paper"/>
              <w:ind w:right="0"/>
              <w:rPr>
                <w:rFonts w:ascii="Verdana" w:hAnsi="Verdana"/>
                <w:i/>
                <w:iCs/>
              </w:rPr>
            </w:pPr>
            <w:r>
              <w:rPr>
                <w:rFonts w:ascii="Verdana" w:hAnsi="Verdana"/>
              </w:rPr>
              <w:t>15.   AUTHENTICATION OF CLOVE LEAF OIL IN PRODUCTS (</w:t>
            </w:r>
            <w:r>
              <w:rPr>
                <w:rFonts w:ascii="Verdana" w:hAnsi="Verdana"/>
                <w:i/>
                <w:iCs/>
              </w:rPr>
              <w:t>Syzygium aromaticum</w:t>
            </w:r>
            <w:r>
              <w:rPr>
                <w:rFonts w:ascii="Verdana" w:hAnsi="Verdana"/>
              </w:rPr>
              <w:t xml:space="preserve"> (L.) Merr. &amp; L. M. Perry) USING GC-MS AND FTIR METHODS COMBINED WITH CHEMOMETRIC</w:t>
            </w:r>
            <w:r>
              <w:rPr>
                <w:rFonts w:ascii="Verdana" w:hAnsi="Verdana"/>
              </w:rPr>
              <w:br/>
            </w:r>
            <w:r>
              <w:rPr>
                <w:rFonts w:ascii="Verdana" w:hAnsi="Verdana"/>
                <w:i/>
                <w:iCs/>
              </w:rPr>
              <w:t>Any Guntarti, Laela Hayu Nurani, Putri Lestari, Citra Ariani Edityaningrum, Lalu Muhammad Irham, and Abdul Rohman</w:t>
            </w:r>
          </w:p>
          <w:p w14:paraId="589237F9" w14:textId="16E82303" w:rsidR="00266EE8" w:rsidRDefault="00000000" w:rsidP="002C3013">
            <w:pPr>
              <w:pStyle w:val="paper"/>
              <w:ind w:right="0"/>
              <w:rPr>
                <w:rFonts w:ascii="Verdana" w:hAnsi="Verdana"/>
              </w:rPr>
            </w:pPr>
            <w:r>
              <w:rPr>
                <w:rFonts w:ascii="Verdana" w:hAnsi="Verdana"/>
              </w:rPr>
              <w:br/>
            </w:r>
          </w:p>
        </w:tc>
        <w:tc>
          <w:tcPr>
            <w:tcW w:w="2330" w:type="dxa"/>
            <w:gridSpan w:val="7"/>
            <w:tcBorders>
              <w:top w:val="nil"/>
              <w:left w:val="nil"/>
              <w:bottom w:val="nil"/>
              <w:right w:val="nil"/>
            </w:tcBorders>
            <w:hideMark/>
          </w:tcPr>
          <w:p w14:paraId="7C7A23B8" w14:textId="77777777" w:rsidR="00266EE8" w:rsidRDefault="00000000" w:rsidP="002C3013">
            <w:pPr>
              <w:spacing w:before="100" w:beforeAutospacing="1" w:after="100" w:afterAutospacing="1"/>
              <w:ind w:left="330"/>
              <w:rPr>
                <w:rFonts w:ascii="Verdana" w:hAnsi="Verdana"/>
                <w:color w:val="000000"/>
                <w:spacing w:val="-10"/>
                <w:sz w:val="20"/>
                <w:szCs w:val="20"/>
              </w:rPr>
            </w:pPr>
            <w:r>
              <w:rPr>
                <w:rFonts w:ascii="Verdana" w:eastAsia="Times New Roman" w:hAnsi="Verdana"/>
                <w:color w:val="000000"/>
                <w:spacing w:val="-10"/>
                <w:sz w:val="20"/>
                <w:szCs w:val="20"/>
              </w:rPr>
              <w:t>664-680</w:t>
            </w:r>
          </w:p>
        </w:tc>
      </w:tr>
      <w:tr w:rsidR="00266EE8" w14:paraId="78A69809"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74ABA06C" w14:textId="77777777" w:rsidR="00266EE8" w:rsidRDefault="00000000" w:rsidP="002C3013">
            <w:pPr>
              <w:pStyle w:val="paper"/>
              <w:ind w:right="0"/>
              <w:rPr>
                <w:rFonts w:ascii="Verdana" w:hAnsi="Verdana"/>
              </w:rPr>
            </w:pPr>
            <w:r>
              <w:rPr>
                <w:rFonts w:ascii="Verdana" w:hAnsi="Verdana"/>
              </w:rPr>
              <w:t>        </w:t>
            </w:r>
            <w:r>
              <w:rPr>
                <w:rFonts w:ascii="Verdana" w:hAnsi="Verdana"/>
                <w:b/>
                <w:bCs/>
              </w:rPr>
              <w:t>Organic and Inorganic Analysis</w:t>
            </w:r>
            <w:r>
              <w:rPr>
                <w:rFonts w:ascii="Verdana" w:hAnsi="Verdana"/>
              </w:rPr>
              <w:t xml:space="preserve"> </w:t>
            </w:r>
          </w:p>
        </w:tc>
        <w:tc>
          <w:tcPr>
            <w:tcW w:w="2330" w:type="dxa"/>
            <w:gridSpan w:val="7"/>
            <w:tcBorders>
              <w:top w:val="nil"/>
              <w:left w:val="nil"/>
              <w:bottom w:val="nil"/>
              <w:right w:val="nil"/>
            </w:tcBorders>
            <w:hideMark/>
          </w:tcPr>
          <w:p w14:paraId="7736494A" w14:textId="77777777" w:rsidR="00266EE8" w:rsidRDefault="00266EE8" w:rsidP="002C3013">
            <w:pPr>
              <w:ind w:left="330"/>
              <w:rPr>
                <w:rFonts w:ascii="Verdana" w:hAnsi="Verdana"/>
              </w:rPr>
            </w:pPr>
          </w:p>
        </w:tc>
      </w:tr>
      <w:tr w:rsidR="00266EE8" w14:paraId="45B1D6D7"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2A2390B9" w14:textId="02B5492C" w:rsidR="00266EE8" w:rsidRDefault="00000000" w:rsidP="002C3013">
            <w:pPr>
              <w:pStyle w:val="paper"/>
              <w:ind w:right="0"/>
              <w:rPr>
                <w:rFonts w:ascii="Verdana" w:hAnsi="Verdana"/>
              </w:rPr>
            </w:pPr>
            <w:r>
              <w:rPr>
                <w:rFonts w:ascii="Verdana" w:hAnsi="Verdana"/>
              </w:rPr>
              <w:t xml:space="preserve">16.   SYNTHESIS OF TIN DOPED ZINC OXIDE (TZO) NANOWIRES: EFFECT ON DYE ADSORPTION </w:t>
            </w:r>
            <w:r>
              <w:rPr>
                <w:rFonts w:ascii="Verdana" w:hAnsi="Verdana"/>
              </w:rPr>
              <w:br/>
            </w:r>
            <w:r>
              <w:rPr>
                <w:rFonts w:ascii="Verdana" w:hAnsi="Verdana"/>
                <w:i/>
                <w:iCs/>
              </w:rPr>
              <w:t xml:space="preserve">Nur Fairuz Rostan, Mohd Firdaus Malek, Maryam Mohammad, Nurul Zulaikha Mohd Zambri, Nurfatini Atiqrah Khairul Azhar, Zahidah Othman, Kevin Alvin Eswar, Irmaizatussyehdany Buniyamin, Noor Asnida Asli, Mohd Yusri Abdul Rahman, Mohamad Hafiz Mamat and Mohamad Rusop Mahmood </w:t>
            </w:r>
            <w:r>
              <w:rPr>
                <w:rFonts w:ascii="Verdana" w:hAnsi="Verdana"/>
              </w:rPr>
              <w:br/>
            </w:r>
          </w:p>
        </w:tc>
        <w:tc>
          <w:tcPr>
            <w:tcW w:w="2330" w:type="dxa"/>
            <w:gridSpan w:val="7"/>
            <w:tcBorders>
              <w:top w:val="nil"/>
              <w:left w:val="nil"/>
              <w:bottom w:val="nil"/>
              <w:right w:val="nil"/>
            </w:tcBorders>
            <w:hideMark/>
          </w:tcPr>
          <w:p w14:paraId="3173E200" w14:textId="77777777" w:rsidR="00266EE8" w:rsidRDefault="00000000" w:rsidP="002C3013">
            <w:pPr>
              <w:spacing w:before="100" w:beforeAutospacing="1" w:after="100" w:afterAutospacing="1"/>
              <w:ind w:left="330"/>
              <w:rPr>
                <w:rFonts w:ascii="Verdana" w:hAnsi="Verdana"/>
                <w:color w:val="000000"/>
                <w:spacing w:val="-10"/>
                <w:sz w:val="20"/>
                <w:szCs w:val="20"/>
              </w:rPr>
            </w:pPr>
            <w:r>
              <w:rPr>
                <w:rFonts w:ascii="Verdana" w:eastAsia="Times New Roman" w:hAnsi="Verdana"/>
                <w:color w:val="000000"/>
                <w:spacing w:val="-10"/>
                <w:sz w:val="20"/>
                <w:szCs w:val="20"/>
              </w:rPr>
              <w:t>681-693</w:t>
            </w:r>
          </w:p>
        </w:tc>
      </w:tr>
      <w:tr w:rsidR="00266EE8" w14:paraId="4AFEB854"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1DEAB43F" w14:textId="77777777" w:rsidR="00266EE8" w:rsidRDefault="00000000" w:rsidP="002C3013">
            <w:pPr>
              <w:spacing w:before="100" w:beforeAutospacing="1" w:after="100" w:afterAutospacing="1"/>
              <w:rPr>
                <w:rFonts w:ascii="Verdana" w:eastAsia="Times New Roman" w:hAnsi="Verdana"/>
                <w:color w:val="000000"/>
                <w:spacing w:val="-10"/>
                <w:sz w:val="20"/>
                <w:szCs w:val="20"/>
              </w:rPr>
            </w:pPr>
            <w:r>
              <w:rPr>
                <w:rFonts w:ascii="Verdana" w:eastAsia="Times New Roman" w:hAnsi="Verdana"/>
                <w:color w:val="000000"/>
                <w:spacing w:val="-10"/>
                <w:sz w:val="20"/>
                <w:szCs w:val="20"/>
              </w:rPr>
              <w:lastRenderedPageBreak/>
              <w:t> </w:t>
            </w:r>
          </w:p>
          <w:p w14:paraId="528BE2D3" w14:textId="77777777" w:rsidR="00FC7D0A" w:rsidRDefault="00FC7D0A" w:rsidP="007A5F9A">
            <w:pPr>
              <w:spacing w:before="100" w:beforeAutospacing="1" w:after="100" w:afterAutospacing="1"/>
              <w:rPr>
                <w:rFonts w:ascii="Verdana" w:hAnsi="Verdana"/>
                <w:color w:val="000000"/>
                <w:spacing w:val="-10"/>
                <w:sz w:val="20"/>
                <w:szCs w:val="20"/>
              </w:rPr>
            </w:pPr>
          </w:p>
        </w:tc>
        <w:tc>
          <w:tcPr>
            <w:tcW w:w="2330" w:type="dxa"/>
            <w:gridSpan w:val="7"/>
            <w:tcBorders>
              <w:top w:val="nil"/>
              <w:left w:val="nil"/>
              <w:bottom w:val="nil"/>
              <w:right w:val="nil"/>
            </w:tcBorders>
            <w:hideMark/>
          </w:tcPr>
          <w:p w14:paraId="5B89A7FF" w14:textId="77777777" w:rsidR="00266EE8" w:rsidRDefault="00266EE8" w:rsidP="002C3013">
            <w:pPr>
              <w:ind w:left="330"/>
              <w:rPr>
                <w:rFonts w:ascii="Verdana" w:hAnsi="Verdana"/>
                <w:color w:val="000000"/>
                <w:spacing w:val="-10"/>
                <w:sz w:val="20"/>
                <w:szCs w:val="20"/>
              </w:rPr>
            </w:pPr>
          </w:p>
        </w:tc>
      </w:tr>
      <w:tr w:rsidR="00266EE8" w14:paraId="02A70C79"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28F24E6D" w14:textId="77777777" w:rsidR="00266EE8" w:rsidRDefault="00000000" w:rsidP="002C3013">
            <w:pPr>
              <w:pStyle w:val="paper"/>
              <w:ind w:right="0"/>
              <w:rPr>
                <w:rFonts w:ascii="Verdana" w:hAnsi="Verdana"/>
              </w:rPr>
            </w:pPr>
            <w:r>
              <w:rPr>
                <w:rFonts w:ascii="Verdana" w:hAnsi="Verdana"/>
              </w:rPr>
              <w:t>        </w:t>
            </w:r>
            <w:r>
              <w:rPr>
                <w:rFonts w:ascii="Verdana" w:hAnsi="Verdana"/>
                <w:b/>
                <w:bCs/>
              </w:rPr>
              <w:t>Analytical Method</w:t>
            </w:r>
            <w:r>
              <w:rPr>
                <w:rFonts w:ascii="Verdana" w:hAnsi="Verdana"/>
              </w:rPr>
              <w:t xml:space="preserve"> </w:t>
            </w:r>
          </w:p>
        </w:tc>
        <w:tc>
          <w:tcPr>
            <w:tcW w:w="2330" w:type="dxa"/>
            <w:gridSpan w:val="7"/>
            <w:tcBorders>
              <w:top w:val="nil"/>
              <w:left w:val="nil"/>
              <w:bottom w:val="nil"/>
              <w:right w:val="nil"/>
            </w:tcBorders>
            <w:hideMark/>
          </w:tcPr>
          <w:p w14:paraId="72B77241" w14:textId="77777777" w:rsidR="00266EE8" w:rsidRDefault="00266EE8" w:rsidP="002C3013">
            <w:pPr>
              <w:ind w:left="330"/>
              <w:rPr>
                <w:rFonts w:ascii="Verdana" w:hAnsi="Verdana"/>
              </w:rPr>
            </w:pPr>
          </w:p>
        </w:tc>
      </w:tr>
      <w:tr w:rsidR="00266EE8" w14:paraId="408DDB75"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5D961DF3" w14:textId="3BAF19DA" w:rsidR="00266EE8" w:rsidRDefault="00000000" w:rsidP="002C3013">
            <w:pPr>
              <w:pStyle w:val="paper"/>
              <w:ind w:right="0"/>
              <w:rPr>
                <w:rFonts w:ascii="Verdana" w:hAnsi="Verdana"/>
              </w:rPr>
            </w:pPr>
            <w:r>
              <w:rPr>
                <w:rFonts w:ascii="Verdana" w:hAnsi="Verdana"/>
              </w:rPr>
              <w:t xml:space="preserve">17.   MEMBRANE-PROTECTED MICRO-SOLID PHASE EXTRACTION OF CARCINOGENIC AROMATIC AMINES IN WATER SAMPLES PRIOR TO GC-FID ANALYSIS </w:t>
            </w:r>
            <w:r>
              <w:rPr>
                <w:rFonts w:ascii="Verdana" w:hAnsi="Verdana"/>
              </w:rPr>
              <w:br/>
            </w:r>
            <w:r>
              <w:rPr>
                <w:rFonts w:ascii="Verdana" w:hAnsi="Verdana"/>
                <w:i/>
                <w:iCs/>
              </w:rPr>
              <w:t>Anjalee Pushpika Patabendi, Mohamad Shariff Shahriman, Hemavathy Surikumaran, Nur Nadhirah Mohamad Zain, Noorfatimah Yahaya, Faizah Mohammad Yunus, Usman Abdullahi Usman, Kavirajaa Pandian Sambasevam, and Muggundha Raoov</w:t>
            </w:r>
            <w:r>
              <w:rPr>
                <w:rFonts w:ascii="Verdana" w:hAnsi="Verdana"/>
              </w:rPr>
              <w:br/>
            </w:r>
          </w:p>
        </w:tc>
        <w:tc>
          <w:tcPr>
            <w:tcW w:w="2330" w:type="dxa"/>
            <w:gridSpan w:val="7"/>
            <w:tcBorders>
              <w:top w:val="nil"/>
              <w:left w:val="nil"/>
              <w:bottom w:val="nil"/>
              <w:right w:val="nil"/>
            </w:tcBorders>
            <w:hideMark/>
          </w:tcPr>
          <w:p w14:paraId="6307E29F" w14:textId="77777777" w:rsidR="00266EE8" w:rsidRDefault="00000000" w:rsidP="002C3013">
            <w:pPr>
              <w:spacing w:before="100" w:beforeAutospacing="1" w:after="100" w:afterAutospacing="1"/>
              <w:ind w:left="330"/>
              <w:rPr>
                <w:rFonts w:ascii="Verdana" w:hAnsi="Verdana"/>
                <w:color w:val="000000"/>
                <w:spacing w:val="-10"/>
                <w:sz w:val="20"/>
                <w:szCs w:val="20"/>
              </w:rPr>
            </w:pPr>
            <w:r>
              <w:rPr>
                <w:rFonts w:ascii="Verdana" w:eastAsia="Times New Roman" w:hAnsi="Verdana"/>
                <w:color w:val="000000"/>
                <w:spacing w:val="-10"/>
                <w:sz w:val="20"/>
                <w:szCs w:val="20"/>
              </w:rPr>
              <w:t>694-710</w:t>
            </w:r>
          </w:p>
        </w:tc>
      </w:tr>
      <w:tr w:rsidR="00266EE8" w14:paraId="02CF7758"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1D28EE59" w14:textId="77777777" w:rsidR="00266EE8" w:rsidRDefault="00000000" w:rsidP="002C3013">
            <w:pPr>
              <w:spacing w:before="100" w:beforeAutospacing="1" w:after="100" w:afterAutospacing="1"/>
              <w:rPr>
                <w:rFonts w:ascii="Verdana" w:hAnsi="Verdana"/>
                <w:color w:val="000000"/>
                <w:spacing w:val="-10"/>
                <w:sz w:val="20"/>
                <w:szCs w:val="20"/>
              </w:rPr>
            </w:pPr>
            <w:r>
              <w:rPr>
                <w:rFonts w:ascii="Verdana" w:eastAsia="Times New Roman" w:hAnsi="Verdana"/>
                <w:color w:val="000000"/>
                <w:spacing w:val="-10"/>
                <w:sz w:val="20"/>
                <w:szCs w:val="20"/>
              </w:rPr>
              <w:t> </w:t>
            </w:r>
          </w:p>
        </w:tc>
        <w:tc>
          <w:tcPr>
            <w:tcW w:w="2330" w:type="dxa"/>
            <w:gridSpan w:val="7"/>
            <w:tcBorders>
              <w:top w:val="nil"/>
              <w:left w:val="nil"/>
              <w:bottom w:val="nil"/>
              <w:right w:val="nil"/>
            </w:tcBorders>
            <w:hideMark/>
          </w:tcPr>
          <w:p w14:paraId="464C93D0" w14:textId="77777777" w:rsidR="00266EE8" w:rsidRDefault="00266EE8" w:rsidP="002C3013">
            <w:pPr>
              <w:ind w:left="330"/>
              <w:rPr>
                <w:rFonts w:ascii="Verdana" w:hAnsi="Verdana"/>
                <w:color w:val="000000"/>
                <w:spacing w:val="-10"/>
                <w:sz w:val="20"/>
                <w:szCs w:val="20"/>
              </w:rPr>
            </w:pPr>
          </w:p>
        </w:tc>
      </w:tr>
      <w:tr w:rsidR="00266EE8" w14:paraId="7F55A637"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6C222A35" w14:textId="77777777" w:rsidR="00266EE8" w:rsidRDefault="00000000" w:rsidP="002C3013">
            <w:pPr>
              <w:pStyle w:val="paper"/>
              <w:ind w:right="0"/>
              <w:rPr>
                <w:rFonts w:ascii="Verdana" w:hAnsi="Verdana"/>
              </w:rPr>
            </w:pPr>
            <w:r>
              <w:rPr>
                <w:rFonts w:ascii="Verdana" w:hAnsi="Verdana"/>
              </w:rPr>
              <w:t>        </w:t>
            </w:r>
            <w:r>
              <w:rPr>
                <w:rFonts w:ascii="Verdana" w:hAnsi="Verdana"/>
                <w:b/>
                <w:bCs/>
              </w:rPr>
              <w:t>Organic and Inorganic Analysis</w:t>
            </w:r>
            <w:r>
              <w:rPr>
                <w:rFonts w:ascii="Verdana" w:hAnsi="Verdana"/>
              </w:rPr>
              <w:t xml:space="preserve"> </w:t>
            </w:r>
          </w:p>
        </w:tc>
        <w:tc>
          <w:tcPr>
            <w:tcW w:w="2330" w:type="dxa"/>
            <w:gridSpan w:val="7"/>
            <w:tcBorders>
              <w:top w:val="nil"/>
              <w:left w:val="nil"/>
              <w:bottom w:val="nil"/>
              <w:right w:val="nil"/>
            </w:tcBorders>
            <w:hideMark/>
          </w:tcPr>
          <w:p w14:paraId="75BA18C8" w14:textId="77777777" w:rsidR="00266EE8" w:rsidRDefault="00266EE8" w:rsidP="002C3013">
            <w:pPr>
              <w:ind w:left="330"/>
              <w:rPr>
                <w:rFonts w:ascii="Verdana" w:hAnsi="Verdana"/>
              </w:rPr>
            </w:pPr>
          </w:p>
        </w:tc>
      </w:tr>
      <w:tr w:rsidR="00266EE8" w14:paraId="744E5CDD"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13D68C09" w14:textId="0722477A" w:rsidR="00266EE8" w:rsidRDefault="00000000" w:rsidP="002C3013">
            <w:pPr>
              <w:pStyle w:val="paper"/>
              <w:ind w:right="0"/>
              <w:rPr>
                <w:rFonts w:ascii="Verdana" w:hAnsi="Verdana"/>
              </w:rPr>
            </w:pPr>
            <w:r>
              <w:rPr>
                <w:rFonts w:ascii="Verdana" w:hAnsi="Verdana"/>
              </w:rPr>
              <w:t>18.   SYNTHESIS, CHARACTERIZATION AND BIOLOGICAL EVALUATION OF NOVEL THIAZOLIDINEDIONE DERIVATIVES AS EMERGING ANTIDIABETIC AGENTS</w:t>
            </w:r>
            <w:r>
              <w:rPr>
                <w:rFonts w:ascii="Verdana" w:hAnsi="Verdana"/>
              </w:rPr>
              <w:br/>
            </w:r>
            <w:r>
              <w:rPr>
                <w:rFonts w:ascii="Verdana" w:hAnsi="Verdana"/>
                <w:i/>
                <w:iCs/>
              </w:rPr>
              <w:t xml:space="preserve">Shaik Munwar, M K Kathiravan, and Ilango K </w:t>
            </w:r>
            <w:r>
              <w:rPr>
                <w:rFonts w:ascii="Verdana" w:hAnsi="Verdana"/>
              </w:rPr>
              <w:br/>
            </w:r>
          </w:p>
        </w:tc>
        <w:tc>
          <w:tcPr>
            <w:tcW w:w="2330" w:type="dxa"/>
            <w:gridSpan w:val="7"/>
            <w:tcBorders>
              <w:top w:val="nil"/>
              <w:left w:val="nil"/>
              <w:bottom w:val="nil"/>
              <w:right w:val="nil"/>
            </w:tcBorders>
            <w:hideMark/>
          </w:tcPr>
          <w:p w14:paraId="28C6F915" w14:textId="77777777" w:rsidR="00266EE8" w:rsidRDefault="00000000" w:rsidP="002C3013">
            <w:pPr>
              <w:spacing w:before="100" w:beforeAutospacing="1" w:after="100" w:afterAutospacing="1"/>
              <w:ind w:left="330"/>
              <w:rPr>
                <w:rFonts w:ascii="Verdana" w:hAnsi="Verdana"/>
                <w:color w:val="000000"/>
                <w:spacing w:val="-10"/>
                <w:sz w:val="20"/>
                <w:szCs w:val="20"/>
              </w:rPr>
            </w:pPr>
            <w:r>
              <w:rPr>
                <w:rFonts w:ascii="Verdana" w:eastAsia="Times New Roman" w:hAnsi="Verdana"/>
                <w:color w:val="000000"/>
                <w:spacing w:val="-10"/>
                <w:sz w:val="20"/>
                <w:szCs w:val="20"/>
              </w:rPr>
              <w:t>711-723</w:t>
            </w:r>
          </w:p>
        </w:tc>
      </w:tr>
      <w:tr w:rsidR="00266EE8" w14:paraId="76B77204"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7D4D7A00" w14:textId="77777777" w:rsidR="00266EE8" w:rsidRDefault="00000000" w:rsidP="002C3013">
            <w:pPr>
              <w:spacing w:before="100" w:beforeAutospacing="1" w:after="100" w:afterAutospacing="1"/>
              <w:rPr>
                <w:rFonts w:ascii="Verdana" w:hAnsi="Verdana"/>
                <w:color w:val="000000"/>
                <w:spacing w:val="-10"/>
                <w:sz w:val="20"/>
                <w:szCs w:val="20"/>
              </w:rPr>
            </w:pPr>
            <w:r>
              <w:rPr>
                <w:rFonts w:ascii="Verdana" w:eastAsia="Times New Roman" w:hAnsi="Verdana"/>
                <w:color w:val="000000"/>
                <w:spacing w:val="-10"/>
                <w:sz w:val="20"/>
                <w:szCs w:val="20"/>
              </w:rPr>
              <w:t> </w:t>
            </w:r>
          </w:p>
        </w:tc>
        <w:tc>
          <w:tcPr>
            <w:tcW w:w="2330" w:type="dxa"/>
            <w:gridSpan w:val="7"/>
            <w:tcBorders>
              <w:top w:val="nil"/>
              <w:left w:val="nil"/>
              <w:bottom w:val="nil"/>
              <w:right w:val="nil"/>
            </w:tcBorders>
            <w:hideMark/>
          </w:tcPr>
          <w:p w14:paraId="204E4B9C" w14:textId="77777777" w:rsidR="00266EE8" w:rsidRDefault="00266EE8" w:rsidP="00C1429D">
            <w:pPr>
              <w:rPr>
                <w:rFonts w:ascii="Verdana" w:hAnsi="Verdana"/>
                <w:color w:val="000000"/>
                <w:spacing w:val="-10"/>
                <w:sz w:val="20"/>
                <w:szCs w:val="20"/>
              </w:rPr>
            </w:pPr>
          </w:p>
        </w:tc>
      </w:tr>
      <w:tr w:rsidR="00266EE8" w14:paraId="7FE05EB2"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769DF531" w14:textId="77777777" w:rsidR="00266EE8" w:rsidRDefault="00000000" w:rsidP="00C1429D">
            <w:pPr>
              <w:spacing w:before="100" w:beforeAutospacing="1" w:after="100" w:afterAutospacing="1"/>
              <w:rPr>
                <w:rFonts w:ascii="Verdana" w:hAnsi="Verdana"/>
                <w:color w:val="000000"/>
                <w:spacing w:val="-10"/>
                <w:sz w:val="20"/>
                <w:szCs w:val="20"/>
              </w:rPr>
            </w:pPr>
            <w:r>
              <w:rPr>
                <w:rFonts w:ascii="Verdana" w:eastAsia="Times New Roman" w:hAnsi="Verdana"/>
                <w:color w:val="000000"/>
                <w:spacing w:val="-10"/>
                <w:sz w:val="20"/>
                <w:szCs w:val="20"/>
              </w:rPr>
              <w:t> </w:t>
            </w:r>
          </w:p>
        </w:tc>
        <w:tc>
          <w:tcPr>
            <w:tcW w:w="2330" w:type="dxa"/>
            <w:gridSpan w:val="7"/>
            <w:tcBorders>
              <w:top w:val="nil"/>
              <w:left w:val="nil"/>
              <w:bottom w:val="nil"/>
              <w:right w:val="nil"/>
            </w:tcBorders>
            <w:hideMark/>
          </w:tcPr>
          <w:p w14:paraId="24D44ED1" w14:textId="77777777" w:rsidR="00266EE8" w:rsidRDefault="00266EE8" w:rsidP="00C1429D">
            <w:pPr>
              <w:rPr>
                <w:rFonts w:ascii="Verdana" w:hAnsi="Verdana"/>
                <w:color w:val="000000"/>
                <w:spacing w:val="-10"/>
                <w:sz w:val="20"/>
                <w:szCs w:val="20"/>
              </w:rPr>
            </w:pPr>
          </w:p>
        </w:tc>
      </w:tr>
      <w:tr w:rsidR="00266EE8" w14:paraId="58000546"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5D9DCA66" w14:textId="77777777" w:rsidR="00266EE8" w:rsidRDefault="00000000" w:rsidP="00C1429D">
            <w:pPr>
              <w:spacing w:before="100" w:beforeAutospacing="1" w:after="100" w:afterAutospacing="1"/>
              <w:rPr>
                <w:rFonts w:ascii="Verdana" w:hAnsi="Verdana"/>
                <w:color w:val="000000"/>
                <w:spacing w:val="-10"/>
                <w:sz w:val="20"/>
                <w:szCs w:val="20"/>
              </w:rPr>
            </w:pPr>
            <w:r>
              <w:rPr>
                <w:rFonts w:ascii="Verdana" w:eastAsia="Times New Roman" w:hAnsi="Verdana"/>
                <w:color w:val="000000"/>
                <w:spacing w:val="-10"/>
                <w:sz w:val="20"/>
                <w:szCs w:val="20"/>
              </w:rPr>
              <w:t> </w:t>
            </w:r>
          </w:p>
        </w:tc>
        <w:tc>
          <w:tcPr>
            <w:tcW w:w="2330" w:type="dxa"/>
            <w:gridSpan w:val="7"/>
            <w:tcBorders>
              <w:top w:val="nil"/>
              <w:left w:val="nil"/>
              <w:bottom w:val="nil"/>
              <w:right w:val="nil"/>
            </w:tcBorders>
            <w:hideMark/>
          </w:tcPr>
          <w:p w14:paraId="096A8F16" w14:textId="77777777" w:rsidR="00266EE8" w:rsidRDefault="00266EE8" w:rsidP="00C1429D">
            <w:pPr>
              <w:rPr>
                <w:rFonts w:ascii="Verdana" w:hAnsi="Verdana"/>
                <w:color w:val="000000"/>
                <w:spacing w:val="-10"/>
                <w:sz w:val="20"/>
                <w:szCs w:val="20"/>
              </w:rPr>
            </w:pPr>
          </w:p>
        </w:tc>
      </w:tr>
      <w:tr w:rsidR="00266EE8" w14:paraId="38555AD7" w14:textId="77777777" w:rsidTr="00001AE2">
        <w:trPr>
          <w:gridAfter w:val="3"/>
          <w:divId w:val="239146410"/>
          <w:wAfter w:w="704" w:type="dxa"/>
          <w:tblCellSpacing w:w="15" w:type="dxa"/>
        </w:trPr>
        <w:tc>
          <w:tcPr>
            <w:tcW w:w="9768" w:type="dxa"/>
            <w:gridSpan w:val="2"/>
            <w:tcBorders>
              <w:top w:val="nil"/>
              <w:left w:val="nil"/>
              <w:bottom w:val="nil"/>
              <w:right w:val="nil"/>
            </w:tcBorders>
            <w:hideMark/>
          </w:tcPr>
          <w:p w14:paraId="13D736CF" w14:textId="77777777" w:rsidR="00266EE8" w:rsidRDefault="00000000" w:rsidP="00C1429D">
            <w:pPr>
              <w:spacing w:before="100" w:beforeAutospacing="1" w:after="100" w:afterAutospacing="1"/>
              <w:rPr>
                <w:rFonts w:ascii="Verdana" w:hAnsi="Verdana"/>
                <w:color w:val="000000"/>
                <w:spacing w:val="-10"/>
                <w:sz w:val="20"/>
                <w:szCs w:val="20"/>
              </w:rPr>
            </w:pPr>
            <w:r>
              <w:rPr>
                <w:rFonts w:ascii="Verdana" w:eastAsia="Times New Roman" w:hAnsi="Verdana"/>
                <w:color w:val="000000"/>
                <w:spacing w:val="-10"/>
                <w:sz w:val="20"/>
                <w:szCs w:val="20"/>
              </w:rPr>
              <w:t> </w:t>
            </w:r>
          </w:p>
        </w:tc>
        <w:tc>
          <w:tcPr>
            <w:tcW w:w="2330" w:type="dxa"/>
            <w:gridSpan w:val="7"/>
            <w:tcBorders>
              <w:top w:val="nil"/>
              <w:left w:val="nil"/>
              <w:bottom w:val="nil"/>
              <w:right w:val="nil"/>
            </w:tcBorders>
            <w:hideMark/>
          </w:tcPr>
          <w:p w14:paraId="425E57A6" w14:textId="77777777" w:rsidR="00266EE8" w:rsidRDefault="00266EE8" w:rsidP="00C1429D">
            <w:pPr>
              <w:rPr>
                <w:rFonts w:ascii="Verdana" w:hAnsi="Verdana"/>
                <w:color w:val="000000"/>
                <w:spacing w:val="-10"/>
                <w:sz w:val="20"/>
                <w:szCs w:val="20"/>
              </w:rPr>
            </w:pPr>
          </w:p>
        </w:tc>
      </w:tr>
    </w:tbl>
    <w:p w14:paraId="3D8AB449" w14:textId="77777777" w:rsidR="00F71936" w:rsidRDefault="00000000">
      <w:pPr>
        <w:spacing w:before="100" w:beforeAutospacing="1" w:after="100" w:afterAutospacing="1"/>
        <w:jc w:val="both"/>
        <w:rPr>
          <w:rFonts w:ascii="Verdana" w:hAnsi="Verdana"/>
        </w:rPr>
      </w:pPr>
      <w:r>
        <w:rPr>
          <w:rFonts w:ascii="Verdana" w:eastAsia="Times New Roman" w:hAnsi="Verdana"/>
        </w:rPr>
        <w:t> </w:t>
      </w:r>
    </w:p>
    <w:sectPr w:rsidR="00F719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9D"/>
    <w:rsid w:val="00001AE2"/>
    <w:rsid w:val="000E4B2D"/>
    <w:rsid w:val="00145CD5"/>
    <w:rsid w:val="001C7444"/>
    <w:rsid w:val="00220A31"/>
    <w:rsid w:val="00252824"/>
    <w:rsid w:val="00266EE8"/>
    <w:rsid w:val="002C3013"/>
    <w:rsid w:val="00353A60"/>
    <w:rsid w:val="00697BA9"/>
    <w:rsid w:val="007A5F9A"/>
    <w:rsid w:val="009A7ED0"/>
    <w:rsid w:val="00C1429D"/>
    <w:rsid w:val="00CF36F8"/>
    <w:rsid w:val="00E002EC"/>
    <w:rsid w:val="00E043F2"/>
    <w:rsid w:val="00E73811"/>
    <w:rsid w:val="00EA739E"/>
    <w:rsid w:val="00F71936"/>
    <w:rsid w:val="00FC7D0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0A4F3"/>
  <w15:chartTrackingRefBased/>
  <w15:docId w15:val="{E2A389F3-1CAC-42F7-95AF-CDA44F4B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F7AFC"/>
      <w:u w:val="none"/>
      <w:effect w:val="none"/>
    </w:rPr>
  </w:style>
  <w:style w:type="character" w:styleId="FollowedHyperlink">
    <w:name w:val="FollowedHyperlink"/>
    <w:basedOn w:val="DefaultParagraphFont"/>
    <w:uiPriority w:val="99"/>
    <w:semiHidden/>
    <w:unhideWhenUsed/>
    <w:rPr>
      <w:strike w:val="0"/>
      <w:dstrike w:val="0"/>
      <w:color w:val="A008A0"/>
      <w:u w:val="none"/>
      <w:effect w:val="none"/>
    </w:rPr>
  </w:style>
  <w:style w:type="paragraph" w:customStyle="1" w:styleId="msonormal0">
    <w:name w:val="msonormal"/>
    <w:basedOn w:val="Normal"/>
    <w:pPr>
      <w:ind w:left="567"/>
    </w:pPr>
  </w:style>
  <w:style w:type="paragraph" w:styleId="NormalWeb">
    <w:name w:val="Normal (Web)"/>
    <w:basedOn w:val="Normal"/>
    <w:uiPriority w:val="99"/>
    <w:semiHidden/>
    <w:unhideWhenUsed/>
    <w:pPr>
      <w:ind w:left="567"/>
    </w:pPr>
  </w:style>
  <w:style w:type="paragraph" w:customStyle="1" w:styleId="paper">
    <w:name w:val="paper"/>
    <w:basedOn w:val="Normal"/>
    <w:pPr>
      <w:ind w:left="1021" w:right="567" w:hanging="454"/>
    </w:pPr>
    <w:rPr>
      <w:color w:val="000000"/>
      <w:spacing w:val="-10"/>
      <w:sz w:val="20"/>
      <w:szCs w:val="20"/>
    </w:rPr>
  </w:style>
  <w:style w:type="paragraph" w:customStyle="1" w:styleId="paper1">
    <w:name w:val="paper1"/>
    <w:basedOn w:val="Normal"/>
    <w:pPr>
      <w:ind w:left="567" w:right="567" w:hanging="113"/>
      <w:jc w:val="both"/>
    </w:pPr>
    <w:rPr>
      <w:color w:val="000000"/>
      <w:spacing w:val="-10"/>
      <w:sz w:val="20"/>
      <w:szCs w:val="20"/>
    </w:rPr>
  </w:style>
  <w:style w:type="paragraph" w:customStyle="1" w:styleId="br">
    <w:name w:val="&lt;br"/>
    <w:basedOn w:val="Normal"/>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14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MJAS | Malaysian Journal of Analytical Sciences</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 Malaysian Journal of Analytical Sciences</dc:title>
  <dc:subject/>
  <dc:creator>zahirah.nai@gmail.com</dc:creator>
  <cp:keywords/>
  <dc:description/>
  <cp:lastModifiedBy>zahirah.nai@gmail.com</cp:lastModifiedBy>
  <cp:revision>12</cp:revision>
  <cp:lastPrinted>2024-07-02T00:53:00Z</cp:lastPrinted>
  <dcterms:created xsi:type="dcterms:W3CDTF">2024-07-01T15:40:00Z</dcterms:created>
  <dcterms:modified xsi:type="dcterms:W3CDTF">2024-07-02T00:54:00Z</dcterms:modified>
</cp:coreProperties>
</file>