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850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2330"/>
        <w:gridCol w:w="2520"/>
      </w:tblGrid>
      <w:tr w:rsidR="00000000" w14:paraId="0EAFE019" w14:textId="77777777">
        <w:trPr>
          <w:gridAfter w:val="1"/>
          <w:wAfter w:w="2475" w:type="dxa"/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F72B1" w14:textId="77777777" w:rsidR="00000000" w:rsidRDefault="009B77DC">
            <w:pPr>
              <w:pStyle w:val="NormalWeb"/>
              <w:ind w:left="1752" w:firstLine="90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Malaysian Journal of Analytical Sciences Vol 26 No 4 2022</w:t>
            </w:r>
          </w:p>
        </w:tc>
      </w:tr>
      <w:tr w:rsidR="00000000" w14:paraId="078C19B8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4D2DC" w14:textId="77777777" w:rsidR="00000000" w:rsidRDefault="009B77DC"/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8A091A" w14:textId="77777777" w:rsidR="00000000" w:rsidRDefault="009B77DC">
            <w:pPr>
              <w:ind w:right="567" w:hanging="210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b/>
                <w:bCs/>
                <w:color w:val="000000"/>
                <w:spacing w:val="-10"/>
                <w:sz w:val="20"/>
                <w:szCs w:val="20"/>
              </w:rPr>
              <w:t>Page            </w:t>
            </w:r>
          </w:p>
        </w:tc>
      </w:tr>
      <w:tr w:rsidR="00000000" w14:paraId="02AEF305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35135" w14:textId="77777777" w:rsidR="00000000" w:rsidRDefault="009B77D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F1BEB" w14:textId="77777777" w:rsidR="00000000" w:rsidRDefault="009B77D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000000" w14:paraId="6FA35A52" w14:textId="77777777">
        <w:trPr>
          <w:tblCellSpacing w:w="15" w:type="dxa"/>
          <w:jc w:val="center"/>
        </w:trPr>
        <w:tc>
          <w:tcPr>
            <w:tcW w:w="1228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DC8FB" w14:textId="77777777" w:rsidR="00000000" w:rsidRDefault="009B77DC">
            <w:pPr>
              <w:pStyle w:val="paper"/>
              <w:ind w:left="2202" w:hanging="4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    SYNTHESIS, PHOTOPHYSICAL AND COMPUTATIONAL APPROACHES ON NONLINEAR OPTICAL (NLO) </w:t>
            </w:r>
            <w:r>
              <w:rPr>
                <w:rFonts w:ascii="Verdana" w:hAnsi="Verdana"/>
              </w:rPr>
              <w:t xml:space="preserve">PROPERTIES OF NAPHTHALEN-1-YL ETHYNYLATED-CHALCONE DERIVATIVE </w:t>
            </w:r>
            <w:r>
              <w:rPr>
                <w:rFonts w:ascii="Verdana" w:hAnsi="Verdana"/>
              </w:rPr>
              <w:br/>
              <w:t xml:space="preserve">(Sintesis, Pendekatan Fotofizik dan Pengkomputeran Terhadap Sifat Optik Tak Linear (NLO) bagi Terbitan Naftalen-1-il Teretinil-Kalkon)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Mas Mohammed, Wan M. Khairul, Rafizah Rahamathullah, Fazi</w:t>
            </w:r>
            <w:r>
              <w:rPr>
                <w:rFonts w:ascii="Verdana" w:hAnsi="Verdana"/>
                <w:i/>
                <w:iCs/>
              </w:rPr>
              <w:t>ra Ilyana Abdul Razak, Suhaila Sapari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40794" w14:textId="77777777" w:rsidR="00000000" w:rsidRDefault="009B77D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684</w:t>
            </w:r>
          </w:p>
        </w:tc>
      </w:tr>
      <w:tr w:rsidR="00000000" w14:paraId="12FD7BF5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CFB1F" w14:textId="77777777" w:rsidR="00000000" w:rsidRDefault="009B77DC">
            <w:pPr>
              <w:pStyle w:val="paper"/>
              <w:ind w:left="2202" w:hanging="450"/>
              <w:rPr>
                <w:rFonts w:ascii="Verdana" w:hAnsi="Verdana"/>
              </w:rPr>
            </w:pPr>
          </w:p>
          <w:p w14:paraId="1ACABD8A" w14:textId="77777777" w:rsidR="00000000" w:rsidRDefault="009B77DC">
            <w:pPr>
              <w:pStyle w:val="paper"/>
              <w:ind w:left="2202" w:hanging="4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    EVALUATION OF THE TOTAL FLAVONOID, PHENOLIC CONTENT, AND ANTIOXIDANT ACTIVITY IN SABAH SNAKE GRASS EXTRACTS (</w:t>
            </w:r>
            <w:r>
              <w:rPr>
                <w:rFonts w:ascii="Verdana" w:hAnsi="Verdana"/>
                <w:i/>
                <w:iCs/>
              </w:rPr>
              <w:t>Clinacanthus nutans</w:t>
            </w:r>
            <w:r>
              <w:rPr>
                <w:rFonts w:ascii="Verdana" w:hAnsi="Verdana"/>
              </w:rPr>
              <w:t xml:space="preserve"> Lindau) </w:t>
            </w:r>
            <w:r>
              <w:rPr>
                <w:rFonts w:ascii="Verdana" w:hAnsi="Verdana"/>
              </w:rPr>
              <w:br/>
              <w:t>(Penilaian Jumlah Kandungan Flavonoid, Fenolik dan Aktiviti Antioks</w:t>
            </w:r>
            <w:r>
              <w:rPr>
                <w:rFonts w:ascii="Verdana" w:hAnsi="Verdana"/>
              </w:rPr>
              <w:t>ida bagi Ekstrak Belalai Gajah (</w:t>
            </w:r>
            <w:r>
              <w:rPr>
                <w:rFonts w:ascii="Verdana" w:hAnsi="Verdana"/>
                <w:i/>
                <w:iCs/>
              </w:rPr>
              <w:t>Clinacanthus nutans</w:t>
            </w:r>
            <w:r>
              <w:rPr>
                <w:rFonts w:ascii="Verdana" w:hAnsi="Verdana"/>
              </w:rPr>
              <w:t xml:space="preserve"> Lindau))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Idham Zaharudie and Chong Shu Xian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61279" w14:textId="77777777" w:rsidR="00000000" w:rsidRDefault="009B77DC">
            <w:pPr>
              <w:ind w:right="1218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258FA6C4" w14:textId="77777777" w:rsidR="00000000" w:rsidRDefault="009B77DC">
            <w:pPr>
              <w:ind w:right="1218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698</w:t>
            </w:r>
          </w:p>
        </w:tc>
      </w:tr>
      <w:tr w:rsidR="00000000" w14:paraId="5A996009" w14:textId="77777777">
        <w:trPr>
          <w:tblCellSpacing w:w="15" w:type="dxa"/>
          <w:jc w:val="center"/>
        </w:trPr>
        <w:tc>
          <w:tcPr>
            <w:tcW w:w="1228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915CF" w14:textId="77777777" w:rsidR="00000000" w:rsidRDefault="009B77DC">
            <w:pPr>
              <w:pStyle w:val="paper"/>
              <w:ind w:left="2202" w:hanging="450"/>
              <w:rPr>
                <w:rFonts w:ascii="Verdana" w:hAnsi="Verdana"/>
              </w:rPr>
            </w:pPr>
          </w:p>
          <w:p w14:paraId="23167BB2" w14:textId="77777777" w:rsidR="00000000" w:rsidRDefault="009B77DC">
            <w:pPr>
              <w:pStyle w:val="paper"/>
              <w:ind w:left="2202" w:hanging="4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3.    FORMULATION </w:t>
            </w:r>
            <w:r>
              <w:rPr>
                <w:rFonts w:ascii="Verdana" w:hAnsi="Verdana"/>
              </w:rPr>
              <w:t xml:space="preserve">OF HIGH-QUALITY UV-CURABLE COATING CONTAINING RENEWABLE REACTIVE DILUENTS FOR WOOD PROTECTION </w:t>
            </w:r>
            <w:r>
              <w:rPr>
                <w:rFonts w:ascii="Verdana" w:hAnsi="Verdana"/>
              </w:rPr>
              <w:br/>
              <w:t xml:space="preserve">(Formulasi Salutan Awetan-UV Berkualiti Tinggi yang Mengandungi Diluen Reaktif yang Boleh Diperbaharui untuk Perlindungan Kayu)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Noraini Abd Ghani, Emilia Abdulm</w:t>
            </w:r>
            <w:r>
              <w:rPr>
                <w:rFonts w:ascii="Verdana" w:hAnsi="Verdana"/>
                <w:i/>
                <w:iCs/>
              </w:rPr>
              <w:t>alek, Rajni Hatti-Kaul, Azren Aida Asmawi, Mohd Basyaruddin Abdul Rahman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418CF" w14:textId="77777777" w:rsidR="00000000" w:rsidRDefault="009B77DC">
            <w:pPr>
              <w:ind w:right="1308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3C887911" w14:textId="77777777" w:rsidR="00000000" w:rsidRDefault="009B77DC">
            <w:pPr>
              <w:ind w:right="1308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708</w:t>
            </w:r>
          </w:p>
        </w:tc>
      </w:tr>
      <w:tr w:rsidR="00000000" w14:paraId="2FA7AA97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61176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</w:p>
          <w:p w14:paraId="08D8ADB1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4.    DETERMINATION OF 3-MONOCHLOROPROPANE-1,2-DIOL (3-MCPD) ESTERS IN EDIBLE PLANT OILS BY INDIRECT ACIDIC TRANSESTERIFICATION METHODS AND THE BPX-5 </w:t>
            </w:r>
            <w:r>
              <w:rPr>
                <w:rFonts w:ascii="Verdana" w:hAnsi="Verdana"/>
              </w:rPr>
              <w:br/>
              <w:t>(Penentuan Ester 3-Monok</w:t>
            </w:r>
            <w:r>
              <w:rPr>
                <w:rFonts w:ascii="Verdana" w:hAnsi="Verdana"/>
              </w:rPr>
              <w:t xml:space="preserve">loroprapana-1,2-diol (3-MCPD) dalam Minyak Tumbuhan Boleh Dimakan dengan Kaedah Transesterifikasi Berasid Tidak Langsung dan Turus Kapilari BPX-5)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May Yee Wong, Huey Fang Teh, Sook Mei Khor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C2043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49BE96B0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718</w:t>
            </w:r>
          </w:p>
        </w:tc>
      </w:tr>
      <w:tr w:rsidR="00000000" w14:paraId="508B3CB3" w14:textId="77777777">
        <w:trPr>
          <w:tblCellSpacing w:w="15" w:type="dxa"/>
          <w:jc w:val="center"/>
        </w:trPr>
        <w:tc>
          <w:tcPr>
            <w:tcW w:w="1228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835BA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</w:p>
          <w:p w14:paraId="4341F65D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    THE ANTIBACTERIAL, ANTIFUNGAL, ANTIOXIDANT POTENTIA</w:t>
            </w:r>
            <w:r>
              <w:rPr>
                <w:rFonts w:ascii="Verdana" w:hAnsi="Verdana"/>
              </w:rPr>
              <w:t xml:space="preserve">L AND TOTAL PHENOLIC CONTENT OF MALAYSIAN ENDANGERED SPECIES </w:t>
            </w:r>
            <w:r>
              <w:rPr>
                <w:rFonts w:ascii="Verdana" w:hAnsi="Verdana"/>
                <w:i/>
                <w:iCs/>
              </w:rPr>
              <w:t>Coscinium fenestratum</w:t>
            </w:r>
            <w:r>
              <w:rPr>
                <w:rFonts w:ascii="Verdana" w:hAnsi="Verdana"/>
              </w:rPr>
              <w:t xml:space="preserve"> FROM PAYA BUNGOR PAHANG </w:t>
            </w:r>
            <w:r>
              <w:rPr>
                <w:rFonts w:ascii="Verdana" w:hAnsi="Verdana"/>
              </w:rPr>
              <w:br/>
              <w:t xml:space="preserve">(Potensi Sifat Antibakteria, Antikulat, Antioksida dan Jumlah Kandungan Fenolik </w:t>
            </w:r>
            <w:r>
              <w:rPr>
                <w:rFonts w:ascii="Verdana" w:hAnsi="Verdana"/>
                <w:i/>
                <w:iCs/>
              </w:rPr>
              <w:t>Cosinium fenestratum</w:t>
            </w:r>
            <w:r>
              <w:rPr>
                <w:rFonts w:ascii="Verdana" w:hAnsi="Verdana"/>
              </w:rPr>
              <w:t xml:space="preserve"> Spesies Terancam Malaysia dari Paya Bungor Paha</w:t>
            </w:r>
            <w:r>
              <w:rPr>
                <w:rFonts w:ascii="Verdana" w:hAnsi="Verdana"/>
              </w:rPr>
              <w:t xml:space="preserve">ng)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Aiza Harun, Noorshilawati Abdul Aziz, Shaari Daud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526CD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78FE5837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734</w:t>
            </w:r>
          </w:p>
        </w:tc>
      </w:tr>
      <w:tr w:rsidR="00000000" w14:paraId="14FC0E1E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48FA6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</w:p>
          <w:p w14:paraId="2C278702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6.    EFFECTS OF PROCESSING PARAMETERS ON THE QUALITY AND PROPERTIES OF MANGO KERNEL FLOUR: A MINI-REVIEW </w:t>
            </w:r>
            <w:r>
              <w:rPr>
                <w:rFonts w:ascii="Verdana" w:hAnsi="Verdana"/>
              </w:rPr>
              <w:br/>
              <w:t>(Kesan Pemprosesan Parameter Terhadap Kualiti dan Sifat Tepung Biji Mango: Ulasan Mini</w:t>
            </w:r>
            <w:r>
              <w:rPr>
                <w:rFonts w:ascii="Verdana" w:hAnsi="Verdana"/>
              </w:rPr>
              <w:t xml:space="preserve">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Amal Hanani Binti Zikri, Boon Yih Tien, Boon Yih Hui, Wang Kang Han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317F2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716A4593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742</w:t>
            </w:r>
          </w:p>
        </w:tc>
      </w:tr>
      <w:tr w:rsidR="00000000" w14:paraId="6FDEE7F8" w14:textId="77777777">
        <w:trPr>
          <w:tblCellSpacing w:w="15" w:type="dxa"/>
          <w:jc w:val="center"/>
        </w:trPr>
        <w:tc>
          <w:tcPr>
            <w:tcW w:w="1228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6562A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</w:p>
          <w:p w14:paraId="021444C1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7.    SYNTHETIC APPROACHES TOWARDS QUINOLACTACIN DERIVATIVES VIA DIELS-ALDER, ACYL MIGRATION AND MULTICOMPONENT REACTIONS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 xml:space="preserve">(Pendekatan Sintesis Ke Arah Terbitan Quinolaktasin Melalui Tindak Balas Diels-Alder, Migrasi Asil dan </w:t>
            </w:r>
            <w:r>
              <w:rPr>
                <w:rFonts w:ascii="Verdana" w:hAnsi="Verdana"/>
              </w:rPr>
              <w:lastRenderedPageBreak/>
              <w:t xml:space="preserve">Tindak Balas Pelbagai Komponen)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Ahmad Zahir Hafiz Ismail, Putri Nur Arina Mohd Arif, Nurul Syafiqah Rezali, Mohd Fazli Mohammat, Zurina Shaameri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E5C21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7C414AC8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755</w:t>
            </w:r>
          </w:p>
        </w:tc>
      </w:tr>
      <w:tr w:rsidR="00000000" w14:paraId="4363DE52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6051C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</w:p>
          <w:p w14:paraId="2BAEF24B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8.    PHYTOCHEMICAL ANALYSIS OF </w:t>
            </w:r>
            <w:r>
              <w:rPr>
                <w:rFonts w:ascii="Verdana" w:hAnsi="Verdana"/>
                <w:i/>
                <w:iCs/>
              </w:rPr>
              <w:t>Muntingia calabura</w:t>
            </w:r>
            <w:r>
              <w:rPr>
                <w:rFonts w:ascii="Verdana" w:hAnsi="Verdana"/>
              </w:rPr>
              <w:t xml:space="preserve"> Linn. AND ITS ANTIBACTERIAL PROPERTIES VIA IN VITRO EVALUATION </w:t>
            </w:r>
            <w:r>
              <w:rPr>
                <w:rFonts w:ascii="Verdana" w:hAnsi="Verdana"/>
              </w:rPr>
              <w:br/>
              <w:t xml:space="preserve">(Analisis Fitokimia </w:t>
            </w:r>
            <w:r>
              <w:rPr>
                <w:rFonts w:ascii="Verdana" w:hAnsi="Verdana"/>
                <w:i/>
                <w:iCs/>
              </w:rPr>
              <w:t>Muntingia calabura</w:t>
            </w:r>
            <w:r>
              <w:rPr>
                <w:rFonts w:ascii="Verdana" w:hAnsi="Verdana"/>
              </w:rPr>
              <w:t xml:space="preserve"> Linn. dan Sifat-sifat Antibakteria Melalui Penilaian In Vitro)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Suhaidi Ariffin, Juita Zulkefli, Aqila</w:t>
            </w:r>
            <w:r>
              <w:rPr>
                <w:rFonts w:ascii="Verdana" w:hAnsi="Verdana"/>
                <w:i/>
                <w:iCs/>
              </w:rPr>
              <w:t>h Muhammad Saleh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1E908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05A5C42E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766</w:t>
            </w:r>
          </w:p>
        </w:tc>
      </w:tr>
      <w:tr w:rsidR="00000000" w14:paraId="74043C8A" w14:textId="77777777">
        <w:trPr>
          <w:tblCellSpacing w:w="15" w:type="dxa"/>
          <w:jc w:val="center"/>
        </w:trPr>
        <w:tc>
          <w:tcPr>
            <w:tcW w:w="1228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4BFCF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</w:p>
          <w:p w14:paraId="734F6819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9.    DETERMINATION OF RESIDUAL XYLAZINE BY GAS CHROMATOGRAPHY IN DRUG-SPIKED BEVERAGES FOR FORENSIC INVESTIGATION </w:t>
            </w:r>
            <w:r>
              <w:rPr>
                <w:rFonts w:ascii="Verdana" w:hAnsi="Verdana"/>
              </w:rPr>
              <w:br/>
              <w:t xml:space="preserve">(Penentuan Sisa Xilazin dengan Kromatografi Gas dalam Minuman Ditambah dengan Dadah bagi Penyiasatan Forensik)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Nab</w:t>
            </w:r>
            <w:r>
              <w:rPr>
                <w:rFonts w:ascii="Verdana" w:hAnsi="Verdana"/>
                <w:i/>
                <w:iCs/>
              </w:rPr>
              <w:t>eesathul Sumayya Mohamed Sadiq, Way Koon Teoh, Kasrin Saisahas, Apichai Phoncai, Vanitha Kunalan, Noor Zuhartini Md Muslim, Warakorn Limbut, Kah Haw Chang, Ahmad Fahmi Lim Abdullah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9899B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2E00E955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774</w:t>
            </w:r>
          </w:p>
        </w:tc>
      </w:tr>
      <w:tr w:rsidR="00000000" w14:paraId="4FE38E85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37217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</w:p>
          <w:p w14:paraId="708CD536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  MAGNETITE-GRAPHENE BASED NANOCOMPOSITES IN ELECTROCHEMISTRY: A</w:t>
            </w:r>
            <w:r>
              <w:rPr>
                <w:rFonts w:ascii="Verdana" w:hAnsi="Verdana"/>
              </w:rPr>
              <w:t xml:space="preserve"> BRIEF REVIEW ON THEIR APPLICATIONS </w:t>
            </w:r>
            <w:r>
              <w:rPr>
                <w:rFonts w:ascii="Verdana" w:hAnsi="Verdana"/>
              </w:rPr>
              <w:br/>
              <w:t xml:space="preserve">(Nanokomposit Magnetit-Grafin dalam Elektrokimia: Ulasan Ringkas dalam Aplikasinya)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Farhanini Yusoff, Karthi Suresh, Azleen Rashidah Mohd Rosli, Nur Ayunie Kamaruzaman, Noorashikin Md Saleh, Muggundha Raoov Ramachandra</w:t>
            </w:r>
            <w:r>
              <w:rPr>
                <w:rFonts w:ascii="Verdana" w:hAnsi="Verdana"/>
                <w:i/>
                <w:iCs/>
              </w:rPr>
              <w:t>n, Nur Nadhirah Mohamad Zain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C784B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55FFC2DD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788</w:t>
            </w:r>
          </w:p>
        </w:tc>
      </w:tr>
      <w:tr w:rsidR="00000000" w14:paraId="3BE1412A" w14:textId="77777777">
        <w:trPr>
          <w:tblCellSpacing w:w="15" w:type="dxa"/>
          <w:jc w:val="center"/>
        </w:trPr>
        <w:tc>
          <w:tcPr>
            <w:tcW w:w="1228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F7648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</w:p>
          <w:p w14:paraId="02C98C90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11.  A SIMPLE REAGENT-FREE METHOD FOR ANALYSIS OF THE ETHANOL CONTENT IN GASOHOL </w:t>
            </w:r>
            <w:r>
              <w:rPr>
                <w:rFonts w:ascii="Verdana" w:hAnsi="Verdana"/>
              </w:rPr>
              <w:br/>
              <w:t xml:space="preserve">(Kaedah Mudah Tanpa Reagen bagi Analisis Kandungan Etanol di dalam Gasohol)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Jutharut Pansombut, Phetlada Sunchayanukun, Sasithorn Muncharoen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23314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000E33AE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808</w:t>
            </w:r>
          </w:p>
        </w:tc>
      </w:tr>
      <w:tr w:rsidR="00000000" w14:paraId="04864223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DC439" w14:textId="77777777" w:rsidR="00000000" w:rsidRDefault="009B77DC">
            <w:pPr>
              <w:pStyle w:val="paper"/>
              <w:ind w:left="2292" w:hanging="450"/>
              <w:rPr>
                <w:rFonts w:ascii="Verdana" w:hAnsi="Verdana"/>
              </w:rPr>
            </w:pPr>
          </w:p>
          <w:p w14:paraId="18ADA8BC" w14:textId="77777777" w:rsidR="00000000" w:rsidRDefault="009B77DC">
            <w:pPr>
              <w:pStyle w:val="paper"/>
              <w:ind w:left="2292" w:hanging="4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  PRELIMINARY STUDIES ON SUNLIGHT ASSISTED DEGRADATION OF 2-CHLOROPHENOL USING MoS</w:t>
            </w:r>
            <w:r>
              <w:rPr>
                <w:rFonts w:ascii="Verdana" w:hAnsi="Verdana"/>
                <w:vertAlign w:val="subscript"/>
              </w:rPr>
              <w:t>2</w:t>
            </w:r>
            <w:r>
              <w:rPr>
                <w:rFonts w:ascii="Verdana" w:hAnsi="Verdana"/>
              </w:rPr>
              <w:t xml:space="preserve">/GO AS PHOTOCATALYST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(Kajian Awal Mengenai Cahaya Tampak Dituruti Penyusutan Sinaran 2-klorofenol Menggunakan MoS</w:t>
            </w:r>
            <w:r>
              <w:rPr>
                <w:rFonts w:ascii="Verdana" w:hAnsi="Verdana"/>
                <w:vertAlign w:val="subscript"/>
              </w:rPr>
              <w:t>2</w:t>
            </w:r>
            <w:r>
              <w:rPr>
                <w:rFonts w:ascii="Verdana" w:hAnsi="Verdana"/>
              </w:rPr>
              <w:t xml:space="preserve">/GO Sebagai Pemangkin Cahaya)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Kavirajaa Pandian Sambasevam, Syara Syazliana Muhammad Rajab, Izyan Najwa Mohd Norsham, Siti Nor Atika Baharin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E898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779E072D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819</w:t>
            </w:r>
          </w:p>
        </w:tc>
      </w:tr>
      <w:tr w:rsidR="00000000" w14:paraId="76FBB8CD" w14:textId="77777777">
        <w:trPr>
          <w:tblCellSpacing w:w="15" w:type="dxa"/>
          <w:jc w:val="center"/>
        </w:trPr>
        <w:tc>
          <w:tcPr>
            <w:tcW w:w="1228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3E4B3" w14:textId="77777777" w:rsidR="00000000" w:rsidRDefault="009B77DC">
            <w:pPr>
              <w:pStyle w:val="paper"/>
              <w:ind w:left="2292" w:hanging="450"/>
              <w:rPr>
                <w:rFonts w:ascii="Verdana" w:hAnsi="Verdana"/>
              </w:rPr>
            </w:pPr>
          </w:p>
          <w:p w14:paraId="03897269" w14:textId="77777777" w:rsidR="00000000" w:rsidRDefault="009B77DC">
            <w:pPr>
              <w:pStyle w:val="paper"/>
              <w:ind w:left="2292" w:hanging="4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  THE COMP</w:t>
            </w:r>
            <w:r>
              <w:rPr>
                <w:rFonts w:ascii="Verdana" w:hAnsi="Verdana"/>
              </w:rPr>
              <w:t xml:space="preserve">ATIBILITY OF JACKFRUIT SEED STARCH AND POLYVINYL ALCOHOL BLEND AS BIOPOLYMER ELECTROLYTE HOST </w:t>
            </w:r>
            <w:r>
              <w:rPr>
                <w:rFonts w:ascii="Verdana" w:hAnsi="Verdana"/>
              </w:rPr>
              <w:br/>
              <w:t xml:space="preserve">(Keserasian Kanji Biji Nangka dan Campuran Polivinil Alkohol sebagai Hos Elektrolit Biopolimer)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 xml:space="preserve">Raihan Ramli, Fairuzdzah Ahmad Lothfy, Asiah Mohd Nor, Ab Malik </w:t>
            </w:r>
            <w:r>
              <w:rPr>
                <w:rFonts w:ascii="Verdana" w:hAnsi="Verdana"/>
                <w:i/>
                <w:iCs/>
              </w:rPr>
              <w:t>Marwan Ali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6CF48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797ACC47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829</w:t>
            </w:r>
          </w:p>
        </w:tc>
      </w:tr>
      <w:tr w:rsidR="00000000" w14:paraId="0757C861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D77CD" w14:textId="77777777" w:rsidR="00000000" w:rsidRDefault="009B77DC">
            <w:pPr>
              <w:pStyle w:val="paper"/>
              <w:ind w:left="2292" w:hanging="450"/>
              <w:rPr>
                <w:rFonts w:ascii="Verdana" w:hAnsi="Verdana"/>
              </w:rPr>
            </w:pPr>
          </w:p>
          <w:p w14:paraId="7E19B987" w14:textId="77777777" w:rsidR="00000000" w:rsidRDefault="009B77DC">
            <w:pPr>
              <w:pStyle w:val="paper"/>
              <w:ind w:left="2292" w:hanging="4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14.  STRUCTURAL AND ELECTROCHEMICAL CHARACTERISATIONS OF LANTHANUM-BASED COBALT FERRITE AND BARIUM CERATE-ZIRCONATE OXIDES AS COMPOSITE CATHODE FOR PROTON CERAMIC FUEL CELL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lastRenderedPageBreak/>
              <w:t>(Pencirian Struktur dan Elektrokimia Lantanum Berasaskan Kobalt</w:t>
            </w:r>
            <w:r>
              <w:rPr>
                <w:rFonts w:ascii="Verdana" w:hAnsi="Verdana"/>
              </w:rPr>
              <w:t xml:space="preserve"> Ferum Oksida dan Barium Serat-Zirkonat Oksida Sebagai Komposit Katod untuk Aplikasi Sel Fuel Seramik Proton)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Nurul Izzati Abd Malek, Ismariza Ismail, Abdul Mutalib Md Jani, Mohd Hafiz Dzarfan Othman, Nafisah Osman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F69E1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6ABD9DB3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838</w:t>
            </w:r>
          </w:p>
        </w:tc>
      </w:tr>
      <w:tr w:rsidR="00000000" w14:paraId="68ACE991" w14:textId="77777777">
        <w:trPr>
          <w:tblCellSpacing w:w="15" w:type="dxa"/>
          <w:jc w:val="center"/>
        </w:trPr>
        <w:tc>
          <w:tcPr>
            <w:tcW w:w="1228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D760" w14:textId="77777777" w:rsidR="00000000" w:rsidRDefault="009B77DC">
            <w:pPr>
              <w:pStyle w:val="paper"/>
              <w:ind w:left="2275" w:right="562" w:hanging="432"/>
              <w:rPr>
                <w:rFonts w:ascii="Verdana" w:hAnsi="Verdana"/>
              </w:rPr>
            </w:pPr>
          </w:p>
          <w:p w14:paraId="4789692C" w14:textId="77777777" w:rsidR="00000000" w:rsidRDefault="009B77DC">
            <w:pPr>
              <w:pStyle w:val="paper"/>
              <w:ind w:left="2275" w:right="562" w:hanging="4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  ASSESSMENT OF METALS IN SED</w:t>
            </w:r>
            <w:r>
              <w:rPr>
                <w:rFonts w:ascii="Verdana" w:hAnsi="Verdana"/>
              </w:rPr>
              <w:t>IMENT OF A MONSOON-DOMINATED REGION IN THE NORTHERN MALACCA STRAIT</w:t>
            </w:r>
            <w:r>
              <w:rPr>
                <w:rFonts w:ascii="Verdana" w:hAnsi="Verdana"/>
              </w:rPr>
              <w:br/>
              <w:t xml:space="preserve">(Penilaian Logam dalam Sedimen di Wilayah yang Didominasi Monsun di Utara Selat Melaka)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Mohamad Arif Che Abd Rahim, Shengfa Liu, Xuefa Shi, Che Abd Rahim Mohamed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49B04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490BE715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845</w:t>
            </w:r>
          </w:p>
        </w:tc>
      </w:tr>
      <w:tr w:rsidR="00000000" w14:paraId="32660339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950D1" w14:textId="77777777" w:rsidR="00000000" w:rsidRDefault="009B77DC">
            <w:pPr>
              <w:pStyle w:val="paper"/>
              <w:ind w:left="2275" w:right="562" w:hanging="432"/>
              <w:rPr>
                <w:rFonts w:ascii="Verdana" w:hAnsi="Verdana"/>
              </w:rPr>
            </w:pPr>
          </w:p>
          <w:p w14:paraId="4AEE4667" w14:textId="77777777" w:rsidR="00000000" w:rsidRDefault="009B77DC">
            <w:pPr>
              <w:pStyle w:val="paper"/>
              <w:ind w:left="2275" w:right="562" w:hanging="4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16.  </w:t>
            </w:r>
            <w:r>
              <w:rPr>
                <w:rFonts w:ascii="Verdana" w:hAnsi="Verdana"/>
              </w:rPr>
              <w:t xml:space="preserve">APPLICATIONS OF NINHYDRIN: SPECTROPHOTOMETRIC DETERMINATION OF HYDRAZINE AND HYDROXYLAMINE </w:t>
            </w:r>
            <w:r>
              <w:rPr>
                <w:rFonts w:ascii="Verdana" w:hAnsi="Verdana"/>
              </w:rPr>
              <w:br/>
              <w:t xml:space="preserve">(Aplikasi Ninhidrin: Penentuan Spektrofotometri bagi Hidrazin dan Hidroksil Amina)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Khaled Elgendy, Mohamed Alaa Eldeen Elmosallamy, Mohamed Hassan, Hend Gamal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FCD83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234BEA3E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85</w:t>
            </w: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5</w:t>
            </w:r>
          </w:p>
        </w:tc>
      </w:tr>
      <w:tr w:rsidR="00000000" w14:paraId="16F731FC" w14:textId="77777777">
        <w:trPr>
          <w:tblCellSpacing w:w="15" w:type="dxa"/>
          <w:jc w:val="center"/>
        </w:trPr>
        <w:tc>
          <w:tcPr>
            <w:tcW w:w="1228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66C1D" w14:textId="77777777" w:rsidR="00000000" w:rsidRDefault="009B77DC">
            <w:pPr>
              <w:pStyle w:val="paper"/>
              <w:ind w:left="2275" w:right="562" w:hanging="432"/>
              <w:rPr>
                <w:rFonts w:ascii="Verdana" w:hAnsi="Verdana"/>
              </w:rPr>
            </w:pPr>
          </w:p>
          <w:p w14:paraId="3BBE562C" w14:textId="77777777" w:rsidR="00000000" w:rsidRDefault="009B77DC">
            <w:pPr>
              <w:pStyle w:val="paper"/>
              <w:ind w:left="2275" w:right="562" w:hanging="4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17.  A BRIEF REVIEW ON CORROSION INHIBITION STUDY OF ORGANIC LIGAND: ELECTROCHEMICAL, MORPHOLOGY, AND ISOTHERM STUDIES </w:t>
            </w:r>
            <w:r>
              <w:rPr>
                <w:rFonts w:ascii="Verdana" w:hAnsi="Verdana"/>
              </w:rPr>
              <w:br/>
              <w:t xml:space="preserve">(Ulasan Ringkas Terhadap Kajian Perencatan Kakisan Ligan oleh Ligan Organik: Kajian Elektrokimia, Morfologi dan Isoterma)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Nur Nadia</w:t>
            </w:r>
            <w:r>
              <w:rPr>
                <w:rFonts w:ascii="Verdana" w:hAnsi="Verdana"/>
                <w:i/>
                <w:iCs/>
              </w:rPr>
              <w:t xml:space="preserve"> Dzulkifli, Nur Zalin Khaleda Razali, Norsanida Iswa Sahani, Sheikh Ahmad Izaddin Sheikh Mohd Ghazali, Dzeelfa Zainal Abidin, Asiah Abdullah, Nurazira Mohd Nor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CB453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6C9E7B90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867</w:t>
            </w:r>
          </w:p>
        </w:tc>
      </w:tr>
      <w:tr w:rsidR="00000000" w14:paraId="76BA1577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54EF7" w14:textId="77777777" w:rsidR="00000000" w:rsidRDefault="009B77DC">
            <w:pPr>
              <w:pStyle w:val="paper"/>
              <w:ind w:left="2160" w:right="562" w:hanging="432"/>
              <w:rPr>
                <w:rFonts w:ascii="Verdana" w:hAnsi="Verdana"/>
              </w:rPr>
            </w:pPr>
          </w:p>
          <w:p w14:paraId="11F318F9" w14:textId="77777777" w:rsidR="00000000" w:rsidRDefault="009B77DC">
            <w:pPr>
              <w:pStyle w:val="paper"/>
              <w:ind w:left="2261" w:right="562" w:hanging="53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18.  POLYPHENOL-MEDIATED GREEN SYNTHESIS OF ZINC OXIDE AND THEIR ANTIBACTERIAL PROPERT</w:t>
            </w:r>
            <w:r>
              <w:rPr>
                <w:rFonts w:ascii="Verdana" w:hAnsi="Verdana"/>
              </w:rPr>
              <w:t xml:space="preserve">IES: A NOVEL SIZE-CONTROLLED APPROACH </w:t>
            </w:r>
            <w:r>
              <w:rPr>
                <w:rFonts w:ascii="Verdana" w:hAnsi="Verdana"/>
              </w:rPr>
              <w:br/>
              <w:t xml:space="preserve">(Sintesis Hijau dengan Mediasi Polifenol dan Ciri Antibakteria Zink Oksida: Pendekatan Kawalan Saiz Baharu)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Neo Zhi Zing, Balkis A. Talip, Soon Chin Fhong, Ainun Rahmahwati Ainuddin, Hatijah Basri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1C79F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6323FD52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884</w:t>
            </w:r>
          </w:p>
        </w:tc>
      </w:tr>
      <w:tr w:rsidR="00000000" w14:paraId="3E70B917" w14:textId="77777777">
        <w:trPr>
          <w:tblCellSpacing w:w="15" w:type="dxa"/>
          <w:jc w:val="center"/>
        </w:trPr>
        <w:tc>
          <w:tcPr>
            <w:tcW w:w="1228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67EE6" w14:textId="77777777" w:rsidR="00000000" w:rsidRDefault="009B77DC">
            <w:pPr>
              <w:pStyle w:val="paper"/>
              <w:ind w:left="0" w:right="562" w:firstLine="0"/>
              <w:rPr>
                <w:rFonts w:ascii="Verdana" w:hAnsi="Verdana"/>
              </w:rPr>
            </w:pPr>
          </w:p>
          <w:p w14:paraId="4ECF2362" w14:textId="77777777" w:rsidR="00000000" w:rsidRDefault="009B77DC">
            <w:pPr>
              <w:pStyle w:val="paper"/>
              <w:ind w:left="2275" w:right="562" w:hanging="4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19.  </w:t>
            </w:r>
            <w:r>
              <w:rPr>
                <w:rFonts w:ascii="Verdana" w:hAnsi="Verdana"/>
              </w:rPr>
              <w:t>APLIKASI KARBON TERAKTIF SEKAM PADI TERHADAP EFLUEN KILANG KELAPA SAWIT MENGGUNAKAN KAEDAH PENJERAPAN</w:t>
            </w:r>
            <w:r>
              <w:rPr>
                <w:rFonts w:ascii="Verdana" w:hAnsi="Verdana"/>
              </w:rPr>
              <w:br/>
              <w:t xml:space="preserve">(Application of Rice Husk Activated Carbon on Palm Oil Mill Effluent using Adsorption Method)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Mohamad Jani Saad, Chia Chin Hua, Sarani Zakaria, Mohd Shai</w:t>
            </w:r>
            <w:r>
              <w:rPr>
                <w:rFonts w:ascii="Verdana" w:hAnsi="Verdana"/>
                <w:i/>
                <w:iCs/>
              </w:rPr>
              <w:t>ful Sajab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D3AAB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7410AAAE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902</w:t>
            </w:r>
          </w:p>
        </w:tc>
      </w:tr>
      <w:tr w:rsidR="00000000" w14:paraId="20396CE0" w14:textId="77777777">
        <w:trPr>
          <w:trHeight w:val="1950"/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98625" w14:textId="77777777" w:rsidR="00000000" w:rsidRDefault="009B77DC">
            <w:pPr>
              <w:pStyle w:val="paper"/>
              <w:ind w:left="2189" w:right="562" w:hanging="432"/>
              <w:rPr>
                <w:rFonts w:ascii="Verdana" w:hAnsi="Verdana"/>
              </w:rPr>
            </w:pPr>
          </w:p>
          <w:p w14:paraId="221BE44D" w14:textId="77777777" w:rsidR="00000000" w:rsidRDefault="009B77DC">
            <w:pPr>
              <w:pStyle w:val="paper"/>
              <w:ind w:left="2218" w:right="562" w:hanging="4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20.  CHANGES OF FATTY ACID COMPOSITION IN SCLERACTINIAN CORAL, </w:t>
            </w:r>
            <w:r>
              <w:rPr>
                <w:rFonts w:ascii="Verdana" w:hAnsi="Verdana"/>
                <w:i/>
                <w:iCs/>
              </w:rPr>
              <w:t>Galaxea fascicularis</w:t>
            </w:r>
            <w:r>
              <w:rPr>
                <w:rFonts w:ascii="Verdana" w:hAnsi="Verdana"/>
              </w:rPr>
              <w:t xml:space="preserve"> (LINNAEUS, 1767) BY ACUTE EXPOSURE OF IRGAROL-1051</w:t>
            </w:r>
            <w:r>
              <w:rPr>
                <w:rFonts w:ascii="Verdana" w:hAnsi="Verdana"/>
              </w:rPr>
              <w:br/>
              <w:t xml:space="preserve">(Perubahan Komposisi Asid Lemak dalam Karang Scleractinia, </w:t>
            </w:r>
            <w:r>
              <w:rPr>
                <w:rFonts w:ascii="Verdana" w:hAnsi="Verdana"/>
                <w:i/>
                <w:iCs/>
              </w:rPr>
              <w:t>Galaxea fascicularis</w:t>
            </w:r>
            <w:r>
              <w:rPr>
                <w:rFonts w:ascii="Verdana" w:hAnsi="Verdana"/>
              </w:rPr>
              <w:t xml:space="preserve"> (LINNAEUS, 1976) oleh </w:t>
            </w:r>
            <w:r>
              <w:rPr>
                <w:rFonts w:ascii="Verdana" w:hAnsi="Verdana"/>
              </w:rPr>
              <w:t xml:space="preserve">Pededahan Akut Irgarol-1051)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 xml:space="preserve">Hassan Rashid Ali, Che Din Mohd Safuan, Marinah Mohd Ariffin, Mohammed Ali Sheikh, Noor Azhar Mohamed Shazili, Aminudin Muhammad Afiq-Firdaus, Zainudin Bachok 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233EB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  <w:p w14:paraId="0C5E7EF6" w14:textId="77777777" w:rsidR="00000000" w:rsidRDefault="009B77DC">
            <w:pPr>
              <w:ind w:right="1218" w:hanging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914</w:t>
            </w:r>
          </w:p>
        </w:tc>
      </w:tr>
      <w:tr w:rsidR="00000000" w14:paraId="40D0C96F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2881E" w14:textId="77777777" w:rsidR="00000000" w:rsidRDefault="009B77D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CD053" w14:textId="77777777" w:rsidR="00000000" w:rsidRDefault="009B77D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000000" w14:paraId="0008B0C1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C7387" w14:textId="77777777" w:rsidR="00000000" w:rsidRDefault="009B77D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8D177" w14:textId="77777777" w:rsidR="00000000" w:rsidRDefault="009B77D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000000" w14:paraId="1962DD8E" w14:textId="77777777">
        <w:trPr>
          <w:tblCellSpacing w:w="15" w:type="dxa"/>
          <w:jc w:val="center"/>
        </w:trPr>
        <w:tc>
          <w:tcPr>
            <w:tcW w:w="12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718C84" w14:textId="77777777" w:rsidR="00000000" w:rsidRDefault="009B77D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88AD4" w14:textId="77777777" w:rsidR="00000000" w:rsidRDefault="009B77D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</w:tbl>
    <w:p w14:paraId="00DA51B4" w14:textId="77777777" w:rsidR="00000000" w:rsidRDefault="009B77DC">
      <w:pPr>
        <w:rPr>
          <w:rFonts w:eastAsia="Times New Roman"/>
        </w:rPr>
      </w:pPr>
    </w:p>
    <w:sectPr w:rsidR="00000000">
      <w:pgSz w:w="12240" w:h="15840"/>
      <w:pgMar w:top="1800" w:right="1469" w:bottom="16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DC"/>
    <w:rsid w:val="009B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3158A"/>
  <w15:chartTrackingRefBased/>
  <w15:docId w15:val="{2AC3E66B-0FEC-40ED-9588-64E2C79D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F7AF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A008A0"/>
      <w:u w:val="none"/>
      <w:effect w:val="none"/>
    </w:rPr>
  </w:style>
  <w:style w:type="paragraph" w:customStyle="1" w:styleId="msonormal0">
    <w:name w:val="msonormal"/>
    <w:basedOn w:val="Normal"/>
    <w:uiPriority w:val="99"/>
    <w:semiHidden/>
    <w:pPr>
      <w:ind w:left="567"/>
    </w:pPr>
  </w:style>
  <w:style w:type="paragraph" w:styleId="NormalWeb">
    <w:name w:val="Normal (Web)"/>
    <w:basedOn w:val="Normal"/>
    <w:uiPriority w:val="99"/>
    <w:semiHidden/>
    <w:unhideWhenUsed/>
    <w:pPr>
      <w:ind w:left="567"/>
    </w:pPr>
  </w:style>
  <w:style w:type="paragraph" w:customStyle="1" w:styleId="paper">
    <w:name w:val="paper"/>
    <w:basedOn w:val="Normal"/>
    <w:uiPriority w:val="99"/>
    <w:semiHidden/>
    <w:pPr>
      <w:ind w:left="1021" w:right="567" w:hanging="454"/>
    </w:pPr>
    <w:rPr>
      <w:color w:val="000000"/>
      <w:spacing w:val="-10"/>
      <w:sz w:val="20"/>
      <w:szCs w:val="20"/>
    </w:rPr>
  </w:style>
  <w:style w:type="paragraph" w:customStyle="1" w:styleId="paper1">
    <w:name w:val="paper1"/>
    <w:basedOn w:val="Normal"/>
    <w:uiPriority w:val="99"/>
    <w:semiHidden/>
    <w:pPr>
      <w:ind w:left="567" w:right="567" w:hanging="113"/>
      <w:jc w:val="both"/>
    </w:pPr>
    <w:rPr>
      <w:color w:val="000000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6055</Characters>
  <Application>Microsoft Office Word</Application>
  <DocSecurity>0</DocSecurity>
  <Lines>50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| Malaysian Journal of Analytical Sciences</dc:title>
  <dc:subject/>
  <dc:creator>Harun Hamzah</dc:creator>
  <cp:keywords/>
  <dc:description/>
  <cp:lastModifiedBy>Harun Hamzah</cp:lastModifiedBy>
  <cp:revision>2</cp:revision>
  <cp:lastPrinted>2022-08-30T01:41:00Z</cp:lastPrinted>
  <dcterms:created xsi:type="dcterms:W3CDTF">2022-08-30T01:56:00Z</dcterms:created>
  <dcterms:modified xsi:type="dcterms:W3CDTF">2022-08-30T01:56:00Z</dcterms:modified>
</cp:coreProperties>
</file>