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2DCD2D62" w:rsidR="006768E9" w:rsidRPr="00F447A7" w:rsidRDefault="003E5F9B" w:rsidP="00F375E3">
      <w:pPr>
        <w:spacing w:after="0"/>
        <w:jc w:val="center"/>
        <w:rPr>
          <w:rFonts w:ascii="Times New Roman" w:hAnsi="Times New Roman"/>
          <w:noProof/>
          <w:sz w:val="28"/>
          <w:szCs w:val="28"/>
          <w:lang w:bidi="ar-SA"/>
        </w:rPr>
      </w:pPr>
      <w:bookmarkStart w:id="0" w:name="_Hlk111105977"/>
      <w:r w:rsidRPr="003E5F9B">
        <w:rPr>
          <w:rFonts w:ascii="Times New Roman" w:hAnsi="Times New Roman"/>
          <w:sz w:val="28"/>
          <w:szCs w:val="28"/>
          <w:lang w:val="en-GB"/>
        </w:rPr>
        <w:t xml:space="preserve">EVALUATION OF THE TOTAL FLAVONOID, PHENOLIC CONTENT, AND ANTIOXIDANT ACTIVITY IN SABAH SNAKE GRASS EXTRACTS </w:t>
      </w:r>
      <w:r w:rsidRPr="00F43307">
        <w:rPr>
          <w:rFonts w:ascii="Times New Roman" w:hAnsi="Times New Roman"/>
          <w:i/>
          <w:iCs/>
          <w:sz w:val="28"/>
          <w:szCs w:val="28"/>
          <w:lang w:val="en-GB"/>
        </w:rPr>
        <w:t>(Clinacanthus nutans Lindau)</w:t>
      </w:r>
    </w:p>
    <w:p w14:paraId="349D3987" w14:textId="77777777" w:rsidR="006768E9" w:rsidRPr="00F447A7" w:rsidRDefault="006768E9" w:rsidP="00F375E3">
      <w:pPr>
        <w:spacing w:after="0"/>
        <w:jc w:val="center"/>
        <w:rPr>
          <w:rFonts w:ascii="Times New Roman" w:hAnsi="Times New Roman"/>
          <w:noProof/>
          <w:sz w:val="24"/>
          <w:szCs w:val="24"/>
          <w:lang w:bidi="ar-SA"/>
        </w:rPr>
      </w:pPr>
    </w:p>
    <w:p w14:paraId="6C4467C0" w14:textId="77777777" w:rsidR="00251B7C" w:rsidRPr="00251B7C" w:rsidRDefault="00251B7C" w:rsidP="00F375E3">
      <w:pPr>
        <w:widowControl w:val="0"/>
        <w:autoSpaceDE w:val="0"/>
        <w:autoSpaceDN w:val="0"/>
        <w:spacing w:after="0"/>
        <w:jc w:val="center"/>
        <w:outlineLvl w:val="0"/>
        <w:rPr>
          <w:rFonts w:ascii="Times New Roman" w:eastAsia="SimSun" w:hAnsi="Times New Roman"/>
          <w:noProof/>
          <w:kern w:val="2"/>
          <w:sz w:val="24"/>
          <w:szCs w:val="24"/>
          <w:lang w:val="en-GB" w:eastAsia="ko-KR" w:bidi="ar-SA"/>
        </w:rPr>
      </w:pPr>
      <w:r w:rsidRPr="00251B7C">
        <w:rPr>
          <w:rFonts w:ascii="Times New Roman" w:eastAsia="SimSun" w:hAnsi="Times New Roman"/>
          <w:kern w:val="2"/>
          <w:sz w:val="24"/>
          <w:lang w:val="en-GB" w:eastAsia="ko-KR" w:bidi="ar-SA"/>
        </w:rPr>
        <w:t>(</w:t>
      </w:r>
      <w:r w:rsidRPr="00251B7C">
        <w:rPr>
          <w:rFonts w:ascii="Times New Roman" w:eastAsia="SimSun" w:hAnsi="Times New Roman"/>
          <w:noProof/>
          <w:kern w:val="2"/>
          <w:sz w:val="24"/>
          <w:szCs w:val="24"/>
          <w:lang w:val="en-GB" w:eastAsia="ko-KR" w:bidi="ar-SA"/>
        </w:rPr>
        <w:t xml:space="preserve">Penilaian Jumlah Kandungan Flavonoid, Fenolik dan Aktiviti Antioksida </w:t>
      </w:r>
    </w:p>
    <w:p w14:paraId="174D26D5" w14:textId="77777777" w:rsidR="00251B7C" w:rsidRPr="00251B7C" w:rsidRDefault="00251B7C" w:rsidP="00F375E3">
      <w:pPr>
        <w:widowControl w:val="0"/>
        <w:autoSpaceDE w:val="0"/>
        <w:autoSpaceDN w:val="0"/>
        <w:spacing w:after="0"/>
        <w:jc w:val="center"/>
        <w:outlineLvl w:val="0"/>
        <w:rPr>
          <w:rFonts w:ascii="Times New Roman" w:eastAsia="SimSun" w:hAnsi="Times New Roman"/>
          <w:kern w:val="2"/>
          <w:sz w:val="24"/>
          <w:lang w:val="fr-FR" w:eastAsia="ko-KR" w:bidi="ar-SA"/>
        </w:rPr>
      </w:pPr>
      <w:r w:rsidRPr="00251B7C">
        <w:rPr>
          <w:rFonts w:ascii="Times New Roman" w:eastAsia="SimSun" w:hAnsi="Times New Roman"/>
          <w:noProof/>
          <w:kern w:val="2"/>
          <w:sz w:val="24"/>
          <w:szCs w:val="24"/>
          <w:lang w:val="fr-FR" w:eastAsia="ko-KR" w:bidi="ar-SA"/>
        </w:rPr>
        <w:t xml:space="preserve">bagi Ekstrak Belalai Gajah </w:t>
      </w:r>
      <w:r w:rsidRPr="00251B7C">
        <w:rPr>
          <w:rFonts w:ascii="Times New Roman" w:eastAsia="SimSun" w:hAnsi="Times New Roman"/>
          <w:i/>
          <w:iCs/>
          <w:noProof/>
          <w:kern w:val="2"/>
          <w:sz w:val="24"/>
          <w:szCs w:val="24"/>
          <w:lang w:val="fr-FR" w:eastAsia="ko-KR" w:bidi="ar-SA"/>
        </w:rPr>
        <w:t>Clinacanthus nutans Lindau</w:t>
      </w:r>
      <w:r w:rsidRPr="00251B7C">
        <w:rPr>
          <w:rFonts w:ascii="Times New Roman" w:eastAsia="SimSun" w:hAnsi="Times New Roman"/>
          <w:kern w:val="2"/>
          <w:sz w:val="24"/>
          <w:lang w:val="fr-FR" w:eastAsia="ko-KR" w:bidi="ar-SA"/>
        </w:rPr>
        <w:t>)</w:t>
      </w:r>
    </w:p>
    <w:p w14:paraId="05D767EA" w14:textId="77777777" w:rsidR="00251B7C" w:rsidRPr="00251B7C" w:rsidRDefault="00251B7C" w:rsidP="00F375E3">
      <w:pPr>
        <w:widowControl w:val="0"/>
        <w:autoSpaceDE w:val="0"/>
        <w:autoSpaceDN w:val="0"/>
        <w:spacing w:after="0"/>
        <w:jc w:val="center"/>
        <w:outlineLvl w:val="0"/>
        <w:rPr>
          <w:rFonts w:ascii="Times New Roman" w:eastAsia="SimSun" w:hAnsi="Times New Roman"/>
          <w:b/>
          <w:kern w:val="2"/>
          <w:sz w:val="20"/>
          <w:szCs w:val="20"/>
          <w:lang w:val="fr-FR" w:eastAsia="ko-KR" w:bidi="ar-SA"/>
        </w:rPr>
      </w:pPr>
    </w:p>
    <w:p w14:paraId="33BA27C4" w14:textId="77777777" w:rsidR="00251B7C" w:rsidRPr="00251B7C" w:rsidRDefault="00251B7C" w:rsidP="00F375E3">
      <w:pPr>
        <w:widowControl w:val="0"/>
        <w:autoSpaceDE w:val="0"/>
        <w:autoSpaceDN w:val="0"/>
        <w:spacing w:after="0"/>
        <w:jc w:val="center"/>
        <w:rPr>
          <w:rFonts w:ascii="Times New Roman" w:eastAsia="SimSun" w:hAnsi="Times New Roman"/>
          <w:kern w:val="2"/>
          <w:sz w:val="20"/>
          <w:szCs w:val="20"/>
          <w:lang w:val="en-GB" w:eastAsia="ko-KR" w:bidi="ar-SA"/>
        </w:rPr>
      </w:pPr>
      <w:r w:rsidRPr="00251B7C">
        <w:rPr>
          <w:rFonts w:ascii="Times New Roman" w:eastAsia="SimSun" w:hAnsi="Times New Roman"/>
          <w:kern w:val="2"/>
          <w:sz w:val="20"/>
          <w:szCs w:val="20"/>
          <w:lang w:val="en-GB" w:eastAsia="ko-KR" w:bidi="ar-SA"/>
        </w:rPr>
        <w:t>Idham Zaharudie and Chong Shu Xian*</w:t>
      </w:r>
    </w:p>
    <w:p w14:paraId="0794670B" w14:textId="77777777" w:rsidR="00251B7C" w:rsidRPr="00251B7C" w:rsidRDefault="00251B7C" w:rsidP="00F375E3">
      <w:pPr>
        <w:widowControl w:val="0"/>
        <w:autoSpaceDE w:val="0"/>
        <w:autoSpaceDN w:val="0"/>
        <w:spacing w:after="0"/>
        <w:jc w:val="center"/>
        <w:outlineLvl w:val="0"/>
        <w:rPr>
          <w:rFonts w:ascii="Times New Roman" w:eastAsia="SimSun" w:hAnsi="Times New Roman"/>
          <w:b/>
          <w:kern w:val="2"/>
          <w:sz w:val="18"/>
          <w:szCs w:val="18"/>
          <w:lang w:val="en-GB" w:eastAsia="ko-KR" w:bidi="ar-SA"/>
        </w:rPr>
      </w:pPr>
    </w:p>
    <w:p w14:paraId="6341C67E" w14:textId="77777777" w:rsidR="00251B7C" w:rsidRPr="00251B7C" w:rsidRDefault="00251B7C" w:rsidP="00F375E3">
      <w:pPr>
        <w:widowControl w:val="0"/>
        <w:autoSpaceDE w:val="0"/>
        <w:autoSpaceDN w:val="0"/>
        <w:spacing w:after="0"/>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 xml:space="preserve">Faculty of Pharmacy, </w:t>
      </w:r>
    </w:p>
    <w:p w14:paraId="67394FEC" w14:textId="6AEF8841" w:rsidR="00251B7C" w:rsidRPr="00251B7C" w:rsidRDefault="00251B7C" w:rsidP="00F375E3">
      <w:pPr>
        <w:widowControl w:val="0"/>
        <w:autoSpaceDE w:val="0"/>
        <w:autoSpaceDN w:val="0"/>
        <w:spacing w:after="0"/>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 xml:space="preserve">SEGi University, No. 9, Jalan Teknologi, Taman Sains Selangor, Kota Damansara, PJU 5, </w:t>
      </w:r>
    </w:p>
    <w:p w14:paraId="1CBC0F71" w14:textId="77777777" w:rsidR="00251B7C" w:rsidRPr="00251B7C" w:rsidRDefault="00251B7C" w:rsidP="00F375E3">
      <w:pPr>
        <w:widowControl w:val="0"/>
        <w:autoSpaceDE w:val="0"/>
        <w:autoSpaceDN w:val="0"/>
        <w:spacing w:after="0"/>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47810 Petaling Jaya, Selangor, Malaysia</w:t>
      </w:r>
    </w:p>
    <w:p w14:paraId="75A91B71" w14:textId="77777777" w:rsidR="00251B7C" w:rsidRPr="00251B7C" w:rsidRDefault="00251B7C" w:rsidP="00F375E3">
      <w:pPr>
        <w:widowControl w:val="0"/>
        <w:autoSpaceDE w:val="0"/>
        <w:autoSpaceDN w:val="0"/>
        <w:spacing w:after="0"/>
        <w:jc w:val="center"/>
        <w:outlineLvl w:val="0"/>
        <w:rPr>
          <w:rFonts w:ascii="Times New Roman" w:eastAsia="SimSun" w:hAnsi="Times New Roman"/>
          <w:b/>
          <w:kern w:val="2"/>
          <w:sz w:val="18"/>
          <w:szCs w:val="18"/>
          <w:lang w:val="en-GB" w:eastAsia="ko-KR" w:bidi="ar-SA"/>
        </w:rPr>
      </w:pPr>
    </w:p>
    <w:p w14:paraId="738EC37F" w14:textId="024B1662" w:rsidR="00251B7C" w:rsidRPr="00251B7C" w:rsidRDefault="00251B7C" w:rsidP="00F375E3">
      <w:pPr>
        <w:widowControl w:val="0"/>
        <w:autoSpaceDE w:val="0"/>
        <w:autoSpaceDN w:val="0"/>
        <w:spacing w:after="0"/>
        <w:jc w:val="center"/>
        <w:outlineLvl w:val="0"/>
        <w:rPr>
          <w:rFonts w:ascii="Times New Roman" w:eastAsia="SimSun" w:hAnsi="Times New Roman"/>
          <w:i/>
          <w:kern w:val="2"/>
          <w:sz w:val="18"/>
          <w:lang w:val="en-GB" w:eastAsia="ko-KR" w:bidi="ar-SA"/>
        </w:rPr>
      </w:pPr>
      <w:r w:rsidRPr="009D4EA9">
        <w:rPr>
          <w:rFonts w:ascii="Times New Roman" w:eastAsia="SimSun" w:hAnsi="Times New Roman"/>
          <w:i/>
          <w:kern w:val="2"/>
          <w:sz w:val="18"/>
          <w:lang w:val="en-GB" w:eastAsia="ko-KR" w:bidi="ar-SA"/>
        </w:rPr>
        <w:t>*</w:t>
      </w:r>
      <w:r w:rsidRPr="00251B7C">
        <w:rPr>
          <w:rFonts w:ascii="Times New Roman" w:eastAsia="SimSun" w:hAnsi="Times New Roman"/>
          <w:i/>
          <w:kern w:val="2"/>
          <w:sz w:val="18"/>
          <w:lang w:val="en-GB" w:eastAsia="ko-KR" w:bidi="ar-SA"/>
        </w:rPr>
        <w:t xml:space="preserve">Corresponding author: </w:t>
      </w:r>
      <w:r w:rsidR="009D4EA9">
        <w:rPr>
          <w:rFonts w:ascii="Times New Roman" w:eastAsia="SimSun" w:hAnsi="Times New Roman"/>
          <w:i/>
          <w:kern w:val="2"/>
          <w:sz w:val="18"/>
          <w:lang w:val="en-GB" w:eastAsia="ko-KR" w:bidi="ar-SA"/>
        </w:rPr>
        <w:t xml:space="preserve"> </w:t>
      </w:r>
      <w:r w:rsidRPr="00251B7C">
        <w:rPr>
          <w:rFonts w:ascii="Times New Roman" w:eastAsia="SimSun" w:hAnsi="Times New Roman"/>
          <w:i/>
          <w:iCs/>
          <w:kern w:val="2"/>
          <w:sz w:val="18"/>
          <w:szCs w:val="18"/>
          <w:lang w:val="en-GB" w:eastAsia="ko-KR" w:bidi="ar-SA"/>
        </w:rPr>
        <w:t>chongshuxian@segi.edu.my</w:t>
      </w:r>
    </w:p>
    <w:p w14:paraId="605ADCCB" w14:textId="77777777" w:rsidR="006768E9" w:rsidRPr="00F447A7" w:rsidRDefault="006768E9" w:rsidP="00F375E3">
      <w:pPr>
        <w:spacing w:after="0"/>
        <w:jc w:val="center"/>
        <w:rPr>
          <w:rFonts w:ascii="Times New Roman" w:hAnsi="Times New Roman"/>
          <w:noProof/>
          <w:sz w:val="18"/>
          <w:szCs w:val="18"/>
          <w:lang w:bidi="ar-SA"/>
        </w:rPr>
      </w:pPr>
    </w:p>
    <w:p w14:paraId="18D54BE3" w14:textId="77777777" w:rsidR="006768E9" w:rsidRDefault="006768E9" w:rsidP="00F375E3">
      <w:pPr>
        <w:spacing w:after="0"/>
        <w:jc w:val="center"/>
        <w:rPr>
          <w:rFonts w:ascii="Times New Roman" w:hAnsi="Times New Roman"/>
          <w:noProof/>
          <w:sz w:val="18"/>
          <w:szCs w:val="18"/>
          <w:lang w:bidi="ar-SA"/>
        </w:rPr>
      </w:pPr>
    </w:p>
    <w:p w14:paraId="49CD0BC5" w14:textId="32F81734" w:rsidR="00BA1F7B" w:rsidRDefault="00BA1F7B" w:rsidP="00F375E3">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520917">
        <w:rPr>
          <w:rFonts w:ascii="Times New Roman" w:hAnsi="Times New Roman"/>
          <w:noProof/>
          <w:sz w:val="18"/>
          <w:szCs w:val="18"/>
          <w:lang w:bidi="ar-SA"/>
        </w:rPr>
        <w:t>3</w:t>
      </w:r>
      <w:r w:rsidR="00430237">
        <w:rPr>
          <w:rFonts w:ascii="Times New Roman" w:hAnsi="Times New Roman"/>
          <w:noProof/>
          <w:sz w:val="18"/>
          <w:szCs w:val="18"/>
          <w:lang w:bidi="ar-SA"/>
        </w:rPr>
        <w:t xml:space="preserve"> March 2022</w:t>
      </w:r>
      <w:r>
        <w:rPr>
          <w:rFonts w:ascii="Times New Roman" w:hAnsi="Times New Roman"/>
          <w:noProof/>
          <w:sz w:val="18"/>
          <w:szCs w:val="18"/>
          <w:lang w:bidi="ar-SA"/>
        </w:rPr>
        <w:t xml:space="preserve">; Accepted: </w:t>
      </w:r>
      <w:r w:rsidR="00520917">
        <w:rPr>
          <w:rFonts w:ascii="Times New Roman" w:hAnsi="Times New Roman"/>
          <w:noProof/>
          <w:sz w:val="18"/>
          <w:szCs w:val="18"/>
          <w:lang w:bidi="ar-SA"/>
        </w:rPr>
        <w:t>12</w:t>
      </w:r>
      <w:r w:rsidR="00430237">
        <w:rPr>
          <w:rFonts w:ascii="Times New Roman" w:hAnsi="Times New Roman"/>
          <w:noProof/>
          <w:sz w:val="18"/>
          <w:szCs w:val="18"/>
          <w:lang w:bidi="ar-SA"/>
        </w:rPr>
        <w:t xml:space="preserve"> April 2022</w:t>
      </w:r>
      <w:r w:rsidR="00F82059">
        <w:rPr>
          <w:rFonts w:ascii="Times New Roman" w:hAnsi="Times New Roman"/>
          <w:noProof/>
          <w:sz w:val="18"/>
          <w:szCs w:val="18"/>
          <w:lang w:bidi="ar-SA"/>
        </w:rPr>
        <w:t xml:space="preserve">; </w:t>
      </w:r>
      <w:r w:rsidR="00F82059" w:rsidRPr="009D4EA9">
        <w:rPr>
          <w:rFonts w:ascii="Times New Roman" w:hAnsi="Times New Roman"/>
          <w:noProof/>
          <w:sz w:val="18"/>
          <w:szCs w:val="18"/>
          <w:lang w:bidi="ar-SA"/>
        </w:rPr>
        <w:t>Published:</w:t>
      </w:r>
      <w:r w:rsidR="009D4EA9">
        <w:rPr>
          <w:rFonts w:ascii="Times New Roman" w:hAnsi="Times New Roman"/>
          <w:noProof/>
          <w:sz w:val="18"/>
          <w:szCs w:val="18"/>
          <w:lang w:bidi="ar-SA"/>
        </w:rPr>
        <w:t xml:space="preserve">  </w:t>
      </w:r>
      <w:r w:rsidR="0002355A">
        <w:rPr>
          <w:rFonts w:ascii="Times New Roman" w:hAnsi="Times New Roman"/>
          <w:noProof/>
          <w:sz w:val="18"/>
          <w:szCs w:val="18"/>
          <w:lang w:bidi="ar-SA"/>
        </w:rPr>
        <w:t>25</w:t>
      </w:r>
      <w:r w:rsidR="009D4EA9">
        <w:rPr>
          <w:rFonts w:ascii="Times New Roman" w:hAnsi="Times New Roman"/>
          <w:noProof/>
          <w:sz w:val="18"/>
          <w:szCs w:val="18"/>
          <w:lang w:bidi="ar-SA"/>
        </w:rPr>
        <w:t xml:space="preserve"> August 2022</w:t>
      </w:r>
      <w:r w:rsidR="00F82059" w:rsidRPr="009D4EA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2E70284D" w14:textId="77777777" w:rsidR="009B63F8" w:rsidRPr="009B63F8" w:rsidRDefault="009B63F8" w:rsidP="00F16462">
      <w:pPr>
        <w:widowControl w:val="0"/>
        <w:wordWrap w:val="0"/>
        <w:autoSpaceDE w:val="0"/>
        <w:autoSpaceDN w:val="0"/>
        <w:spacing w:after="0"/>
        <w:jc w:val="center"/>
        <w:outlineLvl w:val="0"/>
        <w:rPr>
          <w:rFonts w:ascii="Times New Roman" w:eastAsia="SimSun" w:hAnsi="Times New Roman"/>
          <w:b/>
          <w:kern w:val="2"/>
          <w:sz w:val="18"/>
          <w:szCs w:val="18"/>
          <w:lang w:val="en-GB" w:eastAsia="ko-KR" w:bidi="ar-SA"/>
        </w:rPr>
      </w:pPr>
      <w:r w:rsidRPr="009B63F8">
        <w:rPr>
          <w:rFonts w:ascii="Times New Roman" w:eastAsia="SimSun" w:hAnsi="Times New Roman"/>
          <w:b/>
          <w:kern w:val="2"/>
          <w:sz w:val="18"/>
          <w:szCs w:val="18"/>
          <w:lang w:val="en-GB" w:eastAsia="ko-KR" w:bidi="ar-SA"/>
        </w:rPr>
        <w:t>Abstract</w:t>
      </w:r>
    </w:p>
    <w:p w14:paraId="1FC6E6F2" w14:textId="77777777" w:rsidR="009B63F8" w:rsidRPr="009B63F8" w:rsidRDefault="009B63F8" w:rsidP="00F16462">
      <w:pPr>
        <w:spacing w:after="0"/>
        <w:jc w:val="both"/>
        <w:rPr>
          <w:rFonts w:ascii="Times New Roman" w:hAnsi="Times New Roman"/>
          <w:sz w:val="18"/>
          <w:szCs w:val="18"/>
          <w:lang w:val="en-GB" w:eastAsia="ko-KR" w:bidi="ar-SA"/>
        </w:rPr>
      </w:pPr>
      <w:r w:rsidRPr="009B63F8">
        <w:rPr>
          <w:rFonts w:ascii="Times New Roman" w:hAnsi="Times New Roman"/>
          <w:i/>
          <w:iCs/>
          <w:sz w:val="18"/>
          <w:szCs w:val="18"/>
          <w:lang w:val="en-GB" w:eastAsia="ko-KR" w:bidi="ar-SA"/>
        </w:rPr>
        <w:t xml:space="preserve">Clinacanthus nutans Lindau </w:t>
      </w:r>
      <w:r w:rsidRPr="009B63F8">
        <w:rPr>
          <w:rFonts w:ascii="Times New Roman" w:hAnsi="Times New Roman"/>
          <w:sz w:val="18"/>
          <w:szCs w:val="18"/>
          <w:lang w:val="en-GB" w:eastAsia="ko-KR" w:bidi="ar-SA"/>
        </w:rPr>
        <w:t>(</w:t>
      </w:r>
      <w:bookmarkStart w:id="1" w:name="_Hlk100154651"/>
      <w:r w:rsidRPr="009B63F8">
        <w:rPr>
          <w:rFonts w:ascii="Times New Roman" w:hAnsi="Times New Roman"/>
          <w:i/>
          <w:iCs/>
          <w:sz w:val="18"/>
          <w:szCs w:val="18"/>
          <w:lang w:val="en-GB" w:eastAsia="ko-KR" w:bidi="ar-SA"/>
        </w:rPr>
        <w:t>C. nutans</w:t>
      </w:r>
      <w:bookmarkEnd w:id="1"/>
      <w:r w:rsidRPr="009B63F8">
        <w:rPr>
          <w:rFonts w:ascii="Times New Roman" w:hAnsi="Times New Roman"/>
          <w:sz w:val="18"/>
          <w:szCs w:val="18"/>
          <w:lang w:val="en-GB" w:eastAsia="ko-KR" w:bidi="ar-SA"/>
        </w:rPr>
        <w:t xml:space="preserve">) or locally known in Malaysia as the Sabah Snake Grass (SSG) contains phytochemicals such as flavonoids and phenolic acids. The leaves of the plant exhibit antioxidant, anti-inflammatory, and antiviral properties, thus, it was traditionally used to treat venomous injuries, rheumatism, and sprains throughout Asia. Previous studies of the antioxidative activity in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extracts have been carried out under different conditions or using different extraction methods, which may have resulted in a varied yield of antioxidative constituents. Thus, this study aimed to compare the total phenolic content (TPC), total flavonoid content (TFC), and antioxidative activity of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methanol, water, and hexane extracts using the traditional solvent extraction method. Results showed that the water extract contains the highest TPC value (3.66 ± 0.11 mg GAE/g) followed by methanol (2.84 ± 0.36 mg GAE/g) and hexane (0.13 ± 0.03 mg GAE/g). The TPC values of methanol and water extracts were significantly higher than hexane (p &lt; 0.05). For TFC value, the methanol extract was the highest (1.91 ± 0.05 mg QE/g), followed by water extract (1.50 ± 0.01 mg QE/g) and hexane was not detected. The radical scavenging activity (RSA) decreased in the order of methanol &gt; water &gt; hexane extract. In conclusion, the study suggests that high phenolic and flavonoid contents in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extracts may be the key factor for it to act as an excellent source of natural antioxidants. </w:t>
      </w:r>
    </w:p>
    <w:p w14:paraId="2C9684A4" w14:textId="77777777" w:rsidR="009B63F8" w:rsidRPr="009B63F8" w:rsidRDefault="009B63F8" w:rsidP="009D4EA9">
      <w:pPr>
        <w:widowControl w:val="0"/>
        <w:autoSpaceDE w:val="0"/>
        <w:autoSpaceDN w:val="0"/>
        <w:spacing w:after="0"/>
        <w:jc w:val="both"/>
        <w:outlineLvl w:val="0"/>
        <w:rPr>
          <w:rFonts w:ascii="Times New Roman" w:eastAsia="SimSun" w:hAnsi="Times New Roman"/>
          <w:kern w:val="2"/>
          <w:sz w:val="18"/>
          <w:szCs w:val="18"/>
          <w:lang w:val="en-GB" w:eastAsia="ko-KR" w:bidi="ar-SA"/>
        </w:rPr>
      </w:pPr>
    </w:p>
    <w:p w14:paraId="256B604C" w14:textId="77777777" w:rsidR="009B63F8" w:rsidRPr="009B63F8" w:rsidRDefault="009B63F8" w:rsidP="009D4EA9">
      <w:pPr>
        <w:widowControl w:val="0"/>
        <w:autoSpaceDE w:val="0"/>
        <w:autoSpaceDN w:val="0"/>
        <w:spacing w:after="0"/>
        <w:jc w:val="both"/>
        <w:outlineLvl w:val="0"/>
        <w:rPr>
          <w:rFonts w:ascii="Times New Roman" w:eastAsia="SimSun" w:hAnsi="Times New Roman"/>
          <w:kern w:val="2"/>
          <w:sz w:val="20"/>
          <w:lang w:val="en-GB" w:eastAsia="ko-KR" w:bidi="ar-SA"/>
        </w:rPr>
      </w:pPr>
      <w:r w:rsidRPr="009B63F8">
        <w:rPr>
          <w:rFonts w:ascii="Times New Roman" w:eastAsia="SimSun" w:hAnsi="Times New Roman"/>
          <w:b/>
          <w:kern w:val="2"/>
          <w:sz w:val="18"/>
          <w:szCs w:val="18"/>
          <w:lang w:val="en-GB" w:eastAsia="ko-KR" w:bidi="ar-SA"/>
        </w:rPr>
        <w:t>Keywords</w:t>
      </w:r>
      <w:r w:rsidRPr="009B63F8">
        <w:rPr>
          <w:rFonts w:ascii="Times New Roman" w:eastAsia="SimSun" w:hAnsi="Times New Roman"/>
          <w:kern w:val="2"/>
          <w:sz w:val="18"/>
          <w:szCs w:val="18"/>
          <w:lang w:val="en-GB" w:eastAsia="ko-KR" w:bidi="ar-SA"/>
        </w:rPr>
        <w:t>:</w:t>
      </w:r>
      <w:r w:rsidRPr="009B63F8">
        <w:rPr>
          <w:rFonts w:ascii="Times New Roman" w:eastAsia="SimSun" w:hAnsi="Times New Roman"/>
          <w:kern w:val="2"/>
          <w:sz w:val="20"/>
          <w:lang w:val="en-GB" w:eastAsia="ko-KR" w:bidi="ar-SA"/>
        </w:rPr>
        <w:t xml:space="preserve"> </w:t>
      </w:r>
      <w:r w:rsidRPr="009B63F8">
        <w:rPr>
          <w:rFonts w:ascii="Times New Roman" w:eastAsia="SimSun" w:hAnsi="Times New Roman"/>
          <w:kern w:val="2"/>
          <w:sz w:val="18"/>
          <w:szCs w:val="18"/>
          <w:lang w:val="en-GB" w:eastAsia="ko-KR" w:bidi="ar-SA"/>
        </w:rPr>
        <w:t>Sabah snake grass, total phenolic content, total flavonoid content, radical scavenging activity</w:t>
      </w:r>
    </w:p>
    <w:p w14:paraId="2359F97C" w14:textId="77777777" w:rsidR="009B63F8" w:rsidRPr="009B63F8" w:rsidRDefault="009B63F8" w:rsidP="009D4EA9">
      <w:pPr>
        <w:widowControl w:val="0"/>
        <w:autoSpaceDE w:val="0"/>
        <w:autoSpaceDN w:val="0"/>
        <w:spacing w:after="0"/>
        <w:jc w:val="center"/>
        <w:outlineLvl w:val="0"/>
        <w:rPr>
          <w:rFonts w:ascii="Times New Roman" w:eastAsia="SimSun" w:hAnsi="Times New Roman"/>
          <w:b/>
          <w:kern w:val="2"/>
          <w:sz w:val="18"/>
          <w:szCs w:val="18"/>
          <w:lang w:val="en-GB" w:eastAsia="ko-KR" w:bidi="ar-SA"/>
        </w:rPr>
      </w:pPr>
    </w:p>
    <w:p w14:paraId="4DC4D486" w14:textId="77777777" w:rsidR="009B63F8" w:rsidRPr="009B63F8" w:rsidRDefault="009B63F8" w:rsidP="009D4EA9">
      <w:pPr>
        <w:widowControl w:val="0"/>
        <w:autoSpaceDE w:val="0"/>
        <w:autoSpaceDN w:val="0"/>
        <w:spacing w:after="0"/>
        <w:jc w:val="center"/>
        <w:outlineLvl w:val="0"/>
        <w:rPr>
          <w:rFonts w:ascii="Times New Roman" w:eastAsia="SimSun" w:hAnsi="Times New Roman"/>
          <w:b/>
          <w:noProof/>
          <w:kern w:val="2"/>
          <w:sz w:val="18"/>
          <w:szCs w:val="18"/>
          <w:lang w:val="ms-MY" w:eastAsia="ko-KR" w:bidi="ar-SA"/>
        </w:rPr>
      </w:pPr>
      <w:r w:rsidRPr="009B63F8">
        <w:rPr>
          <w:rFonts w:ascii="Times New Roman" w:eastAsia="SimSun" w:hAnsi="Times New Roman"/>
          <w:b/>
          <w:noProof/>
          <w:kern w:val="2"/>
          <w:sz w:val="18"/>
          <w:szCs w:val="18"/>
          <w:lang w:val="ms-MY" w:eastAsia="ko-KR" w:bidi="ar-SA"/>
        </w:rPr>
        <w:t>Abstrak</w:t>
      </w:r>
    </w:p>
    <w:p w14:paraId="131A07A7" w14:textId="77777777" w:rsidR="009B63F8" w:rsidRPr="009B63F8" w:rsidRDefault="009B63F8" w:rsidP="009D4EA9">
      <w:pPr>
        <w:spacing w:after="0"/>
        <w:jc w:val="both"/>
        <w:rPr>
          <w:rFonts w:ascii="Times New Roman" w:hAnsi="Times New Roman"/>
          <w:noProof/>
          <w:sz w:val="18"/>
          <w:szCs w:val="18"/>
          <w:lang w:val="ms-MY" w:eastAsia="ko-KR" w:bidi="ar-SA"/>
        </w:rPr>
      </w:pPr>
      <w:r w:rsidRPr="009B63F8">
        <w:rPr>
          <w:rFonts w:ascii="Times New Roman" w:hAnsi="Times New Roman"/>
          <w:i/>
          <w:iCs/>
          <w:noProof/>
          <w:sz w:val="18"/>
          <w:szCs w:val="18"/>
          <w:lang w:val="ms-MY" w:eastAsia="ko-KR" w:bidi="ar-SA"/>
        </w:rPr>
        <w:t xml:space="preserve">Clinacanthus nutans Lindau (C. nutans) </w:t>
      </w:r>
      <w:r w:rsidRPr="009B63F8">
        <w:rPr>
          <w:rFonts w:ascii="Times New Roman" w:hAnsi="Times New Roman"/>
          <w:noProof/>
          <w:sz w:val="18"/>
          <w:szCs w:val="18"/>
          <w:lang w:val="ms-MY" w:eastAsia="ko-KR" w:bidi="ar-SA"/>
        </w:rPr>
        <w:t xml:space="preserve">atau lebih dikenali oleh penduduk tempatan di Malaysia sebagai belalai gajah mengandungi fitokimia seperti flavonoid dan asid fenolik. Dedaun tumbuhan berikut mempamerkan sifat-sifat seperti antioksida, anti radang, dan antivirus. Oleh itu, ia secara tradisionalnya digunakan di seluruh asia untuk merawat kecederaan berbisa, sakit sendi, dan seliuh. Kajian terdahulu mengenai aktiviti antioksida dalam ekstrak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menggunakan kaedah ekstrak yang berbeza atau dalam keadaan yang berbeza. Justeru, ini boleh menjana hasil kandungan antioksidan yang berbeza. Kajian ini betujuan membuat penilaian jumlah kandungan fenolik (TPC), flavonoid (TFC), dan aktiviti antioksida bagi ekstrak metanol, air, dan heksana daripada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dengan kaedah pengekstrakan pelarut tradisional. Keputusan menunjukkan bahawa ekstrak air </w:t>
      </w:r>
      <w:r w:rsidRPr="009B63F8">
        <w:rPr>
          <w:rFonts w:ascii="Times New Roman" w:hAnsi="Times New Roman"/>
          <w:noProof/>
          <w:sz w:val="18"/>
          <w:szCs w:val="18"/>
          <w:lang w:val="ms-MY" w:eastAsia="ko-KR" w:bidi="ar-SA"/>
        </w:rPr>
        <w:lastRenderedPageBreak/>
        <w:t xml:space="preserve">mengandungi kandungi TPC tertinggi (3.66 ± 0.11 mg GAE/g) diikuti metanol (2.84 ± 0.36 mg GAE/g) and heksana (0.13 ± 0.03 mg GAE/g). Bagi nilai TFC, ekstrak methanol adalah tertinggi (1.91 ± 0.05 mg QE/g), mingikuti ekstrak air (1.50 ± 0.01 mg QE/g) dan heksana (tidak dikesan). Nilai TPC ekstrak metanol dan air adalah jauh lebih tinggi daripada heksana (p &lt; 0.05). Perencatan radikal bebas (RSA) bagi ekstrak dalam tertib menurun adalah seperti berikut; metanol &gt; heksana &gt; air. Konklusinya, kajian ini mencadangkan bahawa kandungan fenolik dan flavonoid yang tinggi dalam ekstrak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mungkin menjadi faktor utama untuk ia bertindak sebagai sumber antioksida semula jadi yang hebat.</w:t>
      </w:r>
    </w:p>
    <w:p w14:paraId="68A44584" w14:textId="77777777" w:rsidR="009B63F8" w:rsidRPr="009B63F8" w:rsidRDefault="009B63F8" w:rsidP="009D4EA9">
      <w:pPr>
        <w:widowControl w:val="0"/>
        <w:autoSpaceDE w:val="0"/>
        <w:autoSpaceDN w:val="0"/>
        <w:spacing w:after="0"/>
        <w:jc w:val="both"/>
        <w:outlineLvl w:val="0"/>
        <w:rPr>
          <w:rFonts w:ascii="Times New Roman" w:eastAsia="SimSun" w:hAnsi="Times New Roman"/>
          <w:noProof/>
          <w:kern w:val="2"/>
          <w:sz w:val="18"/>
          <w:szCs w:val="18"/>
          <w:lang w:val="ms-MY" w:eastAsia="ko-KR" w:bidi="ar-SA"/>
        </w:rPr>
      </w:pPr>
    </w:p>
    <w:p w14:paraId="010BCD79" w14:textId="3EE8D33F" w:rsidR="009B63F8" w:rsidRPr="009B63F8" w:rsidRDefault="009B63F8" w:rsidP="009D4EA9">
      <w:pPr>
        <w:widowControl w:val="0"/>
        <w:autoSpaceDE w:val="0"/>
        <w:autoSpaceDN w:val="0"/>
        <w:spacing w:after="0"/>
        <w:jc w:val="both"/>
        <w:outlineLvl w:val="0"/>
        <w:rPr>
          <w:rFonts w:ascii="Times New Roman" w:eastAsia="SimSun" w:hAnsi="Times New Roman"/>
          <w:b/>
          <w:noProof/>
          <w:sz w:val="20"/>
          <w:szCs w:val="20"/>
          <w:lang w:val="ms-MY" w:eastAsia="ko-KR" w:bidi="ar-SA"/>
        </w:rPr>
      </w:pPr>
      <w:r w:rsidRPr="009B63F8">
        <w:rPr>
          <w:rFonts w:ascii="Times New Roman" w:eastAsia="SimSun" w:hAnsi="Times New Roman"/>
          <w:b/>
          <w:noProof/>
          <w:kern w:val="2"/>
          <w:sz w:val="18"/>
          <w:szCs w:val="18"/>
          <w:lang w:val="ms-MY" w:eastAsia="ko-KR" w:bidi="ar-SA"/>
        </w:rPr>
        <w:t>Kata kunci:</w:t>
      </w:r>
      <w:r w:rsidR="009D4EA9">
        <w:rPr>
          <w:rFonts w:ascii="Times New Roman" w:eastAsia="SimSun" w:hAnsi="Times New Roman"/>
          <w:b/>
          <w:noProof/>
          <w:kern w:val="2"/>
          <w:sz w:val="18"/>
          <w:szCs w:val="18"/>
          <w:lang w:val="ms-MY" w:eastAsia="ko-KR" w:bidi="ar-SA"/>
        </w:rPr>
        <w:t xml:space="preserve"> </w:t>
      </w:r>
      <w:r w:rsidRPr="009B63F8">
        <w:rPr>
          <w:rFonts w:ascii="Times New Roman" w:eastAsia="SimSun" w:hAnsi="Times New Roman"/>
          <w:b/>
          <w:noProof/>
          <w:kern w:val="2"/>
          <w:sz w:val="20"/>
          <w:lang w:val="ms-MY" w:eastAsia="ko-KR" w:bidi="ar-SA"/>
        </w:rPr>
        <w:t xml:space="preserve"> </w:t>
      </w:r>
      <w:r w:rsidRPr="009B63F8">
        <w:rPr>
          <w:rFonts w:ascii="Times New Roman" w:eastAsia="SimSun" w:hAnsi="Times New Roman"/>
          <w:noProof/>
          <w:kern w:val="2"/>
          <w:sz w:val="18"/>
          <w:szCs w:val="18"/>
          <w:shd w:val="clear" w:color="auto" w:fill="FFFFFF"/>
          <w:lang w:val="ms-MY" w:eastAsia="ko-KR" w:bidi="ar-SA"/>
        </w:rPr>
        <w:t>belalai gajah, jumlah kandungan flavonoid, jumlah kandungan fenolik, perencatan radikal bebas </w:t>
      </w:r>
      <w:r w:rsidRPr="009B63F8">
        <w:rPr>
          <w:rFonts w:ascii="Times New Roman" w:eastAsia="SimSun" w:hAnsi="Times New Roman"/>
          <w:b/>
          <w:noProof/>
          <w:kern w:val="2"/>
          <w:sz w:val="20"/>
          <w:lang w:val="ms-MY" w:eastAsia="ko-KR" w:bidi="ar-SA"/>
        </w:rPr>
        <w:t xml:space="preserve"> </w:t>
      </w:r>
    </w:p>
    <w:p w14:paraId="3CD63961" w14:textId="77777777" w:rsidR="009B63F8" w:rsidRPr="009B63F8" w:rsidRDefault="009B63F8" w:rsidP="009D4EA9">
      <w:pPr>
        <w:widowControl w:val="0"/>
        <w:autoSpaceDE w:val="0"/>
        <w:autoSpaceDN w:val="0"/>
        <w:spacing w:after="0"/>
        <w:jc w:val="both"/>
        <w:outlineLvl w:val="0"/>
        <w:rPr>
          <w:rFonts w:ascii="Times New Roman" w:eastAsia="SimSun" w:hAnsi="Times New Roman"/>
          <w:b/>
          <w:kern w:val="2"/>
          <w:sz w:val="20"/>
          <w:szCs w:val="20"/>
          <w:lang w:val="ms-MY" w:eastAsia="ko-KR" w:bidi="ar-SA"/>
        </w:rPr>
      </w:pPr>
    </w:p>
    <w:bookmarkEnd w:id="0"/>
    <w:p w14:paraId="756DCE47" w14:textId="77777777" w:rsidR="00866B2A" w:rsidRDefault="00866B2A" w:rsidP="009D4EA9">
      <w:pPr>
        <w:widowControl w:val="0"/>
        <w:autoSpaceDE w:val="0"/>
        <w:autoSpaceDN w:val="0"/>
        <w:spacing w:after="0"/>
        <w:jc w:val="center"/>
        <w:outlineLvl w:val="0"/>
        <w:rPr>
          <w:rFonts w:ascii="Times New Roman" w:eastAsia="SimSun" w:hAnsi="Times New Roman"/>
          <w:b/>
          <w:kern w:val="2"/>
          <w:sz w:val="20"/>
          <w:lang w:val="en-GB" w:eastAsia="ko-KR" w:bidi="ar-SA"/>
        </w:rPr>
      </w:pPr>
    </w:p>
    <w:p w14:paraId="4EC75BB3" w14:textId="04FCE870" w:rsidR="009D4EA9" w:rsidRDefault="009D4EA9" w:rsidP="009D4EA9">
      <w:pPr>
        <w:widowControl w:val="0"/>
        <w:autoSpaceDE w:val="0"/>
        <w:autoSpaceDN w:val="0"/>
        <w:spacing w:after="0"/>
        <w:jc w:val="center"/>
        <w:outlineLvl w:val="0"/>
        <w:rPr>
          <w:rFonts w:ascii="Times New Roman" w:eastAsia="SimSun" w:hAnsi="Times New Roman"/>
          <w:b/>
          <w:kern w:val="2"/>
          <w:sz w:val="20"/>
          <w:lang w:val="en-GB" w:eastAsia="ko-KR" w:bidi="ar-SA"/>
        </w:rPr>
        <w:sectPr w:rsidR="009D4EA9"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01640E58" w14:textId="77777777" w:rsidR="009B63F8" w:rsidRPr="009B63F8" w:rsidRDefault="009B63F8" w:rsidP="009D4EA9">
      <w:pPr>
        <w:widowControl w:val="0"/>
        <w:autoSpaceDE w:val="0"/>
        <w:autoSpaceDN w:val="0"/>
        <w:spacing w:after="0"/>
        <w:jc w:val="center"/>
        <w:outlineLvl w:val="0"/>
        <w:rPr>
          <w:rFonts w:ascii="Times New Roman" w:eastAsia="SimSun" w:hAnsi="Times New Roman"/>
          <w:b/>
          <w:kern w:val="2"/>
          <w:sz w:val="20"/>
          <w:lang w:val="en-GB" w:eastAsia="ko-KR" w:bidi="ar-SA"/>
        </w:rPr>
      </w:pPr>
      <w:r w:rsidRPr="009B63F8">
        <w:rPr>
          <w:rFonts w:ascii="Times New Roman" w:eastAsia="SimSun" w:hAnsi="Times New Roman"/>
          <w:b/>
          <w:kern w:val="2"/>
          <w:sz w:val="20"/>
          <w:lang w:val="en-GB" w:eastAsia="ko-KR" w:bidi="ar-SA"/>
        </w:rPr>
        <w:t>Introduction</w:t>
      </w:r>
    </w:p>
    <w:p w14:paraId="7686E536" w14:textId="77777777" w:rsidR="009B63F8" w:rsidRPr="009B63F8" w:rsidRDefault="009B63F8" w:rsidP="009D4EA9">
      <w:pPr>
        <w:spacing w:after="0"/>
        <w:jc w:val="both"/>
        <w:rPr>
          <w:rFonts w:ascii="Times New Roman" w:hAnsi="Times New Roman"/>
          <w:sz w:val="20"/>
          <w:szCs w:val="20"/>
          <w:lang w:val="en-GB" w:eastAsia="ko-KR" w:bidi="ar-SA"/>
        </w:rPr>
      </w:pP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or commonly known as </w:t>
      </w:r>
      <w:r w:rsidRPr="009B63F8">
        <w:rPr>
          <w:rFonts w:ascii="Times New Roman" w:hAnsi="Times New Roman"/>
          <w:i/>
          <w:iCs/>
          <w:sz w:val="20"/>
          <w:szCs w:val="20"/>
          <w:lang w:val="en-GB" w:eastAsia="ko-KR" w:bidi="ar-SA"/>
        </w:rPr>
        <w:t xml:space="preserve">Belalai Gajah </w:t>
      </w:r>
      <w:r w:rsidRPr="009B63F8">
        <w:rPr>
          <w:rFonts w:ascii="Times New Roman" w:hAnsi="Times New Roman"/>
          <w:sz w:val="20"/>
          <w:szCs w:val="20"/>
          <w:lang w:val="en-GB" w:eastAsia="ko-KR" w:bidi="ar-SA"/>
        </w:rPr>
        <w:t xml:space="preserve">in Malaysia, is a small plant native to tropical Asian countries [1]. The leaves of the plant can be described as flat, opposite, and narrowly elliptic-oblong in shape and the mature part of the plant exhibits lower levels of phytochemicals, chlorophyll, ascorbic acid, and phenolic content in comparison to its younger counterparts [2]. The slightly curved stem that supports the leaves resembles the curvature of an elephant's trunk where the name </w:t>
      </w:r>
      <w:r w:rsidRPr="009B63F8">
        <w:rPr>
          <w:rFonts w:ascii="Times New Roman" w:hAnsi="Times New Roman"/>
          <w:i/>
          <w:iCs/>
          <w:sz w:val="20"/>
          <w:szCs w:val="20"/>
          <w:lang w:val="en-GB" w:eastAsia="ko-KR" w:bidi="ar-SA"/>
        </w:rPr>
        <w:t>Belalai Gajah</w:t>
      </w:r>
      <w:r w:rsidRPr="009B63F8">
        <w:rPr>
          <w:rFonts w:ascii="Times New Roman" w:hAnsi="Times New Roman"/>
          <w:sz w:val="20"/>
          <w:szCs w:val="20"/>
          <w:lang w:val="en-GB" w:eastAsia="ko-KR" w:bidi="ar-SA"/>
        </w:rPr>
        <w:t xml:space="preserve"> was derived [3].</w:t>
      </w:r>
    </w:p>
    <w:p w14:paraId="30143F02" w14:textId="77777777" w:rsidR="009B63F8" w:rsidRPr="009B63F8" w:rsidRDefault="009B63F8" w:rsidP="009D4EA9">
      <w:pPr>
        <w:spacing w:after="0"/>
        <w:jc w:val="both"/>
        <w:rPr>
          <w:rFonts w:ascii="Times New Roman" w:hAnsi="Times New Roman"/>
          <w:sz w:val="20"/>
          <w:szCs w:val="20"/>
          <w:lang w:val="en-GB" w:eastAsia="ko-KR" w:bidi="ar-SA"/>
        </w:rPr>
      </w:pPr>
    </w:p>
    <w:p w14:paraId="13C1EE72" w14:textId="77777777" w:rsidR="009B63F8" w:rsidRPr="009B63F8" w:rsidRDefault="009B63F8" w:rsidP="009D4EA9">
      <w:pPr>
        <w:spacing w:after="0"/>
        <w:jc w:val="both"/>
        <w:rPr>
          <w:rFonts w:ascii="Times New Roman" w:hAnsi="Times New Roman"/>
          <w:sz w:val="20"/>
          <w:szCs w:val="20"/>
          <w:lang w:val="en-GB" w:eastAsia="ko-KR" w:bidi="ar-SA"/>
        </w:rPr>
      </w:pP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is used in Thailand as a traditional antivenom therapy for venomous creatures like snakes, jellyfish, and scorpions [4], while native Singaporeans utilise the plant for detoxification purposes [5]. The plants' anti-inflammatory characteristics allow locals in China to utilise it as a treatment for rheumatism and sprains from injuries [6]. The extract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has demonstrated antioxidant activity and protection against free radical-induced haemolysis [7], which allows the plant to be further developed as a natural antioxidant for human consumption [8]. The leaf of the plant also exhibits antiviral properties against the herpes simplex virus type-2 (HSV-2) [9]. Yet, more studies are needed to establish and comprehend the bioactive components and therapeutic characteristics of this plant due to its multiple and beneficial attributes [10].</w:t>
      </w:r>
    </w:p>
    <w:p w14:paraId="11E5402B" w14:textId="77777777" w:rsidR="009B63F8" w:rsidRPr="009B63F8" w:rsidRDefault="009B63F8" w:rsidP="009D4EA9">
      <w:pPr>
        <w:spacing w:after="0"/>
        <w:jc w:val="both"/>
        <w:rPr>
          <w:rFonts w:ascii="Times New Roman" w:hAnsi="Times New Roman"/>
          <w:sz w:val="20"/>
          <w:szCs w:val="20"/>
          <w:lang w:val="en-GB" w:eastAsia="ko-KR" w:bidi="ar-SA"/>
        </w:rPr>
      </w:pPr>
    </w:p>
    <w:p w14:paraId="22DB604E" w14:textId="77777777" w:rsidR="009B63F8" w:rsidRPr="009B63F8" w:rsidRDefault="009B63F8" w:rsidP="009D4EA9">
      <w:pPr>
        <w:spacing w:after="0"/>
        <w:jc w:val="both"/>
        <w:textAlignment w:val="baseline"/>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An antioxidant is an agent that has the ability to greatly delay or prevent the oxidation of an oxidisable substance when it is introduced at low concentrations compared to the substance [11]. The antioxidant effect mainly results from phenolic compounds such phenolic acid, flavonoids, and phenolic diterpenes. These compounds have the capability to undergo redox reaction, which absorbs and neutralises free radicals through the </w:t>
      </w:r>
      <w:r w:rsidRPr="009B63F8">
        <w:rPr>
          <w:rFonts w:ascii="Times New Roman" w:hAnsi="Times New Roman"/>
          <w:sz w:val="20"/>
          <w:szCs w:val="20"/>
          <w:lang w:val="en-GB" w:eastAsia="ko-KR" w:bidi="ar-SA"/>
        </w:rPr>
        <w:t xml:space="preserve">suppression of singlet and triplet oxygen [12]. Studies have isolated various bioactive compounds in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which exhibit antioxidant activity such as polyphenols [13], ferulic acid, caffeic acid, protocatechuic acid, chlorogenic acid [14], phthalic acid [15] and gendarucin A [16]. Studies have reported that the ethanolic extract of the leaf exhibited higher antioxidative activity than the stem extract [16], yet the extract exhibited remarkably lower antioxidative activity than green tea extract [13]. A study demonstrated that crude chloroform extract possessed the highest antioxidant activity compared to crude methanol and aqueous extracts [15]. However, other have reported that the crude 80% aqueous methanol extract had the highest antioxidant activity compared to fractionation extracts [17]. In addition, the activity of a younger plant extract was found to be higher than the older plant, and the buds extract showed significant higher activity than the leaf extract [18]. </w:t>
      </w:r>
    </w:p>
    <w:p w14:paraId="550A4A08" w14:textId="77777777" w:rsidR="009B63F8" w:rsidRPr="009B63F8" w:rsidRDefault="009B63F8" w:rsidP="009D4EA9">
      <w:pPr>
        <w:spacing w:after="0"/>
        <w:jc w:val="both"/>
        <w:textAlignment w:val="baseline"/>
        <w:rPr>
          <w:rFonts w:ascii="Times New Roman" w:hAnsi="Times New Roman"/>
          <w:sz w:val="20"/>
          <w:szCs w:val="20"/>
          <w:lang w:val="en-GB" w:eastAsia="ko-KR" w:bidi="ar-SA"/>
        </w:rPr>
      </w:pPr>
    </w:p>
    <w:p w14:paraId="06C6E981" w14:textId="77777777" w:rsidR="009B63F8" w:rsidRPr="009B63F8" w:rsidRDefault="009B63F8" w:rsidP="009D4EA9">
      <w:pPr>
        <w:spacing w:after="0"/>
        <w:jc w:val="both"/>
        <w:textAlignment w:val="baseline"/>
        <w:rPr>
          <w:rFonts w:ascii="Times New Roman" w:eastAsia="SimSun" w:hAnsi="Times New Roman"/>
          <w:sz w:val="20"/>
          <w:szCs w:val="20"/>
          <w:lang w:val="en-GB" w:eastAsia="ko-KR" w:bidi="ar-SA"/>
        </w:rPr>
      </w:pPr>
      <w:r w:rsidRPr="009B63F8">
        <w:rPr>
          <w:rFonts w:ascii="Times New Roman" w:eastAsia="SimSun" w:hAnsi="Times New Roman"/>
          <w:sz w:val="20"/>
          <w:szCs w:val="20"/>
          <w:lang w:val="en-GB" w:eastAsia="ko-KR" w:bidi="ar-SA"/>
        </w:rPr>
        <w:t xml:space="preserve">Most of the previous literatures had </w:t>
      </w:r>
      <w:r w:rsidRPr="009B63F8">
        <w:rPr>
          <w:rFonts w:ascii="Times New Roman" w:hAnsi="Times New Roman"/>
          <w:sz w:val="20"/>
          <w:szCs w:val="20"/>
          <w:lang w:val="en-GB" w:eastAsia="ko-KR" w:bidi="ar-SA"/>
        </w:rPr>
        <w:t xml:space="preserve">employed the basic liquid extraction method to study </w:t>
      </w:r>
      <w:r w:rsidRPr="009B63F8">
        <w:rPr>
          <w:rFonts w:ascii="Times New Roman" w:eastAsia="SimSun" w:hAnsi="Times New Roman"/>
          <w:sz w:val="20"/>
          <w:szCs w:val="20"/>
          <w:lang w:val="en-GB" w:eastAsia="ko-KR" w:bidi="ar-SA"/>
        </w:rPr>
        <w:t xml:space="preserve">the antioxidative properties of methanolic extract in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 xml:space="preserve">[19-22]. Nevertheless, the investigation of </w:t>
      </w:r>
      <w:r w:rsidRPr="009B63F8">
        <w:rPr>
          <w:rFonts w:ascii="Times New Roman" w:eastAsia="SimSun" w:hAnsi="Times New Roman"/>
          <w:sz w:val="20"/>
          <w:szCs w:val="20"/>
          <w:lang w:val="en-GB" w:eastAsia="ko-KR" w:bidi="ar-SA"/>
        </w:rPr>
        <w:t xml:space="preserve">antioxidative properties for other extracts, such as water and hexane extracts, had either used </w:t>
      </w:r>
      <w:r w:rsidRPr="009B63F8">
        <w:rPr>
          <w:rFonts w:ascii="Times New Roman" w:hAnsi="Times New Roman"/>
          <w:sz w:val="20"/>
          <w:szCs w:val="20"/>
          <w:lang w:val="en-GB" w:eastAsia="ko-KR" w:bidi="ar-SA"/>
        </w:rPr>
        <w:t>liquid extraction at higher temperatures (70°C)</w:t>
      </w:r>
      <w:r w:rsidRPr="009B63F8">
        <w:rPr>
          <w:rFonts w:ascii="Times New Roman" w:eastAsia="SimSun" w:hAnsi="Times New Roman"/>
          <w:sz w:val="20"/>
          <w:szCs w:val="20"/>
          <w:lang w:val="en-GB" w:eastAsia="ko-KR" w:bidi="ar-SA"/>
        </w:rPr>
        <w:t xml:space="preserve"> [21] or fractionation extraction from the crude methanolic extract [20]. </w:t>
      </w:r>
      <w:r w:rsidRPr="009B63F8">
        <w:rPr>
          <w:rFonts w:ascii="Times New Roman" w:hAnsi="Times New Roman"/>
          <w:sz w:val="20"/>
          <w:szCs w:val="20"/>
          <w:lang w:val="en-GB" w:eastAsia="ko-KR" w:bidi="ar-SA"/>
        </w:rPr>
        <w:t>A</w:t>
      </w:r>
      <w:r w:rsidRPr="009B63F8">
        <w:rPr>
          <w:rFonts w:ascii="Times New Roman" w:eastAsia="SimSun" w:hAnsi="Times New Roman"/>
          <w:sz w:val="20"/>
          <w:szCs w:val="20"/>
          <w:lang w:val="en-GB" w:eastAsia="ko-KR" w:bidi="ar-SA"/>
        </w:rPr>
        <w:t xml:space="preserve">ntioxidants are heat sensitive and are prone to degradation after prolonged heating [23], which results in a lower yield of its constituents. In addition, different extraction methods may result in varied yields of antioxidative constituents [24]. Previous studies have no comparable data on the antioxidative activity of </w:t>
      </w:r>
      <w:r w:rsidRPr="009B63F8">
        <w:rPr>
          <w:rFonts w:ascii="Times New Roman" w:hAnsi="Times New Roman"/>
          <w:i/>
          <w:iCs/>
          <w:sz w:val="20"/>
          <w:szCs w:val="20"/>
          <w:lang w:val="en-GB" w:eastAsia="ko-KR" w:bidi="ar-SA"/>
        </w:rPr>
        <w:t xml:space="preserve">C. nutans </w:t>
      </w:r>
      <w:r w:rsidRPr="009B63F8">
        <w:rPr>
          <w:rFonts w:ascii="Times New Roman" w:eastAsia="SimSun" w:hAnsi="Times New Roman"/>
          <w:sz w:val="20"/>
          <w:szCs w:val="20"/>
          <w:lang w:val="en-GB" w:eastAsia="ko-KR" w:bidi="ar-SA"/>
        </w:rPr>
        <w:t xml:space="preserve">crude extract </w:t>
      </w:r>
      <w:r w:rsidRPr="009B63F8">
        <w:rPr>
          <w:rFonts w:ascii="Times New Roman" w:hAnsi="Times New Roman"/>
          <w:sz w:val="20"/>
          <w:szCs w:val="20"/>
          <w:lang w:val="en-GB" w:eastAsia="ko-KR" w:bidi="ar-SA"/>
        </w:rPr>
        <w:t xml:space="preserve">using methanol, water, and hexane. </w:t>
      </w:r>
      <w:r w:rsidRPr="009B63F8">
        <w:rPr>
          <w:rFonts w:ascii="Times New Roman" w:eastAsia="SimSun" w:hAnsi="Times New Roman"/>
          <w:sz w:val="20"/>
          <w:szCs w:val="20"/>
          <w:lang w:val="en-GB" w:eastAsia="ko-KR" w:bidi="ar-SA"/>
        </w:rPr>
        <w:t xml:space="preserve">This study was thus conducted to compare the TPC, TFC and antioxidant </w:t>
      </w:r>
      <w:r w:rsidRPr="009B63F8">
        <w:rPr>
          <w:rFonts w:ascii="Times New Roman" w:eastAsia="SimSun" w:hAnsi="Times New Roman"/>
          <w:sz w:val="20"/>
          <w:szCs w:val="20"/>
          <w:lang w:val="en-GB" w:eastAsia="ko-KR" w:bidi="ar-SA"/>
        </w:rPr>
        <w:lastRenderedPageBreak/>
        <w:t xml:space="preserve">activity of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using the basic liquid extraction method under room temperature.</w:t>
      </w:r>
    </w:p>
    <w:p w14:paraId="32C5640F" w14:textId="77777777" w:rsidR="00E6510F" w:rsidRDefault="00E6510F" w:rsidP="008B1A7E">
      <w:pPr>
        <w:widowControl w:val="0"/>
        <w:autoSpaceDE w:val="0"/>
        <w:autoSpaceDN w:val="0"/>
        <w:spacing w:after="0"/>
        <w:outlineLvl w:val="0"/>
        <w:rPr>
          <w:rFonts w:ascii="Times New Roman" w:eastAsia="SimSun" w:hAnsi="Times New Roman"/>
          <w:b/>
          <w:kern w:val="2"/>
          <w:sz w:val="20"/>
          <w:szCs w:val="20"/>
          <w:lang w:val="en-GB" w:eastAsia="ko-KR" w:bidi="ar-SA"/>
        </w:rPr>
      </w:pPr>
    </w:p>
    <w:p w14:paraId="3A890F7E" w14:textId="1AC2806C"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9B63F8">
        <w:rPr>
          <w:rFonts w:ascii="Times New Roman" w:eastAsia="SimSun" w:hAnsi="Times New Roman"/>
          <w:b/>
          <w:kern w:val="2"/>
          <w:sz w:val="20"/>
          <w:szCs w:val="20"/>
          <w:lang w:val="en-GB" w:eastAsia="ko-KR" w:bidi="ar-SA"/>
        </w:rPr>
        <w:t>Materials and Methods</w:t>
      </w:r>
    </w:p>
    <w:p w14:paraId="37242F23"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Plant material</w:t>
      </w:r>
    </w:p>
    <w:p w14:paraId="02312DCE"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1 kg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leaf was purchased from a herbal shop in Cheras, Kuala Lumpur. The authentication of the plant was confirmed by the Forest Research Institute Malaysia.</w:t>
      </w:r>
    </w:p>
    <w:p w14:paraId="33B6F461" w14:textId="77777777" w:rsidR="009B63F8" w:rsidRPr="009B63F8" w:rsidRDefault="009B63F8" w:rsidP="00E6510F">
      <w:pPr>
        <w:spacing w:after="0"/>
        <w:jc w:val="both"/>
        <w:rPr>
          <w:rFonts w:ascii="Times New Roman" w:hAnsi="Times New Roman"/>
          <w:b/>
          <w:bCs/>
          <w:sz w:val="20"/>
          <w:szCs w:val="20"/>
          <w:lang w:val="en-GB" w:eastAsia="ko-KR" w:bidi="ar-SA"/>
        </w:rPr>
      </w:pPr>
    </w:p>
    <w:p w14:paraId="0CC9FE17" w14:textId="77777777" w:rsidR="009B63F8" w:rsidRPr="009B63F8" w:rsidRDefault="009B63F8" w:rsidP="00E6510F">
      <w:pPr>
        <w:spacing w:after="0"/>
        <w:jc w:val="both"/>
        <w:rPr>
          <w:rFonts w:ascii="Times New Roman" w:hAnsi="Times New Roman"/>
          <w:b/>
          <w:bCs/>
          <w:i/>
          <w:iCs/>
          <w:sz w:val="20"/>
          <w:szCs w:val="20"/>
          <w:lang w:val="en-GB" w:eastAsia="ko-KR" w:bidi="ar-SA"/>
        </w:rPr>
      </w:pPr>
      <w:r w:rsidRPr="009B63F8">
        <w:rPr>
          <w:rFonts w:ascii="Times New Roman" w:hAnsi="Times New Roman"/>
          <w:b/>
          <w:bCs/>
          <w:sz w:val="20"/>
          <w:szCs w:val="20"/>
          <w:lang w:val="en-GB" w:eastAsia="ko-KR" w:bidi="ar-SA"/>
        </w:rPr>
        <w:t xml:space="preserve">Extraction of </w:t>
      </w:r>
      <w:r w:rsidRPr="009B63F8">
        <w:rPr>
          <w:rFonts w:ascii="Times New Roman" w:hAnsi="Times New Roman"/>
          <w:b/>
          <w:bCs/>
          <w:i/>
          <w:iCs/>
          <w:sz w:val="20"/>
          <w:szCs w:val="20"/>
          <w:lang w:val="en-GB" w:eastAsia="ko-KR" w:bidi="ar-SA"/>
        </w:rPr>
        <w:t>C. nutans</w:t>
      </w:r>
    </w:p>
    <w:p w14:paraId="3C258276" w14:textId="77777777" w:rsidR="009B63F8" w:rsidRPr="009B63F8" w:rsidRDefault="009B63F8" w:rsidP="009218F5">
      <w:pPr>
        <w:spacing w:after="12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dried leaf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was grinded into a fine powder with a blender. 100 g of fine plant powder was agitated in three different solvents (hexane, methanol, and distilled water) for 48 hours at room temperature. Each sample was filtered and concentrated by evaporation using a rotary evaporator at 60°C. The dried extracts were weighted and dissolved in methanol with the concentration of 0.1 g/mL and were stored at -20°C for further analysis.</w:t>
      </w:r>
    </w:p>
    <w:p w14:paraId="63CE6317"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Determination of TPC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w:t>
      </w:r>
    </w:p>
    <w:p w14:paraId="7FBC5BFE" w14:textId="5BB62D8E"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The Folin-Ciocalteu colorimetric method was used to quantify TPC. Gallic acid (GA) was used as the standard. The GA stock solution (50 µg/mL) was prepared in water and further dilution was made to achieve the calibration curve in the range of 1-40 µg/mL. 0.1 mL of each extract were placed into a volumetric flask and mixed with 0.2 mL of Folin-Ciocalteu phenol reagent and 1.5 mL of 6% Na</w:t>
      </w:r>
      <w:r w:rsidRPr="009B63F8">
        <w:rPr>
          <w:rFonts w:ascii="Times New Roman" w:hAnsi="Times New Roman"/>
          <w:sz w:val="20"/>
          <w:szCs w:val="20"/>
          <w:vertAlign w:val="subscript"/>
          <w:lang w:val="en-GB" w:eastAsia="ko-KR" w:bidi="ar-SA"/>
        </w:rPr>
        <w:t>2</w:t>
      </w:r>
      <w:r w:rsidRPr="009B63F8">
        <w:rPr>
          <w:rFonts w:ascii="Times New Roman" w:hAnsi="Times New Roman"/>
          <w:sz w:val="20"/>
          <w:szCs w:val="20"/>
          <w:lang w:val="en-GB" w:eastAsia="ko-KR" w:bidi="ar-SA"/>
        </w:rPr>
        <w:t>CO</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xml:space="preserve"> solution. The volume of the mixture was adjusted to 10 mL before incubation for 30 min in the dark. The absorbance of the mixture was then monitored and quantified against blank at 725 nm using a UV-visible spectrometer (Beckman Coulter DU730). The concentration of phenolic compounds was represented in microgram GA equivalent per gram of extract (mg GAE/g) [25], with the equation shown below:</w:t>
      </w:r>
    </w:p>
    <w:p w14:paraId="76FE7D7E" w14:textId="77777777" w:rsidR="008B1A7E" w:rsidRPr="009B63F8" w:rsidRDefault="008B1A7E" w:rsidP="00E6510F">
      <w:pPr>
        <w:spacing w:after="0"/>
        <w:jc w:val="both"/>
        <w:rPr>
          <w:rFonts w:ascii="Times New Roman" w:hAnsi="Times New Roman"/>
          <w:sz w:val="20"/>
          <w:szCs w:val="20"/>
          <w:lang w:val="en-GB" w:eastAsia="ko-KR" w:bidi="ar-SA"/>
        </w:rPr>
      </w:pPr>
    </w:p>
    <w:p w14:paraId="0985E5F1" w14:textId="77777777" w:rsidR="00866B2A" w:rsidRDefault="00866B2A" w:rsidP="00E6510F">
      <w:pPr>
        <w:spacing w:after="0"/>
        <w:rPr>
          <w:rFonts w:ascii="Times New Roman" w:hAnsi="Times New Roman"/>
          <w:sz w:val="20"/>
          <w:szCs w:val="20"/>
          <w:lang w:val="en-GB" w:eastAsia="ko-KR" w:bidi="ar-SA"/>
        </w:rPr>
      </w:pPr>
    </w:p>
    <w:p w14:paraId="5115B38C" w14:textId="1C231914" w:rsidR="008B1A7E" w:rsidRDefault="008B1A7E" w:rsidP="00E6510F">
      <w:pPr>
        <w:spacing w:after="0"/>
        <w:rPr>
          <w:rFonts w:ascii="Times New Roman" w:hAnsi="Times New Roman"/>
          <w:sz w:val="20"/>
          <w:szCs w:val="20"/>
          <w:lang w:val="en-GB" w:eastAsia="ko-KR" w:bidi="ar-SA"/>
        </w:rPr>
        <w:sectPr w:rsidR="008B1A7E" w:rsidSect="00866B2A">
          <w:footerReference w:type="default" r:id="rId13"/>
          <w:type w:val="continuous"/>
          <w:pgSz w:w="12240" w:h="15840" w:code="1"/>
          <w:pgMar w:top="1800" w:right="1469" w:bottom="1699" w:left="1440" w:header="706" w:footer="706" w:gutter="0"/>
          <w:pgNumType w:start="1"/>
          <w:cols w:num="2" w:space="403"/>
          <w:docGrid w:linePitch="360"/>
        </w:sectPr>
      </w:pPr>
    </w:p>
    <w:p w14:paraId="19017372" w14:textId="3F38675B" w:rsidR="008B1A7E" w:rsidRPr="008B1A7E" w:rsidRDefault="009B63F8" w:rsidP="008B1A7E">
      <w:pPr>
        <w:spacing w:after="0"/>
        <w:rPr>
          <w:rFonts w:ascii="Times New Roman" w:hAnsi="Times New Roman"/>
          <w:sz w:val="20"/>
          <w:szCs w:val="20"/>
          <w:lang w:val="en-GB" w:eastAsia="ko-KR" w:bidi="ar-SA"/>
        </w:rPr>
      </w:pPr>
      <w:r w:rsidRPr="008B1A7E">
        <w:rPr>
          <w:rFonts w:ascii="Times New Roman" w:hAnsi="Times New Roman"/>
          <w:sz w:val="20"/>
          <w:szCs w:val="20"/>
          <w:lang w:val="en-GB" w:eastAsia="ko-KR" w:bidi="ar-SA"/>
        </w:rPr>
        <w:t xml:space="preserve"> </w:t>
      </w:r>
      <w:r w:rsidR="008B1A7E">
        <w:rPr>
          <w:rFonts w:ascii="Times New Roman" w:hAnsi="Times New Roman"/>
          <w:sz w:val="20"/>
          <w:szCs w:val="20"/>
          <w:lang w:val="en-GB" w:eastAsia="ko-KR" w:bidi="ar-SA"/>
        </w:rPr>
        <w:t xml:space="preserve">             </w:t>
      </w:r>
      <w:r w:rsidR="009218F5">
        <w:rPr>
          <w:rFonts w:ascii="Times New Roman" w:hAnsi="Times New Roman"/>
          <w:sz w:val="20"/>
          <w:szCs w:val="20"/>
          <w:lang w:val="en-GB" w:eastAsia="ko-KR" w:bidi="ar-SA"/>
        </w:rPr>
        <w:t xml:space="preserve">               </w:t>
      </w:r>
      <w:r w:rsidR="008B1A7E" w:rsidRPr="008B1A7E">
        <w:rPr>
          <w:rFonts w:ascii="Times New Roman" w:hAnsi="Times New Roman"/>
          <w:sz w:val="20"/>
          <w:szCs w:val="20"/>
          <w:lang w:val="en-GB" w:eastAsia="ko-KR" w:bidi="ar-SA"/>
        </w:rPr>
        <w:t>[Concentration of GA from calibration curve (µg/mL) x Volume of extract (mL)]</w:t>
      </w:r>
    </w:p>
    <w:p w14:paraId="4F9A2304" w14:textId="2321D985" w:rsidR="009B63F8" w:rsidRPr="009B63F8" w:rsidRDefault="008B1A7E" w:rsidP="009218F5">
      <w:pPr>
        <w:spacing w:after="0"/>
        <w:ind w:firstLine="720"/>
        <w:rPr>
          <w:rFonts w:ascii="Times New Roman" w:hAnsi="Times New Roman"/>
          <w:sz w:val="20"/>
          <w:szCs w:val="20"/>
          <w:lang w:val="en-GB" w:eastAsia="ko-KR" w:bidi="ar-SA"/>
        </w:rPr>
      </w:pPr>
      <w:r>
        <w:rPr>
          <w:rFonts w:ascii="Times New Roman" w:hAnsi="Times New Roman"/>
          <w:noProof/>
          <w:sz w:val="20"/>
          <w:szCs w:val="20"/>
          <w:lang w:val="en-GB" w:eastAsia="ko-KR" w:bidi="ar-SA"/>
        </w:rPr>
        <mc:AlternateContent>
          <mc:Choice Requires="wps">
            <w:drawing>
              <wp:anchor distT="0" distB="0" distL="114300" distR="114300" simplePos="0" relativeHeight="251659264" behindDoc="0" locked="0" layoutInCell="1" allowOverlap="1" wp14:anchorId="1D39B81E" wp14:editId="77120B91">
                <wp:simplePos x="0" y="0"/>
                <wp:positionH relativeFrom="margin">
                  <wp:align>center</wp:align>
                </wp:positionH>
                <wp:positionV relativeFrom="paragraph">
                  <wp:posOffset>69850</wp:posOffset>
                </wp:positionV>
                <wp:extent cx="4198620" cy="15240"/>
                <wp:effectExtent l="0" t="0" r="30480" b="22860"/>
                <wp:wrapNone/>
                <wp:docPr id="2" name="Straight Connector 2"/>
                <wp:cNvGraphicFramePr/>
                <a:graphic xmlns:a="http://schemas.openxmlformats.org/drawingml/2006/main">
                  <a:graphicData uri="http://schemas.microsoft.com/office/word/2010/wordprocessingShape">
                    <wps:wsp>
                      <wps:cNvCnPr/>
                      <wps:spPr>
                        <a:xfrm flipV="1">
                          <a:off x="0" y="0"/>
                          <a:ext cx="41986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96C50" id="Straight Connector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5.5pt" to="330.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" strokecolor="black [3040]">
                <w10:wrap anchorx="margin"/>
              </v:line>
            </w:pict>
          </mc:Fallback>
        </mc:AlternateContent>
      </w:r>
      <w:r w:rsidR="009B63F8" w:rsidRPr="009B63F8">
        <w:rPr>
          <w:rFonts w:ascii="Times New Roman" w:hAnsi="Times New Roman"/>
          <w:sz w:val="20"/>
          <w:szCs w:val="20"/>
          <w:lang w:val="en-GB" w:eastAsia="ko-KR" w:bidi="ar-SA"/>
        </w:rPr>
        <w:t xml:space="preserve">TPC =                             </w:t>
      </w:r>
      <w:r w:rsidR="00A461B2">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 xml:space="preserve">   </w:t>
      </w: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(1</w:t>
      </w:r>
      <w:r w:rsidR="009218F5">
        <w:rPr>
          <w:rFonts w:ascii="Times New Roman" w:hAnsi="Times New Roman"/>
          <w:sz w:val="20"/>
          <w:szCs w:val="20"/>
          <w:lang w:val="en-GB" w:eastAsia="ko-KR" w:bidi="ar-SA"/>
        </w:rPr>
        <w:t>)</w:t>
      </w:r>
    </w:p>
    <w:p w14:paraId="673E2EA3" w14:textId="2C7C4096" w:rsidR="009B63F8" w:rsidRPr="009B63F8" w:rsidRDefault="00A461B2" w:rsidP="00E6510F">
      <w:pPr>
        <w:spacing w:after="0"/>
        <w:rPr>
          <w:rFonts w:ascii="Times New Roman" w:hAnsi="Times New Roman"/>
          <w:sz w:val="20"/>
          <w:szCs w:val="20"/>
          <w:lang w:val="en-GB" w:eastAsia="ko-KR" w:bidi="ar-SA"/>
        </w:rPr>
      </w:pP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Mass of plant extract (g)</w:t>
      </w:r>
    </w:p>
    <w:p w14:paraId="5790096A" w14:textId="77777777" w:rsidR="009B63F8" w:rsidRPr="009B63F8" w:rsidRDefault="009B63F8" w:rsidP="00E6510F">
      <w:pPr>
        <w:widowControl w:val="0"/>
        <w:wordWrap w:val="0"/>
        <w:autoSpaceDE w:val="0"/>
        <w:autoSpaceDN w:val="0"/>
        <w:spacing w:after="0"/>
        <w:outlineLvl w:val="0"/>
        <w:rPr>
          <w:rFonts w:ascii="Times New Roman" w:eastAsia="SimSun" w:hAnsi="Times New Roman"/>
          <w:b/>
          <w:kern w:val="2"/>
          <w:sz w:val="20"/>
          <w:lang w:val="en-GB" w:eastAsia="ko-KR" w:bidi="ar-SA"/>
        </w:rPr>
      </w:pPr>
    </w:p>
    <w:p w14:paraId="1612DAD1" w14:textId="77777777" w:rsidR="00892A3D" w:rsidRDefault="00892A3D" w:rsidP="00E6510F">
      <w:pPr>
        <w:spacing w:after="0"/>
        <w:rPr>
          <w:rFonts w:ascii="Times New Roman" w:hAnsi="Times New Roman"/>
          <w:b/>
          <w:bCs/>
          <w:sz w:val="20"/>
          <w:szCs w:val="20"/>
          <w:lang w:val="en-GB" w:eastAsia="ko-KR" w:bidi="ar-SA"/>
        </w:rPr>
        <w:sectPr w:rsidR="00892A3D" w:rsidSect="00866B2A">
          <w:type w:val="continuous"/>
          <w:pgSz w:w="12240" w:h="15840" w:code="1"/>
          <w:pgMar w:top="1800" w:right="1469" w:bottom="1699" w:left="1440" w:header="706" w:footer="706" w:gutter="0"/>
          <w:pgNumType w:start="1"/>
          <w:cols w:space="708"/>
          <w:docGrid w:linePitch="360"/>
        </w:sectPr>
      </w:pPr>
    </w:p>
    <w:p w14:paraId="4BC61E6B"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Determination of TFC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w:t>
      </w:r>
    </w:p>
    <w:p w14:paraId="6C613D05" w14:textId="77777777" w:rsidR="00892A3D" w:rsidRDefault="009B63F8" w:rsidP="00E6510F">
      <w:pPr>
        <w:spacing w:after="0"/>
        <w:jc w:val="both"/>
        <w:rPr>
          <w:rFonts w:ascii="Times New Roman" w:hAnsi="Times New Roman"/>
          <w:sz w:val="20"/>
          <w:szCs w:val="20"/>
          <w:lang w:val="en-GB" w:eastAsia="ko-KR" w:bidi="ar-SA"/>
        </w:rPr>
        <w:sectPr w:rsidR="00892A3D" w:rsidSect="00892A3D">
          <w:type w:val="continuous"/>
          <w:pgSz w:w="12240" w:h="15840" w:code="1"/>
          <w:pgMar w:top="1800" w:right="1469" w:bottom="1699" w:left="1440" w:header="706" w:footer="706" w:gutter="0"/>
          <w:pgNumType w:start="1"/>
          <w:cols w:num="2" w:space="403"/>
          <w:docGrid w:linePitch="360"/>
        </w:sectPr>
      </w:pPr>
      <w:r w:rsidRPr="009B63F8">
        <w:rPr>
          <w:rFonts w:ascii="Times New Roman" w:hAnsi="Times New Roman"/>
          <w:sz w:val="20"/>
          <w:szCs w:val="20"/>
          <w:lang w:val="en-GB" w:eastAsia="ko-KR" w:bidi="ar-SA"/>
        </w:rPr>
        <w:t>The aluminium colorimetric method was used to analyse the TFC [25]. Quercetin was used as the standard. The quercetin stock solution (50 µg/mL) was prepared in ethanol and further dilution was made to achieve the calibration curve in the range of 6.25-40 µg/mL. 50 µL of each three extracts were placed into a volumetric flask and mixed with 5 mL water, 0.6 mL NaNO</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xml:space="preserve">, 0.5 mL </w:t>
      </w:r>
      <w:r w:rsidRPr="009B63F8">
        <w:rPr>
          <w:rFonts w:ascii="Times New Roman" w:hAnsi="Times New Roman"/>
          <w:sz w:val="20"/>
          <w:szCs w:val="20"/>
          <w:lang w:val="en-GB" w:eastAsia="ko-KR" w:bidi="ar-SA"/>
        </w:rPr>
        <w:t>AlCl</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and 4 mL NaOH. The mixture was then incubated for 20 min in the dark. The absorbance of the mixture was then quantified at 415 nm using a UV-visible spectrometer. The concentration of flavonoid was represented in microgram quercetin equivalent per gram of extract (mg QE/g) [25], with the equation shown below:</w:t>
      </w:r>
    </w:p>
    <w:p w14:paraId="602CDCA7" w14:textId="1DC4B233" w:rsidR="009218F5" w:rsidRPr="009218F5" w:rsidRDefault="009218F5" w:rsidP="009218F5">
      <w:pPr>
        <w:spacing w:before="120" w:after="0"/>
        <w:jc w:val="both"/>
        <w:rPr>
          <w:rFonts w:ascii="Times New Roman" w:hAnsi="Times New Roman"/>
          <w:sz w:val="20"/>
          <w:szCs w:val="20"/>
          <w:lang w:val="en-GB" w:eastAsia="ko-KR" w:bidi="ar-SA"/>
        </w:rPr>
      </w:pPr>
      <w:r>
        <w:rPr>
          <w:rFonts w:ascii="Times New Roman" w:hAnsi="Times New Roman"/>
          <w:sz w:val="20"/>
          <w:szCs w:val="20"/>
          <w:lang w:val="en-GB" w:eastAsia="ko-KR" w:bidi="ar-SA"/>
        </w:rPr>
        <w:t xml:space="preserve">                                 </w:t>
      </w:r>
      <w:r w:rsidRPr="009218F5">
        <w:rPr>
          <w:rFonts w:ascii="Times New Roman" w:hAnsi="Times New Roman"/>
          <w:sz w:val="20"/>
          <w:szCs w:val="20"/>
          <w:lang w:val="en-GB" w:eastAsia="ko-KR" w:bidi="ar-SA"/>
        </w:rPr>
        <w:t>[Concentration of quercetin from calibration curve (µg/mL) x Volume of extract]</w:t>
      </w:r>
    </w:p>
    <w:p w14:paraId="4A1D5903" w14:textId="105B934E" w:rsidR="009B63F8" w:rsidRPr="009B63F8" w:rsidRDefault="009218F5" w:rsidP="009218F5">
      <w:pPr>
        <w:spacing w:after="0"/>
        <w:ind w:firstLine="720"/>
        <w:jc w:val="both"/>
        <w:rPr>
          <w:rFonts w:ascii="Times New Roman" w:hAnsi="Times New Roman"/>
          <w:sz w:val="20"/>
          <w:szCs w:val="20"/>
          <w:lang w:val="en-GB" w:eastAsia="ko-KR" w:bidi="ar-SA"/>
        </w:rPr>
      </w:pPr>
      <w:r>
        <w:rPr>
          <w:rFonts w:ascii="Times New Roman" w:hAnsi="Times New Roman"/>
          <w:noProof/>
          <w:sz w:val="20"/>
          <w:szCs w:val="20"/>
          <w:lang w:val="en-GB" w:eastAsia="ko-KR" w:bidi="ar-SA"/>
        </w:rPr>
        <mc:AlternateContent>
          <mc:Choice Requires="wps">
            <w:drawing>
              <wp:anchor distT="0" distB="0" distL="114300" distR="114300" simplePos="0" relativeHeight="251660288" behindDoc="0" locked="0" layoutInCell="1" allowOverlap="1" wp14:anchorId="0EB822DB" wp14:editId="0A424647">
                <wp:simplePos x="0" y="0"/>
                <wp:positionH relativeFrom="column">
                  <wp:posOffset>975360</wp:posOffset>
                </wp:positionH>
                <wp:positionV relativeFrom="paragraph">
                  <wp:posOffset>73660</wp:posOffset>
                </wp:positionV>
                <wp:extent cx="4259580" cy="7620"/>
                <wp:effectExtent l="0" t="0" r="26670" b="30480"/>
                <wp:wrapNone/>
                <wp:docPr id="3" name="Straight Connector 3"/>
                <wp:cNvGraphicFramePr/>
                <a:graphic xmlns:a="http://schemas.openxmlformats.org/drawingml/2006/main">
                  <a:graphicData uri="http://schemas.microsoft.com/office/word/2010/wordprocessingShape">
                    <wps:wsp>
                      <wps:cNvCnPr/>
                      <wps:spPr>
                        <a:xfrm flipV="1">
                          <a:off x="0" y="0"/>
                          <a:ext cx="42595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0A9E2"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5.8pt" to="412.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" strokecolor="black [3040]"/>
            </w:pict>
          </mc:Fallback>
        </mc:AlternateContent>
      </w:r>
      <w:r w:rsidR="009B63F8" w:rsidRPr="009B63F8">
        <w:rPr>
          <w:rFonts w:ascii="Times New Roman" w:hAnsi="Times New Roman"/>
          <w:sz w:val="20"/>
          <w:szCs w:val="20"/>
          <w:lang w:val="en-GB" w:eastAsia="ko-KR" w:bidi="ar-SA"/>
        </w:rPr>
        <w:t xml:space="preserve">TFC =                </w:t>
      </w:r>
      <w:r w:rsidR="00A030E0">
        <w:rPr>
          <w:rFonts w:ascii="Times New Roman" w:hAnsi="Times New Roman"/>
          <w:sz w:val="20"/>
          <w:szCs w:val="20"/>
          <w:lang w:val="en-GB" w:eastAsia="ko-KR" w:bidi="ar-SA"/>
        </w:rPr>
        <w:t xml:space="preserve">        </w:t>
      </w:r>
      <w:r>
        <w:rPr>
          <w:rFonts w:ascii="Times New Roman" w:hAnsi="Times New Roman"/>
          <w:sz w:val="20"/>
          <w:szCs w:val="20"/>
          <w:lang w:val="en-GB" w:eastAsia="ko-KR" w:bidi="ar-SA"/>
        </w:rPr>
        <w:t xml:space="preserve">                                                                                                                             </w:t>
      </w:r>
      <w:r w:rsidR="008E21E4">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 xml:space="preserve"> (2)</w:t>
      </w:r>
    </w:p>
    <w:p w14:paraId="62ECA287" w14:textId="54CD4ED3" w:rsidR="009B63F8" w:rsidRPr="009B63F8" w:rsidRDefault="008E21E4" w:rsidP="00E6510F">
      <w:pPr>
        <w:spacing w:after="0"/>
        <w:jc w:val="center"/>
        <w:rPr>
          <w:rFonts w:ascii="Times New Roman" w:hAnsi="Times New Roman"/>
          <w:sz w:val="20"/>
          <w:szCs w:val="20"/>
          <w:lang w:val="en-GB" w:eastAsia="ko-KR" w:bidi="ar-SA"/>
        </w:rPr>
      </w:pP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Mass of plant extract (g)</w:t>
      </w:r>
    </w:p>
    <w:p w14:paraId="4D235F4F" w14:textId="77777777" w:rsidR="00892A3D" w:rsidRDefault="00892A3D" w:rsidP="00E6510F">
      <w:pPr>
        <w:spacing w:after="0"/>
        <w:jc w:val="center"/>
        <w:rPr>
          <w:rFonts w:ascii="Times New Roman" w:hAnsi="Times New Roman"/>
          <w:sz w:val="20"/>
          <w:szCs w:val="20"/>
          <w:lang w:val="en-GB" w:eastAsia="ko-KR" w:bidi="ar-SA"/>
        </w:rPr>
      </w:pPr>
    </w:p>
    <w:p w14:paraId="5C9F27B0" w14:textId="23E61794" w:rsidR="00996D8A" w:rsidRDefault="00996D8A" w:rsidP="00E6510F">
      <w:pPr>
        <w:spacing w:after="0"/>
        <w:rPr>
          <w:rFonts w:ascii="Times New Roman" w:hAnsi="Times New Roman"/>
          <w:sz w:val="20"/>
          <w:szCs w:val="20"/>
          <w:lang w:val="en-GB" w:eastAsia="ko-KR" w:bidi="ar-SA"/>
        </w:rPr>
        <w:sectPr w:rsidR="00996D8A" w:rsidSect="00866B2A">
          <w:type w:val="continuous"/>
          <w:pgSz w:w="12240" w:h="15840" w:code="1"/>
          <w:pgMar w:top="1800" w:right="1469" w:bottom="1699" w:left="1440" w:header="706" w:footer="706" w:gutter="0"/>
          <w:pgNumType w:start="1"/>
          <w:cols w:space="708"/>
          <w:docGrid w:linePitch="360"/>
        </w:sectPr>
      </w:pPr>
    </w:p>
    <w:p w14:paraId="1DF1B5DE"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Radical scavenging activity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 2,2-diphenyl-1-picrylhydrazyl (DPPH) assay</w:t>
      </w:r>
    </w:p>
    <w:p w14:paraId="5CDAD6DF" w14:textId="758A77B4"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An amount 60 µg/mL DPPH (Alfa Aesar, Lancashire, UK) stock was freshly prepared with ethanol. 10 µL of plant extracts were individually mixed with 3 mL of DPPH and incubated for 30 min. The absorbance values were recorded using a UV-vis spectrometer at 517 nm [25]. </w:t>
      </w:r>
    </w:p>
    <w:p w14:paraId="5C1F2801" w14:textId="599B8304" w:rsidR="00996D8A" w:rsidRDefault="00996D8A" w:rsidP="00E6510F">
      <w:pPr>
        <w:spacing w:after="0"/>
        <w:jc w:val="both"/>
        <w:rPr>
          <w:rFonts w:ascii="Times New Roman" w:hAnsi="Times New Roman"/>
          <w:b/>
          <w:bCs/>
          <w:sz w:val="20"/>
          <w:szCs w:val="20"/>
          <w:lang w:val="en-GB" w:eastAsia="ko-KR" w:bidi="ar-SA"/>
        </w:rPr>
      </w:pPr>
    </w:p>
    <w:p w14:paraId="7A4EBD97" w14:textId="0569C201"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2,2’-azino-bis-(3-ethyl)benzothiazoline)-6-sulfonic acid diammonium salt (ABTS) radical cation scavenging assay</w:t>
      </w:r>
    </w:p>
    <w:p w14:paraId="39CC39B9"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ABTS assay was carried out as described by Rakholiya </w:t>
      </w:r>
      <w:r w:rsidRPr="009B63F8">
        <w:rPr>
          <w:rFonts w:ascii="Times New Roman" w:hAnsi="Times New Roman"/>
          <w:iCs/>
          <w:sz w:val="20"/>
          <w:szCs w:val="20"/>
          <w:lang w:val="en-GB" w:eastAsia="ko-KR" w:bidi="ar-SA"/>
        </w:rPr>
        <w:t>et al</w:t>
      </w:r>
      <w:r w:rsidRPr="009B63F8">
        <w:rPr>
          <w:rFonts w:ascii="Times New Roman" w:hAnsi="Times New Roman"/>
          <w:sz w:val="20"/>
          <w:szCs w:val="20"/>
          <w:lang w:val="en-GB" w:eastAsia="ko-KR" w:bidi="ar-SA"/>
        </w:rPr>
        <w:t xml:space="preserve">. [26]. 10 µL of plant extracts were individually mixed with 3 mL of ABTS radical cation solution and incubated for 40 min. The absorbance values were recorded using a UV-vis spectrometer at 734 nm. </w:t>
      </w:r>
    </w:p>
    <w:p w14:paraId="579120BE" w14:textId="77777777" w:rsidR="007A1A63"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lastRenderedPageBreak/>
        <w:t xml:space="preserve">The %RSA of DPPH and ABTS cation radical were </w:t>
      </w:r>
    </w:p>
    <w:p w14:paraId="2E25795C" w14:textId="045BF9F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sz w:val="20"/>
          <w:szCs w:val="20"/>
          <w:lang w:val="en-GB" w:eastAsia="ko-KR" w:bidi="ar-SA"/>
        </w:rPr>
        <w:t>quantified according to the equation shown below:</w:t>
      </w:r>
    </w:p>
    <w:p w14:paraId="60C27D5A" w14:textId="75A1F2B6" w:rsidR="007A1A63" w:rsidRDefault="007A1A63" w:rsidP="00E6510F">
      <w:pPr>
        <w:spacing w:after="0"/>
        <w:rPr>
          <w:rFonts w:ascii="Times New Roman" w:hAnsi="Times New Roman"/>
          <w:sz w:val="20"/>
          <w:szCs w:val="20"/>
          <w:lang w:val="en-GB" w:eastAsia="ko-KR" w:bidi="ar-SA"/>
        </w:rPr>
        <w:sectPr w:rsidR="007A1A63" w:rsidSect="00892A3D">
          <w:footerReference w:type="even" r:id="rId14"/>
          <w:type w:val="continuous"/>
          <w:pgSz w:w="12240" w:h="15840" w:code="1"/>
          <w:pgMar w:top="1800" w:right="1469" w:bottom="1699" w:left="1440" w:header="706" w:footer="706" w:gutter="0"/>
          <w:pgNumType w:start="1"/>
          <w:cols w:num="2" w:space="403"/>
          <w:docGrid w:linePitch="360"/>
        </w:sectPr>
      </w:pPr>
    </w:p>
    <w:p w14:paraId="2C379044" w14:textId="5DABA5A4" w:rsidR="007F72D6" w:rsidRDefault="009B63F8" w:rsidP="007A1A63">
      <w:pPr>
        <w:spacing w:before="240" w:after="0" w:line="240" w:lineRule="auto"/>
        <w:jc w:val="both"/>
        <w:rPr>
          <w:rFonts w:ascii="Times New Roman" w:hAnsi="Times New Roman"/>
          <w:sz w:val="20"/>
          <w:szCs w:val="20"/>
          <w:lang w:val="en-GB" w:eastAsia="ko-KR" w:bidi="ar-SA"/>
        </w:rPr>
      </w:pPr>
      <w:r w:rsidRPr="007F72D6">
        <w:rPr>
          <w:rFonts w:ascii="Times New Roman" w:hAnsi="Times New Roman"/>
          <w:sz w:val="20"/>
          <w:szCs w:val="20"/>
          <w:lang w:val="en-GB" w:eastAsia="ko-KR" w:bidi="ar-SA"/>
        </w:rPr>
        <w:t xml:space="preserve"> </w:t>
      </w:r>
      <w:r w:rsidR="007F72D6" w:rsidRPr="007F72D6">
        <w:rPr>
          <w:rFonts w:ascii="Times New Roman" w:hAnsi="Times New Roman"/>
          <w:sz w:val="20"/>
          <w:szCs w:val="20"/>
          <w:lang w:val="en-GB" w:eastAsia="ko-KR" w:bidi="ar-SA"/>
        </w:rPr>
        <w:t xml:space="preserve">                     </w:t>
      </w:r>
      <w:r w:rsidR="007F72D6">
        <w:rPr>
          <w:rFonts w:ascii="Times New Roman" w:hAnsi="Times New Roman"/>
          <w:sz w:val="20"/>
          <w:szCs w:val="20"/>
          <w:lang w:val="en-GB" w:eastAsia="ko-KR" w:bidi="ar-SA"/>
        </w:rPr>
        <w:t xml:space="preserve">            </w:t>
      </w:r>
      <w:r w:rsidR="007F72D6" w:rsidRPr="007F72D6">
        <w:rPr>
          <w:rFonts w:ascii="Times New Roman" w:hAnsi="Times New Roman"/>
          <w:sz w:val="20"/>
          <w:szCs w:val="20"/>
          <w:lang w:val="en-GB" w:eastAsia="ko-KR" w:bidi="ar-SA"/>
        </w:rPr>
        <w:t>(Absorbance of blank – Absorbance of sample)</w:t>
      </w:r>
      <w:r w:rsidR="007F72D6" w:rsidRPr="009B63F8">
        <w:rPr>
          <w:rFonts w:ascii="Times New Roman" w:hAnsi="Times New Roman"/>
          <w:sz w:val="20"/>
          <w:szCs w:val="20"/>
          <w:lang w:val="en-GB" w:eastAsia="ko-KR" w:bidi="ar-SA"/>
        </w:rPr>
        <w:t xml:space="preserve"> x 100%</w:t>
      </w:r>
    </w:p>
    <w:p w14:paraId="119DB7B5" w14:textId="29175A0A" w:rsidR="009B63F8" w:rsidRPr="009B63F8" w:rsidRDefault="007F72D6" w:rsidP="007A1A63">
      <w:pPr>
        <w:spacing w:after="0" w:line="240" w:lineRule="auto"/>
        <w:rPr>
          <w:rFonts w:ascii="Times New Roman" w:hAnsi="Times New Roman"/>
          <w:sz w:val="20"/>
          <w:szCs w:val="20"/>
          <w:lang w:val="en-GB" w:eastAsia="ko-KR" w:bidi="ar-SA"/>
        </w:rPr>
      </w:pPr>
      <w:r>
        <w:rPr>
          <w:rFonts w:ascii="Times New Roman" w:hAnsi="Times New Roman"/>
          <w:noProof/>
          <w:sz w:val="20"/>
          <w:szCs w:val="20"/>
          <w:lang w:val="en-GB" w:eastAsia="ko-KR" w:bidi="ar-SA"/>
        </w:rPr>
        <w:t xml:space="preserve">            </w:t>
      </w:r>
      <w:r w:rsidR="009B63F8" w:rsidRPr="009B63F8">
        <w:rPr>
          <w:rFonts w:ascii="Times New Roman" w:hAnsi="Times New Roman"/>
          <w:sz w:val="20"/>
          <w:szCs w:val="20"/>
          <w:lang w:val="en-GB" w:eastAsia="ko-KR" w:bidi="ar-SA"/>
        </w:rPr>
        <w:t>%RSA =</w:t>
      </w:r>
      <w:r w:rsidR="009B63F8" w:rsidRPr="009B63F8">
        <w:rPr>
          <w:rFonts w:ascii="Times New Roman" w:hAnsi="Times New Roman"/>
          <w:sz w:val="20"/>
          <w:szCs w:val="20"/>
          <w:lang w:val="en-GB" w:eastAsia="ko-KR" w:bidi="ar-SA"/>
        </w:rPr>
        <w:tab/>
      </w:r>
      <w:r>
        <w:rPr>
          <w:rFonts w:ascii="Times New Roman" w:hAnsi="Times New Roman"/>
          <w:sz w:val="20"/>
          <w:szCs w:val="20"/>
          <w:lang w:val="en-GB" w:eastAsia="ko-KR" w:bidi="ar-SA"/>
        </w:rPr>
        <w:t xml:space="preserve">  </w:t>
      </w:r>
      <w:r>
        <w:rPr>
          <w:rFonts w:ascii="Times New Roman" w:hAnsi="Times New Roman"/>
          <w:noProof/>
          <w:sz w:val="20"/>
          <w:szCs w:val="20"/>
          <w:lang w:val="en-GB" w:eastAsia="ko-KR" w:bidi="ar-SA"/>
        </w:rPr>
        <mc:AlternateContent>
          <mc:Choice Requires="wps">
            <w:drawing>
              <wp:inline distT="0" distB="0" distL="0" distR="0" wp14:anchorId="468E68CD" wp14:editId="135A27FC">
                <wp:extent cx="3063240" cy="22860"/>
                <wp:effectExtent l="0" t="0" r="22860" b="34290"/>
                <wp:docPr id="4" name="Straight Connector 4"/>
                <wp:cNvGraphicFramePr/>
                <a:graphic xmlns:a="http://schemas.openxmlformats.org/drawingml/2006/main">
                  <a:graphicData uri="http://schemas.microsoft.com/office/word/2010/wordprocessingShape">
                    <wps:wsp>
                      <wps:cNvCnPr/>
                      <wps:spPr>
                        <a:xfrm flipV="1">
                          <a:off x="0" y="0"/>
                          <a:ext cx="30632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45D69C" id="Straight Connector 4" o:spid="_x0000_s1026" style="flip:y;visibility:visible;mso-wrap-style:square;mso-left-percent:-10001;mso-top-percent:-10001;mso-position-horizontal:absolute;mso-position-horizontal-relative:char;mso-position-vertical:absolute;mso-position-vertical-relative:line;mso-left-percent:-10001;mso-top-percent:-10001" from="0,0" to="24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" strokecolor="black [3040]">
                <w10:anchorlock/>
              </v:line>
            </w:pict>
          </mc:Fallback>
        </mc:AlternateContent>
      </w: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ab/>
      </w:r>
      <w:r w:rsidR="007A1A63">
        <w:rPr>
          <w:rFonts w:ascii="Times New Roman" w:hAnsi="Times New Roman"/>
          <w:sz w:val="20"/>
          <w:szCs w:val="20"/>
          <w:lang w:val="en-GB" w:eastAsia="ko-KR" w:bidi="ar-SA"/>
        </w:rPr>
        <w:t xml:space="preserve">                              </w:t>
      </w:r>
      <w:r w:rsidR="009D4EA9">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 xml:space="preserve"> (3)</w:t>
      </w:r>
    </w:p>
    <w:p w14:paraId="6A9D66CE" w14:textId="3AC2802A" w:rsidR="009B63F8" w:rsidRPr="009B63F8" w:rsidRDefault="009B63F8" w:rsidP="007A1A63">
      <w:pPr>
        <w:spacing w:after="0" w:line="240" w:lineRule="auto"/>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                                             </w:t>
      </w:r>
      <w:r w:rsidR="007A1A63">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Absorbance of blank</w:t>
      </w:r>
    </w:p>
    <w:p w14:paraId="337DD4B0" w14:textId="77777777" w:rsidR="009B63F8" w:rsidRPr="009B63F8" w:rsidRDefault="009B63F8" w:rsidP="00E6510F">
      <w:pPr>
        <w:spacing w:after="0"/>
        <w:rPr>
          <w:rFonts w:ascii="Times New Roman" w:hAnsi="Times New Roman"/>
          <w:sz w:val="20"/>
          <w:szCs w:val="20"/>
          <w:lang w:val="en-GB" w:eastAsia="ko-KR" w:bidi="ar-SA"/>
        </w:rPr>
      </w:pPr>
    </w:p>
    <w:p w14:paraId="2FA0F6B8" w14:textId="77777777" w:rsidR="00123241" w:rsidRDefault="00123241" w:rsidP="00E6510F">
      <w:pPr>
        <w:spacing w:after="0"/>
        <w:jc w:val="both"/>
        <w:rPr>
          <w:rFonts w:ascii="Times New Roman" w:hAnsi="Times New Roman"/>
          <w:b/>
          <w:bCs/>
          <w:sz w:val="20"/>
          <w:szCs w:val="20"/>
          <w:lang w:val="en-GB" w:eastAsia="ko-KR" w:bidi="ar-SA"/>
        </w:rPr>
        <w:sectPr w:rsidR="00123241" w:rsidSect="00866B2A">
          <w:type w:val="continuous"/>
          <w:pgSz w:w="12240" w:h="15840" w:code="1"/>
          <w:pgMar w:top="1800" w:right="1469" w:bottom="1699" w:left="1440" w:header="706" w:footer="706" w:gutter="0"/>
          <w:pgNumType w:start="1"/>
          <w:cols w:space="708"/>
          <w:docGrid w:linePitch="360"/>
        </w:sectPr>
      </w:pPr>
    </w:p>
    <w:p w14:paraId="7D553455"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Statistical analysis</w:t>
      </w:r>
    </w:p>
    <w:p w14:paraId="48C59D42"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two-tailed t-test was used to analyse the differences between methanol, hexane, and water extracts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where p &lt; 0.05 is considered statistically significant. Statistical calculation was performed using Microsoft Excel (Microsoft Office Professional Plus 2019, Washington, United States).</w:t>
      </w:r>
    </w:p>
    <w:p w14:paraId="602EDAE5" w14:textId="77777777"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00906EF1" w14:textId="77777777"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9B63F8">
        <w:rPr>
          <w:rFonts w:ascii="Times New Roman" w:eastAsia="SimSun" w:hAnsi="Times New Roman"/>
          <w:b/>
          <w:kern w:val="2"/>
          <w:sz w:val="20"/>
          <w:szCs w:val="20"/>
          <w:lang w:val="en-GB" w:eastAsia="ko-KR" w:bidi="ar-SA"/>
        </w:rPr>
        <w:t>Results and Discussion</w:t>
      </w:r>
    </w:p>
    <w:p w14:paraId="3FFCCEAB" w14:textId="77777777" w:rsidR="009B63F8" w:rsidRPr="009B63F8" w:rsidRDefault="009B63F8" w:rsidP="00E6510F">
      <w:pPr>
        <w:widowControl w:val="0"/>
        <w:wordWrap w:val="0"/>
        <w:autoSpaceDE w:val="0"/>
        <w:autoSpaceDN w:val="0"/>
        <w:spacing w:after="0"/>
        <w:jc w:val="both"/>
        <w:rPr>
          <w:rFonts w:ascii="Times New Roman" w:hAnsi="Times New Roman"/>
          <w:i/>
          <w:iCs/>
          <w:kern w:val="2"/>
          <w:sz w:val="20"/>
          <w:szCs w:val="20"/>
          <w:lang w:val="en-GB" w:eastAsia="ko-KR" w:bidi="ar-SA"/>
        </w:rPr>
      </w:pPr>
      <w:r w:rsidRPr="009B63F8">
        <w:rPr>
          <w:rFonts w:ascii="Times New Roman" w:hAnsi="Times New Roman"/>
          <w:b/>
          <w:bCs/>
          <w:kern w:val="2"/>
          <w:sz w:val="20"/>
          <w:szCs w:val="20"/>
          <w:lang w:val="en-GB" w:eastAsia="ko-KR" w:bidi="ar-SA"/>
        </w:rPr>
        <w:t>Extraction of</w:t>
      </w:r>
      <w:r w:rsidRPr="009B63F8">
        <w:rPr>
          <w:rFonts w:ascii="Times New Roman" w:hAnsi="Times New Roman"/>
          <w:b/>
          <w:bCs/>
          <w:i/>
          <w:iCs/>
          <w:kern w:val="2"/>
          <w:sz w:val="20"/>
          <w:szCs w:val="20"/>
          <w:lang w:val="en-GB" w:eastAsia="ko-KR" w:bidi="ar-SA"/>
        </w:rPr>
        <w:t xml:space="preserve"> C. nutans </w:t>
      </w:r>
    </w:p>
    <w:p w14:paraId="4D25BE52" w14:textId="77777777" w:rsidR="00123241" w:rsidRDefault="009B63F8" w:rsidP="00E6510F">
      <w:pPr>
        <w:widowControl w:val="0"/>
        <w:wordWrap w:val="0"/>
        <w:autoSpaceDE w:val="0"/>
        <w:autoSpaceDN w:val="0"/>
        <w:spacing w:after="0"/>
        <w:jc w:val="both"/>
        <w:rPr>
          <w:rFonts w:ascii="Times New Roman" w:eastAsia="SimSun" w:hAnsi="Times New Roman"/>
          <w:kern w:val="2"/>
          <w:sz w:val="20"/>
          <w:lang w:eastAsia="ko-KR" w:bidi="ar-SA"/>
        </w:rPr>
        <w:sectPr w:rsidR="00123241" w:rsidSect="00123241">
          <w:type w:val="continuous"/>
          <w:pgSz w:w="12240" w:h="15840" w:code="1"/>
          <w:pgMar w:top="1800" w:right="1469" w:bottom="1699" w:left="1440" w:header="706" w:footer="706" w:gutter="0"/>
          <w:pgNumType w:start="1"/>
          <w:cols w:num="2" w:space="403"/>
          <w:docGrid w:linePitch="360"/>
        </w:sectPr>
      </w:pPr>
      <w:r w:rsidRPr="009B63F8">
        <w:rPr>
          <w:rFonts w:ascii="Times New Roman" w:eastAsia="SimSun" w:hAnsi="Times New Roman"/>
          <w:kern w:val="2"/>
          <w:sz w:val="20"/>
          <w:lang w:eastAsia="ko-KR" w:bidi="ar-SA"/>
        </w:rPr>
        <w:t xml:space="preserve">The percentage yield for methanolic, hexane, and water extracts were obtained from 100 g of dried plant powder </w:t>
      </w:r>
      <w:r w:rsidRPr="009B63F8">
        <w:rPr>
          <w:rFonts w:ascii="Times New Roman" w:eastAsia="SimSun" w:hAnsi="Times New Roman"/>
          <w:kern w:val="2"/>
          <w:sz w:val="20"/>
          <w:lang w:eastAsia="ko-KR" w:bidi="ar-SA"/>
        </w:rPr>
        <w:t>as shown in Table 1. Water extract had the highest percentage yield (8.09%) when compared to the methanolic extract (4.92%) and hexane extract (4.80%), which had the lowest percentage yield. The high yield in methanol was most likely due to the solubility of important components of SSG in methanol, such as the phenolic groups [27]. The polarity of the solvents used for extraction impacted the phenolic solubility [28]. Furthermore, water can enhance extraction efficiency [29] and this may result in the high recovery of phenolic compounds due to the high polarity in water.</w:t>
      </w:r>
    </w:p>
    <w:p w14:paraId="6E6FBDF8" w14:textId="77777777" w:rsidR="00220AB6" w:rsidRPr="009B63F8" w:rsidRDefault="00220AB6" w:rsidP="009B63F8">
      <w:pPr>
        <w:widowControl w:val="0"/>
        <w:wordWrap w:val="0"/>
        <w:autoSpaceDE w:val="0"/>
        <w:autoSpaceDN w:val="0"/>
        <w:spacing w:after="0" w:line="240" w:lineRule="auto"/>
        <w:jc w:val="both"/>
        <w:rPr>
          <w:rFonts w:ascii="Times New Roman" w:eastAsia="SimSun" w:hAnsi="Times New Roman"/>
          <w:kern w:val="2"/>
          <w:sz w:val="20"/>
          <w:lang w:eastAsia="ko-KR" w:bidi="ar-SA"/>
        </w:rPr>
      </w:pPr>
    </w:p>
    <w:p w14:paraId="427F57A2" w14:textId="77777777" w:rsidR="009B63F8" w:rsidRPr="009B63F8" w:rsidRDefault="009B63F8" w:rsidP="00A030E0">
      <w:pPr>
        <w:widowControl w:val="0"/>
        <w:wordWrap w:val="0"/>
        <w:autoSpaceDE w:val="0"/>
        <w:autoSpaceDN w:val="0"/>
        <w:spacing w:after="120"/>
        <w:jc w:val="center"/>
        <w:rPr>
          <w:rFonts w:ascii="Times New Roman" w:hAnsi="Times New Roman"/>
          <w:kern w:val="2"/>
          <w:sz w:val="20"/>
          <w:szCs w:val="20"/>
          <w:lang w:val="en-GB" w:eastAsia="ko-KR" w:bidi="ar-SA"/>
        </w:rPr>
      </w:pPr>
      <w:r w:rsidRPr="009B63F8">
        <w:rPr>
          <w:rFonts w:ascii="Times New Roman" w:hAnsi="Times New Roman"/>
          <w:kern w:val="2"/>
          <w:sz w:val="20"/>
          <w:szCs w:val="20"/>
          <w:lang w:val="en-GB" w:eastAsia="ko-KR" w:bidi="ar-SA"/>
        </w:rPr>
        <w:t xml:space="preserve">Table 1. The net weight and percentage yield of </w:t>
      </w:r>
      <w:bookmarkStart w:id="2" w:name="_Hlk99198413"/>
      <w:r w:rsidRPr="009B63F8">
        <w:rPr>
          <w:rFonts w:ascii="Times New Roman" w:hAnsi="Times New Roman"/>
          <w:i/>
          <w:iCs/>
          <w:kern w:val="2"/>
          <w:sz w:val="20"/>
          <w:szCs w:val="20"/>
          <w:lang w:val="en-GB" w:eastAsia="ko-KR" w:bidi="ar-SA"/>
        </w:rPr>
        <w:t>C. nutans</w:t>
      </w:r>
      <w:r w:rsidRPr="009B63F8">
        <w:rPr>
          <w:rFonts w:ascii="Times New Roman" w:hAnsi="Times New Roman"/>
          <w:kern w:val="2"/>
          <w:sz w:val="20"/>
          <w:szCs w:val="20"/>
          <w:lang w:val="en-GB" w:eastAsia="ko-KR" w:bidi="ar-SA"/>
        </w:rPr>
        <w:t xml:space="preserve"> </w:t>
      </w:r>
      <w:bookmarkEnd w:id="2"/>
      <w:r w:rsidRPr="009B63F8">
        <w:rPr>
          <w:rFonts w:ascii="Times New Roman" w:hAnsi="Times New Roman"/>
          <w:kern w:val="2"/>
          <w:sz w:val="20"/>
          <w:szCs w:val="20"/>
          <w:lang w:val="en-GB" w:eastAsia="ko-KR" w:bidi="ar-SA"/>
        </w:rPr>
        <w:t>for methanol, hexane, and water extract</w:t>
      </w:r>
    </w:p>
    <w:tbl>
      <w:tblPr>
        <w:tblStyle w:val="LightShading1"/>
        <w:tblW w:w="0" w:type="auto"/>
        <w:jc w:val="center"/>
        <w:tblLook w:val="04A0" w:firstRow="1" w:lastRow="0" w:firstColumn="1" w:lastColumn="0" w:noHBand="0" w:noVBand="1"/>
      </w:tblPr>
      <w:tblGrid>
        <w:gridCol w:w="3068"/>
        <w:gridCol w:w="1457"/>
        <w:gridCol w:w="1048"/>
      </w:tblGrid>
      <w:tr w:rsidR="009B63F8" w:rsidRPr="009B63F8" w14:paraId="6AF48CD2" w14:textId="77777777" w:rsidTr="00A030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tcPr>
          <w:p w14:paraId="2A51B553" w14:textId="77777777" w:rsidR="009B63F8" w:rsidRPr="009B63F8" w:rsidRDefault="009B63F8" w:rsidP="00A030E0">
            <w:pPr>
              <w:widowControl w:val="0"/>
              <w:wordWrap w:val="0"/>
              <w:autoSpaceDE w:val="0"/>
              <w:autoSpaceDN w:val="0"/>
              <w:spacing w:before="60" w:after="6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Solvent for Plant Extraction</w:t>
            </w:r>
          </w:p>
        </w:tc>
        <w:tc>
          <w:tcPr>
            <w:tcW w:w="0" w:type="auto"/>
          </w:tcPr>
          <w:p w14:paraId="1BA5F1F8" w14:textId="77777777" w:rsidR="009B63F8" w:rsidRPr="009B63F8" w:rsidRDefault="009B63F8" w:rsidP="00A030E0">
            <w:pPr>
              <w:widowControl w:val="0"/>
              <w:wordWrap w:val="0"/>
              <w:autoSpaceDE w:val="0"/>
              <w:autoSpaceDN w:val="0"/>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Net Weight (g)</w:t>
            </w:r>
          </w:p>
        </w:tc>
        <w:tc>
          <w:tcPr>
            <w:tcW w:w="0" w:type="auto"/>
          </w:tcPr>
          <w:p w14:paraId="48406F24" w14:textId="77777777" w:rsidR="009B63F8" w:rsidRPr="009B63F8" w:rsidRDefault="009B63F8" w:rsidP="00A030E0">
            <w:pPr>
              <w:widowControl w:val="0"/>
              <w:wordWrap w:val="0"/>
              <w:autoSpaceDE w:val="0"/>
              <w:autoSpaceDN w:val="0"/>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Yield (%)</w:t>
            </w:r>
          </w:p>
        </w:tc>
      </w:tr>
      <w:tr w:rsidR="009B63F8" w:rsidRPr="009B63F8" w14:paraId="2D689B3F" w14:textId="77777777" w:rsidTr="00A030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42CB3ED6" w14:textId="77777777" w:rsidR="009B63F8" w:rsidRPr="00DB10A3" w:rsidRDefault="009B63F8" w:rsidP="00A030E0">
            <w:pPr>
              <w:widowControl w:val="0"/>
              <w:wordWrap w:val="0"/>
              <w:autoSpaceDE w:val="0"/>
              <w:autoSpaceDN w:val="0"/>
              <w:spacing w:before="60" w:after="0"/>
              <w:rPr>
                <w:rFonts w:ascii="Times New Roman" w:hAnsi="Times New Roman" w:cs="Times New Roman"/>
                <w:b w:val="0"/>
                <w:bCs w:val="0"/>
                <w:sz w:val="20"/>
                <w:szCs w:val="20"/>
                <w:lang w:val="en-GB" w:eastAsia="ko-KR" w:bidi="ar-SA"/>
              </w:rPr>
            </w:pPr>
            <w:r w:rsidRPr="00DB10A3">
              <w:rPr>
                <w:rFonts w:ascii="Times New Roman" w:hAnsi="Times New Roman" w:cs="Times New Roman"/>
                <w:b w:val="0"/>
                <w:bCs w:val="0"/>
                <w:sz w:val="20"/>
                <w:szCs w:val="20"/>
                <w:lang w:val="en-GB" w:eastAsia="ko-KR" w:bidi="ar-SA"/>
              </w:rPr>
              <w:t>Methanol</w:t>
            </w:r>
          </w:p>
        </w:tc>
        <w:tc>
          <w:tcPr>
            <w:tcW w:w="0" w:type="auto"/>
            <w:shd w:val="clear" w:color="auto" w:fill="auto"/>
          </w:tcPr>
          <w:p w14:paraId="0A367CF9" w14:textId="77777777" w:rsidR="009B63F8" w:rsidRPr="009B63F8" w:rsidRDefault="009B63F8" w:rsidP="00A030E0">
            <w:pPr>
              <w:widowControl w:val="0"/>
              <w:wordWrap w:val="0"/>
              <w:autoSpaceDE w:val="0"/>
              <w:autoSpaceDN w:val="0"/>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2.191</w:t>
            </w:r>
          </w:p>
        </w:tc>
        <w:tc>
          <w:tcPr>
            <w:tcW w:w="0" w:type="auto"/>
            <w:shd w:val="clear" w:color="auto" w:fill="auto"/>
          </w:tcPr>
          <w:p w14:paraId="67651F24" w14:textId="77777777" w:rsidR="009B63F8" w:rsidRPr="009B63F8" w:rsidRDefault="009B63F8" w:rsidP="00A030E0">
            <w:pPr>
              <w:widowControl w:val="0"/>
              <w:wordWrap w:val="0"/>
              <w:autoSpaceDE w:val="0"/>
              <w:autoSpaceDN w:val="0"/>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4.92</w:t>
            </w:r>
          </w:p>
        </w:tc>
      </w:tr>
      <w:tr w:rsidR="009B63F8" w:rsidRPr="009B63F8" w14:paraId="3A284746" w14:textId="77777777" w:rsidTr="00A030E0">
        <w:trPr>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21187A55" w14:textId="77777777" w:rsidR="009B63F8" w:rsidRPr="00DB10A3" w:rsidRDefault="009B63F8" w:rsidP="00A030E0">
            <w:pPr>
              <w:widowControl w:val="0"/>
              <w:wordWrap w:val="0"/>
              <w:autoSpaceDE w:val="0"/>
              <w:autoSpaceDN w:val="0"/>
              <w:spacing w:before="60" w:after="0"/>
              <w:rPr>
                <w:rFonts w:ascii="Times New Roman" w:hAnsi="Times New Roman" w:cs="Times New Roman"/>
                <w:b w:val="0"/>
                <w:bCs w:val="0"/>
                <w:sz w:val="20"/>
                <w:szCs w:val="20"/>
                <w:lang w:val="en-GB" w:eastAsia="ko-KR" w:bidi="ar-SA"/>
              </w:rPr>
            </w:pPr>
            <w:r w:rsidRPr="00DB10A3">
              <w:rPr>
                <w:rFonts w:ascii="Times New Roman" w:hAnsi="Times New Roman" w:cs="Times New Roman"/>
                <w:b w:val="0"/>
                <w:bCs w:val="0"/>
                <w:sz w:val="20"/>
                <w:szCs w:val="20"/>
                <w:lang w:val="en-GB" w:eastAsia="ko-KR" w:bidi="ar-SA"/>
              </w:rPr>
              <w:t>Hexane</w:t>
            </w:r>
          </w:p>
        </w:tc>
        <w:tc>
          <w:tcPr>
            <w:tcW w:w="0" w:type="auto"/>
            <w:shd w:val="clear" w:color="auto" w:fill="auto"/>
          </w:tcPr>
          <w:p w14:paraId="4319DC6E" w14:textId="77777777" w:rsidR="009B63F8" w:rsidRPr="009B63F8" w:rsidRDefault="009B63F8" w:rsidP="00A030E0">
            <w:pPr>
              <w:widowControl w:val="0"/>
              <w:wordWrap w:val="0"/>
              <w:autoSpaceDE w:val="0"/>
              <w:autoSpaceDN w:val="0"/>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2.400</w:t>
            </w:r>
          </w:p>
        </w:tc>
        <w:tc>
          <w:tcPr>
            <w:tcW w:w="0" w:type="auto"/>
            <w:shd w:val="clear" w:color="auto" w:fill="auto"/>
          </w:tcPr>
          <w:p w14:paraId="522A41B9" w14:textId="77777777" w:rsidR="009B63F8" w:rsidRPr="009B63F8" w:rsidRDefault="009B63F8" w:rsidP="00A030E0">
            <w:pPr>
              <w:widowControl w:val="0"/>
              <w:wordWrap w:val="0"/>
              <w:autoSpaceDE w:val="0"/>
              <w:autoSpaceDN w:val="0"/>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4.80</w:t>
            </w:r>
          </w:p>
        </w:tc>
      </w:tr>
      <w:tr w:rsidR="009B63F8" w:rsidRPr="009B63F8" w14:paraId="74BD28E1" w14:textId="77777777" w:rsidTr="00A030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364325F1" w14:textId="77777777" w:rsidR="009B63F8" w:rsidRPr="00DB10A3" w:rsidRDefault="009B63F8" w:rsidP="00A030E0">
            <w:pPr>
              <w:widowControl w:val="0"/>
              <w:wordWrap w:val="0"/>
              <w:autoSpaceDE w:val="0"/>
              <w:autoSpaceDN w:val="0"/>
              <w:spacing w:before="60" w:after="60"/>
              <w:rPr>
                <w:rFonts w:ascii="Times New Roman" w:hAnsi="Times New Roman" w:cs="Times New Roman"/>
                <w:b w:val="0"/>
                <w:bCs w:val="0"/>
                <w:sz w:val="20"/>
                <w:szCs w:val="20"/>
                <w:lang w:val="en-GB" w:eastAsia="ko-KR" w:bidi="ar-SA"/>
              </w:rPr>
            </w:pPr>
            <w:r w:rsidRPr="00DB10A3">
              <w:rPr>
                <w:rFonts w:ascii="Times New Roman" w:hAnsi="Times New Roman" w:cs="Times New Roman"/>
                <w:b w:val="0"/>
                <w:bCs w:val="0"/>
                <w:sz w:val="20"/>
                <w:szCs w:val="20"/>
                <w:lang w:val="en-GB" w:eastAsia="ko-KR" w:bidi="ar-SA"/>
              </w:rPr>
              <w:t>Water</w:t>
            </w:r>
          </w:p>
        </w:tc>
        <w:tc>
          <w:tcPr>
            <w:tcW w:w="0" w:type="auto"/>
            <w:shd w:val="clear" w:color="auto" w:fill="auto"/>
          </w:tcPr>
          <w:p w14:paraId="49135C67" w14:textId="77777777" w:rsidR="009B63F8" w:rsidRPr="009B63F8" w:rsidRDefault="009B63F8" w:rsidP="00A030E0">
            <w:pPr>
              <w:widowControl w:val="0"/>
              <w:wordWrap w:val="0"/>
              <w:autoSpaceDE w:val="0"/>
              <w:autoSpaceDN w:val="0"/>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4.050</w:t>
            </w:r>
          </w:p>
        </w:tc>
        <w:tc>
          <w:tcPr>
            <w:tcW w:w="0" w:type="auto"/>
            <w:shd w:val="clear" w:color="auto" w:fill="auto"/>
          </w:tcPr>
          <w:p w14:paraId="06CCAAB2" w14:textId="77777777" w:rsidR="009B63F8" w:rsidRPr="009B63F8" w:rsidRDefault="009B63F8" w:rsidP="00A030E0">
            <w:pPr>
              <w:widowControl w:val="0"/>
              <w:wordWrap w:val="0"/>
              <w:autoSpaceDE w:val="0"/>
              <w:autoSpaceDN w:val="0"/>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8.09</w:t>
            </w:r>
          </w:p>
        </w:tc>
      </w:tr>
    </w:tbl>
    <w:p w14:paraId="17D6451D" w14:textId="77777777" w:rsidR="009B63F8" w:rsidRPr="009B63F8" w:rsidRDefault="009B63F8" w:rsidP="00E6510F">
      <w:pPr>
        <w:spacing w:after="0"/>
        <w:rPr>
          <w:rFonts w:ascii="Times New Roman" w:hAnsi="Times New Roman"/>
          <w:sz w:val="20"/>
          <w:szCs w:val="20"/>
          <w:lang w:val="en-GB" w:eastAsia="ko-KR" w:bidi="ar-SA"/>
        </w:rPr>
      </w:pPr>
    </w:p>
    <w:p w14:paraId="60E4096D" w14:textId="77777777" w:rsidR="00A030E0" w:rsidRDefault="00A030E0" w:rsidP="00E6510F">
      <w:pPr>
        <w:spacing w:after="0"/>
        <w:rPr>
          <w:rFonts w:ascii="Times New Roman" w:hAnsi="Times New Roman"/>
          <w:b/>
          <w:bCs/>
          <w:sz w:val="20"/>
          <w:szCs w:val="20"/>
          <w:lang w:val="en-GB" w:eastAsia="ko-KR" w:bidi="ar-SA"/>
        </w:rPr>
      </w:pPr>
    </w:p>
    <w:p w14:paraId="00503791" w14:textId="7501CB60" w:rsidR="007A1A63" w:rsidRDefault="007A1A63" w:rsidP="00E6510F">
      <w:pPr>
        <w:spacing w:after="0"/>
        <w:rPr>
          <w:rFonts w:ascii="Times New Roman" w:hAnsi="Times New Roman"/>
          <w:b/>
          <w:bCs/>
          <w:sz w:val="20"/>
          <w:szCs w:val="20"/>
          <w:lang w:val="en-GB" w:eastAsia="ko-KR" w:bidi="ar-SA"/>
        </w:rPr>
        <w:sectPr w:rsidR="007A1A63" w:rsidSect="00866B2A">
          <w:type w:val="continuous"/>
          <w:pgSz w:w="12240" w:h="15840" w:code="1"/>
          <w:pgMar w:top="1800" w:right="1469" w:bottom="1699" w:left="1440" w:header="706" w:footer="706" w:gutter="0"/>
          <w:pgNumType w:start="1"/>
          <w:cols w:space="708"/>
          <w:docGrid w:linePitch="360"/>
        </w:sectPr>
      </w:pPr>
    </w:p>
    <w:p w14:paraId="1226294D" w14:textId="77777777" w:rsidR="009B63F8" w:rsidRPr="009B63F8" w:rsidRDefault="009B63F8" w:rsidP="00E6510F">
      <w:pPr>
        <w:spacing w:after="0"/>
        <w:rPr>
          <w:rFonts w:ascii="Times New Roman" w:hAnsi="Times New Roman"/>
          <w:b/>
          <w:bCs/>
          <w:i/>
          <w:iCs/>
          <w:sz w:val="20"/>
          <w:szCs w:val="20"/>
          <w:lang w:val="en-GB" w:eastAsia="ko-KR" w:bidi="ar-SA"/>
        </w:rPr>
      </w:pPr>
      <w:r w:rsidRPr="009B63F8">
        <w:rPr>
          <w:rFonts w:ascii="Times New Roman" w:hAnsi="Times New Roman"/>
          <w:b/>
          <w:bCs/>
          <w:sz w:val="20"/>
          <w:szCs w:val="20"/>
          <w:lang w:val="en-GB" w:eastAsia="ko-KR" w:bidi="ar-SA"/>
        </w:rPr>
        <w:t xml:space="preserve">Total phenolic content </w:t>
      </w:r>
    </w:p>
    <w:p w14:paraId="5D0B388D" w14:textId="6166EB04"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Phenolic acids, flavonoids, and tannins are considered the most important dietary phenolic components among several types of phenolic compounds [30]. Phenolic compounds especially phenols act as antioxidants, immunological boosters, anti-clotting agents, and hormone modulators by modifying the prostaglandin pathways which prevent platelets from clumping and have the capacity to inhibit particular enzymes that induce inflammation [31]. The Folin–Ciocalteu test is the current standardised technique to determine TPC in food or biological samples, which is based on the interaction of phenolic compounds with a colorimetric reagent </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that</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permits </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detection in a visible spectrum [32-33]. Gallic acid (GA) was used as the positive control in the quantification of TPC. The TPC of three extracts (methanol, water, and hexane) were yielded from the calibration curve [y = 0.0389x - 0.0079); R</w:t>
      </w:r>
      <w:r w:rsidRPr="009B63F8">
        <w:rPr>
          <w:rFonts w:ascii="Times New Roman" w:hAnsi="Times New Roman"/>
          <w:sz w:val="20"/>
          <w:szCs w:val="20"/>
          <w:vertAlign w:val="superscript"/>
          <w:lang w:val="en-GB" w:eastAsia="ko-KR" w:bidi="ar-SA"/>
        </w:rPr>
        <w:t>2</w:t>
      </w:r>
      <w:r w:rsidRPr="009B63F8">
        <w:rPr>
          <w:rFonts w:ascii="Times New Roman" w:hAnsi="Times New Roman"/>
          <w:sz w:val="20"/>
          <w:szCs w:val="20"/>
          <w:lang w:val="en-GB" w:eastAsia="ko-KR" w:bidi="ar-SA"/>
        </w:rPr>
        <w:t xml:space="preserve"> = 0.9901] obtained from the GA concentrations in µg </w:t>
      </w:r>
      <w:r w:rsidRPr="009B63F8">
        <w:rPr>
          <w:rFonts w:ascii="Times New Roman" w:hAnsi="Times New Roman"/>
          <w:sz w:val="20"/>
          <w:szCs w:val="20"/>
          <w:lang w:val="en-GB" w:eastAsia="ko-KR" w:bidi="ar-SA"/>
        </w:rPr>
        <w:t xml:space="preserve">GAE/g expression (Figure 1), where y is sample absorbance at 750 nm while x is the concentration of TPC. </w:t>
      </w:r>
    </w:p>
    <w:p w14:paraId="4452EA92" w14:textId="77777777" w:rsidR="00A030E0" w:rsidRPr="009B63F8" w:rsidRDefault="00A030E0" w:rsidP="00E6510F">
      <w:pPr>
        <w:spacing w:after="0"/>
        <w:jc w:val="both"/>
        <w:rPr>
          <w:rFonts w:ascii="Times New Roman" w:hAnsi="Times New Roman"/>
          <w:sz w:val="20"/>
          <w:szCs w:val="20"/>
          <w:lang w:val="en-GB" w:eastAsia="ko-KR" w:bidi="ar-SA"/>
        </w:rPr>
      </w:pPr>
    </w:p>
    <w:p w14:paraId="0BF565B6" w14:textId="709AAEED" w:rsidR="002818AF"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Figure 2 shows that the methanolic extract has the highest content of TPC (3.66 ± 0.11 mg GAE/g), followed by methanol extract (2.84 ± 0.04 mg GAE/g), while hexane extract had the lowest content of TPC (0.13 ± 0.03 mg GAE/g). The two-tailed t-test showed significant differences between the TPCs among the three extracts (p &lt; 0.05). All TPC values obtained were lower than reported in literature. </w:t>
      </w:r>
      <w:r w:rsidRPr="009B63F8">
        <w:rPr>
          <w:rFonts w:ascii="Times New Roman" w:eastAsia="SimSun" w:hAnsi="Times New Roman"/>
          <w:sz w:val="20"/>
          <w:szCs w:val="20"/>
          <w:lang w:val="en-GB" w:eastAsia="ko-KR" w:bidi="ar-SA"/>
        </w:rPr>
        <w:t>Fadhlin Baharuddin et al. [34]</w:t>
      </w:r>
      <w:r w:rsidRPr="009B63F8">
        <w:rPr>
          <w:rFonts w:ascii="Times New Roman" w:hAnsi="Times New Roman"/>
          <w:sz w:val="20"/>
          <w:szCs w:val="20"/>
          <w:lang w:val="en-GB" w:eastAsia="ko-KR" w:bidi="ar-SA"/>
        </w:rPr>
        <w:t xml:space="preserve"> reported that the TPC of methanolic extract was 11.05-13.87 </w:t>
      </w:r>
      <w:r w:rsidR="004A70F6">
        <w:rPr>
          <w:rFonts w:ascii="Times New Roman" w:hAnsi="Times New Roman"/>
          <w:sz w:val="20"/>
          <w:szCs w:val="20"/>
          <w:lang w:val="en-GB" w:eastAsia="ko-KR" w:bidi="ar-SA"/>
        </w:rPr>
        <w:t xml:space="preserve">mg </w:t>
      </w:r>
      <w:r w:rsidRPr="009B63F8">
        <w:rPr>
          <w:rFonts w:ascii="Times New Roman" w:hAnsi="Times New Roman"/>
          <w:sz w:val="20"/>
          <w:szCs w:val="20"/>
          <w:lang w:val="en-GB" w:eastAsia="ko-KR" w:bidi="ar-SA"/>
        </w:rPr>
        <w:t xml:space="preserve">GAE/g when the temperature ranged from 30-55°C. Ismail et al. [17] reported that the TPC of aqueous and hexane extracts fractionated from the crude methanolic extract possessed 415.76 and 50.24 mg GAE/g, respectively. These inconsistent findings resulted from differences in method of extraction, parts </w:t>
      </w:r>
      <w:r w:rsidRPr="009B63F8">
        <w:rPr>
          <w:rFonts w:ascii="Times New Roman" w:hAnsi="Times New Roman"/>
          <w:sz w:val="20"/>
          <w:szCs w:val="20"/>
          <w:lang w:val="en-GB" w:eastAsia="ko-KR" w:bidi="ar-SA"/>
        </w:rPr>
        <w:lastRenderedPageBreak/>
        <w:t xml:space="preserve">of plant, maturity of plant and storage of plant [35]. Nevertheless, our results agreed with previous study </w:t>
      </w:r>
      <w:r w:rsidRPr="009B63F8">
        <w:rPr>
          <w:rFonts w:ascii="Times New Roman" w:hAnsi="Times New Roman"/>
          <w:sz w:val="20"/>
          <w:szCs w:val="20"/>
          <w:lang w:val="en-GB" w:eastAsia="ko-KR" w:bidi="ar-SA"/>
        </w:rPr>
        <w:t>which showed that the water extract had the highest TPC and hexane extract had the lowest TPC [17].</w:t>
      </w:r>
    </w:p>
    <w:p w14:paraId="537D2823" w14:textId="77777777" w:rsidR="00220AB6" w:rsidRDefault="00220AB6" w:rsidP="00E6510F">
      <w:pPr>
        <w:spacing w:after="0"/>
        <w:jc w:val="both"/>
        <w:rPr>
          <w:rFonts w:ascii="Times New Roman" w:hAnsi="Times New Roman"/>
          <w:sz w:val="20"/>
          <w:szCs w:val="20"/>
          <w:lang w:val="en-GB" w:eastAsia="ko-KR" w:bidi="ar-SA"/>
        </w:rPr>
      </w:pPr>
    </w:p>
    <w:p w14:paraId="307F0A8E" w14:textId="604BB575" w:rsidR="00220AB6" w:rsidRDefault="00220AB6" w:rsidP="00E6510F">
      <w:pPr>
        <w:spacing w:after="0"/>
        <w:jc w:val="both"/>
        <w:rPr>
          <w:rFonts w:ascii="Times New Roman" w:hAnsi="Times New Roman"/>
          <w:sz w:val="20"/>
          <w:szCs w:val="20"/>
          <w:lang w:val="en-GB" w:eastAsia="ko-KR" w:bidi="ar-SA"/>
        </w:rPr>
        <w:sectPr w:rsidR="00220AB6" w:rsidSect="00123241">
          <w:footerReference w:type="default" r:id="rId15"/>
          <w:type w:val="continuous"/>
          <w:pgSz w:w="12240" w:h="15840" w:code="1"/>
          <w:pgMar w:top="1800" w:right="1469" w:bottom="1699" w:left="1440" w:header="706" w:footer="706" w:gutter="0"/>
          <w:pgNumType w:start="1"/>
          <w:cols w:num="2" w:space="403"/>
          <w:docGrid w:linePitch="360"/>
        </w:sectPr>
      </w:pPr>
    </w:p>
    <w:p w14:paraId="2210022B" w14:textId="77777777" w:rsidR="007A1A63" w:rsidRDefault="007A1A63" w:rsidP="007A1A63">
      <w:pPr>
        <w:spacing w:after="120"/>
        <w:jc w:val="center"/>
        <w:rPr>
          <w:rFonts w:ascii="Times New Roman" w:hAnsi="Times New Roman"/>
          <w:b/>
          <w:bCs/>
          <w:sz w:val="24"/>
          <w:szCs w:val="24"/>
          <w:lang w:val="en-GB" w:eastAsia="ko-KR" w:bidi="ar-SA"/>
        </w:rPr>
        <w:sectPr w:rsidR="007A1A63" w:rsidSect="007A1A63">
          <w:type w:val="continuous"/>
          <w:pgSz w:w="12240" w:h="15840" w:code="1"/>
          <w:pgMar w:top="1800" w:right="1469" w:bottom="1699" w:left="1440" w:header="706" w:footer="706" w:gutter="0"/>
          <w:pgNumType w:start="1"/>
          <w:cols w:space="403"/>
          <w:docGrid w:linePitch="360"/>
        </w:sectPr>
      </w:pPr>
      <w:r w:rsidRPr="009B63F8">
        <w:rPr>
          <w:rFonts w:ascii="Times New Roman" w:hAnsi="Times New Roman"/>
          <w:noProof/>
          <w:sz w:val="24"/>
          <w:szCs w:val="24"/>
          <w:bdr w:val="none" w:sz="0" w:space="0" w:color="auto" w:frame="1"/>
          <w:lang w:val="en-GB" w:eastAsia="ko-KR" w:bidi="ar-SA"/>
        </w:rPr>
        <w:drawing>
          <wp:inline distT="0" distB="0" distL="0" distR="0" wp14:anchorId="59C82040" wp14:editId="6D8A1475">
            <wp:extent cx="3983903" cy="2412000"/>
            <wp:effectExtent l="19050" t="19050" r="17145" b="2667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3903" cy="2412000"/>
                    </a:xfrm>
                    <a:prstGeom prst="rect">
                      <a:avLst/>
                    </a:prstGeom>
                    <a:noFill/>
                    <a:ln>
                      <a:solidFill>
                        <a:sysClr val="windowText" lastClr="000000"/>
                      </a:solidFill>
                    </a:ln>
                  </pic:spPr>
                </pic:pic>
              </a:graphicData>
            </a:graphic>
          </wp:inline>
        </w:drawing>
      </w:r>
    </w:p>
    <w:p w14:paraId="21943676" w14:textId="77777777" w:rsidR="007A1A63" w:rsidRDefault="007A1A63" w:rsidP="00795088">
      <w:pPr>
        <w:spacing w:after="0" w:line="240" w:lineRule="auto"/>
        <w:jc w:val="center"/>
        <w:rPr>
          <w:rFonts w:ascii="Times New Roman" w:hAnsi="Times New Roman"/>
          <w:sz w:val="20"/>
          <w:szCs w:val="20"/>
          <w:lang w:val="en-GB" w:eastAsia="ko-KR" w:bidi="ar-SA"/>
        </w:rPr>
      </w:pPr>
      <w:r w:rsidRPr="009B63F8">
        <w:rPr>
          <w:rFonts w:ascii="Times New Roman" w:hAnsi="Times New Roman"/>
          <w:sz w:val="20"/>
          <w:szCs w:val="20"/>
          <w:lang w:val="en-GB" w:eastAsia="ko-KR" w:bidi="ar-SA"/>
        </w:rPr>
        <w:t>Figure 1.</w:t>
      </w:r>
      <w:r>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The calibration curve of the gallic acid standard solutions</w:t>
      </w:r>
    </w:p>
    <w:p w14:paraId="5A95A2A0" w14:textId="77777777" w:rsidR="00795088" w:rsidRDefault="00795088" w:rsidP="007A1A63">
      <w:pPr>
        <w:spacing w:after="0"/>
        <w:jc w:val="center"/>
        <w:rPr>
          <w:rFonts w:ascii="Times New Roman" w:hAnsi="Times New Roman"/>
          <w:sz w:val="20"/>
          <w:szCs w:val="20"/>
          <w:lang w:val="en-GB" w:eastAsia="ko-KR" w:bidi="ar-SA"/>
        </w:rPr>
      </w:pPr>
    </w:p>
    <w:p w14:paraId="40E50A2A" w14:textId="0812F6E0" w:rsidR="00795088" w:rsidRDefault="00795088" w:rsidP="007A1A63">
      <w:pPr>
        <w:spacing w:after="0"/>
        <w:jc w:val="center"/>
        <w:rPr>
          <w:rFonts w:ascii="Times New Roman" w:hAnsi="Times New Roman"/>
          <w:sz w:val="20"/>
          <w:szCs w:val="20"/>
          <w:lang w:val="en-GB" w:eastAsia="ko-KR" w:bidi="ar-SA"/>
        </w:rPr>
        <w:sectPr w:rsidR="00795088" w:rsidSect="00795088">
          <w:type w:val="continuous"/>
          <w:pgSz w:w="12240" w:h="15840" w:code="1"/>
          <w:pgMar w:top="1800" w:right="1469" w:bottom="1699" w:left="1440" w:header="706" w:footer="706" w:gutter="0"/>
          <w:pgNumType w:start="1"/>
          <w:cols w:space="403"/>
          <w:docGrid w:linePitch="360"/>
        </w:sectPr>
      </w:pPr>
    </w:p>
    <w:p w14:paraId="4DFA1EFD" w14:textId="77777777" w:rsidR="007A1A63" w:rsidRDefault="007A1A63" w:rsidP="007A1A63">
      <w:pPr>
        <w:spacing w:after="0"/>
        <w:jc w:val="center"/>
        <w:rPr>
          <w:rFonts w:ascii="Times New Roman" w:hAnsi="Times New Roman"/>
          <w:sz w:val="20"/>
          <w:szCs w:val="20"/>
          <w:lang w:val="en-GB" w:eastAsia="ko-KR" w:bidi="ar-SA"/>
        </w:rPr>
      </w:pPr>
    </w:p>
    <w:p w14:paraId="41392BBB" w14:textId="77777777" w:rsidR="00795088" w:rsidRDefault="00795088" w:rsidP="007A1A63">
      <w:pPr>
        <w:spacing w:after="100" w:afterAutospacing="1" w:line="240" w:lineRule="auto"/>
        <w:jc w:val="center"/>
        <w:rPr>
          <w:rFonts w:ascii="Times New Roman" w:hAnsi="Times New Roman"/>
          <w:sz w:val="20"/>
          <w:szCs w:val="20"/>
          <w:lang w:val="en-GB" w:eastAsia="ko-KR" w:bidi="ar-SA"/>
        </w:rPr>
        <w:sectPr w:rsidR="00795088" w:rsidSect="00123241">
          <w:type w:val="continuous"/>
          <w:pgSz w:w="12240" w:h="15840" w:code="1"/>
          <w:pgMar w:top="1800" w:right="1469" w:bottom="1699" w:left="1440" w:header="706" w:footer="706" w:gutter="0"/>
          <w:pgNumType w:start="1"/>
          <w:cols w:num="2" w:space="403"/>
          <w:docGrid w:linePitch="360"/>
        </w:sectPr>
      </w:pPr>
    </w:p>
    <w:p w14:paraId="494F739C" w14:textId="77777777" w:rsidR="00795088" w:rsidRDefault="007A1A63" w:rsidP="007A1A63">
      <w:pPr>
        <w:spacing w:after="100" w:afterAutospacing="1" w:line="240" w:lineRule="auto"/>
        <w:jc w:val="center"/>
        <w:rPr>
          <w:rFonts w:ascii="Times New Roman" w:hAnsi="Times New Roman"/>
          <w:sz w:val="20"/>
          <w:szCs w:val="20"/>
          <w:lang w:val="en-GB" w:eastAsia="ko-KR" w:bidi="ar-SA"/>
        </w:rPr>
        <w:sectPr w:rsidR="00795088" w:rsidSect="00795088">
          <w:type w:val="continuous"/>
          <w:pgSz w:w="12240" w:h="15840" w:code="1"/>
          <w:pgMar w:top="1800" w:right="1469" w:bottom="1699" w:left="1440" w:header="706" w:footer="706" w:gutter="0"/>
          <w:pgNumType w:start="1"/>
          <w:cols w:space="403"/>
          <w:docGrid w:linePitch="360"/>
        </w:sectPr>
      </w:pPr>
      <w:r w:rsidRPr="009B63F8">
        <w:rPr>
          <w:rFonts w:ascii="Times New Roman" w:hAnsi="Times New Roman"/>
          <w:noProof/>
          <w:sz w:val="20"/>
          <w:szCs w:val="20"/>
          <w:lang w:val="en-GB" w:eastAsia="ko-KR" w:bidi="ar-SA"/>
        </w:rPr>
        <w:drawing>
          <wp:inline distT="0" distB="0" distL="0" distR="0" wp14:anchorId="653FCB35" wp14:editId="5B639016">
            <wp:extent cx="3951167" cy="2592000"/>
            <wp:effectExtent l="19050" t="19050" r="11430" b="18415"/>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51167" cy="2592000"/>
                    </a:xfrm>
                    <a:prstGeom prst="rect">
                      <a:avLst/>
                    </a:prstGeom>
                    <a:noFill/>
                    <a:ln>
                      <a:solidFill>
                        <a:sysClr val="windowText" lastClr="000000"/>
                      </a:solidFill>
                    </a:ln>
                  </pic:spPr>
                </pic:pic>
              </a:graphicData>
            </a:graphic>
          </wp:inline>
        </w:drawing>
      </w:r>
    </w:p>
    <w:p w14:paraId="4986F740" w14:textId="77777777" w:rsidR="007A1A63" w:rsidRPr="009B63F8" w:rsidRDefault="007A1A63" w:rsidP="00795088">
      <w:pPr>
        <w:spacing w:after="0"/>
        <w:ind w:left="900" w:hanging="90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Figure 2. </w:t>
      </w:r>
      <w:r>
        <w:rPr>
          <w:rFonts w:ascii="Times New Roman" w:hAnsi="Times New Roman"/>
          <w:sz w:val="20"/>
          <w:szCs w:val="20"/>
          <w:lang w:val="en-GB" w:eastAsia="ko-KR" w:bidi="ar-SA"/>
        </w:rPr>
        <w:tab/>
      </w:r>
      <w:r w:rsidRPr="009B63F8">
        <w:rPr>
          <w:rFonts w:ascii="Times New Roman" w:hAnsi="Times New Roman"/>
          <w:sz w:val="20"/>
          <w:szCs w:val="20"/>
          <w:lang w:val="en-GB" w:eastAsia="ko-KR" w:bidi="ar-SA"/>
        </w:rPr>
        <w:t xml:space="preserve">Mean total phenolic content for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hexane, methanol, and water extracts which were expressed as gallic acid equivalent (GAE). All experiments were performed in triplicates. Asterisk (*) indicates statistically significant at the level of p &lt; 0.05 between the extracts</w:t>
      </w:r>
    </w:p>
    <w:p w14:paraId="207060B0" w14:textId="77777777" w:rsidR="00123241" w:rsidRDefault="00123241" w:rsidP="00E6510F">
      <w:pPr>
        <w:spacing w:after="0"/>
        <w:jc w:val="both"/>
        <w:rPr>
          <w:rFonts w:ascii="Times New Roman" w:hAnsi="Times New Roman"/>
          <w:sz w:val="20"/>
          <w:szCs w:val="20"/>
          <w:lang w:val="en-GB" w:eastAsia="ko-KR" w:bidi="ar-SA"/>
        </w:rPr>
        <w:sectPr w:rsidR="00123241" w:rsidSect="00795088">
          <w:type w:val="continuous"/>
          <w:pgSz w:w="12240" w:h="15840" w:code="1"/>
          <w:pgMar w:top="1800" w:right="1469" w:bottom="1699" w:left="1440" w:header="706" w:footer="706" w:gutter="0"/>
          <w:pgNumType w:start="1"/>
          <w:cols w:space="403"/>
          <w:docGrid w:linePitch="360"/>
        </w:sectPr>
      </w:pPr>
    </w:p>
    <w:p w14:paraId="04BDBDD1"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lastRenderedPageBreak/>
        <w:t xml:space="preserve">Total flavonoid content </w:t>
      </w:r>
    </w:p>
    <w:p w14:paraId="4756BA48" w14:textId="11599EF0" w:rsidR="00503D8E" w:rsidRDefault="009B63F8" w:rsidP="00942264">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Flavonoids are classified into different subclasses based on their composition, including flavanones, flavones, flavanols, and flavonols, with myricetin, kaempferol, and quercetin being the most common [36]. It is a water-soluble phytochemical compound which is obtained from essential plant phenolic with beneficial antimicrobial, anti-inflammatory, and antioxidant properties as well as the ability to inhibit oxidative cell damage and carcinogenesis [30]. Quercetin was used as the positive control in determining TFC. The TFC of three different extracts were yielded from the calibration curve [y = 0.0824x - 0.2444; R</w:t>
      </w:r>
      <w:r w:rsidRPr="009B63F8">
        <w:rPr>
          <w:rFonts w:ascii="Times New Roman" w:hAnsi="Times New Roman"/>
          <w:sz w:val="20"/>
          <w:szCs w:val="20"/>
          <w:vertAlign w:val="superscript"/>
          <w:lang w:val="en-GB" w:eastAsia="ko-KR" w:bidi="ar-SA"/>
        </w:rPr>
        <w:t>2</w:t>
      </w:r>
      <w:r w:rsidRPr="009B63F8">
        <w:rPr>
          <w:rFonts w:ascii="Times New Roman" w:hAnsi="Times New Roman"/>
          <w:sz w:val="20"/>
          <w:szCs w:val="20"/>
          <w:lang w:val="en-GB" w:eastAsia="ko-KR" w:bidi="ar-SA"/>
        </w:rPr>
        <w:t xml:space="preserve"> = 0.957] obtained from the quercetin concentrations in µg QE/g as shown in Figure 3, where y is sample absorbance at 415 nm and x is the concentration of TFC. Figure 4 shows that the methanolic </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extract </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has</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the highest content of TFC (1.91 ± 0.05 mg QE/g), followed by the water extract </w:t>
      </w:r>
      <w:r w:rsidRPr="009B63F8">
        <w:rPr>
          <w:rFonts w:ascii="Times New Roman" w:hAnsi="Times New Roman"/>
          <w:sz w:val="20"/>
          <w:szCs w:val="20"/>
          <w:lang w:val="en-GB" w:eastAsia="ko-KR" w:bidi="ar-SA"/>
        </w:rPr>
        <w:t xml:space="preserve">(1.50 ± 0.01 mg QE/g); meanwhile, the hexane extract cannot be determined as the absorbance is below the limit of detection from the calibration curve. The two-tailed t-test showed significant differences in TFCs between the water and methanol extract (p &lt; 0.05). Previous literature reported that the TFC of 80% methanolic extract of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was 4.31-7.32 mg QE/g, where the phenolics content of the plant was higher as the plant grew [19]. The variation in results may be due to many factors such as plant age [19] or different geographical distribution of the plant which affects the plant’s metabolism [35]. Our findings showed that the TPC in methanolic and aqueous extract was remarkably higher than hexane extract, and this trend is also observed in previous literature where the water extract has the highest TPC and hexane extract has the lowest TFC [17].</w:t>
      </w:r>
    </w:p>
    <w:p w14:paraId="5269F16A" w14:textId="77777777" w:rsidR="00272DD0" w:rsidRDefault="00272DD0" w:rsidP="00942264">
      <w:pPr>
        <w:spacing w:after="0"/>
        <w:jc w:val="both"/>
        <w:rPr>
          <w:rFonts w:ascii="Times New Roman" w:hAnsi="Times New Roman"/>
          <w:sz w:val="20"/>
          <w:szCs w:val="20"/>
          <w:lang w:val="en-GB" w:eastAsia="ko-KR" w:bidi="ar-SA"/>
        </w:rPr>
        <w:sectPr w:rsidR="00272DD0" w:rsidSect="00272DD0">
          <w:headerReference w:type="default" r:id="rId18"/>
          <w:footerReference w:type="even" r:id="rId19"/>
          <w:type w:val="evenPage"/>
          <w:pgSz w:w="12240" w:h="15840" w:code="1"/>
          <w:pgMar w:top="1800" w:right="1469" w:bottom="1699" w:left="1440" w:header="706" w:footer="706" w:gutter="0"/>
          <w:pgNumType w:start="1"/>
          <w:cols w:num="2" w:space="403"/>
          <w:docGrid w:linePitch="360"/>
        </w:sectPr>
      </w:pPr>
    </w:p>
    <w:p w14:paraId="5ECBFB06" w14:textId="77777777" w:rsidR="00272DD0" w:rsidRDefault="00272DD0" w:rsidP="00942264">
      <w:pPr>
        <w:spacing w:after="0"/>
        <w:jc w:val="both"/>
        <w:rPr>
          <w:rFonts w:ascii="Times New Roman" w:hAnsi="Times New Roman"/>
          <w:sz w:val="20"/>
          <w:szCs w:val="20"/>
          <w:lang w:val="en-GB" w:eastAsia="ko-KR" w:bidi="ar-SA"/>
        </w:rPr>
      </w:pPr>
    </w:p>
    <w:p w14:paraId="606A38DD" w14:textId="314F3952" w:rsidR="009B63F8" w:rsidRPr="009B63F8" w:rsidRDefault="009B63F8" w:rsidP="00503D8E">
      <w:pPr>
        <w:spacing w:after="0" w:line="240" w:lineRule="auto"/>
        <w:jc w:val="center"/>
        <w:rPr>
          <w:rFonts w:ascii="Times New Roman" w:hAnsi="Times New Roman"/>
          <w:sz w:val="24"/>
          <w:szCs w:val="24"/>
          <w:lang w:val="en-GB" w:eastAsia="ko-KR" w:bidi="ar-SA"/>
        </w:rPr>
      </w:pPr>
      <w:r w:rsidRPr="009B63F8">
        <w:rPr>
          <w:rFonts w:ascii="Times New Roman" w:hAnsi="Times New Roman"/>
          <w:noProof/>
          <w:sz w:val="24"/>
          <w:szCs w:val="24"/>
          <w:lang w:val="en-GB" w:eastAsia="ko-KR" w:bidi="ar-SA"/>
        </w:rPr>
        <w:drawing>
          <wp:inline distT="0" distB="0" distL="0" distR="0" wp14:anchorId="46E56EED" wp14:editId="6ADD5163">
            <wp:extent cx="4091774" cy="2409825"/>
            <wp:effectExtent l="19050" t="19050" r="23495" b="9525"/>
            <wp:docPr id="30" name="Picture 3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scatter 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14807" cy="2423390"/>
                    </a:xfrm>
                    <a:prstGeom prst="rect">
                      <a:avLst/>
                    </a:prstGeom>
                    <a:noFill/>
                    <a:ln>
                      <a:solidFill>
                        <a:sysClr val="windowText" lastClr="000000"/>
                      </a:solidFill>
                    </a:ln>
                  </pic:spPr>
                </pic:pic>
              </a:graphicData>
            </a:graphic>
          </wp:inline>
        </w:drawing>
      </w:r>
    </w:p>
    <w:p w14:paraId="661463FA" w14:textId="77777777" w:rsidR="009B63F8" w:rsidRPr="009B63F8" w:rsidRDefault="009B63F8" w:rsidP="009B63F8">
      <w:pPr>
        <w:spacing w:after="0" w:line="240" w:lineRule="auto"/>
        <w:jc w:val="center"/>
        <w:rPr>
          <w:rFonts w:ascii="Times New Roman" w:hAnsi="Times New Roman"/>
          <w:sz w:val="24"/>
          <w:szCs w:val="24"/>
          <w:lang w:val="en-GB" w:eastAsia="ko-KR" w:bidi="ar-SA"/>
        </w:rPr>
      </w:pPr>
    </w:p>
    <w:p w14:paraId="374C6B07" w14:textId="3633178F" w:rsidR="009B63F8" w:rsidRPr="009B63F8" w:rsidRDefault="009B63F8" w:rsidP="009B63F8">
      <w:pPr>
        <w:widowControl w:val="0"/>
        <w:wordWrap w:val="0"/>
        <w:autoSpaceDE w:val="0"/>
        <w:autoSpaceDN w:val="0"/>
        <w:spacing w:after="0" w:line="240" w:lineRule="auto"/>
        <w:jc w:val="center"/>
        <w:rPr>
          <w:rFonts w:ascii="Times New Roman" w:hAnsi="Times New Roman"/>
          <w:kern w:val="2"/>
          <w:sz w:val="20"/>
          <w:szCs w:val="20"/>
          <w:lang w:val="en-GB" w:eastAsia="ko-KR" w:bidi="ar-SA"/>
        </w:rPr>
      </w:pPr>
      <w:r w:rsidRPr="009B63F8">
        <w:rPr>
          <w:rFonts w:ascii="Times New Roman" w:hAnsi="Times New Roman"/>
          <w:kern w:val="2"/>
          <w:sz w:val="20"/>
          <w:szCs w:val="20"/>
          <w:lang w:val="en-GB" w:eastAsia="ko-KR" w:bidi="ar-SA"/>
        </w:rPr>
        <w:t xml:space="preserve">Figure 3. </w:t>
      </w:r>
      <w:r w:rsidR="00C930EB">
        <w:rPr>
          <w:rFonts w:ascii="Times New Roman" w:hAnsi="Times New Roman"/>
          <w:kern w:val="2"/>
          <w:sz w:val="20"/>
          <w:szCs w:val="20"/>
          <w:lang w:val="en-GB" w:eastAsia="ko-KR" w:bidi="ar-SA"/>
        </w:rPr>
        <w:t xml:space="preserve"> </w:t>
      </w:r>
      <w:r w:rsidRPr="009B63F8">
        <w:rPr>
          <w:rFonts w:ascii="Times New Roman" w:hAnsi="Times New Roman"/>
          <w:kern w:val="2"/>
          <w:sz w:val="20"/>
          <w:szCs w:val="20"/>
          <w:lang w:val="en-GB" w:eastAsia="ko-KR" w:bidi="ar-SA"/>
        </w:rPr>
        <w:t>The calibration curve of the quercetin standard solution</w:t>
      </w:r>
    </w:p>
    <w:p w14:paraId="09B2B307" w14:textId="77777777" w:rsidR="009B63F8" w:rsidRPr="009B63F8" w:rsidRDefault="009B63F8" w:rsidP="009B63F8">
      <w:pPr>
        <w:widowControl w:val="0"/>
        <w:wordWrap w:val="0"/>
        <w:autoSpaceDE w:val="0"/>
        <w:autoSpaceDN w:val="0"/>
        <w:spacing w:after="0" w:line="240" w:lineRule="auto"/>
        <w:jc w:val="center"/>
        <w:rPr>
          <w:rFonts w:ascii="Times New Roman" w:hAnsi="Times New Roman"/>
          <w:kern w:val="2"/>
          <w:sz w:val="20"/>
          <w:szCs w:val="20"/>
          <w:lang w:val="en-GB" w:eastAsia="ko-KR" w:bidi="ar-SA"/>
        </w:rPr>
      </w:pPr>
    </w:p>
    <w:p w14:paraId="278AD1F6" w14:textId="77777777" w:rsidR="009B63F8" w:rsidRPr="009B63F8" w:rsidRDefault="009B63F8" w:rsidP="00C930EB">
      <w:pPr>
        <w:spacing w:after="120"/>
        <w:jc w:val="center"/>
        <w:rPr>
          <w:rFonts w:ascii="Times New Roman" w:hAnsi="Times New Roman"/>
          <w:sz w:val="20"/>
          <w:szCs w:val="20"/>
          <w:lang w:val="en-GB" w:eastAsia="ko-KR" w:bidi="ar-SA"/>
        </w:rPr>
      </w:pPr>
      <w:r w:rsidRPr="009B63F8">
        <w:rPr>
          <w:rFonts w:ascii="Times New Roman" w:hAnsi="Times New Roman"/>
          <w:noProof/>
          <w:sz w:val="24"/>
          <w:szCs w:val="24"/>
          <w:lang w:val="en-GB" w:eastAsia="ko-KR" w:bidi="ar-SA"/>
        </w:rPr>
        <w:lastRenderedPageBreak/>
        <w:drawing>
          <wp:inline distT="0" distB="0" distL="0" distR="0" wp14:anchorId="47883442" wp14:editId="4F499407">
            <wp:extent cx="4097006" cy="2497455"/>
            <wp:effectExtent l="19050" t="19050" r="18415" b="17145"/>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06026" cy="2502954"/>
                    </a:xfrm>
                    <a:prstGeom prst="rect">
                      <a:avLst/>
                    </a:prstGeom>
                    <a:noFill/>
                    <a:ln>
                      <a:solidFill>
                        <a:sysClr val="windowText" lastClr="000000"/>
                      </a:solidFill>
                    </a:ln>
                  </pic:spPr>
                </pic:pic>
              </a:graphicData>
            </a:graphic>
          </wp:inline>
        </w:drawing>
      </w:r>
    </w:p>
    <w:p w14:paraId="13A5899C" w14:textId="77777777" w:rsidR="009B63F8" w:rsidRPr="00E6510F" w:rsidRDefault="009B63F8" w:rsidP="00C930EB">
      <w:pPr>
        <w:spacing w:after="0"/>
        <w:ind w:left="810" w:hanging="810"/>
        <w:jc w:val="both"/>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Figure 4.  Mean total flavonoid content for </w:t>
      </w: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hexane, methanol and water extracts which were expressed as quercetin equivalent (QE). All experiments were performed in triplicates. Asterisk (*) indicates statistically significant at the level of p &lt; 0.05 between the extracts</w:t>
      </w:r>
    </w:p>
    <w:p w14:paraId="7700254C" w14:textId="77777777" w:rsidR="006C712F" w:rsidRDefault="006C712F" w:rsidP="00E6510F">
      <w:pPr>
        <w:spacing w:after="0"/>
        <w:rPr>
          <w:rFonts w:ascii="Times New Roman" w:hAnsi="Times New Roman"/>
          <w:b/>
          <w:bCs/>
          <w:sz w:val="20"/>
          <w:szCs w:val="20"/>
          <w:lang w:val="en-GB" w:eastAsia="ko-KR" w:bidi="ar-SA"/>
        </w:rPr>
      </w:pPr>
    </w:p>
    <w:p w14:paraId="13224EBA" w14:textId="77777777" w:rsidR="00272DD0" w:rsidRDefault="00272DD0" w:rsidP="00E6510F">
      <w:pPr>
        <w:spacing w:after="0"/>
        <w:rPr>
          <w:rFonts w:ascii="Times New Roman" w:hAnsi="Times New Roman"/>
          <w:b/>
          <w:bCs/>
          <w:sz w:val="20"/>
          <w:szCs w:val="20"/>
          <w:lang w:val="en-GB" w:eastAsia="ko-KR" w:bidi="ar-SA"/>
        </w:rPr>
      </w:pPr>
    </w:p>
    <w:p w14:paraId="71AC8D4F" w14:textId="66242167" w:rsidR="00C930EB" w:rsidRPr="00E6510F" w:rsidRDefault="00C930EB" w:rsidP="00E6510F">
      <w:pPr>
        <w:spacing w:after="0"/>
        <w:rPr>
          <w:rFonts w:ascii="Times New Roman" w:hAnsi="Times New Roman"/>
          <w:b/>
          <w:bCs/>
          <w:sz w:val="20"/>
          <w:szCs w:val="20"/>
          <w:lang w:val="en-GB" w:eastAsia="ko-KR" w:bidi="ar-SA"/>
        </w:rPr>
        <w:sectPr w:rsidR="00C930EB" w:rsidRPr="00E6510F" w:rsidSect="00272DD0">
          <w:headerReference w:type="default" r:id="rId22"/>
          <w:footerReference w:type="default" r:id="rId23"/>
          <w:type w:val="continuous"/>
          <w:pgSz w:w="12240" w:h="15840" w:code="1"/>
          <w:pgMar w:top="1800" w:right="1469" w:bottom="1699" w:left="1440" w:header="706" w:footer="706" w:gutter="0"/>
          <w:pgNumType w:start="1"/>
          <w:cols w:space="708"/>
          <w:docGrid w:linePitch="360"/>
        </w:sectPr>
      </w:pPr>
    </w:p>
    <w:p w14:paraId="509CE4D6" w14:textId="77777777" w:rsidR="009B63F8" w:rsidRPr="00E6510F" w:rsidRDefault="009B63F8" w:rsidP="00E6510F">
      <w:pPr>
        <w:spacing w:after="0"/>
        <w:rPr>
          <w:rFonts w:ascii="Times New Roman" w:hAnsi="Times New Roman"/>
          <w:b/>
          <w:bCs/>
          <w:sz w:val="20"/>
          <w:szCs w:val="20"/>
          <w:lang w:val="en-GB" w:eastAsia="ko-KR" w:bidi="ar-SA"/>
        </w:rPr>
      </w:pPr>
      <w:r w:rsidRPr="00E6510F">
        <w:rPr>
          <w:rFonts w:ascii="Times New Roman" w:hAnsi="Times New Roman"/>
          <w:b/>
          <w:bCs/>
          <w:sz w:val="20"/>
          <w:szCs w:val="20"/>
          <w:lang w:val="en-GB" w:eastAsia="ko-KR" w:bidi="ar-SA"/>
        </w:rPr>
        <w:t xml:space="preserve">Radical scavenging activity - DPPH and ABTS assay </w:t>
      </w:r>
    </w:p>
    <w:p w14:paraId="2E03C44E" w14:textId="77777777" w:rsidR="009B63F8" w:rsidRPr="00E6510F" w:rsidRDefault="009B63F8" w:rsidP="00E6510F">
      <w:pPr>
        <w:spacing w:after="0"/>
        <w:jc w:val="both"/>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DPPH and ABTS assays are prominent surrogate markers to detect antioxidant capacity and evaluate potential substances behaving as free radical scavengers [37]. Table 2 shows that the DPPH and ABTS scavenging activity have the same trend, where </w:t>
      </w:r>
      <w:r w:rsidRPr="00E6510F">
        <w:rPr>
          <w:rFonts w:ascii="Times New Roman" w:hAnsi="Times New Roman"/>
          <w:sz w:val="20"/>
          <w:szCs w:val="20"/>
          <w:lang w:val="en-GB" w:eastAsia="ko-KR" w:bidi="ar-SA"/>
        </w:rPr>
        <w:t xml:space="preserve">the %RSA decreases in the order of methanolic &gt; water &gt; hexane extract. Our findings agree well with Ismail </w:t>
      </w:r>
      <w:r w:rsidRPr="00E6510F">
        <w:rPr>
          <w:rFonts w:ascii="Times New Roman" w:hAnsi="Times New Roman"/>
          <w:i/>
          <w:iCs/>
          <w:sz w:val="20"/>
          <w:szCs w:val="20"/>
          <w:lang w:val="en-GB" w:eastAsia="ko-KR" w:bidi="ar-SA"/>
        </w:rPr>
        <w:t>et al</w:t>
      </w:r>
      <w:r w:rsidRPr="00E6510F">
        <w:rPr>
          <w:rFonts w:ascii="Times New Roman" w:hAnsi="Times New Roman"/>
          <w:sz w:val="20"/>
          <w:szCs w:val="20"/>
          <w:lang w:val="en-GB" w:eastAsia="ko-KR" w:bidi="ar-SA"/>
        </w:rPr>
        <w:t xml:space="preserve">. [34] who reported that the methanolic crude extract exhibited the highest antioxidative activity and hexane fraction extract exhibited the lowest antioxidative activity. </w:t>
      </w:r>
    </w:p>
    <w:p w14:paraId="618EA0A7" w14:textId="77777777" w:rsidR="009B63F8" w:rsidRPr="00E6510F" w:rsidRDefault="009B63F8" w:rsidP="00E6510F">
      <w:pPr>
        <w:spacing w:after="0"/>
        <w:jc w:val="both"/>
        <w:rPr>
          <w:rFonts w:ascii="Times New Roman" w:hAnsi="Times New Roman"/>
          <w:sz w:val="20"/>
          <w:szCs w:val="20"/>
          <w:lang w:val="en-GB" w:eastAsia="ko-KR" w:bidi="ar-SA"/>
        </w:rPr>
      </w:pPr>
    </w:p>
    <w:p w14:paraId="03B60604" w14:textId="77777777" w:rsidR="006C712F" w:rsidRPr="00E6510F" w:rsidRDefault="006C712F" w:rsidP="00E6510F">
      <w:pPr>
        <w:spacing w:after="0"/>
        <w:jc w:val="both"/>
        <w:rPr>
          <w:rFonts w:ascii="Times New Roman" w:hAnsi="Times New Roman"/>
          <w:sz w:val="20"/>
          <w:szCs w:val="20"/>
          <w:lang w:val="en-GB" w:eastAsia="ko-KR" w:bidi="ar-SA"/>
        </w:rPr>
        <w:sectPr w:rsidR="006C712F" w:rsidRPr="00E6510F" w:rsidSect="006C712F">
          <w:type w:val="continuous"/>
          <w:pgSz w:w="12240" w:h="15840" w:code="1"/>
          <w:pgMar w:top="1800" w:right="1469" w:bottom="1699" w:left="1440" w:header="706" w:footer="706" w:gutter="0"/>
          <w:pgNumType w:start="1"/>
          <w:cols w:num="2" w:space="403"/>
          <w:docGrid w:linePitch="360"/>
        </w:sectPr>
      </w:pPr>
    </w:p>
    <w:p w14:paraId="14F6350E" w14:textId="77777777" w:rsidR="009B63F8" w:rsidRPr="00E6510F" w:rsidRDefault="009B63F8" w:rsidP="00272DD0">
      <w:pPr>
        <w:spacing w:after="0"/>
        <w:rPr>
          <w:rFonts w:ascii="Times New Roman" w:hAnsi="Times New Roman"/>
          <w:b/>
          <w:bCs/>
          <w:sz w:val="20"/>
          <w:szCs w:val="20"/>
          <w:lang w:val="en-GB" w:eastAsia="ko-KR" w:bidi="ar-SA"/>
        </w:rPr>
      </w:pPr>
    </w:p>
    <w:p w14:paraId="6AC9B963" w14:textId="5E6D7619" w:rsidR="00C930EB" w:rsidRDefault="009B63F8" w:rsidP="00C930EB">
      <w:pPr>
        <w:spacing w:after="0"/>
        <w:jc w:val="center"/>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Table 2. </w:t>
      </w:r>
      <w:r w:rsidR="00C930EB">
        <w:rPr>
          <w:rFonts w:ascii="Times New Roman" w:hAnsi="Times New Roman"/>
          <w:sz w:val="20"/>
          <w:szCs w:val="20"/>
          <w:lang w:val="en-GB" w:eastAsia="ko-KR" w:bidi="ar-SA"/>
        </w:rPr>
        <w:t xml:space="preserve"> </w:t>
      </w:r>
      <w:r w:rsidRPr="00E6510F">
        <w:rPr>
          <w:rFonts w:ascii="Times New Roman" w:hAnsi="Times New Roman"/>
          <w:sz w:val="20"/>
          <w:szCs w:val="20"/>
          <w:lang w:val="en-GB" w:eastAsia="ko-KR" w:bidi="ar-SA"/>
        </w:rPr>
        <w:t>The %RSA of DPPH and ABTS cation radical for hexane, methanol and water extracts</w:t>
      </w:r>
    </w:p>
    <w:p w14:paraId="445E1787" w14:textId="57D9ED32" w:rsidR="009B63F8" w:rsidRPr="00E6510F" w:rsidRDefault="009B63F8" w:rsidP="00C930EB">
      <w:pPr>
        <w:spacing w:after="120"/>
        <w:jc w:val="center"/>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of </w:t>
      </w:r>
      <w:r w:rsidRPr="00E6510F">
        <w:rPr>
          <w:rFonts w:ascii="Times New Roman" w:hAnsi="Times New Roman"/>
          <w:i/>
          <w:iCs/>
          <w:sz w:val="20"/>
          <w:szCs w:val="20"/>
          <w:lang w:val="en-GB" w:eastAsia="ko-KR" w:bidi="ar-SA"/>
        </w:rPr>
        <w:t>C. Nutans</w:t>
      </w:r>
    </w:p>
    <w:tbl>
      <w:tblPr>
        <w:tblStyle w:val="LightShading1"/>
        <w:tblW w:w="0" w:type="auto"/>
        <w:jc w:val="center"/>
        <w:tblLook w:val="04A0" w:firstRow="1" w:lastRow="0" w:firstColumn="1" w:lastColumn="0" w:noHBand="0" w:noVBand="1"/>
      </w:tblPr>
      <w:tblGrid>
        <w:gridCol w:w="1906"/>
        <w:gridCol w:w="1440"/>
        <w:gridCol w:w="1440"/>
      </w:tblGrid>
      <w:tr w:rsidR="009B63F8" w:rsidRPr="00E6510F" w14:paraId="4AF1AA61" w14:textId="77777777" w:rsidTr="00C930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vMerge w:val="restart"/>
            <w:shd w:val="clear" w:color="auto" w:fill="auto"/>
          </w:tcPr>
          <w:p w14:paraId="68B96DC8" w14:textId="77777777" w:rsidR="009B63F8" w:rsidRPr="00E6510F" w:rsidRDefault="009B63F8" w:rsidP="00573DD9">
            <w:pPr>
              <w:spacing w:before="120" w:after="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Plant Extract</w:t>
            </w:r>
          </w:p>
        </w:tc>
        <w:tc>
          <w:tcPr>
            <w:tcW w:w="2880" w:type="dxa"/>
            <w:gridSpan w:val="2"/>
            <w:shd w:val="clear" w:color="auto" w:fill="auto"/>
          </w:tcPr>
          <w:p w14:paraId="2CB58665" w14:textId="77777777" w:rsidR="009B63F8" w:rsidRPr="00E6510F" w:rsidRDefault="009B63F8" w:rsidP="00573DD9">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%RSA</w:t>
            </w:r>
          </w:p>
        </w:tc>
      </w:tr>
      <w:tr w:rsidR="0021406C" w:rsidRPr="00E6510F" w14:paraId="52FB90FE" w14:textId="77777777" w:rsidTr="00573D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vMerge/>
            <w:tcBorders>
              <w:bottom w:val="single" w:sz="4" w:space="0" w:color="auto"/>
            </w:tcBorders>
            <w:shd w:val="clear" w:color="auto" w:fill="auto"/>
          </w:tcPr>
          <w:p w14:paraId="34223556" w14:textId="77777777" w:rsidR="009B63F8" w:rsidRPr="00E6510F" w:rsidRDefault="009B63F8" w:rsidP="00E6510F">
            <w:pPr>
              <w:spacing w:after="0"/>
              <w:rPr>
                <w:rFonts w:ascii="Times New Roman" w:hAnsi="Times New Roman" w:cs="Times New Roman"/>
                <w:sz w:val="20"/>
                <w:szCs w:val="20"/>
                <w:lang w:val="en-GB" w:eastAsia="ko-KR" w:bidi="ar-SA"/>
              </w:rPr>
            </w:pPr>
          </w:p>
        </w:tc>
        <w:tc>
          <w:tcPr>
            <w:tcW w:w="1440" w:type="dxa"/>
            <w:tcBorders>
              <w:bottom w:val="single" w:sz="4" w:space="0" w:color="auto"/>
            </w:tcBorders>
            <w:shd w:val="clear" w:color="auto" w:fill="auto"/>
          </w:tcPr>
          <w:p w14:paraId="1F6505E0" w14:textId="77777777" w:rsidR="009B63F8" w:rsidRPr="00E6510F" w:rsidRDefault="009B63F8" w:rsidP="00C930E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b/>
                <w:bCs/>
                <w:sz w:val="20"/>
                <w:szCs w:val="20"/>
                <w:lang w:val="en-GB" w:eastAsia="ko-KR" w:bidi="ar-SA"/>
              </w:rPr>
              <w:t>DPPH</w:t>
            </w:r>
          </w:p>
        </w:tc>
        <w:tc>
          <w:tcPr>
            <w:tcW w:w="1440" w:type="dxa"/>
            <w:tcBorders>
              <w:bottom w:val="single" w:sz="4" w:space="0" w:color="auto"/>
            </w:tcBorders>
            <w:shd w:val="clear" w:color="auto" w:fill="auto"/>
          </w:tcPr>
          <w:p w14:paraId="019F2FDB" w14:textId="77777777" w:rsidR="009B63F8" w:rsidRPr="00E6510F" w:rsidRDefault="009B63F8" w:rsidP="00573DD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b/>
                <w:bCs/>
                <w:sz w:val="20"/>
                <w:szCs w:val="20"/>
                <w:lang w:val="en-GB" w:eastAsia="ko-KR" w:bidi="ar-SA"/>
              </w:rPr>
              <w:t>ABTS</w:t>
            </w:r>
          </w:p>
        </w:tc>
      </w:tr>
      <w:tr w:rsidR="0021406C" w:rsidRPr="00E6510F" w14:paraId="708D41A1" w14:textId="77777777" w:rsidTr="00573DD9">
        <w:trPr>
          <w:jc w:val="center"/>
        </w:trPr>
        <w:tc>
          <w:tcPr>
            <w:cnfStyle w:val="001000000000" w:firstRow="0" w:lastRow="0" w:firstColumn="1" w:lastColumn="0" w:oddVBand="0" w:evenVBand="0" w:oddHBand="0" w:evenHBand="0" w:firstRowFirstColumn="0" w:firstRowLastColumn="0" w:lastRowFirstColumn="0" w:lastRowLastColumn="0"/>
            <w:tcW w:w="1906" w:type="dxa"/>
            <w:tcBorders>
              <w:top w:val="single" w:sz="4" w:space="0" w:color="auto"/>
            </w:tcBorders>
            <w:shd w:val="clear" w:color="auto" w:fill="auto"/>
          </w:tcPr>
          <w:p w14:paraId="17F62F1A" w14:textId="77777777" w:rsidR="009B63F8" w:rsidRPr="006A71F2" w:rsidRDefault="009B63F8" w:rsidP="00573DD9">
            <w:pPr>
              <w:spacing w:before="60" w:after="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Hexane</w:t>
            </w:r>
          </w:p>
        </w:tc>
        <w:tc>
          <w:tcPr>
            <w:tcW w:w="1440" w:type="dxa"/>
            <w:tcBorders>
              <w:top w:val="single" w:sz="4" w:space="0" w:color="auto"/>
            </w:tcBorders>
            <w:shd w:val="clear" w:color="auto" w:fill="auto"/>
          </w:tcPr>
          <w:p w14:paraId="5A79BAAE" w14:textId="77777777" w:rsidR="009B63F8" w:rsidRPr="00E6510F" w:rsidRDefault="009B63F8" w:rsidP="00573DD9">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sz w:val="20"/>
                <w:szCs w:val="20"/>
                <w:lang w:val="en-GB" w:eastAsia="ko-KR" w:bidi="ar-SA"/>
              </w:rPr>
              <w:t>16.04 ± 1.46</w:t>
            </w:r>
          </w:p>
        </w:tc>
        <w:tc>
          <w:tcPr>
            <w:tcW w:w="1440" w:type="dxa"/>
            <w:tcBorders>
              <w:top w:val="single" w:sz="4" w:space="0" w:color="auto"/>
            </w:tcBorders>
            <w:shd w:val="clear" w:color="auto" w:fill="auto"/>
          </w:tcPr>
          <w:p w14:paraId="0AFB94EF" w14:textId="77777777" w:rsidR="009B63F8" w:rsidRPr="00E6510F" w:rsidRDefault="009B63F8" w:rsidP="00573DD9">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sz w:val="20"/>
                <w:szCs w:val="20"/>
                <w:lang w:val="en-GB" w:eastAsia="ko-KR" w:bidi="ar-SA"/>
              </w:rPr>
              <w:t>3.64 ± 0.48</w:t>
            </w:r>
          </w:p>
        </w:tc>
      </w:tr>
      <w:tr w:rsidR="009B63F8" w:rsidRPr="00E6510F" w14:paraId="6441BA7B" w14:textId="77777777" w:rsidTr="00573D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shd w:val="clear" w:color="auto" w:fill="auto"/>
          </w:tcPr>
          <w:p w14:paraId="761BAF27" w14:textId="77777777" w:rsidR="009B63F8" w:rsidRPr="006A71F2" w:rsidRDefault="009B63F8" w:rsidP="00573DD9">
            <w:pPr>
              <w:spacing w:before="60" w:after="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Methanol</w:t>
            </w:r>
          </w:p>
        </w:tc>
        <w:tc>
          <w:tcPr>
            <w:tcW w:w="1440" w:type="dxa"/>
            <w:shd w:val="clear" w:color="auto" w:fill="auto"/>
          </w:tcPr>
          <w:p w14:paraId="1F1B5A24" w14:textId="77777777" w:rsidR="009B63F8" w:rsidRPr="00E6510F" w:rsidRDefault="009B63F8" w:rsidP="00573DD9">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59.27 ± 0.86</w:t>
            </w:r>
          </w:p>
        </w:tc>
        <w:tc>
          <w:tcPr>
            <w:tcW w:w="1440" w:type="dxa"/>
            <w:shd w:val="clear" w:color="auto" w:fill="auto"/>
          </w:tcPr>
          <w:p w14:paraId="775DCB00" w14:textId="77777777" w:rsidR="009B63F8" w:rsidRPr="00E6510F" w:rsidRDefault="009B63F8" w:rsidP="00573DD9">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99.94 ± 0.22</w:t>
            </w:r>
          </w:p>
        </w:tc>
      </w:tr>
      <w:tr w:rsidR="009B63F8" w:rsidRPr="00E6510F" w14:paraId="2CDA53E8" w14:textId="77777777" w:rsidTr="00573DD9">
        <w:trPr>
          <w:jc w:val="center"/>
        </w:trPr>
        <w:tc>
          <w:tcPr>
            <w:cnfStyle w:val="001000000000" w:firstRow="0" w:lastRow="0" w:firstColumn="1" w:lastColumn="0" w:oddVBand="0" w:evenVBand="0" w:oddHBand="0" w:evenHBand="0" w:firstRowFirstColumn="0" w:firstRowLastColumn="0" w:lastRowFirstColumn="0" w:lastRowLastColumn="0"/>
            <w:tcW w:w="1906" w:type="dxa"/>
            <w:shd w:val="clear" w:color="auto" w:fill="auto"/>
          </w:tcPr>
          <w:p w14:paraId="489BE7B6" w14:textId="77777777" w:rsidR="009B63F8" w:rsidRPr="006A71F2" w:rsidRDefault="009B63F8" w:rsidP="00573DD9">
            <w:pPr>
              <w:spacing w:before="60" w:after="6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Water</w:t>
            </w:r>
          </w:p>
        </w:tc>
        <w:tc>
          <w:tcPr>
            <w:tcW w:w="1440" w:type="dxa"/>
            <w:shd w:val="clear" w:color="auto" w:fill="auto"/>
          </w:tcPr>
          <w:p w14:paraId="20150198" w14:textId="77777777" w:rsidR="009B63F8" w:rsidRPr="00E6510F" w:rsidRDefault="009B63F8" w:rsidP="00573D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53.40 ± 3.72</w:t>
            </w:r>
          </w:p>
        </w:tc>
        <w:tc>
          <w:tcPr>
            <w:tcW w:w="1440" w:type="dxa"/>
            <w:shd w:val="clear" w:color="auto" w:fill="auto"/>
          </w:tcPr>
          <w:p w14:paraId="60EADAD7" w14:textId="77777777" w:rsidR="009B63F8" w:rsidRPr="00E6510F" w:rsidRDefault="009B63F8" w:rsidP="00573D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74.94 ± 2.04</w:t>
            </w:r>
          </w:p>
        </w:tc>
      </w:tr>
    </w:tbl>
    <w:p w14:paraId="174AE0F6" w14:textId="4EE07E70" w:rsidR="006C712F" w:rsidRDefault="006C712F"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155F7FFB" w14:textId="77777777" w:rsidR="00573DD9" w:rsidRDefault="00573DD9"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0DC6790E" w14:textId="77777777" w:rsidR="002629A9" w:rsidRDefault="002629A9" w:rsidP="002629A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sectPr w:rsidR="002629A9" w:rsidSect="00866B2A">
          <w:type w:val="continuous"/>
          <w:pgSz w:w="12240" w:h="15840" w:code="1"/>
          <w:pgMar w:top="1800" w:right="1469" w:bottom="1699" w:left="1440" w:header="706" w:footer="706" w:gutter="0"/>
          <w:pgNumType w:start="1"/>
          <w:cols w:space="708"/>
          <w:docGrid w:linePitch="360"/>
        </w:sectPr>
      </w:pPr>
    </w:p>
    <w:p w14:paraId="2CB1EC78" w14:textId="77777777" w:rsidR="002629A9" w:rsidRPr="00E6510F" w:rsidRDefault="002629A9" w:rsidP="002629A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Conclusion</w:t>
      </w:r>
    </w:p>
    <w:p w14:paraId="2C1D8C45" w14:textId="0B71E60B" w:rsidR="002629A9" w:rsidRPr="002C4157" w:rsidRDefault="002629A9" w:rsidP="002C4157">
      <w:pPr>
        <w:spacing w:after="0"/>
        <w:jc w:val="both"/>
        <w:rPr>
          <w:rFonts w:ascii="Times New Roman" w:hAnsi="Times New Roman"/>
          <w:sz w:val="20"/>
          <w:szCs w:val="20"/>
          <w:lang w:val="en-GB" w:eastAsia="ko-KR" w:bidi="ar-SA"/>
        </w:rPr>
      </w:pP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was extracted using liquid extraction method under room temperature. The three types of solvents used for extraction are hexane, methanol and water. The TPC, TFC, and antioxidative activity were quantified using Folin-Ciocalteu assay, aluminium colorimetric method, DPPH, or ABTS assay, respectively. The value </w:t>
      </w:r>
      <w:r w:rsidRPr="00E6510F">
        <w:rPr>
          <w:rFonts w:ascii="Times New Roman" w:hAnsi="Times New Roman"/>
          <w:sz w:val="20"/>
          <w:szCs w:val="20"/>
          <w:lang w:val="en-GB" w:eastAsia="ko-KR" w:bidi="ar-SA"/>
        </w:rPr>
        <w:t xml:space="preserve">of TPC decreased in the following order: water &gt; methanol &gt; hexane, where the water extract (3.66 ± 0.11 mg GAE/g) was 1.3- and 28-folds higher than the methanol (2.84 ± 0.04 mg GAE/g) and hexane (0.13 ± 0.03 mg GAE/g) extracts, respectively. Meanwhile, the TFC value of methanol extract (1.91 ± 0.05 mg QE/g) was 1.3-fold higher than water extract (1.50 ± 0.01 mg </w:t>
      </w:r>
      <w:r w:rsidRPr="00E6510F">
        <w:rPr>
          <w:rFonts w:ascii="Times New Roman" w:hAnsi="Times New Roman"/>
          <w:sz w:val="20"/>
          <w:szCs w:val="20"/>
          <w:lang w:val="en-GB" w:eastAsia="ko-KR" w:bidi="ar-SA"/>
        </w:rPr>
        <w:lastRenderedPageBreak/>
        <w:t xml:space="preserve">QE/g), however, the hexane extract was too low to be detected. Lastly, the DPPH and ABTS radical scavenging capability of the three extracts decreased in the following order: methanol &gt; water &gt; hexane. Methanol and water extracts displayed supreme antioxidative scavenging activity compared to hexane extract and this might be due to the high phenolic and flavonoid content. These results suggest that </w:t>
      </w: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extracts are a good source of natural antioxidants.</w:t>
      </w:r>
    </w:p>
    <w:p w14:paraId="4B287381" w14:textId="77777777" w:rsidR="002E50CD" w:rsidRDefault="002E50CD"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69E40057"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Acknowledgement</w:t>
      </w:r>
    </w:p>
    <w:p w14:paraId="6AEDF9B2" w14:textId="77777777" w:rsidR="002E50CD" w:rsidRPr="00E6510F" w:rsidRDefault="002E50CD" w:rsidP="002E50CD">
      <w:pPr>
        <w:widowControl w:val="0"/>
        <w:wordWrap w:val="0"/>
        <w:autoSpaceDE w:val="0"/>
        <w:autoSpaceDN w:val="0"/>
        <w:spacing w:after="0"/>
        <w:jc w:val="both"/>
        <w:outlineLvl w:val="0"/>
        <w:rPr>
          <w:rFonts w:ascii="Times New Roman" w:eastAsia="SimSun" w:hAnsi="Times New Roman"/>
          <w:b/>
          <w:kern w:val="2"/>
          <w:sz w:val="20"/>
          <w:szCs w:val="20"/>
          <w:lang w:val="en-GB" w:eastAsia="ko-KR" w:bidi="ar-SA"/>
        </w:rPr>
      </w:pPr>
      <w:r w:rsidRPr="00E6510F">
        <w:rPr>
          <w:rFonts w:ascii="Times New Roman" w:eastAsia="SimSun" w:hAnsi="Times New Roman"/>
          <w:kern w:val="2"/>
          <w:sz w:val="20"/>
          <w:szCs w:val="20"/>
          <w:lang w:val="en-GB" w:eastAsia="ko-KR" w:bidi="ar-SA"/>
        </w:rPr>
        <w:t>This research is supported by SEGi University, SEGiIRF/2014-15/FoP-4/29 research fund.</w:t>
      </w:r>
    </w:p>
    <w:p w14:paraId="469117AD"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474624FC"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References</w:t>
      </w:r>
    </w:p>
    <w:p w14:paraId="6905A8EB"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Intan, S., Mahiran, B., Kim, W., Siti, E., Hamid, R. and Maznah, I. (2015). In vitro antioxidant, cytotoxic and phytochemical studies of </w:t>
      </w:r>
      <w:r w:rsidRPr="00E6510F">
        <w:rPr>
          <w:rFonts w:ascii="Times New Roman" w:hAnsi="Times New Roman"/>
          <w:i/>
          <w:iCs/>
          <w:noProof/>
          <w:sz w:val="20"/>
          <w:szCs w:val="20"/>
          <w:lang w:val="en-GB" w:eastAsia="ko-KR" w:bidi="ar-SA"/>
        </w:rPr>
        <w:t>Clinacanthus nutans Lindau</w:t>
      </w:r>
      <w:r w:rsidRPr="00E6510F">
        <w:rPr>
          <w:rFonts w:ascii="Times New Roman" w:hAnsi="Times New Roman"/>
          <w:noProof/>
          <w:sz w:val="20"/>
          <w:szCs w:val="20"/>
          <w:lang w:val="en-GB" w:eastAsia="ko-KR" w:bidi="ar-SA"/>
        </w:rPr>
        <w:t xml:space="preserve"> leaf extracts. </w:t>
      </w:r>
      <w:r w:rsidRPr="00E6510F">
        <w:rPr>
          <w:rFonts w:ascii="Times New Roman" w:hAnsi="Times New Roman"/>
          <w:i/>
          <w:iCs/>
          <w:noProof/>
          <w:sz w:val="20"/>
          <w:szCs w:val="20"/>
          <w:lang w:val="en-GB" w:eastAsia="ko-KR" w:bidi="ar-SA"/>
        </w:rPr>
        <w:t>African Journal of Pharmacy and Pharmacology</w:t>
      </w:r>
      <w:r w:rsidRPr="00E6510F">
        <w:rPr>
          <w:rFonts w:ascii="Times New Roman" w:hAnsi="Times New Roman"/>
          <w:noProof/>
          <w:sz w:val="20"/>
          <w:szCs w:val="20"/>
          <w:lang w:val="en-GB" w:eastAsia="ko-KR" w:bidi="ar-SA"/>
        </w:rPr>
        <w:t>, 9(34): 861-874.</w:t>
      </w:r>
      <w:r w:rsidRPr="00E6510F">
        <w:rPr>
          <w:rFonts w:ascii="Times New Roman" w:eastAsia="SimSun" w:hAnsi="Times New Roman"/>
          <w:noProof/>
          <w:sz w:val="20"/>
          <w:szCs w:val="20"/>
          <w:lang w:val="en-GB" w:eastAsia="ko-KR" w:bidi="ar-SA"/>
        </w:rPr>
        <w:t> </w:t>
      </w:r>
    </w:p>
    <w:p w14:paraId="192E2341"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Zulkipli, I., Rajabalaya, R., Idris, A., Sulaiman, N. and David, S. (2017).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A review on ethnomedicinal uses, chemical constituents and pharmacological properties. </w:t>
      </w:r>
      <w:r w:rsidRPr="00E6510F">
        <w:rPr>
          <w:rFonts w:ascii="Times New Roman" w:hAnsi="Times New Roman"/>
          <w:i/>
          <w:iCs/>
          <w:noProof/>
          <w:sz w:val="20"/>
          <w:szCs w:val="20"/>
          <w:lang w:val="en-GB" w:eastAsia="ko-KR" w:bidi="ar-SA"/>
        </w:rPr>
        <w:t>Pharmaceutical Biology</w:t>
      </w:r>
      <w:r w:rsidRPr="00E6510F">
        <w:rPr>
          <w:rFonts w:ascii="Times New Roman" w:hAnsi="Times New Roman"/>
          <w:noProof/>
          <w:sz w:val="20"/>
          <w:szCs w:val="20"/>
          <w:lang w:val="en-GB" w:eastAsia="ko-KR" w:bidi="ar-SA"/>
        </w:rPr>
        <w:t>, 55(1): 1093-1113.</w:t>
      </w:r>
      <w:r w:rsidRPr="00E6510F">
        <w:rPr>
          <w:rFonts w:ascii="Times New Roman" w:eastAsia="SimSun" w:hAnsi="Times New Roman"/>
          <w:noProof/>
          <w:sz w:val="20"/>
          <w:szCs w:val="20"/>
          <w:lang w:val="en-GB" w:eastAsia="ko-KR" w:bidi="ar-SA"/>
        </w:rPr>
        <w:t> </w:t>
      </w:r>
    </w:p>
    <w:p w14:paraId="1A0B2CF6"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Yahaya, R., Dash, G. K., Abdullah, M. S. and Mathews, A. (2015).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t xml:space="preserve">(burm. 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An useful medicinal plant of south-east Asia</w:t>
      </w:r>
      <w:r w:rsidRPr="00E6510F">
        <w:rPr>
          <w:rFonts w:ascii="Times New Roman" w:hAnsi="Times New Roman"/>
          <w:i/>
          <w:iCs/>
          <w:noProof/>
          <w:sz w:val="20"/>
          <w:szCs w:val="20"/>
          <w:lang w:val="en-GB" w:eastAsia="ko-KR" w:bidi="ar-SA"/>
        </w:rPr>
        <w:t>, International Journal of Pharmacognosy and Phytochemical Research</w:t>
      </w:r>
      <w:r w:rsidRPr="00E6510F">
        <w:rPr>
          <w:rFonts w:ascii="Times New Roman" w:hAnsi="Times New Roman"/>
          <w:noProof/>
          <w:sz w:val="20"/>
          <w:szCs w:val="20"/>
          <w:lang w:val="en-GB" w:eastAsia="ko-KR" w:bidi="ar-SA"/>
        </w:rPr>
        <w:t>, 7(6): 1244-1250.</w:t>
      </w:r>
      <w:r w:rsidRPr="00E6510F">
        <w:rPr>
          <w:rFonts w:ascii="Times New Roman" w:eastAsia="SimSun" w:hAnsi="Times New Roman"/>
          <w:noProof/>
          <w:sz w:val="20"/>
          <w:szCs w:val="20"/>
          <w:lang w:val="en-GB" w:eastAsia="ko-KR" w:bidi="ar-SA"/>
        </w:rPr>
        <w:t> </w:t>
      </w:r>
    </w:p>
    <w:p w14:paraId="39C8A39F"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P'ng, X., Akowuah, G. and Chin, J. (2013). Evaluation of the sub–acute oral toxic effect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br/>
        <w:t xml:space="preserve">of methanol extract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leaves in rats. </w:t>
      </w:r>
      <w:r w:rsidRPr="00E6510F">
        <w:rPr>
          <w:rFonts w:ascii="Times New Roman" w:hAnsi="Times New Roman"/>
          <w:i/>
          <w:iCs/>
          <w:noProof/>
          <w:sz w:val="20"/>
          <w:szCs w:val="20"/>
          <w:lang w:val="en-GB" w:eastAsia="ko-KR" w:bidi="ar-SA"/>
        </w:rPr>
        <w:t>Journal of Acute Disease</w:t>
      </w:r>
      <w:r w:rsidRPr="00E6510F">
        <w:rPr>
          <w:rFonts w:ascii="Times New Roman" w:hAnsi="Times New Roman"/>
          <w:noProof/>
          <w:sz w:val="20"/>
          <w:szCs w:val="20"/>
          <w:lang w:val="en-GB" w:eastAsia="ko-KR" w:bidi="ar-SA"/>
        </w:rPr>
        <w:t>, 2(1): 29-32.</w:t>
      </w:r>
      <w:r w:rsidRPr="00E6510F">
        <w:rPr>
          <w:rFonts w:ascii="Times New Roman" w:eastAsia="SimSun" w:hAnsi="Times New Roman"/>
          <w:noProof/>
          <w:sz w:val="20"/>
          <w:szCs w:val="20"/>
          <w:lang w:val="en-GB" w:eastAsia="ko-KR" w:bidi="ar-SA"/>
        </w:rPr>
        <w:t> </w:t>
      </w:r>
    </w:p>
    <w:p w14:paraId="6139E4D3"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Siew, Y., Zareisedehizadeh, S., Seetoh, W., Neo, S., Tan, C. and Koh, H. (2014). Ethnobotanical survey of usage of fresh medicinal plants in Singapore. </w:t>
      </w:r>
      <w:r w:rsidRPr="00E6510F">
        <w:rPr>
          <w:rFonts w:ascii="Times New Roman" w:hAnsi="Times New Roman"/>
          <w:i/>
          <w:iCs/>
          <w:noProof/>
          <w:sz w:val="20"/>
          <w:szCs w:val="20"/>
          <w:lang w:val="en-GB" w:eastAsia="ko-KR" w:bidi="ar-SA"/>
        </w:rPr>
        <w:t>Journal of Ethnopharmacology</w:t>
      </w:r>
      <w:r w:rsidRPr="00E6510F">
        <w:rPr>
          <w:rFonts w:ascii="Times New Roman" w:hAnsi="Times New Roman"/>
          <w:noProof/>
          <w:sz w:val="20"/>
          <w:szCs w:val="20"/>
          <w:lang w:val="en-GB" w:eastAsia="ko-KR" w:bidi="ar-SA"/>
        </w:rPr>
        <w:t>, 155(3): 1450-1466.</w:t>
      </w:r>
      <w:r w:rsidRPr="00E6510F">
        <w:rPr>
          <w:rFonts w:ascii="Times New Roman" w:eastAsia="SimSun" w:hAnsi="Times New Roman"/>
          <w:noProof/>
          <w:sz w:val="20"/>
          <w:szCs w:val="20"/>
          <w:lang w:val="en-GB" w:eastAsia="ko-KR" w:bidi="ar-SA"/>
        </w:rPr>
        <w:t> </w:t>
      </w:r>
    </w:p>
    <w:p w14:paraId="050C593C" w14:textId="633EF60F"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Globinmed.com (2021). GlobinMed – a unique interactive e-database with validated,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br/>
        <w:t xml:space="preserve">up-to-date and comprehensive information on integrated medicine. </w:t>
      </w:r>
      <w:r w:rsidR="00573DD9" w:rsidRPr="00573DD9">
        <w:rPr>
          <w:rFonts w:ascii="Times New Roman" w:hAnsi="Times New Roman"/>
          <w:noProof/>
          <w:sz w:val="20"/>
          <w:szCs w:val="20"/>
          <w:lang w:val="en-GB" w:eastAsia="ko-KR" w:bidi="ar-SA"/>
        </w:rPr>
        <w:t>http://www.globinmed.com/</w:t>
      </w:r>
      <w:r w:rsidR="00573DD9">
        <w:rPr>
          <w:rFonts w:ascii="Times New Roman" w:hAnsi="Times New Roman"/>
          <w:noProof/>
          <w:sz w:val="20"/>
          <w:szCs w:val="20"/>
          <w:lang w:val="en-GB" w:eastAsia="ko-KR" w:bidi="ar-SA"/>
        </w:rPr>
        <w:t xml:space="preserve"> </w:t>
      </w:r>
      <w:r w:rsidR="00573DD9" w:rsidRPr="00573DD9">
        <w:rPr>
          <w:rFonts w:ascii="Times New Roman" w:hAnsi="Times New Roman"/>
          <w:noProof/>
          <w:sz w:val="20"/>
          <w:szCs w:val="20"/>
          <w:lang w:val="en-GB" w:eastAsia="ko-KR" w:bidi="ar-SA"/>
        </w:rPr>
        <w:t>index.php</w:t>
      </w:r>
      <w:r w:rsidRPr="00573DD9">
        <w:rPr>
          <w:rFonts w:ascii="Times New Roman" w:hAnsi="Times New Roman"/>
          <w:noProof/>
          <w:sz w:val="20"/>
          <w:szCs w:val="20"/>
          <w:lang w:val="en-GB" w:eastAsia="ko-KR" w:bidi="ar-SA"/>
        </w:rPr>
        <w:t>?option=com_content&amp;view=article&amp;id=</w:t>
      </w:r>
      <w:r w:rsidRPr="00E6510F">
        <w:rPr>
          <w:rFonts w:ascii="Times New Roman" w:hAnsi="Times New Roman"/>
          <w:noProof/>
          <w:sz w:val="20"/>
          <w:szCs w:val="20"/>
          <w:lang w:val="en-GB" w:eastAsia="ko-KR" w:bidi="ar-SA"/>
        </w:rPr>
        <w:t>79320:clinacanthus-nutans-burmf-lindau&amp;catid</w:t>
      </w:r>
      <w:r w:rsidR="00573DD9">
        <w:rPr>
          <w:rFonts w:ascii="Times New Roman" w:hAnsi="Times New Roman"/>
          <w:noProof/>
          <w:sz w:val="20"/>
          <w:szCs w:val="20"/>
          <w:lang w:val="en-GB" w:eastAsia="ko-KR" w:bidi="ar-SA"/>
        </w:rPr>
        <w:t xml:space="preserve"> </w:t>
      </w:r>
      <w:r w:rsidRPr="00E6510F">
        <w:rPr>
          <w:rFonts w:ascii="Times New Roman" w:hAnsi="Times New Roman"/>
          <w:noProof/>
          <w:sz w:val="20"/>
          <w:szCs w:val="20"/>
          <w:lang w:val="en-GB" w:eastAsia="ko-KR" w:bidi="ar-SA"/>
        </w:rPr>
        <w:t>=199:safety-of-herbal&amp;Itemid=139 [Accessed online 22 August 2021].</w:t>
      </w:r>
      <w:r w:rsidRPr="00E6510F">
        <w:rPr>
          <w:rFonts w:ascii="Times New Roman" w:eastAsia="SimSun" w:hAnsi="Times New Roman"/>
          <w:noProof/>
          <w:sz w:val="20"/>
          <w:szCs w:val="20"/>
          <w:lang w:val="en-GB" w:eastAsia="ko-KR" w:bidi="ar-SA"/>
        </w:rPr>
        <w:t> </w:t>
      </w:r>
    </w:p>
    <w:p w14:paraId="45C7F976"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Pannangpetch, P., Laupattarakasem, P., Kukongviriyapan, V., Kukongviriyapan, U., Kongyingyoes, B. and Aromdee, C. (2007). Antioxidant activity and protective effect against oxidative hemolysis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(Burm.f)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S</w:t>
      </w:r>
      <w:r w:rsidRPr="00E6510F">
        <w:rPr>
          <w:rFonts w:ascii="Times New Roman" w:hAnsi="Times New Roman"/>
          <w:i/>
          <w:iCs/>
          <w:noProof/>
          <w:sz w:val="20"/>
          <w:szCs w:val="20"/>
          <w:lang w:val="en-GB" w:eastAsia="ko-KR" w:bidi="ar-SA"/>
        </w:rPr>
        <w:t>ongklanakarin Journal of Science and Technology</w:t>
      </w:r>
      <w:r w:rsidRPr="00E6510F">
        <w:rPr>
          <w:rFonts w:ascii="Times New Roman" w:hAnsi="Times New Roman"/>
          <w:noProof/>
          <w:sz w:val="20"/>
          <w:szCs w:val="20"/>
          <w:lang w:val="en-GB" w:eastAsia="ko-KR" w:bidi="ar-SA"/>
        </w:rPr>
        <w:t>, 29: 1-9.</w:t>
      </w:r>
      <w:r w:rsidRPr="00E6510F">
        <w:rPr>
          <w:rFonts w:ascii="Times New Roman" w:eastAsia="SimSun" w:hAnsi="Times New Roman"/>
          <w:noProof/>
          <w:sz w:val="20"/>
          <w:szCs w:val="20"/>
          <w:lang w:val="en-GB" w:eastAsia="ko-KR" w:bidi="ar-SA"/>
        </w:rPr>
        <w:t> </w:t>
      </w:r>
    </w:p>
    <w:p w14:paraId="23B9F338"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Kong, H., Musa, K. and Abdullah Sani, N. (2016).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(Belalai Gajah/Sabah Snake Grass): Antioxidant optimization on leaves and stems. AIP Conference Proceedings, 1784: 0300301-0300305.</w:t>
      </w:r>
      <w:r w:rsidRPr="00E6510F">
        <w:rPr>
          <w:rFonts w:ascii="Times New Roman" w:eastAsia="SimSun" w:hAnsi="Times New Roman"/>
          <w:noProof/>
          <w:sz w:val="20"/>
          <w:szCs w:val="20"/>
          <w:lang w:val="en-GB" w:eastAsia="ko-KR" w:bidi="ar-SA"/>
        </w:rPr>
        <w:t> </w:t>
      </w:r>
    </w:p>
    <w:p w14:paraId="070E78FB" w14:textId="77777777" w:rsidR="00981A8E" w:rsidRPr="00981A8E"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 xml:space="preserve">Jayavasu, C., Dechatiwongse, T. and Balachandra, K. (1992). Virucidal activity of </w:t>
      </w:r>
      <w:r w:rsidRPr="006374D4">
        <w:rPr>
          <w:rFonts w:ascii="Times New Roman" w:hAnsi="Times New Roman"/>
          <w:i/>
          <w:iCs/>
          <w:noProof/>
          <w:sz w:val="20"/>
          <w:szCs w:val="20"/>
          <w:lang w:val="en-GB" w:eastAsia="ko-KR" w:bidi="ar-SA"/>
        </w:rPr>
        <w:t>Clinacanthus nutans Lindau</w:t>
      </w:r>
      <w:r w:rsidRPr="006374D4">
        <w:rPr>
          <w:rFonts w:ascii="Times New Roman" w:hAnsi="Times New Roman"/>
          <w:noProof/>
          <w:sz w:val="20"/>
          <w:szCs w:val="20"/>
          <w:lang w:val="en-GB" w:eastAsia="ko-KR" w:bidi="ar-SA"/>
        </w:rPr>
        <w:t xml:space="preserve"> extracts against herpes simplex virus type-2: In vitro study. </w:t>
      </w:r>
      <w:r w:rsidRPr="006374D4">
        <w:rPr>
          <w:rFonts w:ascii="Times New Roman" w:hAnsi="Times New Roman"/>
          <w:i/>
          <w:iCs/>
          <w:noProof/>
          <w:sz w:val="20"/>
          <w:szCs w:val="20"/>
          <w:lang w:val="en-GB" w:eastAsia="ko-KR" w:bidi="ar-SA"/>
        </w:rPr>
        <w:t>Warasan Krom Witthayasat Kanphaet</w:t>
      </w:r>
      <w:r w:rsidRPr="006374D4">
        <w:rPr>
          <w:rFonts w:ascii="Times New Roman" w:hAnsi="Times New Roman"/>
          <w:noProof/>
          <w:sz w:val="20"/>
          <w:szCs w:val="20"/>
          <w:lang w:val="en-GB" w:eastAsia="ko-KR" w:bidi="ar-SA"/>
        </w:rPr>
        <w:t>, 34 (4): 153-158.</w:t>
      </w:r>
      <w:r w:rsidRPr="006374D4">
        <w:rPr>
          <w:rFonts w:ascii="Times New Roman" w:eastAsia="SimSun" w:hAnsi="Times New Roman"/>
          <w:noProof/>
          <w:sz w:val="20"/>
          <w:szCs w:val="20"/>
          <w:lang w:val="en-GB" w:eastAsia="ko-KR" w:bidi="ar-SA"/>
        </w:rPr>
        <w:t> </w:t>
      </w:r>
    </w:p>
    <w:p w14:paraId="2FB46C88" w14:textId="7BC671F3" w:rsidR="002E50CD" w:rsidRPr="006374D4"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Ghasemzadeh, A., Nasiri, A., Jaafar, H., Baghdadi, A. and Ahmad, I. (2014) Changes in</w:t>
      </w:r>
      <w:r w:rsidRPr="006374D4">
        <w:rPr>
          <w:rFonts w:ascii="Times New Roman" w:eastAsia="SimSun" w:hAnsi="Times New Roman"/>
          <w:noProof/>
          <w:sz w:val="20"/>
          <w:szCs w:val="20"/>
          <w:lang w:val="en-GB" w:eastAsia="ko-KR" w:bidi="ar-SA"/>
        </w:rPr>
        <w:t> </w:t>
      </w:r>
      <w:r w:rsidRPr="006374D4">
        <w:rPr>
          <w:rFonts w:ascii="Times New Roman" w:hAnsi="Times New Roman"/>
          <w:noProof/>
          <w:sz w:val="20"/>
          <w:szCs w:val="20"/>
          <w:lang w:val="en-GB" w:eastAsia="ko-KR" w:bidi="ar-SA"/>
        </w:rPr>
        <w:t>phytochemical synthesis, chalcone synthase activity and pharmaceutical qualities of Sabah snake grass (</w:t>
      </w:r>
      <w:r w:rsidRPr="006374D4">
        <w:rPr>
          <w:rFonts w:ascii="Times New Roman" w:hAnsi="Times New Roman"/>
          <w:i/>
          <w:iCs/>
          <w:noProof/>
          <w:sz w:val="20"/>
          <w:szCs w:val="20"/>
          <w:lang w:val="en-GB" w:eastAsia="ko-KR" w:bidi="ar-SA"/>
        </w:rPr>
        <w:t>Clinacanthus nutans L.</w:t>
      </w:r>
      <w:r w:rsidRPr="006374D4">
        <w:rPr>
          <w:rFonts w:ascii="Times New Roman" w:hAnsi="Times New Roman"/>
          <w:noProof/>
          <w:sz w:val="20"/>
          <w:szCs w:val="20"/>
          <w:lang w:val="en-GB" w:eastAsia="ko-KR" w:bidi="ar-SA"/>
        </w:rPr>
        <w:t xml:space="preserve">) in relation to plant age. </w:t>
      </w:r>
      <w:r w:rsidRPr="006374D4">
        <w:rPr>
          <w:rFonts w:ascii="Times New Roman" w:hAnsi="Times New Roman"/>
          <w:i/>
          <w:iCs/>
          <w:noProof/>
          <w:sz w:val="20"/>
          <w:szCs w:val="20"/>
          <w:lang w:val="en-GB" w:eastAsia="ko-KR" w:bidi="ar-SA"/>
        </w:rPr>
        <w:t>Molecules</w:t>
      </w:r>
      <w:r w:rsidRPr="006374D4">
        <w:rPr>
          <w:rFonts w:ascii="Times New Roman" w:hAnsi="Times New Roman"/>
          <w:noProof/>
          <w:sz w:val="20"/>
          <w:szCs w:val="20"/>
          <w:lang w:val="en-GB" w:eastAsia="ko-KR" w:bidi="ar-SA"/>
        </w:rPr>
        <w:t>, 19(11): 17632-17648.</w:t>
      </w:r>
      <w:r w:rsidRPr="006374D4">
        <w:rPr>
          <w:rFonts w:ascii="Times New Roman" w:eastAsia="SimSun" w:hAnsi="Times New Roman"/>
          <w:noProof/>
          <w:sz w:val="20"/>
          <w:szCs w:val="20"/>
          <w:lang w:val="en-GB" w:eastAsia="ko-KR" w:bidi="ar-SA"/>
        </w:rPr>
        <w:t> </w:t>
      </w:r>
    </w:p>
    <w:p w14:paraId="4D310A64" w14:textId="77777777" w:rsidR="002E50CD" w:rsidRDefault="002E50CD" w:rsidP="002E50CD">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Halliwell, B. (1990) How to characterize a biological antioxidant. </w:t>
      </w:r>
      <w:r w:rsidRPr="00E6510F">
        <w:rPr>
          <w:rFonts w:ascii="Times New Roman" w:hAnsi="Times New Roman"/>
          <w:i/>
          <w:iCs/>
          <w:noProof/>
          <w:sz w:val="20"/>
          <w:szCs w:val="20"/>
          <w:lang w:val="en-GB" w:eastAsia="ko-KR" w:bidi="ar-SA"/>
        </w:rPr>
        <w:t xml:space="preserve">Free Radical </w:t>
      </w:r>
      <w:r w:rsidRPr="00E6510F">
        <w:rPr>
          <w:rFonts w:ascii="Times New Roman" w:hAnsi="Times New Roman"/>
          <w:i/>
          <w:iCs/>
          <w:noProof/>
          <w:sz w:val="20"/>
          <w:szCs w:val="20"/>
          <w:lang w:val="en-GB" w:eastAsia="ko-KR" w:bidi="ar-SA"/>
        </w:rPr>
        <w:br/>
        <w:t>Research Communications</w:t>
      </w:r>
      <w:r w:rsidRPr="00E6510F">
        <w:rPr>
          <w:rFonts w:ascii="Times New Roman" w:hAnsi="Times New Roman"/>
          <w:noProof/>
          <w:sz w:val="20"/>
          <w:szCs w:val="20"/>
          <w:lang w:val="en-GB" w:eastAsia="ko-KR" w:bidi="ar-SA"/>
        </w:rPr>
        <w:t xml:space="preserve">, 9(1): 1-32. </w:t>
      </w:r>
    </w:p>
    <w:p w14:paraId="2CD62B9C" w14:textId="77777777" w:rsidR="002C4157" w:rsidRPr="00E6510F"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Krauss, R., Eckel, R., Howard, B., Appel, L., Daniels, S., Deckelbaum, R. (2000). The american heart association dietary guidelines. </w:t>
      </w:r>
      <w:r w:rsidRPr="00E6510F">
        <w:rPr>
          <w:rFonts w:ascii="Times New Roman" w:hAnsi="Times New Roman"/>
          <w:i/>
          <w:iCs/>
          <w:noProof/>
          <w:sz w:val="20"/>
          <w:szCs w:val="20"/>
          <w:lang w:val="en-GB" w:eastAsia="ko-KR" w:bidi="ar-SA"/>
        </w:rPr>
        <w:t>Circulation</w:t>
      </w:r>
      <w:r w:rsidRPr="00E6510F">
        <w:rPr>
          <w:rFonts w:ascii="Times New Roman" w:hAnsi="Times New Roman"/>
          <w:noProof/>
          <w:sz w:val="20"/>
          <w:szCs w:val="20"/>
          <w:lang w:val="en-GB" w:eastAsia="ko-KR" w:bidi="ar-SA"/>
        </w:rPr>
        <w:t>, 102(18): 2284-2299.</w:t>
      </w:r>
      <w:bookmarkStart w:id="3" w:name="_Hlk99099027"/>
    </w:p>
    <w:p w14:paraId="2F53D551" w14:textId="77777777" w:rsidR="002C4157" w:rsidRPr="00E6510F"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Yuann, </w:t>
      </w:r>
      <w:bookmarkEnd w:id="3"/>
      <w:r w:rsidRPr="00E6510F">
        <w:rPr>
          <w:rFonts w:ascii="Times New Roman" w:hAnsi="Times New Roman"/>
          <w:noProof/>
          <w:sz w:val="20"/>
          <w:szCs w:val="20"/>
          <w:lang w:val="en-GB" w:eastAsia="ko-KR" w:bidi="ar-SA"/>
        </w:rPr>
        <w:t xml:space="preserve">J. M. P., Wang, J. S., Jian, H. L., Lin, C. C. and Liang, J. Y. (2012). Effects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(Burm. 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xml:space="preserve"> leaf extracts on protection of plasmid DNA from riboflavin photoreaction. </w:t>
      </w:r>
      <w:r w:rsidRPr="00E6510F">
        <w:rPr>
          <w:rFonts w:ascii="Times New Roman" w:hAnsi="Times New Roman"/>
          <w:i/>
          <w:iCs/>
          <w:noProof/>
          <w:sz w:val="20"/>
          <w:szCs w:val="20"/>
          <w:lang w:val="en-GB" w:eastAsia="ko-KR" w:bidi="ar-SA"/>
        </w:rPr>
        <w:t>MC-Transaction on Biotechnology</w:t>
      </w:r>
      <w:r w:rsidRPr="00E6510F">
        <w:rPr>
          <w:rFonts w:ascii="Times New Roman" w:hAnsi="Times New Roman"/>
          <w:noProof/>
          <w:sz w:val="20"/>
          <w:szCs w:val="20"/>
          <w:lang w:val="en-GB" w:eastAsia="ko-KR" w:bidi="ar-SA"/>
        </w:rPr>
        <w:t>, 4: 45-58.</w:t>
      </w:r>
    </w:p>
    <w:p w14:paraId="3E2B4F81" w14:textId="2BAF9DE5" w:rsidR="002C4157"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Sarega, N., Imam, M. U., Md Esa, N., Zawawi, N. and Ismail, M. (2016). Effects of phenolic-rich extracts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on high fat and high cholesterol diet-induced insulin resistance. </w:t>
      </w:r>
      <w:r w:rsidRPr="00E6510F">
        <w:rPr>
          <w:rFonts w:ascii="Times New Roman" w:hAnsi="Times New Roman"/>
          <w:i/>
          <w:iCs/>
          <w:noProof/>
          <w:sz w:val="20"/>
          <w:szCs w:val="20"/>
          <w:lang w:val="en-GB" w:eastAsia="ko-KR" w:bidi="ar-SA"/>
        </w:rPr>
        <w:t xml:space="preserve">BMC Complementary </w:t>
      </w:r>
      <w:r w:rsidR="00095F4A">
        <w:rPr>
          <w:rFonts w:ascii="Times New Roman" w:hAnsi="Times New Roman"/>
          <w:i/>
          <w:iCs/>
          <w:noProof/>
          <w:sz w:val="20"/>
          <w:szCs w:val="20"/>
          <w:lang w:val="en-GB" w:eastAsia="ko-KR" w:bidi="ar-SA"/>
        </w:rPr>
        <w:t xml:space="preserve"> </w:t>
      </w:r>
      <w:r w:rsidRPr="00E6510F">
        <w:rPr>
          <w:rFonts w:ascii="Times New Roman" w:hAnsi="Times New Roman"/>
          <w:i/>
          <w:iCs/>
          <w:noProof/>
          <w:sz w:val="20"/>
          <w:szCs w:val="20"/>
          <w:lang w:val="en-GB" w:eastAsia="ko-KR" w:bidi="ar-SA"/>
        </w:rPr>
        <w:t>and Alternative Medicine</w:t>
      </w:r>
      <w:r w:rsidRPr="00E6510F">
        <w:rPr>
          <w:rFonts w:ascii="Times New Roman" w:hAnsi="Times New Roman"/>
          <w:noProof/>
          <w:sz w:val="20"/>
          <w:szCs w:val="20"/>
          <w:lang w:val="en-GB" w:eastAsia="ko-KR" w:bidi="ar-SA"/>
        </w:rPr>
        <w:t>, 16(1): 1-11.</w:t>
      </w:r>
      <w:r w:rsidRPr="00E6510F" w:rsidDel="00141AB3">
        <w:rPr>
          <w:rFonts w:ascii="Times New Roman" w:hAnsi="Times New Roman"/>
          <w:noProof/>
          <w:sz w:val="20"/>
          <w:szCs w:val="20"/>
          <w:lang w:val="en-GB" w:eastAsia="ko-KR" w:bidi="ar-SA"/>
        </w:rPr>
        <w:t xml:space="preserve"> </w:t>
      </w:r>
    </w:p>
    <w:p w14:paraId="060B6970" w14:textId="7ED89A57" w:rsidR="00573DD9"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56A605B2" w14:textId="3A3574E0" w:rsidR="00573DD9"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2FD18ED7" w14:textId="77777777" w:rsidR="00573DD9" w:rsidRPr="00E6510F"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6484854D" w14:textId="3A92CA0A" w:rsidR="00573DD9" w:rsidRPr="00573DD9" w:rsidRDefault="002C4157"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lastRenderedPageBreak/>
        <w:t xml:space="preserve">Yong, Y. K., Tan, J. J., The, S. S., Mah, S. H., Ee, G. C. L., Chiong, H. S. and Ahmad, Z. (2013).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extracts are antioxidant with antiproliferative effect on cultured human cancer cell lines. </w:t>
      </w:r>
      <w:r w:rsidRPr="00E6510F">
        <w:rPr>
          <w:rFonts w:ascii="Times New Roman" w:hAnsi="Times New Roman"/>
          <w:i/>
          <w:iCs/>
          <w:noProof/>
          <w:sz w:val="20"/>
          <w:szCs w:val="20"/>
          <w:lang w:val="en-GB" w:eastAsia="ko-KR" w:bidi="ar-SA"/>
        </w:rPr>
        <w:t>Evidence-Based Complementary and Alternative Medicine</w:t>
      </w:r>
      <w:r w:rsidRPr="00E6510F">
        <w:rPr>
          <w:rFonts w:ascii="Times New Roman" w:hAnsi="Times New Roman"/>
          <w:noProof/>
          <w:sz w:val="20"/>
          <w:szCs w:val="20"/>
          <w:lang w:val="en-GB" w:eastAsia="ko-KR" w:bidi="ar-SA"/>
        </w:rPr>
        <w:t xml:space="preserve">, 2013: 462751. </w:t>
      </w:r>
    </w:p>
    <w:p w14:paraId="7137A381" w14:textId="7FBF202A" w:rsidR="00573DD9" w:rsidRPr="00573DD9"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Khoo, L.W., Mediani, A., Zolkeflee, N. K. Z., Leong, S. W., Ismail, I. S., Khatib, A., Shaari, K. and Abas, F. (2015). Phytochemical diversity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extracts and their bioactivity correlations elucidated by NMR based metabolomics. </w:t>
      </w:r>
      <w:r w:rsidRPr="00E6510F">
        <w:rPr>
          <w:rFonts w:ascii="Times New Roman" w:hAnsi="Times New Roman"/>
          <w:i/>
          <w:iCs/>
          <w:noProof/>
          <w:sz w:val="20"/>
          <w:szCs w:val="20"/>
          <w:lang w:val="en-GB" w:eastAsia="ko-KR" w:bidi="ar-SA"/>
        </w:rPr>
        <w:t>Phytochemistry Letters</w:t>
      </w:r>
      <w:r w:rsidRPr="00E6510F">
        <w:rPr>
          <w:rFonts w:ascii="Times New Roman" w:hAnsi="Times New Roman"/>
          <w:noProof/>
          <w:sz w:val="20"/>
          <w:szCs w:val="20"/>
          <w:lang w:val="en-GB" w:eastAsia="ko-KR" w:bidi="ar-SA"/>
        </w:rPr>
        <w:t>, 14:123-133.</w:t>
      </w:r>
    </w:p>
    <w:p w14:paraId="7E886EEA"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Ismail, N. Z., Md Toha, Z., Muhamad, M., Nik Mohamed Kamal, N. N. S., Mohamad Zain, N. N. and Arsad, H. (2020). Antioxidant effects, antiproliferative effects, and molecular docking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leaf extracts.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25: 2067.</w:t>
      </w:r>
    </w:p>
    <w:p w14:paraId="53140C4E"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Ghasemzadeh, A., Nasiri, A., Jaafar, H. Z. E., Baghdadi, A. and Ahmad, I. (2014). Changes in phytochemical synthesis, chalcone synthase activity and pharmaceutical qualities of Sabah snake grass (</w:t>
      </w:r>
      <w:r w:rsidRPr="00E6510F">
        <w:rPr>
          <w:rFonts w:ascii="Times New Roman" w:hAnsi="Times New Roman"/>
          <w:i/>
          <w:iCs/>
          <w:noProof/>
          <w:sz w:val="20"/>
          <w:szCs w:val="20"/>
          <w:lang w:val="en-GB" w:eastAsia="ko-KR" w:bidi="ar-SA"/>
        </w:rPr>
        <w:t>Clinacanthus nutans L</w:t>
      </w:r>
      <w:r w:rsidRPr="00E6510F">
        <w:rPr>
          <w:rFonts w:ascii="Times New Roman" w:hAnsi="Times New Roman"/>
          <w:noProof/>
          <w:sz w:val="20"/>
          <w:szCs w:val="20"/>
          <w:lang w:val="en-GB" w:eastAsia="ko-KR" w:bidi="ar-SA"/>
        </w:rPr>
        <w:t xml:space="preserve">.) in relation to plant age.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19: 17632-17648.</w:t>
      </w:r>
    </w:p>
    <w:p w14:paraId="4328EB92"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Abd Samat, N. M.A., Ahmad, S., Awang, Y., Bakar, R. A. H. and Hakiman, M. (2020). Alterations in herbage yield, antioxidant activities, phytochemical contents, and bioactive compounds of Sabah snake grass (</w:t>
      </w:r>
      <w:r w:rsidRPr="00E6510F">
        <w:rPr>
          <w:rFonts w:ascii="Times New Roman" w:hAnsi="Times New Roman"/>
          <w:i/>
          <w:iCs/>
          <w:noProof/>
          <w:sz w:val="20"/>
          <w:szCs w:val="20"/>
          <w:lang w:val="en-GB" w:eastAsia="ko-KR" w:bidi="ar-SA"/>
        </w:rPr>
        <w:t>Clinacanthus Nutans L.</w:t>
      </w:r>
      <w:r w:rsidRPr="00E6510F">
        <w:rPr>
          <w:rFonts w:ascii="Times New Roman" w:hAnsi="Times New Roman"/>
          <w:noProof/>
          <w:sz w:val="20"/>
          <w:szCs w:val="20"/>
          <w:lang w:val="en-GB" w:eastAsia="ko-KR" w:bidi="ar-SA"/>
        </w:rPr>
        <w:t xml:space="preserve">) with regards to harvesting age and harvesting frequency.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xml:space="preserve">, 25 (12): 2833. </w:t>
      </w:r>
    </w:p>
    <w:p w14:paraId="13E214B6"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Alam, M. A, Zaidul, I. S., Ghafoor, K., Sahena, F., Hakim, M. A., Rafii, M.Y., Abir, H.M., Bostanudin, M. F., Perumal, V. and Khatib, A. (2017). In vitro antioxidant and, α-glucosidase inhibitory activities and comprehensive metabolite profiling of methanol extract and its fractions from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BMC Complementary and Alternative Medicine</w:t>
      </w:r>
      <w:r w:rsidRPr="00E6510F">
        <w:rPr>
          <w:rFonts w:ascii="Times New Roman" w:hAnsi="Times New Roman"/>
          <w:noProof/>
          <w:sz w:val="20"/>
          <w:szCs w:val="20"/>
          <w:lang w:val="en-GB" w:eastAsia="ko-KR" w:bidi="ar-SA"/>
        </w:rPr>
        <w:t xml:space="preserve">, 17(1): 181. </w:t>
      </w:r>
    </w:p>
    <w:p w14:paraId="003DA178" w14:textId="7F6073D3" w:rsidR="00573DD9" w:rsidRP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Haron, N. H., Md Toha, Z., Abas, R., Hamdan, M. R., Azman, N., Khairuddean, M. and Arsad, H. (2019). In vitro cytotoxic activity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leaf extracts against HeLa cells. </w:t>
      </w:r>
      <w:r w:rsidRPr="00E6510F">
        <w:rPr>
          <w:rFonts w:ascii="Times New Roman" w:hAnsi="Times New Roman"/>
          <w:i/>
          <w:iCs/>
          <w:noProof/>
          <w:sz w:val="20"/>
          <w:szCs w:val="20"/>
          <w:lang w:val="en-GB" w:eastAsia="ko-KR" w:bidi="ar-SA"/>
        </w:rPr>
        <w:t>Asian Pacific Journal of Cancer Prevention</w:t>
      </w:r>
      <w:r w:rsidRPr="00E6510F">
        <w:rPr>
          <w:rFonts w:ascii="Times New Roman" w:hAnsi="Times New Roman"/>
          <w:noProof/>
          <w:sz w:val="20"/>
          <w:szCs w:val="20"/>
          <w:lang w:val="en-GB" w:eastAsia="ko-KR" w:bidi="ar-SA"/>
        </w:rPr>
        <w:t xml:space="preserve">, 20(2): 601-609. </w:t>
      </w:r>
    </w:p>
    <w:p w14:paraId="57683BF4"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Sarega, N., Imam, M. U., Ooi, D. J., Chan, K. W., Md Esa, N., Zawawi, N. and Ismail, M. (2016). Phenolic rich extract from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attenuates hyperlipidemia-associated oxidative stress in rats. </w:t>
      </w:r>
      <w:r w:rsidRPr="00E6510F">
        <w:rPr>
          <w:rFonts w:ascii="Times New Roman" w:hAnsi="Times New Roman"/>
          <w:i/>
          <w:iCs/>
          <w:noProof/>
          <w:sz w:val="20"/>
          <w:szCs w:val="20"/>
          <w:lang w:val="en-GB" w:eastAsia="ko-KR" w:bidi="ar-SA"/>
        </w:rPr>
        <w:t>Oxidative Medicine and Cellular Longevity</w:t>
      </w:r>
      <w:r w:rsidRPr="00E6510F">
        <w:rPr>
          <w:rFonts w:ascii="Times New Roman" w:hAnsi="Times New Roman"/>
          <w:noProof/>
          <w:sz w:val="20"/>
          <w:szCs w:val="20"/>
          <w:lang w:val="en-GB" w:eastAsia="ko-KR" w:bidi="ar-SA"/>
        </w:rPr>
        <w:t>, 2016: 4137908.</w:t>
      </w:r>
    </w:p>
    <w:p w14:paraId="54D0E4CB"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Ioannou, I., Chekir, L. and Ghoul, M. (2020). Effect of heat treatment and light exposure on the antioxidant activity of flavonoids. </w:t>
      </w:r>
      <w:r w:rsidRPr="00E6510F">
        <w:rPr>
          <w:rFonts w:ascii="Times New Roman" w:hAnsi="Times New Roman"/>
          <w:i/>
          <w:iCs/>
          <w:noProof/>
          <w:sz w:val="20"/>
          <w:szCs w:val="20"/>
          <w:lang w:val="en-GB" w:eastAsia="ko-KR" w:bidi="ar-SA"/>
        </w:rPr>
        <w:t>Processes</w:t>
      </w:r>
      <w:r w:rsidRPr="00E6510F">
        <w:rPr>
          <w:rFonts w:ascii="Times New Roman" w:hAnsi="Times New Roman"/>
          <w:noProof/>
          <w:sz w:val="20"/>
          <w:szCs w:val="20"/>
          <w:lang w:val="en-GB" w:eastAsia="ko-KR" w:bidi="ar-SA"/>
        </w:rPr>
        <w:t xml:space="preserve">, 8: 1078. </w:t>
      </w:r>
    </w:p>
    <w:p w14:paraId="6CE63036"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Tushar, D., Sonal, S., Gajbhiye, N. A. and Satyanshu, K. (2017). Effect of extraction methods on yield, phytochemical constituents and antioxidant activity of </w:t>
      </w:r>
      <w:r w:rsidRPr="00E6510F">
        <w:rPr>
          <w:rFonts w:ascii="Times New Roman" w:hAnsi="Times New Roman"/>
          <w:i/>
          <w:iCs/>
          <w:noProof/>
          <w:sz w:val="20"/>
          <w:szCs w:val="20"/>
          <w:lang w:val="en-GB" w:eastAsia="ko-KR" w:bidi="ar-SA"/>
        </w:rPr>
        <w:t>Withania somnifera</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Arabian Journal of Chemistry</w:t>
      </w:r>
      <w:r w:rsidRPr="00E6510F">
        <w:rPr>
          <w:rFonts w:ascii="Times New Roman" w:hAnsi="Times New Roman"/>
          <w:noProof/>
          <w:sz w:val="20"/>
          <w:szCs w:val="20"/>
          <w:lang w:val="en-GB" w:eastAsia="ko-KR" w:bidi="ar-SA"/>
        </w:rPr>
        <w:t>, 10(1): S1193-S1199.</w:t>
      </w:r>
    </w:p>
    <w:p w14:paraId="128626C5" w14:textId="77777777" w:rsid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 xml:space="preserve">Iqbal, E., Salim, K. and Lim, L. (2015). Phytochemical screening, total phenolics and antioxidant activities of bark and leaf extracts of </w:t>
      </w:r>
      <w:r w:rsidRPr="006374D4">
        <w:rPr>
          <w:rFonts w:ascii="Times New Roman" w:hAnsi="Times New Roman"/>
          <w:i/>
          <w:iCs/>
          <w:noProof/>
          <w:sz w:val="20"/>
          <w:szCs w:val="20"/>
          <w:lang w:val="en-GB" w:eastAsia="ko-KR" w:bidi="ar-SA"/>
        </w:rPr>
        <w:t>Goniothalamus velutinus</w:t>
      </w:r>
      <w:r w:rsidRPr="006374D4">
        <w:rPr>
          <w:rFonts w:ascii="Times New Roman" w:hAnsi="Times New Roman"/>
          <w:noProof/>
          <w:sz w:val="20"/>
          <w:szCs w:val="20"/>
          <w:lang w:val="en-GB" w:eastAsia="ko-KR" w:bidi="ar-SA"/>
        </w:rPr>
        <w:t xml:space="preserve"> (airy shaw) from Brunei Darussalam, </w:t>
      </w:r>
      <w:r w:rsidRPr="006374D4">
        <w:rPr>
          <w:rFonts w:ascii="Times New Roman" w:hAnsi="Times New Roman"/>
          <w:i/>
          <w:iCs/>
          <w:noProof/>
          <w:sz w:val="20"/>
          <w:szCs w:val="20"/>
          <w:lang w:val="en-GB" w:eastAsia="ko-KR" w:bidi="ar-SA"/>
        </w:rPr>
        <w:t>Journal of King Saud University - Science</w:t>
      </w:r>
      <w:r w:rsidRPr="006374D4">
        <w:rPr>
          <w:rFonts w:ascii="Times New Roman" w:hAnsi="Times New Roman"/>
          <w:noProof/>
          <w:sz w:val="20"/>
          <w:szCs w:val="20"/>
          <w:lang w:val="en-GB" w:eastAsia="ko-KR" w:bidi="ar-SA"/>
        </w:rPr>
        <w:t>, 27(3): 224-232.</w:t>
      </w:r>
    </w:p>
    <w:p w14:paraId="55D47A1B" w14:textId="0B493515" w:rsidR="00573DD9" w:rsidRPr="006374D4"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6374D4">
        <w:rPr>
          <w:rFonts w:ascii="Times New Roman" w:eastAsia="SimSun" w:hAnsi="Times New Roman"/>
          <w:noProof/>
          <w:sz w:val="20"/>
          <w:szCs w:val="20"/>
          <w:lang w:val="en-GB" w:eastAsia="ko-KR" w:bidi="ar-SA"/>
        </w:rPr>
        <w:t xml:space="preserve">Rakholiya, K., Kaneria, M., Nagani, K., Patel, A. and Chanda, S. (2015). Comparative analysis and simultaneous quantification of antioxidant capacity of four terminalia species using various photometric assays. </w:t>
      </w:r>
      <w:r w:rsidRPr="006374D4">
        <w:rPr>
          <w:rFonts w:ascii="Times New Roman" w:eastAsia="SimSun" w:hAnsi="Times New Roman"/>
          <w:i/>
          <w:iCs/>
          <w:noProof/>
          <w:sz w:val="20"/>
          <w:szCs w:val="20"/>
          <w:lang w:val="en-GB" w:eastAsia="ko-KR" w:bidi="ar-SA"/>
        </w:rPr>
        <w:t>World Journal of Pharmaceutical Research</w:t>
      </w:r>
      <w:r w:rsidRPr="006374D4">
        <w:rPr>
          <w:rFonts w:ascii="Times New Roman" w:eastAsia="SimSun" w:hAnsi="Times New Roman"/>
          <w:noProof/>
          <w:sz w:val="20"/>
          <w:szCs w:val="20"/>
          <w:lang w:val="en-GB" w:eastAsia="ko-KR" w:bidi="ar-SA"/>
        </w:rPr>
        <w:t>, 4 (4): 1280-1296.</w:t>
      </w:r>
    </w:p>
    <w:p w14:paraId="535D4CA0"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Ismail, H., Chan, K., Mariod, A. and Ismail, M. (2010). Phenolic content and antioxidant  </w:t>
      </w:r>
      <w:r w:rsidRPr="00E6510F">
        <w:rPr>
          <w:rFonts w:ascii="Times New Roman" w:hAnsi="Times New Roman"/>
          <w:noProof/>
          <w:sz w:val="20"/>
          <w:szCs w:val="20"/>
          <w:lang w:val="en-GB" w:eastAsia="ko-KR" w:bidi="ar-SA"/>
        </w:rPr>
        <w:br/>
        <w:t>activity of cantaloupe (</w:t>
      </w:r>
      <w:r w:rsidRPr="00E6510F">
        <w:rPr>
          <w:rFonts w:ascii="Times New Roman" w:hAnsi="Times New Roman"/>
          <w:i/>
          <w:iCs/>
          <w:noProof/>
          <w:sz w:val="20"/>
          <w:szCs w:val="20"/>
          <w:lang w:val="en-GB" w:eastAsia="ko-KR" w:bidi="ar-SA"/>
        </w:rPr>
        <w:t>Cucumis melo</w:t>
      </w:r>
      <w:r w:rsidRPr="00E6510F">
        <w:rPr>
          <w:rFonts w:ascii="Times New Roman" w:hAnsi="Times New Roman"/>
          <w:noProof/>
          <w:sz w:val="20"/>
          <w:szCs w:val="20"/>
          <w:lang w:val="en-GB" w:eastAsia="ko-KR" w:bidi="ar-SA"/>
        </w:rPr>
        <w:t xml:space="preserve">) methanolic extracts. </w:t>
      </w:r>
      <w:r w:rsidRPr="00E6510F">
        <w:rPr>
          <w:rFonts w:ascii="Times New Roman" w:hAnsi="Times New Roman"/>
          <w:i/>
          <w:iCs/>
          <w:noProof/>
          <w:sz w:val="20"/>
          <w:szCs w:val="20"/>
          <w:lang w:val="en-GB" w:eastAsia="ko-KR" w:bidi="ar-SA"/>
        </w:rPr>
        <w:t>Food Chemistry</w:t>
      </w:r>
      <w:r w:rsidRPr="00E6510F">
        <w:rPr>
          <w:rFonts w:ascii="Times New Roman" w:hAnsi="Times New Roman"/>
          <w:noProof/>
          <w:sz w:val="20"/>
          <w:szCs w:val="20"/>
          <w:lang w:val="en-GB" w:eastAsia="ko-KR" w:bidi="ar-SA"/>
        </w:rPr>
        <w:t>, 119(2): 643-647.</w:t>
      </w:r>
      <w:r w:rsidRPr="00E6510F">
        <w:rPr>
          <w:rFonts w:ascii="Times New Roman" w:eastAsia="SimSun" w:hAnsi="Times New Roman"/>
          <w:noProof/>
          <w:sz w:val="20"/>
          <w:szCs w:val="20"/>
          <w:lang w:val="en-GB" w:eastAsia="ko-KR" w:bidi="ar-SA"/>
        </w:rPr>
        <w:t> </w:t>
      </w:r>
    </w:p>
    <w:p w14:paraId="3D5188C4"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Naczk, M. and Shahidi, F. (2006). Phenolics in cereals, fruits and vegetables: Occurrence, extraction and analysis. </w:t>
      </w:r>
      <w:r w:rsidRPr="00E6510F">
        <w:rPr>
          <w:rFonts w:ascii="Times New Roman" w:hAnsi="Times New Roman"/>
          <w:i/>
          <w:iCs/>
          <w:noProof/>
          <w:sz w:val="20"/>
          <w:szCs w:val="20"/>
          <w:lang w:val="en-GB" w:eastAsia="ko-KR" w:bidi="ar-SA"/>
        </w:rPr>
        <w:t>Journal of Pharmaceutical and Biomedical Analysis</w:t>
      </w:r>
      <w:r w:rsidRPr="00E6510F">
        <w:rPr>
          <w:rFonts w:ascii="Times New Roman" w:hAnsi="Times New Roman"/>
          <w:noProof/>
          <w:sz w:val="20"/>
          <w:szCs w:val="20"/>
          <w:lang w:val="en-GB" w:eastAsia="ko-KR" w:bidi="ar-SA"/>
        </w:rPr>
        <w:t>, 41(5): 1523-1542.</w:t>
      </w:r>
      <w:r w:rsidRPr="00E6510F">
        <w:rPr>
          <w:rFonts w:ascii="Times New Roman" w:eastAsia="SimSun" w:hAnsi="Times New Roman"/>
          <w:noProof/>
          <w:sz w:val="20"/>
          <w:szCs w:val="20"/>
          <w:lang w:val="en-GB" w:eastAsia="ko-KR" w:bidi="ar-SA"/>
        </w:rPr>
        <w:t> </w:t>
      </w:r>
    </w:p>
    <w:p w14:paraId="7BF89D98" w14:textId="00591A5E" w:rsidR="00573DD9" w:rsidRP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Hemwimon, S., Pavasant, P. and Shotipruk, A. (2007). Microwave-assisted extraction of antioxidative anthraquinones from roots of </w:t>
      </w:r>
      <w:r w:rsidRPr="00E6510F">
        <w:rPr>
          <w:rFonts w:ascii="Times New Roman" w:hAnsi="Times New Roman"/>
          <w:i/>
          <w:iCs/>
          <w:noProof/>
          <w:sz w:val="20"/>
          <w:szCs w:val="20"/>
          <w:lang w:val="en-GB" w:eastAsia="ko-KR" w:bidi="ar-SA"/>
        </w:rPr>
        <w:t>Morinda citrifolia</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Separation and Purification Technology</w:t>
      </w:r>
      <w:r w:rsidRPr="00E6510F">
        <w:rPr>
          <w:rFonts w:ascii="Times New Roman" w:hAnsi="Times New Roman"/>
          <w:noProof/>
          <w:sz w:val="20"/>
          <w:szCs w:val="20"/>
          <w:lang w:val="en-GB" w:eastAsia="ko-KR" w:bidi="ar-SA"/>
        </w:rPr>
        <w:t>, 54(1): 44-50.</w:t>
      </w:r>
      <w:r w:rsidRPr="00E6510F">
        <w:rPr>
          <w:rFonts w:ascii="Times New Roman" w:eastAsia="SimSun" w:hAnsi="Times New Roman"/>
          <w:noProof/>
          <w:sz w:val="20"/>
          <w:szCs w:val="20"/>
          <w:lang w:val="en-GB" w:eastAsia="ko-KR" w:bidi="ar-SA"/>
        </w:rPr>
        <w:t> </w:t>
      </w:r>
    </w:p>
    <w:p w14:paraId="60DD664E" w14:textId="3F8A19A0" w:rsidR="00095F4A" w:rsidRPr="00095F4A"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King, A. and Young, G. (1999). Characteristics and occurrence of phenolic phytochemicals. </w:t>
      </w:r>
      <w:r w:rsidRPr="00E6510F">
        <w:rPr>
          <w:rFonts w:ascii="Times New Roman" w:eastAsia="SimSun" w:hAnsi="Times New Roman"/>
          <w:i/>
          <w:iCs/>
          <w:noProof/>
          <w:sz w:val="20"/>
          <w:szCs w:val="20"/>
          <w:lang w:val="en-GB" w:eastAsia="ko-KR" w:bidi="ar-SA"/>
        </w:rPr>
        <w:t>Journal of the American Dietetic Association</w:t>
      </w:r>
      <w:r w:rsidRPr="00E6510F">
        <w:rPr>
          <w:rFonts w:ascii="Times New Roman" w:eastAsia="SimSun" w:hAnsi="Times New Roman"/>
          <w:noProof/>
          <w:sz w:val="20"/>
          <w:szCs w:val="20"/>
          <w:lang w:val="en-GB" w:eastAsia="ko-KR" w:bidi="ar-SA"/>
        </w:rPr>
        <w:t>, 99(2): 213-218.</w:t>
      </w:r>
    </w:p>
    <w:p w14:paraId="080786C2" w14:textId="77777777" w:rsidR="0024530B" w:rsidRDefault="0024530B" w:rsidP="00095F4A">
      <w:pPr>
        <w:widowControl w:val="0"/>
        <w:wordWrap w:val="0"/>
        <w:autoSpaceDE w:val="0"/>
        <w:autoSpaceDN w:val="0"/>
        <w:spacing w:after="0"/>
        <w:jc w:val="both"/>
        <w:rPr>
          <w:rFonts w:ascii="Times New Roman" w:eastAsia="SimSun" w:hAnsi="Times New Roman"/>
          <w:noProof/>
          <w:sz w:val="20"/>
          <w:szCs w:val="20"/>
          <w:lang w:val="en-GB" w:eastAsia="ko-KR" w:bidi="ar-SA"/>
        </w:rPr>
        <w:sectPr w:rsidR="0024530B" w:rsidSect="00095F4A">
          <w:footerReference w:type="even" r:id="rId24"/>
          <w:footerReference w:type="default" r:id="rId25"/>
          <w:type w:val="continuous"/>
          <w:pgSz w:w="12240" w:h="15840" w:code="1"/>
          <w:pgMar w:top="1800" w:right="1469" w:bottom="1699" w:left="1440" w:header="706" w:footer="706" w:gutter="0"/>
          <w:pgNumType w:start="1"/>
          <w:cols w:num="2" w:space="403"/>
          <w:docGrid w:linePitch="360"/>
        </w:sectPr>
      </w:pPr>
    </w:p>
    <w:p w14:paraId="0FED3DDB" w14:textId="2D7304FD" w:rsidR="00095F4A" w:rsidRPr="0024530B" w:rsidRDefault="00095F4A" w:rsidP="0024530B">
      <w:pPr>
        <w:pStyle w:val="ListParagraph"/>
        <w:widowControl w:val="0"/>
        <w:numPr>
          <w:ilvl w:val="0"/>
          <w:numId w:val="4"/>
        </w:numPr>
        <w:wordWrap w:val="0"/>
        <w:autoSpaceDE w:val="0"/>
        <w:autoSpaceDN w:val="0"/>
        <w:spacing w:after="0"/>
        <w:ind w:left="360"/>
        <w:jc w:val="both"/>
        <w:rPr>
          <w:rFonts w:ascii="Times New Roman" w:eastAsia="SimSun" w:hAnsi="Times New Roman"/>
          <w:noProof/>
          <w:sz w:val="20"/>
          <w:szCs w:val="20"/>
          <w:lang w:val="en-GB" w:eastAsia="ko-KR" w:bidi="ar-SA"/>
        </w:rPr>
      </w:pPr>
      <w:r w:rsidRPr="0024530B">
        <w:rPr>
          <w:rFonts w:ascii="Times New Roman" w:eastAsia="SimSun" w:hAnsi="Times New Roman"/>
          <w:noProof/>
          <w:sz w:val="20"/>
          <w:szCs w:val="20"/>
          <w:lang w:val="en-GB" w:eastAsia="ko-KR" w:bidi="ar-SA"/>
        </w:rPr>
        <w:lastRenderedPageBreak/>
        <w:t xml:space="preserve">Hussain, I., Ullah, R., Ullah, R., Khurram, M., Ullah, N., Abdul, B., Khan, F., Khattak, M., Zahoor, M., Khan, J. and Khan, D. N. (2011). Phytochemical analysis of selected medicinal plants. </w:t>
      </w:r>
      <w:r w:rsidRPr="0024530B">
        <w:rPr>
          <w:rFonts w:ascii="Times New Roman" w:eastAsia="SimSun" w:hAnsi="Times New Roman"/>
          <w:i/>
          <w:iCs/>
          <w:noProof/>
          <w:sz w:val="20"/>
          <w:szCs w:val="20"/>
          <w:lang w:val="en-GB" w:eastAsia="ko-KR" w:bidi="ar-SA"/>
        </w:rPr>
        <w:t>African Journal of Biotechnology</w:t>
      </w:r>
      <w:r w:rsidRPr="0024530B">
        <w:rPr>
          <w:rFonts w:ascii="Times New Roman" w:eastAsia="SimSun" w:hAnsi="Times New Roman"/>
          <w:noProof/>
          <w:sz w:val="20"/>
          <w:szCs w:val="20"/>
          <w:lang w:val="en-GB" w:eastAsia="ko-KR" w:bidi="ar-SA"/>
        </w:rPr>
        <w:t>, 10(38): 7487-7492.</w:t>
      </w:r>
    </w:p>
    <w:p w14:paraId="13D93935" w14:textId="1EB223E9" w:rsidR="00095F4A" w:rsidRPr="00095F4A"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Folin, O. and Ciocalteu, V. (1927). On tyrosine and tryptophane determinations in proteins. </w:t>
      </w:r>
      <w:r w:rsidRPr="00E6510F">
        <w:rPr>
          <w:rFonts w:ascii="Times New Roman" w:eastAsia="SimSun" w:hAnsi="Times New Roman"/>
          <w:i/>
          <w:iCs/>
          <w:noProof/>
          <w:sz w:val="20"/>
          <w:szCs w:val="20"/>
          <w:lang w:val="en-GB" w:eastAsia="ko-KR" w:bidi="ar-SA"/>
        </w:rPr>
        <w:t>Journal of Biological Chemistry</w:t>
      </w:r>
      <w:r w:rsidRPr="00E6510F">
        <w:rPr>
          <w:rFonts w:ascii="Times New Roman" w:eastAsia="SimSun" w:hAnsi="Times New Roman"/>
          <w:noProof/>
          <w:sz w:val="20"/>
          <w:szCs w:val="20"/>
          <w:lang w:val="en-GB" w:eastAsia="ko-KR" w:bidi="ar-SA"/>
        </w:rPr>
        <w:t>, 73(2): 627-650.</w:t>
      </w:r>
    </w:p>
    <w:p w14:paraId="5F0BDB38" w14:textId="77777777" w:rsidR="00095F4A" w:rsidRPr="00642FA9"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Robards, K. and Antolovich, M. (1997). Analytical chemistry of fruit bioflavonoids: a review. </w:t>
      </w:r>
      <w:r w:rsidRPr="00E6510F">
        <w:rPr>
          <w:rFonts w:ascii="Times New Roman" w:eastAsia="SimSun" w:hAnsi="Times New Roman"/>
          <w:i/>
          <w:iCs/>
          <w:noProof/>
          <w:sz w:val="20"/>
          <w:szCs w:val="20"/>
          <w:lang w:val="en-GB" w:eastAsia="ko-KR" w:bidi="ar-SA"/>
        </w:rPr>
        <w:t>The Analyst</w:t>
      </w:r>
      <w:r w:rsidRPr="00E6510F">
        <w:rPr>
          <w:rFonts w:ascii="Times New Roman" w:eastAsia="SimSun" w:hAnsi="Times New Roman"/>
          <w:noProof/>
          <w:sz w:val="20"/>
          <w:szCs w:val="20"/>
          <w:lang w:val="en-GB" w:eastAsia="ko-KR" w:bidi="ar-SA"/>
        </w:rPr>
        <w:t>, 122(2): 11R-34R.</w:t>
      </w:r>
    </w:p>
    <w:p w14:paraId="64E5E59C"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bookmarkStart w:id="4" w:name="_Hlk99187806"/>
      <w:r w:rsidRPr="00E6510F">
        <w:rPr>
          <w:rFonts w:ascii="Times New Roman" w:eastAsia="SimSun" w:hAnsi="Times New Roman"/>
          <w:noProof/>
          <w:sz w:val="20"/>
          <w:szCs w:val="20"/>
          <w:lang w:val="en-GB" w:eastAsia="ko-KR" w:bidi="ar-SA"/>
        </w:rPr>
        <w:t xml:space="preserve">Fadhlin Baharuddin, </w:t>
      </w:r>
      <w:bookmarkEnd w:id="4"/>
      <w:r w:rsidRPr="00E6510F">
        <w:rPr>
          <w:rFonts w:ascii="Times New Roman" w:eastAsia="SimSun" w:hAnsi="Times New Roman"/>
          <w:noProof/>
          <w:sz w:val="20"/>
          <w:szCs w:val="20"/>
          <w:lang w:val="en-GB" w:eastAsia="ko-KR" w:bidi="ar-SA"/>
        </w:rPr>
        <w:t xml:space="preserve">N. A., Mad Nordin, M. F., Morad, N. A., Aris, N. I. A. and Che Yunus, M. A. (2018). Total phenolic, flavonoid content and antioxidant activity of </w:t>
      </w:r>
      <w:r w:rsidRPr="00E6510F">
        <w:rPr>
          <w:rFonts w:ascii="Times New Roman" w:eastAsia="SimSun" w:hAnsi="Times New Roman"/>
          <w:i/>
          <w:iCs/>
          <w:noProof/>
          <w:sz w:val="20"/>
          <w:szCs w:val="20"/>
          <w:lang w:val="en-GB" w:eastAsia="ko-KR" w:bidi="ar-SA"/>
        </w:rPr>
        <w:t>Clinacanthus nutans</w:t>
      </w:r>
      <w:r w:rsidRPr="00E6510F">
        <w:rPr>
          <w:rFonts w:ascii="Times New Roman" w:eastAsia="SimSun" w:hAnsi="Times New Roman"/>
          <w:noProof/>
          <w:sz w:val="20"/>
          <w:szCs w:val="20"/>
          <w:lang w:val="en-GB" w:eastAsia="ko-KR" w:bidi="ar-SA"/>
        </w:rPr>
        <w:t xml:space="preserve"> leaves </w:t>
      </w:r>
      <w:r w:rsidRPr="00E6510F">
        <w:rPr>
          <w:rFonts w:ascii="Times New Roman" w:eastAsia="SimSun" w:hAnsi="Times New Roman"/>
          <w:noProof/>
          <w:sz w:val="20"/>
          <w:szCs w:val="20"/>
          <w:lang w:val="en-GB" w:eastAsia="ko-KR" w:bidi="ar-SA"/>
        </w:rPr>
        <w:t xml:space="preserve">by water-based ultrasonic assisted extraction. </w:t>
      </w:r>
      <w:r w:rsidRPr="00E6510F">
        <w:rPr>
          <w:rFonts w:ascii="Times New Roman" w:eastAsia="SimSun" w:hAnsi="Times New Roman"/>
          <w:i/>
          <w:iCs/>
          <w:noProof/>
          <w:sz w:val="20"/>
          <w:szCs w:val="20"/>
          <w:lang w:val="en-GB" w:eastAsia="ko-KR" w:bidi="ar-SA"/>
        </w:rPr>
        <w:t>Malaysian Journal of Analytical Sciences</w:t>
      </w:r>
      <w:r w:rsidRPr="00E6510F">
        <w:rPr>
          <w:rFonts w:ascii="Times New Roman" w:eastAsia="SimSun" w:hAnsi="Times New Roman"/>
          <w:noProof/>
          <w:sz w:val="20"/>
          <w:szCs w:val="20"/>
          <w:lang w:val="en-GB" w:eastAsia="ko-KR" w:bidi="ar-SA"/>
        </w:rPr>
        <w:t>, 22(4): 659-666.</w:t>
      </w:r>
    </w:p>
    <w:p w14:paraId="62A66B96"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Ho, S. Y., Cheong, B. E. and How, S. E. (2017). Evaluation of antioxidant activity of </w:t>
      </w:r>
      <w:r w:rsidRPr="00E6510F">
        <w:rPr>
          <w:rFonts w:ascii="Times New Roman" w:eastAsia="SimSun" w:hAnsi="Times New Roman"/>
          <w:i/>
          <w:iCs/>
          <w:noProof/>
          <w:sz w:val="20"/>
          <w:szCs w:val="20"/>
          <w:lang w:val="en-GB" w:eastAsia="ko-KR" w:bidi="ar-SA"/>
        </w:rPr>
        <w:t>Clinacanthus nutans</w:t>
      </w:r>
      <w:r w:rsidRPr="00E6510F">
        <w:rPr>
          <w:rFonts w:ascii="Times New Roman" w:eastAsia="SimSun" w:hAnsi="Times New Roman"/>
          <w:noProof/>
          <w:sz w:val="20"/>
          <w:szCs w:val="20"/>
          <w:lang w:val="en-GB" w:eastAsia="ko-KR" w:bidi="ar-SA"/>
        </w:rPr>
        <w:t xml:space="preserve"> (Acanthaceae). </w:t>
      </w:r>
      <w:r w:rsidRPr="00E6510F">
        <w:rPr>
          <w:rFonts w:ascii="Times New Roman" w:eastAsia="SimSun" w:hAnsi="Times New Roman"/>
          <w:i/>
          <w:iCs/>
          <w:noProof/>
          <w:sz w:val="20"/>
          <w:szCs w:val="20"/>
          <w:lang w:val="en-GB" w:eastAsia="ko-KR" w:bidi="ar-SA"/>
        </w:rPr>
        <w:t>Short Communications in Biotechnology</w:t>
      </w:r>
      <w:r w:rsidRPr="00E6510F">
        <w:rPr>
          <w:rFonts w:ascii="Times New Roman" w:eastAsia="SimSun" w:hAnsi="Times New Roman"/>
          <w:noProof/>
          <w:sz w:val="20"/>
          <w:szCs w:val="20"/>
          <w:lang w:val="en-GB" w:eastAsia="ko-KR" w:bidi="ar-SA"/>
        </w:rPr>
        <w:t>, 4: 63-</w:t>
      </w:r>
      <w:r w:rsidRPr="00E6510F">
        <w:rPr>
          <w:rFonts w:ascii="Times New Roman" w:hAnsi="Times New Roman"/>
          <w:noProof/>
          <w:sz w:val="20"/>
          <w:szCs w:val="20"/>
          <w:lang w:val="en-GB" w:eastAsia="ko-KR" w:bidi="ar-SA"/>
        </w:rPr>
        <w:t>74.</w:t>
      </w:r>
    </w:p>
    <w:p w14:paraId="257A3222"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fr-FR" w:eastAsia="ko-KR" w:bidi="ar-SA"/>
        </w:rPr>
        <w:t xml:space="preserve">Serafini, M., Peluso, I. and Raguzzini, A. (2010). </w:t>
      </w:r>
      <w:r w:rsidRPr="00E6510F">
        <w:rPr>
          <w:rFonts w:ascii="Times New Roman" w:eastAsia="SimSun" w:hAnsi="Times New Roman"/>
          <w:noProof/>
          <w:sz w:val="20"/>
          <w:szCs w:val="20"/>
          <w:lang w:val="en-GB" w:eastAsia="ko-KR" w:bidi="ar-SA"/>
        </w:rPr>
        <w:t xml:space="preserve">Flavonoids as anti-inflammatory agents. </w:t>
      </w:r>
      <w:r w:rsidRPr="00E6510F">
        <w:rPr>
          <w:rFonts w:ascii="Times New Roman" w:eastAsia="SimSun" w:hAnsi="Times New Roman"/>
          <w:i/>
          <w:iCs/>
          <w:noProof/>
          <w:sz w:val="20"/>
          <w:szCs w:val="20"/>
          <w:lang w:val="en-GB" w:eastAsia="ko-KR" w:bidi="ar-SA"/>
        </w:rPr>
        <w:t>Proceedings of the Nutrition Society</w:t>
      </w:r>
      <w:r w:rsidRPr="00E6510F">
        <w:rPr>
          <w:rFonts w:ascii="Times New Roman" w:eastAsia="SimSun" w:hAnsi="Times New Roman"/>
          <w:noProof/>
          <w:sz w:val="20"/>
          <w:szCs w:val="20"/>
          <w:lang w:val="en-GB" w:eastAsia="ko-KR" w:bidi="ar-SA"/>
        </w:rPr>
        <w:t>, 69(3): 273-278.</w:t>
      </w:r>
    </w:p>
    <w:p w14:paraId="5BE2179E" w14:textId="77777777" w:rsidR="00095F4A" w:rsidRDefault="00095F4A" w:rsidP="00095F4A">
      <w:pPr>
        <w:widowControl w:val="0"/>
        <w:numPr>
          <w:ilvl w:val="0"/>
          <w:numId w:val="4"/>
        </w:numPr>
        <w:wordWrap w:val="0"/>
        <w:autoSpaceDE w:val="0"/>
        <w:autoSpaceDN w:val="0"/>
        <w:spacing w:after="0"/>
        <w:ind w:left="360"/>
        <w:jc w:val="both"/>
        <w:rPr>
          <w:rFonts w:ascii="Times New Roman" w:eastAsia="SimSun" w:hAnsi="Times New Roman"/>
          <w:noProof/>
          <w:sz w:val="20"/>
          <w:szCs w:val="20"/>
          <w:lang w:val="en-GB" w:eastAsia="ko-KR" w:bidi="ar-SA"/>
        </w:rPr>
        <w:sectPr w:rsidR="00095F4A" w:rsidSect="0024530B">
          <w:footerReference w:type="even" r:id="rId26"/>
          <w:type w:val="evenPage"/>
          <w:pgSz w:w="12240" w:h="15840" w:code="1"/>
          <w:pgMar w:top="1800" w:right="1469" w:bottom="1699" w:left="1440" w:header="706" w:footer="706" w:gutter="0"/>
          <w:pgNumType w:start="1"/>
          <w:cols w:num="2" w:space="403"/>
          <w:docGrid w:linePitch="360"/>
        </w:sectPr>
      </w:pPr>
      <w:r w:rsidRPr="00E6510F">
        <w:rPr>
          <w:rFonts w:ascii="Times New Roman" w:eastAsia="SimSun" w:hAnsi="Times New Roman"/>
          <w:noProof/>
          <w:sz w:val="20"/>
          <w:szCs w:val="20"/>
          <w:lang w:val="en-GB" w:eastAsia="ko-KR" w:bidi="ar-SA"/>
        </w:rPr>
        <w:t xml:space="preserve">Ilyasov, I. R., Beloborodov, V. L., Selivanova, I. A. and Terekhov, R. P. (2020). ABTS/PP decolorization assay of antioxidant capacity reaction pathways. </w:t>
      </w:r>
      <w:r w:rsidRPr="00E6510F">
        <w:rPr>
          <w:rFonts w:ascii="Times New Roman" w:eastAsia="SimSun" w:hAnsi="Times New Roman"/>
          <w:i/>
          <w:iCs/>
          <w:noProof/>
          <w:sz w:val="20"/>
          <w:szCs w:val="20"/>
          <w:lang w:val="en-GB" w:eastAsia="ko-KR" w:bidi="ar-SA"/>
        </w:rPr>
        <w:t>International Journal of Molecular Sciences</w:t>
      </w:r>
      <w:r w:rsidRPr="00E6510F">
        <w:rPr>
          <w:rFonts w:ascii="Times New Roman" w:eastAsia="SimSun" w:hAnsi="Times New Roman"/>
          <w:noProof/>
          <w:sz w:val="20"/>
          <w:szCs w:val="20"/>
          <w:lang w:val="en-GB" w:eastAsia="ko-KR" w:bidi="ar-SA"/>
        </w:rPr>
        <w:t>, 2020(21): 1131.</w:t>
      </w:r>
    </w:p>
    <w:p w14:paraId="28AABBB1" w14:textId="696CF3FE" w:rsidR="00095F4A" w:rsidRDefault="00095F4A" w:rsidP="00095F4A">
      <w:pPr>
        <w:widowControl w:val="0"/>
        <w:wordWrap w:val="0"/>
        <w:autoSpaceDE w:val="0"/>
        <w:autoSpaceDN w:val="0"/>
        <w:spacing w:after="0"/>
        <w:jc w:val="both"/>
        <w:rPr>
          <w:rFonts w:ascii="Times New Roman" w:eastAsia="SimSun" w:hAnsi="Times New Roman"/>
          <w:noProof/>
          <w:sz w:val="20"/>
          <w:szCs w:val="20"/>
          <w:lang w:val="en-GB" w:eastAsia="ko-KR" w:bidi="ar-SA"/>
        </w:rPr>
        <w:sectPr w:rsidR="00095F4A" w:rsidSect="00095F4A">
          <w:type w:val="continuous"/>
          <w:pgSz w:w="12240" w:h="15840" w:code="1"/>
          <w:pgMar w:top="1800" w:right="1469" w:bottom="1699" w:left="1440" w:header="706" w:footer="706" w:gutter="0"/>
          <w:pgNumType w:start="1"/>
          <w:cols w:num="2" w:space="403"/>
          <w:docGrid w:linePitch="360"/>
        </w:sectPr>
      </w:pPr>
    </w:p>
    <w:p w14:paraId="25AD2DF8" w14:textId="5F3B47C8" w:rsidR="00573DD9" w:rsidRPr="00095F4A" w:rsidRDefault="00573DD9" w:rsidP="00095F4A">
      <w:pPr>
        <w:widowControl w:val="0"/>
        <w:wordWrap w:val="0"/>
        <w:autoSpaceDE w:val="0"/>
        <w:autoSpaceDN w:val="0"/>
        <w:spacing w:after="0"/>
        <w:ind w:left="360"/>
        <w:jc w:val="both"/>
        <w:rPr>
          <w:rFonts w:ascii="Times New Roman" w:hAnsi="Times New Roman"/>
          <w:noProof/>
          <w:sz w:val="20"/>
          <w:szCs w:val="20"/>
          <w:lang w:val="en-GB" w:eastAsia="ko-KR" w:bidi="ar-SA"/>
        </w:rPr>
        <w:sectPr w:rsidR="00573DD9" w:rsidRPr="00095F4A" w:rsidSect="002E50CD">
          <w:type w:val="continuous"/>
          <w:pgSz w:w="12240" w:h="15840" w:code="1"/>
          <w:pgMar w:top="1800" w:right="1469" w:bottom="1699" w:left="1440" w:header="706" w:footer="706" w:gutter="0"/>
          <w:pgNumType w:start="1"/>
          <w:cols w:num="2" w:space="403"/>
          <w:docGrid w:linePitch="360"/>
        </w:sectPr>
      </w:pPr>
    </w:p>
    <w:p w14:paraId="5DA0B0E0" w14:textId="77777777" w:rsidR="00642FA9" w:rsidRPr="00642FA9" w:rsidRDefault="00642FA9" w:rsidP="00095F4A">
      <w:pPr>
        <w:widowControl w:val="0"/>
        <w:wordWrap w:val="0"/>
        <w:autoSpaceDE w:val="0"/>
        <w:autoSpaceDN w:val="0"/>
        <w:spacing w:after="0"/>
        <w:jc w:val="both"/>
        <w:rPr>
          <w:rFonts w:ascii="Times New Roman" w:hAnsi="Times New Roman"/>
          <w:noProof/>
          <w:sz w:val="20"/>
          <w:szCs w:val="20"/>
          <w:lang w:val="en-GB" w:eastAsia="ko-KR" w:bidi="ar-SA"/>
        </w:rPr>
      </w:pPr>
    </w:p>
    <w:p w14:paraId="73A94C5D" w14:textId="77777777" w:rsidR="00642FA9" w:rsidRPr="00E6510F" w:rsidRDefault="00642FA9" w:rsidP="00B4069E">
      <w:pPr>
        <w:widowControl w:val="0"/>
        <w:wordWrap w:val="0"/>
        <w:autoSpaceDE w:val="0"/>
        <w:autoSpaceDN w:val="0"/>
        <w:spacing w:after="0"/>
        <w:ind w:left="360"/>
        <w:jc w:val="both"/>
        <w:rPr>
          <w:rFonts w:ascii="Times New Roman" w:hAnsi="Times New Roman"/>
          <w:noProof/>
          <w:sz w:val="20"/>
          <w:szCs w:val="20"/>
          <w:lang w:val="en-GB" w:eastAsia="ko-KR" w:bidi="ar-SA"/>
        </w:rPr>
      </w:pPr>
    </w:p>
    <w:p w14:paraId="482B83D7" w14:textId="77777777" w:rsidR="002E50CD" w:rsidRPr="00E6510F" w:rsidRDefault="002E50CD" w:rsidP="002E50CD">
      <w:pPr>
        <w:widowControl w:val="0"/>
        <w:wordWrap w:val="0"/>
        <w:autoSpaceDE w:val="0"/>
        <w:autoSpaceDN w:val="0"/>
        <w:spacing w:after="0"/>
        <w:jc w:val="both"/>
        <w:outlineLvl w:val="0"/>
        <w:rPr>
          <w:rFonts w:ascii="Times New Roman" w:eastAsia="SimSun" w:hAnsi="Times New Roman"/>
          <w:b/>
          <w:noProof/>
          <w:kern w:val="2"/>
          <w:sz w:val="20"/>
          <w:szCs w:val="20"/>
          <w:lang w:val="en-GB" w:eastAsia="ko-KR" w:bidi="ar-SA"/>
        </w:rPr>
      </w:pPr>
    </w:p>
    <w:p w14:paraId="32A0B5F5" w14:textId="77777777" w:rsidR="002E50CD" w:rsidRPr="00E6510F" w:rsidRDefault="002E50CD" w:rsidP="002E50CD">
      <w:pPr>
        <w:spacing w:after="0"/>
        <w:jc w:val="center"/>
        <w:rPr>
          <w:rFonts w:ascii="Times New Roman" w:hAnsi="Times New Roman"/>
          <w:noProof/>
          <w:sz w:val="20"/>
          <w:szCs w:val="20"/>
          <w:lang w:bidi="ar-SA"/>
        </w:rPr>
      </w:pPr>
    </w:p>
    <w:p w14:paraId="62F35933" w14:textId="77777777" w:rsidR="002629A9" w:rsidRDefault="002629A9"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3AEF56DD" w14:textId="77777777" w:rsidR="009B63F8" w:rsidRPr="00E6510F" w:rsidRDefault="009B63F8"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sectPr w:rsidR="009B63F8" w:rsidRPr="00E6510F" w:rsidSect="00B4069E">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44DE" w14:textId="77777777" w:rsidR="008627FC" w:rsidRDefault="008627FC" w:rsidP="00FB4C59">
      <w:pPr>
        <w:spacing w:after="0" w:line="240" w:lineRule="auto"/>
      </w:pPr>
      <w:r>
        <w:separator/>
      </w:r>
    </w:p>
  </w:endnote>
  <w:endnote w:type="continuationSeparator" w:id="0">
    <w:p w14:paraId="32B7CA8E" w14:textId="77777777" w:rsidR="008627FC" w:rsidRDefault="008627F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08C148D1" w:rsidR="00A14DB9" w:rsidRDefault="00EA5189">
    <w:pPr>
      <w:pStyle w:val="Footer"/>
    </w:pPr>
    <w:r>
      <w:rPr>
        <w:rFonts w:ascii="Times New Roman" w:hAnsi="Times New Roman"/>
        <w:lang w:val="en-US"/>
      </w:rPr>
      <w:t>699</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F8FD" w14:textId="08C58838" w:rsidR="0024530B" w:rsidRDefault="00EA5189">
    <w:pPr>
      <w:pStyle w:val="Footer"/>
    </w:pPr>
    <w:r>
      <w:rPr>
        <w:rFonts w:ascii="Times New Roman" w:hAnsi="Times New Roman"/>
        <w:lang w:val="en-US"/>
      </w:rPr>
      <w:t>707</w:t>
    </w:r>
    <w:r w:rsidR="0024530B" w:rsidRPr="002F1D31">
      <w:rPr>
        <w:rFonts w:ascii="Times New Roman" w:hAnsi="Times New Roman"/>
        <w:lang w:val="en-US"/>
      </w:rPr>
      <w:ptab w:relativeTo="margin" w:alignment="center" w:leader="none"/>
    </w:r>
    <w:r w:rsidR="0024530B"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53D031ED"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EA5189">
      <w:rPr>
        <w:rFonts w:ascii="Times New Roman" w:hAnsi="Times New Roman"/>
        <w:lang w:val="en-US"/>
      </w:rPr>
      <w:t>698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CC89" w14:textId="73F0565A" w:rsidR="00F7499C" w:rsidRPr="007D4BAB" w:rsidRDefault="00F7499C" w:rsidP="007D4BAB">
    <w:pPr>
      <w:pStyle w:val="Footer"/>
      <w:jc w:val="right"/>
    </w:pPr>
    <w:r w:rsidRPr="002F1D31">
      <w:rPr>
        <w:lang w:val="en-US"/>
      </w:rPr>
      <w:ptab w:relativeTo="margin" w:alignment="center" w:leader="none"/>
    </w:r>
    <w:r w:rsidRPr="002F1D31">
      <w:rPr>
        <w:lang w:val="en-US"/>
      </w:rPr>
      <w:ptab w:relativeTo="margin" w:alignment="right" w:leader="none"/>
    </w:r>
    <w:r w:rsidR="00EA5189">
      <w:rPr>
        <w:lang w:val="en-US"/>
      </w:rPr>
      <w:t>700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D31E" w14:textId="7A189F8F" w:rsidR="00F7499C" w:rsidRDefault="00EA5189">
    <w:pPr>
      <w:pStyle w:val="Footer"/>
    </w:pPr>
    <w:r>
      <w:rPr>
        <w:rFonts w:ascii="Times New Roman" w:hAnsi="Times New Roman"/>
        <w:lang w:val="en-US"/>
      </w:rPr>
      <w:t>701</w:t>
    </w:r>
    <w:r w:rsidR="00F7499C" w:rsidRPr="002F1D31">
      <w:rPr>
        <w:rFonts w:ascii="Times New Roman" w:hAnsi="Times New Roman"/>
        <w:lang w:val="en-US"/>
      </w:rPr>
      <w:ptab w:relativeTo="margin" w:alignment="center" w:leader="none"/>
    </w:r>
    <w:r w:rsidR="00F7499C"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C799" w14:textId="1473F640" w:rsidR="00F7499C" w:rsidRPr="007D4BAB" w:rsidRDefault="00F7499C" w:rsidP="007D4BAB">
    <w:pPr>
      <w:pStyle w:val="Footer"/>
      <w:jc w:val="right"/>
    </w:pPr>
    <w:r w:rsidRPr="002F1D31">
      <w:rPr>
        <w:lang w:val="en-US"/>
      </w:rPr>
      <w:ptab w:relativeTo="margin" w:alignment="center" w:leader="none"/>
    </w:r>
    <w:r w:rsidRPr="002F1D31">
      <w:rPr>
        <w:lang w:val="en-US"/>
      </w:rPr>
      <w:ptab w:relativeTo="margin" w:alignment="right" w:leader="none"/>
    </w:r>
    <w:r w:rsidR="00EA5189">
      <w:rPr>
        <w:lang w:val="en-US"/>
      </w:rPr>
      <w:t>702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D35A" w14:textId="4FA0A935" w:rsidR="00F7499C" w:rsidRDefault="00EA5189">
    <w:pPr>
      <w:pStyle w:val="Footer"/>
    </w:pPr>
    <w:r>
      <w:rPr>
        <w:rFonts w:ascii="Times New Roman" w:hAnsi="Times New Roman"/>
        <w:lang w:val="en-US"/>
      </w:rPr>
      <w:t>703</w:t>
    </w:r>
    <w:r w:rsidR="00F7499C" w:rsidRPr="002F1D31">
      <w:rPr>
        <w:rFonts w:ascii="Times New Roman" w:hAnsi="Times New Roman"/>
        <w:lang w:val="en-US"/>
      </w:rPr>
      <w:ptab w:relativeTo="margin" w:alignment="center" w:leader="none"/>
    </w:r>
    <w:r w:rsidR="00F7499C"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FF61" w14:textId="41A3EF24" w:rsidR="00F7499C" w:rsidRPr="007D4BAB" w:rsidRDefault="00F7499C" w:rsidP="007D4BAB">
    <w:pPr>
      <w:pStyle w:val="Footer"/>
      <w:jc w:val="right"/>
    </w:pPr>
    <w:r w:rsidRPr="002F1D31">
      <w:rPr>
        <w:lang w:val="en-US"/>
      </w:rPr>
      <w:ptab w:relativeTo="margin" w:alignment="center" w:leader="none"/>
    </w:r>
    <w:r w:rsidRPr="002F1D31">
      <w:rPr>
        <w:lang w:val="en-US"/>
      </w:rPr>
      <w:ptab w:relativeTo="margin" w:alignment="right" w:leader="none"/>
    </w:r>
    <w:r w:rsidR="0024530B">
      <w:rPr>
        <w:lang w:val="en-US"/>
      </w:rPr>
      <w:t>7</w:t>
    </w:r>
    <w:r w:rsidR="00EA5189">
      <w:rPr>
        <w:lang w:val="en-US"/>
      </w:rPr>
      <w:t>04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3E50" w14:textId="0ED2D816" w:rsidR="0024530B" w:rsidRDefault="00EA5189">
    <w:pPr>
      <w:pStyle w:val="Footer"/>
    </w:pPr>
    <w:r>
      <w:rPr>
        <w:rFonts w:ascii="Times New Roman" w:hAnsi="Times New Roman"/>
        <w:lang w:val="en-US"/>
      </w:rPr>
      <w:t>705</w:t>
    </w:r>
    <w:r w:rsidR="0024530B" w:rsidRPr="002F1D31">
      <w:rPr>
        <w:rFonts w:ascii="Times New Roman" w:hAnsi="Times New Roman"/>
        <w:lang w:val="en-US"/>
      </w:rPr>
      <w:ptab w:relativeTo="margin" w:alignment="center" w:leader="none"/>
    </w:r>
    <w:r w:rsidR="0024530B"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EDC3" w14:textId="54E68DC1" w:rsidR="0024530B" w:rsidRPr="007D4BAB" w:rsidRDefault="0024530B" w:rsidP="007D4BAB">
    <w:pPr>
      <w:pStyle w:val="Footer"/>
      <w:jc w:val="right"/>
    </w:pPr>
    <w:r w:rsidRPr="002F1D31">
      <w:rPr>
        <w:lang w:val="en-US"/>
      </w:rPr>
      <w:ptab w:relativeTo="margin" w:alignment="center" w:leader="none"/>
    </w:r>
    <w:r w:rsidRPr="002F1D31">
      <w:rPr>
        <w:lang w:val="en-US"/>
      </w:rPr>
      <w:ptab w:relativeTo="margin" w:alignment="right" w:leader="none"/>
    </w:r>
    <w:r w:rsidR="00EA5189">
      <w:rPr>
        <w:lang w:val="en-US"/>
      </w:rPr>
      <w:t>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D7F4" w14:textId="77777777" w:rsidR="008627FC" w:rsidRDefault="008627FC" w:rsidP="00FB4C59">
      <w:pPr>
        <w:spacing w:after="0" w:line="240" w:lineRule="auto"/>
      </w:pPr>
      <w:r>
        <w:separator/>
      </w:r>
    </w:p>
  </w:footnote>
  <w:footnote w:type="continuationSeparator" w:id="0">
    <w:p w14:paraId="4466D7D2" w14:textId="77777777" w:rsidR="008627FC" w:rsidRDefault="008627F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1E8311AC" w:rsidR="002B3BD8" w:rsidRPr="006B72B0" w:rsidRDefault="00CF3708" w:rsidP="00866B2A">
    <w:pPr>
      <w:pStyle w:val="Header"/>
      <w:ind w:left="1080" w:hanging="1080"/>
      <w:rPr>
        <w:rFonts w:ascii="Times New Roman" w:hAnsi="Times New Roman"/>
        <w:lang w:val="en-US"/>
      </w:rPr>
    </w:pPr>
    <w:r>
      <w:rPr>
        <w:rFonts w:ascii="Times New Roman" w:hAnsi="Times New Roman"/>
        <w:lang w:val="en-US"/>
      </w:rPr>
      <w:t>Idham et al.</w:t>
    </w:r>
    <w:r w:rsidR="006B72B0" w:rsidRPr="006B72B0">
      <w:rPr>
        <w:rFonts w:ascii="Times New Roman" w:hAnsi="Times New Roman"/>
        <w:lang w:val="en-US"/>
      </w:rPr>
      <w:t xml:space="preserve">: </w:t>
    </w:r>
    <w:r w:rsidR="00866B2A" w:rsidRPr="00866B2A">
      <w:rPr>
        <w:rFonts w:ascii="Times New Roman" w:hAnsi="Times New Roman"/>
        <w:lang w:val="en-US"/>
      </w:rPr>
      <w:t xml:space="preserve">EVALUATION OF THE TOTAL FLAVONOID, PHENOLIC CONTENT, AND ANTIOXIDANT ACTIVITY IN SABAH SNAKE GRASS EXTRACTS </w:t>
    </w:r>
    <w:r w:rsidR="00866B2A" w:rsidRPr="00866B2A">
      <w:rPr>
        <w:rFonts w:ascii="Times New Roman" w:hAnsi="Times New Roman"/>
        <w:i/>
        <w:iCs/>
        <w:lang w:val="en-US"/>
      </w:rPr>
      <w:t>(Clinacanthus nutans Lindau)</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A060301"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CC7A19">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CC7A19">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CC7A19">
      <w:rPr>
        <w:rFonts w:ascii="Times New Roman" w:hAnsi="Times New Roman"/>
        <w:i/>
        <w:lang w:val="en-MY"/>
      </w:rPr>
      <w:t>2</w:t>
    </w:r>
    <w:r w:rsidRPr="00D75B35">
      <w:rPr>
        <w:rFonts w:ascii="Times New Roman" w:hAnsi="Times New Roman"/>
        <w:i/>
      </w:rPr>
      <w:t xml:space="preserve">): </w:t>
    </w:r>
    <w:r w:rsidR="00EA5189">
      <w:rPr>
        <w:rFonts w:ascii="Times New Roman" w:hAnsi="Times New Roman"/>
        <w:i/>
        <w:lang w:val="en-US"/>
      </w:rPr>
      <w:t>698</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EA5189">
      <w:rPr>
        <w:rFonts w:ascii="Times New Roman" w:hAnsi="Times New Roman"/>
        <w:i/>
        <w:lang w:val="en-US"/>
      </w:rPr>
      <w:t>707</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556B" w14:textId="71C7DBF8" w:rsidR="00583EC1" w:rsidRDefault="00583EC1"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 xml:space="preserve"> - xxx</w:t>
    </w:r>
  </w:p>
  <w:p w14:paraId="5F56A80F" w14:textId="77777777" w:rsidR="00583EC1" w:rsidRPr="00F4760B" w:rsidRDefault="00583EC1" w:rsidP="00F4760B">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30AF" w14:textId="06AF40A7" w:rsidR="00EA5189" w:rsidRDefault="00EA5189"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698 - 707</w:t>
    </w:r>
  </w:p>
  <w:p w14:paraId="23609EEA" w14:textId="77777777" w:rsidR="00EA5189" w:rsidRPr="00F4760B" w:rsidRDefault="00EA5189"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1394B59"/>
    <w:multiLevelType w:val="hybridMultilevel"/>
    <w:tmpl w:val="EC2AB976"/>
    <w:lvl w:ilvl="0" w:tplc="441EB096">
      <w:start w:val="1"/>
      <w:numFmt w:val="decimal"/>
      <w:lvlText w:val="%1."/>
      <w:lvlJc w:val="left"/>
      <w:pPr>
        <w:ind w:left="720" w:hanging="360"/>
      </w:pPr>
      <w:rPr>
        <w:rFonts w:ascii="Times New Roman" w:hAnsi="Times New Roman"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2"/>
  </w:num>
  <w:num w:numId="3" w16cid:durableId="325983859">
    <w:abstractNumId w:val="3"/>
  </w:num>
  <w:num w:numId="4" w16cid:durableId="1205557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355A"/>
    <w:rsid w:val="00041111"/>
    <w:rsid w:val="0004532F"/>
    <w:rsid w:val="00070FAE"/>
    <w:rsid w:val="00084936"/>
    <w:rsid w:val="00095F4A"/>
    <w:rsid w:val="000C49FF"/>
    <w:rsid w:val="000D16A1"/>
    <w:rsid w:val="000D2B0C"/>
    <w:rsid w:val="000F2359"/>
    <w:rsid w:val="000F77DA"/>
    <w:rsid w:val="00105C3D"/>
    <w:rsid w:val="001068E8"/>
    <w:rsid w:val="001106D8"/>
    <w:rsid w:val="00117BCD"/>
    <w:rsid w:val="00123241"/>
    <w:rsid w:val="00146453"/>
    <w:rsid w:val="00152CEC"/>
    <w:rsid w:val="001A3275"/>
    <w:rsid w:val="001D035A"/>
    <w:rsid w:val="001D3855"/>
    <w:rsid w:val="001D6F2C"/>
    <w:rsid w:val="0021406C"/>
    <w:rsid w:val="00220AB6"/>
    <w:rsid w:val="00233177"/>
    <w:rsid w:val="0024530B"/>
    <w:rsid w:val="00251B7C"/>
    <w:rsid w:val="00261F5B"/>
    <w:rsid w:val="002627A2"/>
    <w:rsid w:val="002629A9"/>
    <w:rsid w:val="00272DD0"/>
    <w:rsid w:val="00277498"/>
    <w:rsid w:val="002818AF"/>
    <w:rsid w:val="002860B7"/>
    <w:rsid w:val="00290F4D"/>
    <w:rsid w:val="002A2FC0"/>
    <w:rsid w:val="002A629E"/>
    <w:rsid w:val="002B188F"/>
    <w:rsid w:val="002B3BD8"/>
    <w:rsid w:val="002B412F"/>
    <w:rsid w:val="002C3D7A"/>
    <w:rsid w:val="002C4157"/>
    <w:rsid w:val="002E50CD"/>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5F9B"/>
    <w:rsid w:val="003E7DA6"/>
    <w:rsid w:val="003F12FF"/>
    <w:rsid w:val="00430237"/>
    <w:rsid w:val="004760D4"/>
    <w:rsid w:val="00482180"/>
    <w:rsid w:val="00494C46"/>
    <w:rsid w:val="00497E81"/>
    <w:rsid w:val="004A70F6"/>
    <w:rsid w:val="004B43FF"/>
    <w:rsid w:val="004C070C"/>
    <w:rsid w:val="004C7089"/>
    <w:rsid w:val="004D620B"/>
    <w:rsid w:val="004D7E25"/>
    <w:rsid w:val="004F265B"/>
    <w:rsid w:val="00500AC6"/>
    <w:rsid w:val="00502641"/>
    <w:rsid w:val="00503D8E"/>
    <w:rsid w:val="00520917"/>
    <w:rsid w:val="0054578F"/>
    <w:rsid w:val="00556318"/>
    <w:rsid w:val="0056630A"/>
    <w:rsid w:val="00573DD9"/>
    <w:rsid w:val="00583EC1"/>
    <w:rsid w:val="005C6768"/>
    <w:rsid w:val="005E4871"/>
    <w:rsid w:val="00601C8A"/>
    <w:rsid w:val="00617AA2"/>
    <w:rsid w:val="00621AF0"/>
    <w:rsid w:val="006257E5"/>
    <w:rsid w:val="00634C25"/>
    <w:rsid w:val="0063542E"/>
    <w:rsid w:val="00637469"/>
    <w:rsid w:val="006374D4"/>
    <w:rsid w:val="006416AB"/>
    <w:rsid w:val="00642FA9"/>
    <w:rsid w:val="0065373D"/>
    <w:rsid w:val="00660445"/>
    <w:rsid w:val="00664F73"/>
    <w:rsid w:val="00666974"/>
    <w:rsid w:val="006768E9"/>
    <w:rsid w:val="00687982"/>
    <w:rsid w:val="006A71F2"/>
    <w:rsid w:val="006B3EC8"/>
    <w:rsid w:val="006B72B0"/>
    <w:rsid w:val="006C712F"/>
    <w:rsid w:val="006D286E"/>
    <w:rsid w:val="006D695E"/>
    <w:rsid w:val="00725A6A"/>
    <w:rsid w:val="007706A6"/>
    <w:rsid w:val="007943F3"/>
    <w:rsid w:val="00795088"/>
    <w:rsid w:val="007A0583"/>
    <w:rsid w:val="007A1A63"/>
    <w:rsid w:val="007A738C"/>
    <w:rsid w:val="007B1349"/>
    <w:rsid w:val="007D45AC"/>
    <w:rsid w:val="007D4BAB"/>
    <w:rsid w:val="007D517A"/>
    <w:rsid w:val="007E25BD"/>
    <w:rsid w:val="007F72D6"/>
    <w:rsid w:val="00802C35"/>
    <w:rsid w:val="008146EC"/>
    <w:rsid w:val="0082181A"/>
    <w:rsid w:val="0082457A"/>
    <w:rsid w:val="00825624"/>
    <w:rsid w:val="0083587A"/>
    <w:rsid w:val="00857D07"/>
    <w:rsid w:val="008627FC"/>
    <w:rsid w:val="00866B2A"/>
    <w:rsid w:val="00883CC3"/>
    <w:rsid w:val="00892A3D"/>
    <w:rsid w:val="008B1A7E"/>
    <w:rsid w:val="008B470E"/>
    <w:rsid w:val="008B5904"/>
    <w:rsid w:val="008D1880"/>
    <w:rsid w:val="008D29BF"/>
    <w:rsid w:val="008E1211"/>
    <w:rsid w:val="008E21E4"/>
    <w:rsid w:val="008E5BBF"/>
    <w:rsid w:val="008E6968"/>
    <w:rsid w:val="008F45FE"/>
    <w:rsid w:val="0091237C"/>
    <w:rsid w:val="009211AF"/>
    <w:rsid w:val="00921742"/>
    <w:rsid w:val="009218F5"/>
    <w:rsid w:val="009357B8"/>
    <w:rsid w:val="00937C40"/>
    <w:rsid w:val="00942264"/>
    <w:rsid w:val="009660F4"/>
    <w:rsid w:val="00967F0D"/>
    <w:rsid w:val="00981A8E"/>
    <w:rsid w:val="009866F6"/>
    <w:rsid w:val="00996D8A"/>
    <w:rsid w:val="009B0F4A"/>
    <w:rsid w:val="009B3139"/>
    <w:rsid w:val="009B63F8"/>
    <w:rsid w:val="009D030D"/>
    <w:rsid w:val="009D4EA9"/>
    <w:rsid w:val="00A030E0"/>
    <w:rsid w:val="00A049C6"/>
    <w:rsid w:val="00A14DB9"/>
    <w:rsid w:val="00A4477E"/>
    <w:rsid w:val="00A461B2"/>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4069E"/>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31FAA"/>
    <w:rsid w:val="00C74D67"/>
    <w:rsid w:val="00C930EB"/>
    <w:rsid w:val="00C94D92"/>
    <w:rsid w:val="00C97340"/>
    <w:rsid w:val="00CA513F"/>
    <w:rsid w:val="00CB3AA6"/>
    <w:rsid w:val="00CC7A19"/>
    <w:rsid w:val="00CE203C"/>
    <w:rsid w:val="00CE2BC6"/>
    <w:rsid w:val="00CF05FF"/>
    <w:rsid w:val="00CF0B0A"/>
    <w:rsid w:val="00CF3708"/>
    <w:rsid w:val="00D10C6A"/>
    <w:rsid w:val="00D257FB"/>
    <w:rsid w:val="00D340BB"/>
    <w:rsid w:val="00D34708"/>
    <w:rsid w:val="00D46D8F"/>
    <w:rsid w:val="00D505D5"/>
    <w:rsid w:val="00D613A2"/>
    <w:rsid w:val="00D6781A"/>
    <w:rsid w:val="00D75B35"/>
    <w:rsid w:val="00D76E09"/>
    <w:rsid w:val="00D9736F"/>
    <w:rsid w:val="00D9792A"/>
    <w:rsid w:val="00DB10A3"/>
    <w:rsid w:val="00DD0CD5"/>
    <w:rsid w:val="00DD377F"/>
    <w:rsid w:val="00DD7C38"/>
    <w:rsid w:val="00DF1E96"/>
    <w:rsid w:val="00E25547"/>
    <w:rsid w:val="00E3287E"/>
    <w:rsid w:val="00E54D12"/>
    <w:rsid w:val="00E643A0"/>
    <w:rsid w:val="00E6510F"/>
    <w:rsid w:val="00E66197"/>
    <w:rsid w:val="00EA5189"/>
    <w:rsid w:val="00F121A0"/>
    <w:rsid w:val="00F16462"/>
    <w:rsid w:val="00F31093"/>
    <w:rsid w:val="00F318AC"/>
    <w:rsid w:val="00F33AB1"/>
    <w:rsid w:val="00F375E3"/>
    <w:rsid w:val="00F412AF"/>
    <w:rsid w:val="00F43307"/>
    <w:rsid w:val="00F43667"/>
    <w:rsid w:val="00F447A7"/>
    <w:rsid w:val="00F4760B"/>
    <w:rsid w:val="00F7499C"/>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9B63F8"/>
  </w:style>
  <w:style w:type="table" w:customStyle="1" w:styleId="LightShading1">
    <w:name w:val="Light Shading1"/>
    <w:basedOn w:val="TableNormal"/>
    <w:uiPriority w:val="60"/>
    <w:rsid w:val="009B63F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9B63F8"/>
    <w:pPr>
      <w:spacing w:before="100" w:beforeAutospacing="1" w:after="100" w:afterAutospacing="1" w:line="240" w:lineRule="auto"/>
    </w:pPr>
    <w:rPr>
      <w:rFonts w:ascii="Times New Roman" w:hAnsi="Times New Roman"/>
      <w:sz w:val="24"/>
      <w:szCs w:val="24"/>
      <w:lang w:eastAsia="ko-KR" w:bidi="ar-SA"/>
    </w:rPr>
  </w:style>
  <w:style w:type="character" w:customStyle="1" w:styleId="normaltextrun">
    <w:name w:val="normaltextrun"/>
    <w:basedOn w:val="DefaultParagraphFont"/>
    <w:rsid w:val="009B63F8"/>
  </w:style>
  <w:style w:type="character" w:customStyle="1" w:styleId="eop">
    <w:name w:val="eop"/>
    <w:basedOn w:val="DefaultParagraphFont"/>
    <w:rsid w:val="009B63F8"/>
  </w:style>
  <w:style w:type="paragraph" w:customStyle="1" w:styleId="paragraph">
    <w:name w:val="paragraph"/>
    <w:basedOn w:val="Normal"/>
    <w:rsid w:val="009B63F8"/>
    <w:pPr>
      <w:spacing w:before="100" w:beforeAutospacing="1" w:after="100" w:afterAutospacing="1" w:line="240" w:lineRule="auto"/>
    </w:pPr>
    <w:rPr>
      <w:rFonts w:ascii="Times New Roman" w:hAnsi="Times New Roman"/>
      <w:sz w:val="24"/>
      <w:szCs w:val="24"/>
      <w:lang w:eastAsia="ko-KR" w:bidi="ar-SA"/>
    </w:rPr>
  </w:style>
  <w:style w:type="table" w:customStyle="1" w:styleId="TableGrid1">
    <w:name w:val="Table Grid1"/>
    <w:basedOn w:val="TableNormal"/>
    <w:next w:val="TableGrid"/>
    <w:uiPriority w:val="39"/>
    <w:rsid w:val="009B63F8"/>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39938025">
    <w:name w:val="scxw239938025"/>
    <w:basedOn w:val="DefaultParagraphFont"/>
    <w:rsid w:val="009B63F8"/>
  </w:style>
  <w:style w:type="character" w:styleId="UnresolvedMention">
    <w:name w:val="Unresolved Mention"/>
    <w:basedOn w:val="DefaultParagraphFont"/>
    <w:uiPriority w:val="99"/>
    <w:semiHidden/>
    <w:unhideWhenUsed/>
    <w:rsid w:val="009B63F8"/>
    <w:rPr>
      <w:color w:val="605E5C"/>
      <w:shd w:val="clear" w:color="auto" w:fill="E1DFDD"/>
    </w:rPr>
  </w:style>
  <w:style w:type="table" w:styleId="TableGrid">
    <w:name w:val="Table Grid"/>
    <w:basedOn w:val="TableNormal"/>
    <w:uiPriority w:val="59"/>
    <w:rsid w:val="009B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4196</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5</cp:revision>
  <dcterms:created xsi:type="dcterms:W3CDTF">2022-07-26T02:10:00Z</dcterms:created>
  <dcterms:modified xsi:type="dcterms:W3CDTF">2022-08-19T02:14:00Z</dcterms:modified>
</cp:coreProperties>
</file>