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0B5547">
      <w:pPr>
        <w:spacing w:after="0"/>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0B5547">
      <w:pPr>
        <w:spacing w:after="0"/>
        <w:jc w:val="center"/>
        <w:rPr>
          <w:rFonts w:ascii="Times New Roman" w:hAnsi="Times New Roman"/>
          <w:noProof/>
          <w:sz w:val="20"/>
          <w:szCs w:val="20"/>
          <w:lang w:bidi="ar-SA"/>
        </w:rPr>
      </w:pPr>
    </w:p>
    <w:p w14:paraId="010C75F2" w14:textId="5A689BBD" w:rsidR="00272C5A" w:rsidRPr="008C1C6D" w:rsidRDefault="00E30C25" w:rsidP="000B5547">
      <w:pPr>
        <w:spacing w:after="0"/>
        <w:jc w:val="center"/>
        <w:outlineLvl w:val="0"/>
        <w:rPr>
          <w:rFonts w:asciiTheme="majorBidi" w:hAnsiTheme="majorBidi" w:cstheme="majorBidi"/>
          <w:sz w:val="28"/>
          <w:szCs w:val="28"/>
        </w:rPr>
      </w:pPr>
      <w:bookmarkStart w:id="0" w:name="_Hlk109431962"/>
      <w:r w:rsidRPr="00E30C25">
        <w:rPr>
          <w:rFonts w:asciiTheme="majorBidi" w:hAnsiTheme="majorBidi" w:cstheme="majorBidi"/>
          <w:sz w:val="28"/>
          <w:szCs w:val="28"/>
        </w:rPr>
        <w:t>ASSESSMENT OF METALS IN SEDIMENT OF A MONSOON-DOMINATED REGION IN THE NORTHERN MALACCA STRAIT</w:t>
      </w:r>
    </w:p>
    <w:bookmarkEnd w:id="0"/>
    <w:p w14:paraId="349D3987" w14:textId="77777777" w:rsidR="006768E9" w:rsidRPr="008C1C6D" w:rsidRDefault="006768E9" w:rsidP="000B5547">
      <w:pPr>
        <w:spacing w:after="0"/>
        <w:rPr>
          <w:rFonts w:ascii="Times New Roman" w:hAnsi="Times New Roman"/>
          <w:noProof/>
          <w:sz w:val="24"/>
          <w:szCs w:val="24"/>
          <w:lang w:bidi="ar-SA"/>
        </w:rPr>
      </w:pPr>
    </w:p>
    <w:p w14:paraId="5FE939A9" w14:textId="11AD556A" w:rsidR="008C1C6D" w:rsidRPr="00705DA8" w:rsidRDefault="00597B38" w:rsidP="000B5547">
      <w:pPr>
        <w:spacing w:after="0"/>
        <w:jc w:val="center"/>
        <w:outlineLvl w:val="0"/>
        <w:rPr>
          <w:rFonts w:ascii="Times New Roman" w:hAnsi="Times New Roman"/>
          <w:noProof/>
          <w:sz w:val="24"/>
          <w:lang w:val="ms-MY"/>
        </w:rPr>
      </w:pPr>
      <w:r w:rsidRPr="00596EB8">
        <w:rPr>
          <w:rFonts w:ascii="Times New Roman" w:hAnsi="Times New Roman"/>
          <w:sz w:val="24"/>
          <w:lang w:val="en-GB"/>
        </w:rPr>
        <w:t>(</w:t>
      </w:r>
      <w:r w:rsidRPr="00D65E48">
        <w:rPr>
          <w:rFonts w:ascii="Times New Roman" w:hAnsi="Times New Roman"/>
          <w:noProof/>
          <w:sz w:val="24"/>
          <w:lang w:val="ms-MY"/>
        </w:rPr>
        <w:t xml:space="preserve">Penilaian Logam </w:t>
      </w:r>
      <w:r>
        <w:rPr>
          <w:rFonts w:ascii="Times New Roman" w:hAnsi="Times New Roman"/>
          <w:noProof/>
          <w:sz w:val="24"/>
          <w:lang w:val="ms-MY"/>
        </w:rPr>
        <w:t>d</w:t>
      </w:r>
      <w:r w:rsidRPr="00D65E48">
        <w:rPr>
          <w:rFonts w:ascii="Times New Roman" w:hAnsi="Times New Roman"/>
          <w:noProof/>
          <w:sz w:val="24"/>
          <w:lang w:val="ms-MY"/>
        </w:rPr>
        <w:t xml:space="preserve">alam Sedimen </w:t>
      </w:r>
      <w:r>
        <w:rPr>
          <w:rFonts w:ascii="Times New Roman" w:hAnsi="Times New Roman"/>
          <w:noProof/>
          <w:sz w:val="24"/>
          <w:lang w:val="ms-MY"/>
        </w:rPr>
        <w:t>d</w:t>
      </w:r>
      <w:r w:rsidRPr="00D65E48">
        <w:rPr>
          <w:rFonts w:ascii="Times New Roman" w:hAnsi="Times New Roman"/>
          <w:noProof/>
          <w:sz w:val="24"/>
          <w:lang w:val="ms-MY"/>
        </w:rPr>
        <w:t xml:space="preserve">i Wilayah </w:t>
      </w:r>
      <w:r>
        <w:rPr>
          <w:rFonts w:ascii="Times New Roman" w:hAnsi="Times New Roman"/>
          <w:noProof/>
          <w:sz w:val="24"/>
          <w:lang w:val="ms-MY"/>
        </w:rPr>
        <w:t>y</w:t>
      </w:r>
      <w:r w:rsidRPr="00D65E48">
        <w:rPr>
          <w:rFonts w:ascii="Times New Roman" w:hAnsi="Times New Roman"/>
          <w:noProof/>
          <w:sz w:val="24"/>
          <w:lang w:val="ms-MY"/>
        </w:rPr>
        <w:t xml:space="preserve">ang Didominasi Monsun </w:t>
      </w:r>
      <w:r>
        <w:rPr>
          <w:rFonts w:ascii="Times New Roman" w:hAnsi="Times New Roman"/>
          <w:noProof/>
          <w:sz w:val="24"/>
          <w:lang w:val="ms-MY"/>
        </w:rPr>
        <w:t>d</w:t>
      </w:r>
      <w:r w:rsidRPr="00D65E48">
        <w:rPr>
          <w:rFonts w:ascii="Times New Roman" w:hAnsi="Times New Roman"/>
          <w:noProof/>
          <w:sz w:val="24"/>
          <w:lang w:val="ms-MY"/>
        </w:rPr>
        <w:t>i Utara Selat Melaka)</w:t>
      </w:r>
    </w:p>
    <w:p w14:paraId="1155EFCC" w14:textId="77777777" w:rsidR="008C1C6D" w:rsidRPr="008C1C6D" w:rsidRDefault="008C1C6D" w:rsidP="000B5547">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6972A1D3"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noProof/>
          <w:kern w:val="2"/>
          <w:sz w:val="20"/>
          <w:szCs w:val="20"/>
          <w:lang w:val="ms-MY" w:eastAsia="ko-KR" w:bidi="ar-SA"/>
        </w:rPr>
      </w:pPr>
      <w:r w:rsidRPr="00EB10CC">
        <w:rPr>
          <w:rFonts w:ascii="Times New Roman" w:eastAsia="SimSun" w:hAnsi="Times New Roman"/>
          <w:noProof/>
          <w:kern w:val="2"/>
          <w:sz w:val="20"/>
          <w:szCs w:val="20"/>
          <w:lang w:val="ms-MY" w:eastAsia="ko-KR" w:bidi="ar-SA"/>
        </w:rPr>
        <w:t>Mohamad Arif Che Abd Rahim</w:t>
      </w:r>
      <w:r w:rsidRPr="00EB10CC">
        <w:rPr>
          <w:rFonts w:ascii="Times New Roman" w:eastAsia="SimSun" w:hAnsi="Times New Roman"/>
          <w:noProof/>
          <w:kern w:val="2"/>
          <w:sz w:val="20"/>
          <w:szCs w:val="20"/>
          <w:vertAlign w:val="superscript"/>
          <w:lang w:val="ms-MY" w:eastAsia="ko-KR" w:bidi="ar-SA"/>
        </w:rPr>
        <w:t>1</w:t>
      </w:r>
      <w:r w:rsidRPr="00EB10CC">
        <w:rPr>
          <w:rFonts w:ascii="Times New Roman" w:eastAsia="SimSun" w:hAnsi="Times New Roman"/>
          <w:noProof/>
          <w:kern w:val="2"/>
          <w:sz w:val="20"/>
          <w:szCs w:val="20"/>
          <w:lang w:val="ms-MY" w:eastAsia="ko-KR" w:bidi="ar-SA"/>
        </w:rPr>
        <w:t>, Shengfa Liu</w:t>
      </w:r>
      <w:r w:rsidRPr="00EB10CC">
        <w:rPr>
          <w:rFonts w:ascii="Times New Roman" w:eastAsia="SimSun" w:hAnsi="Times New Roman"/>
          <w:noProof/>
          <w:kern w:val="2"/>
          <w:sz w:val="20"/>
          <w:szCs w:val="20"/>
          <w:vertAlign w:val="superscript"/>
          <w:lang w:val="ms-MY" w:eastAsia="ko-KR" w:bidi="ar-SA"/>
        </w:rPr>
        <w:t>2,3</w:t>
      </w:r>
      <w:r w:rsidRPr="00EB10CC">
        <w:rPr>
          <w:rFonts w:ascii="Times New Roman" w:eastAsia="SimSun" w:hAnsi="Times New Roman"/>
          <w:noProof/>
          <w:kern w:val="2"/>
          <w:sz w:val="20"/>
          <w:szCs w:val="20"/>
          <w:lang w:val="ms-MY" w:eastAsia="ko-KR" w:bidi="ar-SA"/>
        </w:rPr>
        <w:t>, Xuefa Shi</w:t>
      </w:r>
      <w:r w:rsidRPr="00EB10CC">
        <w:rPr>
          <w:rFonts w:ascii="Times New Roman" w:eastAsia="SimSun" w:hAnsi="Times New Roman"/>
          <w:noProof/>
          <w:kern w:val="2"/>
          <w:sz w:val="20"/>
          <w:szCs w:val="20"/>
          <w:vertAlign w:val="superscript"/>
          <w:lang w:val="ms-MY" w:eastAsia="ko-KR" w:bidi="ar-SA"/>
        </w:rPr>
        <w:t>2,3</w:t>
      </w:r>
      <w:r w:rsidRPr="00EB10CC">
        <w:rPr>
          <w:rFonts w:ascii="Times New Roman" w:eastAsia="SimSun" w:hAnsi="Times New Roman"/>
          <w:noProof/>
          <w:kern w:val="2"/>
          <w:sz w:val="20"/>
          <w:szCs w:val="20"/>
          <w:lang w:val="ms-MY" w:eastAsia="ko-KR" w:bidi="ar-SA"/>
        </w:rPr>
        <w:t>, Che Abd Rahim Mohamed</w:t>
      </w:r>
      <w:r w:rsidRPr="00EB10CC">
        <w:rPr>
          <w:rFonts w:ascii="Times New Roman" w:eastAsia="SimSun" w:hAnsi="Times New Roman"/>
          <w:noProof/>
          <w:kern w:val="2"/>
          <w:sz w:val="20"/>
          <w:szCs w:val="20"/>
          <w:vertAlign w:val="superscript"/>
          <w:lang w:val="ms-MY" w:eastAsia="ko-KR" w:bidi="ar-SA"/>
        </w:rPr>
        <w:t>1*</w:t>
      </w:r>
    </w:p>
    <w:p w14:paraId="6DB6F976"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b/>
          <w:noProof/>
          <w:color w:val="FF0000"/>
          <w:kern w:val="2"/>
          <w:sz w:val="18"/>
          <w:szCs w:val="18"/>
          <w:lang w:val="ms-MY" w:eastAsia="ko-KR" w:bidi="ar-SA"/>
        </w:rPr>
      </w:pPr>
    </w:p>
    <w:p w14:paraId="1F8D0D98"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1</w:t>
      </w:r>
      <w:r w:rsidRPr="00EB10CC">
        <w:rPr>
          <w:rFonts w:ascii="Times New Roman" w:eastAsia="SimSun" w:hAnsi="Times New Roman"/>
          <w:i/>
          <w:noProof/>
          <w:kern w:val="2"/>
          <w:sz w:val="18"/>
          <w:szCs w:val="18"/>
          <w:lang w:val="ms-MY" w:eastAsia="ko-KR" w:bidi="ar-SA"/>
        </w:rPr>
        <w:t>Faculty of Science and Technology,</w:t>
      </w:r>
    </w:p>
    <w:p w14:paraId="014F3F16"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lang w:val="ms-MY" w:eastAsia="ko-KR" w:bidi="ar-SA"/>
        </w:rPr>
        <w:t xml:space="preserve"> Universiti Kebangsaan Malaysia, 43600 UKM Bangi, Selangor, Malaysia</w:t>
      </w:r>
    </w:p>
    <w:p w14:paraId="5833F1AD"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2</w:t>
      </w:r>
      <w:r w:rsidRPr="00EB10CC">
        <w:rPr>
          <w:rFonts w:ascii="Times New Roman" w:eastAsia="SimSun" w:hAnsi="Times New Roman"/>
          <w:i/>
          <w:noProof/>
          <w:kern w:val="2"/>
          <w:sz w:val="18"/>
          <w:szCs w:val="18"/>
          <w:lang w:val="ms-MY" w:eastAsia="ko-KR" w:bidi="ar-SA"/>
        </w:rPr>
        <w:t xml:space="preserve">Key Laboratory of Marine Geology and Metallogeny, </w:t>
      </w:r>
    </w:p>
    <w:p w14:paraId="5BCB6D03"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lang w:val="ms-MY" w:eastAsia="ko-KR" w:bidi="ar-SA"/>
        </w:rPr>
        <w:t>First Institute of Oceanography, Ministry of Natural Resources, Qingdao, China</w:t>
      </w:r>
    </w:p>
    <w:p w14:paraId="2621F85D"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3</w:t>
      </w:r>
      <w:r w:rsidRPr="00EB10CC">
        <w:rPr>
          <w:rFonts w:ascii="Times New Roman" w:eastAsia="SimSun" w:hAnsi="Times New Roman"/>
          <w:i/>
          <w:noProof/>
          <w:kern w:val="2"/>
          <w:sz w:val="18"/>
          <w:szCs w:val="18"/>
          <w:lang w:val="ms-MY" w:eastAsia="ko-KR" w:bidi="ar-SA"/>
        </w:rPr>
        <w:t>Laboratory for Marine Geology,</w:t>
      </w:r>
    </w:p>
    <w:p w14:paraId="0041CD53"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b/>
          <w:noProof/>
          <w:color w:val="548DD4"/>
          <w:kern w:val="2"/>
          <w:sz w:val="20"/>
          <w:szCs w:val="20"/>
          <w:lang w:val="ms-MY" w:eastAsia="ko-KR" w:bidi="ar-SA"/>
        </w:rPr>
      </w:pPr>
      <w:r w:rsidRPr="00EB10CC">
        <w:rPr>
          <w:rFonts w:ascii="Times New Roman" w:eastAsia="SimSun" w:hAnsi="Times New Roman"/>
          <w:i/>
          <w:noProof/>
          <w:kern w:val="2"/>
          <w:sz w:val="18"/>
          <w:szCs w:val="18"/>
          <w:lang w:val="ms-MY" w:eastAsia="ko-KR" w:bidi="ar-SA"/>
        </w:rPr>
        <w:t>Qingdao National Laboratory for Marine Science and Technology, Qingdao, China</w:t>
      </w:r>
    </w:p>
    <w:p w14:paraId="776E8BD7"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b/>
          <w:noProof/>
          <w:color w:val="548DD4"/>
          <w:kern w:val="2"/>
          <w:sz w:val="18"/>
          <w:szCs w:val="18"/>
          <w:lang w:val="ms-MY" w:eastAsia="ko-KR" w:bidi="ar-SA"/>
        </w:rPr>
      </w:pPr>
    </w:p>
    <w:p w14:paraId="02A90B66" w14:textId="0037EDDC" w:rsidR="008C1C6D" w:rsidRPr="00EB10CC" w:rsidRDefault="00EB10CC" w:rsidP="000B5547">
      <w:pPr>
        <w:widowControl w:val="0"/>
        <w:wordWrap w:val="0"/>
        <w:autoSpaceDE w:val="0"/>
        <w:autoSpaceDN w:val="0"/>
        <w:spacing w:after="0"/>
        <w:jc w:val="center"/>
        <w:outlineLvl w:val="0"/>
        <w:rPr>
          <w:rFonts w:ascii="Times New Roman" w:eastAsia="SimSun" w:hAnsi="Times New Roman"/>
          <w:i/>
          <w:noProof/>
          <w:color w:val="548DD4"/>
          <w:kern w:val="2"/>
          <w:sz w:val="18"/>
          <w:lang w:val="ms-MY" w:eastAsia="ko-KR" w:bidi="ar-SA"/>
        </w:rPr>
      </w:pPr>
      <w:r w:rsidRPr="00EB10CC">
        <w:rPr>
          <w:rFonts w:ascii="Times New Roman" w:eastAsia="SimSun" w:hAnsi="Times New Roman"/>
          <w:i/>
          <w:noProof/>
          <w:kern w:val="2"/>
          <w:sz w:val="18"/>
          <w:vertAlign w:val="superscript"/>
          <w:lang w:val="ms-MY" w:eastAsia="ko-KR" w:bidi="ar-SA"/>
        </w:rPr>
        <w:t>*</w:t>
      </w:r>
      <w:r w:rsidRPr="00EB10CC">
        <w:rPr>
          <w:rFonts w:ascii="Times New Roman" w:eastAsia="SimSun" w:hAnsi="Times New Roman"/>
          <w:i/>
          <w:noProof/>
          <w:kern w:val="2"/>
          <w:sz w:val="18"/>
          <w:lang w:val="ms-MY" w:eastAsia="ko-KR" w:bidi="ar-SA"/>
        </w:rPr>
        <w:t xml:space="preserve">Corresponding author: carmohd@ukm.edu.my  </w:t>
      </w:r>
    </w:p>
    <w:p w14:paraId="18D54BE3" w14:textId="0C68965C" w:rsidR="006768E9" w:rsidRDefault="006768E9" w:rsidP="000B5547">
      <w:pPr>
        <w:spacing w:after="0"/>
        <w:jc w:val="center"/>
        <w:rPr>
          <w:rFonts w:ascii="Times New Roman" w:hAnsi="Times New Roman"/>
          <w:noProof/>
          <w:sz w:val="18"/>
          <w:szCs w:val="18"/>
          <w:lang w:bidi="ar-SA"/>
        </w:rPr>
      </w:pPr>
    </w:p>
    <w:p w14:paraId="235CF43B" w14:textId="77777777" w:rsidR="001F3367" w:rsidRDefault="001F3367" w:rsidP="000B5547">
      <w:pPr>
        <w:spacing w:after="0"/>
        <w:jc w:val="center"/>
        <w:rPr>
          <w:rFonts w:ascii="Times New Roman" w:hAnsi="Times New Roman"/>
          <w:noProof/>
          <w:sz w:val="18"/>
          <w:szCs w:val="18"/>
          <w:lang w:bidi="ar-SA"/>
        </w:rPr>
      </w:pPr>
    </w:p>
    <w:p w14:paraId="49CD0BC5" w14:textId="664F3C19" w:rsidR="00BA1F7B" w:rsidRDefault="00BA1F7B" w:rsidP="000B554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16962">
        <w:rPr>
          <w:rFonts w:ascii="Times New Roman" w:hAnsi="Times New Roman"/>
          <w:noProof/>
          <w:sz w:val="18"/>
          <w:szCs w:val="18"/>
          <w:lang w:bidi="ar-SA"/>
        </w:rPr>
        <w:t>23</w:t>
      </w:r>
      <w:r w:rsidR="00091B06">
        <w:rPr>
          <w:rFonts w:ascii="Times New Roman" w:hAnsi="Times New Roman"/>
          <w:noProof/>
          <w:sz w:val="18"/>
          <w:szCs w:val="18"/>
          <w:lang w:bidi="ar-SA"/>
        </w:rPr>
        <w:t xml:space="preserve"> </w:t>
      </w:r>
      <w:r w:rsidR="00816962">
        <w:rPr>
          <w:rFonts w:ascii="Times New Roman" w:hAnsi="Times New Roman"/>
          <w:noProof/>
          <w:sz w:val="18"/>
          <w:szCs w:val="18"/>
          <w:lang w:bidi="ar-SA"/>
        </w:rPr>
        <w:t>March</w:t>
      </w:r>
      <w:r w:rsidR="00430237">
        <w:rPr>
          <w:rFonts w:ascii="Times New Roman" w:hAnsi="Times New Roman"/>
          <w:noProof/>
          <w:sz w:val="18"/>
          <w:szCs w:val="18"/>
          <w:lang w:bidi="ar-SA"/>
        </w:rPr>
        <w:t xml:space="preserve"> 202</w:t>
      </w:r>
      <w:r w:rsidR="00816962">
        <w:rPr>
          <w:rFonts w:ascii="Times New Roman" w:hAnsi="Times New Roman"/>
          <w:noProof/>
          <w:sz w:val="18"/>
          <w:szCs w:val="18"/>
          <w:lang w:bidi="ar-SA"/>
        </w:rPr>
        <w:t>2</w:t>
      </w:r>
      <w:r>
        <w:rPr>
          <w:rFonts w:ascii="Times New Roman" w:hAnsi="Times New Roman"/>
          <w:noProof/>
          <w:sz w:val="18"/>
          <w:szCs w:val="18"/>
          <w:lang w:bidi="ar-SA"/>
        </w:rPr>
        <w:t xml:space="preserve">; Accepted: </w:t>
      </w:r>
      <w:r w:rsidR="00E9038F">
        <w:rPr>
          <w:rFonts w:ascii="Times New Roman" w:hAnsi="Times New Roman"/>
          <w:noProof/>
          <w:sz w:val="18"/>
          <w:szCs w:val="18"/>
          <w:lang w:bidi="ar-SA"/>
        </w:rPr>
        <w:t>1</w:t>
      </w:r>
      <w:r w:rsidR="00816962">
        <w:rPr>
          <w:rFonts w:ascii="Times New Roman" w:hAnsi="Times New Roman"/>
          <w:noProof/>
          <w:sz w:val="18"/>
          <w:szCs w:val="18"/>
          <w:lang w:bidi="ar-SA"/>
        </w:rPr>
        <w:t>8 May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72638B" w:rsidRPr="00343CA5">
        <w:rPr>
          <w:rFonts w:ascii="Times New Roman" w:hAnsi="Times New Roman"/>
          <w:noProof/>
          <w:sz w:val="18"/>
          <w:szCs w:val="18"/>
          <w:lang w:bidi="ar-SA"/>
        </w:rPr>
        <w:t>Published:</w:t>
      </w:r>
      <w:r w:rsidR="0072638B">
        <w:rPr>
          <w:rFonts w:ascii="Times New Roman" w:hAnsi="Times New Roman"/>
          <w:noProof/>
          <w:sz w:val="18"/>
          <w:szCs w:val="18"/>
          <w:lang w:bidi="ar-SA"/>
        </w:rPr>
        <w:t xml:space="preserve"> </w:t>
      </w:r>
      <w:r w:rsidR="0072638B" w:rsidRPr="009618D3">
        <w:rPr>
          <w:rFonts w:ascii="Times New Roman" w:hAnsi="Times New Roman"/>
          <w:noProof/>
          <w:sz w:val="18"/>
          <w:szCs w:val="18"/>
          <w:lang w:bidi="ar-SA"/>
        </w:rPr>
        <w:t>xx</w:t>
      </w:r>
      <w:r w:rsidR="0072638B">
        <w:rPr>
          <w:rFonts w:ascii="Times New Roman" w:hAnsi="Times New Roman"/>
          <w:noProof/>
          <w:sz w:val="18"/>
          <w:szCs w:val="18"/>
          <w:lang w:bidi="ar-SA"/>
        </w:rPr>
        <w:t xml:space="preserve"> August 2022</w:t>
      </w:r>
    </w:p>
    <w:p w14:paraId="5A496945" w14:textId="2F531F7F" w:rsidR="00BA1F7B" w:rsidRDefault="00BA1F7B" w:rsidP="000B5547">
      <w:pPr>
        <w:spacing w:after="0"/>
        <w:jc w:val="center"/>
        <w:rPr>
          <w:rFonts w:ascii="Times New Roman" w:hAnsi="Times New Roman"/>
          <w:noProof/>
          <w:sz w:val="18"/>
          <w:szCs w:val="18"/>
          <w:lang w:bidi="ar-SA"/>
        </w:rPr>
      </w:pPr>
    </w:p>
    <w:p w14:paraId="22EC0D00" w14:textId="7E6636CE" w:rsidR="00F94678" w:rsidRDefault="00F94678" w:rsidP="000B5547">
      <w:pPr>
        <w:spacing w:after="0"/>
        <w:jc w:val="center"/>
        <w:rPr>
          <w:rFonts w:ascii="Times New Roman" w:hAnsi="Times New Roman"/>
          <w:noProof/>
          <w:sz w:val="18"/>
          <w:szCs w:val="18"/>
          <w:lang w:bidi="ar-SA"/>
        </w:rPr>
      </w:pPr>
    </w:p>
    <w:p w14:paraId="5A27241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18"/>
          <w:szCs w:val="18"/>
          <w:lang w:val="en-GB" w:eastAsia="ko-KR" w:bidi="ar-SA"/>
        </w:rPr>
      </w:pPr>
      <w:r w:rsidRPr="00F46218">
        <w:rPr>
          <w:rFonts w:ascii="Times New Roman" w:eastAsia="SimSun" w:hAnsi="Times New Roman"/>
          <w:b/>
          <w:kern w:val="2"/>
          <w:sz w:val="18"/>
          <w:szCs w:val="18"/>
          <w:lang w:val="en-GB" w:eastAsia="ko-KR" w:bidi="ar-SA"/>
        </w:rPr>
        <w:t>Abstract</w:t>
      </w:r>
    </w:p>
    <w:p w14:paraId="2AA127BB"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18"/>
          <w:szCs w:val="18"/>
          <w:lang w:val="en-GB" w:eastAsia="ko-KR" w:bidi="ar-SA"/>
        </w:rPr>
      </w:pPr>
      <w:r w:rsidRPr="00F46218">
        <w:rPr>
          <w:rFonts w:ascii="Times New Roman" w:eastAsia="SimSun" w:hAnsi="Times New Roman"/>
          <w:kern w:val="2"/>
          <w:sz w:val="18"/>
          <w:szCs w:val="18"/>
          <w:lang w:val="en-GB" w:eastAsia="ko-KR" w:bidi="ar-SA"/>
        </w:rPr>
        <w:t>Fluctuation levels of geochemical elements, sediment texture and nutrients were analysed from five surface sediments taken from the northern Malacca Straits. These samples were obtained during the RV Discovery Scientific cruises in September 2017 and April 2018, to assess pollution sources during monsoonal events. The results show a high output of clay and silt, revealing that the monsoonal season and cross-shelf inputs affect textural sediment. On the other hand, fluctuations in geochemical concentrations are due to industrialisation and urbanisation along the Malacca Straits, contributed by the local drainage basin. The presence of the monsoon also affects the diffusivity and absorption between the water-sediment interfaces, leading to constant fluctuation along the straits. Principal Component Analysis (PCA) of the association between the geochemical elements, sediment texture and nutrients reveal hydrological factors, mobility and accumulation through the sediment interface.</w:t>
      </w:r>
    </w:p>
    <w:p w14:paraId="037DF77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18"/>
          <w:szCs w:val="18"/>
          <w:lang w:val="en-GB" w:eastAsia="ko-KR" w:bidi="ar-SA"/>
        </w:rPr>
      </w:pPr>
    </w:p>
    <w:p w14:paraId="128A80F8"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color w:val="548DD4"/>
          <w:kern w:val="2"/>
          <w:sz w:val="18"/>
          <w:szCs w:val="18"/>
          <w:lang w:val="en-GB" w:eastAsia="ko-KR" w:bidi="ar-SA"/>
        </w:rPr>
      </w:pPr>
      <w:r w:rsidRPr="00F46218">
        <w:rPr>
          <w:rFonts w:ascii="Times New Roman" w:eastAsia="SimSun" w:hAnsi="Times New Roman"/>
          <w:b/>
          <w:kern w:val="2"/>
          <w:sz w:val="18"/>
          <w:szCs w:val="18"/>
          <w:lang w:val="en-GB" w:eastAsia="ko-KR" w:bidi="ar-SA"/>
        </w:rPr>
        <w:t>Keywords</w:t>
      </w:r>
      <w:r w:rsidRPr="00F46218">
        <w:rPr>
          <w:rFonts w:ascii="Times New Roman" w:eastAsia="SimSun" w:hAnsi="Times New Roman"/>
          <w:b/>
          <w:bCs/>
          <w:kern w:val="2"/>
          <w:sz w:val="18"/>
          <w:szCs w:val="18"/>
          <w:lang w:val="en-GB" w:eastAsia="ko-KR" w:bidi="ar-SA"/>
        </w:rPr>
        <w:t>:</w:t>
      </w:r>
      <w:r w:rsidRPr="00F46218">
        <w:rPr>
          <w:rFonts w:ascii="Times New Roman" w:eastAsia="SimSun" w:hAnsi="Times New Roman"/>
          <w:kern w:val="2"/>
          <w:sz w:val="18"/>
          <w:szCs w:val="18"/>
          <w:lang w:val="en-GB" w:eastAsia="ko-KR" w:bidi="ar-SA"/>
        </w:rPr>
        <w:t xml:space="preserve"> weathering, pollution, monsoon, sediment, Malacca Strait </w:t>
      </w:r>
    </w:p>
    <w:p w14:paraId="6682788B"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color w:val="548DD4"/>
          <w:kern w:val="2"/>
          <w:sz w:val="18"/>
          <w:szCs w:val="18"/>
          <w:lang w:val="en-GB" w:eastAsia="ko-KR" w:bidi="ar-SA"/>
        </w:rPr>
      </w:pPr>
    </w:p>
    <w:p w14:paraId="36574D28"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F46218">
        <w:rPr>
          <w:rFonts w:ascii="Times New Roman" w:eastAsia="SimSun" w:hAnsi="Times New Roman"/>
          <w:b/>
          <w:noProof/>
          <w:kern w:val="2"/>
          <w:sz w:val="18"/>
          <w:szCs w:val="18"/>
          <w:lang w:val="ms-MY" w:eastAsia="ko-KR" w:bidi="ar-SA"/>
        </w:rPr>
        <w:t>Abstrak</w:t>
      </w:r>
    </w:p>
    <w:p w14:paraId="4E37B725"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r w:rsidRPr="00F46218">
        <w:rPr>
          <w:rFonts w:ascii="Times New Roman" w:eastAsia="SimSun" w:hAnsi="Times New Roman"/>
          <w:noProof/>
          <w:kern w:val="2"/>
          <w:sz w:val="18"/>
          <w:szCs w:val="18"/>
          <w:lang w:val="ms-MY" w:eastAsia="ko-KR" w:bidi="ar-SA"/>
        </w:rPr>
        <w:t>Tahap kepekatan unsur geokimia, tekstur sedimen dan nutrien telah dianalisis daripada lima sedimen permukaan yang diambil dari kawasan utara Selat Melaka. Sampel ini diperoleh semasa pelayaran RV Discovery Scientific pada September 2017 dan April 2018 untuk menilai sumber pencemaran semasa peristiwa monsun. Keputusan menunjukkan keluaran lempung dan kelodak yang lebih tinggi, menunjukkan bahawa musim monsun dan input rentas pelantar mempengaruhi sedimen tekstur. Sebaliknya, fluktuasi kepekatan geokimia adalah disebabkan oleh kawasan perindustrian dan pembandaran di sepanjang Selat Melaka, disumbangkan oleh lembangan saliran tempatan. Kehadiran monsun juga menjejaskan resapan dan penyerapan antara antara muka air-mendapan, yang membawa kepada fluktuasi yang berterusan di sepanjang selat. Analisis Komponen Utama (PCA) perkaitan antara unsur geokimia tekstur sedimen dan nutrien mendedahkan faktor hidrologi, mobiliti dan pengumpulan melalui antara muka sedimen.</w:t>
      </w:r>
    </w:p>
    <w:p w14:paraId="4A79E873"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4DA936CD" w14:textId="2D1171BE" w:rsidR="00494CAD" w:rsidRDefault="00F46218" w:rsidP="000B5547">
      <w:pPr>
        <w:widowControl w:val="0"/>
        <w:wordWrap w:val="0"/>
        <w:autoSpaceDE w:val="0"/>
        <w:autoSpaceDN w:val="0"/>
        <w:spacing w:after="0"/>
        <w:jc w:val="both"/>
        <w:outlineLvl w:val="0"/>
        <w:rPr>
          <w:rFonts w:ascii="Times New Roman" w:eastAsia="SimSun" w:hAnsi="Times New Roman"/>
          <w:bCs/>
          <w:noProof/>
          <w:kern w:val="2"/>
          <w:sz w:val="18"/>
          <w:szCs w:val="18"/>
          <w:lang w:val="ms-MY" w:eastAsia="ko-KR" w:bidi="ar-SA"/>
        </w:rPr>
        <w:sectPr w:rsidR="00494CAD" w:rsidSect="000B5547">
          <w:headerReference w:type="even" r:id="rId9"/>
          <w:headerReference w:type="default" r:id="rId10"/>
          <w:type w:val="oddPage"/>
          <w:pgSz w:w="12240" w:h="15840" w:code="1"/>
          <w:pgMar w:top="1800" w:right="1469" w:bottom="1699" w:left="1440" w:header="706" w:footer="706" w:gutter="0"/>
          <w:pgNumType w:start="1"/>
          <w:cols w:space="403"/>
          <w:docGrid w:linePitch="360"/>
        </w:sectPr>
      </w:pPr>
      <w:r w:rsidRPr="00F46218">
        <w:rPr>
          <w:rFonts w:ascii="Times New Roman" w:eastAsia="SimSun" w:hAnsi="Times New Roman"/>
          <w:b/>
          <w:noProof/>
          <w:kern w:val="2"/>
          <w:sz w:val="18"/>
          <w:szCs w:val="18"/>
          <w:lang w:val="ms-MY" w:eastAsia="ko-KR" w:bidi="ar-SA"/>
        </w:rPr>
        <w:t xml:space="preserve">Kata kunci: </w:t>
      </w:r>
      <w:r w:rsidRPr="00F46218">
        <w:rPr>
          <w:rFonts w:ascii="Times New Roman" w:eastAsia="SimSun" w:hAnsi="Times New Roman"/>
          <w:bCs/>
          <w:noProof/>
          <w:kern w:val="2"/>
          <w:sz w:val="18"/>
          <w:szCs w:val="18"/>
          <w:lang w:val="ms-MY" w:eastAsia="ko-KR" w:bidi="ar-SA"/>
        </w:rPr>
        <w:t>luluhawa, pencemaran, monsun, sedimen, Selat Melak</w:t>
      </w:r>
      <w:r w:rsidR="006E26D8">
        <w:rPr>
          <w:rFonts w:ascii="Times New Roman" w:eastAsia="SimSun" w:hAnsi="Times New Roman"/>
          <w:bCs/>
          <w:noProof/>
          <w:kern w:val="2"/>
          <w:sz w:val="18"/>
          <w:szCs w:val="18"/>
          <w:lang w:val="ms-MY" w:eastAsia="ko-KR" w:bidi="ar-SA"/>
        </w:rPr>
        <w:t>a</w:t>
      </w:r>
    </w:p>
    <w:p w14:paraId="1145541A" w14:textId="77777777" w:rsidR="006E26D8" w:rsidRDefault="006E26D8" w:rsidP="00494CAD">
      <w:pPr>
        <w:widowControl w:val="0"/>
        <w:wordWrap w:val="0"/>
        <w:autoSpaceDE w:val="0"/>
        <w:autoSpaceDN w:val="0"/>
        <w:spacing w:after="0"/>
        <w:outlineLvl w:val="0"/>
        <w:rPr>
          <w:rFonts w:ascii="Times New Roman" w:eastAsia="SimSun" w:hAnsi="Times New Roman"/>
          <w:b/>
          <w:kern w:val="2"/>
          <w:sz w:val="20"/>
          <w:lang w:val="en-GB" w:eastAsia="ko-KR" w:bidi="ar-SA"/>
        </w:rPr>
        <w:sectPr w:rsidR="006E26D8" w:rsidSect="000B5547">
          <w:type w:val="continuous"/>
          <w:pgSz w:w="12240" w:h="15840" w:code="1"/>
          <w:pgMar w:top="1800" w:right="1469" w:bottom="1699" w:left="1440" w:header="706" w:footer="706" w:gutter="0"/>
          <w:pgNumType w:start="1"/>
          <w:cols w:num="2" w:space="403"/>
          <w:docGrid w:linePitch="360"/>
        </w:sectPr>
      </w:pPr>
    </w:p>
    <w:p w14:paraId="249D031C" w14:textId="63BC61BA" w:rsidR="00F46218" w:rsidRPr="00F46218" w:rsidRDefault="00494CAD" w:rsidP="006E26D8">
      <w:pPr>
        <w:widowControl w:val="0"/>
        <w:wordWrap w:val="0"/>
        <w:autoSpaceDE w:val="0"/>
        <w:autoSpaceDN w:val="0"/>
        <w:spacing w:after="0"/>
        <w:jc w:val="center"/>
        <w:outlineLvl w:val="0"/>
        <w:rPr>
          <w:rFonts w:ascii="Times New Roman" w:eastAsia="SimSun" w:hAnsi="Times New Roman"/>
          <w:b/>
          <w:kern w:val="2"/>
          <w:sz w:val="20"/>
          <w:lang w:val="en-GB" w:eastAsia="ko-KR" w:bidi="ar-SA"/>
        </w:rPr>
      </w:pPr>
      <w:r>
        <w:rPr>
          <w:rFonts w:ascii="Times New Roman" w:eastAsia="SimSun" w:hAnsi="Times New Roman"/>
          <w:b/>
          <w:kern w:val="2"/>
          <w:sz w:val="20"/>
          <w:lang w:val="en-GB" w:eastAsia="ko-KR" w:bidi="ar-SA"/>
        </w:rPr>
        <w:lastRenderedPageBreak/>
        <w:t>I</w:t>
      </w:r>
      <w:r w:rsidR="00F46218" w:rsidRPr="00F46218">
        <w:rPr>
          <w:rFonts w:ascii="Times New Roman" w:eastAsia="SimSun" w:hAnsi="Times New Roman"/>
          <w:b/>
          <w:kern w:val="2"/>
          <w:sz w:val="20"/>
          <w:lang w:val="en-GB" w:eastAsia="ko-KR" w:bidi="ar-SA"/>
        </w:rPr>
        <w:t>ntroduction</w:t>
      </w:r>
    </w:p>
    <w:p w14:paraId="368D14C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Malacca Strait is located between the west coast of the Malaysian Peninsular and the east coast of Sumatra Island, and is connected with the Strait of Singapore at its south-eastern end. There are also smaller straits, such as the Johor Strait, </w:t>
      </w:r>
      <w:proofErr w:type="spellStart"/>
      <w:r w:rsidRPr="00F46218">
        <w:rPr>
          <w:rFonts w:ascii="Times New Roman" w:eastAsia="SimSun" w:hAnsi="Times New Roman"/>
          <w:kern w:val="2"/>
          <w:sz w:val="20"/>
          <w:szCs w:val="20"/>
          <w:lang w:val="en-GB" w:eastAsia="ko-KR" w:bidi="ar-SA"/>
        </w:rPr>
        <w:t>Bengkali</w:t>
      </w:r>
      <w:proofErr w:type="spellEnd"/>
      <w:r w:rsidRPr="00F46218">
        <w:rPr>
          <w:rFonts w:ascii="Times New Roman" w:eastAsia="SimSun" w:hAnsi="Times New Roman"/>
          <w:kern w:val="2"/>
          <w:sz w:val="20"/>
          <w:szCs w:val="20"/>
          <w:lang w:val="en-GB" w:eastAsia="ko-KR" w:bidi="ar-SA"/>
        </w:rPr>
        <w:t xml:space="preserve"> Strait and </w:t>
      </w:r>
      <w:proofErr w:type="spellStart"/>
      <w:r w:rsidRPr="00F46218">
        <w:rPr>
          <w:rFonts w:ascii="Times New Roman" w:eastAsia="SimSun" w:hAnsi="Times New Roman"/>
          <w:kern w:val="2"/>
          <w:sz w:val="20"/>
          <w:szCs w:val="20"/>
          <w:lang w:val="en-GB" w:eastAsia="ko-KR" w:bidi="ar-SA"/>
        </w:rPr>
        <w:t>Rupat</w:t>
      </w:r>
      <w:proofErr w:type="spellEnd"/>
      <w:r w:rsidRPr="00F46218">
        <w:rPr>
          <w:rFonts w:ascii="Times New Roman" w:eastAsia="SimSun" w:hAnsi="Times New Roman"/>
          <w:kern w:val="2"/>
          <w:sz w:val="20"/>
          <w:szCs w:val="20"/>
          <w:lang w:val="en-GB" w:eastAsia="ko-KR" w:bidi="ar-SA"/>
        </w:rPr>
        <w:t xml:space="preserve"> Strait. Together, these straits play an important role in international shipping routes linking the Indian Ocean to the Pacific Ocean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{"citationItems":[{"id":"ITEM-1","itemData":{"DOI":"10.1080/05679327208448254","ISBN":"0080432077","ISSN":"0567-932X","abstract":"The Malacca Straits have long been an important trade route linking the Indian Ocean to the South China Sea and Pacific Ocean. From the 7th to the 11th century, the Srivijaya empire controlled them, followed in the 15th century by the port kingdom of Malacca. Western maritime powers also recognised the strategic importance of the Straits, and in 1511, the Portuguese captured Malacca. In 1641, the Dutch occupied what is now known as Jakarta, and from the 17th to the 18th century, the Dutch East India company controlled the trade in the Straits (Ross et al., 1995). The British also recognised the need to control the Straits to ensure the safe passage of British merchant ships on their way to China, and in 1819 established a colony in Singapore. In 1824, the British and the Dutch ended their rivalry with a treaty whereby Britain agreed to 'safeguard the Straits and keep them open for other friendly nations' (Chia, 1998) In recent years, the Straits have become a very important trade route. In 1993 and 1995, over 100,000 oil and cargo vessels traversed through each year, carrying 3.23 million barrels of crude oil through the Straits each day (Sakura Institute of Research, 1998). Shipping accidents have been occurring more frequently recently, which is attributed to the heavy traffic in the Straits combined with shallow, narrow channels and shoals. Despite these hazards, economic efficiency dictates that vessels continue to use the Straits. The Straits are also rich in renewable and non-renewable resources, including productive coastal ecosystems, extensive capture fisheries, aquaculture, coastal tourism, mining and valuable natural gas reserves. This chapter looks at the natural environmental conditions and the status of the coastal resources, the sustainability of existing activities, critical environmental problems and management. It is based on the Malacca Straits Environmental Profile (Chua et al., 1997) and other studies undertaken by the GEF/UNDP/IMO Regional Programme for Marine Pollution Prevention and Management in the East Asian Seas, which is referred to as the Regional Programme in this document.","author":[{"dropping-particle":"","family":"Thia-Eng","given":"A.","non-dropping-particle":"","parse-names":false,"suffix":""},{"dropping-particle":"","family":"Gorre","given":"I. R.L.","non-dropping-particle":"","parse-names":false,"suffix":""},{"dropping-particle":"","family":"Ross","given":"S. A.","non-dropping-particle":"","parse-names":false,"suffix":""},{"dropping-particle":"","family":"Bernad","given":"S. R.","non-dropping-particle":"","parse-names":false,"suffix":""},{"dropping-particle":"","family":"Gervacio","given":"B.","non-dropping-particle":"","parse-names":false,"suffix":""},{"dropping-particle":"","family":"Ebarvia","given":"C.","non-dropping-particle":"","parse-names":false,"suffix":""}],"container-title":"Marine Pollution Bulletin","id":"ITEM-1","issued":{"date-parts":[["2000","10","2"]]},"page":"160-178","title":"The Malacca straits","type":"article-journal","volume":"41"},"uris":["http://www.mendeley.com/documents/?uuid=b4c50391-c466-4a08-8ea0-4a5c34c5163e"]}],"mendeley":{"formattedCitation":"[1]","plainTextFormattedCitation":"[1]","previouslyFormattedCitation":"[1]"},"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The tropical climate in the Malacca Strait results in an annual precipitation of 3000 mm yr</w:t>
      </w:r>
      <w:r w:rsidRPr="00F46218">
        <w:rPr>
          <w:rFonts w:ascii="Times New Roman" w:eastAsia="SimSun" w:hAnsi="Times New Roman"/>
          <w:kern w:val="2"/>
          <w:sz w:val="20"/>
          <w:szCs w:val="20"/>
          <w:vertAlign w:val="superscript"/>
          <w:lang w:val="en-GB" w:eastAsia="ko-KR" w:bidi="ar-SA"/>
        </w:rPr>
        <w:t>-1</w:t>
      </w:r>
      <w:r w:rsidRPr="00F46218">
        <w:rPr>
          <w:rFonts w:ascii="Times New Roman" w:eastAsia="SimSun" w:hAnsi="Times New Roman"/>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{"citationItems":[{"id":"ITEM-1","itemData":{"DOI":"10.1016/j.chemgeo.2011.11.015","ISBN":"0009-2541","ISSN":"00092541","abstract":"Clay mineralogy and major-element geochemistry were investigated on 58 surface sediment samples collected in 27 rivers draining Malay Peninsula, Borneo, and Sumatra to assess the chemical weathering process and its controlling factors in tropical Southeast Asia. The clay mineral assemblages show high kaolinite contents in Malay Peninsula (average 80%), Sumatra (58-78%), and South Borneo (41-55%), high illite contents in North Borneo (47-77%), and moderate smectite contents in Sumatra (6-29%). Intensive chemical weathering is identified in all three investigated regions from both clay mineralogical and geochemical (bulk and clay-fraction) results regardless of their various lithological and tectonic settings. Relatively, the chemical weathering intensity increases gradually from North Borneo to South Borneo, and further to Malay Peninsula and Sumatra. Our results suggest that the East Asian-Australian monsoon climatic condition with constant warm temperature and abundant precipitation throughout the year is the principal forcing factor on the chemical weathering, and the tectonic activity including mountain uplift, earthquakes, and volcanic eruptions and their specific lithological characters is only a subordinate factor on the intensity of chemical weathering in tropical Southeast Asia. © 2011 Elsevier B.V.","author":[{"dropping-particle":"","family":"Liu","given":"Zhifei","non-dropping-particle":"","parse-names":false,"suffix":""},{"dropping-particle":"","family":"Wang","given":"Hao","non-dropping-particle":"","parse-names":false,"suffix":""},{"dropping-particle":"","family":"Hantoro","given":"Wahyoe S.","non-dropping-particle":"","parse-names":false,"suffix":""},{"dropping-particle":"","family":"Sathiamurthy","given":"Edlic","non-dropping-particle":"","parse-names":false,"suffix":""},{"dropping-particle":"","family":"Colin","given":"Christophe","non-dropping-particle":"","parse-names":false,"suffix":""},{"dropping-particle":"","family":"Zhao","given":"Yulong","non-dropping-particle":"","parse-names":false,"suffix":""},{"dropping-particle":"","family":"Li","given":"Jianru","non-dropping-particle":"","parse-names":false,"suffix":""}],"container-title":"Chemical Geology","id":"ITEM-1","issued":{"date-parts":[["2012"]]},"note":"NULL","page":"1-12","publisher":"Elsevier B.V.","title":"Climatic and tectonic controls on chemical weathering in tropical Southeast Asia (Malay Peninsula, Borneo, and Sumatra)","type":"article-journal","volume":"291"},"uris":["http://www.mendeley.com/documents/?uuid=6e51ee0c-e5ca-4140-9d2e-ff4380b8ecc9"]}],"mendeley":{"formattedCitation":"[2]","plainTextFormattedCitation":"[2]","previouslyFormattedCitation":"[2]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leading to severe weathering on the adjacent peninsular. The tides and currents present in the Malacca Straits are mainly semi-diurnal, following the monsoonal current as the main force around the surrounding coast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{"citationItems":[{"id":"ITEM-1","itemData":{"DOI":"10.1016/j.heliyon.2020.e04828","ISSN":"24058440","abstract":"Oceanography, Computational mathematics, Earth Sciences, Environmental science, Geophysics, Three-dimensional model, M2 tides, semidiurnal tides, tidal circulation, Singapore Waters, South China Sea.","author":[{"dropping-particle":"","family":"Haditiar","given":"Yudi","non-dropping-particle":"","parse-names":false,"suffix":""},{"dropping-particle":"","family":"Putri","given":"Mutiara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Ikhwan","given":"Muhammad","non-dropping-particle":"","parse-names":false,"suffix":""},{"dropping-particle":"","family":"Rizal","given":"Syamsul","non-dropping-particle":"","parse-names":false,"suffix":""}],"container-title":"Heliyon","id":"ITEM-1","issue":"9","issued":{"date-parts":[["2020"]]},"page":"e04828","publisher":"Elsevier Ltd","title":"Numerical study of tides in the Malacca Strait with a 3-D model","type":"article-journal","volume":"6"},"uris":["http://www.mendeley.com/documents/?uuid=612da5a4-d9f6-4c89-bd6c-1c22628d1cdc"]}],"mendeley":{"formattedCitation":"[3]","plainTextFormattedCitation":"[3]","previouslyFormattedCitation":"[3]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Low to medium high turbidity has been recorded, with transparency ranging from 10 to 30 m. Primary productivity is influenced geographically but is constant throughout the whole year. Shallower water along the coastlines leads to vertical mixing and nutrient inputs from drainage basins adjacent to the Malacca Straits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{"citationItems":[{"id":"ITEM-1","itemData":{"DOI":"10.1016/j.csr.2005.09.008","ISSN":"02784343","abstract":"Purpose of review: The state of the actin cytoskeleton and adhesions of trabecular meshwork cells are important determinants of fluid outflow through the trabecular meshwork. Dysregulation of these subcellular structures or cell loss itself, is expected to adversely affect aqueous humour dynamics and intraocular pressure. This article reviews recent research into the regulation of the cytoskeleton and cell adhesions within the trabecular meshwork. Recent findings: Key cytoskeleton regulatory pathways in trabecular meshwork cells and their extracellular matrix significantly influence outflow facility. Integrins and matrix proteins play an important part in cell-matrix communication and mediate trabecular meshwork cytoskeletal changes. Increased cross-linking of the actin cytoskeleton may render the trabecular meshwork suffer and more resistant to aqueous outflow. In-vitro studies show that transforming growth factor-β induces actin stress fibres in trabecular meshwork cells, indicating that the cells become more contractile. Myocilin and the heparin II domain of fibronectin also influence the actin cytoskeleton. Mutated myocilin appears to affect trabecular meshwork cells differently from wild-type myocilin and can reduce cell survival. Reduced cell survival is also associated with primary open angle glaucoma, ageing, cellular senescence and oxidative insults. Summary: These findings represent advances in understanding physiological and pathogenic mechanisms within the trabecular meshwork that are relevant to intraocular pressure regulation in health and glaucoma. They pave the way for future research on the pathogenesis of glaucoma and new targets for glaucoma therapy. © 2006 Lippincott Williams &amp; Wilkins.","author":[{"dropping-particle":"","family":"Tan","given":"Chun Knee","non-dropping-particle":"","parse-names":false,"suffix":""},{"dropping-particle":"","family":"Ishizaka","given":"Joji","non-dropping-particle":"","parse-names":false,"suffix":""},{"dropping-particle":"","family":"Matsumura","given":"Satsuki","non-dropping-particle":"","parse-names":false,"suffix":""},{"dropping-particle":"","family":"Yusoff","given":"Fatimah Md.","non-dropping-particle":"","parse-names":false,"suffix":""},{"dropping-particle":"","family":"Mohamed","given":"Mohd. Ibrahim Hj.","non-dropping-particle":"","parse-names":false,"suffix":""}],"container-title":"Continental Shelf Research","id":"ITEM-1","issue":"2","issued":{"date-parts":[["2006","2"]]},"page":"168-178","title":"Seasonal variability of SeaWiFS chlorophyll a in the Malacca Straits in relation to Asian monsoon","type":"article-journal","volume":"26"},"uris":["http://www.mendeley.com/documents/?uuid=5e139b10-068c-411e-9922-5a5f62c51adb"]}],"mendeley":{"formattedCitation":"[4]","plainTextFormattedCitation":"[4]","previouslyFormattedCitation":"[4]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w:t>
      </w:r>
    </w:p>
    <w:p w14:paraId="5D62D455"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3378AA0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A high volume of annual precipitation (3000 mm yr</w:t>
      </w:r>
      <w:r w:rsidRPr="00F46218">
        <w:rPr>
          <w:rFonts w:ascii="Times New Roman" w:eastAsia="SimSun" w:hAnsi="Times New Roman"/>
          <w:kern w:val="2"/>
          <w:sz w:val="20"/>
          <w:szCs w:val="20"/>
          <w:vertAlign w:val="superscript"/>
          <w:lang w:val="en-GB" w:eastAsia="ko-KR" w:bidi="ar-SA"/>
        </w:rPr>
        <w:t>-1</w:t>
      </w:r>
      <w:r w:rsidRPr="00F46218">
        <w:rPr>
          <w:rFonts w:ascii="Times New Roman" w:eastAsia="SimSun" w:hAnsi="Times New Roman"/>
          <w:kern w:val="2"/>
          <w:sz w:val="20"/>
          <w:szCs w:val="20"/>
          <w:lang w:val="en-GB" w:eastAsia="ko-KR" w:bidi="ar-SA"/>
        </w:rPr>
        <w:t xml:space="preserve">) also leads to severe terrestrial weathering towards the straits, resulting in elevated sediment discharge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{"citationItems":[{"id":"ITEM-1","itemData":{"DOI":"10.1175/2009MWR3068.1","ISSN":"00270644","abstract":"This paper describes the formation mechanism of morning maximum in the diurnal cycle of precipitation, at the Strait of Malacca under a calm condition, with a nonhydrostatic mesoscale numerical model and shipbased observational data. The morning precipitation peak at the strait is induced by the convergence of two cold outflows that have been produced by the precipitation systems in the previous evening over Sumatra and the Malay Peninsula. The outflows converge at the Strait of Malacca around midnight; a new precipitation system is thus generated and reaches its peak in the early morning. Sensitivity experiments using the numerical model suggest that the timing and position of the morning precipitation peak are affected by the width of the strait. In the case of the Strait of Malacca, its width favors the formation of the morning precipitation system around the center of the strait, which explains why its diurnal cycle of precipitation can be observed much clearer than those in other coastal areas over the Maritime Continent. © 2010 American Meteorological Society.","author":[{"dropping-particle":"","family":"Fujita","given":"Mikiko","non-dropping-particle":"","parse-names":false,"suffix":""},{"dropping-particle":"","family":"Kimura","given":"Fujio","non-dropping-particle":"","parse-names":false,"suffix":""},{"dropping-particle":"","family":"Yoshizaki","given":"Masanori","non-dropping-particle":"","parse-names":false,"suffix":""}],"container-title":"Monthly Weather Review","id":"ITEM-1","issue":"4","issued":{"date-parts":[["2010"]]},"page":"1474-1486","title":"Morning precipitation peak over the strait of Malacca under a calm condition","type":"article-journal","volume":"138"},"uris":["http://www.mendeley.com/documents/?uuid=8430c855-4381-4720-8cfb-dcbaf7d7de51"]}],"mendeley":{"formattedCitation":"[5]","plainTextFormattedCitation":"[5]","previouslyFormattedCitation":"[5]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On the west coast of the Malaysian Peninsular, a number of discharged sediment sources are the result of physical and chemical weathering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{"citationItems":[{"id":"ITEM-1","itemData":{"DOI":"10.1016/j.scitotenv.2016.10.009","ISSN":"18791026","PMID":"27723460","abstract":"Impacts of climate change on the hydrologic processes under future climate change conditions were assessed over Muda and Dungun watersheds of Peninsular Malaysia by means of a coupled regional climate and physically-based hydrology model utilizing an ensemble of future climate change projections. An ensemble of 15 different future climate realizations from coarse resolution global climate models’ (GCMs) projections for the 21st century was dynamically downscaled to 6 km resolution over Peninsular Malaysia by a regional climate model, which was then coupled with the watershed hydrology model WEHY through the atmospheric boundary layer over Muda and Dungun watersheds. Hydrologic simulations were carried out at hourly increments and at hillslope-scale in order to assess the impacts of climate change on the water balances and flooding conditions in the 21st century. The coupled regional climate and hydrology model was simulated for a duration of 90 years for each of the 15 realizations. It is demonstrated that the increase in mean monthly flows due to the impact of expected climate change during 2040–2100 is statistically significant from April to May and from July to October at Muda watershed. Also, the increase in mean monthly flows is shown to be significant in November during 2030–2070 and from November to December during 2070–2100 at Dungun watershed. In other words, the impact of the expected climate change will be significant during the northeast and southwest monsoon seasons at Muda watershed and during the northeast monsoon season at Dungun watershed. Furthermore, the flood frequency analyses for both watersheds indicated an overall increasing trend in the second half of the 21st century.","author":[{"dropping-particle":"","family":"Amin","given":"M. Z.M.","non-dropping-particle":"","parse-names":false,"suffix":""},{"dropping-particle":"","family":"Shaaban","given":"A. J.","non-dropping-particle":"","parse-names":false,"suffix":""},{"dropping-particle":"","family":"Ercan","given":"A.","non-dropping-particle":"","parse-names":false,"suffix":""},{"dropping-particle":"","family":"Ishida","given":"K.","non-dropping-particle":"","parse-names":false,"suffix":""},{"dropping-particle":"","family":"Kavvas","given":"M. L.","non-dropping-particle":"","parse-names":false,"suffix":""},{"dropping-particle":"","family":"Chen","given":"Z. Q.","non-dropping-particle":"","parse-names":false,"suffix":""},{"dropping-particle":"","family":"Jang","given":"S.","non-dropping-particle":"","parse-names":false,"suffix":""}],"container-title":"Science of the Total Environment","id":"ITEM-1","issued":{"date-parts":[["2017"]]},"page":"12-22","publisher":"Elsevier B.V.","title":"Future climate change impact assessment of watershed scale hydrologic processes in Peninsular Malaysia by a regional climate model coupled with a physically-based hydrology modelo","type":"article-journal","volume":"575"},"uris":["http://www.mendeley.com/documents/?uuid=8531e583-4728-4217-99c1-99f3b5b04474"]}],"mendeley":{"formattedCitation":"[6]","plainTextFormattedCitation":"[6]","previouslyFormattedCitation":"[6]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with most of the weathered material originating from igneous rock. The granitic rock present in the Malaysian Peninsular originates from the Central and Western Belts, for which the primary source are the </w:t>
      </w:r>
      <w:proofErr w:type="spellStart"/>
      <w:r w:rsidRPr="00F46218">
        <w:rPr>
          <w:rFonts w:ascii="Times New Roman" w:eastAsia="SimSun" w:hAnsi="Times New Roman"/>
          <w:kern w:val="2"/>
          <w:sz w:val="20"/>
          <w:szCs w:val="20"/>
          <w:lang w:val="en-GB" w:eastAsia="ko-KR" w:bidi="ar-SA"/>
        </w:rPr>
        <w:t>Titiwangsa</w:t>
      </w:r>
      <w:proofErr w:type="spellEnd"/>
      <w:r w:rsidRPr="00F46218">
        <w:rPr>
          <w:rFonts w:ascii="Times New Roman" w:eastAsia="SimSun" w:hAnsi="Times New Roman"/>
          <w:kern w:val="2"/>
          <w:sz w:val="20"/>
          <w:szCs w:val="20"/>
          <w:lang w:val="en-GB" w:eastAsia="ko-KR" w:bidi="ar-SA"/>
        </w:rPr>
        <w:t xml:space="preserve"> Ranges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{"citationItems":[{"id":"ITEM-1","itemData":{"DOI":"10.4172/2381-8719.1000246","ISSN":"23818719","abstract":"The South China Sea (SCS) is divided into two parts namely northern SCS (nSCS) and southern SCS (sSCS). The sSCS is a semi-closed system that receives rapid large water flushing from the Western Pacific Ocean and the Java Sea during the northeast and southwest monsoon events. Major natural radionuclides in sSCS are expected to come from river water and terrestrial sediment discharge i.e., Mekong River, Chao Phraya River, Pahang River and Rajang River which contain high lithogenic and biogenic materials. A box model was developed to estimate the amount of 232 Th discharge from rivers to the sSCS basin. The result shows that the total flux of 232 Th entering into the sSCS was 140.3 × 103 Bq/km2 /yr, with the highest contribution from the Pahang River followed by the Rajang River, Mekong River and Chao Phraya River. The activity concentrations of natural radionuclides presented herein should be considered useful in order to understand the geochemical behavior of natural radionuclides in marginal sea areas. The review shows that publications on natural radionuclides are still limited; therefore further research needs to be done","author":[{"dropping-particle":"","family":"Yusoff","given":"Abdul Hafidz","non-dropping-particle":"","parse-names":false,"suffix":""},{"dropping-particle":"","family":"Mohamed","given":"Che Abd Rahim","non-dropping-particle":"","parse-names":false,"suffix":""}],"container-title":"Journal of Geology &amp; Geophysics","id":"ITEM-1","issue":"03","issued":{"date-parts":[["2016"]]},"page":"1-9","title":"Mini Review Uranium-Thorium Decay Series in the Marine Environment of the Southern South China Sea","type":"article-journal","volume":"05"},"uris":["http://www.mendeley.com/documents/?uuid=b14aac2b-bf82-4f7f-ad61-eed511170dc1"]},{"id":"ITEM-2","itemData":{"DOI":"10.1016/0012-8252(95)00004-T","ISSN":"00128252","abstract":"The Southeast Asian Tin Belt is a north-south elongate zone 2800 km long and 400 km wide, extending from Burma (Myanmar) and Thailand to Peninsular Malaysia and the Indonesian Tin Islands. Altogether 9.6 million tonnes of tin, equivalent to 54% of the world's tin production is derived from this region. Most of the granitoids in the region can be grouped geographically into elongate provinces or belts, based on petrographic and geochronological features. - The Main Range Granitoid Province in western Peninsular Malaysia, southern Peninsular Thailand and central Thailand is almost entirely made up of biotite granite (184-230 Ma). Tin deposits associated with these granites contributed 55% of the historic tin production of Southeast Asia. - The Northern Granitoid Province in northern Thailand (0.1% of tin production) also has dominant biotite granite (200-269 Ma) but it is distinguished by abundant post-intrusion deformation. - The Eastern Granitoid Province extends from eastern Peninsular Malaysia to eastern Thailand. The Malaysian part is subdivided into the East Coast Belt (220-263 Ma), Boundary Range Belt (197-257 Ma) and Central Belt (79-219 Ma). The granitoids cover a wide compositional range from biotite granite to hornblende-biotite granite/granodiorite and diorite-gabbro. Tin deposits are associated with biotite granite in the East Coast Belt (3% of tin production). The granitoids in the other areas of the Eastern Granitoid Province are barren. - The Western Granitoid Province (22-149 Ma) in northern Peninsular Thailand, western Thailand and Burma has biotite granite and hornblende-biotite granite/granodiorite. Tin deposits are associated with biotite granite, which probably is the dominant phase (14% of tin production). The granitoids of the Indonesian Tin Islands (193-251 Ma) do not permit grouping into geographically distinct units. Main Range-type and Eastern Province-type plutons occur next to each other. Most of the tin deposits are associated with Main Range-type plutons (28% of tin production). Tin-mineralized plutons are characterized by high concentrations of SiO2, K2O, Rb, Sn, Th and U, whereas the concentrations of Fe2O3, MgO, CaO, Na2O, Ba and Sr as well as the Fe2O3 FeO ratios are low. Tin-mineralized plutons are also distinguished by high initial 87Sr86Sr ratios low magnetic susceptibilities. © 1995.","author":[{"dropping-particle":"","family":"Schwartz","given":"M. O.","non-dropping-particle":"","parse-names":false,"suffix":""},{"dropping-particle":"","family":"Rajah","given":"S. S.","non-dropping-particle":"","parse-names":false,"suffix":""},{"dropping-particle":"","family":"Askury","given":"A. K.","non-dropping-particle":"","parse-names":false,"suffix":""},{"dropping-particle":"","family":"Putthapiban","given":"P.","non-dropping-particle":"","parse-names":false,"suffix":""},{"dropping-particle":"","family":"Djaswadi","given":"S.","non-dropping-particle":"","parse-names":false,"suffix":""}],"container-title":"Earth Science Reviews","id":"ITEM-2","issue":"2-4","issued":{"date-parts":[["1995"]]},"page":"95-293","title":"The Southeast Asian tin belt","type":"article-journal","volume":"38"},"uris":["http://www.mendeley.com/documents/?uuid=d5e818ae-990e-4159-a172-946be2989ede"]}],"mendeley":{"formattedCitation":"[7,8]","plainTextFormattedCitation":"[7,8]","previouslyFormattedCitation":"[7,8]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[7, 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According to </w:t>
      </w:r>
      <w:proofErr w:type="spellStart"/>
      <w:r w:rsidRPr="00F46218">
        <w:rPr>
          <w:rFonts w:ascii="Times New Roman" w:eastAsia="SimSun" w:hAnsi="Times New Roman"/>
          <w:kern w:val="2"/>
          <w:sz w:val="20"/>
          <w:szCs w:val="20"/>
          <w:lang w:val="en-GB" w:eastAsia="ko-KR" w:bidi="ar-SA"/>
        </w:rPr>
        <w:t>Shoieb</w:t>
      </w:r>
      <w:proofErr w:type="spellEnd"/>
      <w:r w:rsidRPr="00F46218">
        <w:rPr>
          <w:rFonts w:ascii="Times New Roman" w:eastAsia="SimSun" w:hAnsi="Times New Roman"/>
          <w:kern w:val="2"/>
          <w:sz w:val="20"/>
          <w:szCs w:val="20"/>
          <w:lang w:val="en-GB" w:eastAsia="ko-KR" w:bidi="ar-SA"/>
        </w:rPr>
        <w:t xml:space="preserve">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{"citationItems":[{"id":"ITEM-1","itemData":{"author":[{"dropping-particle":"","family":"Shoieb","given":"Monera Adam","non-dropping-particle":"","parse-names":false,"suffix":""},{"dropping-particle":"","family":"Sum","given":"Chow Weng","non-dropping-particle":"","parse-names":false,"suffix":""},{"dropping-particle":"","family":"Ismail","given":"Mohd Suhaili","non-dropping-particle":"","parse-names":false,"suffix":""},{"dropping-particle":"","family":"Tsegab","given":"Haylay","non-dropping-particle":"","parse-names":false,"suffix":""}],"container-title":"International Journal of Advanced and Applied Sciences","id":"ITEM-1","issue":"2","issued":{"date-parts":[["2019"]]},"page":"102-106","title":"Geological characteristic of the Kroh formation in the upper Perak shales , western Peninsula Malaysia","type":"article-journal","volume":"6"},"uris":["http://www.mendeley.com/documents/?uuid=594c841e-927d-452c-9991-fcbb7f45a8ba"]}],"mendeley":{"formattedCitation":"[9]","plainTextFormattedCitation":"[9]","previouslyFormattedCitation":"[9]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w:t>
      </w:r>
      <w:proofErr w:type="spellStart"/>
      <w:r w:rsidRPr="00F46218">
        <w:rPr>
          <w:rFonts w:ascii="Times New Roman" w:eastAsia="SimSun" w:hAnsi="Times New Roman"/>
          <w:kern w:val="2"/>
          <w:sz w:val="20"/>
          <w:szCs w:val="20"/>
          <w:lang w:val="en-GB" w:eastAsia="ko-KR" w:bidi="ar-SA"/>
        </w:rPr>
        <w:t>Sibumasu</w:t>
      </w:r>
      <w:proofErr w:type="spellEnd"/>
      <w:r w:rsidRPr="00F46218">
        <w:rPr>
          <w:rFonts w:ascii="Times New Roman" w:eastAsia="SimSun" w:hAnsi="Times New Roman"/>
          <w:kern w:val="2"/>
          <w:sz w:val="20"/>
          <w:szCs w:val="20"/>
          <w:lang w:val="en-GB" w:eastAsia="ko-KR" w:bidi="ar-SA"/>
        </w:rPr>
        <w:t xml:space="preserve"> Terrane, which comprises the Malaysian Peninsula’s Western Belt, was derived from the North West Australian Gondwana margin within the late Cambrian-Early Permian period. Therefore, the discharged weathered sedimentary rock material is Palaeozoic shale. An earlier study by </w:t>
      </w:r>
      <w:proofErr w:type="spellStart"/>
      <w:r w:rsidRPr="00F46218">
        <w:rPr>
          <w:rFonts w:ascii="Times New Roman" w:eastAsia="SimSun" w:hAnsi="Times New Roman"/>
          <w:kern w:val="2"/>
          <w:sz w:val="20"/>
          <w:szCs w:val="20"/>
          <w:lang w:val="en-GB" w:eastAsia="ko-KR" w:bidi="ar-SA"/>
        </w:rPr>
        <w:t>Zakariah</w:t>
      </w:r>
      <w:proofErr w:type="spellEnd"/>
      <w:r w:rsidRPr="00F46218">
        <w:rPr>
          <w:rFonts w:ascii="Times New Roman" w:eastAsia="SimSun" w:hAnsi="Times New Roman"/>
          <w:kern w:val="2"/>
          <w:sz w:val="20"/>
          <w:szCs w:val="20"/>
          <w:lang w:val="en-GB" w:eastAsia="ko-KR" w:bidi="ar-SA"/>
        </w:rPr>
        <w:t xml:space="preserve">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{"citationItems":[{"id":"ITEM-1","itemData":{"DOI":"10.3390/app11146363","ISSN":"20763417","abstract":"Gravity survey is one of the passive geophysical techniques commonly used to delineate geological formations, especially in determining basement rock and the overlying deposit. Geologically, the study area is made up of thick quaternary alluvium deposited on top of the older basement rock. The Muda River basin constitutes, approximately, of more than 300 m of thick quaternary alluvium overlying the unknown basement rock type. Previous studies, including drilling and geo-electrical resistivity surveys, were conducted in the area but none of them managed to conclusively determine the basement rock type and depth precisely. Hence, a regional gravity survey was conducted to determine the thickness of the quaternary sediments prior to assessing the sustainability of the Muda River basin. Gravity readings were made at 347 gravity stations spaced at 3–5 km intervals using Scintrex CG-3 covering an area and a perimeter of 9000 km2 and 730 km, respectively. The gravity data were then conventionally reduced for drift, free air, latitude, Bouguer, and terrain corrections. These data were then consequently analyzed to generate Bouguer, regional and total horizontal derivative (THD) anomaly maps for qualitative and quantitative interpretations. The Bouguer gravity anomaly map shows low gravity values in the north-eastern part of the study area interpreted as representing the Main Range granitic body, while relatively higher gravity values observed in the south-western part are interpreted as representing sedimentary rocks of Semanggol and Mahang formations. Patterns observed in the THD anomaly and Euler deconvolution maps closely resembled the presence of structural features such as fault lineaments dominantly trending along NW-SE and NE-SW like the trends of topographic lineaments in the study area. Based on power spectral analysis of the gravity data, the average depth of shallow body, representing alluvium, and deep body, representing underlying rock formations, are 0.5 km and 1.2 km, respectively. The thickness of Quaternary sediment and the depth of sedimentary formation can be more precisely estimated by other geophysical techniques such as the seismic reflection survey.","author":[{"dropping-particle":"","family":"Zakariah","given":"Muhammad Noor Amin","non-dropping-particle":"","parse-names":false,"suffix":""},{"dropping-particle":"","family":"Roslan","given":"Norsyafina","non-dropping-particle":"","parse-names":false,"suffix":""},{"dropping-particle":"","family":"Sulaiman","given":"Norasiah","non-dropping-particle":"","parse-names":false,"suffix":""},{"dropping-particle":"","family":"Lee","given":"Sean Cheong Heng","non-dropping-particle":"","parse-names":false,"suffix":""},{"dropping-particle":"","family":"Hamzah","given":"Umar","non-dropping-particle":"","parse-names":false,"suffix":""},{"dropping-particle":"","family":"Noh","given":"Khairul Arifin Mohd","non-dropping-particle":"","parse-names":false,"suffix":""},{"dropping-particle":"","family":"Lestari","given":"Wien","non-dropping-particle":"","parse-names":false,"suffix":""}],"container-title":"Applied Sciences","id":"ITEM-1","issue":"14","issued":{"date-parts":[["2021"]]},"page":"6363","title":"Gravity Analysis for Subsurface Characterization and Depth Estimation of Muda River Basin, Kedah, Peninsular Malaysia","type":"article-journal","volume":"11"},"uris":["http://www.mendeley.com/documents/?uuid=d4b65649-c6f9-4566-a017-4f8039484f95"]}],"mendeley":{"formattedCitation":"[10]","plainTextFormattedCitation":"[10]","previouslyFormattedCitation":"[10]"},"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[10]</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on the sustainability of the Kuala Muda basin located in the Kedah River, revealed a large quantity of granitic-bearing rocks, most of it originating from the Bintang Range granites. In Penang and Langkawi Island, the formation of the bedrock surrounding both islands originated from the Quaternary deposits, where most of the discharge was feldspar and plagioclase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{"citationItems":[{"id":"ITEM-1","itemData":{"DOI":"10.1007/s12665-019-8626-0","ISBN":"1266501986260","ISSN":"18666299","abstract":"This study discusses the distribution and contamination levels of potentially harmful elements (As, Pb, Ni, and Cd) in the urban top soil of Penang Island, one of the most important urban areas in Malaysia. The total surface area of Penang Island is 297 km2. Thirty-one surface soil samples (0–20 cm) were collected, digested and analysed using Inductively Coupled Plasma Mass Spectrometry (ICP-MS) for As, Pb, Ni, and Cd. The result showed that the mean concentrations of selected metals in soils were arranged in the following decreasing order: Pb &gt; As &gt; Ni &gt; Cd. In terms of different soil types, soils derived from quaternary deposit have higher mean concentration of Pb, Ni, and Cd as compared to the granite residual soils which accumulate higher mean concentration of As. On the spatial distribution maps, As, Pb, Ni, and Cd are mainly concentrated in the north-to-north eastern areas of Penang Island and near to the main city, which are characterized by major residential and business areas. Thus, it suggests that the anthropogenic source is the main contributor to the As, Pb, Ni, and Cd in the top soil of Penang Island. Both Pearson correlation analysis and principal component analysis showed a strong positive correlation between Pb and Cd which indicated that they may be derived from a similar source. The contamination factor assessment indicates moderate contamination level for Pb and Ni and no element enrichment level for As and Cd.","author":[{"dropping-particle":"","family":"Abdul Hamid","given":"F. A.Z.","non-dropping-particle":"","parse-names":false,"suffix":""},{"dropping-particle":"","family":"Abu Bakar","given":"A. F.","non-dropping-particle":"","parse-names":false,"suffix":""},{"dropping-particle":"","family":"Ng","given":"T. F.","non-dropping-particle":"","parse-names":false,"suffix":""},{"dropping-particle":"","family":"Ghani","given":"A. A.","non-dropping-particle":"","parse-names":false,"suffix":""},{"dropping-particle":"","family":"Mohamad Zulkifley","given":"M. T.","non-dropping-particle":"","parse-names":false,"suffix":""}],"container-title":"Environmental Earth Sciences","id":"ITEM-1","issue":"21","issued":{"date-parts":[["2019"]]},"page":"1-13","title":"Distribution and contamination assessment of potentially harmful elements (As, Pb, Ni, Cd) in top soil of Penang Island, Malaysia","type":"article-journal","volume":"78"},"uris":["http://www.mendeley.com/documents/?uuid=c28d6941-6927-4e91-8a80-04d54f835f05"]},{"id":"ITEM-2","itemData":{"DOI":"10.1016/j.marpolbul.2017.12.055","ISSN":"18793363","PMID":"29475708","abstract":"Study is made of the radioactivity in the beach sands of Langkawi island, a well-known tourist destination. Investigation is made of the relative presence of the naturally occurring radionuclide 40K and the natural-series indicator radionuclides 226Ra and 232Th, the gamma radiation exposure also being estimated. Sample quantities of black and white sand were collected for gamma ray spectrometry, yielding activity concentration in black sands of 226Ra, 232Th and 40K from 451 ± 9 to 2411 ± 65 Bq kg− 1 (mean of 1478 Bq kg− 1); 232 ± 4 to 1272 ± 35 Bq kg− 1 (mean of 718 Bq kg− 1) and 61 ± 6 to 136 ± 7 Bq kg− 1 (mean of 103 Bq kg− 1) respectively. Conversely, in white sands the respective values for 226Ra and 232Th were appreciably lower, at 8.3 ± 0.5 to 13.7 ± 1.4 Bq kg− 1 (mean of 9.8 Bq kg− 1) and 4.5 ± 0.7 to 9.4 ± 1.0 Bq kg− 1 (mean of 5.9 Bq kg− 1); 40K activities differed insubstantially from that in black sands, at 85 ± 4 to 133 ± 7 Bq kg− 1 with a mean of 102 Bq kg− 1. The mean activity concentrations of 226Ra and 232Th in black sands are comparable with that of high background areas elsewhere in the world. The heavy minerals content gives rise to elevated 226Ra and 232Th activity concentrations in all of black sand samples. Evaluation of the various radiological risk parameters points to values which in some cases could be in excess of recommendations providing for safe living and working. Statistical analysis examines correlations between the origins of the radionuclides, also identifying and classifying the radiological parameters. Present results may help to form an interest in rare-earth resources for the electronics industry, power generation and the viability of nuclear fuels cycle resources.","author":[{"dropping-particle":"","family":"Khandaker","given":"Mayeen Uddin","non-dropping-particle":"","parse-names":false,"suffix":""},{"dropping-particle":"","family":"Asaduzzaman","given":"Khandoker","non-dropping-particle":"","parse-names":false,"suffix":""},{"dropping-particle":"Bin","family":"Sulaiman","given":"Abdullah Fadil","non-dropping-particle":"","parse-names":false,"suffix":""},{"dropping-particle":"","family":"Bradley","given":"D. A.","non-dropping-particle":"","parse-names":false,"suffix":""},{"dropping-particle":"","family":"Isinkaye","given":"Matthew Omoniyi","non-dropping-particle":"","parse-names":false,"suffix":""}],"container-title":"Marine Pollution Bulletin","id":"ITEM-2","issue":"December 2017","issued":{"date-parts":[["2018"]]},"page":"654-663","publisher":"Elsevier","title":"Elevated concentrations of naturally occurring radionuclides in heavy mineral-rich beach sands of Langkawi Island, Malaysia","type":"article-journal","volume":"127"},"uris":["http://www.mendeley.com/documents/?uuid=3ce17014-16ef-415a-b5f3-709b54147b38"]}],"mendeley":{"formattedCitation":"[11,12]","plainTextFormattedCitation":"[11,12]","previouslyFormattedCitation":"[11,12]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[11, 12]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This has resulted in the constant </w:t>
      </w:r>
      <w:r w:rsidRPr="00F46218">
        <w:rPr>
          <w:rFonts w:ascii="Times New Roman" w:eastAsia="SimSun" w:hAnsi="Times New Roman"/>
          <w:kern w:val="2"/>
          <w:sz w:val="20"/>
          <w:szCs w:val="20"/>
          <w:lang w:val="en-GB" w:eastAsia="ko-KR" w:bidi="ar-SA"/>
        </w:rPr>
        <w:t xml:space="preserve">supply of igneous rock towards the Malacca Straits. In term of temporal influences, the Malacca Strait is affected by monsoonal seasons, where the northeast monsoon prevails from November to March and the southwest monsoon runs from May to September. In essence, the energy generated by the monsoonal season leads to corresponding changes in sea currents through eddies and cyclonic and anti-cyclonic events, thus altering the sinking processes in the Malacca Strait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{"citationItems":[{"id":"ITEM-1","itemData":{"DOI":"10.1016/j.renene.2016.09.016","ISSN":"09601481","author":[{"dropping-particle":"","family":"Aboobacker","given":"V.M.","non-dropping-particle":"","parse-names":false,"suffix":""}],"container-title":"Renewable Energy","id":"ITEM-1","issue":"March","issued":{"date-parts":[["2017","12"]]},"page":"72-84","publisher":"Elsevier Ltd","title":"Wave energy resource assessment for eastern Bay of Bengal and Malacca Strait","type":"article-journal","volume":"114"},"uris":["http://www.mendeley.com/documents/?uuid=a2c94b3b-1de0-4345-b759-94ced189ec09"]}],"mendeley":{"formattedCitation":"[13]","plainTextFormattedCitation":"[13]","previouslyFormattedCitation":"[13]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These monsoonal seasons also affect hydrological processes in the straits, leading to the distribution of weathered material around the coast.  </w:t>
      </w:r>
    </w:p>
    <w:p w14:paraId="371EBC2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124410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Malacca Strait is abundant in natural resources and many socio-economic activities related to metal processes and consumption, such as industrial and residential activities which are concentrated in this area, resulting in an increased contaminants load, due to rapid urbanisation and increased population density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{"citationItems":[{"id":"ITEM-1","itemData":{"DOI":"10.22452/mjs.vol33no1.4","ISSN":"13943065","abstract":"Five heavy metal elements [Pb (II), Cr (VI), Ni (II), Zn (II) and Cu (II)] in the sediment of the two coastal areas had been analyzed of the Mideast and Midwest of Peninsular Malaysia in the year of 2012. This is to assess and monitor contamination of heavy metal at a mangrove area in the state of Negeri Sembilan, Melaka and Pahang. Overall and individual analyses of the heavy metals showed the concentration of the named heavy metals were not at alarming stage. All analyzed elements were found to be much lower than the international guideline provided by the Chinese (EPA-China), Canadian (CEPA) and American (US-EPA). Quantitative assessment using Enrichment Factor shows that all analyses elements were to found be within the degree of background concentration.","author":[{"dropping-particle":"","family":"Redzwan","given":"Ghufran","non-dropping-particle":"","parse-names":false,"suffix":""},{"dropping-particle":"","family":"Halim","given":"Hafizah Abdul","non-dropping-particle":"","parse-names":false,"suffix":""},{"dropping-particle":"","family":"Alias","given":"Siti Aisah","non-dropping-particle":"","parse-names":false,"suffix":""},{"dropping-particle":"","family":"Rahman","given":"M. Motior","non-dropping-particle":"","parse-names":false,"suffix":""}],"container-title":"Malaysian Journal of Science","id":"ITEM-1","issue":"1","issued":{"date-parts":[["2014"]]},"page":"23-31","title":"Assessment of heavy metal contamination at west and east coastal area of Peninsular Malaysia","type":"article-journal","volume":"33"},"uris":["http://www.mendeley.com/documents/?uuid=8fe13cb1-5a05-4a8b-9271-bee6b3c86701"]}],"mendeley":{"formattedCitation":"[14]","plainTextFormattedCitation":"[14]","previouslyFormattedCitation":"[14]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Urban development and industrialisation over the previous decade have raised major environmental issues. Pollutants in rivers are a severe problem in many rapidly growing cities, owing to the fact that water quality and sanitary infrastructure do not keep up with population and city expansion, particularly in developing countries. Human activities such as sand mining, land reclamation, deforestation, landfill leachate and urban water runoff are common anthropogenic problems of environmental concern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{"citationItems":[{"id":"ITEM-1","itemData":{"ISSN":"13942506","abstract":"Mussel and seawater samples were collected along the Johor Strait during the northeast monsoon, inter-monsoon, and southwest monsoon. The aim of this study is to determine the allometric relationship of210Pb and investigate the210Pb content in mussel tissues where there is semi-enclosed water flow. The statistical tests (ANOVA) indicate an insignificant relationship between mussel condition indexes (Ci) related to seasons and geography. A high level of210Pb in mussels (mean: 29.33±6.65 Bq kg-1 dry weight) was measured during inter-monsoon with less dissolved oxygen content (&lt; 3.0 mg L-1). The causeway structure disrupts water quality and conditions in the Johor Strait and causes almost hypoxic conditions in its vicinity. That dissolved oxygen in the water column is inversely proportional to210Pb in mussels proves that oxygen deficiency is influenced the bioaccumulation of210Pb in mussels.","author":[{"dropping-particle":"","family":"Saili","given":"Noor Affizah Bujang","non-dropping-particle":"","parse-names":false,"suffix":""},{"dropping-particle":"","family":"Mohamed","given":"Che Abd Rahim","non-dropping-particle":"","parse-names":false,"suffix":""}],"container-title":"Malaysian Journal of Analytical Sciences","id":"ITEM-1","issue":"1","issued":{"date-parts":[["2021"]]},"page":"166-183","title":"Natural radioactivity of 210pb in mussels at the semi-enclosed water of the johor strait, malaysia through statistical approach","type":"article-journal","volume":"25"},"uris":["http://www.mendeley.com/documents/?uuid=461dc069-0072-41cb-a404-e23e57a1e601"]}],"mendeley":{"formattedCitation":"[15]","plainTextFormattedCitation":"[15]","previouslyFormattedCitation":"[15]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Contaminants are deposited in aquatic environments as a result of physical erosion, chemical weathering and soil leaching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Furthermore, monsoon-induced events (i.e., storms, flash floods and landslides) can be devastating in mountainous tropical environments, causing severe soil erosion with both on-site and downstream repercussions. When combined with anthropogenic inputs, these result in severe damage to the local population. These hazards also elevate geochemical concentrations and sedimentation. </w:t>
      </w:r>
    </w:p>
    <w:p w14:paraId="56DFEA8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736463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Sediment is a major source of concern when it comes to environmental quality because of its importance in monitoring the health of both humans and the ecosystem. The importance of sediment is evidenced by its constant deposition of many sources of contamination, leading to bioaccumulation and </w:t>
      </w:r>
      <w:proofErr w:type="spellStart"/>
      <w:r w:rsidRPr="00F46218">
        <w:rPr>
          <w:rFonts w:ascii="Times New Roman" w:eastAsia="SimSun" w:hAnsi="Times New Roman"/>
          <w:kern w:val="2"/>
          <w:sz w:val="20"/>
          <w:szCs w:val="20"/>
          <w:lang w:val="en-GB" w:eastAsia="ko-KR" w:bidi="ar-SA"/>
        </w:rPr>
        <w:lastRenderedPageBreak/>
        <w:t>bioassimilation</w:t>
      </w:r>
      <w:proofErr w:type="spellEnd"/>
      <w:r w:rsidRPr="00F46218">
        <w:rPr>
          <w:rFonts w:ascii="Times New Roman" w:eastAsia="SimSun" w:hAnsi="Times New Roman"/>
          <w:kern w:val="2"/>
          <w:sz w:val="20"/>
          <w:szCs w:val="20"/>
          <w:lang w:val="en-GB" w:eastAsia="ko-KR" w:bidi="ar-SA"/>
        </w:rPr>
        <w:t xml:space="preserve"> in aquatic life, through source and sink processes. In theory, the high level of pollution surrounding the Malacca Straits is the result of natural and anthropogenic inputs, backed with monsoonal seasons, enhancing its concentration under physical and hydrological processes. The objective of this study is to identify the source of geochemical elements within the Malacca Straits, while assessing several factors influencing these geochemical elements. This paper examines pollution concentrations in the Malacca Strait and the prominent factors affecting geochemical elements along the straits.</w:t>
      </w:r>
    </w:p>
    <w:p w14:paraId="282FA244"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670C3B9"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Materials and Methods</w:t>
      </w:r>
    </w:p>
    <w:p w14:paraId="6F1172C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During the UKM-FIO Scientific cruise in August 2017 and May 2018, five surface sediment samples were collected using a Veen Van Grab, at locations on the western coast of the Malaysia Peninsul</w:t>
      </w:r>
      <w:r w:rsidRPr="003E6519">
        <w:rPr>
          <w:rFonts w:ascii="Times New Roman" w:eastAsia="SimSun" w:hAnsi="Times New Roman"/>
          <w:kern w:val="2"/>
          <w:sz w:val="20"/>
          <w:szCs w:val="20"/>
          <w:lang w:val="en-GB" w:eastAsia="ko-KR" w:bidi="ar-SA"/>
        </w:rPr>
        <w:t>ar (Figure 1 and Figure 2). Water depth in the study area ranged from 15.5 m to 67.8 m (Table 1). The sediment sam</w:t>
      </w:r>
      <w:r w:rsidRPr="00F46218">
        <w:rPr>
          <w:rFonts w:ascii="Times New Roman" w:eastAsia="SimSun" w:hAnsi="Times New Roman"/>
          <w:kern w:val="2"/>
          <w:sz w:val="20"/>
          <w:szCs w:val="20"/>
          <w:lang w:val="en-GB" w:eastAsia="ko-KR" w:bidi="ar-SA"/>
        </w:rPr>
        <w:t xml:space="preserve">ples in this </w:t>
      </w:r>
      <w:r w:rsidRPr="00F46218">
        <w:rPr>
          <w:rFonts w:ascii="Times New Roman" w:eastAsia="SimSun" w:hAnsi="Times New Roman"/>
          <w:kern w:val="2"/>
          <w:sz w:val="20"/>
          <w:szCs w:val="20"/>
          <w:lang w:val="en-GB" w:eastAsia="ko-KR" w:bidi="ar-SA"/>
        </w:rPr>
        <w:t>study were taken using a plastic scoop, rather than a metal scoop, to prevent cross contamination. They were stored in zipped polyethylene bags and frozen below 15°C on-board, before being shipped back to National University of Malaysia (UKM).</w:t>
      </w:r>
    </w:p>
    <w:p w14:paraId="0B6E70E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26EE1194"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Sediment textural analysis was carried out, according to the method by Miller and Miller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{"citationItems":[{"id":"ITEM-1","itemData":{"DOI":"10.1080/00103628709367799","ISSN":"0010-3624","author":[{"dropping-particle":"","family":"Miller","given":"W. P.","non-dropping-particle":"","parse-names":false,"suffix":""},{"dropping-particle":"","family":"Miller","given":"D M","non-dropping-particle":"","parse-names":false,"suffix":""}],"container-title":"Communications in Soil Science and Plant Analysis","id":"ITEM-1","issue":"1","issued":{"date-parts":[["1987","1","11"]]},"page":"</w:instrText>
      </w:r>
      <w:r w:rsidRPr="00F46218">
        <w:rPr>
          <w:rFonts w:ascii="Times New Roman" w:eastAsia="SimSun" w:hAnsi="Times New Roman" w:hint="eastAsia"/>
          <w:kern w:val="2"/>
          <w:sz w:val="20"/>
          <w:szCs w:val="20"/>
          <w:lang w:val="en-GB" w:eastAsia="ko-KR" w:bidi="ar-SA"/>
        </w:rPr>
        <w:instrText>1-15","title":"A micro</w:instrText>
      </w:r>
      <w:r w:rsidRPr="00F46218">
        <w:rPr>
          <w:rFonts w:ascii="Times New Roman" w:eastAsia="SimSun" w:hAnsi="Times New Roman" w:hint="eastAsia"/>
          <w:kern w:val="2"/>
          <w:sz w:val="20"/>
          <w:szCs w:val="20"/>
          <w:lang w:val="en-GB" w:eastAsia="ko-KR" w:bidi="ar-SA"/>
        </w:rPr>
        <w:instrText>‐</w:instrText>
      </w:r>
      <w:r w:rsidRPr="00F46218">
        <w:rPr>
          <w:rFonts w:ascii="Times New Roman" w:eastAsia="SimSun" w:hAnsi="Times New Roman" w:hint="eastAsia"/>
          <w:kern w:val="2"/>
          <w:sz w:val="20"/>
          <w:szCs w:val="20"/>
          <w:lang w:val="en-GB" w:eastAsia="ko-KR" w:bidi="ar-SA"/>
        </w:rPr>
        <w:instrText>pipette method for soil mechanical analysis","type":"article-journal","volume":"18"},"uris":["http://www.mendeley.com/documents/?uuid=2ada3e0d-2d3a-43de-a04f-73e59c10a810"]},{"id":"ITEM-2","itemData":{"DOI":"10.1080/0010362930936897</w:instrText>
      </w:r>
      <w:r w:rsidRPr="00F46218">
        <w:rPr>
          <w:rFonts w:ascii="Times New Roman" w:eastAsia="SimSun" w:hAnsi="Times New Roman"/>
          <w:kern w:val="2"/>
          <w:sz w:val="20"/>
          <w:szCs w:val="20"/>
          <w:lang w:val="en-GB" w:eastAsia="ko-KR" w:bidi="ar-SA"/>
        </w:rPr>
        <w:instrText>5","ISSN":"15322416","author":[{"dropping-particle":"","family":"Miller","given":"W. P.","non-dropping-particle":"","parse-names":false,"suffix":""}],"container-title":"Communications in Soil Science and Plant Analysis","id":"ITEM-2","issue":"19-20","issued":{"date-parts":[["1993"]]},"page":"2531-2544","title":"A Micro-Pipette Method for Water Dispersible Clay","type":"article-journal","volume":"24"},"uris":["http://www.mendeley.com/documents/?uuid=97c60023-efcb-40db-999c-6bdbb4eceeee"]}],"mendeley":{"formattedCitation":"[17,18]","plainTextFormattedCitation":"[17,18]","previouslyFormattedCitation":"[17,18]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[17, 18]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Calgon solution was used, as proposed by Kaur and </w:t>
      </w:r>
      <w:proofErr w:type="spellStart"/>
      <w:r w:rsidRPr="00F46218">
        <w:rPr>
          <w:rFonts w:ascii="Times New Roman" w:eastAsia="SimSun" w:hAnsi="Times New Roman"/>
          <w:kern w:val="2"/>
          <w:sz w:val="20"/>
          <w:szCs w:val="20"/>
          <w:lang w:val="en-GB" w:eastAsia="ko-KR" w:bidi="ar-SA"/>
        </w:rPr>
        <w:t>Fanourakis</w:t>
      </w:r>
      <w:proofErr w:type="spellEnd"/>
      <w:r w:rsidRPr="00F46218">
        <w:rPr>
          <w:rFonts w:ascii="Times New Roman" w:eastAsia="SimSun" w:hAnsi="Times New Roman"/>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{"citationItems":[{"id":"ITEM-1","itemData":{"DOI":"10.3311/PPci.9424","ISSN":"1587-3773","abstract":"Calgon (a combination of sodium hexametaphosphate and sodium carbonate) has proved to be the most effective dispersing agent in determining the grain size distribution of fine-grained soils by means of the hydrometer analysis. Previous research on the effect of the sodium hexametaphosphate content of dispersing agents on the clay contents showed that the addition of sodium carbonate to sodium hexametaphosphate increases its dispersing effectiveness. Hence, Calgon 35:7 was used /recommended by many researchers/methods and proved to be the most effective dispersing agent. Although previous work focusing on the effect of varying the concentration of sodium hexametaphosphate in Calgon has been reported, the effect of the concentration of sodium carbonate in Calgon has not been assessed and reported. For this reason, in this investigation a series of hydrometer test analyses were conducted using the 152H and ASTM 152H: E100 hydrometers with Calgon in ratios of 35:0, 35:20 and 35:30. It was observed that with any increase in sodium carbonate content beyond 7 grams, the percentage clay content actually decreased tremendously in the case of hydrometer 152H. However, for the other hydrometer, Calgon (35:0) proved to be most effective combination. Thus, the increase in the sodium carbonate content in Calgon, beyond 7 g/ litre, is not recommended.","author":[{"dropping-particle":"","family":"Kaur","given":"Arshdeep","non-dropping-particle":"","parse-names":false,"suffix":""},{"dropping-particle":"","family":"Fanourakis","given":"George C","non-dropping-particle":"","parse-names":false,"suffix":""}],"container-title":"Periodica Polytechnica Civil Engineering","id":"ITEM-1","issue":"4","issued":{"date-parts":[["2018","5","8"]]},"page":"866-872","title":"Effect of Sodium Carbonate Concentration in Calgon on Hydrometer Analysis Results","type":"article-journal","volume":"62"},"uris":["http://www.mendeley.com/documents/?uuid=057abb5b-9f28-4a2c-b07d-0777ee14cdcd"]}],"mendeley":{"formattedCitation":"[19]","plainTextFormattedCitation":"[19]","previouslyFormattedCitation":"[19]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4 g bulk sample was mixed in a 50 ml centrifuge tube with 4.2% Calgon solution for better separation into clay, sand and silt layers. The sample was then mixed and sonicated for 15 to 30 minutes, for dispersion. The sample was centrifuged at 770 rpm for 3.3 minutes, for the clay to settle. The clay was then removed at 2.5 cm below the centrifuge tube meniscus level. Silt was obtained via wet sieving at 45 </w:t>
      </w:r>
      <w:proofErr w:type="spellStart"/>
      <w:r w:rsidRPr="00F46218">
        <w:rPr>
          <w:rFonts w:ascii="Times New Roman" w:eastAsia="SimSun" w:hAnsi="Times New Roman"/>
          <w:kern w:val="2"/>
          <w:sz w:val="20"/>
          <w:szCs w:val="20"/>
          <w:lang w:val="en-GB" w:eastAsia="ko-KR" w:bidi="ar-SA"/>
        </w:rPr>
        <w:t>μm</w:t>
      </w:r>
      <w:proofErr w:type="spellEnd"/>
      <w:r w:rsidRPr="00F46218">
        <w:rPr>
          <w:rFonts w:ascii="Times New Roman" w:eastAsia="SimSun" w:hAnsi="Times New Roman"/>
          <w:kern w:val="2"/>
          <w:sz w:val="20"/>
          <w:szCs w:val="20"/>
          <w:lang w:val="en-GB" w:eastAsia="ko-KR" w:bidi="ar-SA"/>
        </w:rPr>
        <w:t xml:space="preserve"> and the total amount of sand was calculated via the subtraction of total clay and silt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{"citationItems":[{"id":"ITEM-1","itemData":{"author":[{"dropping-particle":"","family":"Gray","given":"John E.","non-dropping-particle":"","parse-names":false,"suffix":""},{"dropping-particle":"","family":"Riehle","given":"J.R.","non-dropping-particle":"","parse-names":false,"suffix":""}],"id":"ITEM-1","issued":{"date-parts":[["1998"]]},"page":"200p","title":"Geologic Studies in Alaska by the U . S . Geological Survey , 1998","type":"article-journal"},"uris":["http://www.mendeley.com/documents/?uuid=0e1e2389-2bf4-436e-ac8c-1f188a447032"]}],"mendeley":{"formattedCitation":"[20]","plainTextFormattedCitation":"[20]","previouslyFormattedCitation":"[20]"},"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[20]</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t>
      </w:r>
    </w:p>
    <w:p w14:paraId="739924DC" w14:textId="77777777" w:rsidR="000B5547" w:rsidRDefault="000B5547"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0B5547" w:rsidSect="006E26D8">
          <w:type w:val="evenPage"/>
          <w:pgSz w:w="12240" w:h="15840" w:code="1"/>
          <w:pgMar w:top="1800" w:right="1469" w:bottom="1699" w:left="1440" w:header="706" w:footer="706" w:gutter="0"/>
          <w:pgNumType w:start="1"/>
          <w:cols w:num="2" w:space="403"/>
          <w:docGrid w:linePitch="360"/>
        </w:sectPr>
      </w:pPr>
    </w:p>
    <w:p w14:paraId="1625356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C7F8E8F"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noProof/>
          <w:kern w:val="2"/>
          <w:sz w:val="20"/>
          <w:szCs w:val="20"/>
          <w:lang w:val="en-GB" w:eastAsia="en-GB" w:bidi="ar-SA"/>
        </w:rPr>
        <w:drawing>
          <wp:inline distT="0" distB="0" distL="0" distR="0" wp14:anchorId="1E14B69F" wp14:editId="1BAEAAA3">
            <wp:extent cx="4642039" cy="3142989"/>
            <wp:effectExtent l="0" t="0" r="6350" b="635"/>
            <wp:docPr id="3" name="Picture 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42039" cy="3142989"/>
                    </a:xfrm>
                    <a:prstGeom prst="rect">
                      <a:avLst/>
                    </a:prstGeom>
                  </pic:spPr>
                </pic:pic>
              </a:graphicData>
            </a:graphic>
          </wp:inline>
        </w:drawing>
      </w:r>
    </w:p>
    <w:p w14:paraId="348CD65F"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color w:val="000000"/>
          <w:kern w:val="2"/>
          <w:sz w:val="20"/>
          <w:szCs w:val="20"/>
          <w:lang w:val="en-GB" w:eastAsia="ko-KR" w:bidi="ar-SA"/>
        </w:rPr>
      </w:pPr>
      <w:r w:rsidRPr="00F46218">
        <w:rPr>
          <w:rFonts w:ascii="Times New Roman" w:eastAsia="SimSun" w:hAnsi="Times New Roman"/>
          <w:kern w:val="2"/>
          <w:sz w:val="20"/>
          <w:szCs w:val="20"/>
          <w:lang w:val="en-GB" w:eastAsia="ko-KR" w:bidi="ar-SA"/>
        </w:rPr>
        <w:t xml:space="preserve">Figure 1. </w:t>
      </w:r>
      <w:bookmarkStart w:id="1" w:name="_Hlk102146680"/>
      <w:r w:rsidRPr="00F46218">
        <w:rPr>
          <w:rFonts w:ascii="Times New Roman" w:eastAsia="SimSun" w:hAnsi="Times New Roman"/>
          <w:color w:val="000000"/>
          <w:kern w:val="2"/>
          <w:sz w:val="20"/>
          <w:szCs w:val="20"/>
          <w:lang w:val="en-GB" w:eastAsia="ko-KR" w:bidi="ar-SA"/>
        </w:rPr>
        <w:t>The area of sampling in Northern Malacca Straits affected by monsoonal season (Data source</w:t>
      </w:r>
      <w:bookmarkEnd w:id="1"/>
      <w:r w:rsidRPr="00F46218">
        <w:rPr>
          <w:rFonts w:ascii="Times New Roman" w:eastAsia="SimSun" w:hAnsi="Times New Roman"/>
          <w:color w:val="000000"/>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w:t>
      </w:r>
    </w:p>
    <w:p w14:paraId="1A08CCD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noProof/>
          <w:kern w:val="2"/>
          <w:sz w:val="20"/>
          <w:szCs w:val="20"/>
          <w:lang w:val="en-GB" w:eastAsia="en-GB" w:bidi="ar-SA"/>
        </w:rPr>
        <w:lastRenderedPageBreak/>
        <w:drawing>
          <wp:inline distT="0" distB="0" distL="0" distR="0" wp14:anchorId="16D4DD86" wp14:editId="7F431AE4">
            <wp:extent cx="4642039" cy="3282082"/>
            <wp:effectExtent l="0" t="0" r="6350" b="0"/>
            <wp:docPr id="4" name="Picture 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Ma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2039" cy="3282082"/>
                    </a:xfrm>
                    <a:prstGeom prst="rect">
                      <a:avLst/>
                    </a:prstGeom>
                  </pic:spPr>
                </pic:pic>
              </a:graphicData>
            </a:graphic>
          </wp:inline>
        </w:drawing>
      </w:r>
    </w:p>
    <w:p w14:paraId="5EA7DF4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Figure 2. </w:t>
      </w:r>
      <w:r w:rsidRPr="00F46218">
        <w:rPr>
          <w:rFonts w:ascii="Times New Roman" w:eastAsia="SimSun" w:hAnsi="Times New Roman"/>
          <w:color w:val="000000"/>
          <w:kern w:val="2"/>
          <w:sz w:val="20"/>
          <w:szCs w:val="20"/>
          <w:lang w:val="en-GB" w:eastAsia="ko-KR" w:bidi="ar-SA"/>
        </w:rPr>
        <w:t>Sampling station in the Malacca Straits</w:t>
      </w:r>
    </w:p>
    <w:p w14:paraId="77EC6469" w14:textId="32D6C841"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42D5002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00741404" w14:textId="51BEFBD1" w:rsid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Table 1. Sampling stations along the Malacca Straits</w:t>
      </w:r>
    </w:p>
    <w:p w14:paraId="26CF5705" w14:textId="77777777" w:rsidR="003E6519" w:rsidRPr="00F46218" w:rsidRDefault="003E6519"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tbl>
      <w:tblPr>
        <w:tblW w:w="0" w:type="auto"/>
        <w:jc w:val="center"/>
        <w:tblLook w:val="04A0" w:firstRow="1" w:lastRow="0" w:firstColumn="1" w:lastColumn="0" w:noHBand="0" w:noVBand="1"/>
      </w:tblPr>
      <w:tblGrid>
        <w:gridCol w:w="928"/>
        <w:gridCol w:w="1095"/>
        <w:gridCol w:w="950"/>
        <w:gridCol w:w="1478"/>
        <w:gridCol w:w="1089"/>
      </w:tblGrid>
      <w:tr w:rsidR="00F46218" w:rsidRPr="00F46218" w14:paraId="3A38DBF4" w14:textId="77777777" w:rsidTr="00BB7BEC">
        <w:trPr>
          <w:trHeight w:val="300"/>
          <w:jc w:val="center"/>
        </w:trPr>
        <w:tc>
          <w:tcPr>
            <w:tcW w:w="0" w:type="auto"/>
            <w:tcBorders>
              <w:top w:val="single" w:sz="4" w:space="0" w:color="auto"/>
              <w:bottom w:val="single" w:sz="4" w:space="0" w:color="auto"/>
            </w:tcBorders>
            <w:shd w:val="clear" w:color="auto" w:fill="auto"/>
            <w:noWrap/>
            <w:vAlign w:val="center"/>
            <w:hideMark/>
          </w:tcPr>
          <w:p w14:paraId="00309F3F" w14:textId="77777777" w:rsidR="00F46218" w:rsidRPr="00F46218" w:rsidRDefault="00F46218" w:rsidP="000B5547">
            <w:pPr>
              <w:widowControl w:val="0"/>
              <w:wordWrap w:val="0"/>
              <w:autoSpaceDE w:val="0"/>
              <w:autoSpaceDN w:val="0"/>
              <w:spacing w:after="0"/>
              <w:jc w:val="center"/>
              <w:rPr>
                <w:rFonts w:ascii="Times New Roman" w:hAnsi="Times New Roman"/>
                <w:b/>
                <w:bCs/>
                <w:color w:val="000000"/>
                <w:kern w:val="2"/>
                <w:sz w:val="20"/>
                <w:lang w:val="en-GB" w:eastAsia="en-MY" w:bidi="ar-SA"/>
              </w:rPr>
            </w:pPr>
            <w:r w:rsidRPr="00F46218">
              <w:rPr>
                <w:rFonts w:ascii="Times New Roman" w:eastAsia="SimSun" w:hAnsi="Times New Roman"/>
                <w:b/>
                <w:bCs/>
                <w:kern w:val="2"/>
                <w:sz w:val="20"/>
                <w:szCs w:val="20"/>
                <w:lang w:val="en-GB" w:eastAsia="ko-KR" w:bidi="ar-SA"/>
              </w:rPr>
              <w:t xml:space="preserve">  </w:t>
            </w:r>
            <w:r w:rsidRPr="00F46218">
              <w:rPr>
                <w:rFonts w:ascii="Times New Roman" w:hAnsi="Times New Roman"/>
                <w:b/>
                <w:bCs/>
                <w:color w:val="000000"/>
                <w:kern w:val="2"/>
                <w:sz w:val="20"/>
                <w:lang w:val="en-GB" w:eastAsia="en-MY" w:bidi="ar-SA"/>
              </w:rPr>
              <w:t>Station</w:t>
            </w:r>
          </w:p>
        </w:tc>
        <w:tc>
          <w:tcPr>
            <w:tcW w:w="0" w:type="auto"/>
            <w:tcBorders>
              <w:top w:val="single" w:sz="4" w:space="0" w:color="auto"/>
              <w:bottom w:val="single" w:sz="4" w:space="0" w:color="auto"/>
            </w:tcBorders>
            <w:shd w:val="clear" w:color="auto" w:fill="auto"/>
            <w:noWrap/>
            <w:vAlign w:val="center"/>
            <w:hideMark/>
          </w:tcPr>
          <w:p w14:paraId="6459D36E" w14:textId="77777777" w:rsidR="00F46218" w:rsidRPr="00F46218" w:rsidRDefault="00F46218" w:rsidP="000B5547">
            <w:pPr>
              <w:widowControl w:val="0"/>
              <w:wordWrap w:val="0"/>
              <w:autoSpaceDE w:val="0"/>
              <w:autoSpaceDN w:val="0"/>
              <w:spacing w:after="0"/>
              <w:jc w:val="center"/>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Longitude</w:t>
            </w:r>
          </w:p>
        </w:tc>
        <w:tc>
          <w:tcPr>
            <w:tcW w:w="0" w:type="auto"/>
            <w:tcBorders>
              <w:top w:val="single" w:sz="4" w:space="0" w:color="auto"/>
              <w:bottom w:val="single" w:sz="4" w:space="0" w:color="auto"/>
            </w:tcBorders>
            <w:shd w:val="clear" w:color="auto" w:fill="auto"/>
            <w:noWrap/>
            <w:vAlign w:val="center"/>
            <w:hideMark/>
          </w:tcPr>
          <w:p w14:paraId="65111A5B" w14:textId="77777777" w:rsidR="00F46218" w:rsidRPr="00F46218" w:rsidRDefault="00F46218" w:rsidP="000B5547">
            <w:pPr>
              <w:widowControl w:val="0"/>
              <w:wordWrap w:val="0"/>
              <w:autoSpaceDE w:val="0"/>
              <w:autoSpaceDN w:val="0"/>
              <w:spacing w:after="0"/>
              <w:jc w:val="center"/>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Latitude</w:t>
            </w:r>
          </w:p>
        </w:tc>
        <w:tc>
          <w:tcPr>
            <w:tcW w:w="0" w:type="auto"/>
            <w:tcBorders>
              <w:top w:val="single" w:sz="4" w:space="0" w:color="auto"/>
              <w:bottom w:val="single" w:sz="4" w:space="0" w:color="auto"/>
            </w:tcBorders>
            <w:shd w:val="clear" w:color="auto" w:fill="auto"/>
            <w:noWrap/>
            <w:vAlign w:val="center"/>
            <w:hideMark/>
          </w:tcPr>
          <w:p w14:paraId="5C2CFF01" w14:textId="77777777" w:rsidR="00F46218" w:rsidRPr="00F46218" w:rsidRDefault="00F46218" w:rsidP="000B5547">
            <w:pPr>
              <w:widowControl w:val="0"/>
              <w:wordWrap w:val="0"/>
              <w:autoSpaceDE w:val="0"/>
              <w:autoSpaceDN w:val="0"/>
              <w:spacing w:after="0"/>
              <w:jc w:val="center"/>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Sampling Date</w:t>
            </w:r>
          </w:p>
        </w:tc>
        <w:tc>
          <w:tcPr>
            <w:tcW w:w="0" w:type="auto"/>
            <w:tcBorders>
              <w:top w:val="single" w:sz="4" w:space="0" w:color="auto"/>
              <w:bottom w:val="single" w:sz="4" w:space="0" w:color="auto"/>
            </w:tcBorders>
            <w:shd w:val="clear" w:color="auto" w:fill="auto"/>
            <w:noWrap/>
            <w:vAlign w:val="center"/>
            <w:hideMark/>
          </w:tcPr>
          <w:p w14:paraId="453FC36C" w14:textId="77777777" w:rsidR="00F46218" w:rsidRPr="00F46218" w:rsidRDefault="00F46218" w:rsidP="000B5547">
            <w:pPr>
              <w:widowControl w:val="0"/>
              <w:wordWrap w:val="0"/>
              <w:autoSpaceDE w:val="0"/>
              <w:autoSpaceDN w:val="0"/>
              <w:spacing w:after="0"/>
              <w:jc w:val="center"/>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Depth (m)</w:t>
            </w:r>
          </w:p>
        </w:tc>
      </w:tr>
      <w:tr w:rsidR="00F46218" w:rsidRPr="00F46218" w14:paraId="2DDA11AF" w14:textId="77777777" w:rsidTr="00BB7BEC">
        <w:trPr>
          <w:trHeight w:val="315"/>
          <w:jc w:val="center"/>
        </w:trPr>
        <w:tc>
          <w:tcPr>
            <w:tcW w:w="0" w:type="auto"/>
            <w:shd w:val="clear" w:color="auto" w:fill="auto"/>
            <w:noWrap/>
            <w:vAlign w:val="center"/>
            <w:hideMark/>
          </w:tcPr>
          <w:p w14:paraId="325AF1B0"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N95</w:t>
            </w:r>
          </w:p>
        </w:tc>
        <w:tc>
          <w:tcPr>
            <w:tcW w:w="0" w:type="auto"/>
            <w:shd w:val="clear" w:color="auto" w:fill="auto"/>
            <w:noWrap/>
            <w:vAlign w:val="center"/>
            <w:hideMark/>
          </w:tcPr>
          <w:p w14:paraId="65F6C2C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99.9606</w:t>
            </w:r>
          </w:p>
        </w:tc>
        <w:tc>
          <w:tcPr>
            <w:tcW w:w="0" w:type="auto"/>
            <w:shd w:val="clear" w:color="auto" w:fill="auto"/>
            <w:noWrap/>
            <w:vAlign w:val="center"/>
            <w:hideMark/>
          </w:tcPr>
          <w:p w14:paraId="469C38D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6.0069</w:t>
            </w:r>
          </w:p>
        </w:tc>
        <w:tc>
          <w:tcPr>
            <w:tcW w:w="0" w:type="auto"/>
            <w:shd w:val="clear" w:color="auto" w:fill="auto"/>
            <w:noWrap/>
            <w:vAlign w:val="center"/>
            <w:hideMark/>
          </w:tcPr>
          <w:p w14:paraId="723C9DE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1/5/2018</w:t>
            </w:r>
          </w:p>
        </w:tc>
        <w:tc>
          <w:tcPr>
            <w:tcW w:w="0" w:type="auto"/>
            <w:shd w:val="clear" w:color="auto" w:fill="auto"/>
            <w:noWrap/>
            <w:vAlign w:val="center"/>
            <w:hideMark/>
          </w:tcPr>
          <w:p w14:paraId="1A82FAB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39.5</w:t>
            </w:r>
          </w:p>
        </w:tc>
      </w:tr>
      <w:tr w:rsidR="00F46218" w:rsidRPr="00F46218" w14:paraId="12250A71" w14:textId="77777777" w:rsidTr="00BB7BEC">
        <w:trPr>
          <w:trHeight w:val="315"/>
          <w:jc w:val="center"/>
        </w:trPr>
        <w:tc>
          <w:tcPr>
            <w:tcW w:w="0" w:type="auto"/>
            <w:shd w:val="clear" w:color="auto" w:fill="auto"/>
            <w:noWrap/>
            <w:vAlign w:val="center"/>
            <w:hideMark/>
          </w:tcPr>
          <w:p w14:paraId="21E52511"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N99</w:t>
            </w:r>
          </w:p>
        </w:tc>
        <w:tc>
          <w:tcPr>
            <w:tcW w:w="0" w:type="auto"/>
            <w:shd w:val="clear" w:color="auto" w:fill="auto"/>
            <w:noWrap/>
            <w:vAlign w:val="center"/>
            <w:hideMark/>
          </w:tcPr>
          <w:p w14:paraId="6ECBC36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99.9811</w:t>
            </w:r>
          </w:p>
        </w:tc>
        <w:tc>
          <w:tcPr>
            <w:tcW w:w="0" w:type="auto"/>
            <w:shd w:val="clear" w:color="auto" w:fill="auto"/>
            <w:noWrap/>
            <w:vAlign w:val="center"/>
            <w:hideMark/>
          </w:tcPr>
          <w:p w14:paraId="1A136803"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5.4428</w:t>
            </w:r>
          </w:p>
        </w:tc>
        <w:tc>
          <w:tcPr>
            <w:tcW w:w="0" w:type="auto"/>
            <w:shd w:val="clear" w:color="auto" w:fill="auto"/>
            <w:noWrap/>
            <w:vAlign w:val="center"/>
            <w:hideMark/>
          </w:tcPr>
          <w:p w14:paraId="7589F3A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4855798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40.8</w:t>
            </w:r>
          </w:p>
        </w:tc>
      </w:tr>
      <w:tr w:rsidR="00F46218" w:rsidRPr="00F46218" w14:paraId="2953B054" w14:textId="77777777" w:rsidTr="00BB7BEC">
        <w:trPr>
          <w:trHeight w:val="315"/>
          <w:jc w:val="center"/>
        </w:trPr>
        <w:tc>
          <w:tcPr>
            <w:tcW w:w="0" w:type="auto"/>
            <w:shd w:val="clear" w:color="auto" w:fill="auto"/>
            <w:noWrap/>
            <w:vAlign w:val="center"/>
            <w:hideMark/>
          </w:tcPr>
          <w:p w14:paraId="320E39F6"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N103</w:t>
            </w:r>
          </w:p>
        </w:tc>
        <w:tc>
          <w:tcPr>
            <w:tcW w:w="0" w:type="auto"/>
            <w:shd w:val="clear" w:color="auto" w:fill="auto"/>
            <w:noWrap/>
            <w:vAlign w:val="center"/>
            <w:hideMark/>
          </w:tcPr>
          <w:p w14:paraId="66D272F3"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100.44</w:t>
            </w:r>
          </w:p>
        </w:tc>
        <w:tc>
          <w:tcPr>
            <w:tcW w:w="0" w:type="auto"/>
            <w:shd w:val="clear" w:color="auto" w:fill="auto"/>
            <w:noWrap/>
            <w:vAlign w:val="center"/>
            <w:hideMark/>
          </w:tcPr>
          <w:p w14:paraId="3290B34A"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4.9433</w:t>
            </w:r>
          </w:p>
        </w:tc>
        <w:tc>
          <w:tcPr>
            <w:tcW w:w="0" w:type="auto"/>
            <w:shd w:val="clear" w:color="auto" w:fill="auto"/>
            <w:noWrap/>
            <w:vAlign w:val="center"/>
            <w:hideMark/>
          </w:tcPr>
          <w:p w14:paraId="743ADDA5"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1155F2E3"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15.5</w:t>
            </w:r>
          </w:p>
        </w:tc>
      </w:tr>
      <w:tr w:rsidR="00F46218" w:rsidRPr="00F46218" w14:paraId="2656C670" w14:textId="77777777" w:rsidTr="00BB7BEC">
        <w:trPr>
          <w:trHeight w:val="315"/>
          <w:jc w:val="center"/>
        </w:trPr>
        <w:tc>
          <w:tcPr>
            <w:tcW w:w="0" w:type="auto"/>
            <w:shd w:val="clear" w:color="auto" w:fill="auto"/>
            <w:noWrap/>
            <w:vAlign w:val="center"/>
            <w:hideMark/>
          </w:tcPr>
          <w:p w14:paraId="0AA05365"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N106</w:t>
            </w:r>
          </w:p>
        </w:tc>
        <w:tc>
          <w:tcPr>
            <w:tcW w:w="0" w:type="auto"/>
            <w:shd w:val="clear" w:color="auto" w:fill="auto"/>
            <w:noWrap/>
            <w:vAlign w:val="center"/>
            <w:hideMark/>
          </w:tcPr>
          <w:p w14:paraId="43AC0B1B"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100.4561</w:t>
            </w:r>
          </w:p>
        </w:tc>
        <w:tc>
          <w:tcPr>
            <w:tcW w:w="0" w:type="auto"/>
            <w:shd w:val="clear" w:color="auto" w:fill="auto"/>
            <w:noWrap/>
            <w:vAlign w:val="center"/>
            <w:hideMark/>
          </w:tcPr>
          <w:p w14:paraId="3A32D43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4.3733</w:t>
            </w:r>
          </w:p>
        </w:tc>
        <w:tc>
          <w:tcPr>
            <w:tcW w:w="0" w:type="auto"/>
            <w:shd w:val="clear" w:color="auto" w:fill="auto"/>
            <w:noWrap/>
            <w:vAlign w:val="center"/>
            <w:hideMark/>
          </w:tcPr>
          <w:p w14:paraId="4B05024C"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1A360B2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22.0</w:t>
            </w:r>
          </w:p>
        </w:tc>
      </w:tr>
      <w:tr w:rsidR="00F46218" w:rsidRPr="00F46218" w14:paraId="69577D7C" w14:textId="77777777" w:rsidTr="00BB7BEC">
        <w:trPr>
          <w:trHeight w:val="315"/>
          <w:jc w:val="center"/>
        </w:trPr>
        <w:tc>
          <w:tcPr>
            <w:tcW w:w="0" w:type="auto"/>
            <w:tcBorders>
              <w:bottom w:val="single" w:sz="4" w:space="0" w:color="auto"/>
            </w:tcBorders>
            <w:shd w:val="clear" w:color="auto" w:fill="auto"/>
            <w:noWrap/>
            <w:vAlign w:val="center"/>
            <w:hideMark/>
          </w:tcPr>
          <w:p w14:paraId="6A07866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N108</w:t>
            </w:r>
          </w:p>
        </w:tc>
        <w:tc>
          <w:tcPr>
            <w:tcW w:w="0" w:type="auto"/>
            <w:tcBorders>
              <w:bottom w:val="single" w:sz="4" w:space="0" w:color="auto"/>
            </w:tcBorders>
            <w:shd w:val="clear" w:color="auto" w:fill="auto"/>
            <w:noWrap/>
            <w:vAlign w:val="center"/>
            <w:hideMark/>
          </w:tcPr>
          <w:p w14:paraId="3DBC4E2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100.4828</w:t>
            </w:r>
          </w:p>
        </w:tc>
        <w:tc>
          <w:tcPr>
            <w:tcW w:w="0" w:type="auto"/>
            <w:tcBorders>
              <w:bottom w:val="single" w:sz="4" w:space="0" w:color="auto"/>
            </w:tcBorders>
            <w:shd w:val="clear" w:color="auto" w:fill="auto"/>
            <w:noWrap/>
            <w:vAlign w:val="center"/>
            <w:hideMark/>
          </w:tcPr>
          <w:p w14:paraId="7C0FDAA1"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3.8247</w:t>
            </w:r>
          </w:p>
        </w:tc>
        <w:tc>
          <w:tcPr>
            <w:tcW w:w="0" w:type="auto"/>
            <w:tcBorders>
              <w:bottom w:val="single" w:sz="4" w:space="0" w:color="auto"/>
            </w:tcBorders>
            <w:shd w:val="clear" w:color="auto" w:fill="auto"/>
            <w:noWrap/>
            <w:vAlign w:val="center"/>
            <w:hideMark/>
          </w:tcPr>
          <w:p w14:paraId="07433AD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tcBorders>
              <w:bottom w:val="single" w:sz="4" w:space="0" w:color="auto"/>
            </w:tcBorders>
            <w:shd w:val="clear" w:color="auto" w:fill="auto"/>
            <w:noWrap/>
            <w:vAlign w:val="center"/>
            <w:hideMark/>
          </w:tcPr>
          <w:p w14:paraId="39360B2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67.8</w:t>
            </w:r>
          </w:p>
        </w:tc>
      </w:tr>
    </w:tbl>
    <w:p w14:paraId="5C75EA7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1F431609"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0B5547">
          <w:type w:val="continuous"/>
          <w:pgSz w:w="12240" w:h="15840" w:code="1"/>
          <w:pgMar w:top="1800" w:right="1469" w:bottom="1699" w:left="1440" w:header="706" w:footer="706" w:gutter="0"/>
          <w:pgNumType w:start="1"/>
          <w:cols w:space="403"/>
          <w:docGrid w:linePitch="360"/>
        </w:sectPr>
      </w:pPr>
    </w:p>
    <w:p w14:paraId="32B0D11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Geochemical element analysis was conducted, following the methods in Rahim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In summary, the dry and homogenised sediment was used and mixed with a mixture of 10 mL nitric acid (HNO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5 mL perchloric acid (HClO</w:t>
      </w:r>
      <w:r w:rsidRPr="00F46218">
        <w:rPr>
          <w:rFonts w:ascii="Times New Roman" w:eastAsia="SimSun" w:hAnsi="Times New Roman"/>
          <w:kern w:val="2"/>
          <w:sz w:val="20"/>
          <w:szCs w:val="20"/>
          <w:vertAlign w:val="subscript"/>
          <w:lang w:val="en-GB" w:eastAsia="ko-KR" w:bidi="ar-SA"/>
        </w:rPr>
        <w:t>4</w:t>
      </w:r>
      <w:r w:rsidRPr="00F46218">
        <w:rPr>
          <w:rFonts w:ascii="Times New Roman" w:eastAsia="SimSun" w:hAnsi="Times New Roman"/>
          <w:kern w:val="2"/>
          <w:sz w:val="20"/>
          <w:szCs w:val="20"/>
          <w:lang w:val="en-GB" w:eastAsia="ko-KR" w:bidi="ar-SA"/>
        </w:rPr>
        <w:t xml:space="preserve">) and 1 mL hydrofluoric acid (HF) for 2 h in a Teflon beaker at 120°C. With the acquisition of three replicates for each sample, the concentration of Al, Fe, </w:t>
      </w:r>
      <w:proofErr w:type="spellStart"/>
      <w:r w:rsidRPr="00F46218">
        <w:rPr>
          <w:rFonts w:ascii="Times New Roman" w:eastAsia="SimSun" w:hAnsi="Times New Roman"/>
          <w:kern w:val="2"/>
          <w:sz w:val="20"/>
          <w:szCs w:val="20"/>
          <w:lang w:val="en-GB" w:eastAsia="ko-KR" w:bidi="ar-SA"/>
        </w:rPr>
        <w:t>Ti</w:t>
      </w:r>
      <w:proofErr w:type="spellEnd"/>
      <w:r w:rsidRPr="00F46218">
        <w:rPr>
          <w:rFonts w:ascii="Times New Roman" w:eastAsia="SimSun" w:hAnsi="Times New Roman"/>
          <w:kern w:val="2"/>
          <w:sz w:val="20"/>
          <w:szCs w:val="20"/>
          <w:lang w:val="en-GB" w:eastAsia="ko-KR" w:bidi="ar-SA"/>
        </w:rPr>
        <w:t xml:space="preserve">, Mn, Mg and Cr were determined using Inductively Coupled Plasma Mass Spectrometry (ICP-MS). Standard reference material (NIST 1633b) was used for the five replicates, to assess the yield and effectiveness of the established methods. The yield obtained was between 88% and 92%, with an </w:t>
      </w:r>
      <w:r w:rsidRPr="00F46218">
        <w:rPr>
          <w:rFonts w:ascii="Times New Roman" w:eastAsia="SimSun" w:hAnsi="Times New Roman"/>
          <w:kern w:val="2"/>
          <w:sz w:val="20"/>
          <w:szCs w:val="20"/>
          <w:lang w:val="en-GB" w:eastAsia="ko-KR" w:bidi="ar-SA"/>
        </w:rPr>
        <w:t xml:space="preserve">average result of 13.54 ± 0.1% for Al, 7.00 ± 0.03% for Fe, 0.71 ± 0.02% for </w:t>
      </w:r>
      <w:proofErr w:type="spellStart"/>
      <w:r w:rsidRPr="00F46218">
        <w:rPr>
          <w:rFonts w:ascii="Times New Roman" w:eastAsia="SimSun" w:hAnsi="Times New Roman"/>
          <w:kern w:val="2"/>
          <w:sz w:val="20"/>
          <w:szCs w:val="20"/>
          <w:lang w:val="en-GB" w:eastAsia="ko-KR" w:bidi="ar-SA"/>
        </w:rPr>
        <w:t>Ti</w:t>
      </w:r>
      <w:proofErr w:type="spellEnd"/>
      <w:r w:rsidRPr="00F46218">
        <w:rPr>
          <w:rFonts w:ascii="Times New Roman" w:eastAsia="SimSun" w:hAnsi="Times New Roman"/>
          <w:kern w:val="2"/>
          <w:sz w:val="20"/>
          <w:szCs w:val="20"/>
          <w:lang w:val="en-GB" w:eastAsia="ko-KR" w:bidi="ar-SA"/>
        </w:rPr>
        <w:t xml:space="preserve">, 0.43 ± 0.04% for Mg,118.55 ± 1.1 µg/g for Mn and 174.41 ± 1.3 µg/g for Cr. </w:t>
      </w:r>
    </w:p>
    <w:p w14:paraId="445139FD"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F0C61A8" w14:textId="77777777" w:rsidR="003E6519" w:rsidRDefault="00F46218" w:rsidP="003E6519">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For organic matter (OM) and calcium carbonate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content, the loss of ignition (LOI) method was used, as suggested by Santisteban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{"citationItems":[{"id":"ITEM-1","itemData":{"DOI":"10.1023/B:JOPL.0000042999.30131.5b","ISBN":"0921-2728","ISSN":"0921-2728","PMID":"76","abstract":"Since the publication of the paper of Dean (1974), loss on ignition (LOT) has been widely used as a method to estimate the amount of organic matter and carbonate mineral content (and indirectly of organic and inorganic carbon) in sediments. The relationships between LOI at 550 degreesC (LOI550) and organic carbon (OC) content and between LOI at 950 degreesC (LOI950) and inorganic carbon (IC) content are currently accepted as a standard. However, the comparison of 150 analyses of samples of diverse lithologies, collected from a single core, reveals that these relationships are affected by sediment composition (presence of clays, salts, and the variable content of organic carbon). This results in an incremental error on the estimation of carbon content from LOI values that invalidates the use of LOI values as a quantitative method for estimating carbon content. Conversely, the general trends of LOI550 and LOI950 show a good correlation with carbon content (both organic and inorganic) allowing use of LOI as a qualitative test for carbon content. Similarly, in our case, LOI at 105degreesC (LOI105) is a good qualitative proxy for the trends in gypsum content.","author":[{"dropping-particle":"","family":"Santisteban","given":"Juan I.","non-dropping-particle":"","parse-names":false,"suffix":""},{"dropping-particle":"","family":"Mediavilla","given":"Rosa","non-dropping-particle":"","parse-names":false,"suffix":""},{"dropping-particle":"","family":"López-Pamo","given":"Enrique","non-dropping-particle":"","parse-names":false,"suffix":""},{"dropping-particle":"","family":"Dabrio","given":"Cristino J.","non-dropping-particle":"","parse-names":false,"suffix":""},{"dropping-particle":"","family":"Blanca Ruiz Zapata","given":"M.","non-dropping-particle":"","parse-names":false,"suffix":""},{"dropping-particle":"","family":"José Gil García","given":"M.","non-dropping-particle":"","parse-names":false,"suffix":""},{"dropping-particle":"","family":"Castaño","given":"Silvino","non-dropping-particle":"","parse-names":false,"suffix":""},{"dropping-particle":"","family":"Martínez-Alfaro","given":"Pedro E.","non-dropping-particle":"","parse-names":false,"suffix":""}],"container-title":"Journal of Paleolimnology","id":"ITEM-1","issue":"3","issued":{"date-parts":[["2004"]]},"page":"287-299","title":"Loss on ignition: a qualitative or quantitative method for organic matter and carbonate mineral content in sediments?","type":"article-journal","volume":"32"},"uris":["http://www.mendeley.com/documents/?uuid=6e231acd-8392-4320-93ee-b73433ed4adb"]}],"mendeley":{"formattedCitation":"[21]","plainTextFormattedCitation":"[21]","previouslyFormattedCitation":"[21]"},"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[21]</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The dried, finely ground and homogenised sediment was weighed accordingly and treated with high combustion heat for 4 hours at 550°C in a furnace. After heating, the sample was cooled down in the desiccator and weighed again. The same sample was then treated for 2 hours at 950°C,  for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determination. </w:t>
      </w:r>
    </w:p>
    <w:p w14:paraId="035A5709" w14:textId="64168580" w:rsidR="00F46218" w:rsidRPr="00F46218" w:rsidRDefault="00F46218" w:rsidP="003E651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lastRenderedPageBreak/>
        <w:t>Results and Discussion</w:t>
      </w:r>
    </w:p>
    <w:p w14:paraId="3BC9939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w:t>
      </w:r>
      <w:r w:rsidRPr="003E6519">
        <w:rPr>
          <w:rFonts w:ascii="Times New Roman" w:eastAsia="SimSun" w:hAnsi="Times New Roman"/>
          <w:kern w:val="2"/>
          <w:sz w:val="20"/>
          <w:szCs w:val="20"/>
          <w:lang w:val="en-GB" w:eastAsia="ko-KR" w:bidi="ar-SA"/>
        </w:rPr>
        <w:t>he data in Table 2 shows</w:t>
      </w:r>
      <w:r w:rsidRPr="00F46218">
        <w:rPr>
          <w:rFonts w:ascii="Times New Roman" w:eastAsia="SimSun" w:hAnsi="Times New Roman"/>
          <w:kern w:val="2"/>
          <w:sz w:val="20"/>
          <w:szCs w:val="20"/>
          <w:lang w:val="en-GB" w:eastAsia="ko-KR" w:bidi="ar-SA"/>
        </w:rPr>
        <w:t xml:space="preserve"> that the average percentage was 10.93% for clay, 37.99% for silt and 51.08% for sand, while OM and CaCO</w:t>
      </w:r>
      <w:r w:rsidRPr="00F46218">
        <w:rPr>
          <w:rFonts w:ascii="Times New Roman" w:eastAsia="SimSun" w:hAnsi="Times New Roman"/>
          <w:kern w:val="2"/>
          <w:sz w:val="20"/>
          <w:szCs w:val="20"/>
          <w:vertAlign w:val="subscript"/>
          <w:lang w:val="en-GB" w:eastAsia="ko-KR" w:bidi="ar-SA"/>
        </w:rPr>
        <w:t xml:space="preserve">3 </w:t>
      </w:r>
      <w:r w:rsidRPr="00F46218">
        <w:rPr>
          <w:rFonts w:ascii="Times New Roman" w:eastAsia="SimSun" w:hAnsi="Times New Roman"/>
          <w:kern w:val="2"/>
          <w:sz w:val="20"/>
          <w:szCs w:val="20"/>
          <w:lang w:val="en-GB" w:eastAsia="ko-KR" w:bidi="ar-SA"/>
        </w:rPr>
        <w:t>averaged 5.87% and 9.51%, respectively, along the Malacca Strait. There was an average difference of OM (5.41%) and CaCO</w:t>
      </w:r>
      <w:r w:rsidRPr="00F46218">
        <w:rPr>
          <w:rFonts w:ascii="Times New Roman" w:eastAsia="SimSun" w:hAnsi="Times New Roman"/>
          <w:kern w:val="2"/>
          <w:sz w:val="20"/>
          <w:szCs w:val="20"/>
          <w:vertAlign w:val="subscript"/>
          <w:lang w:val="en-GB" w:eastAsia="ko-KR" w:bidi="ar-SA"/>
        </w:rPr>
        <w:t xml:space="preserve">3 </w:t>
      </w:r>
      <w:r w:rsidRPr="00F46218">
        <w:rPr>
          <w:rFonts w:ascii="Times New Roman" w:eastAsia="SimSun" w:hAnsi="Times New Roman"/>
          <w:kern w:val="2"/>
          <w:sz w:val="20"/>
          <w:szCs w:val="20"/>
          <w:lang w:val="en-GB" w:eastAsia="ko-KR" w:bidi="ar-SA"/>
        </w:rPr>
        <w:t>(9.51%) between stations N95 and N108, where station N95 dominated with a higher value for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In the meantime, the difference between N95 and N108 was apparent in the sediment, where a higher value of silt was present in N95, while N108 secured a higher value for clay and sand content in its sediment. This suggests that constant remobilisation acts on surface sediments and that this occurred at station N108. The constant discharge of particulates due to anthropogenic inputs and frequent precipitation from the nearby drainage basin, lead to the dominance of clay and sand at station N108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{"citationItems":[{"id":"ITEM-1","itemData":{"DOI":"10.11113/jt.v74.4877","ISSN":"2180-3722","abstract":"Riverbank filtration technology in securing water resource is still new to some developing countries such as Malaysia. This research has been carried out at Kota Lama Kiri in the Kuala Kangsar, Perak, Malaysia to study the removal on the turbidity, iron, color, and E.coli by riverbank filtration. Characteristics of soil samples from pumping well (PW) was investigated. The soil samples were collected during the development and construction process of the PW. The water quality analyses were performed on site during the pumping test program. The soil samples collected were transported to the Geotechnical Engineering Laboratory, Universiti Sains Malaysia where sieve analyses and permeability test were performed with reference to BS 1377: Part 2:1990. Results of sieve analyses shows that the value of Cu (coefficient of uniformity) for the PW was found to be within the range of 2.40 to 3.75 mm while the value of Cc (coefficient of gradation) lies in the range of 0.06-0.35 mm. The ANOVA One Way Test for soil strata of the PW was performed using MINITAB statistical packages and the results indicate that the p-value was 0.996. It was found that there were no significance differences between the mean size of soil samples from different depths within the PW. The hydraulic conductivity, k value for PW ranges between 0.10-5.65 cm/s. Removal of turbidity, color, iron, and E.coli were 98.78%, 73.56%, and 87.93%, respectively. In this study, the highest removal efficiency of E.coli was found to be 100%.The overall well production from the pumping test was found 112.10 m3/hr.","author":[{"dropping-particle":"","family":"Othman","given":"Siti Zahirah","non-dropping-particle":"","parse-names":false,"suffix":""},{"dropping-particle":"","family":"Adlan","given":"Mohd Nordin","non-dropping-particle":"","parse-names":false,"suffix":""},{"dropping-particle":"","family":"Selamat","given":"Mohamad Razip","non-dropping-particle":"","parse-names":false,"suffix":""}],"container-title":"Jurnal Teknologi","id":"ITEM-1","issue":"11","issued":{"date-parts":[["2015","6","25"]]},"page":"83-91","title":"A study on the potential of riverbank filtration for the removal of color, iron, turbidity and E. Coli in Sungai Perak, Kota Lama Kiri, Kuala Kangsar, Perak, Malaysia","type":"article-journal","volume":"74"},"uris":["http://www.mendeley.com/documents/?uuid=28730614-de67-4163-a83a-8001da9a16d1","http://www.mendeley.com/documents/?uuid=e795bf31-a90b-4863-a5db-42893596132d"]}],"mendeley":{"formattedCitation":"[22]","plainTextFormattedCitation":"[22]","previouslyFormattedCitation":"[22]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According to Ramaswamy et al. </w:t>
      </w:r>
      <w:bookmarkStart w:id="2" w:name="_Hlk102146758"/>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[23]</w:t>
      </w:r>
      <w:r w:rsidRPr="00F46218">
        <w:rPr>
          <w:rFonts w:ascii="Times New Roman" w:eastAsia="SimSun" w:hAnsi="Times New Roman"/>
          <w:kern w:val="2"/>
          <w:sz w:val="20"/>
          <w:szCs w:val="20"/>
          <w:lang w:val="en-GB" w:eastAsia="ko-KR" w:bidi="ar-SA"/>
        </w:rPr>
        <w:fldChar w:fldCharType="end"/>
      </w:r>
      <w:bookmarkEnd w:id="2"/>
      <w:r w:rsidRPr="00F46218">
        <w:rPr>
          <w:rFonts w:ascii="Times New Roman" w:eastAsia="SimSun" w:hAnsi="Times New Roman"/>
          <w:kern w:val="2"/>
          <w:sz w:val="20"/>
          <w:szCs w:val="20"/>
          <w:lang w:val="en-GB" w:eastAsia="ko-KR" w:bidi="ar-SA"/>
        </w:rPr>
        <w:t xml:space="preserve">, sediment discharge from the Irrawaddy River, due to the continuous weathering of igneous rock, leads to accumulation within the Irrawaddy Delta. In addition, the severity of the monsoonal seasons has an effect on the Andaman Sea, extending to the Gulf of Martaban. Hence, the tides, waves and the Ekman transport generates a net motion via the monsoonal season, </w:t>
      </w:r>
      <w:r w:rsidRPr="00F46218">
        <w:rPr>
          <w:rFonts w:ascii="Times New Roman" w:eastAsia="SimSun" w:hAnsi="Times New Roman"/>
          <w:kern w:val="2"/>
          <w:sz w:val="20"/>
          <w:szCs w:val="20"/>
          <w:lang w:val="en-GB" w:eastAsia="ko-KR" w:bidi="ar-SA"/>
        </w:rPr>
        <w:t xml:space="preserve">causing mass migration of suspended particulates towards station N95, before sinking to the bottom. </w:t>
      </w:r>
    </w:p>
    <w:p w14:paraId="3F2FDED9"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A85004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In nutrient distribution along the Malacca Strait, the average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acquired was 5.87 ± 0.12% and 9.51 ± 0.28%, respectively. There is a difference in OM (5.41%)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(8.24%) content between stations N95 and N108, due to the exposure of the neighbouring shelf, where hydrological changes affect the total distribution along the Malacca Strait. There are higher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contents at N95, compared to N108, due to hydrological factors taking place within the Malacca Straits. According to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mendeley":{"formattedCitation":"[24]","plainTextFormattedCitation":"[24]","previouslyFormattedCitation":"[24]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general circulation of the Malacca Strait was affected by monsoonal seasons, producing ebb tides which, in turn, affected the sediment composition present in the Malacca Straits. The presence of the monsoonal season affects seabed sediment as the major sink, where the rate of removal is higher, in accordance with diffusion rates in the seabed sediment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{"citationItems":[{"id":"ITEM-1","itemData":{"ISSN":"22318526","abstract":"This study compares the distribution of dissolved nutrients (NO 3− and PO 43− ) between two seasons (pre-monsoon and post-monsoon) in Pulau Perhentian, Terengganu. The concentration of dissolved PO 43− was found to be 16 to 83 times higher during the post-monsoon period (April 2015) compared to the pre-monsoon period (October 2014). On the other hand, the concentration of dissolved NO 3− was two (2) to three (3) times higher during the post-monsoon period (April 2015) compared to the pre-monsoon period (October 2014). These nutrients’ inputs were converted from P limitation condition during the pre-monsoon period to N limitation condition during the post-monsoon period at our study area. The results of this study suggest that the Northeast monsoon plays an important role in influencing the distribution of dissolved nutrients between seasons in Pulau Perhentian. It is thought that during the post-monsoon period, a considerable input of nutrients from bottom water is responsible for increasing dissolved nutrients in surface water, in particular PO 43− .","author":[{"dropping-particle":"","family":"Mohamed","given":"Khairul Nizam","non-dropping-particle":"","parse-names":false,"suffix":""},{"dropping-particle":"","family":"Godon","given":"Edriana","non-dropping-particle":"","parse-names":false,"suffix":""},{"dropping-particle":"","family":"Adnan","given":"Nur Aklili","non-dropping-particle":"","parse-names":false,"suffix":""},{"dropping-particle":"","family":"Rahim","given":"Quraisha Abdul","non-dropping-particle":"","parse-names":false,"suffix":""},{"dropping-particle":"","family":"Liew","given":"Cynthia","non-dropping-particle":"","parse-names":false,"suffix":""},{"dropping-particle":"","family":"Abidin","given":"Aizad Imran Zainal","non-dropping-particle":"","parse-names":false,"suffix":""},{"dropping-particle":"","family":"Zainuddin","given":"Muhammad Faiz","non-dropping-particle":"","parse-names":false,"suffix":""}],"container-title":"Pertanika Journal of Science and Technology","id":"ITEM-1","issue":"2","issued":{"date-parts":[["2019"]]},"page":"601-617","title":"Study of dissolved nutrient condition at pulau perhentian, Terengganu","type":"article-journal","volume":"27"},"uris":["http://www.mendeley.com/documents/?uuid=b6e2f2d5-9835-41f8-a696-bd6144e5d00f"]}],"mendeley":{"formattedCitation":"[25]","plainTextFormattedCitation":"[25]","previouslyFormattedCitation":"[25]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Similar to composition differences in textural sediments, the monsoonal season affects the coast where the reworking process on the seabed sediment is present, leading to the constant production of nutrients along the station. </w:t>
      </w:r>
    </w:p>
    <w:p w14:paraId="6BB10772"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161324">
          <w:type w:val="continuous"/>
          <w:pgSz w:w="12240" w:h="15840" w:code="1"/>
          <w:pgMar w:top="1800" w:right="1469" w:bottom="1699" w:left="1440" w:header="706" w:footer="706" w:gutter="0"/>
          <w:pgNumType w:start="1"/>
          <w:cols w:num="2" w:space="403"/>
          <w:docGrid w:linePitch="360"/>
        </w:sectPr>
      </w:pPr>
    </w:p>
    <w:p w14:paraId="2C7A329D" w14:textId="77777777" w:rsidR="00161324" w:rsidRPr="00F46218"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78ADC90D" w14:textId="77777777" w:rsidR="00F46218" w:rsidRPr="00F46218" w:rsidRDefault="00F46218" w:rsidP="000B5547">
      <w:pPr>
        <w:widowControl w:val="0"/>
        <w:wordWrap w:val="0"/>
        <w:autoSpaceDE w:val="0"/>
        <w:autoSpaceDN w:val="0"/>
        <w:spacing w:after="0"/>
        <w:jc w:val="center"/>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2.  </w:t>
      </w:r>
      <w:r w:rsidRPr="00F46218">
        <w:rPr>
          <w:rFonts w:ascii="Times New Roman" w:eastAsia="SimSun" w:hAnsi="Times New Roman"/>
          <w:color w:val="000000"/>
          <w:kern w:val="2"/>
          <w:sz w:val="20"/>
          <w:szCs w:val="18"/>
          <w:lang w:val="en-GB" w:eastAsia="ko-KR" w:bidi="ar-SA"/>
        </w:rPr>
        <w:t>Physio-chemical characteristics of sediment in the Malacca Straits</w:t>
      </w:r>
    </w:p>
    <w:p w14:paraId="3E06DE86" w14:textId="77777777" w:rsidR="00F46218" w:rsidRPr="00F46218" w:rsidRDefault="00F46218" w:rsidP="000B5547">
      <w:pPr>
        <w:widowControl w:val="0"/>
        <w:wordWrap w:val="0"/>
        <w:autoSpaceDE w:val="0"/>
        <w:autoSpaceDN w:val="0"/>
        <w:spacing w:after="0"/>
        <w:jc w:val="center"/>
        <w:rPr>
          <w:rFonts w:ascii="Times New Roman" w:eastAsia="SimSun" w:hAnsi="Times New Roman"/>
          <w:color w:val="000000"/>
          <w:kern w:val="2"/>
          <w:sz w:val="20"/>
          <w:szCs w:val="18"/>
          <w:lang w:val="en-GB" w:eastAsia="ko-KR" w:bidi="ar-SA"/>
        </w:rPr>
      </w:pPr>
    </w:p>
    <w:tbl>
      <w:tblPr>
        <w:tblW w:w="6808" w:type="dxa"/>
        <w:jc w:val="center"/>
        <w:tblLook w:val="04A0" w:firstRow="1" w:lastRow="0" w:firstColumn="1" w:lastColumn="0" w:noHBand="0" w:noVBand="1"/>
      </w:tblPr>
      <w:tblGrid>
        <w:gridCol w:w="923"/>
        <w:gridCol w:w="1116"/>
        <w:gridCol w:w="992"/>
        <w:gridCol w:w="1153"/>
        <w:gridCol w:w="1256"/>
        <w:gridCol w:w="1368"/>
      </w:tblGrid>
      <w:tr w:rsidR="000B5547" w:rsidRPr="00F46218" w14:paraId="1CC589CA" w14:textId="77777777" w:rsidTr="00E61C26">
        <w:trPr>
          <w:trHeight w:val="284"/>
          <w:jc w:val="center"/>
        </w:trPr>
        <w:tc>
          <w:tcPr>
            <w:tcW w:w="0" w:type="auto"/>
            <w:tcBorders>
              <w:top w:val="single" w:sz="4" w:space="0" w:color="auto"/>
              <w:bottom w:val="single" w:sz="4" w:space="0" w:color="auto"/>
            </w:tcBorders>
            <w:shd w:val="clear" w:color="auto" w:fill="auto"/>
            <w:noWrap/>
            <w:vAlign w:val="center"/>
            <w:hideMark/>
          </w:tcPr>
          <w:p w14:paraId="28939C9D"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szCs w:val="20"/>
                <w:lang w:val="en-GB" w:eastAsia="en-MY" w:bidi="ar-SA"/>
              </w:rPr>
            </w:pPr>
            <w:r w:rsidRPr="00F46218">
              <w:rPr>
                <w:rFonts w:ascii="Times New Roman" w:hAnsi="Times New Roman"/>
                <w:b/>
                <w:bCs/>
                <w:kern w:val="2"/>
                <w:sz w:val="20"/>
                <w:szCs w:val="20"/>
                <w:lang w:val="en-GB" w:eastAsia="en-MY" w:bidi="ar-SA"/>
              </w:rPr>
              <w:t>Station</w:t>
            </w:r>
          </w:p>
        </w:tc>
        <w:tc>
          <w:tcPr>
            <w:tcW w:w="0" w:type="auto"/>
            <w:tcBorders>
              <w:top w:val="single" w:sz="4" w:space="0" w:color="auto"/>
              <w:bottom w:val="single" w:sz="4" w:space="0" w:color="auto"/>
            </w:tcBorders>
            <w:shd w:val="clear" w:color="auto" w:fill="auto"/>
            <w:noWrap/>
            <w:vAlign w:val="center"/>
            <w:hideMark/>
          </w:tcPr>
          <w:p w14:paraId="41EBF60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Clay (%)</w:t>
            </w:r>
          </w:p>
        </w:tc>
        <w:tc>
          <w:tcPr>
            <w:tcW w:w="0" w:type="auto"/>
            <w:tcBorders>
              <w:top w:val="single" w:sz="4" w:space="0" w:color="auto"/>
              <w:bottom w:val="single" w:sz="4" w:space="0" w:color="auto"/>
            </w:tcBorders>
            <w:shd w:val="clear" w:color="auto" w:fill="auto"/>
            <w:noWrap/>
            <w:vAlign w:val="center"/>
            <w:hideMark/>
          </w:tcPr>
          <w:p w14:paraId="144A067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Silt (%)</w:t>
            </w:r>
          </w:p>
        </w:tc>
        <w:tc>
          <w:tcPr>
            <w:tcW w:w="0" w:type="auto"/>
            <w:tcBorders>
              <w:top w:val="single" w:sz="4" w:space="0" w:color="auto"/>
              <w:bottom w:val="single" w:sz="4" w:space="0" w:color="auto"/>
            </w:tcBorders>
            <w:shd w:val="clear" w:color="auto" w:fill="auto"/>
            <w:noWrap/>
            <w:vAlign w:val="center"/>
            <w:hideMark/>
          </w:tcPr>
          <w:p w14:paraId="76E7E018"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Sand (%)</w:t>
            </w:r>
          </w:p>
        </w:tc>
        <w:tc>
          <w:tcPr>
            <w:tcW w:w="0" w:type="auto"/>
            <w:tcBorders>
              <w:top w:val="single" w:sz="4" w:space="0" w:color="auto"/>
              <w:bottom w:val="single" w:sz="4" w:space="0" w:color="auto"/>
            </w:tcBorders>
            <w:shd w:val="clear" w:color="auto" w:fill="auto"/>
            <w:noWrap/>
            <w:vAlign w:val="center"/>
            <w:hideMark/>
          </w:tcPr>
          <w:p w14:paraId="388CEE2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OM (%)</w:t>
            </w:r>
          </w:p>
        </w:tc>
        <w:tc>
          <w:tcPr>
            <w:tcW w:w="0" w:type="auto"/>
            <w:tcBorders>
              <w:top w:val="single" w:sz="4" w:space="0" w:color="auto"/>
              <w:bottom w:val="single" w:sz="4" w:space="0" w:color="auto"/>
            </w:tcBorders>
            <w:shd w:val="clear" w:color="auto" w:fill="auto"/>
            <w:noWrap/>
            <w:vAlign w:val="center"/>
            <w:hideMark/>
          </w:tcPr>
          <w:p w14:paraId="11985A1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CaCO</w:t>
            </w:r>
            <w:r w:rsidRPr="00F46218">
              <w:rPr>
                <w:rFonts w:ascii="Times New Roman" w:hAnsi="Times New Roman"/>
                <w:b/>
                <w:bCs/>
                <w:color w:val="000000"/>
                <w:kern w:val="2"/>
                <w:sz w:val="20"/>
                <w:szCs w:val="20"/>
                <w:vertAlign w:val="subscript"/>
                <w:lang w:val="en-GB" w:eastAsia="en-MY" w:bidi="ar-SA"/>
              </w:rPr>
              <w:t>3</w:t>
            </w:r>
            <w:r w:rsidRPr="00F46218">
              <w:rPr>
                <w:rFonts w:ascii="Times New Roman" w:hAnsi="Times New Roman"/>
                <w:b/>
                <w:bCs/>
                <w:color w:val="000000"/>
                <w:kern w:val="2"/>
                <w:sz w:val="20"/>
                <w:szCs w:val="20"/>
                <w:lang w:val="en-GB" w:eastAsia="en-MY" w:bidi="ar-SA"/>
              </w:rPr>
              <w:t xml:space="preserve"> (%)</w:t>
            </w:r>
          </w:p>
        </w:tc>
      </w:tr>
      <w:tr w:rsidR="000B5547" w:rsidRPr="00F46218" w14:paraId="5DEA3174" w14:textId="77777777" w:rsidTr="00E61C26">
        <w:trPr>
          <w:trHeight w:val="284"/>
          <w:jc w:val="center"/>
        </w:trPr>
        <w:tc>
          <w:tcPr>
            <w:tcW w:w="0" w:type="auto"/>
            <w:tcBorders>
              <w:top w:val="single" w:sz="4" w:space="0" w:color="auto"/>
            </w:tcBorders>
            <w:shd w:val="clear" w:color="auto" w:fill="auto"/>
            <w:noWrap/>
            <w:vAlign w:val="center"/>
            <w:hideMark/>
          </w:tcPr>
          <w:p w14:paraId="6143C4E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N95</w:t>
            </w:r>
          </w:p>
        </w:tc>
        <w:tc>
          <w:tcPr>
            <w:tcW w:w="0" w:type="auto"/>
            <w:tcBorders>
              <w:top w:val="single" w:sz="4" w:space="0" w:color="auto"/>
            </w:tcBorders>
            <w:shd w:val="clear" w:color="auto" w:fill="auto"/>
            <w:noWrap/>
            <w:vAlign w:val="center"/>
            <w:hideMark/>
          </w:tcPr>
          <w:p w14:paraId="7FE5A66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7.23</w:t>
            </w:r>
          </w:p>
        </w:tc>
        <w:tc>
          <w:tcPr>
            <w:tcW w:w="0" w:type="auto"/>
            <w:tcBorders>
              <w:top w:val="single" w:sz="4" w:space="0" w:color="auto"/>
            </w:tcBorders>
            <w:shd w:val="clear" w:color="auto" w:fill="auto"/>
            <w:noWrap/>
            <w:vAlign w:val="center"/>
            <w:hideMark/>
          </w:tcPr>
          <w:p w14:paraId="282EEC5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21.98</w:t>
            </w:r>
          </w:p>
        </w:tc>
        <w:tc>
          <w:tcPr>
            <w:tcW w:w="0" w:type="auto"/>
            <w:tcBorders>
              <w:top w:val="single" w:sz="4" w:space="0" w:color="auto"/>
            </w:tcBorders>
            <w:shd w:val="clear" w:color="auto" w:fill="auto"/>
            <w:noWrap/>
            <w:vAlign w:val="center"/>
            <w:hideMark/>
          </w:tcPr>
          <w:p w14:paraId="2B2D4409"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70.79</w:t>
            </w:r>
          </w:p>
        </w:tc>
        <w:tc>
          <w:tcPr>
            <w:tcW w:w="0" w:type="auto"/>
            <w:tcBorders>
              <w:top w:val="single" w:sz="4" w:space="0" w:color="auto"/>
            </w:tcBorders>
            <w:shd w:val="clear" w:color="auto" w:fill="auto"/>
            <w:noWrap/>
            <w:vAlign w:val="center"/>
            <w:hideMark/>
          </w:tcPr>
          <w:p w14:paraId="0297C7DE"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8.53 ± 0.11</w:t>
            </w:r>
          </w:p>
        </w:tc>
        <w:tc>
          <w:tcPr>
            <w:tcW w:w="0" w:type="auto"/>
            <w:tcBorders>
              <w:top w:val="single" w:sz="4" w:space="0" w:color="auto"/>
            </w:tcBorders>
            <w:shd w:val="clear" w:color="auto" w:fill="auto"/>
            <w:noWrap/>
            <w:vAlign w:val="center"/>
            <w:hideMark/>
          </w:tcPr>
          <w:p w14:paraId="13DB44C7"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14.42 ± 0.34</w:t>
            </w:r>
          </w:p>
        </w:tc>
      </w:tr>
      <w:tr w:rsidR="000B5547" w:rsidRPr="00F46218" w14:paraId="5A3201E3" w14:textId="77777777" w:rsidTr="00E61C26">
        <w:trPr>
          <w:trHeight w:val="284"/>
          <w:jc w:val="center"/>
        </w:trPr>
        <w:tc>
          <w:tcPr>
            <w:tcW w:w="0" w:type="auto"/>
            <w:shd w:val="clear" w:color="auto" w:fill="auto"/>
            <w:noWrap/>
            <w:vAlign w:val="center"/>
            <w:hideMark/>
          </w:tcPr>
          <w:p w14:paraId="7C781198"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N99</w:t>
            </w:r>
          </w:p>
        </w:tc>
        <w:tc>
          <w:tcPr>
            <w:tcW w:w="0" w:type="auto"/>
            <w:shd w:val="clear" w:color="auto" w:fill="auto"/>
            <w:noWrap/>
            <w:vAlign w:val="center"/>
            <w:hideMark/>
          </w:tcPr>
          <w:p w14:paraId="2547E7FC"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11.30</w:t>
            </w:r>
          </w:p>
        </w:tc>
        <w:tc>
          <w:tcPr>
            <w:tcW w:w="0" w:type="auto"/>
            <w:shd w:val="clear" w:color="auto" w:fill="auto"/>
            <w:noWrap/>
            <w:vAlign w:val="center"/>
            <w:hideMark/>
          </w:tcPr>
          <w:p w14:paraId="529B7A7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15.09</w:t>
            </w:r>
          </w:p>
        </w:tc>
        <w:tc>
          <w:tcPr>
            <w:tcW w:w="0" w:type="auto"/>
            <w:shd w:val="clear" w:color="auto" w:fill="auto"/>
            <w:noWrap/>
            <w:vAlign w:val="center"/>
            <w:hideMark/>
          </w:tcPr>
          <w:p w14:paraId="31B567B1"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73.61</w:t>
            </w:r>
          </w:p>
        </w:tc>
        <w:tc>
          <w:tcPr>
            <w:tcW w:w="0" w:type="auto"/>
            <w:shd w:val="clear" w:color="auto" w:fill="auto"/>
            <w:noWrap/>
            <w:vAlign w:val="center"/>
            <w:hideMark/>
          </w:tcPr>
          <w:p w14:paraId="1757C9F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6.73 ± 0.02</w:t>
            </w:r>
          </w:p>
        </w:tc>
        <w:tc>
          <w:tcPr>
            <w:tcW w:w="0" w:type="auto"/>
            <w:shd w:val="clear" w:color="auto" w:fill="auto"/>
            <w:noWrap/>
            <w:vAlign w:val="center"/>
            <w:hideMark/>
          </w:tcPr>
          <w:p w14:paraId="1DEAF7D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10.02 ± 0.19</w:t>
            </w:r>
          </w:p>
        </w:tc>
      </w:tr>
      <w:tr w:rsidR="000B5547" w:rsidRPr="00F46218" w14:paraId="1701BE0F" w14:textId="77777777" w:rsidTr="00E61C26">
        <w:trPr>
          <w:trHeight w:val="284"/>
          <w:jc w:val="center"/>
        </w:trPr>
        <w:tc>
          <w:tcPr>
            <w:tcW w:w="0" w:type="auto"/>
            <w:shd w:val="clear" w:color="auto" w:fill="auto"/>
            <w:noWrap/>
            <w:vAlign w:val="center"/>
            <w:hideMark/>
          </w:tcPr>
          <w:p w14:paraId="4B7F500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N103</w:t>
            </w:r>
          </w:p>
        </w:tc>
        <w:tc>
          <w:tcPr>
            <w:tcW w:w="0" w:type="auto"/>
            <w:shd w:val="clear" w:color="auto" w:fill="auto"/>
            <w:noWrap/>
            <w:vAlign w:val="center"/>
            <w:hideMark/>
          </w:tcPr>
          <w:p w14:paraId="6E2F2D2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13.24</w:t>
            </w:r>
          </w:p>
        </w:tc>
        <w:tc>
          <w:tcPr>
            <w:tcW w:w="0" w:type="auto"/>
            <w:shd w:val="clear" w:color="auto" w:fill="auto"/>
            <w:noWrap/>
            <w:vAlign w:val="center"/>
            <w:hideMark/>
          </w:tcPr>
          <w:p w14:paraId="22E546D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65.70</w:t>
            </w:r>
          </w:p>
        </w:tc>
        <w:tc>
          <w:tcPr>
            <w:tcW w:w="0" w:type="auto"/>
            <w:shd w:val="clear" w:color="auto" w:fill="auto"/>
            <w:noWrap/>
            <w:vAlign w:val="center"/>
            <w:hideMark/>
          </w:tcPr>
          <w:p w14:paraId="50DB1C70"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21.06</w:t>
            </w:r>
          </w:p>
        </w:tc>
        <w:tc>
          <w:tcPr>
            <w:tcW w:w="0" w:type="auto"/>
            <w:shd w:val="clear" w:color="auto" w:fill="auto"/>
            <w:noWrap/>
            <w:vAlign w:val="center"/>
            <w:hideMark/>
          </w:tcPr>
          <w:p w14:paraId="00DEE45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4.24 ± 0.2</w:t>
            </w:r>
          </w:p>
        </w:tc>
        <w:tc>
          <w:tcPr>
            <w:tcW w:w="0" w:type="auto"/>
            <w:shd w:val="clear" w:color="auto" w:fill="auto"/>
            <w:noWrap/>
            <w:vAlign w:val="center"/>
            <w:hideMark/>
          </w:tcPr>
          <w:p w14:paraId="01EA5D1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3.9 ± 0.47</w:t>
            </w:r>
          </w:p>
        </w:tc>
      </w:tr>
      <w:tr w:rsidR="000B5547" w:rsidRPr="00F46218" w14:paraId="7A0F2A0D" w14:textId="77777777" w:rsidTr="00E61C26">
        <w:trPr>
          <w:trHeight w:val="284"/>
          <w:jc w:val="center"/>
        </w:trPr>
        <w:tc>
          <w:tcPr>
            <w:tcW w:w="0" w:type="auto"/>
            <w:shd w:val="clear" w:color="auto" w:fill="auto"/>
            <w:noWrap/>
            <w:vAlign w:val="center"/>
            <w:hideMark/>
          </w:tcPr>
          <w:p w14:paraId="38E4F2BE"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N106</w:t>
            </w:r>
          </w:p>
        </w:tc>
        <w:tc>
          <w:tcPr>
            <w:tcW w:w="0" w:type="auto"/>
            <w:shd w:val="clear" w:color="auto" w:fill="auto"/>
            <w:noWrap/>
            <w:vAlign w:val="center"/>
            <w:hideMark/>
          </w:tcPr>
          <w:p w14:paraId="42413170"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11.44</w:t>
            </w:r>
          </w:p>
        </w:tc>
        <w:tc>
          <w:tcPr>
            <w:tcW w:w="0" w:type="auto"/>
            <w:shd w:val="clear" w:color="auto" w:fill="auto"/>
            <w:noWrap/>
            <w:vAlign w:val="center"/>
            <w:hideMark/>
          </w:tcPr>
          <w:p w14:paraId="5A125FB7"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83.43</w:t>
            </w:r>
          </w:p>
        </w:tc>
        <w:tc>
          <w:tcPr>
            <w:tcW w:w="0" w:type="auto"/>
            <w:shd w:val="clear" w:color="auto" w:fill="auto"/>
            <w:noWrap/>
            <w:vAlign w:val="center"/>
            <w:hideMark/>
          </w:tcPr>
          <w:p w14:paraId="0DEEDB0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5.12</w:t>
            </w:r>
          </w:p>
        </w:tc>
        <w:tc>
          <w:tcPr>
            <w:tcW w:w="0" w:type="auto"/>
            <w:shd w:val="clear" w:color="auto" w:fill="auto"/>
            <w:noWrap/>
            <w:vAlign w:val="center"/>
            <w:hideMark/>
          </w:tcPr>
          <w:p w14:paraId="1F5481F1"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7.63 ± 0.2</w:t>
            </w:r>
          </w:p>
        </w:tc>
        <w:tc>
          <w:tcPr>
            <w:tcW w:w="0" w:type="auto"/>
            <w:shd w:val="clear" w:color="auto" w:fill="auto"/>
            <w:noWrap/>
            <w:vAlign w:val="center"/>
            <w:hideMark/>
          </w:tcPr>
          <w:p w14:paraId="0809C67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6.68 ± 0.13</w:t>
            </w:r>
          </w:p>
        </w:tc>
      </w:tr>
      <w:tr w:rsidR="000B5547" w:rsidRPr="00F46218" w14:paraId="3D5F6DB7" w14:textId="77777777" w:rsidTr="00E61C26">
        <w:trPr>
          <w:trHeight w:val="284"/>
          <w:jc w:val="center"/>
        </w:trPr>
        <w:tc>
          <w:tcPr>
            <w:tcW w:w="0" w:type="auto"/>
            <w:tcBorders>
              <w:bottom w:val="single" w:sz="4" w:space="0" w:color="auto"/>
            </w:tcBorders>
            <w:shd w:val="clear" w:color="auto" w:fill="auto"/>
            <w:noWrap/>
            <w:vAlign w:val="center"/>
            <w:hideMark/>
          </w:tcPr>
          <w:p w14:paraId="32CD33BA"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N108</w:t>
            </w:r>
          </w:p>
        </w:tc>
        <w:tc>
          <w:tcPr>
            <w:tcW w:w="0" w:type="auto"/>
            <w:tcBorders>
              <w:bottom w:val="single" w:sz="4" w:space="0" w:color="auto"/>
            </w:tcBorders>
            <w:shd w:val="clear" w:color="auto" w:fill="auto"/>
            <w:noWrap/>
            <w:vAlign w:val="center"/>
            <w:hideMark/>
          </w:tcPr>
          <w:p w14:paraId="05463BE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11.41</w:t>
            </w:r>
          </w:p>
        </w:tc>
        <w:tc>
          <w:tcPr>
            <w:tcW w:w="0" w:type="auto"/>
            <w:tcBorders>
              <w:bottom w:val="single" w:sz="4" w:space="0" w:color="auto"/>
            </w:tcBorders>
            <w:shd w:val="clear" w:color="auto" w:fill="auto"/>
            <w:noWrap/>
            <w:vAlign w:val="center"/>
            <w:hideMark/>
          </w:tcPr>
          <w:p w14:paraId="7275559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3.77</w:t>
            </w:r>
          </w:p>
        </w:tc>
        <w:tc>
          <w:tcPr>
            <w:tcW w:w="0" w:type="auto"/>
            <w:tcBorders>
              <w:bottom w:val="single" w:sz="4" w:space="0" w:color="auto"/>
            </w:tcBorders>
            <w:shd w:val="clear" w:color="auto" w:fill="auto"/>
            <w:noWrap/>
            <w:vAlign w:val="center"/>
            <w:hideMark/>
          </w:tcPr>
          <w:p w14:paraId="1A60D2E1"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84.81</w:t>
            </w:r>
          </w:p>
        </w:tc>
        <w:tc>
          <w:tcPr>
            <w:tcW w:w="0" w:type="auto"/>
            <w:tcBorders>
              <w:bottom w:val="single" w:sz="4" w:space="0" w:color="auto"/>
            </w:tcBorders>
            <w:shd w:val="clear" w:color="auto" w:fill="auto"/>
            <w:noWrap/>
            <w:vAlign w:val="center"/>
            <w:hideMark/>
          </w:tcPr>
          <w:p w14:paraId="0F86B990"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3.12 ± 0.19</w:t>
            </w:r>
          </w:p>
        </w:tc>
        <w:tc>
          <w:tcPr>
            <w:tcW w:w="0" w:type="auto"/>
            <w:tcBorders>
              <w:bottom w:val="single" w:sz="4" w:space="0" w:color="auto"/>
            </w:tcBorders>
            <w:shd w:val="clear" w:color="auto" w:fill="auto"/>
            <w:noWrap/>
            <w:vAlign w:val="center"/>
            <w:hideMark/>
          </w:tcPr>
          <w:p w14:paraId="3E898927"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6.18 ± 0.45</w:t>
            </w:r>
          </w:p>
        </w:tc>
      </w:tr>
    </w:tbl>
    <w:p w14:paraId="1100E97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6F48421"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0B5547">
          <w:type w:val="continuous"/>
          <w:pgSz w:w="12240" w:h="15840" w:code="1"/>
          <w:pgMar w:top="1800" w:right="1469" w:bottom="1699" w:left="1440" w:header="706" w:footer="706" w:gutter="0"/>
          <w:pgNumType w:start="1"/>
          <w:cols w:space="403"/>
          <w:docGrid w:linePitch="360"/>
        </w:sectPr>
      </w:pPr>
    </w:p>
    <w:p w14:paraId="6B082D0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geochemical elements </w:t>
      </w:r>
      <w:r w:rsidRPr="003E6519">
        <w:rPr>
          <w:rFonts w:ascii="Times New Roman" w:eastAsia="SimSun" w:hAnsi="Times New Roman"/>
          <w:kern w:val="2"/>
          <w:sz w:val="20"/>
          <w:szCs w:val="20"/>
          <w:lang w:val="en-GB" w:eastAsia="ko-KR" w:bidi="ar-SA"/>
        </w:rPr>
        <w:t>shown in Table 3 reveal t</w:t>
      </w:r>
      <w:r w:rsidRPr="00F46218">
        <w:rPr>
          <w:rFonts w:ascii="Times New Roman" w:eastAsia="SimSun" w:hAnsi="Times New Roman"/>
          <w:kern w:val="2"/>
          <w:sz w:val="20"/>
          <w:szCs w:val="20"/>
          <w:lang w:val="en-GB" w:eastAsia="ko-KR" w:bidi="ar-SA"/>
        </w:rPr>
        <w:t>hat the average concentration for each element is 5.00 ± 0.5 % (Al), 2.88 ± 0.34 %(Fe), 0.23 ± 0.03 % (</w:t>
      </w:r>
      <w:proofErr w:type="spellStart"/>
      <w:r w:rsidRPr="00F46218">
        <w:rPr>
          <w:rFonts w:ascii="Times New Roman" w:eastAsia="SimSun" w:hAnsi="Times New Roman"/>
          <w:kern w:val="2"/>
          <w:sz w:val="20"/>
          <w:szCs w:val="20"/>
          <w:lang w:val="en-GB" w:eastAsia="ko-KR" w:bidi="ar-SA"/>
        </w:rPr>
        <w:t>Ti</w:t>
      </w:r>
      <w:proofErr w:type="spellEnd"/>
      <w:r w:rsidRPr="00F46218">
        <w:rPr>
          <w:rFonts w:ascii="Times New Roman" w:eastAsia="SimSun" w:hAnsi="Times New Roman"/>
          <w:kern w:val="2"/>
          <w:sz w:val="20"/>
          <w:szCs w:val="20"/>
          <w:lang w:val="en-GB" w:eastAsia="ko-KR" w:bidi="ar-SA"/>
        </w:rPr>
        <w:t xml:space="preserve">), 51.41 ± 0.9 µg/g (Zn), 94.56 ± 6.4 µg/g (Cr), 526.08 ± 41.95 µg/g (Mn), and 1.92 ± 0.18 % (Mg). Following the acquired concentrations above, several elements show a difference in concentration compared to the paper by </w:t>
      </w:r>
      <w:proofErr w:type="spellStart"/>
      <w:r w:rsidRPr="00F46218">
        <w:rPr>
          <w:rFonts w:ascii="Times New Roman" w:eastAsia="SimSun" w:hAnsi="Times New Roman"/>
          <w:kern w:val="2"/>
          <w:sz w:val="20"/>
          <w:szCs w:val="20"/>
          <w:lang w:val="en-GB" w:eastAsia="ko-KR" w:bidi="ar-SA"/>
        </w:rPr>
        <w:t>Shaari</w:t>
      </w:r>
      <w:proofErr w:type="spellEnd"/>
      <w:r w:rsidRPr="00F46218">
        <w:rPr>
          <w:rFonts w:ascii="Times New Roman" w:eastAsia="SimSun" w:hAnsi="Times New Roman"/>
          <w:kern w:val="2"/>
          <w:sz w:val="20"/>
          <w:szCs w:val="20"/>
          <w:lang w:val="en-GB" w:eastAsia="ko-KR" w:bidi="ar-SA"/>
        </w:rPr>
        <w:t xml:space="preserve">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where higher levels of Fe and Zn were apparent, with respective differences of 44% and 10% on the east coast, compared to the west coast of the Malaysian Peninsular. This suggests continuous inputs </w:t>
      </w:r>
      <w:r w:rsidRPr="00F46218">
        <w:rPr>
          <w:rFonts w:ascii="Times New Roman" w:eastAsia="SimSun" w:hAnsi="Times New Roman"/>
          <w:kern w:val="2"/>
          <w:sz w:val="20"/>
          <w:szCs w:val="20"/>
          <w:lang w:val="en-GB" w:eastAsia="ko-KR" w:bidi="ar-SA"/>
        </w:rPr>
        <w:t xml:space="preserve">from several sources, i.e., the Gulf of Thailand, the Western Pacific and the </w:t>
      </w:r>
      <w:proofErr w:type="spellStart"/>
      <w:r w:rsidRPr="00F46218">
        <w:rPr>
          <w:rFonts w:ascii="Times New Roman" w:eastAsia="SimSun" w:hAnsi="Times New Roman"/>
          <w:kern w:val="2"/>
          <w:sz w:val="20"/>
          <w:szCs w:val="20"/>
          <w:lang w:val="en-GB" w:eastAsia="ko-KR" w:bidi="ar-SA"/>
        </w:rPr>
        <w:t>Natuna</w:t>
      </w:r>
      <w:proofErr w:type="spellEnd"/>
      <w:r w:rsidRPr="00F46218">
        <w:rPr>
          <w:rFonts w:ascii="Times New Roman" w:eastAsia="SimSun" w:hAnsi="Times New Roman"/>
          <w:kern w:val="2"/>
          <w:sz w:val="20"/>
          <w:szCs w:val="20"/>
          <w:lang w:val="en-GB" w:eastAsia="ko-KR" w:bidi="ar-SA"/>
        </w:rPr>
        <w:t xml:space="preserve"> Straits. The weathering rate is more apparent as the monsoonal season elevates the precipitation rate, leading to a higher discharge rate. Furthermore, the industrialisation occurring along both river channels also contributes to the increase in geochemical elements. Low geochemical element concentrations, compared to </w:t>
      </w:r>
      <w:proofErr w:type="spellStart"/>
      <w:r w:rsidRPr="00F46218">
        <w:rPr>
          <w:rFonts w:ascii="Times New Roman" w:eastAsia="SimSun" w:hAnsi="Times New Roman"/>
          <w:kern w:val="2"/>
          <w:sz w:val="20"/>
          <w:szCs w:val="20"/>
          <w:lang w:val="en-GB" w:eastAsia="ko-KR" w:bidi="ar-SA"/>
        </w:rPr>
        <w:t>Shaari</w:t>
      </w:r>
      <w:proofErr w:type="spellEnd"/>
      <w:r w:rsidRPr="00F46218">
        <w:rPr>
          <w:rFonts w:ascii="Times New Roman" w:eastAsia="SimSun" w:hAnsi="Times New Roman"/>
          <w:kern w:val="2"/>
          <w:sz w:val="20"/>
          <w:szCs w:val="20"/>
          <w:lang w:val="en-GB" w:eastAsia="ko-KR" w:bidi="ar-SA"/>
        </w:rPr>
        <w:t xml:space="preserve">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are due to the bathymetry of the Malacca Straits, which promotes the diurnal prevailing tides within its semi-enclosed straits, which, in turn, contributes to the mobilisation </w:t>
      </w:r>
      <w:r w:rsidRPr="00F46218">
        <w:rPr>
          <w:rFonts w:ascii="Times New Roman" w:eastAsia="SimSun" w:hAnsi="Times New Roman"/>
          <w:kern w:val="2"/>
          <w:sz w:val="20"/>
          <w:szCs w:val="20"/>
          <w:lang w:val="en-GB" w:eastAsia="ko-KR" w:bidi="ar-SA"/>
        </w:rPr>
        <w:lastRenderedPageBreak/>
        <w:t xml:space="preserve">and dilution of geochemical elements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study","type":"article-journal","volume":"8"},"uris":["http://www.mendeley.com/documents/?uuid=4d708a18-84ec-430f-aa73-53a66ae55c99"]},{"id":"ITEM-2","itemData":{"ISSN":"03795136","abstract":"The distribution patterns of zooplankton biomass were studied using samples collected in vertical hauls during four oceanographic cruises in the Straits of Malacca between November 1998 and August 2000 with 140 μm-mesh and 45-cm diameter NORPAC net. The average zooplankton biomass during Cruise III (post-SW monsoon) and IV (SW monsoon) was almost twice that of Cruise I (NE monsoon) with maximum zooplankton biomass occurring during the Cruise IV. Biomass was generally higher in waters closer to the near-coastal areas than in the neritic areas. Higher zooplankton biomass values occurred in the central part of the Straits compared to other areas, although spatial and temporal variations of biomass were not significant. Run off of major rivers and the extensive mangrove forests in the coastal areas might have influenced higher biomass in the central part of the Straits.","author":[{"dropping-particle":"","family":"Rezai","given":"H.","non-dropping-particle":"","parse-names":false,"suffix":""},{"dropping-particle":"","family":"Yusoff","given":"F. M.","non-dropping-particle":"","parse-names":false,"suffix":""},{"dropping-particle":"","family":"Kawamura","given":"A.","non-dropping-particle":"","parse-names":false,"suffix":""},{"dropping-particle":"","family":"Arshad","given":"A.","non-dropping-particle":"","parse-names":false,"suffix":""},{"dropping-particle":"","family":"Othman","given":"B. H.R.","non-dropping-particle":"","parse-names":false,"suffix":""}],"container-title":"Indian Journal of Marine Sciences","id":"ITEM-2","issue":"3","issued":{"date-parts":[["2003"]]},"page":"222-225","title":"Zooplankton biomass in the Straits of Malacca","type":"article-journal","volume":"32"},"uris":["http://www.mendeley.com/documents/?uuid=ce77b93d-c5c5-4d51-83aa-450eb5581650"]}],"mendeley":{"formattedCitation":"[24,27]","plainTextFormattedCitation":"[24,27]","previouslyFormattedCitation":"[24,27]"},"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[24,27]</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Cross-shelf inputs towards the semi-enclosed coast also affects the total geochemical elements being supplied to the east coast of the Malaysian Peninsular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{"citationItems":[{"id":"ITEM-1","itemData":{"DOI":"10.1371/journal.pone.0171979","ISBN":"1111111111","ISSN":"1932-6203","author":[{"dropping-particle":"","family":"Kok","given":"Poh Heng","non-dropping-particle":"","parse-names":false,"suffix":""},{"dropping-particle":"","family":"Mohd Akhir","given":"Mohd Fadzil","non-dropping-particle":"","parse-names":false,"suffix":""},{"dropping-particle":"","family":"Tangang","given":"Fredolin","non-dropping-particle":"","parse-names":false,"suffix":""},{"dropping-particle":"","family":"Husain","given":"Mohd Lokman","non-dropping-particle":"","parse-names":false,"suffix":""}],"container-title":"PLOS ONE","editor":[{"dropping-particle":"","family":"deCastro","given":"Maite","non-dropping-particle":"","parse-names":false,"suffix":""}],"id":"ITEM-1","issue":"2","issued":{"date-parts":[["2017","2","10"]]},"page":"e0171979","title":"Spatiotemporal trends in the southwest monsoon wind-driven upwelling in the southwestern part of the South China Sea","type":"article-journal","volume":"12"},"uris":["http://www.mendeley.com/documents/?uuid=e5f2af84-ad2f-4182-85f8-13fa12c81986"]}],"mendeley":{"formattedCitation":"[28]","plainTextFormattedCitation":"[28]","previouslyFormattedCitation":"[28]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cross-shelf input via the Western Pacific, which mobilises via the </w:t>
      </w:r>
      <w:r w:rsidRPr="00F46218">
        <w:rPr>
          <w:rFonts w:ascii="Times New Roman" w:eastAsia="SimSun" w:hAnsi="Times New Roman"/>
          <w:kern w:val="2"/>
          <w:sz w:val="20"/>
          <w:szCs w:val="20"/>
          <w:lang w:val="en-GB" w:eastAsia="ko-KR" w:bidi="ar-SA"/>
        </w:rPr>
        <w:t>longshore currents of the Vietnamese coast through the Luzon Strait and through the southern South China Sea (</w:t>
      </w:r>
      <w:proofErr w:type="spellStart"/>
      <w:r w:rsidRPr="00F46218">
        <w:rPr>
          <w:rFonts w:ascii="Times New Roman" w:eastAsia="SimSun" w:hAnsi="Times New Roman"/>
          <w:kern w:val="2"/>
          <w:sz w:val="20"/>
          <w:szCs w:val="20"/>
          <w:lang w:val="en-GB" w:eastAsia="ko-KR" w:bidi="ar-SA"/>
        </w:rPr>
        <w:t>sSCS</w:t>
      </w:r>
      <w:proofErr w:type="spellEnd"/>
      <w:r w:rsidRPr="00F46218">
        <w:rPr>
          <w:rFonts w:ascii="Times New Roman" w:eastAsia="SimSun" w:hAnsi="Times New Roman"/>
          <w:kern w:val="2"/>
          <w:sz w:val="20"/>
          <w:szCs w:val="20"/>
          <w:lang w:val="en-GB" w:eastAsia="ko-KR" w:bidi="ar-SA"/>
        </w:rPr>
        <w:t xml:space="preserve">), coupled with periodic monsoonal seasons, lead to the fluctuations of geochemical elements on the east coast of the Malaysian Peninsular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epsl.2015.08.001","ISSN":"0012-821X","author":[{"dropping-particle":"","family":"Schroeder","given":"Annette","non-dropping-particle":"","parse-names":false,"suffix":""},{"dropping-particle":"","family":"Wiesner","given":"Martin G","non-dropping-particle":"","parse-names":false,"suffix":""},{"dropping-particle":"","family":"Liu","given":"Zhifei","non-dropping-particle":"","parse-names":false,"suffix":""}],"container-title":"Earth and Planetary Science Letters","id":"ITEM-1","issued":{"date-parts":[["2015"]]},"page":"30-42","publisher":"Elsevier B.V.","title":"Fluxes of clay minerals in the South China Sea","type":"article-journal","volume":"430"},"uris":["http://www.mendeley.com/documents/?uuid=1261dc52-ab70-4ee8-9706-3b3424575a4a"]}],"mendeley":{"formattedCitation":"[29]","plainTextFormattedCitation":"[29]","previouslyFormattedCitation":"[29]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t>
      </w:r>
    </w:p>
    <w:p w14:paraId="4D7DD0B0"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161324">
          <w:type w:val="continuous"/>
          <w:pgSz w:w="12240" w:h="15840" w:code="1"/>
          <w:pgMar w:top="1800" w:right="1469" w:bottom="1699" w:left="1440" w:header="706" w:footer="706" w:gutter="0"/>
          <w:pgNumType w:start="1"/>
          <w:cols w:num="2" w:space="403"/>
          <w:docGrid w:linePitch="360"/>
        </w:sectPr>
      </w:pPr>
    </w:p>
    <w:p w14:paraId="33B3457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7F7DF392" w14:textId="1DBEE5E2" w:rsidR="00F46218" w:rsidRDefault="00F46218" w:rsidP="000B5547">
      <w:pPr>
        <w:widowControl w:val="0"/>
        <w:wordWrap w:val="0"/>
        <w:autoSpaceDE w:val="0"/>
        <w:autoSpaceDN w:val="0"/>
        <w:spacing w:after="0"/>
        <w:jc w:val="center"/>
        <w:outlineLvl w:val="0"/>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3.  </w:t>
      </w:r>
      <w:r w:rsidRPr="00F46218">
        <w:rPr>
          <w:rFonts w:ascii="Times New Roman" w:eastAsia="SimSun" w:hAnsi="Times New Roman"/>
          <w:color w:val="000000"/>
          <w:kern w:val="2"/>
          <w:sz w:val="20"/>
          <w:szCs w:val="18"/>
          <w:lang w:val="en-GB" w:eastAsia="ko-KR" w:bidi="ar-SA"/>
        </w:rPr>
        <w:t>Concentration of geochemical elements in the Malacca Straits</w:t>
      </w:r>
    </w:p>
    <w:p w14:paraId="3F85CB45" w14:textId="77777777" w:rsidR="00DE20D1" w:rsidRPr="00F46218" w:rsidRDefault="00DE20D1"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tbl>
      <w:tblPr>
        <w:tblW w:w="9307" w:type="dxa"/>
        <w:tblLook w:val="04A0" w:firstRow="1" w:lastRow="0" w:firstColumn="1" w:lastColumn="0" w:noHBand="0" w:noVBand="1"/>
      </w:tblPr>
      <w:tblGrid>
        <w:gridCol w:w="817"/>
        <w:gridCol w:w="1134"/>
        <w:gridCol w:w="1126"/>
        <w:gridCol w:w="1126"/>
        <w:gridCol w:w="1226"/>
        <w:gridCol w:w="1326"/>
        <w:gridCol w:w="1426"/>
        <w:gridCol w:w="1126"/>
      </w:tblGrid>
      <w:tr w:rsidR="00F46218" w:rsidRPr="00F46218" w14:paraId="421E2665" w14:textId="77777777" w:rsidTr="00BB7BEC">
        <w:trPr>
          <w:trHeight w:val="268"/>
        </w:trPr>
        <w:tc>
          <w:tcPr>
            <w:tcW w:w="817" w:type="dxa"/>
            <w:tcBorders>
              <w:top w:val="single" w:sz="4" w:space="0" w:color="auto"/>
              <w:bottom w:val="single" w:sz="4" w:space="0" w:color="auto"/>
            </w:tcBorders>
            <w:shd w:val="clear" w:color="auto" w:fill="auto"/>
            <w:noWrap/>
            <w:vAlign w:val="center"/>
            <w:hideMark/>
          </w:tcPr>
          <w:p w14:paraId="1DF63176" w14:textId="77777777" w:rsidR="00F46218" w:rsidRPr="00F46218" w:rsidRDefault="00F46218" w:rsidP="000B5547">
            <w:pPr>
              <w:widowControl w:val="0"/>
              <w:wordWrap w:val="0"/>
              <w:autoSpaceDE w:val="0"/>
              <w:autoSpaceDN w:val="0"/>
              <w:spacing w:after="0"/>
              <w:jc w:val="center"/>
              <w:rPr>
                <w:rFonts w:ascii="Times New Roman" w:hAnsi="Times New Roman"/>
                <w:kern w:val="2"/>
                <w:sz w:val="20"/>
                <w:szCs w:val="20"/>
                <w:lang w:val="en-GB" w:eastAsia="en-MY" w:bidi="ar-SA"/>
              </w:rPr>
            </w:pPr>
            <w:r w:rsidRPr="00F46218">
              <w:rPr>
                <w:rFonts w:ascii="Times New Roman" w:hAnsi="Times New Roman"/>
                <w:kern w:val="2"/>
                <w:sz w:val="20"/>
                <w:szCs w:val="20"/>
                <w:lang w:val="en-GB" w:eastAsia="en-MY" w:bidi="ar-SA"/>
              </w:rPr>
              <w:t>Station</w:t>
            </w:r>
          </w:p>
        </w:tc>
        <w:tc>
          <w:tcPr>
            <w:tcW w:w="1134" w:type="dxa"/>
            <w:tcBorders>
              <w:top w:val="single" w:sz="4" w:space="0" w:color="auto"/>
              <w:bottom w:val="single" w:sz="4" w:space="0" w:color="auto"/>
            </w:tcBorders>
            <w:shd w:val="clear" w:color="auto" w:fill="auto"/>
            <w:noWrap/>
            <w:vAlign w:val="center"/>
            <w:hideMark/>
          </w:tcPr>
          <w:p w14:paraId="08D43471"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Al (%)</w:t>
            </w:r>
          </w:p>
        </w:tc>
        <w:tc>
          <w:tcPr>
            <w:tcW w:w="0" w:type="auto"/>
            <w:tcBorders>
              <w:top w:val="single" w:sz="4" w:space="0" w:color="auto"/>
              <w:bottom w:val="single" w:sz="4" w:space="0" w:color="auto"/>
            </w:tcBorders>
            <w:shd w:val="clear" w:color="auto" w:fill="auto"/>
            <w:noWrap/>
            <w:vAlign w:val="center"/>
            <w:hideMark/>
          </w:tcPr>
          <w:p w14:paraId="4FEC8BD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Fe (%)</w:t>
            </w:r>
          </w:p>
        </w:tc>
        <w:tc>
          <w:tcPr>
            <w:tcW w:w="0" w:type="auto"/>
            <w:tcBorders>
              <w:top w:val="single" w:sz="4" w:space="0" w:color="auto"/>
              <w:bottom w:val="single" w:sz="4" w:space="0" w:color="auto"/>
            </w:tcBorders>
            <w:shd w:val="clear" w:color="auto" w:fill="auto"/>
            <w:noWrap/>
            <w:vAlign w:val="center"/>
            <w:hideMark/>
          </w:tcPr>
          <w:p w14:paraId="40BDD18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proofErr w:type="spellStart"/>
            <w:r w:rsidRPr="00F46218">
              <w:rPr>
                <w:rFonts w:ascii="Times New Roman" w:hAnsi="Times New Roman"/>
                <w:color w:val="000000"/>
                <w:kern w:val="2"/>
                <w:sz w:val="20"/>
                <w:szCs w:val="20"/>
                <w:lang w:val="en-GB" w:eastAsia="en-MY" w:bidi="ar-SA"/>
              </w:rPr>
              <w:t>Ti</w:t>
            </w:r>
            <w:proofErr w:type="spellEnd"/>
            <w:r w:rsidRPr="00F46218">
              <w:rPr>
                <w:rFonts w:ascii="Times New Roman" w:hAnsi="Times New Roman"/>
                <w:color w:val="000000"/>
                <w:kern w:val="2"/>
                <w:sz w:val="20"/>
                <w:szCs w:val="20"/>
                <w:lang w:val="en-GB" w:eastAsia="en-MY" w:bidi="ar-SA"/>
              </w:rPr>
              <w:t xml:space="preserve"> (%)</w:t>
            </w:r>
          </w:p>
        </w:tc>
        <w:tc>
          <w:tcPr>
            <w:tcW w:w="0" w:type="auto"/>
            <w:tcBorders>
              <w:top w:val="single" w:sz="4" w:space="0" w:color="auto"/>
              <w:bottom w:val="single" w:sz="4" w:space="0" w:color="auto"/>
            </w:tcBorders>
            <w:shd w:val="clear" w:color="auto" w:fill="auto"/>
            <w:noWrap/>
            <w:vAlign w:val="center"/>
            <w:hideMark/>
          </w:tcPr>
          <w:p w14:paraId="4D1C361B"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Zn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4E5492A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Cr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1D8A2F1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Mn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593E3257"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Mg (%)</w:t>
            </w:r>
          </w:p>
        </w:tc>
      </w:tr>
      <w:tr w:rsidR="00F46218" w:rsidRPr="00F46218" w14:paraId="7F186F85" w14:textId="77777777" w:rsidTr="00BB7BEC">
        <w:trPr>
          <w:trHeight w:val="268"/>
        </w:trPr>
        <w:tc>
          <w:tcPr>
            <w:tcW w:w="817" w:type="dxa"/>
            <w:tcBorders>
              <w:top w:val="single" w:sz="4" w:space="0" w:color="auto"/>
            </w:tcBorders>
            <w:shd w:val="clear" w:color="auto" w:fill="auto"/>
            <w:noWrap/>
            <w:vAlign w:val="center"/>
            <w:hideMark/>
          </w:tcPr>
          <w:p w14:paraId="19B3D506"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N95</w:t>
            </w:r>
          </w:p>
        </w:tc>
        <w:tc>
          <w:tcPr>
            <w:tcW w:w="1134" w:type="dxa"/>
            <w:tcBorders>
              <w:top w:val="single" w:sz="4" w:space="0" w:color="auto"/>
            </w:tcBorders>
            <w:shd w:val="clear" w:color="auto" w:fill="auto"/>
            <w:noWrap/>
            <w:vAlign w:val="center"/>
            <w:hideMark/>
          </w:tcPr>
          <w:p w14:paraId="230002F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6.09 ± 0.29</w:t>
            </w:r>
          </w:p>
        </w:tc>
        <w:tc>
          <w:tcPr>
            <w:tcW w:w="0" w:type="auto"/>
            <w:tcBorders>
              <w:top w:val="single" w:sz="4" w:space="0" w:color="auto"/>
            </w:tcBorders>
            <w:shd w:val="clear" w:color="auto" w:fill="auto"/>
            <w:noWrap/>
            <w:vAlign w:val="center"/>
            <w:hideMark/>
          </w:tcPr>
          <w:p w14:paraId="527EE25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3.01 ± 0.31</w:t>
            </w:r>
          </w:p>
        </w:tc>
        <w:tc>
          <w:tcPr>
            <w:tcW w:w="0" w:type="auto"/>
            <w:tcBorders>
              <w:top w:val="single" w:sz="4" w:space="0" w:color="auto"/>
            </w:tcBorders>
            <w:shd w:val="clear" w:color="auto" w:fill="auto"/>
            <w:noWrap/>
            <w:vAlign w:val="center"/>
            <w:hideMark/>
          </w:tcPr>
          <w:p w14:paraId="68BE4CA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0.19 ± 0.02</w:t>
            </w:r>
          </w:p>
        </w:tc>
        <w:tc>
          <w:tcPr>
            <w:tcW w:w="0" w:type="auto"/>
            <w:tcBorders>
              <w:top w:val="single" w:sz="4" w:space="0" w:color="auto"/>
            </w:tcBorders>
            <w:shd w:val="clear" w:color="auto" w:fill="auto"/>
            <w:noWrap/>
            <w:vAlign w:val="center"/>
            <w:hideMark/>
          </w:tcPr>
          <w:p w14:paraId="678F2763"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55.09 ± 1.09</w:t>
            </w:r>
          </w:p>
        </w:tc>
        <w:tc>
          <w:tcPr>
            <w:tcW w:w="0" w:type="auto"/>
            <w:tcBorders>
              <w:top w:val="single" w:sz="4" w:space="0" w:color="auto"/>
            </w:tcBorders>
            <w:shd w:val="clear" w:color="auto" w:fill="auto"/>
            <w:noWrap/>
            <w:vAlign w:val="center"/>
            <w:hideMark/>
          </w:tcPr>
          <w:p w14:paraId="79E6EBCF"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121.46 ± 6.25</w:t>
            </w:r>
          </w:p>
        </w:tc>
        <w:tc>
          <w:tcPr>
            <w:tcW w:w="0" w:type="auto"/>
            <w:tcBorders>
              <w:top w:val="single" w:sz="4" w:space="0" w:color="auto"/>
            </w:tcBorders>
            <w:shd w:val="clear" w:color="auto" w:fill="auto"/>
            <w:noWrap/>
            <w:vAlign w:val="center"/>
            <w:hideMark/>
          </w:tcPr>
          <w:p w14:paraId="2AF16527"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371.62 ± 20.18</w:t>
            </w:r>
          </w:p>
        </w:tc>
        <w:tc>
          <w:tcPr>
            <w:tcW w:w="0" w:type="auto"/>
            <w:tcBorders>
              <w:top w:val="single" w:sz="4" w:space="0" w:color="auto"/>
            </w:tcBorders>
            <w:shd w:val="clear" w:color="auto" w:fill="auto"/>
            <w:noWrap/>
            <w:vAlign w:val="center"/>
            <w:hideMark/>
          </w:tcPr>
          <w:p w14:paraId="09C253E0"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3.01 ± 0.12</w:t>
            </w:r>
          </w:p>
        </w:tc>
      </w:tr>
      <w:tr w:rsidR="00F46218" w:rsidRPr="00F46218" w14:paraId="74272E0A" w14:textId="77777777" w:rsidTr="00BB7BEC">
        <w:trPr>
          <w:trHeight w:val="268"/>
        </w:trPr>
        <w:tc>
          <w:tcPr>
            <w:tcW w:w="817" w:type="dxa"/>
            <w:shd w:val="clear" w:color="auto" w:fill="auto"/>
            <w:noWrap/>
            <w:vAlign w:val="center"/>
            <w:hideMark/>
          </w:tcPr>
          <w:p w14:paraId="677B3587"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N99</w:t>
            </w:r>
          </w:p>
        </w:tc>
        <w:tc>
          <w:tcPr>
            <w:tcW w:w="1134" w:type="dxa"/>
            <w:shd w:val="clear" w:color="auto" w:fill="auto"/>
            <w:noWrap/>
            <w:vAlign w:val="center"/>
            <w:hideMark/>
          </w:tcPr>
          <w:p w14:paraId="7CC171C0"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5.51 ± 0.24</w:t>
            </w:r>
          </w:p>
        </w:tc>
        <w:tc>
          <w:tcPr>
            <w:tcW w:w="0" w:type="auto"/>
            <w:shd w:val="clear" w:color="auto" w:fill="auto"/>
            <w:noWrap/>
            <w:vAlign w:val="center"/>
            <w:hideMark/>
          </w:tcPr>
          <w:p w14:paraId="2435E0AB"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2.68 ± 0.19</w:t>
            </w:r>
          </w:p>
        </w:tc>
        <w:tc>
          <w:tcPr>
            <w:tcW w:w="0" w:type="auto"/>
            <w:shd w:val="clear" w:color="auto" w:fill="auto"/>
            <w:noWrap/>
            <w:vAlign w:val="center"/>
            <w:hideMark/>
          </w:tcPr>
          <w:p w14:paraId="41F8B4CC"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0.23 ± 0.02</w:t>
            </w:r>
          </w:p>
        </w:tc>
        <w:tc>
          <w:tcPr>
            <w:tcW w:w="0" w:type="auto"/>
            <w:shd w:val="clear" w:color="auto" w:fill="auto"/>
            <w:noWrap/>
            <w:vAlign w:val="center"/>
            <w:hideMark/>
          </w:tcPr>
          <w:p w14:paraId="7D3CC42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46.05 ± 0.6</w:t>
            </w:r>
          </w:p>
        </w:tc>
        <w:tc>
          <w:tcPr>
            <w:tcW w:w="0" w:type="auto"/>
            <w:shd w:val="clear" w:color="auto" w:fill="auto"/>
            <w:noWrap/>
            <w:vAlign w:val="center"/>
            <w:hideMark/>
          </w:tcPr>
          <w:p w14:paraId="1F3F2341"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85.08 ± 5.07</w:t>
            </w:r>
          </w:p>
        </w:tc>
        <w:tc>
          <w:tcPr>
            <w:tcW w:w="0" w:type="auto"/>
            <w:shd w:val="clear" w:color="auto" w:fill="auto"/>
            <w:noWrap/>
            <w:vAlign w:val="center"/>
            <w:hideMark/>
          </w:tcPr>
          <w:p w14:paraId="543848E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319.86 ± 26.62</w:t>
            </w:r>
          </w:p>
        </w:tc>
        <w:tc>
          <w:tcPr>
            <w:tcW w:w="0" w:type="auto"/>
            <w:shd w:val="clear" w:color="auto" w:fill="auto"/>
            <w:noWrap/>
            <w:vAlign w:val="center"/>
            <w:hideMark/>
          </w:tcPr>
          <w:p w14:paraId="0E51D363"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2.10 ± 0.10</w:t>
            </w:r>
          </w:p>
        </w:tc>
      </w:tr>
      <w:tr w:rsidR="00F46218" w:rsidRPr="00F46218" w14:paraId="5744DE8F" w14:textId="77777777" w:rsidTr="00BB7BEC">
        <w:trPr>
          <w:trHeight w:val="268"/>
        </w:trPr>
        <w:tc>
          <w:tcPr>
            <w:tcW w:w="817" w:type="dxa"/>
            <w:shd w:val="clear" w:color="auto" w:fill="auto"/>
            <w:noWrap/>
            <w:vAlign w:val="center"/>
            <w:hideMark/>
          </w:tcPr>
          <w:p w14:paraId="1E1E34D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N103</w:t>
            </w:r>
          </w:p>
        </w:tc>
        <w:tc>
          <w:tcPr>
            <w:tcW w:w="1134" w:type="dxa"/>
            <w:shd w:val="clear" w:color="auto" w:fill="auto"/>
            <w:noWrap/>
            <w:vAlign w:val="center"/>
            <w:hideMark/>
          </w:tcPr>
          <w:p w14:paraId="07DEC640"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6.40 ± 0.96</w:t>
            </w:r>
          </w:p>
        </w:tc>
        <w:tc>
          <w:tcPr>
            <w:tcW w:w="0" w:type="auto"/>
            <w:shd w:val="clear" w:color="auto" w:fill="auto"/>
            <w:noWrap/>
            <w:vAlign w:val="center"/>
            <w:hideMark/>
          </w:tcPr>
          <w:p w14:paraId="08682F10"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3.00 ± 0.58</w:t>
            </w:r>
          </w:p>
        </w:tc>
        <w:tc>
          <w:tcPr>
            <w:tcW w:w="0" w:type="auto"/>
            <w:shd w:val="clear" w:color="auto" w:fill="auto"/>
            <w:noWrap/>
            <w:vAlign w:val="center"/>
            <w:hideMark/>
          </w:tcPr>
          <w:p w14:paraId="1FE239E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0.28 ± 0.05</w:t>
            </w:r>
          </w:p>
        </w:tc>
        <w:tc>
          <w:tcPr>
            <w:tcW w:w="0" w:type="auto"/>
            <w:shd w:val="clear" w:color="auto" w:fill="auto"/>
            <w:noWrap/>
            <w:vAlign w:val="center"/>
            <w:hideMark/>
          </w:tcPr>
          <w:p w14:paraId="44D50D0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59.78 ± 1.05</w:t>
            </w:r>
          </w:p>
        </w:tc>
        <w:tc>
          <w:tcPr>
            <w:tcW w:w="0" w:type="auto"/>
            <w:shd w:val="clear" w:color="auto" w:fill="auto"/>
            <w:noWrap/>
            <w:vAlign w:val="center"/>
            <w:hideMark/>
          </w:tcPr>
          <w:p w14:paraId="3C613D1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91.78 ± 9.77</w:t>
            </w:r>
          </w:p>
        </w:tc>
        <w:tc>
          <w:tcPr>
            <w:tcW w:w="0" w:type="auto"/>
            <w:shd w:val="clear" w:color="auto" w:fill="auto"/>
            <w:noWrap/>
            <w:vAlign w:val="center"/>
            <w:hideMark/>
          </w:tcPr>
          <w:p w14:paraId="7970EDF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564.96 ± 89.81</w:t>
            </w:r>
          </w:p>
        </w:tc>
        <w:tc>
          <w:tcPr>
            <w:tcW w:w="0" w:type="auto"/>
            <w:shd w:val="clear" w:color="auto" w:fill="auto"/>
            <w:noWrap/>
            <w:vAlign w:val="center"/>
            <w:hideMark/>
          </w:tcPr>
          <w:p w14:paraId="7C655A4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1.81 ± 0.32</w:t>
            </w:r>
          </w:p>
        </w:tc>
      </w:tr>
      <w:tr w:rsidR="00F46218" w:rsidRPr="00F46218" w14:paraId="29D1F4B4" w14:textId="77777777" w:rsidTr="00BB7BEC">
        <w:trPr>
          <w:trHeight w:val="268"/>
        </w:trPr>
        <w:tc>
          <w:tcPr>
            <w:tcW w:w="817" w:type="dxa"/>
            <w:shd w:val="clear" w:color="auto" w:fill="auto"/>
            <w:noWrap/>
            <w:vAlign w:val="center"/>
            <w:hideMark/>
          </w:tcPr>
          <w:p w14:paraId="081AF78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N106</w:t>
            </w:r>
          </w:p>
        </w:tc>
        <w:tc>
          <w:tcPr>
            <w:tcW w:w="1134" w:type="dxa"/>
            <w:shd w:val="clear" w:color="auto" w:fill="auto"/>
            <w:noWrap/>
            <w:vAlign w:val="center"/>
            <w:hideMark/>
          </w:tcPr>
          <w:p w14:paraId="0D96DF3F"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8.11 ± 1.56</w:t>
            </w:r>
          </w:p>
        </w:tc>
        <w:tc>
          <w:tcPr>
            <w:tcW w:w="0" w:type="auto"/>
            <w:shd w:val="clear" w:color="auto" w:fill="auto"/>
            <w:noWrap/>
            <w:vAlign w:val="center"/>
            <w:hideMark/>
          </w:tcPr>
          <w:p w14:paraId="6FFF284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3.75 ± 0.95</w:t>
            </w:r>
          </w:p>
        </w:tc>
        <w:tc>
          <w:tcPr>
            <w:tcW w:w="0" w:type="auto"/>
            <w:shd w:val="clear" w:color="auto" w:fill="auto"/>
            <w:noWrap/>
            <w:vAlign w:val="center"/>
            <w:hideMark/>
          </w:tcPr>
          <w:p w14:paraId="2AB86AE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0.27 ± 0.06</w:t>
            </w:r>
          </w:p>
        </w:tc>
        <w:tc>
          <w:tcPr>
            <w:tcW w:w="0" w:type="auto"/>
            <w:shd w:val="clear" w:color="auto" w:fill="auto"/>
            <w:noWrap/>
            <w:vAlign w:val="center"/>
            <w:hideMark/>
          </w:tcPr>
          <w:p w14:paraId="7FEA14BA"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73.09 ± 1.11</w:t>
            </w:r>
          </w:p>
        </w:tc>
        <w:tc>
          <w:tcPr>
            <w:tcW w:w="0" w:type="auto"/>
            <w:shd w:val="clear" w:color="auto" w:fill="auto"/>
            <w:noWrap/>
            <w:vAlign w:val="center"/>
            <w:hideMark/>
          </w:tcPr>
          <w:p w14:paraId="522A2A97"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128.35 ± 5.97</w:t>
            </w:r>
          </w:p>
        </w:tc>
        <w:tc>
          <w:tcPr>
            <w:tcW w:w="0" w:type="auto"/>
            <w:shd w:val="clear" w:color="auto" w:fill="auto"/>
            <w:noWrap/>
            <w:vAlign w:val="center"/>
            <w:hideMark/>
          </w:tcPr>
          <w:p w14:paraId="36B0C8FC"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598.15 ± 91.47</w:t>
            </w:r>
          </w:p>
        </w:tc>
        <w:tc>
          <w:tcPr>
            <w:tcW w:w="0" w:type="auto"/>
            <w:shd w:val="clear" w:color="auto" w:fill="auto"/>
            <w:noWrap/>
            <w:vAlign w:val="center"/>
            <w:hideMark/>
          </w:tcPr>
          <w:p w14:paraId="371B3521"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2.44 ± 0.46</w:t>
            </w:r>
          </w:p>
        </w:tc>
      </w:tr>
      <w:tr w:rsidR="00F46218" w:rsidRPr="00F46218" w14:paraId="12060744" w14:textId="77777777" w:rsidTr="00BB7BEC">
        <w:trPr>
          <w:trHeight w:val="268"/>
        </w:trPr>
        <w:tc>
          <w:tcPr>
            <w:tcW w:w="817" w:type="dxa"/>
            <w:tcBorders>
              <w:bottom w:val="single" w:sz="4" w:space="0" w:color="auto"/>
            </w:tcBorders>
            <w:shd w:val="clear" w:color="auto" w:fill="auto"/>
            <w:noWrap/>
            <w:vAlign w:val="center"/>
            <w:hideMark/>
          </w:tcPr>
          <w:p w14:paraId="76A55C5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N108</w:t>
            </w:r>
          </w:p>
        </w:tc>
        <w:tc>
          <w:tcPr>
            <w:tcW w:w="1134" w:type="dxa"/>
            <w:tcBorders>
              <w:bottom w:val="single" w:sz="4" w:space="0" w:color="auto"/>
            </w:tcBorders>
            <w:shd w:val="clear" w:color="auto" w:fill="auto"/>
            <w:noWrap/>
            <w:vAlign w:val="center"/>
            <w:hideMark/>
          </w:tcPr>
          <w:p w14:paraId="40D3F28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3.31 ± 0.09</w:t>
            </w:r>
          </w:p>
        </w:tc>
        <w:tc>
          <w:tcPr>
            <w:tcW w:w="0" w:type="auto"/>
            <w:tcBorders>
              <w:bottom w:val="single" w:sz="4" w:space="0" w:color="auto"/>
            </w:tcBorders>
            <w:shd w:val="clear" w:color="auto" w:fill="auto"/>
            <w:noWrap/>
            <w:vAlign w:val="center"/>
            <w:hideMark/>
          </w:tcPr>
          <w:p w14:paraId="1E0C3A87"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1.48 ± 0.03</w:t>
            </w:r>
          </w:p>
        </w:tc>
        <w:tc>
          <w:tcPr>
            <w:tcW w:w="0" w:type="auto"/>
            <w:tcBorders>
              <w:bottom w:val="single" w:sz="4" w:space="0" w:color="auto"/>
            </w:tcBorders>
            <w:shd w:val="clear" w:color="auto" w:fill="auto"/>
            <w:noWrap/>
            <w:vAlign w:val="center"/>
            <w:hideMark/>
          </w:tcPr>
          <w:p w14:paraId="562E0ED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0.13 ± 0.01</w:t>
            </w:r>
          </w:p>
        </w:tc>
        <w:tc>
          <w:tcPr>
            <w:tcW w:w="0" w:type="auto"/>
            <w:tcBorders>
              <w:bottom w:val="single" w:sz="4" w:space="0" w:color="auto"/>
            </w:tcBorders>
            <w:shd w:val="clear" w:color="auto" w:fill="auto"/>
            <w:noWrap/>
            <w:vAlign w:val="center"/>
            <w:hideMark/>
          </w:tcPr>
          <w:p w14:paraId="3FFBC74A"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52.57 ± 1.26</w:t>
            </w:r>
          </w:p>
        </w:tc>
        <w:tc>
          <w:tcPr>
            <w:tcW w:w="0" w:type="auto"/>
            <w:tcBorders>
              <w:bottom w:val="single" w:sz="4" w:space="0" w:color="auto"/>
            </w:tcBorders>
            <w:shd w:val="clear" w:color="auto" w:fill="auto"/>
            <w:noWrap/>
            <w:vAlign w:val="center"/>
            <w:hideMark/>
          </w:tcPr>
          <w:p w14:paraId="3919276B"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39.42 ± 2.07</w:t>
            </w:r>
          </w:p>
        </w:tc>
        <w:tc>
          <w:tcPr>
            <w:tcW w:w="0" w:type="auto"/>
            <w:tcBorders>
              <w:bottom w:val="single" w:sz="4" w:space="0" w:color="auto"/>
            </w:tcBorders>
            <w:shd w:val="clear" w:color="auto" w:fill="auto"/>
            <w:noWrap/>
            <w:vAlign w:val="center"/>
            <w:hideMark/>
          </w:tcPr>
          <w:p w14:paraId="1509FCE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505.40 ± 2.52</w:t>
            </w:r>
          </w:p>
        </w:tc>
        <w:tc>
          <w:tcPr>
            <w:tcW w:w="0" w:type="auto"/>
            <w:tcBorders>
              <w:bottom w:val="single" w:sz="4" w:space="0" w:color="auto"/>
            </w:tcBorders>
            <w:shd w:val="clear" w:color="auto" w:fill="auto"/>
            <w:noWrap/>
            <w:vAlign w:val="center"/>
            <w:hideMark/>
          </w:tcPr>
          <w:p w14:paraId="3B38EDC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1.59 ± 0.06</w:t>
            </w:r>
          </w:p>
        </w:tc>
      </w:tr>
    </w:tbl>
    <w:p w14:paraId="0C5182BD"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EBBBC96" w14:textId="77777777" w:rsidR="00161324" w:rsidRDefault="00161324"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sectPr w:rsidR="00161324" w:rsidSect="000B5547">
          <w:type w:val="continuous"/>
          <w:pgSz w:w="12240" w:h="15840" w:code="1"/>
          <w:pgMar w:top="1800" w:right="1469" w:bottom="1699" w:left="1440" w:header="706" w:footer="706" w:gutter="0"/>
          <w:pgNumType w:start="1"/>
          <w:cols w:space="403"/>
          <w:docGrid w:linePitch="360"/>
        </w:sectPr>
      </w:pPr>
    </w:p>
    <w:p w14:paraId="2E1147A1"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r w:rsidRPr="00F46218">
        <w:rPr>
          <w:rFonts w:ascii="Times New Roman" w:eastAsia="SimSun" w:hAnsi="Times New Roman"/>
          <w:color w:val="000000"/>
          <w:kern w:val="2"/>
          <w:sz w:val="20"/>
          <w:lang w:val="en-GB" w:eastAsia="ko-KR" w:bidi="ar-SA"/>
        </w:rPr>
        <w:t xml:space="preserve">On the west coast, the prominent contributor is the Andaman Sea, with its origins in the Bay of Bengal and Martaban Bay. Martaban Bay is the drainage basin for the Irrawaddy River and the Bay of Bengal is the drainage basin for the Ganges River, contributing most of the geochemical elements into the sea. Depth differences on the west coast may affect the bottom current trajectory, leading to a difference in the up-welling and down-welling dynamics. This results in </w:t>
      </w:r>
      <w:r w:rsidRPr="003140E0">
        <w:rPr>
          <w:rFonts w:ascii="Times New Roman" w:eastAsia="SimSun" w:hAnsi="Times New Roman"/>
          <w:kern w:val="2"/>
          <w:sz w:val="20"/>
          <w:lang w:val="en-GB" w:eastAsia="ko-KR" w:bidi="ar-SA"/>
        </w:rPr>
        <w:t xml:space="preserve">less transport in deeper water, leading to a lower rate of remobilisation of seabed sediment. According to </w:t>
      </w:r>
      <w:r w:rsidRPr="003140E0">
        <w:rPr>
          <w:rFonts w:ascii="Times New Roman" w:eastAsia="SimSun" w:hAnsi="Times New Roman"/>
          <w:noProof/>
          <w:kern w:val="2"/>
          <w:sz w:val="20"/>
          <w:szCs w:val="24"/>
          <w:lang w:val="en-GB" w:eastAsia="ko-KR" w:bidi="ar-SA"/>
        </w:rPr>
        <w:t xml:space="preserve">Väli et al. </w:t>
      </w:r>
      <w:r w:rsidRPr="003140E0">
        <w:rPr>
          <w:rFonts w:ascii="Times New Roman" w:eastAsia="SimSun" w:hAnsi="Times New Roman"/>
          <w:kern w:val="2"/>
          <w:sz w:val="20"/>
          <w:lang w:val="en-GB" w:eastAsia="ko-KR" w:bidi="ar-SA"/>
        </w:rPr>
        <w:fldChar w:fldCharType="begin" w:fldLock="1"/>
      </w:r>
      <w:r w:rsidRPr="003140E0">
        <w:rPr>
          <w:rFonts w:ascii="Times New Roman" w:eastAsia="SimSun" w:hAnsi="Times New Roman"/>
          <w:kern w:val="2"/>
          <w:sz w:val="20"/>
          <w:lang w:val="en-GB" w:eastAsia="ko-KR" w:bidi="ar-SA"/>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Pr="003140E0">
        <w:rPr>
          <w:rFonts w:ascii="Times New Roman" w:eastAsia="SimSun" w:hAnsi="Times New Roman"/>
          <w:kern w:val="2"/>
          <w:sz w:val="20"/>
          <w:lang w:val="en-GB" w:eastAsia="ko-KR" w:bidi="ar-SA"/>
        </w:rPr>
        <w:fldChar w:fldCharType="separate"/>
      </w:r>
      <w:r w:rsidRPr="003140E0">
        <w:rPr>
          <w:rFonts w:ascii="Times New Roman" w:eastAsia="SimSun" w:hAnsi="Times New Roman"/>
          <w:noProof/>
          <w:kern w:val="2"/>
          <w:sz w:val="20"/>
          <w:lang w:val="en-GB" w:eastAsia="ko-KR" w:bidi="ar-SA"/>
        </w:rPr>
        <w:t>[30]</w:t>
      </w:r>
      <w:r w:rsidRPr="003140E0">
        <w:rPr>
          <w:rFonts w:ascii="Times New Roman" w:eastAsia="SimSun" w:hAnsi="Times New Roman"/>
          <w:kern w:val="2"/>
          <w:sz w:val="20"/>
          <w:lang w:val="en-GB" w:eastAsia="ko-KR" w:bidi="ar-SA"/>
        </w:rPr>
        <w:fldChar w:fldCharType="end"/>
      </w:r>
      <w:r w:rsidRPr="003140E0">
        <w:rPr>
          <w:rFonts w:ascii="Times New Roman" w:eastAsia="SimSun" w:hAnsi="Times New Roman"/>
          <w:kern w:val="2"/>
          <w:sz w:val="20"/>
          <w:lang w:val="en-GB" w:eastAsia="ko-KR" w:bidi="ar-SA"/>
        </w:rPr>
        <w:t xml:space="preserve">, the difference in dynamic uplift due to water depth suggests a larger difference in nutrient transport, leading to lower nutrient content in shallower coastal waters due to constant remobilisation. Furthermore, the difference in topography may lead to a lower current output, due to convergence at the northern Malacca Strait. </w:t>
      </w:r>
      <w:r w:rsidRPr="003140E0">
        <w:rPr>
          <w:rFonts w:ascii="Times New Roman" w:eastAsia="SimSun" w:hAnsi="Times New Roman"/>
          <w:noProof/>
          <w:kern w:val="2"/>
          <w:sz w:val="20"/>
          <w:szCs w:val="24"/>
          <w:lang w:val="en-GB" w:eastAsia="ko-KR" w:bidi="ar-SA"/>
        </w:rPr>
        <w:t xml:space="preserve">Haditiar et al. </w:t>
      </w:r>
      <w:r w:rsidRPr="003140E0">
        <w:rPr>
          <w:rFonts w:ascii="Times New Roman" w:eastAsia="SimSun" w:hAnsi="Times New Roman"/>
          <w:kern w:val="2"/>
          <w:sz w:val="20"/>
          <w:lang w:val="en-GB" w:eastAsia="ko-KR" w:bidi="ar-SA"/>
        </w:rPr>
        <w:fldChar w:fldCharType="begin" w:fldLock="1"/>
      </w:r>
      <w:r w:rsidRPr="003140E0">
        <w:rPr>
          <w:rFonts w:ascii="Times New Roman" w:eastAsia="SimSun" w:hAnsi="Times New Roman"/>
          <w:kern w:val="2"/>
          <w:sz w:val="20"/>
          <w:lang w:val="en-GB" w:eastAsia="ko-KR" w:bidi="ar-SA"/>
        </w:rPr>
        <w:instrText>ADDIN CSL_CITATION {"citationItems":[{"id":"ITEM-1","itemData":{"DOI":"10.4186/ej.2019.23.6.129","ISSN":"01258281","abstract":"This work aimed to determine the hydrodynamics of the Malacca Strait (MS) and the part of the South China Sea (SCS). The study uses the two-dimensional numerical model with a finite-difference method. The results show that the sea surface heights in MS and the part of SCS are reversed and consistent with assimilation data that derived from Simple Ocean Data Assimilation (SODA). Sea surface in northern MS is lower than that in the southern part during January and July. However, the interval of SSH in both January and July appears differently. It is steeper in January than in July. Therefore, the currents and transports during January are stronger than those during July. However, the direction of currents and volume transport of MS flow to the Andaman Sea both in January and July. In part of SCS, the pattern is relatively the same as in MS; that is, the currents during January are stronger than those during July. In general, mostly volume transport in MS is going to the Andaman Sea and volume transport from part of SCS is deflected to the southern part of MS, especially in January.","author":[{"dropping-particle":"","family":"Haditiar","given":"Yudi","non-dropping-particle":"","parse-names":false,"suffix":""},{"dropping-particle":"","family":"Putri","given":"Mutiara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A.","non-dropping-particle":"","parse-names":false,"suffix":""},{"dropping-particle":"","family":"Rizal","given":"Syamsul","non-dropping-particle":"","parse-names":false,"suffix":""}],"container-title":"Engineering Journal","id":"ITEM-1","issue":"6","issued":{"date-parts":[["2019"]]},"page":"129-143","title":"Numerical simulation of currents and volume transport in the Malacca Strait and part of South China Sea","type":"article-journal","volume":"23"},"uris":["http://www.mendeley.com/documents/?uuid=7d6693de-4c0d-4fb1-a9b9-8a23b15240ad"]}],"mendeley":{"formattedCitation":"[31]","plainTextFormattedCitation":"[31]","previouslyFormattedCitation":"[31]"},"properties":{"noteIndex":0},"schema":"https://github.com/citation-style-language/schema/raw/master/csl-citation.json"}</w:instrText>
      </w:r>
      <w:r w:rsidRPr="003140E0">
        <w:rPr>
          <w:rFonts w:ascii="Times New Roman" w:eastAsia="SimSun" w:hAnsi="Times New Roman"/>
          <w:kern w:val="2"/>
          <w:sz w:val="20"/>
          <w:lang w:val="en-GB" w:eastAsia="ko-KR" w:bidi="ar-SA"/>
        </w:rPr>
        <w:fldChar w:fldCharType="separate"/>
      </w:r>
      <w:r w:rsidRPr="003140E0">
        <w:rPr>
          <w:rFonts w:ascii="Times New Roman" w:eastAsia="SimSun" w:hAnsi="Times New Roman"/>
          <w:noProof/>
          <w:kern w:val="2"/>
          <w:sz w:val="20"/>
          <w:lang w:val="en-GB" w:eastAsia="ko-KR" w:bidi="ar-SA"/>
        </w:rPr>
        <w:t>[31]</w:t>
      </w:r>
      <w:r w:rsidRPr="003140E0">
        <w:rPr>
          <w:rFonts w:ascii="Times New Roman" w:eastAsia="SimSun" w:hAnsi="Times New Roman"/>
          <w:kern w:val="2"/>
          <w:sz w:val="20"/>
          <w:lang w:val="en-GB" w:eastAsia="ko-KR" w:bidi="ar-SA"/>
        </w:rPr>
        <w:fldChar w:fldCharType="end"/>
      </w:r>
      <w:r w:rsidRPr="003140E0">
        <w:rPr>
          <w:rFonts w:ascii="Times New Roman" w:eastAsia="SimSun" w:hAnsi="Times New Roman"/>
          <w:kern w:val="2"/>
          <w:sz w:val="20"/>
          <w:lang w:val="en-GB" w:eastAsia="ko-KR" w:bidi="ar-SA"/>
        </w:rPr>
        <w:t xml:space="preserve"> stated that the Malacca Strait facilitates a small water mass exchange between the Andaman Sea and the Malacca Strait, compared to the east coast of the Malaysian Peninsular, under the influence of monsoon, resulting in a smaller transport dynamic between the coasts.</w:t>
      </w:r>
    </w:p>
    <w:p w14:paraId="67F5C374"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p>
    <w:p w14:paraId="5A581C6B"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r w:rsidRPr="003140E0">
        <w:rPr>
          <w:rFonts w:ascii="Times New Roman" w:eastAsia="SimSun" w:hAnsi="Times New Roman"/>
          <w:kern w:val="2"/>
          <w:sz w:val="20"/>
          <w:lang w:val="en-GB" w:eastAsia="ko-KR" w:bidi="ar-SA"/>
        </w:rPr>
        <w:t xml:space="preserve">To assess environment quality at the sampling stations, principal component analysis (PCA) was used to assess the significance of sediment contamination levels to aquatic ecosystem and environmental management. It also provides more quantification of dataset regarding geochemical elements in sediments and its controlling factors. The results of the PCA are presented in Table 4 </w:t>
      </w:r>
      <w:r w:rsidRPr="003140E0">
        <w:rPr>
          <w:rFonts w:ascii="Times New Roman" w:eastAsia="SimSun" w:hAnsi="Times New Roman"/>
          <w:kern w:val="2"/>
          <w:sz w:val="20"/>
          <w:lang w:val="en-GB" w:eastAsia="ko-KR" w:bidi="ar-SA"/>
        </w:rPr>
        <w:t xml:space="preserve">for two principal components. The analysis shows that about 54 % of the total variation is explained by the first principal component, followed by 38% for the second principal component. </w:t>
      </w:r>
    </w:p>
    <w:p w14:paraId="24567800" w14:textId="77777777" w:rsidR="00127A77" w:rsidRPr="003140E0" w:rsidRDefault="00127A77" w:rsidP="000B5547">
      <w:pPr>
        <w:widowControl w:val="0"/>
        <w:wordWrap w:val="0"/>
        <w:autoSpaceDE w:val="0"/>
        <w:autoSpaceDN w:val="0"/>
        <w:spacing w:after="0"/>
        <w:jc w:val="both"/>
        <w:rPr>
          <w:rFonts w:ascii="Times New Roman" w:eastAsia="SimSun" w:hAnsi="Times New Roman"/>
          <w:kern w:val="2"/>
          <w:sz w:val="20"/>
          <w:lang w:val="en-GB" w:eastAsia="ko-KR" w:bidi="ar-SA"/>
        </w:rPr>
      </w:pPr>
    </w:p>
    <w:p w14:paraId="24466494" w14:textId="77777777" w:rsidR="00127A77" w:rsidRPr="00F46218" w:rsidRDefault="00127A77" w:rsidP="00127A77">
      <w:pPr>
        <w:widowControl w:val="0"/>
        <w:wordWrap w:val="0"/>
        <w:autoSpaceDE w:val="0"/>
        <w:autoSpaceDN w:val="0"/>
        <w:spacing w:after="0"/>
        <w:jc w:val="both"/>
        <w:rPr>
          <w:rFonts w:ascii="Times New Roman" w:eastAsia="SimSun" w:hAnsi="Times New Roman"/>
          <w:color w:val="000000"/>
          <w:kern w:val="2"/>
          <w:sz w:val="20"/>
          <w:lang w:val="en-GB" w:eastAsia="ko-KR" w:bidi="ar-SA"/>
        </w:rPr>
      </w:pPr>
      <w:r w:rsidRPr="003140E0">
        <w:rPr>
          <w:rFonts w:ascii="Times New Roman" w:eastAsia="SimSun" w:hAnsi="Times New Roman"/>
          <w:kern w:val="2"/>
          <w:sz w:val="20"/>
          <w:lang w:val="en-GB" w:eastAsia="ko-KR" w:bidi="ar-SA"/>
        </w:rPr>
        <w:t xml:space="preserve">The first PCA is defined by the hydrological process that results in the accumulation preserved in silts, which, in turn, becomes a depository for Al, Fe, </w:t>
      </w:r>
      <w:proofErr w:type="spellStart"/>
      <w:r w:rsidRPr="003140E0">
        <w:rPr>
          <w:rFonts w:ascii="Times New Roman" w:eastAsia="SimSun" w:hAnsi="Times New Roman"/>
          <w:kern w:val="2"/>
          <w:sz w:val="20"/>
          <w:lang w:val="en-GB" w:eastAsia="ko-KR" w:bidi="ar-SA"/>
        </w:rPr>
        <w:t>Ti</w:t>
      </w:r>
      <w:proofErr w:type="spellEnd"/>
      <w:r w:rsidRPr="003140E0">
        <w:rPr>
          <w:rFonts w:ascii="Times New Roman" w:eastAsia="SimSun" w:hAnsi="Times New Roman"/>
          <w:kern w:val="2"/>
          <w:sz w:val="20"/>
          <w:lang w:val="en-GB" w:eastAsia="ko-KR" w:bidi="ar-SA"/>
        </w:rPr>
        <w:t>, Cr, Mn and Zn (Table 4). Constant remobilisation of surficial sediment in the Malacca Strait may occur due to difference in the depths of the straits, leading to severe fluctuations in coastal transport dynamics, thus affecting the silt fraction and geoc</w:t>
      </w:r>
      <w:r w:rsidRPr="00F46218">
        <w:rPr>
          <w:rFonts w:ascii="Times New Roman" w:eastAsia="SimSun" w:hAnsi="Times New Roman"/>
          <w:color w:val="000000"/>
          <w:kern w:val="2"/>
          <w:sz w:val="20"/>
          <w:lang w:val="en-GB" w:eastAsia="ko-KR" w:bidi="ar-SA"/>
        </w:rPr>
        <w:t xml:space="preserve">hemical content in the sediment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[30]</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The absorbent nature of Fe-Mn oxyhydroxides combined with silt, would lead to sorption of most of the geochemical elements into the silt, leading to higher affinity, as well as through oxidation and reduction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{"citationItems":[{"id":"ITEM-1","itemData":{"DOI":"10.1590/18069657rbcs20170174","ISSN":"18069657","abstract":"Studies of heavy metals are concentrate on clay fractions, but coarser fractions of the soil can constitute significant sources of structural forms of heavy metals. The aim of this study was to evaluate the occurrence of heavy metals in the structure of minerals of the sand and silt fractions of soils from three different parent materials (metamorphic rocks and granite) in southern Brazil using SEM/EDS - Scanning Electron Microscopy with Energy Dispersive Spectroscopy and with WD-EPMA - with Wavelength Dispersive-Electron Probe Microanalysis. We sampled soils from two areas naturally rich in heavy metals, with high mineral deposits (galena - PbS) hosted in carbonate rocks and phyllite/mica schist. The main form of Ba in the sand and silt fractions was as barite (BaSO4). The precipitation of Ba and S from the soil solution occurred on the surface of silicate mineral particles. Due to the proximity of ionic radius of Ba-Pb, there was isomorphic substitution of Ba for Pb in the barite structure. The only primary mineral source of Pb in the coarse soil fractions was trioctahedral mica. Several secondary minerals in the silt and sand are sources of structural Pb: plumbogummite, plumboferrite, magnetoplumbite, and cerussite. There was a strong geochemical association of Pb-Fe-Mn. Zinc was also associated with Fe. The SEM/EDS/WD-EPMA techniques are important analyses to complement standard procedures, such as X-ray diffraction and total chemical digestion, in geochemical studies.","author":[{"dropping-particle":"","family":"Batista","given":"Araína Hulmnn","non-dropping-particle":"","parse-names":false,"suffix":""},{"dropping-particle":"","family":"Melo","given":"Vander Freitas","non-dropping-particle":"","parse-names":false,"suffix":""},{"dropping-particle":"","family":"Gilkes","given":"Robert","non-dropping-particle":"","parse-names":false,"suffix":""},{"dropping-particle":"","family":"Roberts","given":"Malcolm","non-dropping-particle":"","parse-names":false,"suffix":""}],"container-title":"Revista Brasileira de Ciencia do Solo","id":"ITEM-1","issued":{"date-parts":[["2018"]]},"page":"1-16","title":"Identification of heavy metals in crystals of sand and silt fractions of soils by scanning electron microscopy (SEM EDS/WD-EPMA)","type":"article-journal","volume":"42"},"uris":["http://www.mendeley.com/documents/?uuid=8a15e7e6-461c-4118-8ddc-92578efa702c"]}],"mendeley":{"formattedCitation":"[32]","plainTextFormattedCitation":"[32]","previouslyFormattedCitation":"[32]"},"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[32]</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Fe-Mn acts as a scavenger in coastal environments where the co-precipitation process occurs, leading to the strong enrichment of geochemical elements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{"citationItems":[{"id":"ITEM-1","itemData":{"DOI":"10.1080/10643388409381713","ISBN":"1040-838X","ISSN":"1040838X","abstract":"The behavior of heavy metals in a natural aqueous system is attracting researchers because of environmental issues. Man's activities have increased the quantity and distribution of heavy metals in the atmosphere, on the land, and in rivers, lakes, and seas. The extent of this widespread contamination has caused concern about its possible effects on plants, animals and human beings. One of the first steps in any systematic study of the aquatic chemistry of a potential contaminant is an elucidation of the principal modes of transport and sinks for the contaminant. It appears that a large proportion of the metallic substances discharged into water bodies is ultimately incorporated into sediments. (Warren, L. J.,112 and others). The sediment is a complex mixture with three main components: clays, organic matter, and oxides of iron and manganese. While the role of clays and biota in affecting the transport of heavy metals is commonly recognized, the significance of Fe and Mn among the factors that are involved...","author":[{"dropping-particle":"","family":"Singh","given":"Shailendra K.","non-dropping-particle":"","parse-names":false,"suffix":""},{"dropping-particle":"","family":"Subramanian","given":"V.","non-dropping-particle":"","parse-names":false,"suffix":""}],"container-title":"Critical Reviews in Environmental Control","id":"ITEM-1","issue":"1","issued":{"date-parts":[["1984"]]},"page":"33-90","title":"Hydrous fe and mn oxides — scavengers of heavy metals in the aquatic environment","type":"article-journal","volume":"14"},"uris":["http://www.mendeley.com/documents/?uuid=0031bc69-f7a9-4c42-932d-238038c3e65f"]}],"mendeley":{"formattedCitation":"[33]","plainTextFormattedCitation":"[33]","previouslyFormattedCitation":"[33]"},"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[33]</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On the other hand, the presence of Al, with respect to the silt fraction in seabed sediment, suggests the presence of feldspar and plagioclase, since both of the minerals are the main constituents in the sediment surrounding the Malaysian Peninsular due to weathering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{"citationItems":[{"id":"ITEM-1","itemData":{"DOI":"10.1180/claymin.2014.049.2.05","ISSN":"0009-8558","abstract":"An understanding of the nature and scales of diagenetic variability within organic-rich mudstones is critical to the accurate assessment of shale-gas reservoir properties, as well as for elucidating chemical evolution pathways within mudstones. Here we integrate field observations with thin section descriptions (optical and electron optical techniques) and mineralogical data for the Blackhawk Member time-equivalent Mancos Shale in Book Cliffs, Utah, to determine the impacts of early and burial diagenesis on this mudstone succession.The detrital assemblage in the Mancos Shale comprises quartz-silt, feldspar, clay minerals, dolomite and organic matter (TOC of 1 to 2.5%). Biogenic silica is negligible. Field mapping reveals laterally continuous (km scale), ferroan dolomite cemented units up to 0.3 m thick, are present. These cemented units cap both coarsening-upward units (1 to 3 m thick), and stacked successions of coarsening-upward units (5 to 15 m thick). These upward-coarsening sediment packages, capped by dolomite cemented strata, correlate to bedsets and parasequences in updip settings. Pervasive cementation in these dolomite-cemented units is likely to have occurred prior to compaction as a result of bacterially mediated respiratory processes. Cementation at these levels is particularly evident because cement precipitation occurred during breaks in sediment accumulation below marine flooding surfaces. The abundance of dolomite cements highlights the importance of macroscopic-scale diagenetic carbonate mobility in these mudstones.In addition to carbonate-cements, diagenetic alteration and precipitation of quartz and alumina-silicate minerals are also important in these mudstones. Kaolinite is present both in uncompacted test of organisms and as vein fills in septarian concretions. Kaolinite precipitation is interpreted to have occurred prior to significant compaction and indicates that both silicon and aluminium were mobile during early diagenesis. We interpret the abundance of early diagenetic kaolinite cement to be the result of Al-mobilization by organic acids generated during organic matter oxidation reactions, with the Al sourced from poorly crystalline detrital aluminium oxides and clay minerals. There is also indirect evidence for burial diagenetic kaolinitization of feldspar grains. Quartz cement takes the form of quartz overgrowths and microcrystalline quartz crystals. Textures and CL spectra for the quartz microcrystalline cement suggests t…","author":[{"dropping-particle":"","family":"Taylor","given":"K. G.","non-dropping-particle":"","parse-names":false,"suffix":""},{"dropping-particle":"","family":"Macquaker","given":"J . H. S.","non-dropping-particle":"","parse-names":false,"suffix":""}],"container-title":"Clay Minerals","id":"ITEM-1","issue":"2","issued":{"date-parts":[["2014"]]},"page":"213-227","title":"Diagenetic alterations in a silt- and clay-rich mudstone succession: an example from the Upper Cretaceous Mancos Shale of Utah, USA","type":"article-journal","volume":"49"},"uris":["http://www.mendeley.com/documents/?uuid=527a4aed-b3c8-496c-86b9-5f8c819c5e84"]},{"id":"ITEM-2","itemData":{"DOI":"10.7186/wg473202104","ISSN":"01265539","abstract":"The weathering profile at the slope cut near Km 16 of the Kuala Lumpur - Ipoh trunk road can be differentiated into an upper, 11.8 m thick pedological soil (zone I) and a lower, 31.9 m thick saprock (zone II) comprising silty sandy gravels that distinctly preserve the minerals, textures and structures of the original granite. In order to investigate the influence of particle size distributions on soil moisture retention characteristics, saprock samples were collected at depths of 26.53 m (Sample A), 31.29 m (Sample B) and 41.93 m (Sample C). Samples A and B, with porosities of 37%, comprise 33% gravel, 27% sand, 22% silt and 18% clay, and 31% gravel, 24% sand, 25% silt and 22% clay, respectively. Sample C with a porosity of 44% consists of 24% gravel, 28% sand, 38% silt and 10% clay. Tests with the pressure plate method show increasing suctions from 0 kPa through 0.98 kPa and 9.8 kPa to 33 kPa and 1,500 kPa to result in gravimetric soil moisture retentions of 31.9% through 28.6% and 23.3% to 16.9% and 6.8% in sample A, of 32.1% through 24.9% and 21.5% to 17.8% and 7.4% in sample B, and of 31.5% through 30.3% and 27.30% to 23.5% and 9.5% in sample C. Regression analyses of gravel, sand and clay contents plotted against moisture contents retained at high suctions (33 kPa and 1,500 kPa) yield negative trends with variable correlation coefficients (R2), though plots involving silt contents yield positive trends with large correlation coefficients (R2 &gt;0.9966). It is concluded that adsorption of water on surfaces of silt sized particles (of mainly sericite derived from weathering of feldspars) that gives rise to the retention of soil moisture in saprock.","author":[{"dropping-particle":"","family":"Raj","given":"John Kuna","non-dropping-particle":"","parse-names":false,"suffix":""}],"container-title":"Warta Geologi","id":"ITEM-2","issue":"3","issued":{"date-parts":[["2021"]]},"page":"217-225","title":"Soil Moisture Retention Characteristics Of Saprock From The Weathering Profile Over A Biotite-Muscovite Granite In Peninsular Malaysia","type":"article-journal","volume":"47"},"uris":["http://www.mendeley.com/documents/?uuid=c7e8dda1-b8f5-421c-9326-5afbd42f921d"]}],"mendeley":{"formattedCitation":"[34,35]","plainTextFormattedCitation":"[34,35]","previouslyFormattedCitation":"[34,35]"},"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[34,35]</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Furthermore, weathering effects in the natural environment lead to the conversion of common zinc species into a soluble form, which is then discharged into the aquatic environment and supplies the sediment in the Malacca Straits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{"citationItems":[{"id":"ITEM-1","itemData":{"DOI":"10.1007/s10661-011-1903-3","ISBN":"1066101119033","ISSN":"01676369","PMID":"21340548","abstract":"Surface sediments were collected from the north western aquatic area (13 intertidal sites and 5 river drainages) of Peninsular Malaysia, which were suspected to have received different anthropogenic sources. These sites included town areas, ports, fishing village, industrial areas, highway sides, jetties and some relatively unpolluted sites. The present study revealed that 4.79-32.91 μg/g dry weight for Cu, 15.85-61.56 μg/g dry weight for Pb, and 33.6-317.4 μg/g dry weight for Zn based on 13 intertidal surface sediments while those based on 5 river drainage surface sediments were 10.24-119.6 μg/g dry weight for Cu, 26.7-125.7 μg/g dry weight for Pb and 88.7-484.1 μg/g dry weight for Zn. In general, the metal levels in the drainage sediments are higher than in the intertidal sediments, suggesting dilution factor in the intertidal sediment and direct effluent from point sources in the drainage sediment. In particular, the total concentrations of Cu, Pb, and Zn for the sampling site at Kuala Kurau Town exceeded the Effect Range Median values for Cu, Pb, and Zn for assessments of sediment quality values for freshwater sediment as proposed by MacDonald et al. (Arch Environ Contam Toxicol 39:20-31, 2000), thus adverse biological effects would be observed above this level. Assessment using enrichment factor (using Fe as a normalizer) and geoaccumulation index showed that the three metals at Kuala Kurau Town and Juru Industry drainage were evidenced as having more enrichment and mostly due to non-natural sources. However, caution should be exercised that the interpretation can only become valid when the ratios, indices, and sediment quality values are combined. This is due to the fact that not all the established indices are applicable and, to a certain extent, some of them should be further revised and improved to suit a different metal for Malaysian sediment. Undoubtedly, sites near drainages at Kuala Kurau Town and Juru River Basin need greater attention to mitigate the heavy metal pollution in the future. © 2011 Springer Science+Business Media B.V.","author":[{"dropping-particle":"","family":"Yap","given":"C. K.","non-dropping-particle":"","parse-names":false,"suffix":""},{"dropping-particle":"","family":"Pang","given":"B. H.","non-dropping-particle":"","parse-names":false,"suffix":""}],"container-title":"Environmental Monitoring and Assessment","id":"ITEM-1","issue":"1-4","issued":{"date-parts":[["2011"]]},"page":"23-39","title":"Assessment of Cu, Pb, and Zn contamination in sediment of north western Peninsular Malaysia by using sediment quality values and different geochemical indices","type":"article-journal","volume":"183"},"uris":["http://www.mendeley.com/documents/?uuid=f5e5559d-0e9f-4ebc-aa34-e3d2f073d221"]}],"mendeley":{"formattedCitation":"[36]","plainTextFormattedCitation":"[36]","previouslyFormattedCitation":"[36]"},"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[36]</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w:t>
      </w:r>
    </w:p>
    <w:p w14:paraId="333EBFBA" w14:textId="66E2C2C2" w:rsidR="00127A77" w:rsidRDefault="00127A77"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sectPr w:rsidR="00127A77" w:rsidSect="00161324">
          <w:type w:val="continuous"/>
          <w:pgSz w:w="12240" w:h="15840" w:code="1"/>
          <w:pgMar w:top="1800" w:right="1469" w:bottom="1699" w:left="1440" w:header="706" w:footer="706" w:gutter="0"/>
          <w:pgNumType w:start="1"/>
          <w:cols w:num="2" w:space="403"/>
          <w:docGrid w:linePitch="360"/>
        </w:sectPr>
      </w:pPr>
    </w:p>
    <w:p w14:paraId="712A2C0D" w14:textId="625E0003" w:rsidR="00F46218" w:rsidRDefault="00F46218" w:rsidP="000B5547">
      <w:pPr>
        <w:widowControl w:val="0"/>
        <w:wordWrap w:val="0"/>
        <w:autoSpaceDE w:val="0"/>
        <w:autoSpaceDN w:val="0"/>
        <w:spacing w:after="0"/>
        <w:jc w:val="center"/>
        <w:outlineLvl w:val="0"/>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lastRenderedPageBreak/>
        <w:t xml:space="preserve">Table 4.  </w:t>
      </w:r>
      <w:r w:rsidRPr="00F46218">
        <w:rPr>
          <w:rFonts w:ascii="Times New Roman" w:eastAsia="SimSun" w:hAnsi="Times New Roman"/>
          <w:color w:val="000000"/>
          <w:kern w:val="2"/>
          <w:sz w:val="20"/>
          <w:szCs w:val="18"/>
          <w:lang w:val="en-GB" w:eastAsia="ko-KR" w:bidi="ar-SA"/>
        </w:rPr>
        <w:t>Principal component loadings against variables in the Malacca Straits</w:t>
      </w:r>
    </w:p>
    <w:p w14:paraId="4B334C54" w14:textId="77777777" w:rsidR="00DE20D1" w:rsidRPr="00F46218" w:rsidRDefault="00DE20D1"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tbl>
      <w:tblPr>
        <w:tblW w:w="0" w:type="auto"/>
        <w:jc w:val="center"/>
        <w:tblLook w:val="04A0" w:firstRow="1" w:lastRow="0" w:firstColumn="1" w:lastColumn="0" w:noHBand="0" w:noVBand="1"/>
      </w:tblPr>
      <w:tblGrid>
        <w:gridCol w:w="1424"/>
        <w:gridCol w:w="1337"/>
        <w:gridCol w:w="1337"/>
      </w:tblGrid>
      <w:tr w:rsidR="00F46218" w:rsidRPr="00F46218" w14:paraId="21B33452" w14:textId="77777777" w:rsidTr="00BB7BEC">
        <w:trPr>
          <w:trHeight w:val="285"/>
          <w:jc w:val="center"/>
        </w:trPr>
        <w:tc>
          <w:tcPr>
            <w:tcW w:w="0" w:type="auto"/>
            <w:tcBorders>
              <w:top w:val="single" w:sz="4" w:space="0" w:color="auto"/>
              <w:left w:val="nil"/>
              <w:bottom w:val="single" w:sz="4" w:space="0" w:color="auto"/>
              <w:right w:val="nil"/>
            </w:tcBorders>
            <w:shd w:val="clear" w:color="auto" w:fill="auto"/>
            <w:noWrap/>
            <w:vAlign w:val="center"/>
            <w:hideMark/>
          </w:tcPr>
          <w:p w14:paraId="79E8D69C"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747E05D8"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Component</w:t>
            </w:r>
          </w:p>
        </w:tc>
      </w:tr>
      <w:tr w:rsidR="00F46218" w:rsidRPr="00F46218" w14:paraId="458CE733" w14:textId="77777777" w:rsidTr="00BB7BEC">
        <w:trPr>
          <w:trHeight w:val="285"/>
          <w:jc w:val="center"/>
        </w:trPr>
        <w:tc>
          <w:tcPr>
            <w:tcW w:w="0" w:type="auto"/>
            <w:tcBorders>
              <w:top w:val="single" w:sz="4" w:space="0" w:color="auto"/>
              <w:left w:val="nil"/>
              <w:bottom w:val="single" w:sz="4" w:space="0" w:color="auto"/>
              <w:right w:val="nil"/>
            </w:tcBorders>
            <w:shd w:val="clear" w:color="auto" w:fill="auto"/>
            <w:noWrap/>
            <w:vAlign w:val="center"/>
            <w:hideMark/>
          </w:tcPr>
          <w:p w14:paraId="72EAE33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p>
        </w:tc>
        <w:tc>
          <w:tcPr>
            <w:tcW w:w="0" w:type="auto"/>
            <w:tcBorders>
              <w:top w:val="single" w:sz="4" w:space="0" w:color="auto"/>
              <w:left w:val="nil"/>
              <w:bottom w:val="single" w:sz="4" w:space="0" w:color="auto"/>
              <w:right w:val="nil"/>
            </w:tcBorders>
            <w:shd w:val="clear" w:color="auto" w:fill="auto"/>
            <w:noWrap/>
            <w:vAlign w:val="center"/>
            <w:hideMark/>
          </w:tcPr>
          <w:p w14:paraId="381B7C0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1</w:t>
            </w:r>
          </w:p>
        </w:tc>
        <w:tc>
          <w:tcPr>
            <w:tcW w:w="0" w:type="auto"/>
            <w:tcBorders>
              <w:top w:val="single" w:sz="4" w:space="0" w:color="auto"/>
              <w:left w:val="nil"/>
              <w:bottom w:val="single" w:sz="4" w:space="0" w:color="auto"/>
              <w:right w:val="nil"/>
            </w:tcBorders>
            <w:shd w:val="clear" w:color="auto" w:fill="auto"/>
            <w:noWrap/>
            <w:vAlign w:val="center"/>
            <w:hideMark/>
          </w:tcPr>
          <w:p w14:paraId="1171606D"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2</w:t>
            </w:r>
          </w:p>
        </w:tc>
      </w:tr>
      <w:tr w:rsidR="00F46218" w:rsidRPr="00F46218" w14:paraId="6850340F" w14:textId="77777777" w:rsidTr="00BB7BEC">
        <w:trPr>
          <w:trHeight w:val="285"/>
          <w:jc w:val="center"/>
        </w:trPr>
        <w:tc>
          <w:tcPr>
            <w:tcW w:w="0" w:type="auto"/>
            <w:tcBorders>
              <w:top w:val="single" w:sz="4" w:space="0" w:color="auto"/>
              <w:left w:val="nil"/>
              <w:bottom w:val="nil"/>
              <w:right w:val="nil"/>
            </w:tcBorders>
            <w:shd w:val="clear" w:color="auto" w:fill="auto"/>
            <w:noWrap/>
            <w:vAlign w:val="center"/>
            <w:hideMark/>
          </w:tcPr>
          <w:p w14:paraId="498E72C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Clay</w:t>
            </w:r>
          </w:p>
        </w:tc>
        <w:tc>
          <w:tcPr>
            <w:tcW w:w="0" w:type="auto"/>
            <w:tcBorders>
              <w:top w:val="single" w:sz="4" w:space="0" w:color="auto"/>
              <w:left w:val="nil"/>
              <w:bottom w:val="nil"/>
              <w:right w:val="nil"/>
            </w:tcBorders>
            <w:shd w:val="clear" w:color="auto" w:fill="auto"/>
            <w:noWrap/>
            <w:vAlign w:val="center"/>
            <w:hideMark/>
          </w:tcPr>
          <w:p w14:paraId="78D73C8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0.265</w:t>
            </w:r>
          </w:p>
        </w:tc>
        <w:tc>
          <w:tcPr>
            <w:tcW w:w="0" w:type="auto"/>
            <w:tcBorders>
              <w:top w:val="single" w:sz="4" w:space="0" w:color="auto"/>
              <w:left w:val="nil"/>
              <w:bottom w:val="nil"/>
              <w:right w:val="nil"/>
            </w:tcBorders>
            <w:shd w:val="clear" w:color="auto" w:fill="auto"/>
            <w:noWrap/>
            <w:vAlign w:val="center"/>
            <w:hideMark/>
          </w:tcPr>
          <w:p w14:paraId="7439CBE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-0.893</w:t>
            </w:r>
          </w:p>
        </w:tc>
      </w:tr>
      <w:tr w:rsidR="00F46218" w:rsidRPr="00F46218" w14:paraId="0DC71801"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67EA06E0"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Silt</w:t>
            </w:r>
          </w:p>
        </w:tc>
        <w:tc>
          <w:tcPr>
            <w:tcW w:w="0" w:type="auto"/>
            <w:tcBorders>
              <w:top w:val="nil"/>
              <w:left w:val="nil"/>
              <w:bottom w:val="nil"/>
              <w:right w:val="nil"/>
            </w:tcBorders>
            <w:shd w:val="clear" w:color="auto" w:fill="auto"/>
            <w:noWrap/>
            <w:vAlign w:val="center"/>
            <w:hideMark/>
          </w:tcPr>
          <w:p w14:paraId="1816C101"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0.985</w:t>
            </w:r>
          </w:p>
        </w:tc>
        <w:tc>
          <w:tcPr>
            <w:tcW w:w="0" w:type="auto"/>
            <w:tcBorders>
              <w:top w:val="nil"/>
              <w:left w:val="nil"/>
              <w:bottom w:val="nil"/>
              <w:right w:val="nil"/>
            </w:tcBorders>
            <w:shd w:val="clear" w:color="auto" w:fill="auto"/>
            <w:noWrap/>
            <w:vAlign w:val="center"/>
            <w:hideMark/>
          </w:tcPr>
          <w:p w14:paraId="3BF6FFF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-0.166</w:t>
            </w:r>
          </w:p>
        </w:tc>
      </w:tr>
      <w:tr w:rsidR="00F46218" w:rsidRPr="00F46218" w14:paraId="1C2240A3"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29F08D58"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Sand</w:t>
            </w:r>
          </w:p>
        </w:tc>
        <w:tc>
          <w:tcPr>
            <w:tcW w:w="0" w:type="auto"/>
            <w:tcBorders>
              <w:top w:val="nil"/>
              <w:left w:val="nil"/>
              <w:bottom w:val="nil"/>
              <w:right w:val="nil"/>
            </w:tcBorders>
            <w:shd w:val="clear" w:color="auto" w:fill="auto"/>
            <w:noWrap/>
            <w:vAlign w:val="center"/>
            <w:hideMark/>
          </w:tcPr>
          <w:p w14:paraId="0C6B3E8A"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-0.976</w:t>
            </w:r>
          </w:p>
        </w:tc>
        <w:tc>
          <w:tcPr>
            <w:tcW w:w="0" w:type="auto"/>
            <w:tcBorders>
              <w:top w:val="nil"/>
              <w:left w:val="nil"/>
              <w:bottom w:val="nil"/>
              <w:right w:val="nil"/>
            </w:tcBorders>
            <w:shd w:val="clear" w:color="auto" w:fill="auto"/>
            <w:noWrap/>
            <w:vAlign w:val="center"/>
            <w:hideMark/>
          </w:tcPr>
          <w:p w14:paraId="094AF83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0.218</w:t>
            </w:r>
          </w:p>
        </w:tc>
      </w:tr>
      <w:tr w:rsidR="00F46218" w:rsidRPr="00F46218" w14:paraId="4A80F5A8"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6916661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Al</w:t>
            </w:r>
          </w:p>
        </w:tc>
        <w:tc>
          <w:tcPr>
            <w:tcW w:w="0" w:type="auto"/>
            <w:tcBorders>
              <w:top w:val="nil"/>
              <w:left w:val="nil"/>
              <w:bottom w:val="nil"/>
              <w:right w:val="nil"/>
            </w:tcBorders>
            <w:shd w:val="clear" w:color="auto" w:fill="auto"/>
            <w:noWrap/>
            <w:vAlign w:val="center"/>
            <w:hideMark/>
          </w:tcPr>
          <w:p w14:paraId="1B572EAA"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0.941</w:t>
            </w:r>
          </w:p>
        </w:tc>
        <w:tc>
          <w:tcPr>
            <w:tcW w:w="0" w:type="auto"/>
            <w:tcBorders>
              <w:top w:val="nil"/>
              <w:left w:val="nil"/>
              <w:bottom w:val="nil"/>
              <w:right w:val="nil"/>
            </w:tcBorders>
            <w:shd w:val="clear" w:color="auto" w:fill="auto"/>
            <w:noWrap/>
            <w:vAlign w:val="center"/>
            <w:hideMark/>
          </w:tcPr>
          <w:p w14:paraId="7AA5ECF9"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0.316</w:t>
            </w:r>
          </w:p>
        </w:tc>
      </w:tr>
      <w:tr w:rsidR="00F46218" w:rsidRPr="00F46218" w14:paraId="2E855D64"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505D08C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Fe</w:t>
            </w:r>
          </w:p>
        </w:tc>
        <w:tc>
          <w:tcPr>
            <w:tcW w:w="0" w:type="auto"/>
            <w:tcBorders>
              <w:top w:val="nil"/>
              <w:left w:val="nil"/>
              <w:bottom w:val="nil"/>
              <w:right w:val="nil"/>
            </w:tcBorders>
            <w:shd w:val="clear" w:color="auto" w:fill="auto"/>
            <w:noWrap/>
            <w:vAlign w:val="center"/>
            <w:hideMark/>
          </w:tcPr>
          <w:p w14:paraId="1C26462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0.897</w:t>
            </w:r>
          </w:p>
        </w:tc>
        <w:tc>
          <w:tcPr>
            <w:tcW w:w="0" w:type="auto"/>
            <w:tcBorders>
              <w:top w:val="nil"/>
              <w:left w:val="nil"/>
              <w:bottom w:val="nil"/>
              <w:right w:val="nil"/>
            </w:tcBorders>
            <w:shd w:val="clear" w:color="auto" w:fill="auto"/>
            <w:noWrap/>
            <w:vAlign w:val="center"/>
            <w:hideMark/>
          </w:tcPr>
          <w:p w14:paraId="035D54A8"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0.412</w:t>
            </w:r>
          </w:p>
        </w:tc>
      </w:tr>
      <w:tr w:rsidR="00F46218" w:rsidRPr="00F46218" w14:paraId="523BBEDA"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4D5C8D2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proofErr w:type="spellStart"/>
            <w:r w:rsidRPr="00F46218">
              <w:rPr>
                <w:rFonts w:ascii="Times New Roman" w:hAnsi="Times New Roman"/>
                <w:kern w:val="2"/>
                <w:sz w:val="20"/>
                <w:lang w:val="en-GB" w:eastAsia="en-MY" w:bidi="ar-SA"/>
              </w:rPr>
              <w:t>Ti</w:t>
            </w:r>
            <w:proofErr w:type="spellEnd"/>
          </w:p>
        </w:tc>
        <w:tc>
          <w:tcPr>
            <w:tcW w:w="0" w:type="auto"/>
            <w:tcBorders>
              <w:top w:val="nil"/>
              <w:left w:val="nil"/>
              <w:bottom w:val="nil"/>
              <w:right w:val="nil"/>
            </w:tcBorders>
            <w:shd w:val="clear" w:color="auto" w:fill="auto"/>
            <w:noWrap/>
            <w:vAlign w:val="center"/>
            <w:hideMark/>
          </w:tcPr>
          <w:p w14:paraId="72A12554"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0.868</w:t>
            </w:r>
          </w:p>
        </w:tc>
        <w:tc>
          <w:tcPr>
            <w:tcW w:w="0" w:type="auto"/>
            <w:tcBorders>
              <w:top w:val="nil"/>
              <w:left w:val="nil"/>
              <w:bottom w:val="nil"/>
              <w:right w:val="nil"/>
            </w:tcBorders>
            <w:shd w:val="clear" w:color="auto" w:fill="auto"/>
            <w:noWrap/>
            <w:vAlign w:val="center"/>
            <w:hideMark/>
          </w:tcPr>
          <w:p w14:paraId="2B21FEE1"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-0.063</w:t>
            </w:r>
          </w:p>
        </w:tc>
      </w:tr>
      <w:tr w:rsidR="00F46218" w:rsidRPr="00F46218" w14:paraId="68163AC1"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5915851D"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Mg</w:t>
            </w:r>
          </w:p>
        </w:tc>
        <w:tc>
          <w:tcPr>
            <w:tcW w:w="0" w:type="auto"/>
            <w:tcBorders>
              <w:top w:val="nil"/>
              <w:left w:val="nil"/>
              <w:bottom w:val="nil"/>
              <w:right w:val="nil"/>
            </w:tcBorders>
            <w:shd w:val="clear" w:color="auto" w:fill="auto"/>
            <w:noWrap/>
            <w:vAlign w:val="center"/>
            <w:hideMark/>
          </w:tcPr>
          <w:p w14:paraId="29A09429"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0.285</w:t>
            </w:r>
          </w:p>
        </w:tc>
        <w:tc>
          <w:tcPr>
            <w:tcW w:w="0" w:type="auto"/>
            <w:tcBorders>
              <w:top w:val="nil"/>
              <w:left w:val="nil"/>
              <w:bottom w:val="nil"/>
              <w:right w:val="nil"/>
            </w:tcBorders>
            <w:shd w:val="clear" w:color="auto" w:fill="auto"/>
            <w:noWrap/>
            <w:vAlign w:val="center"/>
            <w:hideMark/>
          </w:tcPr>
          <w:p w14:paraId="1060AE9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0.943</w:t>
            </w:r>
          </w:p>
        </w:tc>
      </w:tr>
      <w:tr w:rsidR="00F46218" w:rsidRPr="00F46218" w14:paraId="1A45FF39"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37D8F9E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Cr</w:t>
            </w:r>
          </w:p>
        </w:tc>
        <w:tc>
          <w:tcPr>
            <w:tcW w:w="0" w:type="auto"/>
            <w:tcBorders>
              <w:top w:val="nil"/>
              <w:left w:val="nil"/>
              <w:bottom w:val="nil"/>
              <w:right w:val="nil"/>
            </w:tcBorders>
            <w:shd w:val="clear" w:color="auto" w:fill="auto"/>
            <w:noWrap/>
            <w:vAlign w:val="center"/>
            <w:hideMark/>
          </w:tcPr>
          <w:p w14:paraId="19F7A2B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0.759</w:t>
            </w:r>
          </w:p>
        </w:tc>
        <w:tc>
          <w:tcPr>
            <w:tcW w:w="0" w:type="auto"/>
            <w:tcBorders>
              <w:top w:val="nil"/>
              <w:left w:val="nil"/>
              <w:bottom w:val="nil"/>
              <w:right w:val="nil"/>
            </w:tcBorders>
            <w:shd w:val="clear" w:color="auto" w:fill="auto"/>
            <w:noWrap/>
            <w:vAlign w:val="center"/>
            <w:hideMark/>
          </w:tcPr>
          <w:p w14:paraId="4C2A9FEC"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0.649</w:t>
            </w:r>
          </w:p>
        </w:tc>
      </w:tr>
      <w:tr w:rsidR="00F46218" w:rsidRPr="00F46218" w14:paraId="3A1B2E97"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0A5CE30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Mn</w:t>
            </w:r>
          </w:p>
        </w:tc>
        <w:tc>
          <w:tcPr>
            <w:tcW w:w="0" w:type="auto"/>
            <w:tcBorders>
              <w:top w:val="nil"/>
              <w:left w:val="nil"/>
              <w:bottom w:val="nil"/>
              <w:right w:val="nil"/>
            </w:tcBorders>
            <w:shd w:val="clear" w:color="auto" w:fill="auto"/>
            <w:noWrap/>
            <w:vAlign w:val="center"/>
            <w:hideMark/>
          </w:tcPr>
          <w:p w14:paraId="287F7684"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0.619</w:t>
            </w:r>
          </w:p>
        </w:tc>
        <w:tc>
          <w:tcPr>
            <w:tcW w:w="0" w:type="auto"/>
            <w:tcBorders>
              <w:top w:val="nil"/>
              <w:left w:val="nil"/>
              <w:bottom w:val="nil"/>
              <w:right w:val="nil"/>
            </w:tcBorders>
            <w:shd w:val="clear" w:color="auto" w:fill="auto"/>
            <w:noWrap/>
            <w:vAlign w:val="center"/>
            <w:hideMark/>
          </w:tcPr>
          <w:p w14:paraId="3CF2650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-0.635</w:t>
            </w:r>
          </w:p>
        </w:tc>
      </w:tr>
      <w:tr w:rsidR="00F46218" w:rsidRPr="00F46218" w14:paraId="50140A57"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3FD7174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Zn</w:t>
            </w:r>
          </w:p>
        </w:tc>
        <w:tc>
          <w:tcPr>
            <w:tcW w:w="0" w:type="auto"/>
            <w:tcBorders>
              <w:top w:val="nil"/>
              <w:left w:val="nil"/>
              <w:bottom w:val="nil"/>
              <w:right w:val="nil"/>
            </w:tcBorders>
            <w:shd w:val="clear" w:color="auto" w:fill="auto"/>
            <w:noWrap/>
            <w:vAlign w:val="center"/>
            <w:hideMark/>
          </w:tcPr>
          <w:p w14:paraId="39A57A2E"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0.873</w:t>
            </w:r>
          </w:p>
        </w:tc>
        <w:tc>
          <w:tcPr>
            <w:tcW w:w="0" w:type="auto"/>
            <w:tcBorders>
              <w:top w:val="nil"/>
              <w:left w:val="nil"/>
              <w:bottom w:val="nil"/>
              <w:right w:val="nil"/>
            </w:tcBorders>
            <w:shd w:val="clear" w:color="auto" w:fill="auto"/>
            <w:noWrap/>
            <w:vAlign w:val="center"/>
            <w:hideMark/>
          </w:tcPr>
          <w:p w14:paraId="1C4CF9B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-0.101</w:t>
            </w:r>
          </w:p>
        </w:tc>
      </w:tr>
      <w:tr w:rsidR="00F46218" w:rsidRPr="00F46218" w14:paraId="73DC1D39" w14:textId="77777777" w:rsidTr="00BB7BEC">
        <w:trPr>
          <w:trHeight w:val="285"/>
          <w:jc w:val="center"/>
        </w:trPr>
        <w:tc>
          <w:tcPr>
            <w:tcW w:w="0" w:type="auto"/>
            <w:tcBorders>
              <w:top w:val="nil"/>
              <w:left w:val="nil"/>
              <w:right w:val="nil"/>
            </w:tcBorders>
            <w:shd w:val="clear" w:color="auto" w:fill="auto"/>
            <w:noWrap/>
            <w:vAlign w:val="center"/>
            <w:hideMark/>
          </w:tcPr>
          <w:p w14:paraId="2BDD7BEE"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 xml:space="preserve"> OM</w:t>
            </w:r>
          </w:p>
        </w:tc>
        <w:tc>
          <w:tcPr>
            <w:tcW w:w="0" w:type="auto"/>
            <w:tcBorders>
              <w:top w:val="nil"/>
              <w:left w:val="nil"/>
              <w:right w:val="nil"/>
            </w:tcBorders>
            <w:shd w:val="clear" w:color="auto" w:fill="auto"/>
            <w:noWrap/>
            <w:vAlign w:val="center"/>
            <w:hideMark/>
          </w:tcPr>
          <w:p w14:paraId="6AE8288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0.374</w:t>
            </w:r>
          </w:p>
        </w:tc>
        <w:tc>
          <w:tcPr>
            <w:tcW w:w="0" w:type="auto"/>
            <w:tcBorders>
              <w:top w:val="nil"/>
              <w:left w:val="nil"/>
              <w:right w:val="nil"/>
            </w:tcBorders>
            <w:shd w:val="clear" w:color="auto" w:fill="auto"/>
            <w:noWrap/>
            <w:vAlign w:val="center"/>
            <w:hideMark/>
          </w:tcPr>
          <w:p w14:paraId="6766F544"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0.91</w:t>
            </w:r>
          </w:p>
        </w:tc>
      </w:tr>
      <w:tr w:rsidR="00F46218" w:rsidRPr="00F46218" w14:paraId="7752070A" w14:textId="77777777" w:rsidTr="00BB7BEC">
        <w:trPr>
          <w:trHeight w:val="285"/>
          <w:jc w:val="center"/>
        </w:trPr>
        <w:tc>
          <w:tcPr>
            <w:tcW w:w="0" w:type="auto"/>
            <w:tcBorders>
              <w:top w:val="nil"/>
              <w:left w:val="nil"/>
              <w:bottom w:val="single" w:sz="4" w:space="0" w:color="auto"/>
              <w:right w:val="nil"/>
            </w:tcBorders>
            <w:shd w:val="clear" w:color="auto" w:fill="auto"/>
            <w:noWrap/>
            <w:vAlign w:val="center"/>
            <w:hideMark/>
          </w:tcPr>
          <w:p w14:paraId="5E5A06A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CaCO</w:t>
            </w:r>
            <w:r w:rsidRPr="00F46218">
              <w:rPr>
                <w:rFonts w:ascii="Times New Roman" w:hAnsi="Times New Roman"/>
                <w:kern w:val="2"/>
                <w:sz w:val="20"/>
                <w:vertAlign w:val="subscript"/>
                <w:lang w:val="en-GB" w:eastAsia="en-MY" w:bidi="ar-SA"/>
              </w:rPr>
              <w:t>3</w:t>
            </w:r>
          </w:p>
        </w:tc>
        <w:tc>
          <w:tcPr>
            <w:tcW w:w="0" w:type="auto"/>
            <w:tcBorders>
              <w:top w:val="nil"/>
              <w:left w:val="nil"/>
              <w:bottom w:val="single" w:sz="4" w:space="0" w:color="auto"/>
              <w:right w:val="nil"/>
            </w:tcBorders>
            <w:shd w:val="clear" w:color="auto" w:fill="auto"/>
            <w:noWrap/>
            <w:vAlign w:val="center"/>
            <w:hideMark/>
          </w:tcPr>
          <w:p w14:paraId="3EBDDA5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-0.307</w:t>
            </w:r>
          </w:p>
        </w:tc>
        <w:tc>
          <w:tcPr>
            <w:tcW w:w="0" w:type="auto"/>
            <w:tcBorders>
              <w:top w:val="nil"/>
              <w:left w:val="nil"/>
              <w:bottom w:val="single" w:sz="4" w:space="0" w:color="auto"/>
              <w:right w:val="nil"/>
            </w:tcBorders>
            <w:shd w:val="clear" w:color="auto" w:fill="auto"/>
            <w:noWrap/>
            <w:vAlign w:val="center"/>
            <w:hideMark/>
          </w:tcPr>
          <w:p w14:paraId="146EBCEA"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0.952</w:t>
            </w:r>
          </w:p>
        </w:tc>
      </w:tr>
      <w:tr w:rsidR="00F46218" w:rsidRPr="00F46218" w14:paraId="0D4AEC03" w14:textId="77777777" w:rsidTr="00BB7BEC">
        <w:trPr>
          <w:trHeight w:val="480"/>
          <w:jc w:val="center"/>
        </w:trPr>
        <w:tc>
          <w:tcPr>
            <w:tcW w:w="0" w:type="auto"/>
            <w:gridSpan w:val="3"/>
            <w:tcBorders>
              <w:top w:val="single" w:sz="4" w:space="0" w:color="auto"/>
              <w:left w:val="nil"/>
              <w:bottom w:val="single" w:sz="4" w:space="0" w:color="auto"/>
              <w:right w:val="nil"/>
            </w:tcBorders>
            <w:shd w:val="clear" w:color="auto" w:fill="auto"/>
            <w:noWrap/>
            <w:vAlign w:val="bottom"/>
            <w:hideMark/>
          </w:tcPr>
          <w:p w14:paraId="20E50704" w14:textId="77777777" w:rsidR="00F46218" w:rsidRPr="00F46218" w:rsidRDefault="00F46218" w:rsidP="00E61C26">
            <w:pPr>
              <w:widowControl w:val="0"/>
              <w:wordWrap w:val="0"/>
              <w:autoSpaceDE w:val="0"/>
              <w:autoSpaceDN w:val="0"/>
              <w:spacing w:after="0" w:line="240" w:lineRule="auto"/>
              <w:rPr>
                <w:rFonts w:ascii="Times New Roman" w:hAnsi="Times New Roman"/>
                <w:kern w:val="2"/>
                <w:sz w:val="20"/>
                <w:lang w:val="en-GB" w:eastAsia="en-MY" w:bidi="ar-SA"/>
              </w:rPr>
            </w:pPr>
            <w:r w:rsidRPr="00F46218">
              <w:rPr>
                <w:rFonts w:ascii="Times New Roman" w:hAnsi="Times New Roman"/>
                <w:kern w:val="2"/>
                <w:sz w:val="18"/>
                <w:szCs w:val="20"/>
                <w:lang w:val="en-GB" w:eastAsia="en-MY" w:bidi="ar-SA"/>
              </w:rPr>
              <w:t>Extraction Method: Principal Component Analysis</w:t>
            </w:r>
            <w:r w:rsidRPr="00F46218">
              <w:rPr>
                <w:rFonts w:ascii="Times New Roman" w:hAnsi="Times New Roman"/>
                <w:kern w:val="2"/>
                <w:sz w:val="18"/>
                <w:szCs w:val="20"/>
                <w:lang w:val="en-GB" w:eastAsia="en-MY" w:bidi="ar-SA"/>
              </w:rPr>
              <w:br/>
              <w:t>Rotation Method: Varimax with Kaiser Normalisation</w:t>
            </w:r>
          </w:p>
        </w:tc>
      </w:tr>
    </w:tbl>
    <w:p w14:paraId="0E4CF47A" w14:textId="77777777" w:rsidR="00F46218" w:rsidRPr="00F46218" w:rsidRDefault="00F46218" w:rsidP="000B5547">
      <w:pPr>
        <w:widowControl w:val="0"/>
        <w:wordWrap w:val="0"/>
        <w:autoSpaceDE w:val="0"/>
        <w:autoSpaceDN w:val="0"/>
        <w:spacing w:after="0"/>
        <w:jc w:val="both"/>
        <w:rPr>
          <w:rFonts w:ascii="Times New Roman" w:eastAsia="SimSun" w:hAnsi="Times New Roman"/>
          <w:color w:val="000000"/>
          <w:kern w:val="2"/>
          <w:sz w:val="20"/>
          <w:szCs w:val="20"/>
          <w:lang w:val="en-GB" w:eastAsia="ko-KR" w:bidi="ar-SA"/>
        </w:rPr>
      </w:pPr>
    </w:p>
    <w:p w14:paraId="34EEF8E9" w14:textId="43768ACD" w:rsidR="00127A77" w:rsidRDefault="00127A77"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27A77" w:rsidSect="000B5547">
          <w:type w:val="continuous"/>
          <w:pgSz w:w="12240" w:h="15840" w:code="1"/>
          <w:pgMar w:top="1800" w:right="1469" w:bottom="1699" w:left="1440" w:header="706" w:footer="706" w:gutter="0"/>
          <w:pgNumType w:start="1"/>
          <w:cols w:space="403"/>
          <w:docGrid w:linePitch="360"/>
        </w:sectPr>
      </w:pPr>
    </w:p>
    <w:p w14:paraId="4C70D0E5" w14:textId="77777777" w:rsidR="00F46218" w:rsidRPr="003140E0"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The second PCA is defined by mobility, where clay acts as a carrier for geochemical elements and OM. A high negative value for clay represents the removal of the clay as the main carrier for</w:t>
      </w:r>
      <w:r w:rsidRPr="003140E0">
        <w:rPr>
          <w:rFonts w:ascii="Times New Roman" w:eastAsia="SimSun" w:hAnsi="Times New Roman"/>
          <w:kern w:val="2"/>
          <w:sz w:val="20"/>
          <w:szCs w:val="20"/>
          <w:lang w:val="en-GB" w:eastAsia="ko-KR" w:bidi="ar-SA"/>
        </w:rPr>
        <w:t xml:space="preserve"> nutrients and geochemical elements. This can be seen in Table 4, where a lower clay gradient is apparent with respect to nutrients (i.e., OM and CaCO</w:t>
      </w:r>
      <w:r w:rsidRPr="003140E0">
        <w:rPr>
          <w:rFonts w:ascii="Times New Roman" w:eastAsia="SimSun" w:hAnsi="Times New Roman"/>
          <w:kern w:val="2"/>
          <w:sz w:val="20"/>
          <w:szCs w:val="20"/>
          <w:vertAlign w:val="subscript"/>
          <w:lang w:val="en-GB" w:eastAsia="ko-KR" w:bidi="ar-SA"/>
        </w:rPr>
        <w:t>3</w:t>
      </w:r>
      <w:r w:rsidRPr="003140E0">
        <w:rPr>
          <w:rFonts w:ascii="Times New Roman" w:eastAsia="SimSun" w:hAnsi="Times New Roman"/>
          <w:kern w:val="2"/>
          <w:sz w:val="20"/>
          <w:szCs w:val="20"/>
          <w:lang w:val="en-GB" w:eastAsia="ko-KR" w:bidi="ar-SA"/>
        </w:rPr>
        <w:t xml:space="preserve">). According to Pitt et al.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{"citationItems":[{"id":"ITEM-1","itemData":{"DOI":"10.1061/40517(2000)108","ISBN":"0784405174","abstract":"This research examined a common, but poorly understood, problem associated with land development, namely the modifications made to soil structure and the associated reduced rainfall infiltration and increased runoff. More than 150 infiltration tests were conducted in disturbed urban soils and the data was compared with the site conditions. A complete factorial experiment fully examined the effects, and interactions, of soil texture, soil moisture, and compaction. Age since development was also briefly examined. The major finding was that compaction had dramatic effects on infiltration rates through sandy soils, while compaction was generally just as important as soil moisture at sites with predominately clay rich soils. Moisture levels had little effect on infiltration rates at sandy sites. Because of the large amounts of variability in the infiltration rates found, it is important that engineers obtain local data to estimate the infiltration rates associated with local development practices. Copyright ASCE 2004.","author":[{"dropping-particle":"","family":"Pitt","given":"Robert","non-dropping-particle":"","parse-names":false,"suffix":""},{"dropping-particle":"","family":"Lantrip","given":"Janice","non-dropping-particle":"","parse-names":false,"suffix":""},{"dropping-particle":"","family":"O'Connor","given":"Thomas P.","non-dropping-particle":"","parse-names":false,"suffix":""}],"container-title":"Joint Conference on Water Resource Engineering and Water Resources Planning and Management 2000: Building Partnerships","id":"ITEM-1","issue":"1987","issued":{"date-parts":[["2004"]]},"title":"Infiltration through disturbed urban soils","type":"article-journal","volume":"104"},"uris":["http://www.mendeley.com/documents/?uuid=f9e40cba-7d74-4df7-9b26-47b692c4afa0"]}],"mendeley":{"formattedCitation":"[37]","plainTextFormattedCitation":"[37]","previouslyFormattedCitation":"[37]"},"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[37]</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lower clay content represents the elevated infiltration of nutrients in the sediments, hence increasing the availability of nutrients within the sediments. Furthermore, </w:t>
      </w:r>
      <w:proofErr w:type="spellStart"/>
      <w:r w:rsidRPr="003140E0">
        <w:rPr>
          <w:rFonts w:ascii="Times New Roman" w:eastAsia="SimSun" w:hAnsi="Times New Roman"/>
          <w:kern w:val="2"/>
          <w:sz w:val="20"/>
          <w:szCs w:val="20"/>
          <w:lang w:val="en-GB" w:eastAsia="ko-KR" w:bidi="ar-SA"/>
        </w:rPr>
        <w:t>Bobrowsky</w:t>
      </w:r>
      <w:proofErr w:type="spellEnd"/>
      <w:r w:rsidRPr="003140E0">
        <w:rPr>
          <w:rFonts w:ascii="Times New Roman" w:eastAsia="SimSun" w:hAnsi="Times New Roman"/>
          <w:kern w:val="2"/>
          <w:sz w:val="20"/>
          <w:szCs w:val="20"/>
          <w:lang w:val="en-GB" w:eastAsia="ko-KR" w:bidi="ar-SA"/>
        </w:rPr>
        <w:t xml:space="preserve"> and Marker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{"citationItems":[{"id":"ITEM-1","itemData":{"ISBN":"9783319735665","author":[{"dropping-particle":"","family":"Bobrowsky","given":"Peter T","non-dropping-particle":"","parse-names":false,"suffix":""},{"dropping-particle":"","family":"Marker","given":"Brian","non-dropping-particle":"","parse-names":false,"suffix":""}],"edition":"1st Ed.","id":"ITEM-1","issued":{"date-parts":[["2018"]]},"number-of-pages":"1-961","publisher":"Springer International Publishing AG","publisher-place":"Cham, Switzerland","title":"Encyclopedia of Engineering Geology","type":"book"},"uris":["http://www.mendeley.com/documents/?uuid=393041a8-e4b6-4dfe-a77c-bc46448c68a5"]}],"mendeley":{"formattedCitation":"[38]","plainTextFormattedCitation":"[38]","previouslyFormattedCitation":"[38]"},"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[38]</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also suggest that the association of Mg, Cr and Zn (Table 4) forms a dispersive clay, rather than ordinary clay; dispersive clay is easily flocculated in water and very erodible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{"citationItems":[{"id":"ITEM-1","itemData":{"DOI":"10.1016/j.geoderma.2010.09.017","ISSN":"00167061","abstract":"Some clay soils are highly susceptible to erosion and piping because of dispersion or deflocculation in pore water. These soils, called \"dispersive clay soil\" in geotechnical engineering, are structurally unstable, easily dispersive and, thus, highly erodible. There are many tests to determine dispersibility both physically and chemically. However, these tests can give different results for the same soil sample. Therefore, more than one test should be used to identify dispersive soils more accurately. In previous research, the discriminant method was used to combine these test results. In this study, a fuzzy logic approximation method was developed to combine the different results of the double hydrometer, pinhole, Na(%)-TDS and ESP-CEC methods into a single value. This new method was applied to the dispersibility test results of 29 samples, and it gave more reliable and objective results for identifying the dispersibility of the clay soil. © 2010 Elsevier B.V.","author":[{"dropping-particle":"","family":"Zorluer","given":"Ismail","non-dropping-particle":"","parse-names":false,"suffix":""},{"dropping-particle":"","family":"Icaga","given":"Yilmaz","non-dropping-particle":"","parse-names":false,"suffix":""},{"dropping-particle":"","family":"Yurtcu","given":"Saban","non-dropping-particle":"","parse-names":false,"suffix":""},{"dropping-particle":"","family":"Tosun","given":"Hasan","non-dropping-particle":"","parse-names":false,"suffix":""}],"container-title":"Geoderma","id":"ITEM-1","issue":"2","issued":{"date-parts":[["2010"]]},"page":"189-196","title":"Application of a fuzzy rule-based method for the determination of clay dispersibility","type":"article-journal","volume":"160"},"uris":["http://www.mendeley.com/documents/?uuid=db5533d7-8d62-42d9-8111-9f035fc71d0e"]}],"mendeley":{"formattedCitation":"[39]","plainTextFormattedCitation":"[39]","previouslyFormattedCitation":"[39]"},"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[39]</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This characteristic explains why there is elevated Mg and Cr but less Mn, as the dispersity process prohibits clay from forming into fine-sized clumps. Furthermore, Mg and Cr are known pollutants within the marine ecosystem, where higher levels of water hardness are contributed by Mg, while toxicity and persistent Cr could bioaccumulate in aquatic environments. According to Ismail et al.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{"citationItems":[{"id":"ITEM-1","itemData":{"DOI":"10.1016/j.marpolbul.2015.10.019","ISBN":"6096688489","ISSN":"18793363","PMID":"27001716","abstract":"This study presents the determination of the spatial variation and source identification of heavy metal pollution in surface water along the Straits of Malacca using several chemometric techniques. Clustering and discrimination of heavy metal compounds in surface water into two groups (northern and southern regions) are observed according to level of concentrations via the application of chemometric techniques. Principal component analysis (PCA) demonstrates that Cu and Cr dominate the source apportionment in northern region with a total variance of 57.62% and is identified with mining and shipping activities. These are the major contamination contributors in the Straits. Land-based pollution originating from vehicular emission with a total variance of 59.43% is attributed to the high level of Pb concentration in the southern region. The results revealed that one state representing each cluster (northern and southern regions) is significant as the main location for investigating heavy metal concentration in the Straits of Malacca which would save monitoring cost and time. Capsule: The monitoring of spatial variation and source of heavy metals pollution at the northern and southern regions of the Straits of Malacca, Malaysia, using chemometric analysis.","author":[{"dropping-particle":"","family":"Ismail","given":"Azimah","non-dropping-particle":"","parse-names":false,"suffix":""},{"dropping-particle":"","family":"Toriman","given":"Mohd Ekhwan","non-dropping-particle":"","parse-names":false,"suffix":""},{"dropping-particle":"","family":"Juahir","given":"Hafizan","non-dropping-particle":"","parse-names":false,"suffix":""},{"dropping-particle":"","family":"Zain","given":"Sharifuddin Md","non-dropping-particle":"","parse-names":false,"suffix":""},{"dropping-particle":"","family":"Habir","given":"Nur Liyana Abdul","non-dropping-particle":"","parse-names":false,"suffix":""},{"dropping-particle":"","family":"Retnam","given":"Ananthy","non-dropping-particle":"","parse-names":false,"suffix":""},{"dropping-particle":"","family":"Kamaruddin","given":"Mohd Khairul Amri","non-dropping-particle":"","parse-names":false,"suffix":""},{"dropping-particle":"","family":"Umar","given":"Roslan","non-dropping-particle":"","parse-names":false,"suffix":""},{"dropping-particle":"","family":"Azid","given":"Azman","non-dropping-particle":"","parse-names":false,"suffix":""}],"container-title":"Marine Pollution Bulletin","id":"ITEM-1","issue":"1-2","issued":{"date-parts":[["2016"]]},"page":"292-300","title":"Spatial assessment and source identification of heavy metals pollution in surface water using several chemometric techniques","type":"article-journal","volume":"106"},"uris":["http://www.mendeley.com/documents/?uuid=37de2fef-5dd1-4b8e-9e4f-6dcc8a600d56"]}],"mendeley":{"formattedCitation":"[40]","plainTextFormattedCitation":"[40]","previouslyFormattedCitation":"[40]"},"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[40]</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a medium to high level of chromium was detected due to various industrialisation and shipping activities adjacent to the coast. Similar connections were present when </w:t>
      </w:r>
      <w:proofErr w:type="spellStart"/>
      <w:r w:rsidRPr="003140E0">
        <w:rPr>
          <w:rFonts w:ascii="Times New Roman" w:eastAsia="SimSun" w:hAnsi="Times New Roman"/>
          <w:kern w:val="2"/>
          <w:sz w:val="20"/>
          <w:szCs w:val="20"/>
          <w:lang w:val="en-GB" w:eastAsia="ko-KR" w:bidi="ar-SA"/>
        </w:rPr>
        <w:t>Idriss</w:t>
      </w:r>
      <w:proofErr w:type="spellEnd"/>
      <w:r w:rsidRPr="003140E0">
        <w:rPr>
          <w:rFonts w:ascii="Times New Roman" w:eastAsia="SimSun" w:hAnsi="Times New Roman"/>
          <w:kern w:val="2"/>
          <w:sz w:val="20"/>
          <w:szCs w:val="20"/>
          <w:lang w:val="en-GB" w:eastAsia="ko-KR" w:bidi="ar-SA"/>
        </w:rPr>
        <w:t xml:space="preserve">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{"citationItems":[{"id":"ITEM-1","itemData":{"DOI":"10.5897/AJB11.3840","ISSN":"16845315","abstract":"This study was conducted to determine heavy metal lead (Pb), cadmium (Cd), Zinc (Zn) and copper (Cu) concentrations in water body of the Juru River, Penang, Malaysia. A total of 20 sampling stations were chosen and water at 1 m below the surface was sampled using Van Dorn water sampler in December 2009 and April 2010. Collected water samples were kept in ice and acidified to pH 2 using nitrite acid (analytical grade HNO 3). Heavy metal concentrations were determined using inductively couple plasma (ICP model Perkin elmer/elan 9000) following standard method procedures. For comparison purposes, the river was divided into three different zones in the first and second samplings that is, upstream zone, middle reach zone and estuary zone and each zone consists of 7, 7, 6 sampling sites, respectively. Generally, results indicate that Pb and Cd and Cu in the first sampling were higher than the second sampling while the concentrations of Zn in the second sampling were higher than the first sampling. Also the results indicate that the Cd and Pb and Zn in the estuary zone were the lowest as compared to other zones. Meanwhile the highest concentration of Cu was in the middle zone. In conclusion, the lowest concentrations of some heavy metals were in estuary zone, it seems to be naturally due to dilution to heavy metals from sea water. Average metal concentrations from 20 water samples indicate that studied metal concentrations were still lower than Malaysian's National Water Quality Standards (INWQS) guideline.","author":[{"dropping-particle":"","family":"Idriss","given":"A. A.","non-dropping-particle":"","parse-names":false,"suffix":""}],"container-title":"African Journal of Biotechnology","id":"ITEM-1","issue":"33","issued":{"date-parts":[["2012","4","24"]]},"page":"8234-8240","title":"Concentration of selected heavy metals in water of the Juru River, Penang, Malaysia","type":"article-journal","volume":"11"},"uris":["http://www.mendeley.com/documents/?uuid=3ee1cb35-0133-40f9-96dd-40498027580d"]}],"mendeley":{"formattedCitation":"[41]","plainTextFormattedCitation":"[41]","previouslyFormattedCitation":"[41]"},"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[41]</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stated that the </w:t>
      </w:r>
      <w:proofErr w:type="spellStart"/>
      <w:r w:rsidRPr="003140E0">
        <w:rPr>
          <w:rFonts w:ascii="Times New Roman" w:eastAsia="SimSun" w:hAnsi="Times New Roman"/>
          <w:kern w:val="2"/>
          <w:sz w:val="20"/>
          <w:szCs w:val="20"/>
          <w:lang w:val="en-GB" w:eastAsia="ko-KR" w:bidi="ar-SA"/>
        </w:rPr>
        <w:t>Juru</w:t>
      </w:r>
      <w:proofErr w:type="spellEnd"/>
      <w:r w:rsidRPr="003140E0">
        <w:rPr>
          <w:rFonts w:ascii="Times New Roman" w:eastAsia="SimSun" w:hAnsi="Times New Roman"/>
          <w:kern w:val="2"/>
          <w:sz w:val="20"/>
          <w:szCs w:val="20"/>
          <w:lang w:val="en-GB" w:eastAsia="ko-KR" w:bidi="ar-SA"/>
        </w:rPr>
        <w:t xml:space="preserve"> River contributed to elevated Cr </w:t>
      </w:r>
      <w:r w:rsidRPr="003140E0">
        <w:rPr>
          <w:rFonts w:ascii="Times New Roman" w:eastAsia="SimSun" w:hAnsi="Times New Roman"/>
          <w:kern w:val="2"/>
          <w:sz w:val="20"/>
          <w:szCs w:val="20"/>
          <w:lang w:val="en-GB" w:eastAsia="ko-KR" w:bidi="ar-SA"/>
        </w:rPr>
        <w:t xml:space="preserve">levels, due to frequent land reclamation surrounding its deltaic region and deforestation within Penang Island, leading to mobilisation along the </w:t>
      </w:r>
      <w:proofErr w:type="spellStart"/>
      <w:r w:rsidRPr="003140E0">
        <w:rPr>
          <w:rFonts w:ascii="Times New Roman" w:eastAsia="SimSun" w:hAnsi="Times New Roman"/>
          <w:kern w:val="2"/>
          <w:sz w:val="20"/>
          <w:szCs w:val="20"/>
          <w:lang w:val="en-GB" w:eastAsia="ko-KR" w:bidi="ar-SA"/>
        </w:rPr>
        <w:t>Juru</w:t>
      </w:r>
      <w:proofErr w:type="spellEnd"/>
      <w:r w:rsidRPr="003140E0">
        <w:rPr>
          <w:rFonts w:ascii="Times New Roman" w:eastAsia="SimSun" w:hAnsi="Times New Roman"/>
          <w:kern w:val="2"/>
          <w:sz w:val="20"/>
          <w:szCs w:val="20"/>
          <w:lang w:val="en-GB" w:eastAsia="ko-KR" w:bidi="ar-SA"/>
        </w:rPr>
        <w:t xml:space="preserve"> River. </w:t>
      </w:r>
    </w:p>
    <w:p w14:paraId="1F0AAF45" w14:textId="77777777" w:rsidR="00F46218" w:rsidRPr="003140E0"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77F2A7E1" w14:textId="77777777" w:rsidR="00F46218" w:rsidRPr="003140E0"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3140E0">
        <w:rPr>
          <w:rFonts w:ascii="Times New Roman" w:eastAsia="SimSun" w:hAnsi="Times New Roman"/>
          <w:b/>
          <w:kern w:val="2"/>
          <w:sz w:val="20"/>
          <w:szCs w:val="20"/>
          <w:lang w:val="en-GB" w:eastAsia="ko-KR" w:bidi="ar-SA"/>
        </w:rPr>
        <w:t>Conclusion</w:t>
      </w:r>
    </w:p>
    <w:p w14:paraId="331F5D5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3140E0">
        <w:rPr>
          <w:rFonts w:ascii="Times New Roman" w:eastAsia="SimSun" w:hAnsi="Times New Roman"/>
          <w:kern w:val="2"/>
          <w:sz w:val="20"/>
          <w:szCs w:val="20"/>
          <w:lang w:val="en-GB" w:eastAsia="ko-KR" w:bidi="ar-SA"/>
        </w:rPr>
        <w:t xml:space="preserve">Sediment in the Malacca Strait faces elevated geochemical elements from natural and anthropogenic inputs. Cross-shelf inputs contribute towards the distribution and differences in concentrations along the Malacca Strait. Furthermore, the Malacca Strait is subject to physical and hydrological factors which lead to fluctuations in geochemical element distribution. In addition, local drainage basins channel pollutants from </w:t>
      </w:r>
      <w:r w:rsidRPr="00F46218">
        <w:rPr>
          <w:rFonts w:ascii="Times New Roman" w:eastAsia="SimSun" w:hAnsi="Times New Roman"/>
          <w:kern w:val="2"/>
          <w:sz w:val="20"/>
          <w:szCs w:val="20"/>
          <w:lang w:val="en-GB" w:eastAsia="ko-KR" w:bidi="ar-SA"/>
        </w:rPr>
        <w:t xml:space="preserve">natural sources (via weathering) and through anthropogenic sources (via deforestation and land reclamation). </w:t>
      </w:r>
    </w:p>
    <w:p w14:paraId="554BF2E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5DB3234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Acknowledgements</w:t>
      </w:r>
    </w:p>
    <w:p w14:paraId="3C5DF31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authors would like to thank the First Institute of Oceanography (FIO) and the People's Republic of China, for providing the research grant (ST-2016-005) through the </w:t>
      </w:r>
      <w:proofErr w:type="spellStart"/>
      <w:r w:rsidRPr="00F46218">
        <w:rPr>
          <w:rFonts w:ascii="Times New Roman" w:eastAsia="SimSun" w:hAnsi="Times New Roman"/>
          <w:kern w:val="2"/>
          <w:sz w:val="20"/>
          <w:szCs w:val="20"/>
          <w:lang w:val="en-GB" w:eastAsia="ko-KR" w:bidi="ar-SA"/>
        </w:rPr>
        <w:t>Universiti</w:t>
      </w:r>
      <w:proofErr w:type="spellEnd"/>
      <w:r w:rsidRPr="00F46218">
        <w:rPr>
          <w:rFonts w:ascii="Times New Roman" w:eastAsia="SimSun" w:hAnsi="Times New Roman"/>
          <w:kern w:val="2"/>
          <w:sz w:val="20"/>
          <w:szCs w:val="20"/>
          <w:lang w:val="en-GB" w:eastAsia="ko-KR" w:bidi="ar-SA"/>
        </w:rPr>
        <w:t xml:space="preserve"> </w:t>
      </w:r>
      <w:proofErr w:type="spellStart"/>
      <w:r w:rsidRPr="00F46218">
        <w:rPr>
          <w:rFonts w:ascii="Times New Roman" w:eastAsia="SimSun" w:hAnsi="Times New Roman"/>
          <w:kern w:val="2"/>
          <w:sz w:val="20"/>
          <w:szCs w:val="20"/>
          <w:lang w:val="en-GB" w:eastAsia="ko-KR" w:bidi="ar-SA"/>
        </w:rPr>
        <w:t>Kebangsaan</w:t>
      </w:r>
      <w:proofErr w:type="spellEnd"/>
      <w:r w:rsidRPr="00F46218">
        <w:rPr>
          <w:rFonts w:ascii="Times New Roman" w:eastAsia="SimSun" w:hAnsi="Times New Roman"/>
          <w:kern w:val="2"/>
          <w:sz w:val="20"/>
          <w:szCs w:val="20"/>
          <w:lang w:val="en-GB" w:eastAsia="ko-KR" w:bidi="ar-SA"/>
        </w:rPr>
        <w:t xml:space="preserve"> Malaysia (UKM). We also thank the Ministry of Science Technology &amp; Innovation (MOSTI) of Malaysia and the </w:t>
      </w:r>
      <w:proofErr w:type="spellStart"/>
      <w:r w:rsidRPr="00F46218">
        <w:rPr>
          <w:rFonts w:ascii="Times New Roman" w:eastAsia="SimSun" w:hAnsi="Times New Roman"/>
          <w:kern w:val="2"/>
          <w:sz w:val="20"/>
          <w:szCs w:val="20"/>
          <w:lang w:val="en-GB" w:eastAsia="ko-KR" w:bidi="ar-SA"/>
        </w:rPr>
        <w:t>Universiti</w:t>
      </w:r>
      <w:proofErr w:type="spellEnd"/>
      <w:r w:rsidRPr="00F46218">
        <w:rPr>
          <w:rFonts w:ascii="Times New Roman" w:eastAsia="SimSun" w:hAnsi="Times New Roman"/>
          <w:kern w:val="2"/>
          <w:sz w:val="20"/>
          <w:szCs w:val="20"/>
          <w:lang w:val="en-GB" w:eastAsia="ko-KR" w:bidi="ar-SA"/>
        </w:rPr>
        <w:t xml:space="preserve"> Malaysia Terengganu and </w:t>
      </w:r>
      <w:proofErr w:type="spellStart"/>
      <w:r w:rsidRPr="00F46218">
        <w:rPr>
          <w:rFonts w:ascii="Times New Roman" w:eastAsia="SimSun" w:hAnsi="Times New Roman"/>
          <w:kern w:val="2"/>
          <w:sz w:val="20"/>
          <w:szCs w:val="20"/>
          <w:lang w:val="en-GB" w:eastAsia="ko-KR" w:bidi="ar-SA"/>
        </w:rPr>
        <w:t>Universiti</w:t>
      </w:r>
      <w:proofErr w:type="spellEnd"/>
      <w:r w:rsidRPr="00F46218">
        <w:rPr>
          <w:rFonts w:ascii="Times New Roman" w:eastAsia="SimSun" w:hAnsi="Times New Roman"/>
          <w:kern w:val="2"/>
          <w:sz w:val="20"/>
          <w:szCs w:val="20"/>
          <w:lang w:val="en-GB" w:eastAsia="ko-KR" w:bidi="ar-SA"/>
        </w:rPr>
        <w:t xml:space="preserve"> </w:t>
      </w:r>
      <w:proofErr w:type="spellStart"/>
      <w:r w:rsidRPr="00F46218">
        <w:rPr>
          <w:rFonts w:ascii="Times New Roman" w:eastAsia="SimSun" w:hAnsi="Times New Roman"/>
          <w:kern w:val="2"/>
          <w:sz w:val="20"/>
          <w:szCs w:val="20"/>
          <w:lang w:val="en-GB" w:eastAsia="ko-KR" w:bidi="ar-SA"/>
        </w:rPr>
        <w:t>Kebangsaan</w:t>
      </w:r>
      <w:proofErr w:type="spellEnd"/>
      <w:r w:rsidRPr="00F46218">
        <w:rPr>
          <w:rFonts w:ascii="Times New Roman" w:eastAsia="SimSun" w:hAnsi="Times New Roman"/>
          <w:kern w:val="2"/>
          <w:sz w:val="20"/>
          <w:szCs w:val="20"/>
          <w:lang w:val="en-GB" w:eastAsia="ko-KR" w:bidi="ar-SA"/>
        </w:rPr>
        <w:t xml:space="preserve"> Malaysia, for their support during sampling. Lastly, we </w:t>
      </w:r>
      <w:r w:rsidRPr="00F46218">
        <w:rPr>
          <w:rFonts w:ascii="Times New Roman" w:eastAsia="SimSun" w:hAnsi="Times New Roman"/>
          <w:kern w:val="2"/>
          <w:sz w:val="20"/>
          <w:szCs w:val="20"/>
          <w:lang w:val="en-GB" w:eastAsia="ko-KR" w:bidi="ar-SA"/>
        </w:rPr>
        <w:lastRenderedPageBreak/>
        <w:t xml:space="preserve">thank the laboratory members, for being an excellent research group, and the staff of the Department of Earth Sciences &amp; Environment, Faculty of Science and Technology, </w:t>
      </w:r>
      <w:proofErr w:type="spellStart"/>
      <w:r w:rsidRPr="00F46218">
        <w:rPr>
          <w:rFonts w:ascii="Times New Roman" w:eastAsia="SimSun" w:hAnsi="Times New Roman"/>
          <w:kern w:val="2"/>
          <w:sz w:val="20"/>
          <w:szCs w:val="20"/>
          <w:lang w:val="en-GB" w:eastAsia="ko-KR" w:bidi="ar-SA"/>
        </w:rPr>
        <w:t>Universiti</w:t>
      </w:r>
      <w:proofErr w:type="spellEnd"/>
      <w:r w:rsidRPr="00F46218">
        <w:rPr>
          <w:rFonts w:ascii="Times New Roman" w:eastAsia="SimSun" w:hAnsi="Times New Roman"/>
          <w:kern w:val="2"/>
          <w:sz w:val="20"/>
          <w:szCs w:val="20"/>
          <w:lang w:val="en-GB" w:eastAsia="ko-KR" w:bidi="ar-SA"/>
        </w:rPr>
        <w:t xml:space="preserve"> </w:t>
      </w:r>
      <w:proofErr w:type="spellStart"/>
      <w:r w:rsidRPr="00F46218">
        <w:rPr>
          <w:rFonts w:ascii="Times New Roman" w:eastAsia="SimSun" w:hAnsi="Times New Roman"/>
          <w:kern w:val="2"/>
          <w:sz w:val="20"/>
          <w:szCs w:val="20"/>
          <w:lang w:val="en-GB" w:eastAsia="ko-KR" w:bidi="ar-SA"/>
        </w:rPr>
        <w:t>Kebangsaan</w:t>
      </w:r>
      <w:proofErr w:type="spellEnd"/>
      <w:r w:rsidRPr="00F46218">
        <w:rPr>
          <w:rFonts w:ascii="Times New Roman" w:eastAsia="SimSun" w:hAnsi="Times New Roman"/>
          <w:kern w:val="2"/>
          <w:sz w:val="20"/>
          <w:szCs w:val="20"/>
          <w:lang w:val="en-GB" w:eastAsia="ko-KR" w:bidi="ar-SA"/>
        </w:rPr>
        <w:t xml:space="preserve"> Malaysia, for their help during sampling.</w:t>
      </w:r>
    </w:p>
    <w:p w14:paraId="78EBF022" w14:textId="77777777" w:rsidR="00F46218" w:rsidRPr="00F46218" w:rsidRDefault="00F46218" w:rsidP="002E25DA">
      <w:pPr>
        <w:widowControl w:val="0"/>
        <w:wordWrap w:val="0"/>
        <w:autoSpaceDE w:val="0"/>
        <w:autoSpaceDN w:val="0"/>
        <w:spacing w:after="0"/>
        <w:outlineLvl w:val="0"/>
        <w:rPr>
          <w:rFonts w:ascii="Times New Roman" w:eastAsia="SimSun" w:hAnsi="Times New Roman"/>
          <w:b/>
          <w:color w:val="548DD4"/>
          <w:kern w:val="2"/>
          <w:sz w:val="20"/>
          <w:szCs w:val="20"/>
          <w:lang w:val="en-GB" w:eastAsia="ko-KR" w:bidi="ar-SA"/>
        </w:rPr>
      </w:pPr>
    </w:p>
    <w:p w14:paraId="0E683646"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References</w:t>
      </w:r>
    </w:p>
    <w:p w14:paraId="4EF6E0E3" w14:textId="7A18795B"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b/>
          <w:color w:val="548DD4"/>
          <w:kern w:val="2"/>
          <w:sz w:val="20"/>
          <w:szCs w:val="20"/>
          <w:lang w:val="en-GB" w:eastAsia="ko-KR" w:bidi="ar-SA"/>
        </w:rPr>
        <w:fldChar w:fldCharType="begin" w:fldLock="1"/>
      </w:r>
      <w:r w:rsidRPr="00F46218">
        <w:rPr>
          <w:rFonts w:ascii="Times New Roman" w:eastAsia="SimSun" w:hAnsi="Times New Roman"/>
          <w:b/>
          <w:color w:val="548DD4"/>
          <w:kern w:val="2"/>
          <w:sz w:val="20"/>
          <w:szCs w:val="20"/>
          <w:lang w:val="en-GB" w:eastAsia="ko-KR" w:bidi="ar-SA"/>
        </w:rPr>
        <w:instrText xml:space="preserve">ADDIN Mendeley Bibliography CSL_BIBLIOGRAPHY </w:instrText>
      </w:r>
      <w:r w:rsidRPr="00F46218">
        <w:rPr>
          <w:rFonts w:ascii="Times New Roman" w:eastAsia="SimSun" w:hAnsi="Times New Roman"/>
          <w:b/>
          <w:color w:val="548DD4"/>
          <w:kern w:val="2"/>
          <w:sz w:val="20"/>
          <w:szCs w:val="20"/>
          <w:lang w:val="en-GB" w:eastAsia="ko-KR" w:bidi="ar-SA"/>
        </w:rPr>
        <w:fldChar w:fldCharType="separate"/>
      </w:r>
      <w:r w:rsidRPr="00F46218">
        <w:rPr>
          <w:rFonts w:ascii="Times New Roman" w:eastAsia="SimSun" w:hAnsi="Times New Roman"/>
          <w:noProof/>
          <w:kern w:val="2"/>
          <w:sz w:val="20"/>
          <w:szCs w:val="24"/>
          <w:lang w:eastAsia="ko-KR" w:bidi="ar-SA"/>
        </w:rPr>
        <w:t>1.</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Thia-Eng, A., Gorre, I. R. L., Ross, S. A., Bernad, S. R., Gervacio, B. and Ebarvia, C. (2000). The Malacca straits.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41: 160-178.</w:t>
      </w:r>
    </w:p>
    <w:p w14:paraId="701E4CE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w:t>
      </w:r>
      <w:r w:rsidRPr="00F46218">
        <w:rPr>
          <w:rFonts w:ascii="Times New Roman" w:eastAsia="SimSun" w:hAnsi="Times New Roman"/>
          <w:noProof/>
          <w:kern w:val="2"/>
          <w:sz w:val="20"/>
          <w:szCs w:val="24"/>
          <w:lang w:eastAsia="ko-KR" w:bidi="ar-SA"/>
        </w:rPr>
        <w:tab/>
        <w:t xml:space="preserve">Liu, Z., Wang, H., Hantoro, W.S., Sathiamurthy, E., Colin, C., Zhao, Y. and Li, J. (2012). Climatic and tectonic controls on chemical weathering in tropical Southeast Asia (Malay Peninsula, Borneo, and Sumatra). </w:t>
      </w:r>
      <w:r w:rsidRPr="00F46218">
        <w:rPr>
          <w:rFonts w:ascii="Times New Roman" w:eastAsia="SimSun" w:hAnsi="Times New Roman"/>
          <w:i/>
          <w:iCs/>
          <w:noProof/>
          <w:kern w:val="2"/>
          <w:sz w:val="20"/>
          <w:szCs w:val="24"/>
          <w:lang w:eastAsia="ko-KR" w:bidi="ar-SA"/>
        </w:rPr>
        <w:t>Chemical Geology</w:t>
      </w:r>
      <w:r w:rsidRPr="00F46218">
        <w:rPr>
          <w:rFonts w:ascii="Times New Roman" w:eastAsia="SimSun" w:hAnsi="Times New Roman"/>
          <w:noProof/>
          <w:kern w:val="2"/>
          <w:sz w:val="20"/>
          <w:szCs w:val="24"/>
          <w:lang w:eastAsia="ko-KR" w:bidi="ar-SA"/>
        </w:rPr>
        <w:t>, 291: 1-12.</w:t>
      </w:r>
    </w:p>
    <w:p w14:paraId="55798EC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w:t>
      </w:r>
      <w:r w:rsidRPr="00F46218">
        <w:rPr>
          <w:rFonts w:ascii="Times New Roman" w:eastAsia="SimSun" w:hAnsi="Times New Roman"/>
          <w:noProof/>
          <w:kern w:val="2"/>
          <w:sz w:val="20"/>
          <w:szCs w:val="24"/>
          <w:lang w:eastAsia="ko-KR" w:bidi="ar-SA"/>
        </w:rPr>
        <w:tab/>
        <w:t xml:space="preserve">Haditiar, Y., Putri, M.R., Ismail, N., Muchlisin, Z.A., Ikhwan, M. and Rizal, S. (2020). Numerical study of tides in the Malacca Strait with a 3-D model. </w:t>
      </w:r>
      <w:r w:rsidRPr="00F46218">
        <w:rPr>
          <w:rFonts w:ascii="Times New Roman" w:eastAsia="SimSun" w:hAnsi="Times New Roman"/>
          <w:i/>
          <w:iCs/>
          <w:noProof/>
          <w:kern w:val="2"/>
          <w:sz w:val="20"/>
          <w:szCs w:val="24"/>
          <w:lang w:eastAsia="ko-KR" w:bidi="ar-SA"/>
        </w:rPr>
        <w:t>Heliyon</w:t>
      </w:r>
      <w:r w:rsidRPr="00F46218">
        <w:rPr>
          <w:rFonts w:ascii="Times New Roman" w:eastAsia="SimSun" w:hAnsi="Times New Roman"/>
          <w:noProof/>
          <w:kern w:val="2"/>
          <w:sz w:val="20"/>
          <w:szCs w:val="24"/>
          <w:lang w:eastAsia="ko-KR" w:bidi="ar-SA"/>
        </w:rPr>
        <w:t>, 6(9): e04828.</w:t>
      </w:r>
    </w:p>
    <w:p w14:paraId="3367B6DF"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4.</w:t>
      </w:r>
      <w:r w:rsidRPr="00F46218">
        <w:rPr>
          <w:rFonts w:ascii="Times New Roman" w:eastAsia="SimSun" w:hAnsi="Times New Roman"/>
          <w:noProof/>
          <w:kern w:val="2"/>
          <w:sz w:val="20"/>
          <w:szCs w:val="24"/>
          <w:lang w:eastAsia="ko-KR" w:bidi="ar-SA"/>
        </w:rPr>
        <w:tab/>
        <w:t xml:space="preserve">Tan, C.K., Ishizaka, J., Matsumura, S., Yusoff, F.M., and Mohamed, M.I.H. (2006). Seasonal variability of SeaWiFS chlorophyll a in the Malacca Straits in relation to Asian monsoon. </w:t>
      </w:r>
      <w:r w:rsidRPr="00F46218">
        <w:rPr>
          <w:rFonts w:ascii="Times New Roman" w:eastAsia="SimSun" w:hAnsi="Times New Roman"/>
          <w:i/>
          <w:iCs/>
          <w:noProof/>
          <w:kern w:val="2"/>
          <w:sz w:val="20"/>
          <w:szCs w:val="24"/>
          <w:lang w:eastAsia="ko-KR" w:bidi="ar-SA"/>
        </w:rPr>
        <w:t>Continental Shelf Research</w:t>
      </w:r>
      <w:r w:rsidRPr="00F46218">
        <w:rPr>
          <w:rFonts w:ascii="Times New Roman" w:eastAsia="SimSun" w:hAnsi="Times New Roman"/>
          <w:noProof/>
          <w:kern w:val="2"/>
          <w:sz w:val="20"/>
          <w:szCs w:val="24"/>
          <w:lang w:eastAsia="ko-KR" w:bidi="ar-SA"/>
        </w:rPr>
        <w:t>, 26(2): 168-178.</w:t>
      </w:r>
    </w:p>
    <w:p w14:paraId="2CDF5A89"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5.</w:t>
      </w:r>
      <w:r w:rsidRPr="00F46218">
        <w:rPr>
          <w:rFonts w:ascii="Times New Roman" w:eastAsia="SimSun" w:hAnsi="Times New Roman"/>
          <w:noProof/>
          <w:kern w:val="2"/>
          <w:sz w:val="20"/>
          <w:szCs w:val="24"/>
          <w:lang w:eastAsia="ko-KR" w:bidi="ar-SA"/>
        </w:rPr>
        <w:tab/>
        <w:t xml:space="preserve">Fujita, M., Kimura, F. and Yoshizaki, M. (2010). Morning precipitation peak over the strait of Malacca under a calm condition. </w:t>
      </w:r>
      <w:r w:rsidRPr="00F46218">
        <w:rPr>
          <w:rFonts w:ascii="Times New Roman" w:eastAsia="SimSun" w:hAnsi="Times New Roman"/>
          <w:i/>
          <w:iCs/>
          <w:noProof/>
          <w:kern w:val="2"/>
          <w:sz w:val="20"/>
          <w:szCs w:val="24"/>
          <w:lang w:eastAsia="ko-KR" w:bidi="ar-SA"/>
        </w:rPr>
        <w:t>Monthly Weather Review</w:t>
      </w:r>
      <w:r w:rsidRPr="00F46218">
        <w:rPr>
          <w:rFonts w:ascii="Times New Roman" w:eastAsia="SimSun" w:hAnsi="Times New Roman"/>
          <w:noProof/>
          <w:kern w:val="2"/>
          <w:sz w:val="20"/>
          <w:szCs w:val="24"/>
          <w:lang w:eastAsia="ko-KR" w:bidi="ar-SA"/>
        </w:rPr>
        <w:t>, 138(4): 1474-1486.</w:t>
      </w:r>
    </w:p>
    <w:p w14:paraId="0FA1053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6.</w:t>
      </w:r>
      <w:r w:rsidRPr="00F46218">
        <w:rPr>
          <w:rFonts w:ascii="Times New Roman" w:eastAsia="SimSun" w:hAnsi="Times New Roman"/>
          <w:noProof/>
          <w:kern w:val="2"/>
          <w:sz w:val="20"/>
          <w:szCs w:val="24"/>
          <w:lang w:eastAsia="ko-KR" w:bidi="ar-SA"/>
        </w:rPr>
        <w:tab/>
        <w:t xml:space="preserve">Amin, M. Z. M., Shaaban, A. J., Ercan, A., Ishida, K., Kavvas, M. L., Chen, Z. Q. and Jang, S. (2017). Future climate change impact assessment of watershed scale hydrologic processes in Peninsular Malaysia by a regional climate model coupled with a physically-based hydrology modelo. </w:t>
      </w:r>
      <w:r w:rsidRPr="00F46218">
        <w:rPr>
          <w:rFonts w:ascii="Times New Roman" w:eastAsia="SimSun" w:hAnsi="Times New Roman"/>
          <w:i/>
          <w:iCs/>
          <w:noProof/>
          <w:kern w:val="2"/>
          <w:sz w:val="20"/>
          <w:szCs w:val="24"/>
          <w:lang w:eastAsia="ko-KR" w:bidi="ar-SA"/>
        </w:rPr>
        <w:t>Science of the Total Environment</w:t>
      </w:r>
      <w:r w:rsidRPr="00F46218">
        <w:rPr>
          <w:rFonts w:ascii="Times New Roman" w:eastAsia="SimSun" w:hAnsi="Times New Roman"/>
          <w:noProof/>
          <w:kern w:val="2"/>
          <w:sz w:val="20"/>
          <w:szCs w:val="24"/>
          <w:lang w:eastAsia="ko-KR" w:bidi="ar-SA"/>
        </w:rPr>
        <w:t>, 575: 12-22.</w:t>
      </w:r>
    </w:p>
    <w:p w14:paraId="2F52322D"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7.</w:t>
      </w:r>
      <w:r w:rsidRPr="00F46218">
        <w:rPr>
          <w:rFonts w:ascii="Times New Roman" w:eastAsia="SimSun" w:hAnsi="Times New Roman"/>
          <w:noProof/>
          <w:kern w:val="2"/>
          <w:sz w:val="20"/>
          <w:szCs w:val="24"/>
          <w:lang w:eastAsia="ko-KR" w:bidi="ar-SA"/>
        </w:rPr>
        <w:tab/>
        <w:t xml:space="preserve">Yusoff, A. H., and Mohamed, C. A. R. (2016). Mini review uranium-thorium decay series in the marine environment of the Southern South China Sea. </w:t>
      </w:r>
      <w:r w:rsidRPr="00F46218">
        <w:rPr>
          <w:rFonts w:ascii="Times New Roman" w:eastAsia="SimSun" w:hAnsi="Times New Roman"/>
          <w:i/>
          <w:iCs/>
          <w:noProof/>
          <w:kern w:val="2"/>
          <w:sz w:val="20"/>
          <w:szCs w:val="24"/>
          <w:lang w:eastAsia="ko-KR" w:bidi="ar-SA"/>
        </w:rPr>
        <w:t>Journal of Geology &amp; Geophysics</w:t>
      </w:r>
      <w:r w:rsidRPr="00F46218">
        <w:rPr>
          <w:rFonts w:ascii="Times New Roman" w:eastAsia="SimSun" w:hAnsi="Times New Roman"/>
          <w:noProof/>
          <w:kern w:val="2"/>
          <w:sz w:val="20"/>
          <w:szCs w:val="24"/>
          <w:lang w:eastAsia="ko-KR" w:bidi="ar-SA"/>
        </w:rPr>
        <w:t>, 5(03): 1-9.</w:t>
      </w:r>
    </w:p>
    <w:p w14:paraId="7F5BB359"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8.</w:t>
      </w:r>
      <w:r w:rsidRPr="00F46218">
        <w:rPr>
          <w:rFonts w:ascii="Times New Roman" w:eastAsia="SimSun" w:hAnsi="Times New Roman"/>
          <w:noProof/>
          <w:kern w:val="2"/>
          <w:sz w:val="20"/>
          <w:szCs w:val="24"/>
          <w:lang w:eastAsia="ko-KR" w:bidi="ar-SA"/>
        </w:rPr>
        <w:tab/>
        <w:t xml:space="preserve">Schwartz, M. O., Rajah, S. S., Askury, A. K., Putthapiban, P. and Djaswadi, S. (1995). The Southeast Asian tin belt. </w:t>
      </w:r>
      <w:r w:rsidRPr="00F46218">
        <w:rPr>
          <w:rFonts w:ascii="Times New Roman" w:eastAsia="SimSun" w:hAnsi="Times New Roman"/>
          <w:i/>
          <w:iCs/>
          <w:noProof/>
          <w:kern w:val="2"/>
          <w:sz w:val="20"/>
          <w:szCs w:val="24"/>
          <w:lang w:eastAsia="ko-KR" w:bidi="ar-SA"/>
        </w:rPr>
        <w:t>Earth Science Reviews</w:t>
      </w:r>
      <w:r w:rsidRPr="00F46218">
        <w:rPr>
          <w:rFonts w:ascii="Times New Roman" w:eastAsia="SimSun" w:hAnsi="Times New Roman"/>
          <w:noProof/>
          <w:kern w:val="2"/>
          <w:sz w:val="20"/>
          <w:szCs w:val="24"/>
          <w:lang w:eastAsia="ko-KR" w:bidi="ar-SA"/>
        </w:rPr>
        <w:t>, 38(2–4): 95-293.</w:t>
      </w:r>
    </w:p>
    <w:p w14:paraId="7BFC56B6"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9.</w:t>
      </w:r>
      <w:r w:rsidRPr="00F46218">
        <w:rPr>
          <w:rFonts w:ascii="Times New Roman" w:eastAsia="SimSun" w:hAnsi="Times New Roman"/>
          <w:noProof/>
          <w:kern w:val="2"/>
          <w:sz w:val="20"/>
          <w:szCs w:val="24"/>
          <w:lang w:eastAsia="ko-KR" w:bidi="ar-SA"/>
        </w:rPr>
        <w:tab/>
        <w:t xml:space="preserve">Shoieb, M. A., Sum, C. W., Ismail, M. S., and </w:t>
      </w:r>
      <w:r w:rsidRPr="00F46218">
        <w:rPr>
          <w:rFonts w:ascii="Times New Roman" w:eastAsia="SimSun" w:hAnsi="Times New Roman"/>
          <w:noProof/>
          <w:kern w:val="2"/>
          <w:sz w:val="20"/>
          <w:szCs w:val="24"/>
          <w:lang w:eastAsia="ko-KR" w:bidi="ar-SA"/>
        </w:rPr>
        <w:t xml:space="preserve">Tsegab, H. (2019). Geological characteristic of the Kroh formation in the upper Perak shales, western Peninsula Malaysia. </w:t>
      </w:r>
      <w:r w:rsidRPr="00F46218">
        <w:rPr>
          <w:rFonts w:ascii="Times New Roman" w:eastAsia="SimSun" w:hAnsi="Times New Roman"/>
          <w:i/>
          <w:iCs/>
          <w:noProof/>
          <w:kern w:val="2"/>
          <w:sz w:val="20"/>
          <w:szCs w:val="24"/>
          <w:lang w:eastAsia="ko-KR" w:bidi="ar-SA"/>
        </w:rPr>
        <w:t>International Journal of Advanced and Applied Sciences</w:t>
      </w:r>
      <w:r w:rsidRPr="00F46218">
        <w:rPr>
          <w:rFonts w:ascii="Times New Roman" w:eastAsia="SimSun" w:hAnsi="Times New Roman"/>
          <w:noProof/>
          <w:kern w:val="2"/>
          <w:sz w:val="20"/>
          <w:szCs w:val="24"/>
          <w:lang w:eastAsia="ko-KR" w:bidi="ar-SA"/>
        </w:rPr>
        <w:t>, 6(2): 102-106.</w:t>
      </w:r>
    </w:p>
    <w:p w14:paraId="1A978E36"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10.</w:t>
      </w:r>
      <w:r w:rsidRPr="00F46218">
        <w:rPr>
          <w:rFonts w:ascii="Times New Roman" w:eastAsia="SimSun" w:hAnsi="Times New Roman"/>
          <w:noProof/>
          <w:kern w:val="2"/>
          <w:sz w:val="20"/>
          <w:szCs w:val="24"/>
          <w:lang w:eastAsia="ko-KR" w:bidi="ar-SA"/>
        </w:rPr>
        <w:tab/>
        <w:t xml:space="preserve">Zakariah, M. N. A., Roslan, N., Sulaiman, N., Lee, S. C. H., Hamzah, U., Noh, K. A. M. and Lestari, W. (2021). Gravity analysis for subsurface characterization and depth estimation of Muda River basin, Kedah, Peninsular Malaysia. </w:t>
      </w:r>
      <w:r w:rsidRPr="00F46218">
        <w:rPr>
          <w:rFonts w:ascii="Times New Roman" w:eastAsia="SimSun" w:hAnsi="Times New Roman"/>
          <w:i/>
          <w:iCs/>
          <w:noProof/>
          <w:kern w:val="2"/>
          <w:sz w:val="20"/>
          <w:szCs w:val="24"/>
          <w:lang w:eastAsia="ko-KR" w:bidi="ar-SA"/>
        </w:rPr>
        <w:t>Applied Sciences</w:t>
      </w:r>
      <w:r w:rsidRPr="00F46218">
        <w:rPr>
          <w:rFonts w:ascii="Times New Roman" w:eastAsia="SimSun" w:hAnsi="Times New Roman"/>
          <w:noProof/>
          <w:kern w:val="2"/>
          <w:sz w:val="20"/>
          <w:szCs w:val="24"/>
          <w:lang w:eastAsia="ko-KR" w:bidi="ar-SA"/>
        </w:rPr>
        <w:t>, 11(14): 6363.</w:t>
      </w:r>
    </w:p>
    <w:p w14:paraId="43377E77"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11.</w:t>
      </w:r>
      <w:r w:rsidRPr="00F46218">
        <w:rPr>
          <w:rFonts w:ascii="Times New Roman" w:eastAsia="SimSun" w:hAnsi="Times New Roman"/>
          <w:noProof/>
          <w:kern w:val="2"/>
          <w:sz w:val="20"/>
          <w:szCs w:val="24"/>
          <w:lang w:eastAsia="ko-KR" w:bidi="ar-SA"/>
        </w:rPr>
        <w:tab/>
        <w:t xml:space="preserve">Abdul Hamid, F. A. Z., Abu Bakar, A. F., Ng, T. F., Ghani, A. A. and Mohamad Zulkifley, M. T. (2019). Distribution and contamination assessment of potentially harmful elements (As, Pb, Ni, Cd) in top soil of Penang Island, Malaysia. </w:t>
      </w:r>
      <w:r w:rsidRPr="00F46218">
        <w:rPr>
          <w:rFonts w:ascii="Times New Roman" w:eastAsia="SimSun" w:hAnsi="Times New Roman"/>
          <w:i/>
          <w:iCs/>
          <w:noProof/>
          <w:kern w:val="2"/>
          <w:sz w:val="20"/>
          <w:szCs w:val="24"/>
          <w:lang w:eastAsia="ko-KR" w:bidi="ar-SA"/>
        </w:rPr>
        <w:t>Environmental Earth Sciences</w:t>
      </w:r>
      <w:r w:rsidRPr="00F46218">
        <w:rPr>
          <w:rFonts w:ascii="Times New Roman" w:eastAsia="SimSun" w:hAnsi="Times New Roman"/>
          <w:noProof/>
          <w:kern w:val="2"/>
          <w:sz w:val="20"/>
          <w:szCs w:val="24"/>
          <w:lang w:eastAsia="ko-KR" w:bidi="ar-SA"/>
        </w:rPr>
        <w:t>, 78(21): 1-13.</w:t>
      </w:r>
    </w:p>
    <w:p w14:paraId="42FB74B2"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12.</w:t>
      </w:r>
      <w:r w:rsidRPr="00F46218">
        <w:rPr>
          <w:rFonts w:ascii="Times New Roman" w:eastAsia="SimSun" w:hAnsi="Times New Roman"/>
          <w:noProof/>
          <w:kern w:val="2"/>
          <w:sz w:val="20"/>
          <w:szCs w:val="24"/>
          <w:lang w:eastAsia="ko-KR" w:bidi="ar-SA"/>
        </w:rPr>
        <w:tab/>
        <w:t xml:space="preserve">Khandaker, M. U., Asaduzzaman, K., Sulaiman, A. F. Bin, Bradley, D. A. and Isinkaye, M.O. (2018). Elevated concentrations of naturally occurring radionuclides in heavy mineral-rich beach sands of Langkawi Island, Malaysia.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127 (12): 654-663.</w:t>
      </w:r>
    </w:p>
    <w:p w14:paraId="43B8A5DC"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13.</w:t>
      </w:r>
      <w:r w:rsidRPr="00F46218">
        <w:rPr>
          <w:rFonts w:ascii="Times New Roman" w:eastAsia="SimSun" w:hAnsi="Times New Roman"/>
          <w:noProof/>
          <w:kern w:val="2"/>
          <w:sz w:val="20"/>
          <w:szCs w:val="24"/>
          <w:lang w:eastAsia="ko-KR" w:bidi="ar-SA"/>
        </w:rPr>
        <w:tab/>
        <w:t xml:space="preserve">Aboobacker, V. M. (2017). Wave energy resource assessment for eastern Bay of Bengal and Malacca Strait. </w:t>
      </w:r>
      <w:r w:rsidRPr="00F46218">
        <w:rPr>
          <w:rFonts w:ascii="Times New Roman" w:eastAsia="SimSun" w:hAnsi="Times New Roman"/>
          <w:i/>
          <w:iCs/>
          <w:noProof/>
          <w:kern w:val="2"/>
          <w:sz w:val="20"/>
          <w:szCs w:val="24"/>
          <w:lang w:eastAsia="ko-KR" w:bidi="ar-SA"/>
        </w:rPr>
        <w:t>Renewable Energy</w:t>
      </w:r>
      <w:r w:rsidRPr="00F46218">
        <w:rPr>
          <w:rFonts w:ascii="Times New Roman" w:eastAsia="SimSun" w:hAnsi="Times New Roman"/>
          <w:noProof/>
          <w:kern w:val="2"/>
          <w:sz w:val="20"/>
          <w:szCs w:val="24"/>
          <w:lang w:eastAsia="ko-KR" w:bidi="ar-SA"/>
        </w:rPr>
        <w:t>, 114 (3): 72-84.</w:t>
      </w:r>
    </w:p>
    <w:p w14:paraId="1DBFB08E"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14.</w:t>
      </w:r>
      <w:r w:rsidRPr="00F46218">
        <w:rPr>
          <w:rFonts w:ascii="Times New Roman" w:eastAsia="SimSun" w:hAnsi="Times New Roman"/>
          <w:noProof/>
          <w:kern w:val="2"/>
          <w:sz w:val="20"/>
          <w:szCs w:val="24"/>
          <w:lang w:eastAsia="ko-KR" w:bidi="ar-SA"/>
        </w:rPr>
        <w:tab/>
        <w:t xml:space="preserve">Redzwan, G., Halim, H. A., Alias, S. A. and Rahman, M. M. (2014). Assessment of heavy metal contamination at west and east coastal area of Peninsular Malaysia. </w:t>
      </w:r>
      <w:r w:rsidRPr="00F46218">
        <w:rPr>
          <w:rFonts w:ascii="Times New Roman" w:eastAsia="SimSun" w:hAnsi="Times New Roman"/>
          <w:i/>
          <w:iCs/>
          <w:noProof/>
          <w:kern w:val="2"/>
          <w:sz w:val="20"/>
          <w:szCs w:val="24"/>
          <w:lang w:eastAsia="ko-KR" w:bidi="ar-SA"/>
        </w:rPr>
        <w:t>Malaysian Journal of Science</w:t>
      </w:r>
      <w:r w:rsidRPr="00F46218">
        <w:rPr>
          <w:rFonts w:ascii="Times New Roman" w:eastAsia="SimSun" w:hAnsi="Times New Roman"/>
          <w:noProof/>
          <w:kern w:val="2"/>
          <w:sz w:val="20"/>
          <w:szCs w:val="24"/>
          <w:lang w:eastAsia="ko-KR" w:bidi="ar-SA"/>
        </w:rPr>
        <w:t>, 33 (1): 23-31.</w:t>
      </w:r>
    </w:p>
    <w:p w14:paraId="5DE503F0"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15.</w:t>
      </w:r>
      <w:r w:rsidRPr="00F46218">
        <w:rPr>
          <w:rFonts w:ascii="Times New Roman" w:eastAsia="SimSun" w:hAnsi="Times New Roman"/>
          <w:noProof/>
          <w:kern w:val="2"/>
          <w:sz w:val="20"/>
          <w:szCs w:val="24"/>
          <w:lang w:eastAsia="ko-KR" w:bidi="ar-SA"/>
        </w:rPr>
        <w:tab/>
        <w:t xml:space="preserve">Saili, N. A. B. and Mohamed, C. A. R. (2021). Natural radioactivity of </w:t>
      </w:r>
      <w:r w:rsidRPr="00F46218">
        <w:rPr>
          <w:rFonts w:ascii="Times New Roman" w:eastAsia="SimSun" w:hAnsi="Times New Roman"/>
          <w:noProof/>
          <w:kern w:val="2"/>
          <w:sz w:val="20"/>
          <w:szCs w:val="24"/>
          <w:vertAlign w:val="superscript"/>
          <w:lang w:eastAsia="ko-KR" w:bidi="ar-SA"/>
        </w:rPr>
        <w:t>210</w:t>
      </w:r>
      <w:r w:rsidRPr="00F46218">
        <w:rPr>
          <w:rFonts w:ascii="Times New Roman" w:eastAsia="SimSun" w:hAnsi="Times New Roman"/>
          <w:noProof/>
          <w:kern w:val="2"/>
          <w:sz w:val="20"/>
          <w:szCs w:val="24"/>
          <w:lang w:eastAsia="ko-KR" w:bidi="ar-SA"/>
        </w:rPr>
        <w:t xml:space="preserve">Pb in mussels at the semi-enclosed water of the johor strait, malaysia through statistical approach. </w:t>
      </w:r>
      <w:r w:rsidRPr="00F46218">
        <w:rPr>
          <w:rFonts w:ascii="Times New Roman" w:eastAsia="SimSun" w:hAnsi="Times New Roman"/>
          <w:i/>
          <w:iCs/>
          <w:noProof/>
          <w:kern w:val="2"/>
          <w:sz w:val="20"/>
          <w:szCs w:val="24"/>
          <w:lang w:eastAsia="ko-KR" w:bidi="ar-SA"/>
        </w:rPr>
        <w:t>Malaysian Journal of Analytical Sciences</w:t>
      </w:r>
      <w:r w:rsidRPr="00F46218">
        <w:rPr>
          <w:rFonts w:ascii="Times New Roman" w:eastAsia="SimSun" w:hAnsi="Times New Roman"/>
          <w:noProof/>
          <w:kern w:val="2"/>
          <w:sz w:val="20"/>
          <w:szCs w:val="24"/>
          <w:lang w:eastAsia="ko-KR" w:bidi="ar-SA"/>
        </w:rPr>
        <w:t>, 25(1): 166-183.</w:t>
      </w:r>
    </w:p>
    <w:p w14:paraId="6109BDC3" w14:textId="3FFB5AD8" w:rsidR="008B012F"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16.</w:t>
      </w:r>
      <w:r w:rsidRPr="00F46218">
        <w:rPr>
          <w:rFonts w:ascii="Times New Roman" w:eastAsia="SimSun" w:hAnsi="Times New Roman"/>
          <w:noProof/>
          <w:kern w:val="2"/>
          <w:sz w:val="20"/>
          <w:szCs w:val="24"/>
          <w:lang w:eastAsia="ko-KR" w:bidi="ar-SA"/>
        </w:rPr>
        <w:tab/>
        <w:t xml:space="preserve">Rahim, M. A. C. A., Aproi, A. A., Shi, X., Liu, S., Ali, M. M., Yaacob, W. Z. W. and Mohamed, C. A. R. (2019). Distribution of chromium and gallium in the total suspended solid and surface sediments of sungai kelantan, kelantan, Malaysia. </w:t>
      </w:r>
      <w:r w:rsidRPr="00F46218">
        <w:rPr>
          <w:rFonts w:ascii="Times New Roman" w:eastAsia="SimSun" w:hAnsi="Times New Roman"/>
          <w:i/>
          <w:iCs/>
          <w:noProof/>
          <w:kern w:val="2"/>
          <w:sz w:val="20"/>
          <w:szCs w:val="24"/>
          <w:lang w:eastAsia="ko-KR" w:bidi="ar-SA"/>
        </w:rPr>
        <w:t>Sains Malaysiana</w:t>
      </w:r>
      <w:r w:rsidRPr="00F46218">
        <w:rPr>
          <w:rFonts w:ascii="Times New Roman" w:eastAsia="SimSun" w:hAnsi="Times New Roman"/>
          <w:noProof/>
          <w:kern w:val="2"/>
          <w:sz w:val="20"/>
          <w:szCs w:val="24"/>
          <w:lang w:eastAsia="ko-KR" w:bidi="ar-SA"/>
        </w:rPr>
        <w:t>, 48(11): 2343-2353.</w:t>
      </w:r>
    </w:p>
    <w:p w14:paraId="28D8F819" w14:textId="77777777" w:rsidR="007673A0"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sectPr w:rsidR="007673A0" w:rsidSect="00127A77">
          <w:type w:val="continuous"/>
          <w:pgSz w:w="12240" w:h="15840" w:code="1"/>
          <w:pgMar w:top="1800" w:right="1469" w:bottom="1699" w:left="1440" w:header="706" w:footer="706" w:gutter="0"/>
          <w:pgNumType w:start="1"/>
          <w:cols w:num="2" w:space="403"/>
          <w:docGrid w:linePitch="360"/>
        </w:sectPr>
      </w:pPr>
      <w:r w:rsidRPr="00F46218">
        <w:rPr>
          <w:rFonts w:ascii="Times New Roman" w:eastAsia="SimSun" w:hAnsi="Times New Roman"/>
          <w:noProof/>
          <w:kern w:val="2"/>
          <w:sz w:val="20"/>
          <w:szCs w:val="24"/>
          <w:lang w:eastAsia="ko-KR" w:bidi="ar-SA"/>
        </w:rPr>
        <w:t>17.</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Miller, W. P. and Miller, D. M. (1987). A micro</w:t>
      </w:r>
      <w:r w:rsidRPr="00F46218">
        <w:rPr>
          <w:rFonts w:ascii="Cambria Math" w:eastAsia="SimSun" w:hAnsi="Cambria Math" w:cs="Cambria Math"/>
          <w:noProof/>
          <w:kern w:val="2"/>
          <w:sz w:val="20"/>
          <w:szCs w:val="24"/>
          <w:lang w:eastAsia="ko-KR" w:bidi="ar-SA"/>
        </w:rPr>
        <w:t>‐</w:t>
      </w:r>
      <w:r w:rsidRPr="00F46218">
        <w:rPr>
          <w:rFonts w:ascii="Times New Roman" w:eastAsia="SimSun" w:hAnsi="Times New Roman"/>
          <w:noProof/>
          <w:kern w:val="2"/>
          <w:sz w:val="20"/>
          <w:szCs w:val="24"/>
          <w:lang w:eastAsia="ko-KR" w:bidi="ar-SA"/>
        </w:rPr>
        <w:t xml:space="preserve">pipette method for soil mechanical analysis. </w:t>
      </w:r>
      <w:r w:rsidRPr="00F46218">
        <w:rPr>
          <w:rFonts w:ascii="Times New Roman" w:eastAsia="SimSun" w:hAnsi="Times New Roman"/>
          <w:i/>
          <w:iCs/>
          <w:noProof/>
          <w:kern w:val="2"/>
          <w:sz w:val="20"/>
          <w:szCs w:val="24"/>
          <w:lang w:eastAsia="ko-KR" w:bidi="ar-SA"/>
        </w:rPr>
        <w:t>Communications in Soil Science and Plant Analysis</w:t>
      </w:r>
      <w:r w:rsidRPr="00F46218">
        <w:rPr>
          <w:rFonts w:ascii="Times New Roman" w:eastAsia="SimSun" w:hAnsi="Times New Roman"/>
          <w:noProof/>
          <w:kern w:val="2"/>
          <w:sz w:val="20"/>
          <w:szCs w:val="24"/>
          <w:lang w:eastAsia="ko-KR" w:bidi="ar-SA"/>
        </w:rPr>
        <w:t>, 18(1): 1-15.</w:t>
      </w:r>
    </w:p>
    <w:p w14:paraId="445D4023" w14:textId="26B29294" w:rsid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2BADF3C9" w14:textId="77777777" w:rsidR="007673A0" w:rsidRPr="00F46218" w:rsidRDefault="007673A0"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4872563B"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lastRenderedPageBreak/>
        <w:t>18.</w:t>
      </w:r>
      <w:r w:rsidRPr="00F46218">
        <w:rPr>
          <w:rFonts w:ascii="Times New Roman" w:eastAsia="SimSun" w:hAnsi="Times New Roman"/>
          <w:noProof/>
          <w:kern w:val="2"/>
          <w:sz w:val="20"/>
          <w:szCs w:val="24"/>
          <w:lang w:eastAsia="ko-KR" w:bidi="ar-SA"/>
        </w:rPr>
        <w:tab/>
        <w:t xml:space="preserve">Miller, W. P. (1993). A micro-pipette method for water dispersible clay. </w:t>
      </w:r>
      <w:r w:rsidRPr="00F46218">
        <w:rPr>
          <w:rFonts w:ascii="Times New Roman" w:eastAsia="SimSun" w:hAnsi="Times New Roman"/>
          <w:i/>
          <w:iCs/>
          <w:noProof/>
          <w:kern w:val="2"/>
          <w:sz w:val="20"/>
          <w:szCs w:val="24"/>
          <w:lang w:eastAsia="ko-KR" w:bidi="ar-SA"/>
        </w:rPr>
        <w:t>Communications in Soil Science and Plant Analysis</w:t>
      </w:r>
      <w:r w:rsidRPr="00F46218">
        <w:rPr>
          <w:rFonts w:ascii="Times New Roman" w:eastAsia="SimSun" w:hAnsi="Times New Roman"/>
          <w:noProof/>
          <w:kern w:val="2"/>
          <w:sz w:val="20"/>
          <w:szCs w:val="24"/>
          <w:lang w:eastAsia="ko-KR" w:bidi="ar-SA"/>
        </w:rPr>
        <w:t>, 24 (19–20): 2531-2544.</w:t>
      </w:r>
    </w:p>
    <w:p w14:paraId="6562F544"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19.</w:t>
      </w:r>
      <w:r w:rsidRPr="00F46218">
        <w:rPr>
          <w:rFonts w:ascii="Times New Roman" w:eastAsia="SimSun" w:hAnsi="Times New Roman"/>
          <w:noProof/>
          <w:kern w:val="2"/>
          <w:sz w:val="20"/>
          <w:szCs w:val="24"/>
          <w:lang w:eastAsia="ko-KR" w:bidi="ar-SA"/>
        </w:rPr>
        <w:tab/>
        <w:t xml:space="preserve">Kaur, A. and Fanourakis, G. C. (2018). Effect of sodium carbonate concentration in calgon on hydrometer analysis results. </w:t>
      </w:r>
      <w:r w:rsidRPr="00F46218">
        <w:rPr>
          <w:rFonts w:ascii="Times New Roman" w:eastAsia="SimSun" w:hAnsi="Times New Roman"/>
          <w:i/>
          <w:iCs/>
          <w:noProof/>
          <w:kern w:val="2"/>
          <w:sz w:val="20"/>
          <w:szCs w:val="24"/>
          <w:lang w:eastAsia="ko-KR" w:bidi="ar-SA"/>
        </w:rPr>
        <w:t>Periodica Polytechnica Civil Engineering</w:t>
      </w:r>
      <w:r w:rsidRPr="00F46218">
        <w:rPr>
          <w:rFonts w:ascii="Times New Roman" w:eastAsia="SimSun" w:hAnsi="Times New Roman"/>
          <w:noProof/>
          <w:kern w:val="2"/>
          <w:sz w:val="20"/>
          <w:szCs w:val="24"/>
          <w:lang w:eastAsia="ko-KR" w:bidi="ar-SA"/>
        </w:rPr>
        <w:t>, 62(4): 866-872.</w:t>
      </w:r>
    </w:p>
    <w:p w14:paraId="206817C2"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20.</w:t>
      </w:r>
      <w:r w:rsidRPr="00F46218">
        <w:rPr>
          <w:rFonts w:ascii="Times New Roman" w:eastAsia="SimSun" w:hAnsi="Times New Roman"/>
          <w:noProof/>
          <w:kern w:val="2"/>
          <w:sz w:val="20"/>
          <w:szCs w:val="24"/>
          <w:lang w:eastAsia="ko-KR" w:bidi="ar-SA"/>
        </w:rPr>
        <w:tab/>
        <w:t>Gray, J. E. and Riehle, J. R. (1998). Geologic Studies in Alaska by the US Geological Survey 1998:  200.</w:t>
      </w:r>
    </w:p>
    <w:p w14:paraId="54643016"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21.</w:t>
      </w:r>
      <w:r w:rsidRPr="00F46218">
        <w:rPr>
          <w:rFonts w:ascii="Times New Roman" w:eastAsia="SimSun" w:hAnsi="Times New Roman"/>
          <w:noProof/>
          <w:kern w:val="2"/>
          <w:sz w:val="20"/>
          <w:szCs w:val="24"/>
          <w:lang w:eastAsia="ko-KR" w:bidi="ar-SA"/>
        </w:rPr>
        <w:tab/>
        <w:t xml:space="preserve">Santisteban, J. I., Mediavilla, R., López-Pamo, E., Dabrio, C.J., Blanca Ruiz Zapata, M., José Gil García, M., Castaño, S. and Martínez-Alfaro, P. E. (2004). Loss on ignition: a qualitative or quantitative method for organic matter and carbonate mineral content in sediments? </w:t>
      </w:r>
      <w:r w:rsidRPr="00F46218">
        <w:rPr>
          <w:rFonts w:ascii="Times New Roman" w:eastAsia="SimSun" w:hAnsi="Times New Roman"/>
          <w:i/>
          <w:iCs/>
          <w:noProof/>
          <w:kern w:val="2"/>
          <w:sz w:val="20"/>
          <w:szCs w:val="24"/>
          <w:lang w:eastAsia="ko-KR" w:bidi="ar-SA"/>
        </w:rPr>
        <w:t>Journal of Paleolimnology</w:t>
      </w:r>
      <w:r w:rsidRPr="00F46218">
        <w:rPr>
          <w:rFonts w:ascii="Times New Roman" w:eastAsia="SimSun" w:hAnsi="Times New Roman"/>
          <w:noProof/>
          <w:kern w:val="2"/>
          <w:sz w:val="20"/>
          <w:szCs w:val="24"/>
          <w:lang w:eastAsia="ko-KR" w:bidi="ar-SA"/>
        </w:rPr>
        <w:t>, 32(3): 287-299.</w:t>
      </w:r>
    </w:p>
    <w:p w14:paraId="2295A831"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22.</w:t>
      </w:r>
      <w:r w:rsidRPr="00F46218">
        <w:rPr>
          <w:rFonts w:ascii="Times New Roman" w:eastAsia="SimSun" w:hAnsi="Times New Roman"/>
          <w:noProof/>
          <w:kern w:val="2"/>
          <w:sz w:val="20"/>
          <w:szCs w:val="24"/>
          <w:lang w:eastAsia="ko-KR" w:bidi="ar-SA"/>
        </w:rPr>
        <w:tab/>
        <w:t xml:space="preserve">Othman, S. Z., Adlan, M. N., and Selamat, M. R. (2015). A study on the potential of riverbank filtration for the removal of color, iron, turbidity and </w:t>
      </w:r>
      <w:r w:rsidRPr="00F46218">
        <w:rPr>
          <w:rFonts w:ascii="Times New Roman" w:eastAsia="SimSun" w:hAnsi="Times New Roman"/>
          <w:i/>
          <w:iCs/>
          <w:noProof/>
          <w:kern w:val="2"/>
          <w:sz w:val="20"/>
          <w:szCs w:val="24"/>
          <w:lang w:eastAsia="ko-KR" w:bidi="ar-SA"/>
        </w:rPr>
        <w:t xml:space="preserve">E. Coli </w:t>
      </w:r>
      <w:r w:rsidRPr="00F46218">
        <w:rPr>
          <w:rFonts w:ascii="Times New Roman" w:eastAsia="SimSun" w:hAnsi="Times New Roman"/>
          <w:noProof/>
          <w:kern w:val="2"/>
          <w:sz w:val="20"/>
          <w:szCs w:val="24"/>
          <w:lang w:eastAsia="ko-KR" w:bidi="ar-SA"/>
        </w:rPr>
        <w:t xml:space="preserve">in Sungai Perak, Kota Lama Kiri, Kuala Kangsar, Perak, Malaysia. </w:t>
      </w:r>
      <w:r w:rsidRPr="00F46218">
        <w:rPr>
          <w:rFonts w:ascii="Times New Roman" w:eastAsia="SimSun" w:hAnsi="Times New Roman"/>
          <w:i/>
          <w:iCs/>
          <w:noProof/>
          <w:kern w:val="2"/>
          <w:sz w:val="20"/>
          <w:szCs w:val="24"/>
          <w:lang w:eastAsia="ko-KR" w:bidi="ar-SA"/>
        </w:rPr>
        <w:t>Jurnal Teknologi</w:t>
      </w:r>
      <w:r w:rsidRPr="00F46218">
        <w:rPr>
          <w:rFonts w:ascii="Times New Roman" w:eastAsia="SimSun" w:hAnsi="Times New Roman"/>
          <w:noProof/>
          <w:kern w:val="2"/>
          <w:sz w:val="20"/>
          <w:szCs w:val="24"/>
          <w:lang w:eastAsia="ko-KR" w:bidi="ar-SA"/>
        </w:rPr>
        <w:t>, 74(11): 83-91.</w:t>
      </w:r>
    </w:p>
    <w:p w14:paraId="62621E5D"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23.</w:t>
      </w:r>
      <w:r w:rsidRPr="00F46218">
        <w:rPr>
          <w:rFonts w:ascii="Times New Roman" w:eastAsia="SimSun" w:hAnsi="Times New Roman"/>
          <w:noProof/>
          <w:kern w:val="2"/>
          <w:sz w:val="20"/>
          <w:szCs w:val="24"/>
          <w:lang w:eastAsia="ko-KR" w:bidi="ar-SA"/>
        </w:rPr>
        <w:tab/>
        <w:t xml:space="preserve">Ramaswamy, V., Rao, P. S., Rao, K. H., Thwin, S., Rao, N. S. and Raiker, V. (2004). Tidal influence on suspended sediment distribution and dispersal in the northern Andaman Sea and Gulf of Martaban. </w:t>
      </w:r>
      <w:r w:rsidRPr="00F46218">
        <w:rPr>
          <w:rFonts w:ascii="Times New Roman" w:eastAsia="SimSun" w:hAnsi="Times New Roman"/>
          <w:i/>
          <w:iCs/>
          <w:noProof/>
          <w:kern w:val="2"/>
          <w:sz w:val="20"/>
          <w:szCs w:val="24"/>
          <w:lang w:eastAsia="ko-KR" w:bidi="ar-SA"/>
        </w:rPr>
        <w:t>Marine Geology</w:t>
      </w:r>
      <w:r w:rsidRPr="00F46218">
        <w:rPr>
          <w:rFonts w:ascii="Times New Roman" w:eastAsia="SimSun" w:hAnsi="Times New Roman"/>
          <w:noProof/>
          <w:kern w:val="2"/>
          <w:sz w:val="20"/>
          <w:szCs w:val="24"/>
          <w:lang w:eastAsia="ko-KR" w:bidi="ar-SA"/>
        </w:rPr>
        <w:t>, 208(1): 33-42.</w:t>
      </w:r>
    </w:p>
    <w:p w14:paraId="6933C953"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24.</w:t>
      </w:r>
      <w:r w:rsidRPr="00F46218">
        <w:rPr>
          <w:rFonts w:ascii="Times New Roman" w:eastAsia="SimSun" w:hAnsi="Times New Roman"/>
          <w:noProof/>
          <w:kern w:val="2"/>
          <w:sz w:val="20"/>
          <w:szCs w:val="24"/>
          <w:lang w:eastAsia="ko-KR" w:bidi="ar-SA"/>
        </w:rPr>
        <w:tab/>
        <w:t xml:space="preserve">Rizal, S., Damm, P., Wahid, M. A., Sündermann, J., Ilhamsyah, Y., Iskandar, T. and Muhammad (2012). General circulation in the Malacca Strait and Andaman Sea: A numerical model study. </w:t>
      </w:r>
      <w:r w:rsidRPr="00F46218">
        <w:rPr>
          <w:rFonts w:ascii="Times New Roman" w:eastAsia="SimSun" w:hAnsi="Times New Roman"/>
          <w:i/>
          <w:iCs/>
          <w:noProof/>
          <w:kern w:val="2"/>
          <w:sz w:val="20"/>
          <w:szCs w:val="24"/>
          <w:lang w:eastAsia="ko-KR" w:bidi="ar-SA"/>
        </w:rPr>
        <w:t>American Journal of Environmental Sciences</w:t>
      </w:r>
      <w:r w:rsidRPr="00F46218">
        <w:rPr>
          <w:rFonts w:ascii="Times New Roman" w:eastAsia="SimSun" w:hAnsi="Times New Roman"/>
          <w:noProof/>
          <w:kern w:val="2"/>
          <w:sz w:val="20"/>
          <w:szCs w:val="24"/>
          <w:lang w:eastAsia="ko-KR" w:bidi="ar-SA"/>
        </w:rPr>
        <w:t>, 8(5): 479-488.</w:t>
      </w:r>
    </w:p>
    <w:p w14:paraId="02BF5271"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25.</w:t>
      </w:r>
      <w:r w:rsidRPr="00F46218">
        <w:rPr>
          <w:rFonts w:ascii="Times New Roman" w:eastAsia="SimSun" w:hAnsi="Times New Roman"/>
          <w:noProof/>
          <w:kern w:val="2"/>
          <w:sz w:val="20"/>
          <w:szCs w:val="24"/>
          <w:lang w:eastAsia="ko-KR" w:bidi="ar-SA"/>
        </w:rPr>
        <w:tab/>
        <w:t xml:space="preserve">Mohamed, K. N., Godon, E., Adnan, N. A., Rahim, Q. A., Liew, C., Abidin, A. I. Z. and Zainuddin, M. F. (2019). Study of dissolved nutrient condition at pulau perhentian, Terengganu. </w:t>
      </w:r>
      <w:r w:rsidRPr="00F46218">
        <w:rPr>
          <w:rFonts w:ascii="Times New Roman" w:eastAsia="SimSun" w:hAnsi="Times New Roman"/>
          <w:i/>
          <w:iCs/>
          <w:noProof/>
          <w:kern w:val="2"/>
          <w:sz w:val="20"/>
          <w:szCs w:val="24"/>
          <w:lang w:eastAsia="ko-KR" w:bidi="ar-SA"/>
        </w:rPr>
        <w:t>Pertanika Journal of Science and Technology</w:t>
      </w:r>
      <w:r w:rsidRPr="00F46218">
        <w:rPr>
          <w:rFonts w:ascii="Times New Roman" w:eastAsia="SimSun" w:hAnsi="Times New Roman"/>
          <w:noProof/>
          <w:kern w:val="2"/>
          <w:sz w:val="20"/>
          <w:szCs w:val="24"/>
          <w:lang w:eastAsia="ko-KR" w:bidi="ar-SA"/>
        </w:rPr>
        <w:t>, 27(2): 601-617.</w:t>
      </w:r>
    </w:p>
    <w:p w14:paraId="00CA7200"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26.</w:t>
      </w:r>
      <w:r w:rsidRPr="00F46218">
        <w:rPr>
          <w:rFonts w:ascii="Times New Roman" w:eastAsia="SimSun" w:hAnsi="Times New Roman"/>
          <w:noProof/>
          <w:kern w:val="2"/>
          <w:sz w:val="20"/>
          <w:szCs w:val="24"/>
          <w:lang w:eastAsia="ko-KR" w:bidi="ar-SA"/>
        </w:rPr>
        <w:tab/>
        <w:t xml:space="preserve">Shaari, H., Mohamad Azmi, S. N. H., Sultan, K., Bidai, J. and Mohamad, Y. (2015). Spatial distribution of selected heavy metals in surface sediments of the EEZ of the East Coast of Peninsular Malaysia. </w:t>
      </w:r>
      <w:r w:rsidRPr="00F46218">
        <w:rPr>
          <w:rFonts w:ascii="Times New Roman" w:eastAsia="SimSun" w:hAnsi="Times New Roman"/>
          <w:i/>
          <w:iCs/>
          <w:noProof/>
          <w:kern w:val="2"/>
          <w:sz w:val="20"/>
          <w:szCs w:val="24"/>
          <w:lang w:eastAsia="ko-KR" w:bidi="ar-SA"/>
        </w:rPr>
        <w:t>International Journal of Oceanography</w:t>
      </w:r>
      <w:r w:rsidRPr="00F46218">
        <w:rPr>
          <w:rFonts w:ascii="Times New Roman" w:eastAsia="SimSun" w:hAnsi="Times New Roman"/>
          <w:noProof/>
          <w:kern w:val="2"/>
          <w:sz w:val="20"/>
          <w:szCs w:val="24"/>
          <w:lang w:eastAsia="ko-KR" w:bidi="ar-SA"/>
        </w:rPr>
        <w:t>, 2015(5): 1-10.</w:t>
      </w:r>
    </w:p>
    <w:p w14:paraId="71841F46"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27.</w:t>
      </w:r>
      <w:r w:rsidRPr="00F46218">
        <w:rPr>
          <w:rFonts w:ascii="Times New Roman" w:eastAsia="SimSun" w:hAnsi="Times New Roman"/>
          <w:noProof/>
          <w:kern w:val="2"/>
          <w:sz w:val="20"/>
          <w:szCs w:val="24"/>
          <w:lang w:eastAsia="ko-KR" w:bidi="ar-SA"/>
        </w:rPr>
        <w:tab/>
        <w:t xml:space="preserve">Rezai, H., Yusoff, F. M., Kawamura, A., Arshad, A. </w:t>
      </w:r>
      <w:r w:rsidRPr="00F46218">
        <w:rPr>
          <w:rFonts w:ascii="Times New Roman" w:eastAsia="SimSun" w:hAnsi="Times New Roman"/>
          <w:noProof/>
          <w:kern w:val="2"/>
          <w:sz w:val="20"/>
          <w:szCs w:val="24"/>
          <w:lang w:eastAsia="ko-KR" w:bidi="ar-SA"/>
        </w:rPr>
        <w:t xml:space="preserve">and Othman, B. H. R. (2003). Zooplankton biomass in the Straits of Malacca. </w:t>
      </w:r>
      <w:r w:rsidRPr="00F46218">
        <w:rPr>
          <w:rFonts w:ascii="Times New Roman" w:eastAsia="SimSun" w:hAnsi="Times New Roman"/>
          <w:i/>
          <w:iCs/>
          <w:noProof/>
          <w:kern w:val="2"/>
          <w:sz w:val="20"/>
          <w:szCs w:val="24"/>
          <w:lang w:eastAsia="ko-KR" w:bidi="ar-SA"/>
        </w:rPr>
        <w:t>Indian Journal of Marine Sciences</w:t>
      </w:r>
      <w:r w:rsidRPr="00F46218">
        <w:rPr>
          <w:rFonts w:ascii="Times New Roman" w:eastAsia="SimSun" w:hAnsi="Times New Roman"/>
          <w:noProof/>
          <w:kern w:val="2"/>
          <w:sz w:val="20"/>
          <w:szCs w:val="24"/>
          <w:lang w:eastAsia="ko-KR" w:bidi="ar-SA"/>
        </w:rPr>
        <w:t>, 32(3): 222-225.</w:t>
      </w:r>
    </w:p>
    <w:p w14:paraId="74B0B6E2" w14:textId="77777777" w:rsidR="00F46218" w:rsidRPr="00F46218" w:rsidRDefault="00F46218" w:rsidP="004A359F">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28.</w:t>
      </w:r>
      <w:r w:rsidRPr="00F46218">
        <w:rPr>
          <w:rFonts w:ascii="Times New Roman" w:eastAsia="SimSun" w:hAnsi="Times New Roman"/>
          <w:noProof/>
          <w:kern w:val="2"/>
          <w:sz w:val="20"/>
          <w:szCs w:val="24"/>
          <w:lang w:eastAsia="ko-KR" w:bidi="ar-SA"/>
        </w:rPr>
        <w:tab/>
        <w:t xml:space="preserve">Kok, P. H., Mohd Akhir, M. F., Tangang, F. and Husain, M. L. (2017). Spatiotemporal trends in the southwest monsoon wind-driven upwelling in the southwestern part of the South China Sea. </w:t>
      </w:r>
      <w:r w:rsidRPr="00F46218">
        <w:rPr>
          <w:rFonts w:ascii="Times New Roman" w:eastAsia="SimSun" w:hAnsi="Times New Roman"/>
          <w:i/>
          <w:iCs/>
          <w:noProof/>
          <w:kern w:val="2"/>
          <w:sz w:val="20"/>
          <w:szCs w:val="24"/>
          <w:lang w:eastAsia="ko-KR" w:bidi="ar-SA"/>
        </w:rPr>
        <w:t>PLOS ONE</w:t>
      </w:r>
      <w:r w:rsidRPr="00F46218">
        <w:rPr>
          <w:rFonts w:ascii="Times New Roman" w:eastAsia="SimSun" w:hAnsi="Times New Roman"/>
          <w:noProof/>
          <w:kern w:val="2"/>
          <w:sz w:val="20"/>
          <w:szCs w:val="24"/>
          <w:lang w:eastAsia="ko-KR" w:bidi="ar-SA"/>
        </w:rPr>
        <w:t>, 12(2): e0171979.</w:t>
      </w:r>
    </w:p>
    <w:p w14:paraId="3A64EFDE" w14:textId="77777777" w:rsidR="00F46218" w:rsidRPr="00F46218" w:rsidRDefault="00F46218" w:rsidP="004A359F">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29.</w:t>
      </w:r>
      <w:r w:rsidRPr="00F46218">
        <w:rPr>
          <w:rFonts w:ascii="Times New Roman" w:eastAsia="SimSun" w:hAnsi="Times New Roman"/>
          <w:noProof/>
          <w:kern w:val="2"/>
          <w:sz w:val="20"/>
          <w:szCs w:val="24"/>
          <w:lang w:eastAsia="ko-KR" w:bidi="ar-SA"/>
        </w:rPr>
        <w:tab/>
        <w:t xml:space="preserve">Schroeder, A., Wiesner, M. G. and Liu, Z. (2015). Fluxes of clay minerals in the South China Sea. </w:t>
      </w:r>
      <w:r w:rsidRPr="00F46218">
        <w:rPr>
          <w:rFonts w:ascii="Times New Roman" w:eastAsia="SimSun" w:hAnsi="Times New Roman"/>
          <w:i/>
          <w:iCs/>
          <w:noProof/>
          <w:kern w:val="2"/>
          <w:sz w:val="20"/>
          <w:szCs w:val="24"/>
          <w:lang w:eastAsia="ko-KR" w:bidi="ar-SA"/>
        </w:rPr>
        <w:t>Earth and Planetary Science Letters</w:t>
      </w:r>
      <w:r w:rsidRPr="00F46218">
        <w:rPr>
          <w:rFonts w:ascii="Times New Roman" w:eastAsia="SimSun" w:hAnsi="Times New Roman"/>
          <w:noProof/>
          <w:kern w:val="2"/>
          <w:sz w:val="20"/>
          <w:szCs w:val="24"/>
          <w:lang w:eastAsia="ko-KR" w:bidi="ar-SA"/>
        </w:rPr>
        <w:t>, 430: 30-42.</w:t>
      </w:r>
    </w:p>
    <w:p w14:paraId="4D52E38D" w14:textId="77777777" w:rsidR="00F46218" w:rsidRPr="00F46218" w:rsidRDefault="00F46218" w:rsidP="004A359F">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30.</w:t>
      </w:r>
      <w:r w:rsidRPr="00F46218">
        <w:rPr>
          <w:rFonts w:ascii="Times New Roman" w:eastAsia="SimSun" w:hAnsi="Times New Roman"/>
          <w:noProof/>
          <w:kern w:val="2"/>
          <w:sz w:val="20"/>
          <w:szCs w:val="24"/>
          <w:lang w:eastAsia="ko-KR" w:bidi="ar-SA"/>
        </w:rPr>
        <w:tab/>
        <w:t xml:space="preserve">Väli, G., Zhurbas, V., Laanemets, J. and Elken, J. (2011). Simulation of nutrient transport from different depths during an upwelling event in the Gulf of Finland. </w:t>
      </w:r>
      <w:r w:rsidRPr="00F46218">
        <w:rPr>
          <w:rFonts w:ascii="Times New Roman" w:eastAsia="SimSun" w:hAnsi="Times New Roman"/>
          <w:i/>
          <w:iCs/>
          <w:noProof/>
          <w:kern w:val="2"/>
          <w:sz w:val="20"/>
          <w:szCs w:val="24"/>
          <w:lang w:eastAsia="ko-KR" w:bidi="ar-SA"/>
        </w:rPr>
        <w:t>Oceanologia</w:t>
      </w:r>
      <w:r w:rsidRPr="00F46218">
        <w:rPr>
          <w:rFonts w:ascii="Times New Roman" w:eastAsia="SimSun" w:hAnsi="Times New Roman"/>
          <w:noProof/>
          <w:kern w:val="2"/>
          <w:sz w:val="20"/>
          <w:szCs w:val="24"/>
          <w:lang w:eastAsia="ko-KR" w:bidi="ar-SA"/>
        </w:rPr>
        <w:t>, 53(1-TI): 431-448.</w:t>
      </w:r>
    </w:p>
    <w:p w14:paraId="7FF07222" w14:textId="77777777" w:rsidR="00F46218" w:rsidRPr="00F46218" w:rsidRDefault="00F46218" w:rsidP="004A359F">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31.</w:t>
      </w:r>
      <w:r w:rsidRPr="00F46218">
        <w:rPr>
          <w:rFonts w:ascii="Times New Roman" w:eastAsia="SimSun" w:hAnsi="Times New Roman"/>
          <w:noProof/>
          <w:kern w:val="2"/>
          <w:sz w:val="20"/>
          <w:szCs w:val="24"/>
          <w:lang w:eastAsia="ko-KR" w:bidi="ar-SA"/>
        </w:rPr>
        <w:tab/>
        <w:t xml:space="preserve">Haditiar, Y., Putri, M. R., Ismail, N., Muchlisin, Z. A. and Rizal, S. (2019). Numerical simulation of currents and volume transport in the Malacca Strait and part of South China Sea. </w:t>
      </w:r>
      <w:r w:rsidRPr="00F46218">
        <w:rPr>
          <w:rFonts w:ascii="Times New Roman" w:eastAsia="SimSun" w:hAnsi="Times New Roman"/>
          <w:i/>
          <w:iCs/>
          <w:noProof/>
          <w:kern w:val="2"/>
          <w:sz w:val="20"/>
          <w:szCs w:val="24"/>
          <w:lang w:eastAsia="ko-KR" w:bidi="ar-SA"/>
        </w:rPr>
        <w:t>Engineering Journal</w:t>
      </w:r>
      <w:r w:rsidRPr="00F46218">
        <w:rPr>
          <w:rFonts w:ascii="Times New Roman" w:eastAsia="SimSun" w:hAnsi="Times New Roman"/>
          <w:noProof/>
          <w:kern w:val="2"/>
          <w:sz w:val="20"/>
          <w:szCs w:val="24"/>
          <w:lang w:eastAsia="ko-KR" w:bidi="ar-SA"/>
        </w:rPr>
        <w:t>, 23(6): 129-143.</w:t>
      </w:r>
    </w:p>
    <w:p w14:paraId="4657815B"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32.</w:t>
      </w:r>
      <w:r w:rsidRPr="00F46218">
        <w:rPr>
          <w:rFonts w:ascii="Times New Roman" w:eastAsia="SimSun" w:hAnsi="Times New Roman"/>
          <w:noProof/>
          <w:kern w:val="2"/>
          <w:sz w:val="20"/>
          <w:szCs w:val="24"/>
          <w:lang w:eastAsia="ko-KR" w:bidi="ar-SA"/>
        </w:rPr>
        <w:tab/>
        <w:t xml:space="preserve">Batista, A. H., Melo, V. F., Gilkes, R. and Roberts, M. (2018). Identification of heavy metals in crystals of sand and silt fractions of soils by scanning electron microscopy (SEM EDS/WD-EPMA). </w:t>
      </w:r>
      <w:r w:rsidRPr="00F46218">
        <w:rPr>
          <w:rFonts w:ascii="Times New Roman" w:eastAsia="SimSun" w:hAnsi="Times New Roman"/>
          <w:i/>
          <w:iCs/>
          <w:noProof/>
          <w:kern w:val="2"/>
          <w:sz w:val="20"/>
          <w:szCs w:val="24"/>
          <w:lang w:eastAsia="ko-KR" w:bidi="ar-SA"/>
        </w:rPr>
        <w:t>Revista Brasileira de Ciencia do Solo</w:t>
      </w:r>
      <w:r w:rsidRPr="00F46218">
        <w:rPr>
          <w:rFonts w:ascii="Times New Roman" w:eastAsia="SimSun" w:hAnsi="Times New Roman"/>
          <w:noProof/>
          <w:kern w:val="2"/>
          <w:sz w:val="20"/>
          <w:szCs w:val="24"/>
          <w:lang w:eastAsia="ko-KR" w:bidi="ar-SA"/>
        </w:rPr>
        <w:t>, 42: 1-16.</w:t>
      </w:r>
    </w:p>
    <w:p w14:paraId="260A5567"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33.</w:t>
      </w:r>
      <w:r w:rsidRPr="00F46218">
        <w:rPr>
          <w:rFonts w:ascii="Times New Roman" w:eastAsia="SimSun" w:hAnsi="Times New Roman"/>
          <w:noProof/>
          <w:kern w:val="2"/>
          <w:sz w:val="20"/>
          <w:szCs w:val="24"/>
          <w:lang w:eastAsia="ko-KR" w:bidi="ar-SA"/>
        </w:rPr>
        <w:tab/>
        <w:t xml:space="preserve">Singh, S.K. and Subramanian, V. (1984). Hydrous fe and mn oxides — scavengers of heavy metals in the aquatic environment. </w:t>
      </w:r>
      <w:r w:rsidRPr="00F46218">
        <w:rPr>
          <w:rFonts w:ascii="Times New Roman" w:eastAsia="SimSun" w:hAnsi="Times New Roman"/>
          <w:i/>
          <w:iCs/>
          <w:noProof/>
          <w:kern w:val="2"/>
          <w:sz w:val="20"/>
          <w:szCs w:val="24"/>
          <w:lang w:eastAsia="ko-KR" w:bidi="ar-SA"/>
        </w:rPr>
        <w:t>Critical Reviews in Environmental Control</w:t>
      </w:r>
      <w:r w:rsidRPr="00F46218">
        <w:rPr>
          <w:rFonts w:ascii="Times New Roman" w:eastAsia="SimSun" w:hAnsi="Times New Roman"/>
          <w:noProof/>
          <w:kern w:val="2"/>
          <w:sz w:val="20"/>
          <w:szCs w:val="24"/>
          <w:lang w:eastAsia="ko-KR" w:bidi="ar-SA"/>
        </w:rPr>
        <w:t>, 14(1): 33-90.</w:t>
      </w:r>
    </w:p>
    <w:p w14:paraId="757B25FC"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34.</w:t>
      </w:r>
      <w:r w:rsidRPr="00F46218">
        <w:rPr>
          <w:rFonts w:ascii="Times New Roman" w:eastAsia="SimSun" w:hAnsi="Times New Roman"/>
          <w:noProof/>
          <w:kern w:val="2"/>
          <w:sz w:val="20"/>
          <w:szCs w:val="24"/>
          <w:lang w:eastAsia="ko-KR" w:bidi="ar-SA"/>
        </w:rPr>
        <w:tab/>
        <w:t xml:space="preserve">Taylor, K. G. and Macquaker, J. H. S. (2014). Diagenetic alterations in a silt- and clay-rich mudstone succession: an example from the Upper Cretaceous Mancos Shale of Utah, USA. </w:t>
      </w:r>
      <w:r w:rsidRPr="00F46218">
        <w:rPr>
          <w:rFonts w:ascii="Times New Roman" w:eastAsia="SimSun" w:hAnsi="Times New Roman"/>
          <w:i/>
          <w:iCs/>
          <w:noProof/>
          <w:kern w:val="2"/>
          <w:sz w:val="20"/>
          <w:szCs w:val="24"/>
          <w:lang w:eastAsia="ko-KR" w:bidi="ar-SA"/>
        </w:rPr>
        <w:t>Clay Minerals</w:t>
      </w:r>
      <w:r w:rsidRPr="00F46218">
        <w:rPr>
          <w:rFonts w:ascii="Times New Roman" w:eastAsia="SimSun" w:hAnsi="Times New Roman"/>
          <w:noProof/>
          <w:kern w:val="2"/>
          <w:sz w:val="20"/>
          <w:szCs w:val="24"/>
          <w:lang w:eastAsia="ko-KR" w:bidi="ar-SA"/>
        </w:rPr>
        <w:t>, 49(2): 213-227.</w:t>
      </w:r>
    </w:p>
    <w:p w14:paraId="2592E18C" w14:textId="4BF79CFA" w:rsidR="008B012F"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35.</w:t>
      </w:r>
      <w:r w:rsidRPr="00F46218">
        <w:rPr>
          <w:rFonts w:ascii="Times New Roman" w:eastAsia="SimSun" w:hAnsi="Times New Roman"/>
          <w:noProof/>
          <w:kern w:val="2"/>
          <w:sz w:val="20"/>
          <w:szCs w:val="24"/>
          <w:lang w:eastAsia="ko-KR" w:bidi="ar-SA"/>
        </w:rPr>
        <w:tab/>
        <w:t xml:space="preserve">Raj, J. K. (2021). Soil moisture retention characteristics of saprock from the weathering profile over a biotite-muscovite granite in Peninsular Malaysia. </w:t>
      </w:r>
      <w:r w:rsidRPr="00F46218">
        <w:rPr>
          <w:rFonts w:ascii="Times New Roman" w:eastAsia="SimSun" w:hAnsi="Times New Roman"/>
          <w:i/>
          <w:iCs/>
          <w:noProof/>
          <w:kern w:val="2"/>
          <w:sz w:val="20"/>
          <w:szCs w:val="24"/>
          <w:lang w:eastAsia="ko-KR" w:bidi="ar-SA"/>
        </w:rPr>
        <w:t>Warta Geologi</w:t>
      </w:r>
      <w:r w:rsidRPr="00F46218">
        <w:rPr>
          <w:rFonts w:ascii="Times New Roman" w:eastAsia="SimSun" w:hAnsi="Times New Roman"/>
          <w:noProof/>
          <w:kern w:val="2"/>
          <w:sz w:val="20"/>
          <w:szCs w:val="24"/>
          <w:lang w:eastAsia="ko-KR" w:bidi="ar-SA"/>
        </w:rPr>
        <w:t>, 47(3): 217-225.</w:t>
      </w:r>
    </w:p>
    <w:p w14:paraId="754DEDD2" w14:textId="77777777" w:rsidR="007673A0"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sectPr w:rsidR="007673A0" w:rsidSect="00127A77">
          <w:type w:val="continuous"/>
          <w:pgSz w:w="12240" w:h="15840" w:code="1"/>
          <w:pgMar w:top="1800" w:right="1469" w:bottom="1699" w:left="1440" w:header="706" w:footer="706" w:gutter="0"/>
          <w:pgNumType w:start="1"/>
          <w:cols w:num="2" w:space="403"/>
          <w:docGrid w:linePitch="360"/>
        </w:sectPr>
      </w:pPr>
      <w:r w:rsidRPr="00F46218">
        <w:rPr>
          <w:rFonts w:ascii="Times New Roman" w:eastAsia="SimSun" w:hAnsi="Times New Roman"/>
          <w:noProof/>
          <w:kern w:val="2"/>
          <w:sz w:val="20"/>
          <w:szCs w:val="24"/>
          <w:lang w:eastAsia="ko-KR" w:bidi="ar-SA"/>
        </w:rPr>
        <w:t>36.</w:t>
      </w:r>
      <w:r w:rsidRPr="00F46218">
        <w:rPr>
          <w:rFonts w:ascii="Times New Roman" w:eastAsia="SimSun" w:hAnsi="Times New Roman"/>
          <w:noProof/>
          <w:kern w:val="2"/>
          <w:sz w:val="20"/>
          <w:szCs w:val="24"/>
          <w:lang w:eastAsia="ko-KR" w:bidi="ar-SA"/>
        </w:rPr>
        <w:tab/>
        <w:t xml:space="preserve">Yap, C. K. and Pang, B. H. (2011). Assessment of Cu, Pb, and Zn contamination in sediment of north western Peninsular Malaysia by using sediment quality values and different geochemical indices. </w:t>
      </w:r>
      <w:r w:rsidRPr="00F46218">
        <w:rPr>
          <w:rFonts w:ascii="Times New Roman" w:eastAsia="SimSun" w:hAnsi="Times New Roman"/>
          <w:i/>
          <w:iCs/>
          <w:noProof/>
          <w:kern w:val="2"/>
          <w:sz w:val="20"/>
          <w:szCs w:val="24"/>
          <w:lang w:eastAsia="ko-KR" w:bidi="ar-SA"/>
        </w:rPr>
        <w:t>Environmental Monitoring and Assessment</w:t>
      </w:r>
      <w:r w:rsidRPr="00F46218">
        <w:rPr>
          <w:rFonts w:ascii="Times New Roman" w:eastAsia="SimSun" w:hAnsi="Times New Roman"/>
          <w:noProof/>
          <w:kern w:val="2"/>
          <w:sz w:val="20"/>
          <w:szCs w:val="24"/>
          <w:lang w:eastAsia="ko-KR" w:bidi="ar-SA"/>
        </w:rPr>
        <w:t>, 183(1–4): 23-39.</w:t>
      </w:r>
    </w:p>
    <w:p w14:paraId="454BE100" w14:textId="49A98AAC" w:rsid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0839CC38" w14:textId="77777777" w:rsidR="007673A0" w:rsidRPr="00F46218" w:rsidRDefault="007673A0"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0B03A335"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lastRenderedPageBreak/>
        <w:t>37.</w:t>
      </w:r>
      <w:r w:rsidRPr="00F46218">
        <w:rPr>
          <w:rFonts w:ascii="Times New Roman" w:eastAsia="SimSun" w:hAnsi="Times New Roman"/>
          <w:noProof/>
          <w:kern w:val="2"/>
          <w:sz w:val="20"/>
          <w:szCs w:val="24"/>
          <w:lang w:eastAsia="ko-KR" w:bidi="ar-SA"/>
        </w:rPr>
        <w:tab/>
        <w:t xml:space="preserve">Pitt, R., Lantrip, J. and O’Connor, T. P. (2004). Infiltration through disturbed urban soils. </w:t>
      </w:r>
      <w:r w:rsidRPr="00F46218">
        <w:rPr>
          <w:rFonts w:ascii="Times New Roman" w:eastAsia="SimSun" w:hAnsi="Times New Roman"/>
          <w:i/>
          <w:iCs/>
          <w:noProof/>
          <w:kern w:val="2"/>
          <w:sz w:val="20"/>
          <w:szCs w:val="24"/>
          <w:lang w:eastAsia="ko-KR" w:bidi="ar-SA"/>
        </w:rPr>
        <w:t>Joint Conference on Water Resource Engineering and Water Resources Planning and Management 2000: Building Partnerships</w:t>
      </w:r>
      <w:r w:rsidRPr="00F46218">
        <w:rPr>
          <w:rFonts w:ascii="Times New Roman" w:eastAsia="SimSun" w:hAnsi="Times New Roman"/>
          <w:noProof/>
          <w:kern w:val="2"/>
          <w:sz w:val="20"/>
          <w:szCs w:val="24"/>
          <w:lang w:eastAsia="ko-KR" w:bidi="ar-SA"/>
        </w:rPr>
        <w:t>: p. 104.</w:t>
      </w:r>
    </w:p>
    <w:p w14:paraId="25309101" w14:textId="77777777" w:rsidR="004A359F"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38.</w:t>
      </w:r>
      <w:r w:rsidRPr="00F46218">
        <w:rPr>
          <w:rFonts w:ascii="Times New Roman" w:eastAsia="SimSun" w:hAnsi="Times New Roman"/>
          <w:noProof/>
          <w:kern w:val="2"/>
          <w:sz w:val="20"/>
          <w:szCs w:val="24"/>
          <w:lang w:eastAsia="ko-KR" w:bidi="ar-SA"/>
        </w:rPr>
        <w:tab/>
        <w:t xml:space="preserve">Bobrowsky, P. T. and Marker, B. (2018). </w:t>
      </w:r>
      <w:r w:rsidRPr="00F46218">
        <w:rPr>
          <w:rFonts w:ascii="Times New Roman" w:eastAsia="SimSun" w:hAnsi="Times New Roman"/>
          <w:i/>
          <w:iCs/>
          <w:noProof/>
          <w:kern w:val="2"/>
          <w:sz w:val="20"/>
          <w:szCs w:val="24"/>
          <w:lang w:eastAsia="ko-KR" w:bidi="ar-SA"/>
        </w:rPr>
        <w:t>Encyclopedia of Engineering Geology</w:t>
      </w:r>
      <w:r w:rsidRPr="00F46218">
        <w:rPr>
          <w:rFonts w:ascii="Times New Roman" w:eastAsia="SimSun" w:hAnsi="Times New Roman"/>
          <w:noProof/>
          <w:kern w:val="2"/>
          <w:sz w:val="20"/>
          <w:szCs w:val="24"/>
          <w:lang w:eastAsia="ko-KR" w:bidi="ar-SA"/>
        </w:rPr>
        <w:t>, Springer International Publishing AG, Cham, Switzerland.</w:t>
      </w:r>
    </w:p>
    <w:p w14:paraId="72CDF6A4" w14:textId="27A5F83A"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39.</w:t>
      </w:r>
      <w:r w:rsidRPr="00F46218">
        <w:rPr>
          <w:rFonts w:ascii="Times New Roman" w:eastAsia="SimSun" w:hAnsi="Times New Roman"/>
          <w:noProof/>
          <w:kern w:val="2"/>
          <w:sz w:val="20"/>
          <w:szCs w:val="24"/>
          <w:lang w:eastAsia="ko-KR" w:bidi="ar-SA"/>
        </w:rPr>
        <w:tab/>
        <w:t xml:space="preserve">Zorluer, I., Icaga, Y., Yurtcu, S. and Tosun, H. (2010). Application of a fuzzy rule-based method for the determination of clay dispersibility. </w:t>
      </w:r>
      <w:r w:rsidRPr="00F46218">
        <w:rPr>
          <w:rFonts w:ascii="Times New Roman" w:eastAsia="SimSun" w:hAnsi="Times New Roman"/>
          <w:i/>
          <w:iCs/>
          <w:noProof/>
          <w:kern w:val="2"/>
          <w:sz w:val="20"/>
          <w:szCs w:val="24"/>
          <w:lang w:eastAsia="ko-KR" w:bidi="ar-SA"/>
        </w:rPr>
        <w:t>Geoderma</w:t>
      </w:r>
      <w:r w:rsidRPr="00F46218">
        <w:rPr>
          <w:rFonts w:ascii="Times New Roman" w:eastAsia="SimSun" w:hAnsi="Times New Roman"/>
          <w:noProof/>
          <w:kern w:val="2"/>
          <w:sz w:val="20"/>
          <w:szCs w:val="24"/>
          <w:lang w:eastAsia="ko-KR" w:bidi="ar-SA"/>
        </w:rPr>
        <w:t>, 160(2): 189-196.</w:t>
      </w:r>
    </w:p>
    <w:p w14:paraId="627BD741" w14:textId="77777777"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40.</w:t>
      </w:r>
      <w:r w:rsidRPr="00F46218">
        <w:rPr>
          <w:rFonts w:ascii="Times New Roman" w:eastAsia="SimSun" w:hAnsi="Times New Roman"/>
          <w:noProof/>
          <w:kern w:val="2"/>
          <w:sz w:val="20"/>
          <w:szCs w:val="24"/>
          <w:lang w:eastAsia="ko-KR" w:bidi="ar-SA"/>
        </w:rPr>
        <w:tab/>
        <w:t xml:space="preserve">Ismail, A., Toriman, M. E., Juahir, H., Zain, S. M., Habir, N. L. A., Retnam, A., Kamaruddin, M. K. A., Umar, R., and Azid, A. (2016). Spatial assessment and source identification of heavy metals pollution in surface water using several chemometric techniques.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106(1–2): 292-300.</w:t>
      </w:r>
    </w:p>
    <w:p w14:paraId="43FDC52F" w14:textId="290D335B"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lang w:eastAsia="ko-KR" w:bidi="ar-SA"/>
        </w:rPr>
      </w:pPr>
      <w:r w:rsidRPr="00F46218">
        <w:rPr>
          <w:rFonts w:ascii="Times New Roman" w:eastAsia="SimSun" w:hAnsi="Times New Roman"/>
          <w:noProof/>
          <w:kern w:val="2"/>
          <w:sz w:val="20"/>
          <w:szCs w:val="24"/>
          <w:lang w:eastAsia="ko-KR" w:bidi="ar-SA"/>
        </w:rPr>
        <w:t>41.</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Idriss, A. A. (2012). Concentration of selected heavy metals in water of the Juru River, Penang, Malaysia. </w:t>
      </w:r>
      <w:r w:rsidRPr="00F46218">
        <w:rPr>
          <w:rFonts w:ascii="Times New Roman" w:eastAsia="SimSun" w:hAnsi="Times New Roman"/>
          <w:i/>
          <w:iCs/>
          <w:noProof/>
          <w:kern w:val="2"/>
          <w:sz w:val="20"/>
          <w:szCs w:val="24"/>
          <w:lang w:eastAsia="ko-KR" w:bidi="ar-SA"/>
        </w:rPr>
        <w:t>African Journal of Biotechnology</w:t>
      </w:r>
      <w:r w:rsidRPr="00F46218">
        <w:rPr>
          <w:rFonts w:ascii="Times New Roman" w:eastAsia="SimSun" w:hAnsi="Times New Roman"/>
          <w:noProof/>
          <w:kern w:val="2"/>
          <w:sz w:val="20"/>
          <w:szCs w:val="24"/>
          <w:lang w:eastAsia="ko-KR" w:bidi="ar-SA"/>
        </w:rPr>
        <w:t>, 11(33): 8234-8240.</w:t>
      </w:r>
    </w:p>
    <w:p w14:paraId="4ECFD7EA" w14:textId="77777777" w:rsidR="00127A77" w:rsidRDefault="00F46218" w:rsidP="000B5547">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sectPr w:rsidR="00127A77" w:rsidSect="00127A77">
          <w:type w:val="continuous"/>
          <w:pgSz w:w="12240" w:h="15840" w:code="1"/>
          <w:pgMar w:top="1800" w:right="1469" w:bottom="1699" w:left="1440" w:header="706" w:footer="706" w:gutter="0"/>
          <w:pgNumType w:start="1"/>
          <w:cols w:num="2" w:space="403"/>
          <w:docGrid w:linePitch="360"/>
        </w:sectPr>
      </w:pPr>
      <w:r w:rsidRPr="00F46218">
        <w:rPr>
          <w:rFonts w:ascii="Times New Roman" w:eastAsia="SimSun" w:hAnsi="Times New Roman"/>
          <w:b/>
          <w:color w:val="548DD4"/>
          <w:kern w:val="2"/>
          <w:sz w:val="20"/>
          <w:szCs w:val="20"/>
          <w:lang w:val="en-GB" w:eastAsia="ko-KR" w:bidi="ar-SA"/>
        </w:rPr>
        <w:fldChar w:fldCharType="end"/>
      </w:r>
    </w:p>
    <w:p w14:paraId="0C6AA06D" w14:textId="61AE4F7E" w:rsidR="00793EB6" w:rsidRPr="00793EB6" w:rsidRDefault="00793EB6"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sectPr w:rsidR="00793EB6" w:rsidRPr="00793EB6" w:rsidSect="000B5547">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72A2" w14:textId="77777777" w:rsidR="006F3D22" w:rsidRDefault="006F3D22" w:rsidP="00FB4C59">
      <w:pPr>
        <w:spacing w:after="0" w:line="240" w:lineRule="auto"/>
      </w:pPr>
      <w:r>
        <w:separator/>
      </w:r>
    </w:p>
  </w:endnote>
  <w:endnote w:type="continuationSeparator" w:id="0">
    <w:p w14:paraId="3E483373" w14:textId="77777777" w:rsidR="006F3D22" w:rsidRDefault="006F3D2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7AE8" w14:textId="77777777" w:rsidR="006F3D22" w:rsidRDefault="006F3D22" w:rsidP="00FB4C59">
      <w:pPr>
        <w:spacing w:after="0" w:line="240" w:lineRule="auto"/>
      </w:pPr>
      <w:r>
        <w:separator/>
      </w:r>
    </w:p>
  </w:footnote>
  <w:footnote w:type="continuationSeparator" w:id="0">
    <w:p w14:paraId="60D43B4B" w14:textId="77777777" w:rsidR="006F3D22" w:rsidRDefault="006F3D2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0E3D" w14:textId="05D4E43F" w:rsidR="001750B0" w:rsidRPr="004F67E4" w:rsidRDefault="004F67E4" w:rsidP="004F67E4">
    <w:pPr>
      <w:pStyle w:val="Header"/>
      <w:tabs>
        <w:tab w:val="left" w:pos="630"/>
        <w:tab w:val="left" w:pos="810"/>
        <w:tab w:val="left" w:pos="1440"/>
      </w:tabs>
      <w:ind w:left="1350" w:hanging="1350"/>
      <w:rPr>
        <w:rFonts w:ascii="Times New Roman" w:hAnsi="Times New Roman"/>
        <w:lang w:val="en-US"/>
      </w:rPr>
    </w:pPr>
    <w:r>
      <w:rPr>
        <w:rFonts w:ascii="Times New Roman" w:hAnsi="Times New Roman"/>
        <w:lang w:val="en-US"/>
      </w:rPr>
      <w:t>Mohamad</w:t>
    </w:r>
    <w:r w:rsidR="00586E53">
      <w:rPr>
        <w:rFonts w:ascii="Times New Roman" w:hAnsi="Times New Roman"/>
        <w:lang w:val="en-US"/>
      </w:rPr>
      <w:t xml:space="preserve"> et al.</w:t>
    </w:r>
    <w:r w:rsidR="00586E53" w:rsidRPr="006B72B0">
      <w:rPr>
        <w:rFonts w:ascii="Times New Roman" w:hAnsi="Times New Roman"/>
        <w:lang w:val="en-US"/>
      </w:rPr>
      <w:t xml:space="preserve">: </w:t>
    </w:r>
    <w:r w:rsidRPr="004F67E4">
      <w:rPr>
        <w:rFonts w:ascii="Times New Roman" w:hAnsi="Times New Roman"/>
        <w:lang w:val="en-US"/>
      </w:rPr>
      <w:t>ASSESSMENT OF METALS IN SEDIMENT OF A MONSOON-DOMINATED REGION IN THE NORTHERN MALACCA STRAIT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01A" w14:textId="77777777" w:rsidR="001750B0" w:rsidRDefault="001750B0" w:rsidP="001750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19C2021" w14:textId="77777777" w:rsidR="001750B0" w:rsidRPr="001750B0" w:rsidRDefault="001750B0" w:rsidP="00175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1"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4102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7"/>
  </w:num>
  <w:num w:numId="3" w16cid:durableId="1205946393">
    <w:abstractNumId w:val="3"/>
  </w:num>
  <w:num w:numId="4" w16cid:durableId="791945025">
    <w:abstractNumId w:val="6"/>
  </w:num>
  <w:num w:numId="5" w16cid:durableId="807357808">
    <w:abstractNumId w:val="10"/>
  </w:num>
  <w:num w:numId="6" w16cid:durableId="1967347172">
    <w:abstractNumId w:val="0"/>
  </w:num>
  <w:num w:numId="7" w16cid:durableId="345401420">
    <w:abstractNumId w:val="9"/>
  </w:num>
  <w:num w:numId="8" w16cid:durableId="1718115799">
    <w:abstractNumId w:val="8"/>
  </w:num>
  <w:num w:numId="9" w16cid:durableId="1144665153">
    <w:abstractNumId w:val="2"/>
  </w:num>
  <w:num w:numId="10" w16cid:durableId="1746419678">
    <w:abstractNumId w:val="11"/>
  </w:num>
  <w:num w:numId="11" w16cid:durableId="1639065816">
    <w:abstractNumId w:val="4"/>
  </w:num>
  <w:num w:numId="12" w16cid:durableId="56572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27150"/>
    <w:rsid w:val="000358D2"/>
    <w:rsid w:val="00041111"/>
    <w:rsid w:val="00044966"/>
    <w:rsid w:val="000634AC"/>
    <w:rsid w:val="00072944"/>
    <w:rsid w:val="000811B7"/>
    <w:rsid w:val="00084936"/>
    <w:rsid w:val="00091B06"/>
    <w:rsid w:val="000B1520"/>
    <w:rsid w:val="000B5547"/>
    <w:rsid w:val="000C49FF"/>
    <w:rsid w:val="000C524B"/>
    <w:rsid w:val="000D16A1"/>
    <w:rsid w:val="000D2B0C"/>
    <w:rsid w:val="000F3E1B"/>
    <w:rsid w:val="000F77DA"/>
    <w:rsid w:val="001034F8"/>
    <w:rsid w:val="001068E8"/>
    <w:rsid w:val="001106D8"/>
    <w:rsid w:val="00117BCD"/>
    <w:rsid w:val="0012745E"/>
    <w:rsid w:val="00127A77"/>
    <w:rsid w:val="00135678"/>
    <w:rsid w:val="0014136A"/>
    <w:rsid w:val="00152CEC"/>
    <w:rsid w:val="0015374B"/>
    <w:rsid w:val="00161324"/>
    <w:rsid w:val="00162E19"/>
    <w:rsid w:val="00174E6F"/>
    <w:rsid w:val="001750B0"/>
    <w:rsid w:val="00175F9C"/>
    <w:rsid w:val="001A3275"/>
    <w:rsid w:val="001B712B"/>
    <w:rsid w:val="001D035A"/>
    <w:rsid w:val="001D33F5"/>
    <w:rsid w:val="001D3855"/>
    <w:rsid w:val="001D6F2C"/>
    <w:rsid w:val="001F3367"/>
    <w:rsid w:val="00226579"/>
    <w:rsid w:val="00233177"/>
    <w:rsid w:val="002438BE"/>
    <w:rsid w:val="0026007D"/>
    <w:rsid w:val="00261F5B"/>
    <w:rsid w:val="002627A2"/>
    <w:rsid w:val="00272C5A"/>
    <w:rsid w:val="002743CA"/>
    <w:rsid w:val="00277498"/>
    <w:rsid w:val="002860B7"/>
    <w:rsid w:val="00290F4D"/>
    <w:rsid w:val="002A2FC0"/>
    <w:rsid w:val="002A7987"/>
    <w:rsid w:val="002B13B9"/>
    <w:rsid w:val="002B188F"/>
    <w:rsid w:val="002B3BD8"/>
    <w:rsid w:val="002B412F"/>
    <w:rsid w:val="002C0F7A"/>
    <w:rsid w:val="002C3D7A"/>
    <w:rsid w:val="002D59D1"/>
    <w:rsid w:val="002E25DA"/>
    <w:rsid w:val="002F1D31"/>
    <w:rsid w:val="002F3518"/>
    <w:rsid w:val="002F3F91"/>
    <w:rsid w:val="002F55F5"/>
    <w:rsid w:val="00304767"/>
    <w:rsid w:val="00304B34"/>
    <w:rsid w:val="00307602"/>
    <w:rsid w:val="00312A6F"/>
    <w:rsid w:val="003140E0"/>
    <w:rsid w:val="00315FFF"/>
    <w:rsid w:val="00352D57"/>
    <w:rsid w:val="00357834"/>
    <w:rsid w:val="003609F3"/>
    <w:rsid w:val="00361BAF"/>
    <w:rsid w:val="00362FCE"/>
    <w:rsid w:val="00364927"/>
    <w:rsid w:val="00367D1F"/>
    <w:rsid w:val="00383AD9"/>
    <w:rsid w:val="00393C5B"/>
    <w:rsid w:val="003A6EF9"/>
    <w:rsid w:val="003B4125"/>
    <w:rsid w:val="003B4FC1"/>
    <w:rsid w:val="003B6019"/>
    <w:rsid w:val="003B7499"/>
    <w:rsid w:val="003D585B"/>
    <w:rsid w:val="003E5F9B"/>
    <w:rsid w:val="003E6519"/>
    <w:rsid w:val="003E7DA6"/>
    <w:rsid w:val="003F12FF"/>
    <w:rsid w:val="003F1C89"/>
    <w:rsid w:val="004073EC"/>
    <w:rsid w:val="004224D3"/>
    <w:rsid w:val="00430237"/>
    <w:rsid w:val="004760D4"/>
    <w:rsid w:val="00482180"/>
    <w:rsid w:val="0048249F"/>
    <w:rsid w:val="00494950"/>
    <w:rsid w:val="00494C46"/>
    <w:rsid w:val="00494CAD"/>
    <w:rsid w:val="004A1532"/>
    <w:rsid w:val="004A359F"/>
    <w:rsid w:val="004B43FF"/>
    <w:rsid w:val="004B6790"/>
    <w:rsid w:val="004C070C"/>
    <w:rsid w:val="004C543D"/>
    <w:rsid w:val="004C7089"/>
    <w:rsid w:val="004D7E25"/>
    <w:rsid w:val="004F265B"/>
    <w:rsid w:val="004F67E4"/>
    <w:rsid w:val="00500AC6"/>
    <w:rsid w:val="00502641"/>
    <w:rsid w:val="00507026"/>
    <w:rsid w:val="00513E4C"/>
    <w:rsid w:val="005237E3"/>
    <w:rsid w:val="0054578F"/>
    <w:rsid w:val="00565AF5"/>
    <w:rsid w:val="0056630A"/>
    <w:rsid w:val="00586E53"/>
    <w:rsid w:val="005953FB"/>
    <w:rsid w:val="00597B38"/>
    <w:rsid w:val="005C6768"/>
    <w:rsid w:val="005E4871"/>
    <w:rsid w:val="00601C8A"/>
    <w:rsid w:val="00610F93"/>
    <w:rsid w:val="00617AA2"/>
    <w:rsid w:val="006257E5"/>
    <w:rsid w:val="00634C25"/>
    <w:rsid w:val="0063542E"/>
    <w:rsid w:val="00637469"/>
    <w:rsid w:val="006416AB"/>
    <w:rsid w:val="00646E3C"/>
    <w:rsid w:val="0064742B"/>
    <w:rsid w:val="0065373D"/>
    <w:rsid w:val="00660445"/>
    <w:rsid w:val="00664C91"/>
    <w:rsid w:val="00664F73"/>
    <w:rsid w:val="00666974"/>
    <w:rsid w:val="00670B3B"/>
    <w:rsid w:val="00676177"/>
    <w:rsid w:val="006768E9"/>
    <w:rsid w:val="00687982"/>
    <w:rsid w:val="006B260A"/>
    <w:rsid w:val="006B3EC8"/>
    <w:rsid w:val="006B72B0"/>
    <w:rsid w:val="006D286E"/>
    <w:rsid w:val="006D2906"/>
    <w:rsid w:val="006D695E"/>
    <w:rsid w:val="006E26D8"/>
    <w:rsid w:val="006E63C9"/>
    <w:rsid w:val="006F3D22"/>
    <w:rsid w:val="00705DA8"/>
    <w:rsid w:val="0070698D"/>
    <w:rsid w:val="00725A6A"/>
    <w:rsid w:val="0072638B"/>
    <w:rsid w:val="007673A0"/>
    <w:rsid w:val="007706A6"/>
    <w:rsid w:val="00780D9D"/>
    <w:rsid w:val="00793EB6"/>
    <w:rsid w:val="007943F3"/>
    <w:rsid w:val="007A0583"/>
    <w:rsid w:val="007A738C"/>
    <w:rsid w:val="007B1349"/>
    <w:rsid w:val="007B7B48"/>
    <w:rsid w:val="007D45AC"/>
    <w:rsid w:val="007D4BAB"/>
    <w:rsid w:val="007D517A"/>
    <w:rsid w:val="007E25BD"/>
    <w:rsid w:val="007F5C3C"/>
    <w:rsid w:val="00802C35"/>
    <w:rsid w:val="00816962"/>
    <w:rsid w:val="008210AB"/>
    <w:rsid w:val="0082181A"/>
    <w:rsid w:val="00821953"/>
    <w:rsid w:val="00824412"/>
    <w:rsid w:val="0082457A"/>
    <w:rsid w:val="00824C1A"/>
    <w:rsid w:val="00825624"/>
    <w:rsid w:val="0083587A"/>
    <w:rsid w:val="00853064"/>
    <w:rsid w:val="0086366B"/>
    <w:rsid w:val="00883CC3"/>
    <w:rsid w:val="008B012F"/>
    <w:rsid w:val="008B470E"/>
    <w:rsid w:val="008B5904"/>
    <w:rsid w:val="008C0047"/>
    <w:rsid w:val="008C1C6D"/>
    <w:rsid w:val="008D1880"/>
    <w:rsid w:val="008D29BF"/>
    <w:rsid w:val="008E1211"/>
    <w:rsid w:val="008E5BBF"/>
    <w:rsid w:val="008E6968"/>
    <w:rsid w:val="008F45FE"/>
    <w:rsid w:val="008F7FFA"/>
    <w:rsid w:val="0091237C"/>
    <w:rsid w:val="0091382C"/>
    <w:rsid w:val="00913BDA"/>
    <w:rsid w:val="009211AF"/>
    <w:rsid w:val="00921742"/>
    <w:rsid w:val="0093466C"/>
    <w:rsid w:val="009357B8"/>
    <w:rsid w:val="00943D97"/>
    <w:rsid w:val="00947930"/>
    <w:rsid w:val="00947A3B"/>
    <w:rsid w:val="00947EB9"/>
    <w:rsid w:val="009701C2"/>
    <w:rsid w:val="00971BF5"/>
    <w:rsid w:val="009866F6"/>
    <w:rsid w:val="009B0F4A"/>
    <w:rsid w:val="009B102B"/>
    <w:rsid w:val="009B3139"/>
    <w:rsid w:val="009B5041"/>
    <w:rsid w:val="009D030D"/>
    <w:rsid w:val="009D451E"/>
    <w:rsid w:val="009F5CAD"/>
    <w:rsid w:val="00A0444A"/>
    <w:rsid w:val="00A049C6"/>
    <w:rsid w:val="00A14DB9"/>
    <w:rsid w:val="00A233FC"/>
    <w:rsid w:val="00A32F14"/>
    <w:rsid w:val="00A467B1"/>
    <w:rsid w:val="00A4762A"/>
    <w:rsid w:val="00A64690"/>
    <w:rsid w:val="00A74A7E"/>
    <w:rsid w:val="00A845B8"/>
    <w:rsid w:val="00A85E24"/>
    <w:rsid w:val="00A969D1"/>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0FB3"/>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E20D1"/>
    <w:rsid w:val="00DF1E96"/>
    <w:rsid w:val="00E25547"/>
    <w:rsid w:val="00E30C25"/>
    <w:rsid w:val="00E3287E"/>
    <w:rsid w:val="00E472AC"/>
    <w:rsid w:val="00E54D12"/>
    <w:rsid w:val="00E61C26"/>
    <w:rsid w:val="00E66197"/>
    <w:rsid w:val="00E70637"/>
    <w:rsid w:val="00E7397B"/>
    <w:rsid w:val="00E9038F"/>
    <w:rsid w:val="00EB10CC"/>
    <w:rsid w:val="00EB2ACC"/>
    <w:rsid w:val="00EC2D9C"/>
    <w:rsid w:val="00EC5E32"/>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6218"/>
    <w:rsid w:val="00F4760B"/>
    <w:rsid w:val="00F65AD8"/>
    <w:rsid w:val="00F82059"/>
    <w:rsid w:val="00F82234"/>
    <w:rsid w:val="00F94678"/>
    <w:rsid w:val="00FB44BF"/>
    <w:rsid w:val="00FB4C59"/>
    <w:rsid w:val="00FB6521"/>
    <w:rsid w:val="00FC5284"/>
    <w:rsid w:val="00FC7BB5"/>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93EB6"/>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uiPriority w:val="59"/>
    <w:rsid w:val="00793EB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6218"/>
  </w:style>
  <w:style w:type="table" w:customStyle="1" w:styleId="LightShading12">
    <w:name w:val="Light Shading12"/>
    <w:basedOn w:val="TableNormal"/>
    <w:uiPriority w:val="60"/>
    <w:rsid w:val="00F4621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vision1">
    <w:name w:val="Revision1"/>
    <w:next w:val="Revision"/>
    <w:hidden/>
    <w:uiPriority w:val="99"/>
    <w:semiHidden/>
    <w:rsid w:val="00F46218"/>
    <w:rPr>
      <w:rFonts w:ascii="Calibri" w:eastAsia="SimSun" w:hAnsi="Calibri" w:cs="Arial"/>
      <w:kern w:val="2"/>
      <w:szCs w:val="22"/>
      <w:lang w:val="en-US" w:eastAsia="ko-KR"/>
    </w:rPr>
  </w:style>
  <w:style w:type="paragraph" w:styleId="Revision">
    <w:name w:val="Revision"/>
    <w:hidden/>
    <w:uiPriority w:val="99"/>
    <w:semiHidden/>
    <w:rsid w:val="00F46218"/>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21281</Words>
  <Characters>121306</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142303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Enis Nadia Binti Md Yusof</cp:lastModifiedBy>
  <cp:revision>31</cp:revision>
  <dcterms:created xsi:type="dcterms:W3CDTF">2022-07-28T01:57:00Z</dcterms:created>
  <dcterms:modified xsi:type="dcterms:W3CDTF">2022-08-05T09:35:00Z</dcterms:modified>
</cp:coreProperties>
</file>