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0DD8809" w14:textId="0958D865" w:rsidR="00F01D73" w:rsidRPr="00F01D73" w:rsidRDefault="00F01D73" w:rsidP="00DB0D50">
      <w:pPr>
        <w:spacing w:after="0"/>
        <w:jc w:val="center"/>
        <w:rPr>
          <w:rFonts w:ascii="Times New Roman" w:hAnsi="Times New Roman"/>
          <w:sz w:val="28"/>
          <w:szCs w:val="28"/>
        </w:rPr>
      </w:pPr>
      <w:bookmarkStart w:id="0" w:name="_Hlk109431962"/>
      <w:r w:rsidRPr="00F01D73">
        <w:rPr>
          <w:rFonts w:ascii="Times New Roman" w:hAnsi="Times New Roman"/>
          <w:sz w:val="28"/>
          <w:szCs w:val="28"/>
        </w:rPr>
        <w:t>MAGNETITE-GRAPHENE BASED NANOCOMPOSITES IN ELECTROCHEMISTRY: A BRIEF REVIEW ON</w:t>
      </w:r>
    </w:p>
    <w:p w14:paraId="14D11848" w14:textId="5DB8B269" w:rsidR="006768E9" w:rsidRPr="00F447A7" w:rsidRDefault="00F01D73" w:rsidP="00DB0D50">
      <w:pPr>
        <w:spacing w:after="0"/>
        <w:jc w:val="center"/>
        <w:rPr>
          <w:rFonts w:ascii="Times New Roman" w:hAnsi="Times New Roman"/>
          <w:sz w:val="28"/>
          <w:szCs w:val="28"/>
        </w:rPr>
      </w:pPr>
      <w:r w:rsidRPr="00F01D73">
        <w:rPr>
          <w:rFonts w:ascii="Times New Roman" w:hAnsi="Times New Roman"/>
          <w:sz w:val="28"/>
          <w:szCs w:val="28"/>
        </w:rPr>
        <w:t>THEIR APPLICATIONS</w:t>
      </w:r>
    </w:p>
    <w:bookmarkEnd w:id="0"/>
    <w:p w14:paraId="349D3987" w14:textId="77777777" w:rsidR="006768E9" w:rsidRPr="00F447A7" w:rsidRDefault="006768E9" w:rsidP="00DB0D50">
      <w:pPr>
        <w:spacing w:after="0"/>
        <w:jc w:val="center"/>
        <w:rPr>
          <w:rFonts w:ascii="Times New Roman" w:hAnsi="Times New Roman"/>
          <w:noProof/>
          <w:sz w:val="24"/>
          <w:szCs w:val="24"/>
          <w:lang w:bidi="ar-SA"/>
        </w:rPr>
      </w:pPr>
    </w:p>
    <w:p w14:paraId="53A1C91E" w14:textId="77777777" w:rsidR="007F5C3C" w:rsidRPr="007F5C3C" w:rsidRDefault="007F5C3C" w:rsidP="00DB0D50">
      <w:pPr>
        <w:spacing w:after="0"/>
        <w:jc w:val="center"/>
        <w:rPr>
          <w:rFonts w:ascii="Times New Roman" w:hAnsi="Times New Roman"/>
          <w:bCs/>
          <w:sz w:val="20"/>
          <w:szCs w:val="20"/>
          <w:lang w:val="en-MY" w:eastAsia="en-GB" w:bidi="ar-SA"/>
        </w:rPr>
      </w:pPr>
      <w:r w:rsidRPr="007F5C3C">
        <w:rPr>
          <w:rFonts w:ascii="Times New Roman" w:hAnsi="Times New Roman"/>
          <w:bCs/>
          <w:sz w:val="24"/>
          <w:szCs w:val="24"/>
          <w:lang w:val="en-MY" w:eastAsia="en-GB" w:bidi="ar-SA"/>
        </w:rPr>
        <w:t>(Nanokomposit Magnetit-Grafin dalam Elektrokimia: Ulasan Ringkas dalam Aplikasinya)</w:t>
      </w:r>
    </w:p>
    <w:p w14:paraId="00AD5C3E" w14:textId="77777777" w:rsidR="007F5C3C" w:rsidRPr="007F5C3C" w:rsidRDefault="007F5C3C" w:rsidP="00DB0D50">
      <w:pPr>
        <w:spacing w:after="0"/>
        <w:jc w:val="center"/>
        <w:rPr>
          <w:rFonts w:ascii="Times New Roman" w:hAnsi="Times New Roman"/>
          <w:b/>
          <w:sz w:val="20"/>
          <w:szCs w:val="20"/>
          <w:lang w:val="en-MY" w:eastAsia="en-GB" w:bidi="ar-SA"/>
        </w:rPr>
      </w:pPr>
    </w:p>
    <w:p w14:paraId="15B86FEC" w14:textId="77777777" w:rsidR="007F5C3C" w:rsidRPr="007F5C3C" w:rsidRDefault="007F5C3C" w:rsidP="00DB0D50">
      <w:pPr>
        <w:spacing w:after="0"/>
        <w:jc w:val="center"/>
        <w:rPr>
          <w:rFonts w:ascii="Times New Roman" w:eastAsia="Calibri" w:hAnsi="Times New Roman"/>
          <w:sz w:val="20"/>
          <w:szCs w:val="20"/>
          <w:lang w:bidi="ar-SA"/>
        </w:rPr>
      </w:pPr>
      <w:r w:rsidRPr="007F5C3C">
        <w:rPr>
          <w:rFonts w:ascii="Times New Roman" w:eastAsia="Calibri" w:hAnsi="Times New Roman"/>
          <w:sz w:val="20"/>
          <w:szCs w:val="20"/>
          <w:lang w:bidi="ar-SA"/>
        </w:rPr>
        <w:t>Farhanini Yusoff</w:t>
      </w:r>
      <w:r w:rsidRPr="007F5C3C">
        <w:rPr>
          <w:rFonts w:ascii="Times New Roman" w:eastAsia="Calibri" w:hAnsi="Times New Roman"/>
          <w:sz w:val="20"/>
          <w:szCs w:val="20"/>
          <w:vertAlign w:val="superscript"/>
          <w:lang w:bidi="ar-SA"/>
        </w:rPr>
        <w:t>1*</w:t>
      </w:r>
      <w:r w:rsidRPr="007F5C3C">
        <w:rPr>
          <w:rFonts w:ascii="Times New Roman" w:eastAsia="Calibri" w:hAnsi="Times New Roman"/>
          <w:sz w:val="20"/>
          <w:szCs w:val="20"/>
          <w:lang w:bidi="ar-SA"/>
        </w:rPr>
        <w:t>, Karthi Suresh</w:t>
      </w:r>
      <w:r w:rsidRPr="007F5C3C">
        <w:rPr>
          <w:rFonts w:ascii="Times New Roman" w:eastAsia="Calibri" w:hAnsi="Times New Roman"/>
          <w:sz w:val="20"/>
          <w:szCs w:val="20"/>
          <w:vertAlign w:val="superscript"/>
          <w:lang w:bidi="ar-SA"/>
        </w:rPr>
        <w:t>1,5</w:t>
      </w:r>
      <w:r w:rsidRPr="007F5C3C">
        <w:rPr>
          <w:rFonts w:ascii="Times New Roman" w:eastAsia="Calibri" w:hAnsi="Times New Roman"/>
          <w:sz w:val="20"/>
          <w:szCs w:val="20"/>
          <w:lang w:bidi="ar-SA"/>
        </w:rPr>
        <w:t>, Azleen Rashidah Mohd Rosli</w:t>
      </w:r>
      <w:r w:rsidRPr="007F5C3C">
        <w:rPr>
          <w:rFonts w:ascii="Times New Roman" w:eastAsia="Calibri" w:hAnsi="Times New Roman"/>
          <w:sz w:val="20"/>
          <w:szCs w:val="20"/>
          <w:vertAlign w:val="superscript"/>
          <w:lang w:bidi="ar-SA"/>
        </w:rPr>
        <w:t>1</w:t>
      </w:r>
      <w:r w:rsidRPr="007F5C3C">
        <w:rPr>
          <w:rFonts w:ascii="Times New Roman" w:eastAsia="Calibri" w:hAnsi="Times New Roman"/>
          <w:sz w:val="20"/>
          <w:szCs w:val="20"/>
          <w:lang w:bidi="ar-SA"/>
        </w:rPr>
        <w:t>, Nur Ayunie Kamaruzaman</w:t>
      </w:r>
      <w:r w:rsidRPr="007F5C3C">
        <w:rPr>
          <w:rFonts w:ascii="Times New Roman" w:eastAsia="Calibri" w:hAnsi="Times New Roman"/>
          <w:sz w:val="20"/>
          <w:szCs w:val="20"/>
          <w:vertAlign w:val="superscript"/>
          <w:lang w:bidi="ar-SA"/>
        </w:rPr>
        <w:t>1</w:t>
      </w:r>
      <w:r w:rsidRPr="007F5C3C">
        <w:rPr>
          <w:rFonts w:ascii="Times New Roman" w:eastAsia="Calibri" w:hAnsi="Times New Roman"/>
          <w:sz w:val="20"/>
          <w:szCs w:val="20"/>
          <w:lang w:bidi="ar-SA"/>
        </w:rPr>
        <w:t xml:space="preserve">, </w:t>
      </w:r>
      <w:r w:rsidRPr="007F5C3C">
        <w:rPr>
          <w:rFonts w:ascii="Times New Roman" w:eastAsia="Calibri" w:hAnsi="Times New Roman"/>
          <w:sz w:val="20"/>
          <w:szCs w:val="20"/>
          <w:lang w:bidi="ar-SA"/>
        </w:rPr>
        <w:br/>
        <w:t>Noorashikin Md Saleh</w:t>
      </w:r>
      <w:r w:rsidRPr="007F5C3C">
        <w:rPr>
          <w:rFonts w:ascii="Times New Roman" w:eastAsia="Calibri" w:hAnsi="Times New Roman"/>
          <w:sz w:val="20"/>
          <w:szCs w:val="20"/>
          <w:vertAlign w:val="superscript"/>
          <w:lang w:bidi="ar-SA"/>
        </w:rPr>
        <w:t>2</w:t>
      </w:r>
      <w:r w:rsidRPr="007F5C3C">
        <w:rPr>
          <w:rFonts w:ascii="Times New Roman" w:eastAsia="Calibri" w:hAnsi="Times New Roman"/>
          <w:sz w:val="20"/>
          <w:szCs w:val="20"/>
          <w:lang w:bidi="ar-SA"/>
        </w:rPr>
        <w:t>, Muggundha Raoov Ramachandran</w:t>
      </w:r>
      <w:r w:rsidRPr="007F5C3C">
        <w:rPr>
          <w:rFonts w:ascii="Times New Roman" w:eastAsia="Calibri" w:hAnsi="Times New Roman"/>
          <w:sz w:val="20"/>
          <w:szCs w:val="20"/>
          <w:vertAlign w:val="superscript"/>
          <w:lang w:bidi="ar-SA"/>
        </w:rPr>
        <w:t>3</w:t>
      </w:r>
      <w:r w:rsidRPr="007F5C3C">
        <w:rPr>
          <w:rFonts w:ascii="Times New Roman" w:eastAsia="Calibri" w:hAnsi="Times New Roman"/>
          <w:sz w:val="20"/>
          <w:szCs w:val="20"/>
          <w:lang w:bidi="ar-SA"/>
        </w:rPr>
        <w:t>, Nur Nadhirah Mohamad Zain</w:t>
      </w:r>
      <w:r w:rsidRPr="007F5C3C">
        <w:rPr>
          <w:rFonts w:ascii="Times New Roman" w:eastAsia="Calibri" w:hAnsi="Times New Roman"/>
          <w:sz w:val="20"/>
          <w:szCs w:val="20"/>
          <w:vertAlign w:val="superscript"/>
          <w:lang w:bidi="ar-SA"/>
        </w:rPr>
        <w:t>4</w:t>
      </w:r>
      <w:r w:rsidRPr="007F5C3C">
        <w:rPr>
          <w:rFonts w:ascii="Times New Roman" w:eastAsia="Calibri" w:hAnsi="Times New Roman"/>
          <w:sz w:val="20"/>
          <w:szCs w:val="20"/>
          <w:lang w:bidi="ar-SA"/>
        </w:rPr>
        <w:t xml:space="preserve"> </w:t>
      </w:r>
    </w:p>
    <w:p w14:paraId="5FAA6974" w14:textId="77777777" w:rsidR="007F5C3C" w:rsidRPr="007F5C3C" w:rsidRDefault="007F5C3C" w:rsidP="00DB0D50">
      <w:pPr>
        <w:spacing w:after="0"/>
        <w:jc w:val="center"/>
        <w:rPr>
          <w:rFonts w:ascii="Times New Roman" w:eastAsia="Calibri" w:hAnsi="Times New Roman"/>
          <w:i/>
          <w:sz w:val="18"/>
          <w:szCs w:val="18"/>
          <w:lang w:bidi="ar-SA"/>
        </w:rPr>
      </w:pPr>
      <w:r w:rsidRPr="007F5C3C">
        <w:rPr>
          <w:rFonts w:ascii="Times New Roman" w:eastAsia="Calibri" w:hAnsi="Times New Roman"/>
          <w:i/>
          <w:sz w:val="18"/>
          <w:szCs w:val="18"/>
          <w:vertAlign w:val="superscript"/>
          <w:lang w:bidi="ar-SA"/>
        </w:rPr>
        <w:t>1</w:t>
      </w:r>
      <w:r w:rsidRPr="007F5C3C">
        <w:rPr>
          <w:rFonts w:ascii="Times New Roman" w:eastAsia="Calibri" w:hAnsi="Times New Roman"/>
          <w:i/>
          <w:sz w:val="18"/>
          <w:szCs w:val="18"/>
          <w:lang w:bidi="ar-SA"/>
        </w:rPr>
        <w:t xml:space="preserve">Faculty of Science and Marine Environment, </w:t>
      </w:r>
    </w:p>
    <w:p w14:paraId="279C7FBD" w14:textId="77777777" w:rsidR="007F5C3C" w:rsidRPr="007F5C3C" w:rsidRDefault="007F5C3C" w:rsidP="00DB0D50">
      <w:pPr>
        <w:spacing w:after="0"/>
        <w:jc w:val="center"/>
        <w:rPr>
          <w:rFonts w:ascii="Times New Roman" w:eastAsia="Calibri" w:hAnsi="Times New Roman"/>
          <w:i/>
          <w:sz w:val="18"/>
          <w:szCs w:val="18"/>
          <w:lang w:bidi="ar-SA"/>
        </w:rPr>
      </w:pPr>
      <w:r w:rsidRPr="007F5C3C">
        <w:rPr>
          <w:rFonts w:ascii="Times New Roman" w:eastAsia="Calibri" w:hAnsi="Times New Roman"/>
          <w:i/>
          <w:sz w:val="18"/>
          <w:szCs w:val="18"/>
          <w:lang w:bidi="ar-SA"/>
        </w:rPr>
        <w:t>Universiti Malaysia Terengganu, 21030 Kuala Terengganu, Terengganu, Malaysia.</w:t>
      </w:r>
    </w:p>
    <w:p w14:paraId="39DD49BB" w14:textId="77777777" w:rsidR="007F5C3C" w:rsidRPr="007F5C3C" w:rsidRDefault="007F5C3C" w:rsidP="00DB0D50">
      <w:pPr>
        <w:spacing w:after="0"/>
        <w:jc w:val="center"/>
        <w:rPr>
          <w:rFonts w:ascii="Times New Roman" w:eastAsia="Calibri" w:hAnsi="Times New Roman"/>
          <w:i/>
          <w:sz w:val="18"/>
          <w:szCs w:val="18"/>
          <w:lang w:val="en-MY" w:bidi="ar-SA"/>
        </w:rPr>
      </w:pPr>
      <w:r w:rsidRPr="007F5C3C">
        <w:rPr>
          <w:rFonts w:ascii="Times New Roman" w:eastAsia="Calibri" w:hAnsi="Times New Roman"/>
          <w:i/>
          <w:sz w:val="18"/>
          <w:szCs w:val="18"/>
          <w:vertAlign w:val="superscript"/>
          <w:lang w:val="en-MY" w:bidi="ar-SA"/>
        </w:rPr>
        <w:t>2</w:t>
      </w:r>
      <w:r w:rsidRPr="007F5C3C">
        <w:rPr>
          <w:rFonts w:ascii="Times New Roman" w:eastAsia="Calibri" w:hAnsi="Times New Roman"/>
          <w:i/>
          <w:sz w:val="18"/>
          <w:szCs w:val="18"/>
          <w:lang w:val="en-MY" w:bidi="ar-SA"/>
        </w:rPr>
        <w:t xml:space="preserve">Department of Chemical and Process Engineering, </w:t>
      </w:r>
    </w:p>
    <w:p w14:paraId="79625D20" w14:textId="77777777" w:rsidR="007F5C3C" w:rsidRPr="007F5C3C" w:rsidRDefault="007F5C3C" w:rsidP="00DB0D50">
      <w:pPr>
        <w:spacing w:after="0"/>
        <w:jc w:val="center"/>
        <w:rPr>
          <w:rFonts w:ascii="Times New Roman" w:eastAsia="Calibri" w:hAnsi="Times New Roman"/>
          <w:i/>
          <w:sz w:val="18"/>
          <w:szCs w:val="18"/>
          <w:lang w:val="en-MY" w:bidi="ar-SA"/>
        </w:rPr>
      </w:pPr>
      <w:r w:rsidRPr="007F5C3C">
        <w:rPr>
          <w:rFonts w:ascii="Times New Roman" w:eastAsia="Calibri" w:hAnsi="Times New Roman"/>
          <w:i/>
          <w:sz w:val="18"/>
          <w:szCs w:val="18"/>
          <w:lang w:val="en-MY" w:bidi="ar-SA"/>
        </w:rPr>
        <w:t>Universiti Kebangsaan Malaysia, 43600 Bangi, Selangor, Malaysia </w:t>
      </w:r>
    </w:p>
    <w:p w14:paraId="4D9B9ECB" w14:textId="77777777" w:rsidR="007F5C3C" w:rsidRPr="007F5C3C" w:rsidRDefault="007F5C3C" w:rsidP="00DB0D50">
      <w:pPr>
        <w:spacing w:after="0"/>
        <w:jc w:val="center"/>
        <w:rPr>
          <w:rFonts w:ascii="Times New Roman" w:eastAsia="Calibri" w:hAnsi="Times New Roman"/>
          <w:i/>
          <w:sz w:val="18"/>
          <w:szCs w:val="18"/>
          <w:lang w:val="en-MY" w:bidi="ar-SA"/>
        </w:rPr>
      </w:pPr>
      <w:r w:rsidRPr="007F5C3C">
        <w:rPr>
          <w:rFonts w:ascii="Times New Roman" w:eastAsia="Calibri" w:hAnsi="Times New Roman"/>
          <w:i/>
          <w:sz w:val="18"/>
          <w:szCs w:val="18"/>
          <w:vertAlign w:val="superscript"/>
          <w:lang w:val="en-MY" w:bidi="ar-SA"/>
        </w:rPr>
        <w:t>3</w:t>
      </w:r>
      <w:r w:rsidRPr="007F5C3C">
        <w:rPr>
          <w:rFonts w:ascii="Times New Roman" w:eastAsia="Calibri" w:hAnsi="Times New Roman"/>
          <w:i/>
          <w:sz w:val="18"/>
          <w:szCs w:val="18"/>
          <w:lang w:val="en-MY" w:bidi="ar-SA"/>
        </w:rPr>
        <w:t xml:space="preserve">Chemistry Department, </w:t>
      </w:r>
    </w:p>
    <w:p w14:paraId="6627A97C" w14:textId="77777777" w:rsidR="007F5C3C" w:rsidRPr="007F5C3C" w:rsidRDefault="007F5C3C" w:rsidP="00DB0D50">
      <w:pPr>
        <w:spacing w:after="0"/>
        <w:jc w:val="center"/>
        <w:rPr>
          <w:rFonts w:ascii="Times New Roman" w:eastAsia="Calibri" w:hAnsi="Times New Roman"/>
          <w:i/>
          <w:sz w:val="18"/>
          <w:szCs w:val="18"/>
          <w:lang w:val="en-MY" w:bidi="ar-SA"/>
        </w:rPr>
      </w:pPr>
      <w:r w:rsidRPr="007F5C3C">
        <w:rPr>
          <w:rFonts w:ascii="Times New Roman" w:eastAsia="Calibri" w:hAnsi="Times New Roman"/>
          <w:i/>
          <w:sz w:val="18"/>
          <w:szCs w:val="18"/>
          <w:lang w:val="en-MY" w:bidi="ar-SA"/>
        </w:rPr>
        <w:t xml:space="preserve">Faculty of Science, </w:t>
      </w:r>
    </w:p>
    <w:p w14:paraId="1A9DEECA" w14:textId="77777777" w:rsidR="007F5C3C" w:rsidRPr="007F5C3C" w:rsidRDefault="007F5C3C" w:rsidP="00DB0D50">
      <w:pPr>
        <w:spacing w:after="0"/>
        <w:jc w:val="center"/>
        <w:rPr>
          <w:rFonts w:ascii="Times New Roman" w:eastAsia="Calibri" w:hAnsi="Times New Roman"/>
          <w:i/>
          <w:sz w:val="18"/>
          <w:szCs w:val="18"/>
          <w:lang w:val="en-MY" w:bidi="ar-SA"/>
        </w:rPr>
      </w:pPr>
      <w:r w:rsidRPr="007F5C3C">
        <w:rPr>
          <w:rFonts w:ascii="Times New Roman" w:eastAsia="Calibri" w:hAnsi="Times New Roman"/>
          <w:i/>
          <w:sz w:val="18"/>
          <w:szCs w:val="18"/>
          <w:lang w:val="en-MY" w:bidi="ar-SA"/>
        </w:rPr>
        <w:t>University of Malaya, 50603 Kuala Lumpur, Malaysia.</w:t>
      </w:r>
    </w:p>
    <w:p w14:paraId="37DE6EB6" w14:textId="77777777" w:rsidR="007F5C3C" w:rsidRPr="007F5C3C" w:rsidRDefault="007F5C3C" w:rsidP="00DB0D50">
      <w:pPr>
        <w:spacing w:after="0"/>
        <w:jc w:val="center"/>
        <w:rPr>
          <w:rFonts w:ascii="Times New Roman" w:eastAsia="Calibri" w:hAnsi="Times New Roman"/>
          <w:i/>
          <w:sz w:val="18"/>
          <w:szCs w:val="18"/>
          <w:lang w:val="en-MY" w:bidi="ar-SA"/>
        </w:rPr>
      </w:pPr>
      <w:r w:rsidRPr="007F5C3C">
        <w:rPr>
          <w:rFonts w:ascii="Times New Roman" w:eastAsia="Calibri" w:hAnsi="Times New Roman"/>
          <w:i/>
          <w:sz w:val="18"/>
          <w:szCs w:val="18"/>
          <w:vertAlign w:val="superscript"/>
          <w:lang w:val="en-MY" w:bidi="ar-SA"/>
        </w:rPr>
        <w:t>4</w:t>
      </w:r>
      <w:r w:rsidRPr="007F5C3C">
        <w:rPr>
          <w:rFonts w:ascii="Times New Roman" w:eastAsia="Calibri" w:hAnsi="Times New Roman"/>
          <w:i/>
          <w:sz w:val="18"/>
          <w:szCs w:val="18"/>
          <w:lang w:val="en-MY" w:bidi="ar-SA"/>
        </w:rPr>
        <w:t xml:space="preserve">Advanced Medical &amp; Dental Institute, </w:t>
      </w:r>
    </w:p>
    <w:p w14:paraId="6B49FFDA" w14:textId="77777777" w:rsidR="007F5C3C" w:rsidRPr="007F5C3C" w:rsidRDefault="007F5C3C" w:rsidP="00DB0D50">
      <w:pPr>
        <w:spacing w:after="0"/>
        <w:jc w:val="center"/>
        <w:rPr>
          <w:rFonts w:ascii="Times New Roman" w:eastAsia="Calibri" w:hAnsi="Times New Roman"/>
          <w:i/>
          <w:sz w:val="18"/>
          <w:szCs w:val="18"/>
          <w:lang w:val="en-MY" w:bidi="ar-SA"/>
        </w:rPr>
      </w:pPr>
      <w:r w:rsidRPr="007F5C3C">
        <w:rPr>
          <w:rFonts w:ascii="Times New Roman" w:eastAsia="Calibri" w:hAnsi="Times New Roman"/>
          <w:i/>
          <w:sz w:val="18"/>
          <w:szCs w:val="18"/>
          <w:lang w:val="en-MY" w:bidi="ar-SA"/>
        </w:rPr>
        <w:t>Universiti Sains Malaysia, Bertam 13200 Kepala Batas, Pulau Pinang Malaysia.</w:t>
      </w:r>
      <w:r w:rsidRPr="007F5C3C">
        <w:rPr>
          <w:rFonts w:ascii="Times New Roman" w:eastAsia="Calibri" w:hAnsi="Times New Roman"/>
          <w:i/>
          <w:sz w:val="18"/>
          <w:szCs w:val="18"/>
          <w:lang w:val="en-MY" w:bidi="ar-SA"/>
        </w:rPr>
        <w:br/>
      </w:r>
      <w:r w:rsidRPr="007F5C3C">
        <w:rPr>
          <w:rFonts w:ascii="Times New Roman" w:eastAsia="Calibri" w:hAnsi="Times New Roman"/>
          <w:i/>
          <w:sz w:val="18"/>
          <w:szCs w:val="18"/>
          <w:vertAlign w:val="superscript"/>
          <w:lang w:val="en-MY" w:bidi="ar-SA"/>
        </w:rPr>
        <w:t>5</w:t>
      </w:r>
      <w:r w:rsidRPr="007F5C3C">
        <w:rPr>
          <w:rFonts w:ascii="Times New Roman" w:eastAsia="Calibri" w:hAnsi="Times New Roman"/>
          <w:i/>
          <w:sz w:val="18"/>
          <w:szCs w:val="18"/>
          <w:lang w:val="en-MY" w:bidi="ar-SA"/>
        </w:rPr>
        <w:t xml:space="preserve">Adcertech Sdn Bhd, </w:t>
      </w:r>
    </w:p>
    <w:p w14:paraId="10E92FD5" w14:textId="77777777" w:rsidR="007F5C3C" w:rsidRPr="007F5C3C" w:rsidRDefault="007F5C3C" w:rsidP="00DB0D50">
      <w:pPr>
        <w:spacing w:after="0"/>
        <w:jc w:val="center"/>
        <w:rPr>
          <w:rFonts w:ascii="Times New Roman" w:eastAsia="Calibri" w:hAnsi="Times New Roman"/>
          <w:i/>
          <w:sz w:val="18"/>
          <w:szCs w:val="18"/>
          <w:lang w:bidi="ar-SA"/>
        </w:rPr>
      </w:pPr>
      <w:r w:rsidRPr="007F5C3C">
        <w:rPr>
          <w:rFonts w:ascii="Times New Roman" w:eastAsia="Calibri" w:hAnsi="Times New Roman"/>
          <w:i/>
          <w:sz w:val="18"/>
          <w:szCs w:val="18"/>
          <w:lang w:val="en-MY" w:bidi="ar-SA"/>
        </w:rPr>
        <w:t>Plot 2,Taman Meru Industrial Estate, Jelapang, 30020 Ipoh, Perak, Malaysia.</w:t>
      </w:r>
    </w:p>
    <w:p w14:paraId="5CDCA591" w14:textId="77777777" w:rsidR="007F5C3C" w:rsidRPr="007F5C3C" w:rsidRDefault="007F5C3C" w:rsidP="00DB0D50">
      <w:pPr>
        <w:spacing w:after="0"/>
        <w:jc w:val="center"/>
        <w:rPr>
          <w:rFonts w:ascii="Times New Roman" w:eastAsia="Calibri" w:hAnsi="Times New Roman"/>
          <w:i/>
          <w:sz w:val="14"/>
          <w:szCs w:val="18"/>
          <w:lang w:bidi="ar-SA"/>
        </w:rPr>
      </w:pPr>
    </w:p>
    <w:p w14:paraId="17C88571" w14:textId="77777777" w:rsidR="007F5C3C" w:rsidRPr="007F5C3C" w:rsidRDefault="007F5C3C" w:rsidP="00DB0D50">
      <w:pPr>
        <w:spacing w:after="0"/>
        <w:jc w:val="center"/>
        <w:rPr>
          <w:rFonts w:ascii="Times New Roman" w:eastAsia="Calibri" w:hAnsi="Times New Roman"/>
          <w:i/>
          <w:sz w:val="18"/>
          <w:szCs w:val="18"/>
          <w:lang w:bidi="ar-SA"/>
        </w:rPr>
      </w:pPr>
      <w:r w:rsidRPr="007F5C3C">
        <w:rPr>
          <w:rFonts w:ascii="Times New Roman" w:eastAsia="Calibri" w:hAnsi="Times New Roman"/>
          <w:i/>
          <w:sz w:val="18"/>
          <w:szCs w:val="18"/>
          <w:lang w:bidi="ar-SA"/>
        </w:rPr>
        <w:t>*Corresponding author:</w:t>
      </w:r>
      <w:r w:rsidRPr="007F5C3C">
        <w:rPr>
          <w:rFonts w:ascii="Times New Roman" w:eastAsia="Calibri" w:hAnsi="Times New Roman"/>
          <w:i/>
          <w:sz w:val="18"/>
          <w:szCs w:val="18"/>
          <w:vertAlign w:val="superscript"/>
          <w:lang w:bidi="ar-SA"/>
        </w:rPr>
        <w:t xml:space="preserve"> </w:t>
      </w:r>
      <w:hyperlink r:id="rId9" w:history="1">
        <w:r w:rsidRPr="007F5C3C">
          <w:rPr>
            <w:rFonts w:ascii="Times New Roman" w:eastAsia="Calibri" w:hAnsi="Times New Roman"/>
            <w:i/>
            <w:sz w:val="18"/>
            <w:szCs w:val="18"/>
            <w:lang w:bidi="ar-SA"/>
          </w:rPr>
          <w:t>farhanini@umt.edu.my</w:t>
        </w:r>
      </w:hyperlink>
      <w:r w:rsidRPr="007F5C3C">
        <w:rPr>
          <w:rFonts w:ascii="Times New Roman" w:eastAsia="Calibri" w:hAnsi="Times New Roman"/>
          <w:i/>
          <w:sz w:val="18"/>
          <w:szCs w:val="18"/>
          <w:lang w:bidi="ar-SA"/>
        </w:rPr>
        <w:t xml:space="preserve"> </w:t>
      </w:r>
    </w:p>
    <w:p w14:paraId="605ADCCB" w14:textId="77777777" w:rsidR="006768E9" w:rsidRPr="00F447A7" w:rsidRDefault="006768E9" w:rsidP="00DB0D50">
      <w:pPr>
        <w:spacing w:after="0"/>
        <w:jc w:val="center"/>
        <w:rPr>
          <w:rFonts w:ascii="Times New Roman" w:hAnsi="Times New Roman"/>
          <w:noProof/>
          <w:sz w:val="18"/>
          <w:szCs w:val="18"/>
          <w:lang w:bidi="ar-SA"/>
        </w:rPr>
      </w:pPr>
    </w:p>
    <w:p w14:paraId="18D54BE3" w14:textId="77777777" w:rsidR="006768E9" w:rsidRDefault="006768E9" w:rsidP="00DB0D50">
      <w:pPr>
        <w:spacing w:after="0"/>
        <w:jc w:val="center"/>
        <w:rPr>
          <w:rFonts w:ascii="Times New Roman" w:hAnsi="Times New Roman"/>
          <w:noProof/>
          <w:sz w:val="18"/>
          <w:szCs w:val="18"/>
          <w:lang w:bidi="ar-SA"/>
        </w:rPr>
      </w:pPr>
    </w:p>
    <w:p w14:paraId="49CD0BC5" w14:textId="10FD3FE9" w:rsidR="00BA1F7B" w:rsidRDefault="00BA1F7B" w:rsidP="00DB0D50">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DB0D50">
        <w:rPr>
          <w:rFonts w:ascii="Times New Roman" w:hAnsi="Times New Roman"/>
          <w:noProof/>
          <w:sz w:val="18"/>
          <w:szCs w:val="18"/>
          <w:lang w:bidi="ar-SA"/>
        </w:rPr>
        <w:t>5 January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22 March</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430237">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p>
    <w:p w14:paraId="5A496945" w14:textId="77777777" w:rsidR="00BA1F7B" w:rsidRDefault="00BA1F7B" w:rsidP="00DB0D50">
      <w:pPr>
        <w:spacing w:after="0"/>
        <w:jc w:val="center"/>
        <w:rPr>
          <w:rFonts w:ascii="Times New Roman" w:hAnsi="Times New Roman"/>
          <w:noProof/>
          <w:sz w:val="18"/>
          <w:szCs w:val="18"/>
          <w:lang w:bidi="ar-SA"/>
        </w:rPr>
      </w:pPr>
    </w:p>
    <w:p w14:paraId="4D585AB3" w14:textId="77777777" w:rsidR="00BA1F7B" w:rsidRPr="00F447A7" w:rsidRDefault="00BA1F7B" w:rsidP="00DB0D50">
      <w:pPr>
        <w:spacing w:after="0"/>
        <w:jc w:val="center"/>
        <w:rPr>
          <w:rFonts w:ascii="Times New Roman" w:hAnsi="Times New Roman"/>
          <w:noProof/>
          <w:sz w:val="18"/>
          <w:szCs w:val="18"/>
          <w:lang w:bidi="ar-SA"/>
        </w:rPr>
      </w:pPr>
    </w:p>
    <w:p w14:paraId="15CD722E" w14:textId="77777777" w:rsidR="002F3518" w:rsidRPr="002F3518" w:rsidRDefault="002F3518" w:rsidP="002F3518">
      <w:pPr>
        <w:spacing w:after="0"/>
        <w:jc w:val="center"/>
        <w:rPr>
          <w:rFonts w:ascii="Times New Roman" w:hAnsi="Times New Roman"/>
          <w:b/>
          <w:sz w:val="18"/>
          <w:szCs w:val="18"/>
          <w:lang w:val="en-MY" w:eastAsia="en-GB" w:bidi="ar-SA"/>
        </w:rPr>
      </w:pPr>
      <w:r w:rsidRPr="002F3518">
        <w:rPr>
          <w:rFonts w:ascii="Times New Roman" w:hAnsi="Times New Roman"/>
          <w:b/>
          <w:sz w:val="18"/>
          <w:szCs w:val="18"/>
          <w:lang w:val="en-MY" w:eastAsia="en-GB" w:bidi="ar-SA"/>
        </w:rPr>
        <w:t>Abstract</w:t>
      </w:r>
    </w:p>
    <w:p w14:paraId="05A21E37" w14:textId="77777777"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sz w:val="18"/>
          <w:szCs w:val="18"/>
          <w:lang w:val="en-MY" w:eastAsia="en-GB" w:bidi="ar-SA"/>
        </w:rPr>
        <w:t>Magnetite incorporates graphene or its derivatives, graphene oxide, or reduced graphene oxide, has received significant attention for its superior features, such as unique structure and large surface area with great number of active sites. The nanocomposite is priorly used in biosensors and biomedical for drug study. Many researchers currently opt for the nanocomposite in various electrochemistry applications as the first-rate material for said applicative fields due to its environmental-friendly nature and inexpensive production cost. This paper reviews the advantages of magnetic graphene-based material and its applications. The scope of this review is to highlight important justifications of electrochemical applications. A comprehensive discussion of the nanocomposite's physical and electrochemical properties, as well as its stability and reusability, are presented.</w:t>
      </w:r>
    </w:p>
    <w:p w14:paraId="376DCCBE" w14:textId="77777777" w:rsidR="002F3518" w:rsidRPr="002F3518" w:rsidRDefault="002F3518" w:rsidP="002F3518">
      <w:pPr>
        <w:spacing w:after="0"/>
        <w:jc w:val="both"/>
        <w:rPr>
          <w:rFonts w:ascii="Times New Roman" w:hAnsi="Times New Roman"/>
          <w:sz w:val="18"/>
          <w:szCs w:val="18"/>
          <w:lang w:val="en-MY" w:eastAsia="en-GB" w:bidi="ar-SA"/>
        </w:rPr>
      </w:pPr>
    </w:p>
    <w:p w14:paraId="0A5467AC" w14:textId="77777777"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b/>
          <w:sz w:val="18"/>
          <w:szCs w:val="18"/>
          <w:lang w:val="en-MY" w:eastAsia="en-GB" w:bidi="ar-SA"/>
        </w:rPr>
        <w:t xml:space="preserve">Keywords: </w:t>
      </w:r>
      <w:r w:rsidRPr="002F3518">
        <w:rPr>
          <w:rFonts w:ascii="Times New Roman" w:hAnsi="Times New Roman"/>
          <w:sz w:val="18"/>
          <w:szCs w:val="18"/>
          <w:lang w:val="en-MY" w:eastAsia="en-GB" w:bidi="ar-SA"/>
        </w:rPr>
        <w:t>magnetite, graphene, electrochemical, eco-friendly, electrode</w:t>
      </w:r>
    </w:p>
    <w:p w14:paraId="6319F25F" w14:textId="77777777" w:rsidR="002F3518" w:rsidRPr="002F3518" w:rsidRDefault="002F3518" w:rsidP="002F3518">
      <w:pPr>
        <w:spacing w:after="0"/>
        <w:jc w:val="both"/>
        <w:rPr>
          <w:rFonts w:ascii="Times New Roman" w:hAnsi="Times New Roman"/>
          <w:sz w:val="18"/>
          <w:szCs w:val="18"/>
          <w:lang w:val="en-MY" w:eastAsia="en-GB" w:bidi="ar-SA"/>
        </w:rPr>
      </w:pPr>
    </w:p>
    <w:p w14:paraId="75740BE3" w14:textId="77777777" w:rsidR="002F3518" w:rsidRPr="002F3518" w:rsidRDefault="002F3518" w:rsidP="002F3518">
      <w:pPr>
        <w:spacing w:after="0"/>
        <w:jc w:val="center"/>
        <w:rPr>
          <w:rFonts w:ascii="Times New Roman" w:hAnsi="Times New Roman"/>
          <w:b/>
          <w:sz w:val="18"/>
          <w:szCs w:val="18"/>
          <w:lang w:val="en-MY" w:eastAsia="en-GB" w:bidi="ar-SA"/>
        </w:rPr>
      </w:pPr>
      <w:r w:rsidRPr="002F3518">
        <w:rPr>
          <w:rFonts w:ascii="Times New Roman" w:hAnsi="Times New Roman"/>
          <w:b/>
          <w:sz w:val="18"/>
          <w:szCs w:val="18"/>
          <w:lang w:val="en-MY" w:eastAsia="en-GB" w:bidi="ar-SA"/>
        </w:rPr>
        <w:t>Abstract</w:t>
      </w:r>
    </w:p>
    <w:p w14:paraId="7FF8FA73" w14:textId="77777777"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sz w:val="18"/>
          <w:szCs w:val="18"/>
          <w:lang w:val="en-MY" w:eastAsia="en-GB" w:bidi="ar-SA"/>
        </w:rPr>
        <w:t xml:space="preserve">Magnetit digabungkan dengan grafin atau produk derivasinya, seperti grafin oksida atau grafin oksida terturun mendapat kajian meluas kerana ciri unik komposit tersebut, misalnya kawasan permukaan yang luas dengan bilangan tapak aktif yang amat banyak. Pada asalnya, nanokomposit tersebut digunakan dalam bidang biosensor dan biomedik untuk terutamanya dalam kajian dadah. Kini, ramai penyelidik memilih nanokomposit ini dan mengaplikasikannya sebagai bahan utama dalam pelbagai bidang elektrokimia atas dasar mesra alam dan kos penghasilan yang murah. Dalam kertas kajian ini, kelebihan nanokomposit dan penggunaan dalam bidang elektrokimia diulas. Skop ulasan memberi penghujahan yang penting tentang bidang elektrokimia. Di </w:t>
      </w:r>
      <w:r w:rsidRPr="002F3518">
        <w:rPr>
          <w:rFonts w:ascii="Times New Roman" w:hAnsi="Times New Roman"/>
          <w:sz w:val="18"/>
          <w:szCs w:val="18"/>
          <w:lang w:val="en-MY" w:eastAsia="en-GB" w:bidi="ar-SA"/>
        </w:rPr>
        <w:lastRenderedPageBreak/>
        <w:t xml:space="preserve">samping itu, ciri-ciri fizikal dan elektrokimia nanokomposit tersebut dibincangkan secara mendalam selain daripada kestabilan dan kebolehgunaan semula bahan tersebut. </w:t>
      </w:r>
    </w:p>
    <w:p w14:paraId="0DACF8B4" w14:textId="77777777" w:rsidR="002F3518" w:rsidRPr="002F3518" w:rsidRDefault="002F3518" w:rsidP="002F3518">
      <w:pPr>
        <w:spacing w:after="0"/>
        <w:jc w:val="both"/>
        <w:rPr>
          <w:rFonts w:ascii="Times New Roman" w:hAnsi="Times New Roman"/>
          <w:sz w:val="18"/>
          <w:szCs w:val="18"/>
          <w:lang w:val="en-MY" w:eastAsia="en-GB" w:bidi="ar-SA"/>
        </w:rPr>
      </w:pPr>
    </w:p>
    <w:p w14:paraId="3FCDCCA9" w14:textId="77777777" w:rsidR="002F3518" w:rsidRPr="002F3518" w:rsidRDefault="002F3518" w:rsidP="002F3518">
      <w:pPr>
        <w:spacing w:after="0"/>
        <w:jc w:val="both"/>
        <w:rPr>
          <w:rFonts w:ascii="Times New Roman" w:hAnsi="Times New Roman"/>
          <w:sz w:val="24"/>
          <w:szCs w:val="24"/>
          <w:lang w:val="en-MY" w:eastAsia="en-GB" w:bidi="ar-SA"/>
        </w:rPr>
      </w:pPr>
      <w:r w:rsidRPr="002F3518">
        <w:rPr>
          <w:rFonts w:ascii="Times New Roman" w:hAnsi="Times New Roman"/>
          <w:b/>
          <w:sz w:val="18"/>
          <w:szCs w:val="18"/>
          <w:lang w:val="en-MY" w:eastAsia="en-GB" w:bidi="ar-SA"/>
        </w:rPr>
        <w:t xml:space="preserve">Keywords: </w:t>
      </w:r>
      <w:r w:rsidRPr="002F3518">
        <w:rPr>
          <w:rFonts w:ascii="Times New Roman" w:hAnsi="Times New Roman"/>
          <w:sz w:val="18"/>
          <w:szCs w:val="18"/>
          <w:lang w:val="en-MY" w:eastAsia="en-GB" w:bidi="ar-SA"/>
        </w:rPr>
        <w:t>magnetit, grafin, elektrokimia, mesra alam, elektrod</w:t>
      </w:r>
    </w:p>
    <w:p w14:paraId="55313CDF" w14:textId="77777777" w:rsidR="002F3518" w:rsidRPr="002F3518" w:rsidRDefault="002F3518" w:rsidP="002F3518">
      <w:pPr>
        <w:spacing w:after="0"/>
        <w:jc w:val="both"/>
        <w:rPr>
          <w:rFonts w:ascii="Times New Roman" w:hAnsi="Times New Roman"/>
          <w:sz w:val="18"/>
          <w:szCs w:val="18"/>
          <w:lang w:val="en-MY" w:eastAsia="en-GB" w:bidi="ar-SA"/>
        </w:rPr>
      </w:pPr>
    </w:p>
    <w:p w14:paraId="78E0FD05" w14:textId="77777777" w:rsidR="002F3518" w:rsidRDefault="002F3518" w:rsidP="002F3518">
      <w:pPr>
        <w:spacing w:after="0"/>
        <w:ind w:firstLine="3742"/>
        <w:jc w:val="both"/>
        <w:rPr>
          <w:rFonts w:ascii="Times New Roman" w:hAnsi="Times New Roman"/>
          <w:b/>
          <w:bCs/>
          <w:sz w:val="20"/>
          <w:szCs w:val="20"/>
          <w:lang w:val="en-MY" w:eastAsia="en-GB" w:bidi="ar-SA"/>
        </w:rPr>
        <w:sectPr w:rsidR="002F3518" w:rsidSect="001D33F5">
          <w:headerReference w:type="even" r:id="rId10"/>
          <w:headerReference w:type="default" r:id="rId11"/>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7CAB9BA0" w14:textId="77777777" w:rsidR="00CC01D6" w:rsidRDefault="002F3518" w:rsidP="00CC01D6">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Introduction</w:t>
      </w:r>
    </w:p>
    <w:p w14:paraId="5CF909CE" w14:textId="4AAD7D45" w:rsidR="002F3518" w:rsidRPr="002F3518" w:rsidRDefault="002F3518" w:rsidP="00CC01D6">
      <w:pPr>
        <w:spacing w:after="0"/>
        <w:jc w:val="both"/>
        <w:rPr>
          <w:rFonts w:ascii="Times New Roman" w:hAnsi="Times New Roman"/>
          <w:b/>
          <w:bCs/>
          <w:sz w:val="20"/>
          <w:szCs w:val="20"/>
          <w:lang w:val="en-MY" w:eastAsia="en-GB" w:bidi="ar-SA"/>
        </w:rPr>
      </w:pPr>
      <w:r w:rsidRPr="002F3518">
        <w:rPr>
          <w:rFonts w:ascii="Times New Roman" w:hAnsi="Times New Roman"/>
          <w:sz w:val="20"/>
          <w:szCs w:val="20"/>
          <w:lang w:val="en-MY" w:eastAsia="en-GB" w:bidi="ar-SA"/>
        </w:rPr>
        <w:t>Technological advancements in electrochemistry have gained remarkable growth over past decades recently for their constant developed applications. Electrochemical technique is predominantly an efficient and alternative solution to conventional spectroscopic and chromatographic techniques. It offers rapid analysis, low cost, selective sensitivity, and user portability while being environmentally friendly. To further improve the electrochemical technology, electrocatalysis was introduced, which attracted significant attention from researchers globally as an establishment since the new hybrid approach was introduced.  Moreover, the typical unmodified electrode such as bare carbon electrode or bare gold electrode has a chemically fouling nature, poor chemical stability, low mechanical strength, and tend to agglomerate on its own [1, 2].</w:t>
      </w:r>
    </w:p>
    <w:p w14:paraId="58FA1906"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0D9ED852"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Graphene is known as one of the most interesting materials in the research field for its exclusive characteristics and potential applications in various fields [3]. It is as discrete as one carbon atom in size but still carries a greater surface area, twice larger than ordinary activated carbon [4, 5]. It has a honeycomb lattice arrangement, a primitive building block for other carbon allotropes, such as 0D fullerenes, 1D carbon nanotubes, and 3D graphite. The composite has the capacity to adsorb an assortment of aromatic biomolecules via p–p stacking interaction and electrostatic interaction, making them optimal materials for forming biosensors and loading drugs [6]. Graphene is further refined into graphene oxide for enhanced properties, such as boosted surface area and reactive sites from the addition of oxides functional groups. Hydrophilicity and high dispersibility of graphene make it popular in removing water pollutants; however, it is difficult to be separated from aqueous solutions [7].  </w:t>
      </w:r>
    </w:p>
    <w:p w14:paraId="21DD6CCD"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46A3B1FD"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Graphene oxide (GO) is a resultant of graphene sheet embellished with oxygen (-OH) functional groups to great negative charge density and hydrophilic character. Typically, GO is a natural insulator, where it has lured </w:t>
      </w:r>
      <w:r w:rsidRPr="002F3518">
        <w:rPr>
          <w:rFonts w:ascii="Times New Roman" w:hAnsi="Times New Roman"/>
          <w:sz w:val="20"/>
          <w:szCs w:val="20"/>
          <w:lang w:val="en-MY" w:eastAsia="en-GB" w:bidi="ar-SA"/>
        </w:rPr>
        <w:t>sizeable interest for its prospective applications as an electrically insulating material in electronics and can be applied as an adsorbent. Nevertheless, it could be a conductive material through adequate exposure to reducing agents such as hydrazine hydrate or sodium borohydride, reducing and defecting its sites to make it active [8]. It is a prime component in the field of chemistry because of its high surface area with many functional groups around the plane. The high surface area subsequently supports the oxygen reduction reaction [9, 10]. The existence of functional groups on the GO plane produces a high negative charge density, larger surface area, and hydrophilic character.</w:t>
      </w:r>
    </w:p>
    <w:p w14:paraId="10F0159F"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657A3F04"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Diminishing the oxygen-based functional groups in sheets of graphene oxide by in-situ reduction produces reduced graphene oxide (rGO). It is a better choice of using rGO as compared to GO in the aspect of electrochemistry. The reduced oxygen in GO sheets promptly increases Π-Π interaction by increasing sp</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 carbons [11, 12]. With these properties, a study was conducted to foresee the strong interaction between graphene and nanoparticles, especially with magnetic properties, which resulted in a salient potential with exclusive and enhanced functionalities useful in several applications [13].</w:t>
      </w:r>
    </w:p>
    <w:p w14:paraId="1DD05685"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5C93EC87"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Magnetic nanoparticle (MNP) utilised in electrochemical activities is known for its decent theoretical value, inexpensive production, and environmentally friendly. Together with magnetic properties, it has metallic properties that can conduct good electricity. Iron oxide nanoparticles, scientifically known as magnetite, are the utmost explored metal-based magnetic nanoparticles up to date. It turns to superparamagnetic once the ferrite particles become smaller than 128 nm. This averts self-agglomeration since they display their magnetic behaviour only when an external magnetic field is implemented [14]. However, inferior cycling stability, vulnerability to air oxidation, and agglomeration caused by imbalanced electron transfer occur easily. Therefore, merging of </w:t>
      </w:r>
      <w:r w:rsidRPr="002F3518">
        <w:rPr>
          <w:rFonts w:ascii="Times New Roman" w:hAnsi="Times New Roman"/>
          <w:sz w:val="20"/>
          <w:szCs w:val="20"/>
          <w:lang w:val="en-MY" w:eastAsia="en-GB" w:bidi="ar-SA"/>
        </w:rPr>
        <w:lastRenderedPageBreak/>
        <w:t>magnetite with carbon related materials, especially graphene (for its unique properties) into a nanocomposite was researched [15]. This technically increased the surface area and performed better electrochemical reactions when utilised in applications. With current findings, the nanocomposite can be further utilised for various applications, such as in big energy production plants. This changes the current perspective in the energy production field. More than 51% of global energy production is produced from non-renewable energy resources, to an option of renewable energy source that saves cost [16, 17].</w:t>
      </w:r>
    </w:p>
    <w:p w14:paraId="31E5EA6F" w14:textId="77777777" w:rsidR="002F3518" w:rsidRPr="002F3518" w:rsidRDefault="002F3518" w:rsidP="002F3518">
      <w:pPr>
        <w:spacing w:after="0"/>
        <w:jc w:val="both"/>
        <w:rPr>
          <w:rFonts w:ascii="Times New Roman" w:hAnsi="Times New Roman"/>
          <w:sz w:val="20"/>
          <w:szCs w:val="20"/>
          <w:lang w:val="en-MY" w:eastAsia="en-GB" w:bidi="ar-SA"/>
        </w:rPr>
      </w:pPr>
    </w:p>
    <w:p w14:paraId="5C5F73AC" w14:textId="77777777" w:rsidR="002F3518" w:rsidRPr="002F3518" w:rsidRDefault="002F3518" w:rsidP="002F3518">
      <w:pPr>
        <w:spacing w:after="0"/>
        <w:jc w:val="both"/>
        <w:rPr>
          <w:rFonts w:ascii="Times New Roman" w:hAnsi="Times New Roman"/>
          <w:b/>
          <w:sz w:val="20"/>
          <w:szCs w:val="20"/>
          <w:lang w:val="en-MY" w:eastAsia="en-GB" w:bidi="ar-SA"/>
        </w:rPr>
      </w:pPr>
      <w:r w:rsidRPr="002F3518">
        <w:rPr>
          <w:rFonts w:ascii="Times New Roman" w:hAnsi="Times New Roman"/>
          <w:sz w:val="20"/>
          <w:szCs w:val="20"/>
          <w:lang w:eastAsia="en-GB" w:bidi="ar-SA"/>
        </w:rPr>
        <w:t xml:space="preserve">The integration of magnetite-graphene plays a pivotal role in the electrochemical efficiency of a cell, other than to ensure the excellency of characteristics and longevity of nanocomposite while possessing better stability in terms of thermal and conditioning.  This is based on the increase of electrical conductivity [18]. Generally, the development of magnetite-graphene nanocomposite begins with the synthesis of graphene oxide via modified Hummers' method [19] followed by the synthesis of MNP using a facile one-pot method or chemical induction method. </w:t>
      </w:r>
      <w:r w:rsidRPr="002F3518">
        <w:rPr>
          <w:rFonts w:ascii="Times New Roman" w:hAnsi="Times New Roman"/>
          <w:sz w:val="20"/>
          <w:szCs w:val="20"/>
          <w:lang w:val="en-MY" w:eastAsia="en-GB" w:bidi="ar-SA"/>
        </w:rPr>
        <w:t xml:space="preserve">This combination has been used in various fields such as biosensors, data storage, bioseparation, targeted drug delivery, coating from corrosion, and energy production [20]. The nanocomposite showed a great response in the biomedical field through excellent detection capability in sensor application, which proves to be an optimal substrate for surface immobilisation. This characteristic can be further explored and enhanced in targeted detection apart from the biomedical field, such as water pollution sensors.   </w:t>
      </w:r>
    </w:p>
    <w:p w14:paraId="54E57509" w14:textId="77777777" w:rsidR="002F3518" w:rsidRPr="002F3518" w:rsidRDefault="002F3518" w:rsidP="002F3518">
      <w:pPr>
        <w:spacing w:after="0"/>
        <w:jc w:val="center"/>
        <w:rPr>
          <w:rFonts w:ascii="Times New Roman" w:hAnsi="Times New Roman"/>
          <w:bCs/>
          <w:sz w:val="20"/>
          <w:szCs w:val="20"/>
          <w:lang w:val="en-MY" w:eastAsia="en-GB" w:bidi="ar-SA"/>
        </w:rPr>
      </w:pPr>
    </w:p>
    <w:p w14:paraId="01C7B529" w14:textId="77777777" w:rsidR="002F3518" w:rsidRPr="002F3518" w:rsidRDefault="002F3518" w:rsidP="002F3518">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Applications of Magnetic Graphene Nanocomposite</w:t>
      </w:r>
    </w:p>
    <w:p w14:paraId="657DA608"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t xml:space="preserve">Batteries </w:t>
      </w:r>
    </w:p>
    <w:p w14:paraId="20576D55"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Batteries, the handy energy storage material is a common material in daily life.  It can be categorised into three types which are lithium-ion battery (LIB), sodium-ion battery (SIB), and lithium/sulphur-ion battery (LSIB) [21-23]. Among these, LIB is more preferably used for its exclusive features such as high energy density, high voltage, lightweight, and long life-cycle.  The first LIB was introduced in 1991 by Sony Inc., and extensively used as handily and portable power source </w:t>
      </w:r>
      <w:r w:rsidRPr="002F3518">
        <w:rPr>
          <w:rFonts w:ascii="Times New Roman" w:hAnsi="Times New Roman"/>
          <w:bCs/>
          <w:sz w:val="20"/>
          <w:szCs w:val="20"/>
          <w:lang w:val="en-MY" w:eastAsia="en-GB" w:bidi="ar-SA"/>
        </w:rPr>
        <w:t>for electric and electronic devices [24]. This type of battery also has attracted attention in aerospace application as well as in military-based devices. As for the working principle of rechargeable batteries, it contains two electrodes, an anode (negative electrode) and a cathode (positive electrode). The cathode, as the lower capacity electrode, determines the overall capacity of a battery. Different types and structures of the separator component have been introduced. It primarily serves to physically separate the electrodes to prevent shorting while providing porosity for lithium-ion flow during charge and discharge [25].  In the discharging process of LIB, lithium-ion moves from the negative electrode to the positive electrode through an electrolyte and vice versa during the charging process. The process of ion movement is illustrated in Figure 1. Generally, the positive electrode in LIB is an intercalated lithium compound, while various materials have been developed for the negative electrode to increase the properties of the lithium-ion battery [26].</w:t>
      </w:r>
    </w:p>
    <w:p w14:paraId="550A19FD" w14:textId="77777777" w:rsidR="002F3518" w:rsidRPr="002F3518" w:rsidRDefault="002F3518" w:rsidP="002F3518">
      <w:pPr>
        <w:spacing w:after="0"/>
        <w:jc w:val="both"/>
        <w:rPr>
          <w:rFonts w:ascii="Times New Roman" w:hAnsi="Times New Roman"/>
          <w:bCs/>
          <w:sz w:val="20"/>
          <w:szCs w:val="20"/>
          <w:lang w:val="en-MY" w:eastAsia="en-GB" w:bidi="ar-SA"/>
        </w:rPr>
      </w:pPr>
    </w:p>
    <w:p w14:paraId="7F93DD04"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Magnetite developed into one of the promising active materials for anode of LIB due to the </w:t>
      </w:r>
      <w:r w:rsidRPr="002F3518">
        <w:rPr>
          <w:rFonts w:ascii="Times New Roman" w:hAnsi="Times New Roman"/>
          <w:bCs/>
          <w:sz w:val="20"/>
          <w:szCs w:val="20"/>
          <w:lang w:val="en-MY" w:eastAsia="en-GB" w:bidi="ar-SA"/>
        </w:rPr>
        <w:t>highest theoretical capacities (926 mAh/g) [27], which shows that Fe</w:t>
      </w:r>
      <w:r w:rsidRPr="002F3518">
        <w:rPr>
          <w:rFonts w:ascii="Times New Roman" w:hAnsi="Times New Roman"/>
          <w:bCs/>
          <w:sz w:val="20"/>
          <w:szCs w:val="20"/>
          <w:vertAlign w:val="subscript"/>
          <w:lang w:val="en-MY" w:eastAsia="en-GB" w:bidi="ar-SA"/>
        </w:rPr>
        <w:t>3</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4</w:t>
      </w:r>
      <w:r w:rsidRPr="002F3518">
        <w:rPr>
          <w:rFonts w:ascii="Times New Roman" w:hAnsi="Times New Roman"/>
          <w:bCs/>
          <w:sz w:val="20"/>
          <w:szCs w:val="20"/>
          <w:lang w:val="en-MY" w:eastAsia="en-GB" w:bidi="ar-SA"/>
        </w:rPr>
        <w:t xml:space="preserve"> can react with eight lithium ions per formula unit compared to the currently used graphite anode with 372 mAh/g of capacity [28]. Apart from that, magnetite also possesses higher conductivity (σ = 2 × 104 Sm</w:t>
      </w:r>
      <w:r w:rsidRPr="002F3518">
        <w:rPr>
          <w:rFonts w:ascii="Times New Roman" w:hAnsi="Times New Roman"/>
          <w:bCs/>
          <w:sz w:val="20"/>
          <w:szCs w:val="20"/>
          <w:vertAlign w:val="superscript"/>
          <w:lang w:val="en-MY" w:eastAsia="en-GB" w:bidi="ar-SA"/>
        </w:rPr>
        <w:t>−1</w:t>
      </w:r>
      <w:r w:rsidRPr="002F3518">
        <w:rPr>
          <w:rFonts w:ascii="Times New Roman" w:hAnsi="Times New Roman"/>
          <w:bCs/>
          <w:sz w:val="20"/>
          <w:szCs w:val="20"/>
          <w:lang w:val="en-MY" w:eastAsia="en-GB" w:bidi="ar-SA"/>
        </w:rPr>
        <w:t xml:space="preserve">) than most of other metal oxides [29] </w:t>
      </w:r>
      <w:r w:rsidRPr="002F3518">
        <w:rPr>
          <w:rFonts w:ascii="Times New Roman" w:hAnsi="Times New Roman"/>
          <w:sz w:val="20"/>
          <w:szCs w:val="20"/>
          <w:lang w:val="en-MY" w:eastAsia="en-GB" w:bidi="ar-SA"/>
        </w:rPr>
        <w:t xml:space="preserve"> </w:t>
      </w:r>
      <w:bookmarkStart w:id="1" w:name="_Hlk98673444"/>
      <w:r w:rsidRPr="002F3518">
        <w:rPr>
          <w:rFonts w:ascii="Times New Roman" w:hAnsi="Times New Roman"/>
          <w:bCs/>
          <w:sz w:val="20"/>
          <w:szCs w:val="20"/>
          <w:lang w:val="en-MY" w:eastAsia="en-GB" w:bidi="ar-SA"/>
        </w:rPr>
        <w:t>due to its magnetic properties [30]. However, a stand-alone magnetite nanoparticle is not significant for the Li-ion batteries</w:t>
      </w:r>
      <w:r w:rsidRPr="002F3518">
        <w:rPr>
          <w:rFonts w:ascii="Times New Roman" w:hAnsi="Times New Roman"/>
          <w:bCs/>
          <w:sz w:val="20"/>
          <w:szCs w:val="20"/>
          <w:lang w:eastAsia="en-GB" w:bidi="ar-SA"/>
        </w:rPr>
        <w:t>’</w:t>
      </w:r>
      <w:r w:rsidRPr="002F3518">
        <w:rPr>
          <w:rFonts w:ascii="Times New Roman" w:hAnsi="Times New Roman"/>
          <w:bCs/>
          <w:sz w:val="20"/>
          <w:szCs w:val="20"/>
          <w:lang w:val="en-MY" w:eastAsia="en-GB" w:bidi="ar-SA"/>
        </w:rPr>
        <w:t xml:space="preserve"> application due to its poor cyclic performance and rate capability, which causes aggregation of the composite and fluctuation of volume during the insertion or the extraction process of </w:t>
      </w:r>
      <w:bookmarkEnd w:id="1"/>
      <w:r w:rsidRPr="002F3518">
        <w:rPr>
          <w:rFonts w:ascii="Times New Roman" w:hAnsi="Times New Roman"/>
          <w:bCs/>
          <w:sz w:val="20"/>
          <w:szCs w:val="20"/>
          <w:lang w:val="en-MY" w:eastAsia="en-GB" w:bidi="ar-SA"/>
        </w:rPr>
        <w:t>Li-ion.  Furthermore, this anode exhibits intrinsic large electrochemical polarisation upon cycling, which reduces the system's 'round trip efficiency' and electrochemical reversibility. This is primarily due to poor electronic and ionic conductivities of Fe</w:t>
      </w:r>
      <w:r w:rsidRPr="002F3518">
        <w:rPr>
          <w:rFonts w:ascii="Times New Roman" w:hAnsi="Times New Roman"/>
          <w:bCs/>
          <w:sz w:val="20"/>
          <w:szCs w:val="20"/>
          <w:vertAlign w:val="subscript"/>
          <w:lang w:val="en-MY" w:eastAsia="en-GB" w:bidi="ar-SA"/>
        </w:rPr>
        <w:t>3</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4</w:t>
      </w:r>
      <w:r w:rsidRPr="002F3518">
        <w:rPr>
          <w:rFonts w:ascii="Times New Roman" w:hAnsi="Times New Roman"/>
          <w:bCs/>
          <w:sz w:val="20"/>
          <w:szCs w:val="20"/>
          <w:lang w:val="en-MY" w:eastAsia="en-GB" w:bidi="ar-SA"/>
        </w:rPr>
        <w:t xml:space="preserve"> and slow solid-state diffusion of Li ions in this anode [31]. </w:t>
      </w:r>
      <w:r w:rsidRPr="002F3518">
        <w:rPr>
          <w:rFonts w:ascii="Times New Roman" w:hAnsi="Times New Roman"/>
          <w:sz w:val="20"/>
          <w:szCs w:val="20"/>
          <w:lang w:val="en-MY" w:eastAsia="en-GB" w:bidi="ar-SA"/>
        </w:rPr>
        <w:t xml:space="preserve">The low conductivity of composite also may lead to a rapid degradation process. </w:t>
      </w:r>
    </w:p>
    <w:p w14:paraId="6692E80C" w14:textId="77777777" w:rsidR="002F3518" w:rsidRPr="002F3518" w:rsidRDefault="002F3518" w:rsidP="002F3518">
      <w:pPr>
        <w:spacing w:after="0"/>
        <w:jc w:val="both"/>
        <w:rPr>
          <w:rFonts w:ascii="Times New Roman" w:hAnsi="Times New Roman"/>
          <w:sz w:val="20"/>
          <w:szCs w:val="20"/>
          <w:lang w:val="en-MY" w:eastAsia="en-GB" w:bidi="ar-SA"/>
        </w:rPr>
      </w:pPr>
    </w:p>
    <w:p w14:paraId="2CDD0F78"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To add on, the combination of graphene with magnetite boosts the electrical properties and increases surface area, leading to exceptional thermal conductivity (~5000 </w:t>
      </w:r>
      <w:r w:rsidRPr="002F3518">
        <w:rPr>
          <w:rFonts w:ascii="Times New Roman" w:hAnsi="Times New Roman"/>
          <w:sz w:val="20"/>
          <w:szCs w:val="20"/>
          <w:lang w:val="en-MY" w:eastAsia="en-GB" w:bidi="ar-SA"/>
        </w:rPr>
        <w:lastRenderedPageBreak/>
        <w:t>W/mK). The extremely high values of thermal conductivity suggests that graphene can outperform carbon nanotubes (CNTs) in heat conduction. 2D nanosheets structure of graphene constitutes abundant active sites and accessible surfaces where it enables energy storage materials to achieve high power and energy density [32]. It is supported that the theoretical capacity of graphene (744 mAh/g) is twice as much as that of graphite because graphene can accommodate two Li-ions, instead of one for graphite, in each hexagonal loop of carbon (Li</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C</w:t>
      </w:r>
      <w:r w:rsidRPr="002F3518">
        <w:rPr>
          <w:rFonts w:ascii="Times New Roman" w:hAnsi="Times New Roman"/>
          <w:sz w:val="20"/>
          <w:szCs w:val="20"/>
          <w:vertAlign w:val="subscript"/>
          <w:lang w:val="en-MY" w:eastAsia="en-GB" w:bidi="ar-SA"/>
        </w:rPr>
        <w:t>6</w:t>
      </w:r>
      <w:r w:rsidRPr="002F3518">
        <w:rPr>
          <w:rFonts w:ascii="Times New Roman" w:hAnsi="Times New Roman"/>
          <w:sz w:val="20"/>
          <w:szCs w:val="20"/>
          <w:lang w:val="en-MY" w:eastAsia="en-GB" w:bidi="ar-SA"/>
        </w:rPr>
        <w:t>). Thus, incorporating magnetite with graphene can overcome the aggregation of magnetite nanoparticles as the high surface area (2620 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/g) graphene will help the nanosized magnetite bind to its nanosheets. The large-volume variation of magnetite during the discharge-charge process also can be mitigated through the high surface area graphene [33]. The strategies of coating the magnetite nanoparticles to graphene enhance the electronic conductivity and boost the conversion yield as the metal integration of the magnetite possess an excellent magnetic property. Based on Huang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[34] combination of magnetite and graphene leading to the high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loading and outstanding cycling stability (83 per cent retention of the initial reversible capacity after 40 cycles) generated by the volume buffering effect of graphene sheets, the discharge capacity was increased to 750.0 mAh/g. This improved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/graphene composite with improved performance could have a promising future in lithium-ion battery applications [35]. </w:t>
      </w:r>
    </w:p>
    <w:p w14:paraId="37A732C8" w14:textId="77777777" w:rsidR="002F3518" w:rsidRPr="002F3518" w:rsidRDefault="002F3518" w:rsidP="002F3518">
      <w:pPr>
        <w:spacing w:after="0"/>
        <w:jc w:val="both"/>
        <w:rPr>
          <w:rFonts w:ascii="Times New Roman" w:hAnsi="Times New Roman"/>
          <w:sz w:val="20"/>
          <w:szCs w:val="20"/>
          <w:lang w:val="en-MY" w:eastAsia="en-GB" w:bidi="ar-SA"/>
        </w:rPr>
      </w:pPr>
    </w:p>
    <w:p w14:paraId="2453E160"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According to Kai Zhu </w:t>
      </w:r>
      <w:r w:rsidRPr="002F3518">
        <w:rPr>
          <w:rFonts w:ascii="Times New Roman" w:hAnsi="Times New Roman"/>
          <w:bCs/>
          <w:iCs/>
          <w:sz w:val="20"/>
          <w:szCs w:val="20"/>
          <w:lang w:val="en-MY" w:eastAsia="en-GB" w:bidi="ar-SA"/>
        </w:rPr>
        <w:t>et al.</w:t>
      </w:r>
      <w:r w:rsidRPr="002F3518">
        <w:rPr>
          <w:rFonts w:ascii="Times New Roman" w:hAnsi="Times New Roman"/>
          <w:bCs/>
          <w:sz w:val="20"/>
          <w:szCs w:val="20"/>
          <w:lang w:eastAsia="en-GB" w:bidi="ar-SA"/>
        </w:rPr>
        <w:t xml:space="preserve"> </w:t>
      </w:r>
      <w:r w:rsidRPr="002F3518">
        <w:rPr>
          <w:rFonts w:ascii="Times New Roman" w:hAnsi="Times New Roman"/>
          <w:bCs/>
          <w:sz w:val="20"/>
          <w:szCs w:val="20"/>
          <w:lang w:val="en-MY" w:eastAsia="en-GB" w:bidi="ar-SA"/>
        </w:rPr>
        <w:t>[36]</w:t>
      </w:r>
      <w:r w:rsidRPr="002F3518">
        <w:rPr>
          <w:rFonts w:ascii="Times New Roman" w:hAnsi="Times New Roman"/>
          <w:bCs/>
          <w:sz w:val="20"/>
          <w:szCs w:val="20"/>
          <w:lang w:eastAsia="en-GB" w:bidi="ar-SA"/>
        </w:rPr>
        <w:t>,</w:t>
      </w:r>
      <w:r w:rsidRPr="002F3518">
        <w:rPr>
          <w:rFonts w:ascii="Times New Roman" w:hAnsi="Times New Roman"/>
          <w:bCs/>
          <w:sz w:val="20"/>
          <w:szCs w:val="20"/>
          <w:lang w:val="en-MY" w:eastAsia="en-GB" w:bidi="ar-SA"/>
        </w:rPr>
        <w:t xml:space="preserve"> it was observed that there was no capacity loss and better cycling stability of the improved batteries using nanocomposite. The discharge/charge rate of the battery i</w:t>
      </w:r>
      <w:r w:rsidRPr="002F3518">
        <w:rPr>
          <w:rFonts w:ascii="Times New Roman" w:hAnsi="Times New Roman"/>
          <w:bCs/>
          <w:sz w:val="20"/>
          <w:szCs w:val="20"/>
          <w:lang w:eastAsia="en-GB" w:bidi="ar-SA"/>
        </w:rPr>
        <w:t>ncreased</w:t>
      </w:r>
      <w:r w:rsidRPr="002F3518">
        <w:rPr>
          <w:rFonts w:ascii="Times New Roman" w:hAnsi="Times New Roman"/>
          <w:bCs/>
          <w:sz w:val="20"/>
          <w:szCs w:val="20"/>
          <w:lang w:val="en-MY" w:eastAsia="en-GB" w:bidi="ar-SA"/>
        </w:rPr>
        <w:t xml:space="preserve"> while the Coulombic efficiency reached more than 95%. The nanocomposite support</w:t>
      </w:r>
      <w:r w:rsidRPr="002F3518">
        <w:rPr>
          <w:rFonts w:ascii="Times New Roman" w:hAnsi="Times New Roman"/>
          <w:bCs/>
          <w:sz w:val="20"/>
          <w:szCs w:val="20"/>
          <w:lang w:eastAsia="en-GB" w:bidi="ar-SA"/>
        </w:rPr>
        <w:t>ed</w:t>
      </w:r>
      <w:r w:rsidRPr="002F3518">
        <w:rPr>
          <w:rFonts w:ascii="Times New Roman" w:hAnsi="Times New Roman"/>
          <w:bCs/>
          <w:sz w:val="20"/>
          <w:szCs w:val="20"/>
          <w:lang w:val="en-MY" w:eastAsia="en-GB" w:bidi="ar-SA"/>
        </w:rPr>
        <w:t xml:space="preserve"> short diffusion between electron transfer which indicate</w:t>
      </w:r>
      <w:r w:rsidRPr="002F3518">
        <w:rPr>
          <w:rFonts w:ascii="Times New Roman" w:hAnsi="Times New Roman"/>
          <w:bCs/>
          <w:sz w:val="20"/>
          <w:szCs w:val="20"/>
          <w:lang w:eastAsia="en-GB" w:bidi="ar-SA"/>
        </w:rPr>
        <w:t>d</w:t>
      </w:r>
      <w:r w:rsidRPr="002F3518">
        <w:rPr>
          <w:rFonts w:ascii="Times New Roman" w:hAnsi="Times New Roman"/>
          <w:bCs/>
          <w:sz w:val="20"/>
          <w:szCs w:val="20"/>
          <w:lang w:val="en-MY" w:eastAsia="en-GB" w:bidi="ar-SA"/>
        </w:rPr>
        <w:t xml:space="preserve"> the enhanced conductivity of the battery. Previous works using various magnetite-graphene nanocomposites and their derivatives nanocomposites on lithium-ion batteries are tabulated in Table 1.</w:t>
      </w:r>
    </w:p>
    <w:p w14:paraId="40F9D4A0" w14:textId="77777777" w:rsidR="002F3518" w:rsidRPr="002F3518" w:rsidRDefault="002F3518" w:rsidP="002F3518">
      <w:pPr>
        <w:spacing w:after="0"/>
        <w:jc w:val="both"/>
        <w:rPr>
          <w:rFonts w:ascii="Times New Roman" w:hAnsi="Times New Roman"/>
          <w:sz w:val="20"/>
          <w:szCs w:val="20"/>
          <w:lang w:val="en-MY" w:eastAsia="en-GB" w:bidi="ar-SA"/>
        </w:rPr>
      </w:pPr>
    </w:p>
    <w:p w14:paraId="4B5ED32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noProof/>
          <w:sz w:val="20"/>
          <w:szCs w:val="20"/>
          <w:lang w:val="en-MY" w:eastAsia="en-GB" w:bidi="ar-SA"/>
        </w:rPr>
        <w:drawing>
          <wp:inline distT="0" distB="0" distL="0" distR="0" wp14:anchorId="44B5C6E6" wp14:editId="0C9C4C5C">
            <wp:extent cx="2041451" cy="1869826"/>
            <wp:effectExtent l="0" t="0" r="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b="8407"/>
                    <a:stretch/>
                  </pic:blipFill>
                  <pic:spPr bwMode="auto">
                    <a:xfrm>
                      <a:off x="0" y="0"/>
                      <a:ext cx="2052183" cy="1879656"/>
                    </a:xfrm>
                    <a:prstGeom prst="rect">
                      <a:avLst/>
                    </a:prstGeom>
                    <a:noFill/>
                    <a:ln>
                      <a:noFill/>
                    </a:ln>
                    <a:extLst>
                      <a:ext uri="{53640926-AAD7-44D8-BBD7-CCE9431645EC}">
                        <a14:shadowObscured xmlns:a14="http://schemas.microsoft.com/office/drawing/2010/main"/>
                      </a:ext>
                    </a:extLst>
                  </pic:spPr>
                </pic:pic>
              </a:graphicData>
            </a:graphic>
          </wp:inline>
        </w:drawing>
      </w:r>
    </w:p>
    <w:p w14:paraId="0FD7F8AF" w14:textId="77777777" w:rsidR="002F3518" w:rsidRPr="002F3518" w:rsidRDefault="002F3518" w:rsidP="002F3518">
      <w:pPr>
        <w:spacing w:after="0"/>
        <w:jc w:val="center"/>
        <w:rPr>
          <w:rFonts w:ascii="Times New Roman" w:hAnsi="Times New Roman"/>
          <w:sz w:val="20"/>
          <w:szCs w:val="20"/>
          <w:lang w:val="en-MY" w:eastAsia="en-GB" w:bidi="ar-SA"/>
        </w:rPr>
      </w:pPr>
    </w:p>
    <w:p w14:paraId="6B6BFFCD" w14:textId="77777777" w:rsidR="002F3518" w:rsidRPr="002F3518" w:rsidRDefault="002F3518" w:rsidP="00FB0E79">
      <w:pPr>
        <w:spacing w:after="0"/>
        <w:ind w:left="810" w:hanging="810"/>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Figure 1. </w:t>
      </w:r>
      <w:r w:rsidRPr="002F3518">
        <w:rPr>
          <w:rFonts w:ascii="Times New Roman" w:hAnsi="Times New Roman"/>
          <w:sz w:val="20"/>
          <w:szCs w:val="20"/>
          <w:lang w:val="en-MY" w:eastAsia="en-GB" w:bidi="ar-SA"/>
        </w:rPr>
        <w:t>Discharging process of lithium-ion in lithium-ion battery</w:t>
      </w:r>
    </w:p>
    <w:p w14:paraId="6A57A738" w14:textId="77777777" w:rsidR="002F3518" w:rsidRDefault="002F3518" w:rsidP="002F3518">
      <w:pPr>
        <w:spacing w:after="0"/>
        <w:jc w:val="both"/>
        <w:rPr>
          <w:rFonts w:ascii="Times New Roman" w:hAnsi="Times New Roman"/>
          <w:sz w:val="20"/>
          <w:szCs w:val="20"/>
          <w:lang w:val="en-MY" w:eastAsia="en-GB" w:bidi="ar-SA"/>
        </w:rPr>
        <w:sectPr w:rsidR="002F3518" w:rsidSect="002F3518">
          <w:type w:val="continuous"/>
          <w:pgSz w:w="12240" w:h="15840" w:code="1"/>
          <w:pgMar w:top="1800" w:right="1469" w:bottom="1699" w:left="1440" w:header="706" w:footer="706" w:gutter="0"/>
          <w:pgNumType w:start="1"/>
          <w:cols w:num="2" w:space="403"/>
          <w:docGrid w:linePitch="360"/>
        </w:sectPr>
      </w:pPr>
    </w:p>
    <w:p w14:paraId="149251DC" w14:textId="77777777" w:rsidR="002F3518" w:rsidRPr="002F3518" w:rsidRDefault="002F3518" w:rsidP="002F3518">
      <w:pPr>
        <w:spacing w:after="0"/>
        <w:jc w:val="both"/>
        <w:rPr>
          <w:rFonts w:ascii="Times New Roman" w:hAnsi="Times New Roman"/>
          <w:sz w:val="20"/>
          <w:szCs w:val="20"/>
          <w:lang w:val="en-MY" w:eastAsia="en-GB" w:bidi="ar-SA"/>
        </w:rPr>
      </w:pPr>
    </w:p>
    <w:p w14:paraId="4C5B13C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Table 1</w:t>
      </w:r>
      <w:r w:rsidRPr="002F3518">
        <w:rPr>
          <w:rFonts w:ascii="Times New Roman" w:hAnsi="Times New Roman"/>
          <w:sz w:val="20"/>
          <w:szCs w:val="20"/>
          <w:lang w:val="en-MY" w:eastAsia="en-GB" w:bidi="ar-SA"/>
        </w:rPr>
        <w:t>. Comparison of fabricated graphene-magnetite for lithium-ion battery application</w:t>
      </w:r>
    </w:p>
    <w:p w14:paraId="5D119ABE" w14:textId="77777777" w:rsidR="002F3518" w:rsidRPr="002F3518" w:rsidRDefault="002F3518" w:rsidP="002F3518">
      <w:pPr>
        <w:spacing w:after="0"/>
        <w:jc w:val="center"/>
        <w:rPr>
          <w:rFonts w:ascii="Times New Roman" w:hAnsi="Times New Roman"/>
          <w:sz w:val="20"/>
          <w:szCs w:val="20"/>
          <w:lang w:val="en-MY" w:eastAsia="en-GB" w:bidi="ar-SA"/>
        </w:rPr>
      </w:pP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1222"/>
        <w:gridCol w:w="1431"/>
        <w:gridCol w:w="1476"/>
        <w:gridCol w:w="1548"/>
        <w:gridCol w:w="644"/>
      </w:tblGrid>
      <w:tr w:rsidR="002F3518" w:rsidRPr="002F3518" w14:paraId="7B699E63" w14:textId="77777777" w:rsidTr="00B07F6D">
        <w:trPr>
          <w:trHeight w:val="510"/>
          <w:jc w:val="center"/>
        </w:trPr>
        <w:tc>
          <w:tcPr>
            <w:tcW w:w="0" w:type="auto"/>
            <w:tcBorders>
              <w:top w:val="single" w:sz="4" w:space="0" w:color="auto"/>
              <w:bottom w:val="single" w:sz="4" w:space="0" w:color="auto"/>
            </w:tcBorders>
          </w:tcPr>
          <w:p w14:paraId="076A5DBE"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Anode Materials</w:t>
            </w:r>
          </w:p>
        </w:tc>
        <w:tc>
          <w:tcPr>
            <w:tcW w:w="0" w:type="auto"/>
            <w:tcBorders>
              <w:top w:val="single" w:sz="4" w:space="0" w:color="auto"/>
              <w:bottom w:val="single" w:sz="4" w:space="0" w:color="auto"/>
            </w:tcBorders>
          </w:tcPr>
          <w:p w14:paraId="169AF906"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Current Density </w:t>
            </w:r>
          </w:p>
          <w:p w14:paraId="52501B18"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662C3F3C"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Discharge Capacity </w:t>
            </w:r>
          </w:p>
          <w:p w14:paraId="4A82C0A1"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(mAhg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1524C68B"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Reversible Capacity </w:t>
            </w:r>
          </w:p>
          <w:p w14:paraId="3EE1851C"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(mAhg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6CBC4901"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Coulombic Efficiency </w:t>
            </w:r>
          </w:p>
          <w:p w14:paraId="0E49904C"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37315A7F"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1F2C9E22" w14:textId="77777777" w:rsidTr="00B07F6D">
        <w:trPr>
          <w:trHeight w:val="248"/>
          <w:jc w:val="center"/>
        </w:trPr>
        <w:tc>
          <w:tcPr>
            <w:tcW w:w="0" w:type="auto"/>
            <w:tcBorders>
              <w:top w:val="single" w:sz="4" w:space="0" w:color="auto"/>
            </w:tcBorders>
          </w:tcPr>
          <w:p w14:paraId="1DEE3D85"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Tight anchoring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/Graphene</w:t>
            </w:r>
          </w:p>
        </w:tc>
        <w:tc>
          <w:tcPr>
            <w:tcW w:w="0" w:type="auto"/>
            <w:tcBorders>
              <w:top w:val="single" w:sz="4" w:space="0" w:color="auto"/>
            </w:tcBorders>
          </w:tcPr>
          <w:p w14:paraId="57BACD0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50</w:t>
            </w:r>
          </w:p>
        </w:tc>
        <w:tc>
          <w:tcPr>
            <w:tcW w:w="0" w:type="auto"/>
            <w:tcBorders>
              <w:top w:val="single" w:sz="4" w:space="0" w:color="auto"/>
            </w:tcBorders>
          </w:tcPr>
          <w:p w14:paraId="3458DB8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1133</w:t>
            </w:r>
          </w:p>
        </w:tc>
        <w:tc>
          <w:tcPr>
            <w:tcW w:w="0" w:type="auto"/>
            <w:tcBorders>
              <w:top w:val="single" w:sz="4" w:space="0" w:color="auto"/>
            </w:tcBorders>
          </w:tcPr>
          <w:p w14:paraId="4FEB0DF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1045</w:t>
            </w:r>
          </w:p>
        </w:tc>
        <w:tc>
          <w:tcPr>
            <w:tcW w:w="0" w:type="auto"/>
            <w:tcBorders>
              <w:top w:val="single" w:sz="4" w:space="0" w:color="auto"/>
            </w:tcBorders>
          </w:tcPr>
          <w:p w14:paraId="07842FA7"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w:t>
            </w:r>
          </w:p>
        </w:tc>
        <w:tc>
          <w:tcPr>
            <w:tcW w:w="0" w:type="auto"/>
            <w:tcBorders>
              <w:top w:val="single" w:sz="4" w:space="0" w:color="auto"/>
            </w:tcBorders>
          </w:tcPr>
          <w:p w14:paraId="7524C87F"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[30]</w:t>
            </w:r>
          </w:p>
        </w:tc>
      </w:tr>
      <w:tr w:rsidR="002F3518" w:rsidRPr="002F3518" w14:paraId="0DA4593B" w14:textId="77777777" w:rsidTr="00B07F6D">
        <w:trPr>
          <w:trHeight w:val="510"/>
          <w:jc w:val="center"/>
        </w:trPr>
        <w:tc>
          <w:tcPr>
            <w:tcW w:w="0" w:type="auto"/>
          </w:tcPr>
          <w:p w14:paraId="0DBB4AB5"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Gelatin-functionalized graphene decorated with iron oxide</w:t>
            </w:r>
          </w:p>
        </w:tc>
        <w:tc>
          <w:tcPr>
            <w:tcW w:w="0" w:type="auto"/>
          </w:tcPr>
          <w:p w14:paraId="652DB8C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w:t>
            </w:r>
          </w:p>
        </w:tc>
        <w:tc>
          <w:tcPr>
            <w:tcW w:w="0" w:type="auto"/>
          </w:tcPr>
          <w:p w14:paraId="26158407"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1096</w:t>
            </w:r>
          </w:p>
        </w:tc>
        <w:tc>
          <w:tcPr>
            <w:tcW w:w="0" w:type="auto"/>
          </w:tcPr>
          <w:p w14:paraId="2276D81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924</w:t>
            </w:r>
          </w:p>
        </w:tc>
        <w:tc>
          <w:tcPr>
            <w:tcW w:w="0" w:type="auto"/>
          </w:tcPr>
          <w:p w14:paraId="444B974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99</w:t>
            </w:r>
          </w:p>
        </w:tc>
        <w:tc>
          <w:tcPr>
            <w:tcW w:w="0" w:type="auto"/>
          </w:tcPr>
          <w:p w14:paraId="22F78B36"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[36]</w:t>
            </w:r>
          </w:p>
        </w:tc>
      </w:tr>
      <w:tr w:rsidR="002F3518" w:rsidRPr="002F3518" w14:paraId="5046F336" w14:textId="77777777" w:rsidTr="00B07F6D">
        <w:trPr>
          <w:trHeight w:val="197"/>
          <w:jc w:val="center"/>
        </w:trPr>
        <w:tc>
          <w:tcPr>
            <w:tcW w:w="0" w:type="auto"/>
          </w:tcPr>
          <w:p w14:paraId="74FFF244"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/Gr nanoparticles</w:t>
            </w:r>
          </w:p>
        </w:tc>
        <w:tc>
          <w:tcPr>
            <w:tcW w:w="0" w:type="auto"/>
          </w:tcPr>
          <w:p w14:paraId="19FDFFA2"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4044B71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920</w:t>
            </w:r>
          </w:p>
        </w:tc>
        <w:tc>
          <w:tcPr>
            <w:tcW w:w="0" w:type="auto"/>
          </w:tcPr>
          <w:p w14:paraId="273144B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2825623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96</w:t>
            </w:r>
          </w:p>
        </w:tc>
        <w:tc>
          <w:tcPr>
            <w:tcW w:w="0" w:type="auto"/>
          </w:tcPr>
          <w:p w14:paraId="3D35B3FE"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[21]</w:t>
            </w:r>
          </w:p>
        </w:tc>
      </w:tr>
      <w:tr w:rsidR="002F3518" w:rsidRPr="002F3518" w14:paraId="3D60D1B5" w14:textId="77777777" w:rsidTr="00B07F6D">
        <w:trPr>
          <w:trHeight w:val="247"/>
          <w:jc w:val="center"/>
        </w:trPr>
        <w:tc>
          <w:tcPr>
            <w:tcW w:w="0" w:type="auto"/>
          </w:tcPr>
          <w:p w14:paraId="4CED3396"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/trigol reduced graphene</w:t>
            </w:r>
          </w:p>
        </w:tc>
        <w:tc>
          <w:tcPr>
            <w:tcW w:w="0" w:type="auto"/>
          </w:tcPr>
          <w:p w14:paraId="42E0DA95"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w:t>
            </w:r>
          </w:p>
        </w:tc>
        <w:tc>
          <w:tcPr>
            <w:tcW w:w="0" w:type="auto"/>
          </w:tcPr>
          <w:p w14:paraId="472E5ED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1880</w:t>
            </w:r>
          </w:p>
        </w:tc>
        <w:tc>
          <w:tcPr>
            <w:tcW w:w="0" w:type="auto"/>
          </w:tcPr>
          <w:p w14:paraId="58F960B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1024</w:t>
            </w:r>
          </w:p>
        </w:tc>
        <w:tc>
          <w:tcPr>
            <w:tcW w:w="0" w:type="auto"/>
          </w:tcPr>
          <w:p w14:paraId="71FFCA3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91</w:t>
            </w:r>
          </w:p>
        </w:tc>
        <w:tc>
          <w:tcPr>
            <w:tcW w:w="0" w:type="auto"/>
          </w:tcPr>
          <w:p w14:paraId="7CFE2866"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[37]</w:t>
            </w:r>
          </w:p>
        </w:tc>
      </w:tr>
      <w:tr w:rsidR="002F3518" w:rsidRPr="002F3518" w14:paraId="1BFCCCDD" w14:textId="77777777" w:rsidTr="00B07F6D">
        <w:trPr>
          <w:trHeight w:val="325"/>
          <w:jc w:val="center"/>
        </w:trPr>
        <w:tc>
          <w:tcPr>
            <w:tcW w:w="0" w:type="auto"/>
          </w:tcPr>
          <w:p w14:paraId="4659E1F3"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N-doped carbon coated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Pr>
          <w:p w14:paraId="013DEEE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40032CFF"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1173</w:t>
            </w:r>
          </w:p>
        </w:tc>
        <w:tc>
          <w:tcPr>
            <w:tcW w:w="0" w:type="auto"/>
          </w:tcPr>
          <w:p w14:paraId="54E20FFF"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800</w:t>
            </w:r>
          </w:p>
        </w:tc>
        <w:tc>
          <w:tcPr>
            <w:tcW w:w="0" w:type="auto"/>
          </w:tcPr>
          <w:p w14:paraId="7F8C9B6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99</w:t>
            </w:r>
          </w:p>
        </w:tc>
        <w:tc>
          <w:tcPr>
            <w:tcW w:w="0" w:type="auto"/>
          </w:tcPr>
          <w:p w14:paraId="5031A7BD"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[38]</w:t>
            </w:r>
          </w:p>
        </w:tc>
      </w:tr>
      <w:tr w:rsidR="002F3518" w:rsidRPr="002F3518" w14:paraId="497C6FD3" w14:textId="77777777" w:rsidTr="00B07F6D">
        <w:trPr>
          <w:trHeight w:val="247"/>
          <w:jc w:val="center"/>
        </w:trPr>
        <w:tc>
          <w:tcPr>
            <w:tcW w:w="0" w:type="auto"/>
          </w:tcPr>
          <w:p w14:paraId="4C4BED89"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3D hierarchical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/Graphene</w:t>
            </w:r>
          </w:p>
        </w:tc>
        <w:tc>
          <w:tcPr>
            <w:tcW w:w="0" w:type="auto"/>
          </w:tcPr>
          <w:p w14:paraId="17E483E7"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92.5</w:t>
            </w:r>
          </w:p>
        </w:tc>
        <w:tc>
          <w:tcPr>
            <w:tcW w:w="0" w:type="auto"/>
          </w:tcPr>
          <w:p w14:paraId="34A4F44F"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1114</w:t>
            </w:r>
          </w:p>
        </w:tc>
        <w:tc>
          <w:tcPr>
            <w:tcW w:w="0" w:type="auto"/>
          </w:tcPr>
          <w:p w14:paraId="373D47CD"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609</w:t>
            </w:r>
          </w:p>
        </w:tc>
        <w:tc>
          <w:tcPr>
            <w:tcW w:w="0" w:type="auto"/>
          </w:tcPr>
          <w:p w14:paraId="44F859C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92.5</w:t>
            </w:r>
          </w:p>
        </w:tc>
        <w:tc>
          <w:tcPr>
            <w:tcW w:w="0" w:type="auto"/>
          </w:tcPr>
          <w:p w14:paraId="06997DD1"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[20]</w:t>
            </w:r>
          </w:p>
        </w:tc>
      </w:tr>
      <w:tr w:rsidR="002F3518" w:rsidRPr="002F3518" w14:paraId="0F2D2A9A" w14:textId="77777777" w:rsidTr="00B07F6D">
        <w:trPr>
          <w:trHeight w:val="453"/>
          <w:jc w:val="center"/>
        </w:trPr>
        <w:tc>
          <w:tcPr>
            <w:tcW w:w="0" w:type="auto"/>
          </w:tcPr>
          <w:p w14:paraId="45DAD4A2"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Reduced graphene oxide@ nitrogen doped carbon</w:t>
            </w:r>
          </w:p>
        </w:tc>
        <w:tc>
          <w:tcPr>
            <w:tcW w:w="0" w:type="auto"/>
          </w:tcPr>
          <w:p w14:paraId="771C22A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0D6ACF7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409.4</w:t>
            </w:r>
          </w:p>
        </w:tc>
        <w:tc>
          <w:tcPr>
            <w:tcW w:w="0" w:type="auto"/>
          </w:tcPr>
          <w:p w14:paraId="55A5DDDF"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573DA57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w:t>
            </w:r>
          </w:p>
        </w:tc>
        <w:tc>
          <w:tcPr>
            <w:tcW w:w="0" w:type="auto"/>
          </w:tcPr>
          <w:p w14:paraId="73012D2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[26]</w:t>
            </w:r>
          </w:p>
        </w:tc>
      </w:tr>
      <w:tr w:rsidR="002F3518" w:rsidRPr="002F3518" w14:paraId="78B8A1DF" w14:textId="77777777" w:rsidTr="00B07F6D">
        <w:trPr>
          <w:trHeight w:val="77"/>
          <w:jc w:val="center"/>
        </w:trPr>
        <w:tc>
          <w:tcPr>
            <w:tcW w:w="0" w:type="auto"/>
          </w:tcPr>
          <w:p w14:paraId="52C800BB"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/rGO</w:t>
            </w:r>
          </w:p>
        </w:tc>
        <w:tc>
          <w:tcPr>
            <w:tcW w:w="0" w:type="auto"/>
          </w:tcPr>
          <w:p w14:paraId="5DD0D4E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Pr>
          <w:p w14:paraId="2F84B35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10E17331"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1242</w:t>
            </w:r>
          </w:p>
        </w:tc>
        <w:tc>
          <w:tcPr>
            <w:tcW w:w="0" w:type="auto"/>
          </w:tcPr>
          <w:p w14:paraId="340CDD11"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97</w:t>
            </w:r>
          </w:p>
        </w:tc>
        <w:tc>
          <w:tcPr>
            <w:tcW w:w="0" w:type="auto"/>
          </w:tcPr>
          <w:p w14:paraId="6C89ACD7"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[39]</w:t>
            </w:r>
          </w:p>
        </w:tc>
      </w:tr>
    </w:tbl>
    <w:p w14:paraId="74C38BE2" w14:textId="77777777" w:rsidR="0012745E" w:rsidRDefault="0012745E" w:rsidP="002F3518">
      <w:pPr>
        <w:spacing w:after="0"/>
        <w:jc w:val="both"/>
        <w:rPr>
          <w:rFonts w:ascii="Times New Roman" w:hAnsi="Times New Roman"/>
          <w:b/>
          <w:iCs/>
          <w:sz w:val="20"/>
          <w:szCs w:val="20"/>
          <w:lang w:val="en-MY" w:eastAsia="en-GB" w:bidi="ar-SA"/>
        </w:rPr>
        <w:sectPr w:rsidR="0012745E" w:rsidSect="001D33F5">
          <w:type w:val="continuous"/>
          <w:pgSz w:w="12240" w:h="15840" w:code="1"/>
          <w:pgMar w:top="1800" w:right="1469" w:bottom="1699" w:left="1440" w:header="706" w:footer="706" w:gutter="0"/>
          <w:pgNumType w:start="1"/>
          <w:cols w:space="403"/>
          <w:docGrid w:linePitch="360"/>
        </w:sectPr>
      </w:pPr>
    </w:p>
    <w:p w14:paraId="164290BF"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lastRenderedPageBreak/>
        <w:t xml:space="preserve">Fuel cell </w:t>
      </w:r>
    </w:p>
    <w:p w14:paraId="12B7B107"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Fuel cell has been a source of energy generation for the past few decades. It has been recognised as the most efficient substitute for fossil fuels [44]. Sir William Robert Grove invented the first fuel cell by developing a wet-cell battery that depended on the electrochemical reaction that split water into hydrogen (H</w:t>
      </w:r>
      <w:r w:rsidRPr="002F3518">
        <w:rPr>
          <w:rFonts w:ascii="Times New Roman" w:hAnsi="Times New Roman"/>
          <w:sz w:val="20"/>
          <w:szCs w:val="20"/>
          <w:vertAlign w:val="superscript"/>
          <w:lang w:val="en-MY" w:eastAsia="en-GB" w:bidi="ar-SA"/>
        </w:rPr>
        <w:t>+</w:t>
      </w:r>
      <w:r w:rsidRPr="002F3518">
        <w:rPr>
          <w:rFonts w:ascii="Times New Roman" w:hAnsi="Times New Roman"/>
          <w:sz w:val="20"/>
          <w:szCs w:val="20"/>
          <w:lang w:val="en-MY" w:eastAsia="en-GB" w:bidi="ar-SA"/>
        </w:rPr>
        <w:t>) and oxygen (O</w:t>
      </w:r>
      <w:r w:rsidRPr="002F3518">
        <w:rPr>
          <w:rFonts w:ascii="Times New Roman" w:hAnsi="Times New Roman"/>
          <w:sz w:val="20"/>
          <w:szCs w:val="20"/>
          <w:vertAlign w:val="superscript"/>
          <w:lang w:val="en-MY" w:eastAsia="en-GB" w:bidi="ar-SA"/>
        </w:rPr>
        <w:t>-</w:t>
      </w:r>
      <w:r w:rsidRPr="002F3518">
        <w:rPr>
          <w:rFonts w:ascii="Times New Roman" w:hAnsi="Times New Roman"/>
          <w:sz w:val="20"/>
          <w:szCs w:val="20"/>
          <w:lang w:val="en-MY" w:eastAsia="en-GB" w:bidi="ar-SA"/>
        </w:rPr>
        <w:t>) ions. Since then, many other types of fuel cells have been invented and applied as a source of energy which contributes less pollution compared to other methods. Commonly used fuel cells include alkaline fuel cells, solid oxide fuel cells, microfluidic fuel cell, proton exchange membrane fuel cell, microbial fuel cell, and many more [45, 46]. The concept of fuel cell is the movement of electrons from cathode to anode. In general, hydrogen atoms enter a fuel cell at the anode, stripped of their electrons by a chemical reaction. The hydrogen atoms become "ionised," or electrically charged. Negatively charged electrons carry electricity across wires, allowing work to be done. The DC output of the fuel cell must be channelled via a conversion device called an inverter if alternating current (AC) is required.  The cathode is where oxygen enters the fuel cell and then combines with electrons returning from the electrical circuit and hydrogen ions that have gone through the electrolyte from the anode in some cell types (like the one seen above). In other types of cells, oxygen picks up electrons and then travels through the electrolyte to reach the cell membrane. The best part of the fuel cell is that it is a renewable energy resource, easy to be constructed, and environmentally friendly, where no mass land destruction needs to be done to build platforms for other renewable resources such as windmills and hydro turbines. Fuel cell does not stop working as long as fuels (e.g., hydrogen, which is often used) and oxidants are supplied to the anodic chamber and cathodic chamber. The hydrogen oxidises at the anode where the reaction is called hydrogen evolution reaction (HER). At the same time, the oxygen is being reduced at the cathode, and the reaction is known as oxygen reduction reaction (ORR).</w:t>
      </w:r>
    </w:p>
    <w:p w14:paraId="2C0F1184" w14:textId="77777777" w:rsidR="002F3518" w:rsidRPr="002F3518" w:rsidRDefault="002F3518" w:rsidP="002F3518">
      <w:pPr>
        <w:spacing w:after="0"/>
        <w:jc w:val="both"/>
        <w:rPr>
          <w:rFonts w:ascii="Times New Roman" w:hAnsi="Times New Roman"/>
          <w:sz w:val="20"/>
          <w:szCs w:val="20"/>
          <w:lang w:val="en-MY" w:eastAsia="en-GB" w:bidi="ar-SA"/>
        </w:rPr>
      </w:pPr>
    </w:p>
    <w:p w14:paraId="591FC2BA"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ORR at the cathode proceeds proceeds mainly through two pathways: indirect two-electron reduction (equation 1 and 2) and direct four-electron reduction (equation 3). The four-electron reaction is preferable because it does </w:t>
      </w:r>
      <w:r w:rsidRPr="002F3518">
        <w:rPr>
          <w:rFonts w:ascii="Times New Roman" w:hAnsi="Times New Roman"/>
          <w:bCs/>
          <w:sz w:val="20"/>
          <w:szCs w:val="20"/>
          <w:lang w:val="en-MY" w:eastAsia="en-GB" w:bidi="ar-SA"/>
        </w:rPr>
        <w:t>not produce peroxide species in the reaction as the reactivity of H</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 xml:space="preserve"> is relatively higher than the stability of H</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O produced in the direct reaction [47]. The direct reaction also has higher operating potential and current efficiency as compared to the indirect reaction.</w:t>
      </w:r>
      <w:r w:rsidRPr="002F3518">
        <w:rPr>
          <w:rFonts w:ascii="Times New Roman" w:hAnsi="Times New Roman"/>
          <w:sz w:val="20"/>
          <w:szCs w:val="20"/>
          <w:lang w:val="en-MY" w:eastAsia="en-GB" w:bidi="ar-SA"/>
        </w:rPr>
        <w:t xml:space="preserve">  </w:t>
      </w:r>
      <w:r w:rsidRPr="002F3518">
        <w:rPr>
          <w:rFonts w:ascii="Times New Roman" w:hAnsi="Times New Roman"/>
          <w:bCs/>
          <w:sz w:val="20"/>
          <w:szCs w:val="20"/>
          <w:lang w:val="en-MY" w:eastAsia="en-GB" w:bidi="ar-SA"/>
        </w:rPr>
        <w:t>But in general terms, hydrogen atoms enter a fuel cell at the anode, where a chemical reaction strips them off their electrons. The hydrogen atoms are "ionised" and carries a positive electrical charge. The negatively charged electrons provide the current through wires to do work. If alternating current (AC) is needed, the DC output of the fuel cell must be routed through a conversion device called an inverter. Oxygen enters the fuel cell at the cathode. In some cell types (like the one illustrated above), it combines with electrons returning from the electrical circuit and hydrogen ions that have travelled through the electrolyte from the anode. In other cell types, oxygen picks up electrons and then travels through the electrolyte to the anode, where it combines with hydrogen ions. The electrolyte plays a key role. It must permit only the appropriate ions to pass between the anode and cathode. If free electrons or other substances travel through the electrolyte, they will disrupt the chemical reaction whether they combine at anode or cathode, together with hydrogen and oxygen form water, which drains from the cell. As long as a fuel cell is supplied with hydrogen and oxygen, it will generate electricity.</w:t>
      </w:r>
    </w:p>
    <w:p w14:paraId="327E483E" w14:textId="77777777" w:rsidR="002F3518" w:rsidRPr="002F3518" w:rsidRDefault="002F3518" w:rsidP="002F3518">
      <w:pPr>
        <w:spacing w:after="0"/>
        <w:jc w:val="both"/>
        <w:rPr>
          <w:rFonts w:ascii="Times New Roman" w:hAnsi="Times New Roman"/>
          <w:sz w:val="20"/>
          <w:szCs w:val="20"/>
          <w:lang w:val="en-MY" w:eastAsia="en-GB" w:bidi="ar-SA"/>
        </w:rPr>
      </w:pPr>
    </w:p>
    <w:p w14:paraId="31A630DD" w14:textId="1F253F76" w:rsidR="002F3518" w:rsidRPr="002F3518" w:rsidRDefault="00FB0E79" w:rsidP="00F41D9A">
      <w:pPr>
        <w:spacing w:after="0"/>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 xml:space="preserve">2 </m:t>
            </m:r>
          </m:sub>
        </m:sSub>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2H</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2e</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H</m:t>
            </m:r>
          </m:e>
          <m:sub>
            <m:r>
              <m:rPr>
                <m:sty m:val="p"/>
              </m:rPr>
              <w:rPr>
                <w:rFonts w:ascii="Cambria Math" w:hAnsi="Cambria Math"/>
                <w:sz w:val="20"/>
                <w:szCs w:val="20"/>
                <w:lang w:val="en-MY" w:eastAsia="en-GB" w:bidi="ar-SA"/>
              </w:rPr>
              <m:t>2</m:t>
            </m:r>
          </m:sub>
        </m:sSub>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(1)</w:t>
      </w:r>
    </w:p>
    <w:p w14:paraId="4FAD6CEB" w14:textId="77777777" w:rsidR="002F3518" w:rsidRPr="002F3518" w:rsidRDefault="002F3518" w:rsidP="00F41D9A">
      <w:pPr>
        <w:spacing w:after="0"/>
        <w:jc w:val="both"/>
        <w:rPr>
          <w:rFonts w:ascii="Times New Roman" w:hAnsi="Times New Roman"/>
          <w:sz w:val="20"/>
          <w:szCs w:val="20"/>
          <w:lang w:val="en-MY" w:eastAsia="en-GB" w:bidi="ar-SA"/>
        </w:rPr>
      </w:pPr>
    </w:p>
    <w:p w14:paraId="4B385D05" w14:textId="4F29F36B" w:rsidR="002F3518" w:rsidRPr="002F3518" w:rsidRDefault="00FB0E79" w:rsidP="00F41D9A">
      <w:pPr>
        <w:spacing w:after="0"/>
        <w:jc w:val="both"/>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H</m:t>
            </m:r>
          </m:e>
          <m:sub>
            <m:r>
              <m:rPr>
                <m:sty m:val="p"/>
              </m:rPr>
              <w:rPr>
                <w:rFonts w:ascii="Cambria Math" w:hAnsi="Cambria Math"/>
                <w:sz w:val="20"/>
                <w:szCs w:val="20"/>
                <w:lang w:val="en-MY" w:eastAsia="en-GB" w:bidi="ar-SA"/>
              </w:rPr>
              <m:t>2</m:t>
            </m:r>
          </m:sub>
        </m:sSub>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 xml:space="preserve"> </m:t>
        </m:r>
        <m:r>
          <m:rPr>
            <m:sty m:val="p"/>
          </m:rPr>
          <w:rPr>
            <w:rFonts w:ascii="Cambria Math" w:hAnsi="Times New Roman"/>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Times New Roman"/>
                <w:sz w:val="20"/>
                <w:szCs w:val="20"/>
                <w:lang w:val="en-MY" w:eastAsia="en-GB" w:bidi="ar-SA"/>
              </w:rPr>
              <m:t>2H</m:t>
            </m:r>
          </m:e>
          <m:sup>
            <m:r>
              <m:rPr>
                <m:sty m:val="p"/>
              </m:rPr>
              <w:rPr>
                <w:rFonts w:ascii="Cambria Math" w:hAnsi="Times New Roman"/>
                <w:sz w:val="20"/>
                <w:szCs w:val="20"/>
                <w:lang w:val="en-MY" w:eastAsia="en-GB" w:bidi="ar-SA"/>
              </w:rPr>
              <m:t>+</m:t>
            </m:r>
          </m:sup>
        </m:sSup>
        <m:r>
          <m:rPr>
            <m:sty m:val="p"/>
          </m:rPr>
          <w:rPr>
            <w:rFonts w:ascii="Cambria Math" w:hAnsi="Times New Roman"/>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Times New Roman"/>
                <w:sz w:val="20"/>
                <w:szCs w:val="20"/>
                <w:lang w:val="en-MY" w:eastAsia="en-GB" w:bidi="ar-SA"/>
              </w:rPr>
              <m:t>2e</m:t>
            </m:r>
          </m:e>
          <m:sup>
            <m:r>
              <m:rPr>
                <m:sty m:val="p"/>
              </m:rPr>
              <w:rPr>
                <w:rFonts w:ascii="Cambria Math" w:hAnsi="Times New Roman"/>
                <w:sz w:val="20"/>
                <w:szCs w:val="20"/>
                <w:lang w:val="en-MY" w:eastAsia="en-GB" w:bidi="ar-SA"/>
              </w:rPr>
              <m:t>-</m:t>
            </m:r>
          </m:sup>
        </m:sSup>
        <m:r>
          <m:rPr>
            <m:sty m:val="p"/>
          </m:rPr>
          <w:rPr>
            <w:rFonts w:ascii="Cambria Math" w:hAnsi="Cambria Math"/>
            <w:sz w:val="20"/>
            <w:szCs w:val="20"/>
            <w:lang w:val="en-MY" w:eastAsia="en-GB" w:bidi="ar-SA"/>
          </w:rPr>
          <m:t>→</m:t>
        </m:r>
        <m:r>
          <m:rPr>
            <m:sty m:val="p"/>
          </m:rPr>
          <w:rPr>
            <w:rFonts w:ascii="Cambria Math" w:hAnsi="Times New Roman"/>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Times New Roman"/>
                <w:sz w:val="20"/>
                <w:szCs w:val="20"/>
                <w:lang w:val="en-MY" w:eastAsia="en-GB" w:bidi="ar-SA"/>
              </w:rPr>
              <m:t>2H</m:t>
            </m:r>
          </m:e>
          <m:sub>
            <m:r>
              <m:rPr>
                <m:sty m:val="p"/>
              </m:rPr>
              <w:rPr>
                <w:rFonts w:ascii="Cambria Math" w:hAnsi="Times New Roman"/>
                <w:sz w:val="20"/>
                <w:szCs w:val="20"/>
                <w:lang w:val="en-MY" w:eastAsia="en-GB" w:bidi="ar-SA"/>
              </w:rPr>
              <m:t>2</m:t>
            </m:r>
          </m:sub>
        </m:sSub>
        <m:r>
          <m:rPr>
            <m:sty m:val="p"/>
          </m:rPr>
          <w:rPr>
            <w:rFonts w:ascii="Cambria Math" w:hAnsi="Times New Roman"/>
            <w:sz w:val="20"/>
            <w:szCs w:val="20"/>
            <w:lang w:val="en-MY" w:eastAsia="en-GB" w:bidi="ar-SA"/>
          </w:rPr>
          <m:t>O</m:t>
        </m:r>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(2)</w:t>
      </w:r>
    </w:p>
    <w:p w14:paraId="4C556700" w14:textId="77777777" w:rsidR="002F3518" w:rsidRPr="002F3518" w:rsidRDefault="002F3518" w:rsidP="00F41D9A">
      <w:pPr>
        <w:spacing w:after="0"/>
        <w:jc w:val="both"/>
        <w:rPr>
          <w:rFonts w:ascii="Times New Roman" w:hAnsi="Times New Roman"/>
          <w:sz w:val="20"/>
          <w:szCs w:val="20"/>
          <w:lang w:val="en-MY" w:eastAsia="en-GB" w:bidi="ar-SA"/>
        </w:rPr>
      </w:pPr>
    </w:p>
    <w:p w14:paraId="035D5135" w14:textId="57DC9B5C" w:rsidR="002F3518" w:rsidRPr="002F3518" w:rsidRDefault="00FB0E79" w:rsidP="00F41D9A">
      <w:pPr>
        <w:spacing w:after="0"/>
        <w:jc w:val="both"/>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4H</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4e</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2H</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O</m:t>
        </m:r>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(3)</w:t>
      </w:r>
    </w:p>
    <w:p w14:paraId="2E010871" w14:textId="77777777" w:rsidR="002F3518" w:rsidRPr="002F3518" w:rsidRDefault="002F3518" w:rsidP="002F3518">
      <w:pPr>
        <w:spacing w:after="0"/>
        <w:jc w:val="center"/>
        <w:rPr>
          <w:rFonts w:ascii="Times New Roman" w:hAnsi="Times New Roman"/>
          <w:sz w:val="20"/>
          <w:szCs w:val="20"/>
          <w:lang w:val="en-MY" w:eastAsia="en-GB" w:bidi="ar-SA"/>
        </w:rPr>
      </w:pPr>
    </w:p>
    <w:p w14:paraId="78AD94A4"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The overall performance of the fuel cell is mainly dependable on the electrode applied.  Therefore, the exceptional material such as graphene is opted as the appropriate electrode for fuel cell. Noticeable high electrical conductivity features of graphene aids to smoothen the flow of ions and charge transportation in the fuel cell. Graphene's sp2 hexagonal lattice structure exhibits a high specific area which contributes to high capacitance value in the fuel cell and can be easily used as electrode for both application of HER and ORR [48, 12].  Graphene also possesses a high carrier mobility </w:t>
      </w:r>
      <w:r w:rsidRPr="002F3518">
        <w:rPr>
          <w:rFonts w:ascii="Times New Roman" w:hAnsi="Times New Roman"/>
          <w:bCs/>
          <w:sz w:val="20"/>
          <w:szCs w:val="20"/>
          <w:lang w:val="en-MY" w:eastAsia="en-GB" w:bidi="ar-SA"/>
        </w:rPr>
        <w:lastRenderedPageBreak/>
        <w:t>with a value of 2x10</w:t>
      </w:r>
      <w:r w:rsidRPr="002F3518">
        <w:rPr>
          <w:rFonts w:ascii="Times New Roman" w:hAnsi="Times New Roman"/>
          <w:bCs/>
          <w:sz w:val="20"/>
          <w:szCs w:val="20"/>
          <w:vertAlign w:val="superscript"/>
          <w:lang w:val="en-MY" w:eastAsia="en-GB" w:bidi="ar-SA"/>
        </w:rPr>
        <w:t>-5</w:t>
      </w:r>
      <w:r w:rsidRPr="002F3518">
        <w:rPr>
          <w:rFonts w:ascii="Times New Roman" w:hAnsi="Times New Roman"/>
          <w:bCs/>
          <w:sz w:val="20"/>
          <w:szCs w:val="20"/>
          <w:lang w:val="en-MY" w:eastAsia="en-GB" w:bidi="ar-SA"/>
        </w:rPr>
        <w:t xml:space="preserve"> cm</w:t>
      </w:r>
      <w:r w:rsidRPr="002F3518">
        <w:rPr>
          <w:rFonts w:ascii="Times New Roman" w:hAnsi="Times New Roman"/>
          <w:bCs/>
          <w:sz w:val="20"/>
          <w:szCs w:val="20"/>
          <w:vertAlign w:val="superscript"/>
          <w:lang w:val="en-MY" w:eastAsia="en-GB" w:bidi="ar-SA"/>
        </w:rPr>
        <w:t>2</w:t>
      </w:r>
      <w:r w:rsidRPr="002F3518">
        <w:rPr>
          <w:rFonts w:ascii="Times New Roman" w:hAnsi="Times New Roman"/>
          <w:bCs/>
          <w:sz w:val="20"/>
          <w:szCs w:val="20"/>
          <w:lang w:val="en-MY" w:eastAsia="en-GB" w:bidi="ar-SA"/>
        </w:rPr>
        <w:t xml:space="preserve">/V/s, high mechanical strength, high transparency (~97.7%), and is also thermochemically stable. </w:t>
      </w:r>
    </w:p>
    <w:p w14:paraId="362C3D42" w14:textId="77777777" w:rsidR="002F3518" w:rsidRPr="002F3518" w:rsidRDefault="002F3518" w:rsidP="002F3518">
      <w:pPr>
        <w:spacing w:after="0"/>
        <w:jc w:val="both"/>
        <w:rPr>
          <w:rFonts w:ascii="Times New Roman" w:hAnsi="Times New Roman"/>
          <w:sz w:val="20"/>
          <w:szCs w:val="20"/>
          <w:lang w:val="en-MY" w:eastAsia="en-GB" w:bidi="ar-SA"/>
        </w:rPr>
      </w:pPr>
    </w:p>
    <w:p w14:paraId="5A36D32F"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The highly abundant iron oxide is acknowledged as a low-cost material to replace the conventional Pt electrode which make it one of the main reasons of usage in fuel cell application. Iron oxide possess excellent magnetic properties and high selectivity towards the oxygen reduction reaction [49, 50]. However, during the synthesis process of iron oxide, the composite tends to </w:t>
      </w:r>
      <w:r w:rsidRPr="002F3518">
        <w:rPr>
          <w:rFonts w:ascii="Times New Roman" w:hAnsi="Times New Roman"/>
          <w:sz w:val="20"/>
          <w:szCs w:val="20"/>
          <w:lang w:val="en-MY" w:eastAsia="en-GB" w:bidi="ar-SA"/>
        </w:rPr>
        <w:t>agglomerate due to uncontrollable growth of magnetite ion thus resulting in depleting performance in ORR and HER. In order to prevent such problem, use of carbonised materials as support to magnetite are very convenient. The incorporation of graphene with iron oxide will decrease the agglomeration of iron oxide. The efficient catalytic activity can also be achieved through the positive synergistic coupling effect between graphene and magnetite particles. Table 2 below shown the reaction pathway of composite in ORR.</w:t>
      </w:r>
    </w:p>
    <w:p w14:paraId="0CDA56B7" w14:textId="77777777" w:rsidR="0012745E" w:rsidRDefault="0012745E" w:rsidP="002F3518">
      <w:pPr>
        <w:spacing w:after="0"/>
        <w:jc w:val="center"/>
        <w:rPr>
          <w:rFonts w:ascii="Times New Roman" w:hAnsi="Times New Roman"/>
          <w:bCs/>
          <w:sz w:val="20"/>
          <w:szCs w:val="20"/>
          <w:lang w:val="en-MY" w:eastAsia="en-GB" w:bidi="ar-SA"/>
        </w:rPr>
        <w:sectPr w:rsidR="0012745E" w:rsidSect="0012745E">
          <w:type w:val="continuous"/>
          <w:pgSz w:w="12240" w:h="15840" w:code="1"/>
          <w:pgMar w:top="1800" w:right="1469" w:bottom="1699" w:left="1440" w:header="706" w:footer="706" w:gutter="0"/>
          <w:pgNumType w:start="1"/>
          <w:cols w:num="2" w:space="403"/>
          <w:docGrid w:linePitch="360"/>
        </w:sectPr>
      </w:pPr>
    </w:p>
    <w:p w14:paraId="5F2ADE9B" w14:textId="77777777" w:rsidR="0012745E" w:rsidRDefault="0012745E" w:rsidP="002F3518">
      <w:pPr>
        <w:spacing w:after="0"/>
        <w:jc w:val="center"/>
        <w:rPr>
          <w:rFonts w:ascii="Times New Roman" w:hAnsi="Times New Roman"/>
          <w:bCs/>
          <w:sz w:val="20"/>
          <w:szCs w:val="20"/>
          <w:lang w:val="en-MY" w:eastAsia="en-GB" w:bidi="ar-SA"/>
        </w:rPr>
      </w:pPr>
    </w:p>
    <w:p w14:paraId="0450937C" w14:textId="2F3D56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Table 2. </w:t>
      </w:r>
      <w:r w:rsidRPr="002F3518">
        <w:rPr>
          <w:rFonts w:ascii="Times New Roman" w:hAnsi="Times New Roman"/>
          <w:sz w:val="20"/>
          <w:szCs w:val="20"/>
          <w:lang w:val="en-MY" w:eastAsia="en-GB" w:bidi="ar-SA"/>
        </w:rPr>
        <w:t>Reaction pathway of composite in ORR</w:t>
      </w:r>
    </w:p>
    <w:p w14:paraId="2236B49F" w14:textId="77777777" w:rsidR="002F3518" w:rsidRPr="002F3518" w:rsidRDefault="002F3518" w:rsidP="002F3518">
      <w:pPr>
        <w:spacing w:after="0"/>
        <w:jc w:val="center"/>
        <w:rPr>
          <w:rFonts w:ascii="Times New Roman" w:hAnsi="Times New Roman"/>
          <w:sz w:val="20"/>
          <w:szCs w:val="20"/>
          <w:lang w:val="en-MY" w:eastAsia="en-GB" w:bidi="ar-SA"/>
        </w:rPr>
      </w:pP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766"/>
        <w:gridCol w:w="1477"/>
        <w:gridCol w:w="1722"/>
        <w:gridCol w:w="800"/>
      </w:tblGrid>
      <w:tr w:rsidR="002F3518" w:rsidRPr="002F3518" w14:paraId="31C0DC2C" w14:textId="77777777" w:rsidTr="00B07F6D">
        <w:trPr>
          <w:trHeight w:val="510"/>
          <w:jc w:val="center"/>
        </w:trPr>
        <w:tc>
          <w:tcPr>
            <w:tcW w:w="0" w:type="auto"/>
            <w:tcBorders>
              <w:top w:val="single" w:sz="4" w:space="0" w:color="auto"/>
              <w:bottom w:val="single" w:sz="4" w:space="0" w:color="auto"/>
            </w:tcBorders>
          </w:tcPr>
          <w:p w14:paraId="27BBF08F"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Composites</w:t>
            </w:r>
          </w:p>
        </w:tc>
        <w:tc>
          <w:tcPr>
            <w:tcW w:w="0" w:type="auto"/>
            <w:tcBorders>
              <w:top w:val="single" w:sz="4" w:space="0" w:color="auto"/>
              <w:bottom w:val="single" w:sz="4" w:space="0" w:color="auto"/>
            </w:tcBorders>
          </w:tcPr>
          <w:p w14:paraId="70086BA6"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Reaction Pathway</w:t>
            </w:r>
          </w:p>
        </w:tc>
        <w:tc>
          <w:tcPr>
            <w:tcW w:w="0" w:type="auto"/>
            <w:tcBorders>
              <w:top w:val="single" w:sz="4" w:space="0" w:color="auto"/>
              <w:bottom w:val="single" w:sz="4" w:space="0" w:color="auto"/>
            </w:tcBorders>
          </w:tcPr>
          <w:p w14:paraId="0E16A702"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ORR Potential </w:t>
            </w:r>
          </w:p>
          <w:p w14:paraId="1611BA31"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(V)</w:t>
            </w:r>
          </w:p>
        </w:tc>
        <w:tc>
          <w:tcPr>
            <w:tcW w:w="0" w:type="auto"/>
            <w:tcBorders>
              <w:top w:val="single" w:sz="4" w:space="0" w:color="auto"/>
              <w:bottom w:val="single" w:sz="4" w:space="0" w:color="auto"/>
            </w:tcBorders>
          </w:tcPr>
          <w:p w14:paraId="4120A1B3"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Reaction Kinetics </w:t>
            </w:r>
          </w:p>
        </w:tc>
        <w:tc>
          <w:tcPr>
            <w:tcW w:w="0" w:type="auto"/>
            <w:tcBorders>
              <w:top w:val="single" w:sz="4" w:space="0" w:color="auto"/>
              <w:bottom w:val="single" w:sz="4" w:space="0" w:color="auto"/>
            </w:tcBorders>
          </w:tcPr>
          <w:p w14:paraId="1BE816D6"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4C598C26" w14:textId="77777777" w:rsidTr="00B07F6D">
        <w:trPr>
          <w:trHeight w:val="261"/>
          <w:jc w:val="center"/>
        </w:trPr>
        <w:tc>
          <w:tcPr>
            <w:tcW w:w="0" w:type="auto"/>
            <w:tcBorders>
              <w:top w:val="single" w:sz="4" w:space="0" w:color="auto"/>
            </w:tcBorders>
          </w:tcPr>
          <w:p w14:paraId="4ECB41F3"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sym w:font="Symbol" w:char="F061"/>
            </w: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/GO</w:t>
            </w:r>
          </w:p>
        </w:tc>
        <w:tc>
          <w:tcPr>
            <w:tcW w:w="0" w:type="auto"/>
            <w:tcBorders>
              <w:top w:val="single" w:sz="4" w:space="0" w:color="auto"/>
            </w:tcBorders>
          </w:tcPr>
          <w:p w14:paraId="66ADE96E"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3.2 to 3.4</w:t>
            </w:r>
          </w:p>
        </w:tc>
        <w:tc>
          <w:tcPr>
            <w:tcW w:w="0" w:type="auto"/>
            <w:tcBorders>
              <w:top w:val="single" w:sz="4" w:space="0" w:color="auto"/>
            </w:tcBorders>
          </w:tcPr>
          <w:p w14:paraId="38E11F37"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-0.3 to -0.5</w:t>
            </w:r>
          </w:p>
        </w:tc>
        <w:tc>
          <w:tcPr>
            <w:tcW w:w="0" w:type="auto"/>
            <w:tcBorders>
              <w:top w:val="single" w:sz="4" w:space="0" w:color="auto"/>
            </w:tcBorders>
          </w:tcPr>
          <w:p w14:paraId="2F775D4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Borders>
              <w:top w:val="single" w:sz="4" w:space="0" w:color="auto"/>
            </w:tcBorders>
          </w:tcPr>
          <w:p w14:paraId="1142D7B2"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[51,52]</w:t>
            </w:r>
          </w:p>
        </w:tc>
      </w:tr>
      <w:tr w:rsidR="002F3518" w:rsidRPr="002F3518" w14:paraId="21B7B1D3" w14:textId="77777777" w:rsidTr="00B07F6D">
        <w:trPr>
          <w:trHeight w:val="147"/>
          <w:jc w:val="center"/>
        </w:trPr>
        <w:tc>
          <w:tcPr>
            <w:tcW w:w="0" w:type="auto"/>
          </w:tcPr>
          <w:p w14:paraId="22626865"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 carbon</w:t>
            </w:r>
          </w:p>
        </w:tc>
        <w:tc>
          <w:tcPr>
            <w:tcW w:w="0" w:type="auto"/>
          </w:tcPr>
          <w:p w14:paraId="344BB552"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3.6</w:t>
            </w:r>
          </w:p>
        </w:tc>
        <w:tc>
          <w:tcPr>
            <w:tcW w:w="0" w:type="auto"/>
          </w:tcPr>
          <w:p w14:paraId="5777E155"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2D0C4BD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4BC6B91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[53]</w:t>
            </w:r>
          </w:p>
        </w:tc>
      </w:tr>
      <w:tr w:rsidR="002F3518" w:rsidRPr="002F3518" w14:paraId="0E4C6A60" w14:textId="77777777" w:rsidTr="00B07F6D">
        <w:trPr>
          <w:trHeight w:val="79"/>
          <w:jc w:val="center"/>
        </w:trPr>
        <w:tc>
          <w:tcPr>
            <w:tcW w:w="0" w:type="auto"/>
          </w:tcPr>
          <w:p w14:paraId="1F2DB8E8"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FeO</w:t>
            </w:r>
            <w:r w:rsidRPr="002F3518">
              <w:rPr>
                <w:rFonts w:ascii="Times New Roman" w:hAnsi="Times New Roman"/>
                <w:sz w:val="20"/>
                <w:szCs w:val="20"/>
                <w:vertAlign w:val="subscript"/>
                <w:lang w:val="en-MY" w:eastAsia="en-GB" w:bidi="ar-SA"/>
              </w:rPr>
              <w:t>1.4</w:t>
            </w:r>
            <w:r w:rsidRPr="002F3518">
              <w:rPr>
                <w:rFonts w:ascii="Times New Roman" w:hAnsi="Times New Roman"/>
                <w:sz w:val="20"/>
                <w:szCs w:val="20"/>
                <w:lang w:val="en-MY" w:eastAsia="en-GB" w:bidi="ar-SA"/>
              </w:rPr>
              <w:t>/N-C</w:t>
            </w:r>
          </w:p>
        </w:tc>
        <w:tc>
          <w:tcPr>
            <w:tcW w:w="0" w:type="auto"/>
          </w:tcPr>
          <w:p w14:paraId="381B5A2C"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3.1-3.3</w:t>
            </w:r>
          </w:p>
        </w:tc>
        <w:tc>
          <w:tcPr>
            <w:tcW w:w="0" w:type="auto"/>
          </w:tcPr>
          <w:p w14:paraId="0C5F252D"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-0.056</w:t>
            </w:r>
          </w:p>
        </w:tc>
        <w:tc>
          <w:tcPr>
            <w:tcW w:w="0" w:type="auto"/>
          </w:tcPr>
          <w:p w14:paraId="3921E4FF"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to -0.55</w:t>
            </w:r>
          </w:p>
        </w:tc>
        <w:tc>
          <w:tcPr>
            <w:tcW w:w="0" w:type="auto"/>
          </w:tcPr>
          <w:p w14:paraId="645AE692"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[54]</w:t>
            </w:r>
          </w:p>
        </w:tc>
      </w:tr>
      <w:tr w:rsidR="002F3518" w:rsidRPr="002F3518" w14:paraId="1E9D7B43" w14:textId="77777777" w:rsidTr="00B07F6D">
        <w:trPr>
          <w:trHeight w:val="153"/>
          <w:jc w:val="center"/>
        </w:trPr>
        <w:tc>
          <w:tcPr>
            <w:tcW w:w="0" w:type="auto"/>
          </w:tcPr>
          <w:p w14:paraId="2499979A"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/N-Gas</w:t>
            </w:r>
          </w:p>
        </w:tc>
        <w:tc>
          <w:tcPr>
            <w:tcW w:w="0" w:type="auto"/>
          </w:tcPr>
          <w:p w14:paraId="3359C7A9"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w:t>
            </w:r>
          </w:p>
        </w:tc>
        <w:tc>
          <w:tcPr>
            <w:tcW w:w="0" w:type="auto"/>
          </w:tcPr>
          <w:p w14:paraId="164D7AA2"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-0.19</w:t>
            </w:r>
          </w:p>
        </w:tc>
        <w:tc>
          <w:tcPr>
            <w:tcW w:w="0" w:type="auto"/>
          </w:tcPr>
          <w:p w14:paraId="35666355"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-0.19 to -1.2</w:t>
            </w:r>
          </w:p>
        </w:tc>
        <w:tc>
          <w:tcPr>
            <w:tcW w:w="0" w:type="auto"/>
          </w:tcPr>
          <w:p w14:paraId="33FD7C7C"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40633930" w14:textId="77777777" w:rsidTr="00B07F6D">
        <w:trPr>
          <w:trHeight w:val="228"/>
          <w:jc w:val="center"/>
        </w:trPr>
        <w:tc>
          <w:tcPr>
            <w:tcW w:w="0" w:type="auto"/>
          </w:tcPr>
          <w:p w14:paraId="1A8E877E"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/N-GSs</w:t>
            </w:r>
          </w:p>
        </w:tc>
        <w:tc>
          <w:tcPr>
            <w:tcW w:w="0" w:type="auto"/>
          </w:tcPr>
          <w:p w14:paraId="68F0B18E"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w:t>
            </w:r>
          </w:p>
        </w:tc>
        <w:tc>
          <w:tcPr>
            <w:tcW w:w="0" w:type="auto"/>
          </w:tcPr>
          <w:p w14:paraId="74D88B0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-0.26</w:t>
            </w:r>
          </w:p>
        </w:tc>
        <w:tc>
          <w:tcPr>
            <w:tcW w:w="0" w:type="auto"/>
          </w:tcPr>
          <w:p w14:paraId="325B2BDE"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-0.26 to -0.62</w:t>
            </w:r>
          </w:p>
        </w:tc>
        <w:tc>
          <w:tcPr>
            <w:tcW w:w="0" w:type="auto"/>
          </w:tcPr>
          <w:p w14:paraId="6EAEBBB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25939B65" w14:textId="77777777" w:rsidTr="00B07F6D">
        <w:trPr>
          <w:trHeight w:val="145"/>
          <w:jc w:val="center"/>
        </w:trPr>
        <w:tc>
          <w:tcPr>
            <w:tcW w:w="0" w:type="auto"/>
          </w:tcPr>
          <w:p w14:paraId="3995AFCB"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/N-CB</w:t>
            </w:r>
          </w:p>
        </w:tc>
        <w:tc>
          <w:tcPr>
            <w:tcW w:w="0" w:type="auto"/>
          </w:tcPr>
          <w:p w14:paraId="3E85D1E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w:t>
            </w:r>
          </w:p>
        </w:tc>
        <w:tc>
          <w:tcPr>
            <w:tcW w:w="0" w:type="auto"/>
          </w:tcPr>
          <w:p w14:paraId="2ED2EFAD"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-0.24</w:t>
            </w:r>
          </w:p>
        </w:tc>
        <w:tc>
          <w:tcPr>
            <w:tcW w:w="0" w:type="auto"/>
          </w:tcPr>
          <w:p w14:paraId="6D41886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-0.24 to -0.60</w:t>
            </w:r>
          </w:p>
        </w:tc>
        <w:tc>
          <w:tcPr>
            <w:tcW w:w="0" w:type="auto"/>
          </w:tcPr>
          <w:p w14:paraId="0619C47D"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3B6A50F8" w14:textId="77777777" w:rsidTr="00B07F6D">
        <w:trPr>
          <w:trHeight w:val="233"/>
          <w:jc w:val="center"/>
        </w:trPr>
        <w:tc>
          <w:tcPr>
            <w:tcW w:w="0" w:type="auto"/>
          </w:tcPr>
          <w:p w14:paraId="2ABD3D12"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-CNx-Lys</w:t>
            </w:r>
          </w:p>
        </w:tc>
        <w:tc>
          <w:tcPr>
            <w:tcW w:w="0" w:type="auto"/>
          </w:tcPr>
          <w:p w14:paraId="38DCAB0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3.4-3.6</w:t>
            </w:r>
          </w:p>
        </w:tc>
        <w:tc>
          <w:tcPr>
            <w:tcW w:w="0" w:type="auto"/>
          </w:tcPr>
          <w:p w14:paraId="049A6DC3"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-0.25</w:t>
            </w:r>
          </w:p>
        </w:tc>
        <w:tc>
          <w:tcPr>
            <w:tcW w:w="0" w:type="auto"/>
          </w:tcPr>
          <w:p w14:paraId="33717E2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-0.25 to -0.45</w:t>
            </w:r>
          </w:p>
        </w:tc>
        <w:tc>
          <w:tcPr>
            <w:tcW w:w="0" w:type="auto"/>
          </w:tcPr>
          <w:p w14:paraId="2400528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[56]</w:t>
            </w:r>
          </w:p>
        </w:tc>
      </w:tr>
    </w:tbl>
    <w:p w14:paraId="78B10AB7" w14:textId="77777777" w:rsidR="002F3518" w:rsidRPr="002F3518" w:rsidRDefault="002F3518" w:rsidP="002F3518">
      <w:pPr>
        <w:spacing w:after="0"/>
        <w:jc w:val="both"/>
        <w:rPr>
          <w:rFonts w:ascii="Times New Roman" w:hAnsi="Times New Roman"/>
          <w:sz w:val="20"/>
          <w:szCs w:val="20"/>
          <w:lang w:val="en-MY" w:eastAsia="en-GB" w:bidi="ar-SA"/>
        </w:rPr>
      </w:pPr>
    </w:p>
    <w:p w14:paraId="4869DD79" w14:textId="77777777" w:rsidR="004B6790" w:rsidRDefault="004B6790" w:rsidP="002F3518">
      <w:pPr>
        <w:spacing w:after="0"/>
        <w:jc w:val="both"/>
        <w:rPr>
          <w:rFonts w:ascii="Times New Roman" w:hAnsi="Times New Roman"/>
          <w:b/>
          <w:iCs/>
          <w:sz w:val="20"/>
          <w:szCs w:val="20"/>
          <w:lang w:val="en-MY" w:eastAsia="en-GB" w:bidi="ar-SA"/>
        </w:rPr>
        <w:sectPr w:rsidR="004B6790" w:rsidSect="001D33F5">
          <w:type w:val="continuous"/>
          <w:pgSz w:w="12240" w:h="15840" w:code="1"/>
          <w:pgMar w:top="1800" w:right="1469" w:bottom="1699" w:left="1440" w:header="706" w:footer="706" w:gutter="0"/>
          <w:pgNumType w:start="1"/>
          <w:cols w:space="403"/>
          <w:docGrid w:linePitch="360"/>
        </w:sectPr>
      </w:pPr>
    </w:p>
    <w:p w14:paraId="3AF4F967"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t xml:space="preserve">Corrosion </w:t>
      </w:r>
    </w:p>
    <w:p w14:paraId="6310C60C"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Corrosion is a natural process that converts a refined metal into a more chemically stable form, and the process is well-known for the gradual destruction of materials by chemical and electrochemical reactions with the environment as the corrosive medium. Protection from corrosion is important to prevent structural and material damage. Corrosion also poses a threat towards public health and safety. </w:t>
      </w:r>
      <w:r w:rsidRPr="002F3518">
        <w:rPr>
          <w:rFonts w:ascii="Times New Roman" w:hAnsi="Times New Roman"/>
          <w:sz w:val="20"/>
          <w:szCs w:val="20"/>
          <w:lang w:val="en-MY" w:eastAsia="en-GB" w:bidi="ar-SA"/>
        </w:rPr>
        <w:t xml:space="preserve">Many types of organic-based coatings have been used to reduce corrosion of metal surfaces, as such epoxy coatings. However, these coatings only protect the top layer of the metal surface and are permeable to corrosive electrolytes' exposure. Hence, corrosion does occur underneath the epoxy coating [57]. To add on, the epoxy coating was attached to the applied surface through hydrogen bonding, where the stability reduces by time and is vulnerable to wet conditions. </w:t>
      </w:r>
      <w:r w:rsidRPr="002F3518">
        <w:rPr>
          <w:rFonts w:ascii="Times New Roman" w:hAnsi="Times New Roman"/>
          <w:bCs/>
          <w:sz w:val="20"/>
          <w:szCs w:val="20"/>
          <w:lang w:val="en-MY" w:eastAsia="en-GB" w:bidi="ar-SA"/>
        </w:rPr>
        <w:t xml:space="preserve">Shielding effect of the corrosion coatings is essential as its function is to block the contact between the substrate interface with the corrosive medium such as oxygens or sulfates and impede the diffusion of the corrosive medium to the </w:t>
      </w:r>
      <w:r w:rsidRPr="002F3518">
        <w:rPr>
          <w:rFonts w:ascii="Times New Roman" w:hAnsi="Times New Roman"/>
          <w:bCs/>
          <w:sz w:val="20"/>
          <w:szCs w:val="20"/>
          <w:lang w:val="en-MY" w:eastAsia="en-GB" w:bidi="ar-SA"/>
        </w:rPr>
        <w:t xml:space="preserve">protected metals through the anti-corrosion coatings [58]. This shielding effect can be increased by a uniform distribution of the anti-corrosive materials [59]. </w:t>
      </w:r>
    </w:p>
    <w:p w14:paraId="158AAE34" w14:textId="77777777" w:rsidR="002F3518" w:rsidRPr="002F3518" w:rsidRDefault="002F3518" w:rsidP="002F3518">
      <w:pPr>
        <w:spacing w:after="0"/>
        <w:jc w:val="both"/>
        <w:rPr>
          <w:rFonts w:ascii="Times New Roman" w:hAnsi="Times New Roman"/>
          <w:bCs/>
          <w:sz w:val="20"/>
          <w:szCs w:val="20"/>
          <w:lang w:val="en-MY" w:eastAsia="en-GB" w:bidi="ar-SA"/>
        </w:rPr>
      </w:pPr>
    </w:p>
    <w:p w14:paraId="0449AD54"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The high dispersibility and ultra-thin two-dimensional structure of graphene formed a barrier and increased the shielding effect. Apart from that, graphene has also become one of the promising corrosion protection due to  its characteristics, which is impermeable to almost all molecules and ions [56]. It is believed that graphene is a revolutionary material in the field of corrosion protection because, as corrosion protection pigments, graphene is able to simultaneously improve the wear resistance, barrier properties, thermal conductivity, mechanical properties, and thermal stability of polymeric coatings [60]. The uniform dispersion and orientation of graphene parallel to the metal surface make it one of the promising materials for anti-corrosion coatings [61]. Graphene also retains a high adhesion force to enhance the bonding strength between the corrosion protecting coatings with the metals as a strong bonding force material able to hinder the accumulation </w:t>
      </w:r>
      <w:r w:rsidRPr="002F3518">
        <w:rPr>
          <w:rFonts w:ascii="Times New Roman" w:hAnsi="Times New Roman"/>
          <w:bCs/>
          <w:sz w:val="20"/>
          <w:szCs w:val="20"/>
          <w:lang w:val="en-MY" w:eastAsia="en-GB" w:bidi="ar-SA"/>
        </w:rPr>
        <w:lastRenderedPageBreak/>
        <w:t xml:space="preserve">of oxygen and sulphates at the metals interface and disrupt the corrosion process. A remarkable conductivity of graphene also helps to improve the cathodic protection effect of zinc-rich coatings on metal which an active zinc powder was used to formed corrosion couple with the protected metal interface. </w:t>
      </w:r>
    </w:p>
    <w:p w14:paraId="198B17FB" w14:textId="77777777" w:rsidR="002F3518" w:rsidRPr="002F3518" w:rsidRDefault="002F3518" w:rsidP="002F3518">
      <w:pPr>
        <w:spacing w:after="0"/>
        <w:jc w:val="both"/>
        <w:rPr>
          <w:rFonts w:ascii="Times New Roman" w:hAnsi="Times New Roman"/>
          <w:bCs/>
          <w:sz w:val="20"/>
          <w:szCs w:val="20"/>
          <w:lang w:val="en-MY" w:eastAsia="en-GB" w:bidi="ar-SA"/>
        </w:rPr>
      </w:pPr>
    </w:p>
    <w:p w14:paraId="0823AEF6"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The strength of corrosion protective layer against corrosive medium is determined by the angle of anti-corrosion materials with the substrate interface. A narrower angle of the materials with substrate will toughen the barrier of corrosion protective layer [62]. Thus, only graphene parallel to the surface obeys the shielding effect theory; meanwhile, the graphene perpendicular to the substrate interface did not provide the shielding effect. Therefore, a magnetic field-induced orientated alignment of magnetic graphene was introduced by loading magnetite onto the graphene surface. The magnetised graphene was movable under the action of the external magnetic field. It could also be horizontally aligned in the epoxy resin by the magnetic torque applied to the magnetic graphene sheet by the horizontal magnetic field, as shown in Figure 2 [63]. </w:t>
      </w:r>
      <w:r w:rsidRPr="002F3518">
        <w:rPr>
          <w:rFonts w:ascii="Times New Roman" w:hAnsi="Times New Roman"/>
          <w:sz w:val="20"/>
          <w:szCs w:val="20"/>
          <w:lang w:val="en-MY" w:eastAsia="en-GB" w:bidi="ar-SA"/>
        </w:rPr>
        <w:t>Moreover, the integration of magnetics with graphene is helpful as the magnetic effect increases the stability of the layer on the surface of metal applied [64].</w:t>
      </w:r>
    </w:p>
    <w:p w14:paraId="5BFBBE60" w14:textId="77777777" w:rsidR="002F3518" w:rsidRPr="002F3518" w:rsidRDefault="002F3518" w:rsidP="002F3518">
      <w:pPr>
        <w:spacing w:after="0"/>
        <w:jc w:val="both"/>
        <w:rPr>
          <w:rFonts w:ascii="Times New Roman" w:hAnsi="Times New Roman"/>
          <w:sz w:val="20"/>
          <w:szCs w:val="20"/>
          <w:lang w:val="en-MY" w:eastAsia="en-GB" w:bidi="ar-SA"/>
        </w:rPr>
      </w:pPr>
    </w:p>
    <w:p w14:paraId="63C34CC1"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Numerous works on magnetite graphene as a corrosion protective layer have been published in the past few </w:t>
      </w:r>
      <w:r w:rsidRPr="002F3518">
        <w:rPr>
          <w:rFonts w:ascii="Times New Roman" w:hAnsi="Times New Roman"/>
          <w:sz w:val="20"/>
          <w:szCs w:val="20"/>
          <w:lang w:val="en-MY" w:eastAsia="en-GB" w:bidi="ar-SA"/>
        </w:rPr>
        <w:t xml:space="preserve">years. One of the works demonstrated by Nayak </w:t>
      </w:r>
      <w:r w:rsidRPr="002F3518">
        <w:rPr>
          <w:rFonts w:ascii="Times New Roman" w:hAnsi="Times New Roman"/>
          <w:i/>
          <w:iCs/>
          <w:sz w:val="20"/>
          <w:szCs w:val="20"/>
          <w:lang w:val="en-MY" w:eastAsia="en-GB" w:bidi="ar-SA"/>
        </w:rPr>
        <w:t>et al.,</w:t>
      </w:r>
      <w:r w:rsidRPr="002F3518">
        <w:rPr>
          <w:rFonts w:ascii="Times New Roman" w:hAnsi="Times New Roman"/>
          <w:sz w:val="20"/>
          <w:szCs w:val="20"/>
          <w:lang w:val="en-MY" w:eastAsia="en-GB" w:bidi="ar-SA"/>
        </w:rPr>
        <w:t xml:space="preserve"> deployed a graphene coated Ni film with effectiveness up to post annealing of 500 </w:t>
      </w:r>
      <w:r w:rsidRPr="002F3518">
        <w:rPr>
          <w:rFonts w:ascii="Times New Roman" w:hAnsi="Times New Roman"/>
          <w:sz w:val="20"/>
          <w:szCs w:val="20"/>
          <w:vertAlign w:val="superscript"/>
          <w:lang w:val="en-MY" w:eastAsia="en-GB" w:bidi="ar-SA"/>
        </w:rPr>
        <w:t>0</w:t>
      </w:r>
      <w:r w:rsidRPr="002F3518">
        <w:rPr>
          <w:rFonts w:ascii="Times New Roman" w:hAnsi="Times New Roman"/>
          <w:sz w:val="20"/>
          <w:szCs w:val="20"/>
          <w:lang w:val="en-MY" w:eastAsia="en-GB" w:bidi="ar-SA"/>
        </w:rPr>
        <w:t>C. Another study found that  the use of graphene-coated Cu (111) surface, confirms that no corrosion is detected after the annealing process. Meanwhile, Anisur et al., stated a CVD graphene growth on nickel has improved corrosion resistance to 700 k</w:t>
      </w:r>
      <w:r w:rsidRPr="002F3518">
        <w:rPr>
          <w:rFonts w:ascii="Times New Roman" w:hAnsi="Times New Roman"/>
          <w:sz w:val="20"/>
          <w:szCs w:val="20"/>
          <w:lang w:val="en-MY" w:eastAsia="en-GB" w:bidi="ar-SA"/>
        </w:rPr>
        <w:sym w:font="Symbol" w:char="F057"/>
      </w:r>
      <w:r w:rsidRPr="002F3518">
        <w:rPr>
          <w:rFonts w:ascii="Times New Roman" w:hAnsi="Times New Roman"/>
          <w:sz w:val="20"/>
          <w:szCs w:val="20"/>
          <w:lang w:val="en-MY" w:eastAsia="en-GB" w:bidi="ar-SA"/>
        </w:rPr>
        <w:t>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 with the absence of hydrogen during the graphene growth process. Besides that, Fronczak et al., investigated the corrosion resistance of carbon-encapsulated iron nanoparticles with the use of nitric acid as corrosion agent. as it releases a large amount of Fe and exhibits a high corrosion resistance and high effectiveness up to post-annealing of 450-500 </w:t>
      </w:r>
      <w:r w:rsidRPr="002F3518">
        <w:rPr>
          <w:rFonts w:ascii="Times New Roman" w:hAnsi="Times New Roman"/>
          <w:sz w:val="20"/>
          <w:szCs w:val="20"/>
          <w:vertAlign w:val="superscript"/>
          <w:lang w:val="en-MY" w:eastAsia="en-GB" w:bidi="ar-SA"/>
        </w:rPr>
        <w:t>0</w:t>
      </w:r>
      <w:r w:rsidRPr="002F3518">
        <w:rPr>
          <w:rFonts w:ascii="Times New Roman" w:hAnsi="Times New Roman"/>
          <w:sz w:val="20"/>
          <w:szCs w:val="20"/>
          <w:lang w:val="en-MY" w:eastAsia="en-GB" w:bidi="ar-SA"/>
        </w:rPr>
        <w:t>C [65-67]. In addition, graphene-coated Cu and graphene-coated Cu/Ni alloy foil by CVD under heating for four at 200 °C in laboratory air, and immersing into a solution of 30% hydrogen peroxide, up to 45 minutes showed no changes to the surfaces. In contrast, bare Cu/Ni turned a dark shade of brown onto its surface [68]. It is shown that the presence of graphene in transition metal can act as anti-corrosive and protect the surface from damage. However, there is a challenge in this field, where the existence of defects may ruin all the advantages of graphene films acting as corrosion inhibitor. Table 3 illustrates the corrosion potential among the previous research on magnetite and graphene-based.</w:t>
      </w:r>
    </w:p>
    <w:p w14:paraId="566466D2" w14:textId="77777777" w:rsidR="002F3518" w:rsidRPr="002F3518" w:rsidRDefault="002F3518" w:rsidP="002F3518">
      <w:pPr>
        <w:spacing w:after="0"/>
        <w:jc w:val="both"/>
        <w:rPr>
          <w:rFonts w:ascii="Times New Roman" w:hAnsi="Times New Roman"/>
          <w:sz w:val="20"/>
          <w:szCs w:val="20"/>
          <w:lang w:val="en-MY" w:eastAsia="en-GB" w:bidi="ar-SA"/>
        </w:rPr>
      </w:pPr>
    </w:p>
    <w:p w14:paraId="20625642" w14:textId="77777777" w:rsidR="004B6790" w:rsidRDefault="004B6790" w:rsidP="002F3518">
      <w:pPr>
        <w:spacing w:after="0"/>
        <w:jc w:val="center"/>
        <w:rPr>
          <w:rFonts w:ascii="Times New Roman" w:hAnsi="Times New Roman"/>
          <w:bCs/>
          <w:sz w:val="20"/>
          <w:szCs w:val="20"/>
          <w:lang w:val="en-MY" w:eastAsia="en-GB" w:bidi="ar-SA"/>
        </w:rPr>
        <w:sectPr w:rsidR="004B6790" w:rsidSect="004B6790">
          <w:type w:val="continuous"/>
          <w:pgSz w:w="12240" w:h="15840" w:code="1"/>
          <w:pgMar w:top="1800" w:right="1469" w:bottom="1699" w:left="1440" w:header="706" w:footer="706" w:gutter="0"/>
          <w:pgNumType w:start="1"/>
          <w:cols w:num="2" w:space="403"/>
          <w:docGrid w:linePitch="360"/>
        </w:sectPr>
      </w:pPr>
    </w:p>
    <w:p w14:paraId="7E118D91" w14:textId="77777777" w:rsidR="004B6790" w:rsidRDefault="004B6790" w:rsidP="002F3518">
      <w:pPr>
        <w:spacing w:after="0"/>
        <w:jc w:val="center"/>
        <w:rPr>
          <w:rFonts w:ascii="Times New Roman" w:hAnsi="Times New Roman"/>
          <w:bCs/>
          <w:sz w:val="20"/>
          <w:szCs w:val="20"/>
          <w:lang w:val="en-MY" w:eastAsia="en-GB" w:bidi="ar-SA"/>
        </w:rPr>
      </w:pPr>
    </w:p>
    <w:p w14:paraId="64C976E8" w14:textId="7793D9A5"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Table 3. </w:t>
      </w:r>
      <w:r w:rsidRPr="002F3518">
        <w:rPr>
          <w:rFonts w:ascii="Times New Roman" w:hAnsi="Times New Roman"/>
          <w:sz w:val="20"/>
          <w:szCs w:val="20"/>
          <w:lang w:val="en-MY" w:eastAsia="en-GB" w:bidi="ar-SA"/>
        </w:rPr>
        <w:t>Corrosion Potential (E</w:t>
      </w:r>
      <w:r w:rsidRPr="002F3518">
        <w:rPr>
          <w:rFonts w:ascii="Times New Roman" w:hAnsi="Times New Roman"/>
          <w:sz w:val="20"/>
          <w:szCs w:val="20"/>
          <w:vertAlign w:val="subscript"/>
          <w:lang w:val="en-MY" w:eastAsia="en-GB" w:bidi="ar-SA"/>
        </w:rPr>
        <w:t>corr</w:t>
      </w:r>
      <w:r w:rsidRPr="002F3518">
        <w:rPr>
          <w:rFonts w:ascii="Times New Roman" w:hAnsi="Times New Roman"/>
          <w:sz w:val="20"/>
          <w:szCs w:val="20"/>
          <w:lang w:val="en-MY" w:eastAsia="en-GB" w:bidi="ar-SA"/>
        </w:rPr>
        <w:t>) Values obtained from potentiodynamic polarisation test</w:t>
      </w:r>
    </w:p>
    <w:p w14:paraId="1FE37C59" w14:textId="77777777" w:rsidR="002F3518" w:rsidRPr="002F3518" w:rsidRDefault="002F3518" w:rsidP="002F3518">
      <w:pPr>
        <w:spacing w:after="0"/>
        <w:jc w:val="center"/>
        <w:rPr>
          <w:rFonts w:ascii="Times New Roman" w:hAnsi="Times New Roman"/>
          <w:sz w:val="20"/>
          <w:szCs w:val="20"/>
          <w:lang w:val="en-MY" w:eastAsia="en-GB" w:bidi="ar-SA"/>
        </w:rPr>
      </w:pP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608"/>
        <w:gridCol w:w="879"/>
        <w:gridCol w:w="1127"/>
        <w:gridCol w:w="1116"/>
        <w:gridCol w:w="644"/>
      </w:tblGrid>
      <w:tr w:rsidR="002F3518" w:rsidRPr="002F3518" w14:paraId="41913162" w14:textId="77777777" w:rsidTr="00B07F6D">
        <w:trPr>
          <w:trHeight w:val="510"/>
          <w:jc w:val="center"/>
        </w:trPr>
        <w:tc>
          <w:tcPr>
            <w:tcW w:w="0" w:type="auto"/>
            <w:tcBorders>
              <w:top w:val="single" w:sz="4" w:space="0" w:color="auto"/>
              <w:bottom w:val="single" w:sz="4" w:space="0" w:color="auto"/>
            </w:tcBorders>
          </w:tcPr>
          <w:p w14:paraId="7526228B"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Composite</w:t>
            </w:r>
          </w:p>
        </w:tc>
        <w:tc>
          <w:tcPr>
            <w:tcW w:w="0" w:type="auto"/>
            <w:tcBorders>
              <w:top w:val="single" w:sz="4" w:space="0" w:color="auto"/>
              <w:bottom w:val="single" w:sz="4" w:space="0" w:color="auto"/>
            </w:tcBorders>
          </w:tcPr>
          <w:p w14:paraId="530821E3"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Conditions</w:t>
            </w:r>
          </w:p>
        </w:tc>
        <w:tc>
          <w:tcPr>
            <w:tcW w:w="0" w:type="auto"/>
            <w:tcBorders>
              <w:top w:val="single" w:sz="4" w:space="0" w:color="auto"/>
              <w:bottom w:val="single" w:sz="4" w:space="0" w:color="auto"/>
            </w:tcBorders>
          </w:tcPr>
          <w:p w14:paraId="7A08D0D0" w14:textId="77777777" w:rsidR="002F3518" w:rsidRPr="002F3518" w:rsidRDefault="002F3518" w:rsidP="002F3518">
            <w:pPr>
              <w:spacing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E</w:t>
            </w:r>
            <w:r w:rsidRPr="002F3518">
              <w:rPr>
                <w:rFonts w:ascii="Times New Roman" w:hAnsi="Times New Roman"/>
                <w:b/>
                <w:bCs/>
                <w:sz w:val="20"/>
                <w:szCs w:val="20"/>
                <w:vertAlign w:val="subscript"/>
                <w:lang w:val="en-MY" w:eastAsia="en-GB" w:bidi="ar-SA"/>
              </w:rPr>
              <w:t>corr</w:t>
            </w:r>
          </w:p>
          <w:p w14:paraId="3F3FA31D"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(mv)</w:t>
            </w:r>
          </w:p>
        </w:tc>
        <w:tc>
          <w:tcPr>
            <w:tcW w:w="0" w:type="auto"/>
            <w:tcBorders>
              <w:top w:val="single" w:sz="4" w:space="0" w:color="auto"/>
              <w:bottom w:val="single" w:sz="4" w:space="0" w:color="auto"/>
            </w:tcBorders>
          </w:tcPr>
          <w:p w14:paraId="07616A94" w14:textId="77777777" w:rsidR="002F3518" w:rsidRPr="002F3518" w:rsidRDefault="002F3518" w:rsidP="002F3518">
            <w:pPr>
              <w:spacing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I</w:t>
            </w:r>
            <w:r w:rsidRPr="002F3518">
              <w:rPr>
                <w:rFonts w:ascii="Times New Roman" w:hAnsi="Times New Roman"/>
                <w:b/>
                <w:bCs/>
                <w:sz w:val="20"/>
                <w:szCs w:val="20"/>
                <w:vertAlign w:val="subscript"/>
                <w:lang w:val="en-MY" w:eastAsia="en-GB" w:bidi="ar-SA"/>
              </w:rPr>
              <w:t>corr</w:t>
            </w:r>
          </w:p>
          <w:p w14:paraId="3F42577A"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(μA cm−1)</w:t>
            </w:r>
          </w:p>
        </w:tc>
        <w:tc>
          <w:tcPr>
            <w:tcW w:w="0" w:type="auto"/>
            <w:tcBorders>
              <w:top w:val="single" w:sz="4" w:space="0" w:color="auto"/>
              <w:bottom w:val="single" w:sz="4" w:space="0" w:color="auto"/>
            </w:tcBorders>
          </w:tcPr>
          <w:p w14:paraId="6F22C77F" w14:textId="77777777" w:rsidR="002F3518" w:rsidRPr="002F3518" w:rsidRDefault="002F3518" w:rsidP="002F3518">
            <w:pPr>
              <w:spacing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C</w:t>
            </w:r>
            <w:r w:rsidRPr="002F3518">
              <w:rPr>
                <w:rFonts w:ascii="Times New Roman" w:hAnsi="Times New Roman"/>
                <w:b/>
                <w:bCs/>
                <w:sz w:val="20"/>
                <w:szCs w:val="20"/>
                <w:vertAlign w:val="subscript"/>
                <w:lang w:val="en-MY" w:eastAsia="en-GB" w:bidi="ar-SA"/>
              </w:rPr>
              <w:t>R</w:t>
            </w:r>
          </w:p>
          <w:p w14:paraId="244C4DB9"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(mm/year)</w:t>
            </w:r>
          </w:p>
        </w:tc>
        <w:tc>
          <w:tcPr>
            <w:tcW w:w="0" w:type="auto"/>
            <w:tcBorders>
              <w:top w:val="single" w:sz="4" w:space="0" w:color="auto"/>
              <w:bottom w:val="single" w:sz="4" w:space="0" w:color="auto"/>
            </w:tcBorders>
          </w:tcPr>
          <w:p w14:paraId="1E4E6BFB"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2C76C681" w14:textId="77777777" w:rsidTr="00B07F6D">
        <w:trPr>
          <w:trHeight w:val="221"/>
          <w:jc w:val="center"/>
        </w:trPr>
        <w:tc>
          <w:tcPr>
            <w:tcW w:w="0" w:type="auto"/>
            <w:tcBorders>
              <w:top w:val="single" w:sz="4" w:space="0" w:color="auto"/>
            </w:tcBorders>
          </w:tcPr>
          <w:p w14:paraId="7A205517"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Bare carbon steel</w:t>
            </w:r>
          </w:p>
        </w:tc>
        <w:tc>
          <w:tcPr>
            <w:tcW w:w="0" w:type="auto"/>
            <w:tcBorders>
              <w:top w:val="single" w:sz="4" w:space="0" w:color="auto"/>
            </w:tcBorders>
          </w:tcPr>
          <w:p w14:paraId="456D410D"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Borders>
              <w:top w:val="single" w:sz="4" w:space="0" w:color="auto"/>
            </w:tcBorders>
          </w:tcPr>
          <w:p w14:paraId="0B656691"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−530.89</w:t>
            </w:r>
          </w:p>
        </w:tc>
        <w:tc>
          <w:tcPr>
            <w:tcW w:w="0" w:type="auto"/>
            <w:tcBorders>
              <w:top w:val="single" w:sz="4" w:space="0" w:color="auto"/>
            </w:tcBorders>
          </w:tcPr>
          <w:p w14:paraId="4C1C902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95.0</w:t>
            </w:r>
          </w:p>
        </w:tc>
        <w:tc>
          <w:tcPr>
            <w:tcW w:w="0" w:type="auto"/>
            <w:tcBorders>
              <w:top w:val="single" w:sz="4" w:space="0" w:color="auto"/>
            </w:tcBorders>
          </w:tcPr>
          <w:p w14:paraId="7ED3334E"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1.103</w:t>
            </w:r>
          </w:p>
        </w:tc>
        <w:tc>
          <w:tcPr>
            <w:tcW w:w="0" w:type="auto"/>
            <w:tcBorders>
              <w:top w:val="single" w:sz="4" w:space="0" w:color="auto"/>
            </w:tcBorders>
          </w:tcPr>
          <w:p w14:paraId="0764434E"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E6D037" w14:textId="77777777" w:rsidTr="00B07F6D">
        <w:trPr>
          <w:trHeight w:val="149"/>
          <w:jc w:val="center"/>
        </w:trPr>
        <w:tc>
          <w:tcPr>
            <w:tcW w:w="0" w:type="auto"/>
          </w:tcPr>
          <w:p w14:paraId="63A9FB0F"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Pr>
          <w:p w14:paraId="0B115122"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3262414C"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−559.45</w:t>
            </w:r>
          </w:p>
        </w:tc>
        <w:tc>
          <w:tcPr>
            <w:tcW w:w="0" w:type="auto"/>
          </w:tcPr>
          <w:p w14:paraId="7E6FC012"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46.7</w:t>
            </w:r>
          </w:p>
        </w:tc>
        <w:tc>
          <w:tcPr>
            <w:tcW w:w="0" w:type="auto"/>
          </w:tcPr>
          <w:p w14:paraId="20286CF9"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0.542</w:t>
            </w:r>
          </w:p>
        </w:tc>
        <w:tc>
          <w:tcPr>
            <w:tcW w:w="0" w:type="auto"/>
          </w:tcPr>
          <w:p w14:paraId="49E95ECE"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467671" w14:textId="77777777" w:rsidTr="00B07F6D">
        <w:trPr>
          <w:trHeight w:val="223"/>
          <w:jc w:val="center"/>
        </w:trPr>
        <w:tc>
          <w:tcPr>
            <w:tcW w:w="0" w:type="auto"/>
          </w:tcPr>
          <w:p w14:paraId="69CE9D7A"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/PANI</w:t>
            </w:r>
          </w:p>
        </w:tc>
        <w:tc>
          <w:tcPr>
            <w:tcW w:w="0" w:type="auto"/>
          </w:tcPr>
          <w:p w14:paraId="367C46CF"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58B545D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−598.69</w:t>
            </w:r>
          </w:p>
        </w:tc>
        <w:tc>
          <w:tcPr>
            <w:tcW w:w="0" w:type="auto"/>
          </w:tcPr>
          <w:p w14:paraId="3D4556B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3.0</w:t>
            </w:r>
          </w:p>
        </w:tc>
        <w:tc>
          <w:tcPr>
            <w:tcW w:w="0" w:type="auto"/>
          </w:tcPr>
          <w:p w14:paraId="281CB639"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0.035</w:t>
            </w:r>
          </w:p>
        </w:tc>
        <w:tc>
          <w:tcPr>
            <w:tcW w:w="0" w:type="auto"/>
          </w:tcPr>
          <w:p w14:paraId="7087795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1B0F97" w14:textId="77777777" w:rsidTr="00B07F6D">
        <w:trPr>
          <w:trHeight w:val="155"/>
          <w:jc w:val="center"/>
        </w:trPr>
        <w:tc>
          <w:tcPr>
            <w:tcW w:w="0" w:type="auto"/>
          </w:tcPr>
          <w:p w14:paraId="623A8851"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Ni</w:t>
            </w:r>
          </w:p>
        </w:tc>
        <w:tc>
          <w:tcPr>
            <w:tcW w:w="0" w:type="auto"/>
          </w:tcPr>
          <w:p w14:paraId="7A8C7F43"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7AFB267F"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−481.0</w:t>
            </w:r>
          </w:p>
        </w:tc>
        <w:tc>
          <w:tcPr>
            <w:tcW w:w="0" w:type="auto"/>
          </w:tcPr>
          <w:p w14:paraId="1000CB67"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6.138</w:t>
            </w:r>
          </w:p>
        </w:tc>
        <w:tc>
          <w:tcPr>
            <w:tcW w:w="0" w:type="auto"/>
          </w:tcPr>
          <w:p w14:paraId="0987EC3D"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2.605</w:t>
            </w:r>
          </w:p>
        </w:tc>
        <w:tc>
          <w:tcPr>
            <w:tcW w:w="0" w:type="auto"/>
          </w:tcPr>
          <w:p w14:paraId="3E7E8E0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w:t>
            </w:r>
          </w:p>
        </w:tc>
      </w:tr>
      <w:tr w:rsidR="002F3518" w:rsidRPr="002F3518" w14:paraId="75AAD319" w14:textId="77777777" w:rsidTr="00B07F6D">
        <w:trPr>
          <w:trHeight w:val="74"/>
          <w:jc w:val="center"/>
        </w:trPr>
        <w:tc>
          <w:tcPr>
            <w:tcW w:w="0" w:type="auto"/>
          </w:tcPr>
          <w:p w14:paraId="6131C90E"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Ni-GO1</w:t>
            </w:r>
          </w:p>
        </w:tc>
        <w:tc>
          <w:tcPr>
            <w:tcW w:w="0" w:type="auto"/>
          </w:tcPr>
          <w:p w14:paraId="4DFAF693"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2FD25319"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-424.0</w:t>
            </w:r>
          </w:p>
        </w:tc>
        <w:tc>
          <w:tcPr>
            <w:tcW w:w="0" w:type="auto"/>
          </w:tcPr>
          <w:p w14:paraId="32CABCED"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4.845</w:t>
            </w:r>
          </w:p>
        </w:tc>
        <w:tc>
          <w:tcPr>
            <w:tcW w:w="0" w:type="auto"/>
          </w:tcPr>
          <w:p w14:paraId="26BE9795"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2.055</w:t>
            </w:r>
          </w:p>
        </w:tc>
        <w:tc>
          <w:tcPr>
            <w:tcW w:w="0" w:type="auto"/>
          </w:tcPr>
          <w:p w14:paraId="78C9ED8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w:t>
            </w:r>
          </w:p>
        </w:tc>
      </w:tr>
      <w:tr w:rsidR="002F3518" w:rsidRPr="002F3518" w14:paraId="7679615E" w14:textId="77777777" w:rsidTr="00B07F6D">
        <w:trPr>
          <w:trHeight w:val="70"/>
          <w:jc w:val="center"/>
        </w:trPr>
        <w:tc>
          <w:tcPr>
            <w:tcW w:w="0" w:type="auto"/>
          </w:tcPr>
          <w:p w14:paraId="35714B9C"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NPs (blank)</w:t>
            </w:r>
          </w:p>
        </w:tc>
        <w:tc>
          <w:tcPr>
            <w:tcW w:w="0" w:type="auto"/>
          </w:tcPr>
          <w:p w14:paraId="566E7E4E"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1M HCl, 30°C</w:t>
            </w:r>
          </w:p>
        </w:tc>
        <w:tc>
          <w:tcPr>
            <w:tcW w:w="0" w:type="auto"/>
          </w:tcPr>
          <w:p w14:paraId="67F05FFC"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−558.2</w:t>
            </w:r>
          </w:p>
        </w:tc>
        <w:tc>
          <w:tcPr>
            <w:tcW w:w="0" w:type="auto"/>
          </w:tcPr>
          <w:p w14:paraId="0B9F24BC"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1.13</w:t>
            </w:r>
          </w:p>
        </w:tc>
        <w:tc>
          <w:tcPr>
            <w:tcW w:w="0" w:type="auto"/>
          </w:tcPr>
          <w:p w14:paraId="73510022"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057F0F4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[71]</w:t>
            </w:r>
          </w:p>
        </w:tc>
      </w:tr>
      <w:tr w:rsidR="002F3518" w:rsidRPr="002F3518" w14:paraId="708489F0" w14:textId="77777777" w:rsidTr="00B07F6D">
        <w:trPr>
          <w:trHeight w:val="235"/>
          <w:jc w:val="center"/>
        </w:trPr>
        <w:tc>
          <w:tcPr>
            <w:tcW w:w="0" w:type="auto"/>
          </w:tcPr>
          <w:p w14:paraId="29993FCC" w14:textId="77777777" w:rsidR="002F3518" w:rsidRPr="002F3518" w:rsidRDefault="002F3518" w:rsidP="002F351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NPs (0.1%)</w:t>
            </w:r>
          </w:p>
        </w:tc>
        <w:tc>
          <w:tcPr>
            <w:tcW w:w="0" w:type="auto"/>
          </w:tcPr>
          <w:p w14:paraId="77313745"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1M HCl, 30°C</w:t>
            </w:r>
          </w:p>
        </w:tc>
        <w:tc>
          <w:tcPr>
            <w:tcW w:w="0" w:type="auto"/>
          </w:tcPr>
          <w:p w14:paraId="36223AD1"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−588.6</w:t>
            </w:r>
          </w:p>
        </w:tc>
        <w:tc>
          <w:tcPr>
            <w:tcW w:w="0" w:type="auto"/>
          </w:tcPr>
          <w:p w14:paraId="5A373B5E"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0.021</w:t>
            </w:r>
          </w:p>
        </w:tc>
        <w:tc>
          <w:tcPr>
            <w:tcW w:w="0" w:type="auto"/>
          </w:tcPr>
          <w:p w14:paraId="13ED5E0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143C834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[71]</w:t>
            </w:r>
          </w:p>
        </w:tc>
      </w:tr>
    </w:tbl>
    <w:p w14:paraId="27ACABE8" w14:textId="77777777" w:rsidR="002F3518" w:rsidRPr="002F3518" w:rsidRDefault="002F3518" w:rsidP="002F3518">
      <w:pPr>
        <w:spacing w:after="0"/>
        <w:rPr>
          <w:rFonts w:ascii="Times New Roman" w:hAnsi="Times New Roman"/>
          <w:sz w:val="20"/>
          <w:szCs w:val="20"/>
          <w:lang w:val="en-MY" w:eastAsia="en-GB" w:bidi="ar-SA"/>
        </w:rPr>
      </w:pPr>
    </w:p>
    <w:p w14:paraId="41A62B51" w14:textId="418F6264" w:rsidR="002F3518" w:rsidRPr="002F3518" w:rsidRDefault="002F3518" w:rsidP="004B6790">
      <w:pPr>
        <w:spacing w:after="0"/>
        <w:jc w:val="center"/>
        <w:rPr>
          <w:rFonts w:ascii="Times New Roman" w:hAnsi="Times New Roman"/>
          <w:sz w:val="20"/>
          <w:szCs w:val="20"/>
          <w:lang w:val="en-MY" w:eastAsia="en-GB" w:bidi="ar-SA"/>
        </w:rPr>
      </w:pPr>
      <w:r w:rsidRPr="002F3518">
        <w:rPr>
          <w:rFonts w:ascii="Times New Roman" w:hAnsi="Times New Roman"/>
          <w:noProof/>
          <w:sz w:val="20"/>
          <w:szCs w:val="20"/>
          <w:lang w:val="en-MY" w:eastAsia="en-GB" w:bidi="ar-SA"/>
        </w:rPr>
        <w:lastRenderedPageBreak/>
        <w:drawing>
          <wp:inline distT="0" distB="0" distL="0" distR="0" wp14:anchorId="632A20FD" wp14:editId="62407342">
            <wp:extent cx="3753293" cy="2252968"/>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9819" cy="2256885"/>
                    </a:xfrm>
                    <a:prstGeom prst="rect">
                      <a:avLst/>
                    </a:prstGeom>
                    <a:noFill/>
                  </pic:spPr>
                </pic:pic>
              </a:graphicData>
            </a:graphic>
          </wp:inline>
        </w:drawing>
      </w:r>
    </w:p>
    <w:p w14:paraId="1ED886D6" w14:textId="77777777" w:rsidR="002F3518" w:rsidRPr="002F3518" w:rsidRDefault="002F3518" w:rsidP="002F3518">
      <w:pPr>
        <w:spacing w:after="0"/>
        <w:ind w:left="851" w:hanging="851"/>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Figure 2. Perpendicular distribution of graphene without magnetite and parallel orientation of magnetite graphene in uniform magnetic field </w:t>
      </w:r>
    </w:p>
    <w:p w14:paraId="73B9935C" w14:textId="77777777" w:rsidR="002F3518" w:rsidRPr="002F3518" w:rsidRDefault="002F3518" w:rsidP="002F3518">
      <w:pPr>
        <w:spacing w:after="0"/>
        <w:jc w:val="both"/>
        <w:rPr>
          <w:rFonts w:ascii="Times New Roman" w:hAnsi="Times New Roman"/>
          <w:b/>
          <w:sz w:val="20"/>
          <w:szCs w:val="20"/>
          <w:lang w:val="en-MY" w:eastAsia="en-GB" w:bidi="ar-SA"/>
        </w:rPr>
      </w:pPr>
    </w:p>
    <w:p w14:paraId="34BE5EEF" w14:textId="77777777" w:rsidR="004B6790" w:rsidRDefault="004B6790" w:rsidP="002F3518">
      <w:pPr>
        <w:spacing w:after="0"/>
        <w:jc w:val="both"/>
        <w:rPr>
          <w:rFonts w:ascii="Times New Roman" w:hAnsi="Times New Roman"/>
          <w:b/>
          <w:sz w:val="20"/>
          <w:szCs w:val="20"/>
          <w:lang w:val="en-MY" w:eastAsia="en-GB" w:bidi="ar-SA"/>
        </w:rPr>
        <w:sectPr w:rsidR="004B6790" w:rsidSect="001D33F5">
          <w:type w:val="continuous"/>
          <w:pgSz w:w="12240" w:h="15840" w:code="1"/>
          <w:pgMar w:top="1800" w:right="1469" w:bottom="1699" w:left="1440" w:header="706" w:footer="706" w:gutter="0"/>
          <w:pgNumType w:start="1"/>
          <w:cols w:space="403"/>
          <w:docGrid w:linePitch="360"/>
        </w:sectPr>
      </w:pPr>
    </w:p>
    <w:p w14:paraId="31572589" w14:textId="77777777" w:rsidR="002F3518" w:rsidRPr="002F3518" w:rsidRDefault="002F3518" w:rsidP="002F3518">
      <w:pPr>
        <w:spacing w:after="0"/>
        <w:jc w:val="both"/>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Sensor</w:t>
      </w:r>
    </w:p>
    <w:p w14:paraId="7747CF02"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Electrochemical sensors work on the basis that an electrical current travels through a sensing electrode as a result of an electrochemical reaction that occurs at the surface of a sensing electrode coated with a catalyst, such as platinum. An electrochemical sensor consists of a metallic anode and a metallic cathode that are submerged in an electrolytic solution (such as 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to allow ion movement between the two electrodes. Electrochemical sensors typically have two or three-electrode designs with a membrane for gas transport. The electrical current is proportional to the hydrogen concentration, which may be monitored to determine the gas concentration [74]. An electrochemical sensor detects and analyses a specific compound by measuring the chemical signals produced from the electrochemical system and converting them into digital signals or well-known as chemical signals. These signals can be measured by analysing the current, potential, and conductance changes being emitted from the system [75]. The response obtained in the electrochemical sensor is due to the interaction between the electron transfer of the analyte in the electrolyte and the electricity being applied to the electrochemical system based on potentiometric, amperometric, voltammetric or conductivity measurements. The two most common electrochemical sensor configurations are amperometric and potentiometric sensors. Amperometric sensors work with a constant applied voltage, and the sensor signal is current. In contrast, potentiometric sensors work with </w:t>
      </w:r>
      <w:r w:rsidRPr="002F3518">
        <w:rPr>
          <w:rFonts w:ascii="Times New Roman" w:hAnsi="Times New Roman"/>
          <w:sz w:val="20"/>
          <w:szCs w:val="20"/>
          <w:lang w:val="en-MY" w:eastAsia="en-GB" w:bidi="ar-SA"/>
        </w:rPr>
        <w:t>zero current, and the sensor signal is the potential difference between the sensing electrode and a reference electrode [74]. The attraction of applying electrochemical sensors is based on their high sensitivity, good selectivity, cost-effectiveness compared to the conventional method, nature-friendly, simple pre-treatment process and fast analytical period [15].</w:t>
      </w:r>
    </w:p>
    <w:p w14:paraId="18DD828E" w14:textId="77777777" w:rsidR="002F3518" w:rsidRPr="002F3518" w:rsidRDefault="002F3518" w:rsidP="002F3518">
      <w:pPr>
        <w:spacing w:after="0"/>
        <w:jc w:val="both"/>
        <w:rPr>
          <w:rFonts w:ascii="Times New Roman" w:hAnsi="Times New Roman"/>
          <w:sz w:val="20"/>
          <w:szCs w:val="20"/>
          <w:lang w:val="en-MY" w:eastAsia="en-GB" w:bidi="ar-SA"/>
        </w:rPr>
      </w:pPr>
    </w:p>
    <w:p w14:paraId="04E63AC3"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the application of electrochemical sensors, it is crucial to have excellent electron transfer properties to promote the ability of some enzymes and exceptional catalytic behaviour towards small biomolecules; and graphene with outstanding electron mobility (200,000 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V</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s</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electron density ~2x10</w:t>
      </w:r>
      <w:r w:rsidRPr="002F3518">
        <w:rPr>
          <w:rFonts w:ascii="Times New Roman" w:hAnsi="Times New Roman"/>
          <w:sz w:val="20"/>
          <w:szCs w:val="20"/>
          <w:vertAlign w:val="superscript"/>
          <w:lang w:val="en-MY" w:eastAsia="en-GB" w:bidi="ar-SA"/>
        </w:rPr>
        <w:t>11</w:t>
      </w:r>
      <w:r w:rsidRPr="002F3518">
        <w:rPr>
          <w:rFonts w:ascii="Times New Roman" w:hAnsi="Times New Roman"/>
          <w:sz w:val="20"/>
          <w:szCs w:val="20"/>
          <w:lang w:val="en-MY" w:eastAsia="en-GB" w:bidi="ar-SA"/>
        </w:rPr>
        <w:t xml:space="preserve"> 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can fulfil this critical requirement [76].   Graphene also possesses a less weighty graphene chemical sensor that is wearable and operates at normal atmospheric pressure and room temperature, making it cost-effective and low environmental impacts material [79].</w:t>
      </w:r>
    </w:p>
    <w:p w14:paraId="0F68EEA9" w14:textId="77777777" w:rsidR="002F3518" w:rsidRPr="002F3518" w:rsidRDefault="002F3518" w:rsidP="002F3518">
      <w:pPr>
        <w:spacing w:after="0"/>
        <w:jc w:val="both"/>
        <w:rPr>
          <w:rFonts w:ascii="Times New Roman" w:hAnsi="Times New Roman"/>
          <w:sz w:val="20"/>
          <w:szCs w:val="20"/>
          <w:lang w:val="en-MY" w:eastAsia="en-GB" w:bidi="ar-SA"/>
        </w:rPr>
      </w:pPr>
    </w:p>
    <w:p w14:paraId="47987620"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Meanwhile, magnetite based-electrochemical sensors have shown to be an excellent choice for highly sensitive sensing with a linear range of several orders of magnitude [79]. Magnetite possesses distinguished properties which one could benefit from. However, it suffers from agglomeration due to its high surface energy and poor conductivity. Therefore, incorporating magnetite and graphene will enhance the conductivities of magnetite nanoparticles, reduce the agglomeration, </w:t>
      </w:r>
      <w:r w:rsidRPr="002F3518">
        <w:rPr>
          <w:rFonts w:ascii="Times New Roman" w:hAnsi="Times New Roman"/>
          <w:sz w:val="20"/>
          <w:szCs w:val="20"/>
          <w:lang w:val="en-MY" w:eastAsia="en-GB" w:bidi="ar-SA"/>
        </w:rPr>
        <w:lastRenderedPageBreak/>
        <w:t xml:space="preserve">improve the effective surface area and accelerate the rate of electron transfer across the electrode surface. This will eventually promote the sensitivity and stability of </w:t>
      </w:r>
      <w:r w:rsidRPr="002F3518">
        <w:rPr>
          <w:rFonts w:ascii="Times New Roman" w:hAnsi="Times New Roman"/>
          <w:sz w:val="20"/>
          <w:szCs w:val="20"/>
          <w:lang w:val="en-MY" w:eastAsia="en-GB" w:bidi="ar-SA"/>
        </w:rPr>
        <w:t>the analytical response [77, 78]. Table 4 outlines the graphene-magnetite modified electrode in electrochemical sensor application.</w:t>
      </w:r>
    </w:p>
    <w:p w14:paraId="064CD10B" w14:textId="77777777" w:rsidR="004B6790" w:rsidRDefault="004B6790" w:rsidP="002F3518">
      <w:pPr>
        <w:spacing w:after="0"/>
        <w:jc w:val="both"/>
        <w:rPr>
          <w:rFonts w:ascii="Times New Roman" w:hAnsi="Times New Roman"/>
          <w:sz w:val="20"/>
          <w:szCs w:val="20"/>
          <w:lang w:val="en-MY" w:eastAsia="en-GB" w:bidi="ar-SA"/>
        </w:rPr>
        <w:sectPr w:rsidR="004B6790" w:rsidSect="004B6790">
          <w:type w:val="continuous"/>
          <w:pgSz w:w="12240" w:h="15840" w:code="1"/>
          <w:pgMar w:top="1800" w:right="1469" w:bottom="1699" w:left="1440" w:header="706" w:footer="706" w:gutter="0"/>
          <w:pgNumType w:start="1"/>
          <w:cols w:num="2" w:space="403"/>
          <w:docGrid w:linePitch="360"/>
        </w:sectPr>
      </w:pPr>
    </w:p>
    <w:p w14:paraId="3EF89453" w14:textId="77777777" w:rsidR="002F3518" w:rsidRPr="002F3518" w:rsidRDefault="002F3518" w:rsidP="002F3518">
      <w:pPr>
        <w:spacing w:after="0"/>
        <w:jc w:val="both"/>
        <w:rPr>
          <w:rFonts w:ascii="Times New Roman" w:hAnsi="Times New Roman"/>
          <w:sz w:val="20"/>
          <w:szCs w:val="20"/>
          <w:lang w:val="en-MY" w:eastAsia="en-GB" w:bidi="ar-SA"/>
        </w:rPr>
      </w:pPr>
    </w:p>
    <w:p w14:paraId="615F00CD"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Table 4</w:t>
      </w:r>
      <w:r w:rsidRPr="002F3518">
        <w:rPr>
          <w:rFonts w:ascii="Times New Roman" w:hAnsi="Times New Roman"/>
          <w:sz w:val="20"/>
          <w:szCs w:val="20"/>
          <w:lang w:val="en-MY" w:eastAsia="en-GB" w:bidi="ar-SA"/>
        </w:rPr>
        <w:t>. Graphene-magnetite modified electrode in electrochemical sensor</w:t>
      </w:r>
    </w:p>
    <w:p w14:paraId="14AEB1B6" w14:textId="77777777" w:rsidR="002F3518" w:rsidRPr="002F3518" w:rsidRDefault="002F3518" w:rsidP="002F3518">
      <w:pPr>
        <w:spacing w:after="0"/>
        <w:jc w:val="center"/>
        <w:rPr>
          <w:rFonts w:ascii="Times New Roman" w:hAnsi="Times New Roman"/>
          <w:sz w:val="20"/>
          <w:szCs w:val="20"/>
          <w:lang w:val="en-MY" w:eastAsia="en-GB" w:bidi="ar-SA"/>
        </w:rPr>
      </w:pPr>
    </w:p>
    <w:tbl>
      <w:tblPr>
        <w:tblW w:w="9360" w:type="dxa"/>
        <w:tblCellMar>
          <w:top w:w="15" w:type="dxa"/>
          <w:left w:w="15" w:type="dxa"/>
          <w:bottom w:w="15" w:type="dxa"/>
          <w:right w:w="15" w:type="dxa"/>
        </w:tblCellMar>
        <w:tblLook w:val="04A0" w:firstRow="1" w:lastRow="0" w:firstColumn="1" w:lastColumn="0" w:noHBand="0" w:noVBand="1"/>
      </w:tblPr>
      <w:tblGrid>
        <w:gridCol w:w="1418"/>
        <w:gridCol w:w="2869"/>
        <w:gridCol w:w="1383"/>
        <w:gridCol w:w="1060"/>
        <w:gridCol w:w="1730"/>
        <w:gridCol w:w="900"/>
      </w:tblGrid>
      <w:tr w:rsidR="002F3518" w:rsidRPr="002F3518" w14:paraId="3E10E4C0" w14:textId="77777777" w:rsidTr="00EF6288">
        <w:trPr>
          <w:trHeight w:val="656"/>
        </w:trPr>
        <w:tc>
          <w:tcPr>
            <w:tcW w:w="1418" w:type="dxa"/>
            <w:tcBorders>
              <w:top w:val="single" w:sz="4" w:space="0" w:color="000000"/>
              <w:bottom w:val="single" w:sz="4" w:space="0" w:color="000000"/>
            </w:tcBorders>
            <w:tcMar>
              <w:top w:w="0" w:type="dxa"/>
              <w:left w:w="108" w:type="dxa"/>
              <w:bottom w:w="0" w:type="dxa"/>
              <w:right w:w="108" w:type="dxa"/>
            </w:tcMar>
          </w:tcPr>
          <w:p w14:paraId="0CE4428D"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Electrode</w:t>
            </w:r>
          </w:p>
        </w:tc>
        <w:tc>
          <w:tcPr>
            <w:tcW w:w="0" w:type="auto"/>
            <w:tcBorders>
              <w:top w:val="single" w:sz="4" w:space="0" w:color="000000"/>
              <w:bottom w:val="single" w:sz="4" w:space="0" w:color="000000"/>
            </w:tcBorders>
            <w:tcMar>
              <w:top w:w="0" w:type="dxa"/>
              <w:left w:w="108" w:type="dxa"/>
              <w:bottom w:w="0" w:type="dxa"/>
              <w:right w:w="108" w:type="dxa"/>
            </w:tcMar>
          </w:tcPr>
          <w:p w14:paraId="2BD9CDE0"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Analyte</w:t>
            </w:r>
          </w:p>
        </w:tc>
        <w:tc>
          <w:tcPr>
            <w:tcW w:w="1383" w:type="dxa"/>
            <w:tcBorders>
              <w:top w:val="single" w:sz="4" w:space="0" w:color="000000"/>
              <w:bottom w:val="single" w:sz="4" w:space="0" w:color="000000"/>
            </w:tcBorders>
            <w:tcMar>
              <w:top w:w="0" w:type="dxa"/>
              <w:left w:w="108" w:type="dxa"/>
              <w:bottom w:w="0" w:type="dxa"/>
              <w:right w:w="108" w:type="dxa"/>
            </w:tcMar>
          </w:tcPr>
          <w:p w14:paraId="5DBBDC1F"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Detection Method</w:t>
            </w:r>
          </w:p>
        </w:tc>
        <w:tc>
          <w:tcPr>
            <w:tcW w:w="1060" w:type="dxa"/>
            <w:tcBorders>
              <w:top w:val="single" w:sz="4" w:space="0" w:color="000000"/>
              <w:bottom w:val="single" w:sz="4" w:space="0" w:color="000000"/>
            </w:tcBorders>
            <w:tcMar>
              <w:top w:w="0" w:type="dxa"/>
              <w:left w:w="108" w:type="dxa"/>
              <w:bottom w:w="0" w:type="dxa"/>
              <w:right w:w="108" w:type="dxa"/>
            </w:tcMar>
          </w:tcPr>
          <w:p w14:paraId="0AF871A0"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Detection Limit</w:t>
            </w:r>
          </w:p>
        </w:tc>
        <w:tc>
          <w:tcPr>
            <w:tcW w:w="1730" w:type="dxa"/>
            <w:tcBorders>
              <w:top w:val="single" w:sz="4" w:space="0" w:color="000000"/>
              <w:bottom w:val="single" w:sz="4" w:space="0" w:color="000000"/>
            </w:tcBorders>
            <w:tcMar>
              <w:top w:w="0" w:type="dxa"/>
              <w:left w:w="108" w:type="dxa"/>
              <w:bottom w:w="0" w:type="dxa"/>
              <w:right w:w="108" w:type="dxa"/>
            </w:tcMar>
          </w:tcPr>
          <w:p w14:paraId="782BAADD"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Linear Range</w:t>
            </w:r>
          </w:p>
        </w:tc>
        <w:tc>
          <w:tcPr>
            <w:tcW w:w="900" w:type="dxa"/>
            <w:tcBorders>
              <w:top w:val="single" w:sz="4" w:space="0" w:color="000000"/>
              <w:bottom w:val="single" w:sz="4" w:space="0" w:color="000000"/>
            </w:tcBorders>
            <w:tcMar>
              <w:top w:w="0" w:type="dxa"/>
              <w:left w:w="108" w:type="dxa"/>
              <w:bottom w:w="0" w:type="dxa"/>
              <w:right w:w="108" w:type="dxa"/>
            </w:tcMar>
          </w:tcPr>
          <w:p w14:paraId="3E46D2C7"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2A142609" w14:textId="77777777" w:rsidTr="00F44E65">
        <w:trPr>
          <w:trHeight w:val="243"/>
        </w:trPr>
        <w:tc>
          <w:tcPr>
            <w:tcW w:w="1418" w:type="dxa"/>
            <w:tcBorders>
              <w:top w:val="single" w:sz="4" w:space="0" w:color="000000"/>
            </w:tcBorders>
            <w:tcMar>
              <w:top w:w="0" w:type="dxa"/>
              <w:left w:w="108" w:type="dxa"/>
              <w:bottom w:w="0" w:type="dxa"/>
              <w:right w:w="108" w:type="dxa"/>
            </w:tcMar>
          </w:tcPr>
          <w:p w14:paraId="29246607" w14:textId="77777777" w:rsidR="002F3518" w:rsidRPr="002F3518" w:rsidRDefault="002F3518" w:rsidP="00EF628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Borders>
              <w:top w:val="single" w:sz="4" w:space="0" w:color="000000"/>
            </w:tcBorders>
            <w:tcMar>
              <w:top w:w="0" w:type="dxa"/>
              <w:left w:w="108" w:type="dxa"/>
              <w:bottom w:w="0" w:type="dxa"/>
              <w:right w:w="108" w:type="dxa"/>
            </w:tcMar>
          </w:tcPr>
          <w:p w14:paraId="746AF0EF"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Dopamine</w:t>
            </w:r>
          </w:p>
        </w:tc>
        <w:tc>
          <w:tcPr>
            <w:tcW w:w="1383" w:type="dxa"/>
            <w:tcBorders>
              <w:top w:val="single" w:sz="4" w:space="0" w:color="000000"/>
            </w:tcBorders>
            <w:tcMar>
              <w:top w:w="0" w:type="dxa"/>
              <w:left w:w="108" w:type="dxa"/>
              <w:bottom w:w="0" w:type="dxa"/>
              <w:right w:w="108" w:type="dxa"/>
            </w:tcMar>
          </w:tcPr>
          <w:p w14:paraId="45A9EB39"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CA</w:t>
            </w:r>
          </w:p>
        </w:tc>
        <w:tc>
          <w:tcPr>
            <w:tcW w:w="1060" w:type="dxa"/>
            <w:tcBorders>
              <w:top w:val="single" w:sz="4" w:space="0" w:color="000000"/>
            </w:tcBorders>
            <w:tcMar>
              <w:top w:w="0" w:type="dxa"/>
              <w:left w:w="108" w:type="dxa"/>
              <w:bottom w:w="0" w:type="dxa"/>
              <w:right w:w="108" w:type="dxa"/>
            </w:tcMar>
          </w:tcPr>
          <w:p w14:paraId="22B1C0DA"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7.00 nM</w:t>
            </w:r>
          </w:p>
        </w:tc>
        <w:tc>
          <w:tcPr>
            <w:tcW w:w="1730" w:type="dxa"/>
            <w:tcBorders>
              <w:top w:val="single" w:sz="4" w:space="0" w:color="000000"/>
            </w:tcBorders>
            <w:tcMar>
              <w:top w:w="0" w:type="dxa"/>
              <w:left w:w="108" w:type="dxa"/>
              <w:bottom w:w="0" w:type="dxa"/>
              <w:right w:w="108" w:type="dxa"/>
            </w:tcMar>
          </w:tcPr>
          <w:p w14:paraId="18402831"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0.01 – 100.55 µM</w:t>
            </w:r>
          </w:p>
        </w:tc>
        <w:tc>
          <w:tcPr>
            <w:tcW w:w="900" w:type="dxa"/>
            <w:tcBorders>
              <w:top w:val="single" w:sz="4" w:space="0" w:color="000000"/>
            </w:tcBorders>
            <w:tcMar>
              <w:top w:w="0" w:type="dxa"/>
              <w:left w:w="108" w:type="dxa"/>
              <w:bottom w:w="0" w:type="dxa"/>
              <w:right w:w="108" w:type="dxa"/>
            </w:tcMar>
          </w:tcPr>
          <w:p w14:paraId="70528DBB"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[80]</w:t>
            </w:r>
          </w:p>
        </w:tc>
      </w:tr>
      <w:tr w:rsidR="002F3518" w:rsidRPr="002F3518" w14:paraId="0011DF0B" w14:textId="77777777" w:rsidTr="00F44E65">
        <w:trPr>
          <w:trHeight w:val="70"/>
        </w:trPr>
        <w:tc>
          <w:tcPr>
            <w:tcW w:w="1418" w:type="dxa"/>
            <w:tcMar>
              <w:top w:w="0" w:type="dxa"/>
              <w:left w:w="108" w:type="dxa"/>
              <w:bottom w:w="0" w:type="dxa"/>
              <w:right w:w="108" w:type="dxa"/>
            </w:tcMar>
          </w:tcPr>
          <w:p w14:paraId="6203FEB6" w14:textId="77777777" w:rsidR="002F3518" w:rsidRPr="002F3518" w:rsidRDefault="002F3518" w:rsidP="00EF628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4E4F64FB"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Dopamine</w:t>
            </w:r>
          </w:p>
        </w:tc>
        <w:tc>
          <w:tcPr>
            <w:tcW w:w="1383" w:type="dxa"/>
            <w:tcMar>
              <w:top w:w="0" w:type="dxa"/>
              <w:left w:w="108" w:type="dxa"/>
              <w:bottom w:w="0" w:type="dxa"/>
              <w:right w:w="108" w:type="dxa"/>
            </w:tcMar>
          </w:tcPr>
          <w:p w14:paraId="56E1DB5B"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DPV</w:t>
            </w:r>
          </w:p>
        </w:tc>
        <w:tc>
          <w:tcPr>
            <w:tcW w:w="1060" w:type="dxa"/>
            <w:tcMar>
              <w:top w:w="0" w:type="dxa"/>
              <w:left w:w="108" w:type="dxa"/>
              <w:bottom w:w="0" w:type="dxa"/>
              <w:right w:w="108" w:type="dxa"/>
            </w:tcMar>
          </w:tcPr>
          <w:p w14:paraId="31A91AA9"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0.08 µM</w:t>
            </w:r>
          </w:p>
        </w:tc>
        <w:tc>
          <w:tcPr>
            <w:tcW w:w="1730" w:type="dxa"/>
            <w:tcMar>
              <w:top w:w="0" w:type="dxa"/>
              <w:left w:w="108" w:type="dxa"/>
              <w:bottom w:w="0" w:type="dxa"/>
              <w:right w:w="108" w:type="dxa"/>
            </w:tcMar>
          </w:tcPr>
          <w:p w14:paraId="3F708EC0"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 3.50 µM</w:t>
            </w:r>
          </w:p>
        </w:tc>
        <w:tc>
          <w:tcPr>
            <w:tcW w:w="900" w:type="dxa"/>
            <w:tcMar>
              <w:top w:w="0" w:type="dxa"/>
              <w:left w:w="108" w:type="dxa"/>
              <w:bottom w:w="0" w:type="dxa"/>
              <w:right w:w="108" w:type="dxa"/>
            </w:tcMar>
          </w:tcPr>
          <w:p w14:paraId="5C212EEB"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0CB1199E" w14:textId="77777777" w:rsidTr="00F44E65">
        <w:trPr>
          <w:trHeight w:val="70"/>
        </w:trPr>
        <w:tc>
          <w:tcPr>
            <w:tcW w:w="1418" w:type="dxa"/>
            <w:tcMar>
              <w:top w:w="0" w:type="dxa"/>
              <w:left w:w="108" w:type="dxa"/>
              <w:bottom w:w="0" w:type="dxa"/>
              <w:right w:w="108" w:type="dxa"/>
            </w:tcMar>
          </w:tcPr>
          <w:p w14:paraId="48A64B2A" w14:textId="77777777" w:rsidR="002F3518" w:rsidRPr="002F3518" w:rsidRDefault="002F3518" w:rsidP="00EF628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2E9E5D82"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0C75FDC6"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25955B97"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6.00 nM</w:t>
            </w:r>
          </w:p>
        </w:tc>
        <w:tc>
          <w:tcPr>
            <w:tcW w:w="1730" w:type="dxa"/>
            <w:tcMar>
              <w:top w:w="0" w:type="dxa"/>
              <w:left w:w="108" w:type="dxa"/>
              <w:bottom w:w="0" w:type="dxa"/>
              <w:right w:w="108" w:type="dxa"/>
            </w:tcMar>
          </w:tcPr>
          <w:p w14:paraId="6DE76E58"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0.02-19.00 µM</w:t>
            </w:r>
          </w:p>
        </w:tc>
        <w:tc>
          <w:tcPr>
            <w:tcW w:w="900" w:type="dxa"/>
            <w:tcMar>
              <w:top w:w="0" w:type="dxa"/>
              <w:left w:w="108" w:type="dxa"/>
              <w:bottom w:w="0" w:type="dxa"/>
              <w:right w:w="108" w:type="dxa"/>
            </w:tcMar>
          </w:tcPr>
          <w:p w14:paraId="6281128A"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476032F5" w14:textId="77777777" w:rsidTr="00F44E65">
        <w:trPr>
          <w:trHeight w:val="70"/>
        </w:trPr>
        <w:tc>
          <w:tcPr>
            <w:tcW w:w="1418" w:type="dxa"/>
            <w:tcMar>
              <w:top w:w="0" w:type="dxa"/>
              <w:left w:w="108" w:type="dxa"/>
              <w:bottom w:w="0" w:type="dxa"/>
              <w:right w:w="108" w:type="dxa"/>
            </w:tcMar>
          </w:tcPr>
          <w:p w14:paraId="013081F1" w14:textId="77777777" w:rsidR="002F3518" w:rsidRPr="002F3518" w:rsidRDefault="002F3518" w:rsidP="00EF628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w:t>
            </w:r>
          </w:p>
        </w:tc>
        <w:tc>
          <w:tcPr>
            <w:tcW w:w="0" w:type="auto"/>
            <w:tcMar>
              <w:top w:w="0" w:type="dxa"/>
              <w:left w:w="108" w:type="dxa"/>
              <w:bottom w:w="0" w:type="dxa"/>
              <w:right w:w="108" w:type="dxa"/>
            </w:tcMar>
          </w:tcPr>
          <w:p w14:paraId="3CF5AF3A"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38501226"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72D50515"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 µM</w:t>
            </w:r>
          </w:p>
        </w:tc>
        <w:tc>
          <w:tcPr>
            <w:tcW w:w="1730" w:type="dxa"/>
            <w:tcMar>
              <w:top w:w="0" w:type="dxa"/>
              <w:left w:w="108" w:type="dxa"/>
              <w:bottom w:w="0" w:type="dxa"/>
              <w:right w:w="108" w:type="dxa"/>
            </w:tcMar>
          </w:tcPr>
          <w:p w14:paraId="7130E931"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 – 1500 µM</w:t>
            </w:r>
          </w:p>
        </w:tc>
        <w:tc>
          <w:tcPr>
            <w:tcW w:w="900" w:type="dxa"/>
            <w:tcMar>
              <w:top w:w="0" w:type="dxa"/>
              <w:left w:w="108" w:type="dxa"/>
              <w:bottom w:w="0" w:type="dxa"/>
              <w:right w:w="108" w:type="dxa"/>
            </w:tcMar>
          </w:tcPr>
          <w:p w14:paraId="7C6EF2A9"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[82]</w:t>
            </w:r>
          </w:p>
        </w:tc>
      </w:tr>
      <w:tr w:rsidR="002F3518" w:rsidRPr="002F3518" w14:paraId="6A471ACF" w14:textId="77777777" w:rsidTr="00F44E65">
        <w:trPr>
          <w:trHeight w:val="70"/>
        </w:trPr>
        <w:tc>
          <w:tcPr>
            <w:tcW w:w="1418" w:type="dxa"/>
            <w:tcMar>
              <w:top w:w="0" w:type="dxa"/>
              <w:left w:w="108" w:type="dxa"/>
              <w:bottom w:w="0" w:type="dxa"/>
              <w:right w:w="108" w:type="dxa"/>
            </w:tcMar>
          </w:tcPr>
          <w:p w14:paraId="508FBAB1" w14:textId="77777777" w:rsidR="002F3518" w:rsidRPr="002F3518" w:rsidRDefault="002F3518" w:rsidP="00EF628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Au/HRP</w:t>
            </w:r>
          </w:p>
        </w:tc>
        <w:tc>
          <w:tcPr>
            <w:tcW w:w="0" w:type="auto"/>
            <w:tcMar>
              <w:top w:w="0" w:type="dxa"/>
              <w:left w:w="108" w:type="dxa"/>
              <w:bottom w:w="0" w:type="dxa"/>
              <w:right w:w="108" w:type="dxa"/>
            </w:tcMar>
          </w:tcPr>
          <w:p w14:paraId="34FA0266"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763AE4AF"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4C64016A"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12.00 µM</w:t>
            </w:r>
          </w:p>
        </w:tc>
        <w:tc>
          <w:tcPr>
            <w:tcW w:w="1730" w:type="dxa"/>
            <w:tcMar>
              <w:top w:w="0" w:type="dxa"/>
              <w:left w:w="108" w:type="dxa"/>
              <w:bottom w:w="0" w:type="dxa"/>
              <w:right w:w="108" w:type="dxa"/>
            </w:tcMar>
          </w:tcPr>
          <w:p w14:paraId="33971274"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 – 2.50 mM</w:t>
            </w:r>
          </w:p>
        </w:tc>
        <w:tc>
          <w:tcPr>
            <w:tcW w:w="900" w:type="dxa"/>
            <w:tcMar>
              <w:top w:w="0" w:type="dxa"/>
              <w:left w:w="108" w:type="dxa"/>
              <w:bottom w:w="0" w:type="dxa"/>
              <w:right w:w="108" w:type="dxa"/>
            </w:tcMar>
          </w:tcPr>
          <w:p w14:paraId="45ABC8E7"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[83]</w:t>
            </w:r>
          </w:p>
        </w:tc>
      </w:tr>
      <w:tr w:rsidR="002F3518" w:rsidRPr="002F3518" w14:paraId="1D881166" w14:textId="77777777" w:rsidTr="00EF6288">
        <w:trPr>
          <w:trHeight w:val="234"/>
        </w:trPr>
        <w:tc>
          <w:tcPr>
            <w:tcW w:w="1418" w:type="dxa"/>
            <w:tcMar>
              <w:top w:w="0" w:type="dxa"/>
              <w:left w:w="108" w:type="dxa"/>
              <w:bottom w:w="0" w:type="dxa"/>
              <w:right w:w="108" w:type="dxa"/>
            </w:tcMar>
          </w:tcPr>
          <w:p w14:paraId="44DC6FAF" w14:textId="77777777" w:rsidR="002F3518" w:rsidRPr="002F3518" w:rsidRDefault="002F3518" w:rsidP="00EF628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/GO</w:t>
            </w:r>
          </w:p>
        </w:tc>
        <w:tc>
          <w:tcPr>
            <w:tcW w:w="0" w:type="auto"/>
            <w:tcMar>
              <w:top w:w="0" w:type="dxa"/>
              <w:left w:w="108" w:type="dxa"/>
              <w:bottom w:w="0" w:type="dxa"/>
              <w:right w:w="108" w:type="dxa"/>
            </w:tcMar>
          </w:tcPr>
          <w:p w14:paraId="57B56969" w14:textId="77777777" w:rsidR="002F3518" w:rsidRPr="002F3518" w:rsidRDefault="002F3518" w:rsidP="00EF6288">
            <w:pPr>
              <w:spacing w:after="0"/>
              <w:jc w:val="center"/>
              <w:rPr>
                <w:rFonts w:ascii="Times New Roman" w:hAnsi="Times New Roman"/>
                <w:sz w:val="20"/>
                <w:szCs w:val="20"/>
                <w:lang w:bidi="ar-SA"/>
              </w:rPr>
            </w:pPr>
            <w:r w:rsidRPr="002F3518">
              <w:rPr>
                <w:rFonts w:ascii="Times New Roman" w:hAnsi="Times New Roman"/>
                <w:sz w:val="20"/>
                <w:szCs w:val="20"/>
                <w:lang w:bidi="ar-SA"/>
              </w:rPr>
              <w:t>Prostate Specific Antigen (PSA)</w:t>
            </w:r>
          </w:p>
        </w:tc>
        <w:tc>
          <w:tcPr>
            <w:tcW w:w="1383" w:type="dxa"/>
            <w:tcMar>
              <w:top w:w="0" w:type="dxa"/>
              <w:left w:w="108" w:type="dxa"/>
              <w:bottom w:w="0" w:type="dxa"/>
              <w:right w:w="108" w:type="dxa"/>
            </w:tcMar>
          </w:tcPr>
          <w:p w14:paraId="6599BD01"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Amperometric</w:t>
            </w:r>
          </w:p>
        </w:tc>
        <w:tc>
          <w:tcPr>
            <w:tcW w:w="1060" w:type="dxa"/>
            <w:tcMar>
              <w:top w:w="0" w:type="dxa"/>
              <w:left w:w="108" w:type="dxa"/>
              <w:bottom w:w="0" w:type="dxa"/>
              <w:right w:w="108" w:type="dxa"/>
            </w:tcMar>
          </w:tcPr>
          <w:p w14:paraId="55F4C3BA"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15 fg/mL</w:t>
            </w:r>
          </w:p>
        </w:tc>
        <w:tc>
          <w:tcPr>
            <w:tcW w:w="1730" w:type="dxa"/>
            <w:tcMar>
              <w:top w:w="0" w:type="dxa"/>
              <w:left w:w="108" w:type="dxa"/>
              <w:bottom w:w="0" w:type="dxa"/>
              <w:right w:w="108" w:type="dxa"/>
            </w:tcMar>
          </w:tcPr>
          <w:p w14:paraId="2A0593C8"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 – 1000 nM</w:t>
            </w:r>
          </w:p>
        </w:tc>
        <w:tc>
          <w:tcPr>
            <w:tcW w:w="900" w:type="dxa"/>
            <w:tcMar>
              <w:top w:w="0" w:type="dxa"/>
              <w:left w:w="108" w:type="dxa"/>
              <w:bottom w:w="0" w:type="dxa"/>
              <w:right w:w="108" w:type="dxa"/>
            </w:tcMar>
          </w:tcPr>
          <w:p w14:paraId="330337FF"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[84]</w:t>
            </w:r>
          </w:p>
        </w:tc>
      </w:tr>
      <w:tr w:rsidR="002F3518" w:rsidRPr="002F3518" w14:paraId="35C6718B" w14:textId="77777777" w:rsidTr="00F44E65">
        <w:trPr>
          <w:trHeight w:val="460"/>
        </w:trPr>
        <w:tc>
          <w:tcPr>
            <w:tcW w:w="1418" w:type="dxa"/>
            <w:tcMar>
              <w:top w:w="0" w:type="dxa"/>
              <w:left w:w="108" w:type="dxa"/>
              <w:bottom w:w="0" w:type="dxa"/>
              <w:right w:w="108" w:type="dxa"/>
            </w:tcMar>
          </w:tcPr>
          <w:p w14:paraId="08102EC7" w14:textId="77777777" w:rsidR="002F3518" w:rsidRPr="002F3518" w:rsidRDefault="002F3518" w:rsidP="00EF628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/GO</w:t>
            </w:r>
          </w:p>
        </w:tc>
        <w:tc>
          <w:tcPr>
            <w:tcW w:w="0" w:type="auto"/>
            <w:tcMar>
              <w:top w:w="0" w:type="dxa"/>
              <w:left w:w="108" w:type="dxa"/>
              <w:bottom w:w="0" w:type="dxa"/>
              <w:right w:w="108" w:type="dxa"/>
            </w:tcMar>
          </w:tcPr>
          <w:p w14:paraId="6FDF4F06" w14:textId="77777777" w:rsidR="002F3518" w:rsidRPr="002F3518" w:rsidRDefault="002F3518" w:rsidP="00EF6288">
            <w:pPr>
              <w:spacing w:after="0"/>
              <w:jc w:val="center"/>
              <w:rPr>
                <w:rFonts w:ascii="Times New Roman" w:hAnsi="Times New Roman"/>
                <w:sz w:val="20"/>
                <w:szCs w:val="20"/>
                <w:lang w:bidi="ar-SA"/>
              </w:rPr>
            </w:pPr>
            <w:r w:rsidRPr="002F3518">
              <w:rPr>
                <w:rFonts w:ascii="Times New Roman" w:hAnsi="Times New Roman"/>
                <w:sz w:val="20"/>
                <w:szCs w:val="20"/>
                <w:lang w:bidi="ar-SA"/>
              </w:rPr>
              <w:t>Prostate Specific Membrane Antigen (PSMA)</w:t>
            </w:r>
          </w:p>
        </w:tc>
        <w:tc>
          <w:tcPr>
            <w:tcW w:w="1383" w:type="dxa"/>
            <w:tcMar>
              <w:top w:w="0" w:type="dxa"/>
              <w:left w:w="108" w:type="dxa"/>
              <w:bottom w:w="0" w:type="dxa"/>
              <w:right w:w="108" w:type="dxa"/>
            </w:tcMar>
          </w:tcPr>
          <w:p w14:paraId="64E78500"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Amperometric</w:t>
            </w:r>
          </w:p>
        </w:tc>
        <w:tc>
          <w:tcPr>
            <w:tcW w:w="1060" w:type="dxa"/>
            <w:tcMar>
              <w:top w:w="0" w:type="dxa"/>
              <w:left w:w="108" w:type="dxa"/>
              <w:bottom w:w="0" w:type="dxa"/>
              <w:right w:w="108" w:type="dxa"/>
            </w:tcMar>
          </w:tcPr>
          <w:p w14:paraId="20E63987"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 fg/mL</w:t>
            </w:r>
          </w:p>
        </w:tc>
        <w:tc>
          <w:tcPr>
            <w:tcW w:w="1730" w:type="dxa"/>
            <w:tcMar>
              <w:top w:w="0" w:type="dxa"/>
              <w:left w:w="108" w:type="dxa"/>
              <w:bottom w:w="0" w:type="dxa"/>
              <w:right w:w="108" w:type="dxa"/>
            </w:tcMar>
          </w:tcPr>
          <w:p w14:paraId="3B39B26E"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 – 10000 nM</w:t>
            </w:r>
          </w:p>
        </w:tc>
        <w:tc>
          <w:tcPr>
            <w:tcW w:w="900" w:type="dxa"/>
            <w:tcMar>
              <w:top w:w="0" w:type="dxa"/>
              <w:left w:w="108" w:type="dxa"/>
              <w:bottom w:w="0" w:type="dxa"/>
              <w:right w:w="108" w:type="dxa"/>
            </w:tcMar>
          </w:tcPr>
          <w:p w14:paraId="2F7EFD41"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[84]</w:t>
            </w:r>
          </w:p>
        </w:tc>
      </w:tr>
      <w:tr w:rsidR="002F3518" w:rsidRPr="002F3518" w14:paraId="7CF9676C" w14:textId="77777777" w:rsidTr="00F44E65">
        <w:trPr>
          <w:trHeight w:val="70"/>
        </w:trPr>
        <w:tc>
          <w:tcPr>
            <w:tcW w:w="1418" w:type="dxa"/>
            <w:tcMar>
              <w:top w:w="0" w:type="dxa"/>
              <w:left w:w="108" w:type="dxa"/>
              <w:bottom w:w="0" w:type="dxa"/>
              <w:right w:w="108" w:type="dxa"/>
            </w:tcMar>
          </w:tcPr>
          <w:p w14:paraId="18FEAD8D" w14:textId="77777777" w:rsidR="002F3518" w:rsidRPr="002F3518" w:rsidRDefault="002F3518" w:rsidP="00EF628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7D54BBB5"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NADH</w:t>
            </w:r>
          </w:p>
        </w:tc>
        <w:tc>
          <w:tcPr>
            <w:tcW w:w="1383" w:type="dxa"/>
            <w:tcMar>
              <w:top w:w="0" w:type="dxa"/>
              <w:left w:w="108" w:type="dxa"/>
              <w:bottom w:w="0" w:type="dxa"/>
              <w:right w:w="108" w:type="dxa"/>
            </w:tcMar>
          </w:tcPr>
          <w:p w14:paraId="36B20584"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668A6F0B"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µM</w:t>
            </w:r>
          </w:p>
        </w:tc>
        <w:tc>
          <w:tcPr>
            <w:tcW w:w="1730" w:type="dxa"/>
            <w:tcMar>
              <w:top w:w="0" w:type="dxa"/>
              <w:left w:w="108" w:type="dxa"/>
              <w:bottom w:w="0" w:type="dxa"/>
              <w:right w:w="108" w:type="dxa"/>
            </w:tcMar>
          </w:tcPr>
          <w:p w14:paraId="67D2EDE2"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15.00-190.00 µM</w:t>
            </w:r>
          </w:p>
        </w:tc>
        <w:tc>
          <w:tcPr>
            <w:tcW w:w="900" w:type="dxa"/>
            <w:tcMar>
              <w:top w:w="0" w:type="dxa"/>
              <w:left w:w="108" w:type="dxa"/>
              <w:bottom w:w="0" w:type="dxa"/>
              <w:right w:w="108" w:type="dxa"/>
            </w:tcMar>
          </w:tcPr>
          <w:p w14:paraId="21FCDEBB"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3C49F1C6" w14:textId="77777777" w:rsidTr="00EF6288">
        <w:trPr>
          <w:trHeight w:val="306"/>
        </w:trPr>
        <w:tc>
          <w:tcPr>
            <w:tcW w:w="1418" w:type="dxa"/>
            <w:tcBorders>
              <w:bottom w:val="single" w:sz="4" w:space="0" w:color="000000"/>
            </w:tcBorders>
            <w:tcMar>
              <w:top w:w="0" w:type="dxa"/>
              <w:left w:w="108" w:type="dxa"/>
              <w:bottom w:w="0" w:type="dxa"/>
              <w:right w:w="108" w:type="dxa"/>
            </w:tcMar>
          </w:tcPr>
          <w:p w14:paraId="0701A2FB" w14:textId="77777777" w:rsidR="002F3518" w:rsidRPr="002F3518" w:rsidRDefault="002F3518" w:rsidP="00EF6288">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w:t>
            </w:r>
          </w:p>
        </w:tc>
        <w:tc>
          <w:tcPr>
            <w:tcW w:w="0" w:type="auto"/>
            <w:tcBorders>
              <w:bottom w:val="single" w:sz="4" w:space="0" w:color="000000"/>
            </w:tcBorders>
            <w:tcMar>
              <w:top w:w="0" w:type="dxa"/>
              <w:left w:w="108" w:type="dxa"/>
              <w:bottom w:w="0" w:type="dxa"/>
              <w:right w:w="108" w:type="dxa"/>
            </w:tcMar>
          </w:tcPr>
          <w:p w14:paraId="64D63DB0"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NADH</w:t>
            </w:r>
          </w:p>
        </w:tc>
        <w:tc>
          <w:tcPr>
            <w:tcW w:w="1383" w:type="dxa"/>
            <w:tcBorders>
              <w:bottom w:val="single" w:sz="4" w:space="0" w:color="000000"/>
            </w:tcBorders>
            <w:tcMar>
              <w:top w:w="0" w:type="dxa"/>
              <w:left w:w="108" w:type="dxa"/>
              <w:bottom w:w="0" w:type="dxa"/>
              <w:right w:w="108" w:type="dxa"/>
            </w:tcMar>
          </w:tcPr>
          <w:p w14:paraId="0A098639"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Borders>
              <w:bottom w:val="single" w:sz="4" w:space="0" w:color="000000"/>
            </w:tcBorders>
            <w:tcMar>
              <w:top w:w="0" w:type="dxa"/>
              <w:left w:w="108" w:type="dxa"/>
              <w:bottom w:w="0" w:type="dxa"/>
              <w:right w:w="108" w:type="dxa"/>
            </w:tcMar>
          </w:tcPr>
          <w:p w14:paraId="2A6EE0CC"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 µM</w:t>
            </w:r>
          </w:p>
        </w:tc>
        <w:tc>
          <w:tcPr>
            <w:tcW w:w="1730" w:type="dxa"/>
            <w:tcBorders>
              <w:bottom w:val="single" w:sz="4" w:space="0" w:color="000000"/>
            </w:tcBorders>
            <w:tcMar>
              <w:top w:w="0" w:type="dxa"/>
              <w:left w:w="108" w:type="dxa"/>
              <w:bottom w:w="0" w:type="dxa"/>
              <w:right w:w="108" w:type="dxa"/>
            </w:tcMar>
          </w:tcPr>
          <w:p w14:paraId="7AB2AC66"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40.00-800.00 µM</w:t>
            </w:r>
          </w:p>
        </w:tc>
        <w:tc>
          <w:tcPr>
            <w:tcW w:w="900" w:type="dxa"/>
            <w:tcBorders>
              <w:bottom w:val="single" w:sz="4" w:space="0" w:color="000000"/>
            </w:tcBorders>
            <w:tcMar>
              <w:top w:w="0" w:type="dxa"/>
              <w:left w:w="108" w:type="dxa"/>
              <w:bottom w:w="0" w:type="dxa"/>
              <w:right w:w="108" w:type="dxa"/>
            </w:tcMar>
          </w:tcPr>
          <w:p w14:paraId="338CD165" w14:textId="77777777" w:rsidR="002F3518" w:rsidRPr="002F3518" w:rsidRDefault="002F3518" w:rsidP="00EF628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[82]</w:t>
            </w:r>
          </w:p>
        </w:tc>
      </w:tr>
    </w:tbl>
    <w:p w14:paraId="7BCD09D9" w14:textId="77777777" w:rsidR="002F3518" w:rsidRPr="002F3518" w:rsidRDefault="002F3518" w:rsidP="00EF6288">
      <w:pPr>
        <w:spacing w:after="0"/>
        <w:rPr>
          <w:rFonts w:ascii="Times New Roman" w:hAnsi="Times New Roman"/>
          <w:b/>
          <w:i/>
          <w:sz w:val="20"/>
          <w:szCs w:val="20"/>
          <w:lang w:val="en-MY" w:eastAsia="en-GB" w:bidi="ar-SA"/>
        </w:rPr>
      </w:pPr>
    </w:p>
    <w:p w14:paraId="03FFD0A2" w14:textId="77777777" w:rsidR="002F3518" w:rsidRPr="002F3518" w:rsidRDefault="002F3518" w:rsidP="002F3518">
      <w:pPr>
        <w:spacing w:after="0"/>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Super-capacitor</w:t>
      </w:r>
    </w:p>
    <w:p w14:paraId="3138DCF1" w14:textId="77777777" w:rsidR="00EF6288" w:rsidRDefault="00EF6288" w:rsidP="002F3518">
      <w:pPr>
        <w:spacing w:after="0"/>
        <w:jc w:val="both"/>
        <w:rPr>
          <w:rFonts w:ascii="Times New Roman" w:hAnsi="Times New Roman"/>
          <w:sz w:val="20"/>
          <w:szCs w:val="20"/>
          <w:lang w:val="en-MY" w:eastAsia="en-GB" w:bidi="ar-SA"/>
        </w:rPr>
        <w:sectPr w:rsidR="00EF6288" w:rsidSect="001D33F5">
          <w:type w:val="continuous"/>
          <w:pgSz w:w="12240" w:h="15840" w:code="1"/>
          <w:pgMar w:top="1800" w:right="1469" w:bottom="1699" w:left="1440" w:header="706" w:footer="706" w:gutter="0"/>
          <w:pgNumType w:start="1"/>
          <w:cols w:space="403"/>
          <w:docGrid w:linePitch="360"/>
        </w:sectPr>
      </w:pPr>
    </w:p>
    <w:p w14:paraId="07F381A4"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As a type of electrochemical energy storage device, supercapacitors have received considerable attention because of their high-power density, fast charging/discharging rate, long cycle life, and low equivalent series resistance. A supercapacitor is ideal for numerous applications such as portable devices, electric vehicles, and flexible electronic devices [85]. Many parts make up a supercapacitor, including current collectors, electrodes, electrolytes, and separators. The separator's function is similar to that of the battery's separator. It isolates the two electrodes, allowing ions to travel through while preventing a short circuit between them. The basic principle of supercapacitor energy storage is to store electrical energy via an electric double-layer capacitance generated by charge separation at the electrolyte-bath solution interface [86]. Depending on the charge storage mechanisms, </w:t>
      </w:r>
      <w:r w:rsidRPr="002F3518">
        <w:rPr>
          <w:rFonts w:ascii="Times New Roman" w:hAnsi="Times New Roman"/>
          <w:sz w:val="20"/>
          <w:szCs w:val="20"/>
          <w:lang w:val="en-MY" w:eastAsia="en-GB" w:bidi="ar-SA"/>
        </w:rPr>
        <w:t>supercapacitors are divided into two main categories, including electrical double-layer capacitors (EDLC), which are based on the charge storage mechanism at the electrode/ electrolyte interface [87] and pseudocapacitance that relies on fast and reversible redox reaction that occurs at the surface of active materials [88, 89]. Electrostatic double-layer capacitors (EDLCs) use carbon electrodes or derivatives electrode-electrolyte (non-faradaic process) [90], while electrochemical pseudocapacitors use metal oxide or conducting polymer electrodes, reversible redox reaction (faradaic process) [91] with a high amount of electrochemical pseudocapacitance additional to the double-layer capacitance. By extending the electrode–electrolyte contact with nanomaterials with large specific area, the EDLC contribution can be boosted even more [92].</w:t>
      </w:r>
    </w:p>
    <w:p w14:paraId="6D80DD05" w14:textId="77777777" w:rsidR="00EF6288" w:rsidRDefault="00EF6288" w:rsidP="002F3518">
      <w:pPr>
        <w:spacing w:after="0"/>
        <w:jc w:val="both"/>
        <w:rPr>
          <w:rFonts w:ascii="Times New Roman" w:hAnsi="Times New Roman"/>
          <w:sz w:val="20"/>
          <w:szCs w:val="20"/>
          <w:lang w:val="en-MY" w:eastAsia="en-GB" w:bidi="ar-SA"/>
        </w:rPr>
        <w:sectPr w:rsidR="00EF6288" w:rsidSect="00EF6288">
          <w:type w:val="continuous"/>
          <w:pgSz w:w="12240" w:h="15840" w:code="1"/>
          <w:pgMar w:top="1800" w:right="1469" w:bottom="1699" w:left="1440" w:header="706" w:footer="706" w:gutter="0"/>
          <w:pgNumType w:start="1"/>
          <w:cols w:num="2" w:space="403"/>
          <w:docGrid w:linePitch="360"/>
        </w:sectPr>
      </w:pPr>
    </w:p>
    <w:p w14:paraId="23C11931" w14:textId="77777777" w:rsidR="002F3518" w:rsidRPr="002F3518" w:rsidRDefault="002F3518" w:rsidP="002F3518">
      <w:pPr>
        <w:spacing w:after="0"/>
        <w:jc w:val="both"/>
        <w:rPr>
          <w:rFonts w:ascii="Times New Roman" w:hAnsi="Times New Roman"/>
          <w:sz w:val="20"/>
          <w:szCs w:val="20"/>
          <w:lang w:val="en-MY" w:eastAsia="en-GB" w:bidi="ar-SA"/>
        </w:rPr>
      </w:pPr>
    </w:p>
    <w:p w14:paraId="7622C1C1" w14:textId="77777777" w:rsidR="00EF6288" w:rsidRDefault="00EF6288" w:rsidP="002F3518">
      <w:pPr>
        <w:spacing w:after="0"/>
        <w:jc w:val="center"/>
        <w:rPr>
          <w:rFonts w:ascii="Times New Roman" w:hAnsi="Times New Roman"/>
          <w:bCs/>
          <w:sz w:val="20"/>
          <w:szCs w:val="20"/>
          <w:lang w:val="en-MY" w:eastAsia="en-GB" w:bidi="ar-SA"/>
        </w:rPr>
      </w:pPr>
    </w:p>
    <w:p w14:paraId="1B6A16DE" w14:textId="77777777" w:rsidR="00EF6288" w:rsidRDefault="00EF6288" w:rsidP="002F3518">
      <w:pPr>
        <w:spacing w:after="0"/>
        <w:jc w:val="center"/>
        <w:rPr>
          <w:rFonts w:ascii="Times New Roman" w:hAnsi="Times New Roman"/>
          <w:bCs/>
          <w:sz w:val="20"/>
          <w:szCs w:val="20"/>
          <w:lang w:val="en-MY" w:eastAsia="en-GB" w:bidi="ar-SA"/>
        </w:rPr>
      </w:pPr>
    </w:p>
    <w:p w14:paraId="11DB8741" w14:textId="77777777" w:rsidR="00EF6288" w:rsidRDefault="00EF6288" w:rsidP="002F3518">
      <w:pPr>
        <w:spacing w:after="0"/>
        <w:jc w:val="center"/>
        <w:rPr>
          <w:rFonts w:ascii="Times New Roman" w:hAnsi="Times New Roman"/>
          <w:bCs/>
          <w:sz w:val="20"/>
          <w:szCs w:val="20"/>
          <w:lang w:val="en-MY" w:eastAsia="en-GB" w:bidi="ar-SA"/>
        </w:rPr>
      </w:pPr>
    </w:p>
    <w:p w14:paraId="19F699A8" w14:textId="77777777" w:rsidR="00EF6288" w:rsidRDefault="00EF6288" w:rsidP="002F3518">
      <w:pPr>
        <w:spacing w:after="0"/>
        <w:jc w:val="center"/>
        <w:rPr>
          <w:rFonts w:ascii="Times New Roman" w:hAnsi="Times New Roman"/>
          <w:bCs/>
          <w:sz w:val="20"/>
          <w:szCs w:val="20"/>
          <w:lang w:val="en-MY" w:eastAsia="en-GB" w:bidi="ar-SA"/>
        </w:rPr>
      </w:pPr>
    </w:p>
    <w:p w14:paraId="3208D321" w14:textId="77777777" w:rsidR="00EF6288" w:rsidRDefault="00EF6288" w:rsidP="002F3518">
      <w:pPr>
        <w:spacing w:after="0"/>
        <w:jc w:val="center"/>
        <w:rPr>
          <w:rFonts w:ascii="Times New Roman" w:hAnsi="Times New Roman"/>
          <w:bCs/>
          <w:sz w:val="20"/>
          <w:szCs w:val="20"/>
          <w:lang w:val="en-MY" w:eastAsia="en-GB" w:bidi="ar-SA"/>
        </w:rPr>
      </w:pPr>
    </w:p>
    <w:p w14:paraId="4D0CF11D" w14:textId="77777777" w:rsidR="00EF6288" w:rsidRDefault="00EF6288" w:rsidP="002F3518">
      <w:pPr>
        <w:spacing w:after="0"/>
        <w:jc w:val="center"/>
        <w:rPr>
          <w:rFonts w:ascii="Times New Roman" w:hAnsi="Times New Roman"/>
          <w:bCs/>
          <w:sz w:val="20"/>
          <w:szCs w:val="20"/>
          <w:lang w:val="en-MY" w:eastAsia="en-GB" w:bidi="ar-SA"/>
        </w:rPr>
      </w:pPr>
    </w:p>
    <w:p w14:paraId="57BD4FFD" w14:textId="77777777" w:rsidR="00EF6288" w:rsidRDefault="00EF6288" w:rsidP="002F3518">
      <w:pPr>
        <w:spacing w:after="0"/>
        <w:jc w:val="center"/>
        <w:rPr>
          <w:rFonts w:ascii="Times New Roman" w:hAnsi="Times New Roman"/>
          <w:bCs/>
          <w:sz w:val="20"/>
          <w:szCs w:val="20"/>
          <w:lang w:val="en-MY" w:eastAsia="en-GB" w:bidi="ar-SA"/>
        </w:rPr>
      </w:pPr>
    </w:p>
    <w:p w14:paraId="41F03183" w14:textId="048AB13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lastRenderedPageBreak/>
        <w:t>Table 5</w:t>
      </w:r>
      <w:r w:rsidRPr="002F3518">
        <w:rPr>
          <w:rFonts w:ascii="Times New Roman" w:hAnsi="Times New Roman"/>
          <w:sz w:val="20"/>
          <w:szCs w:val="20"/>
          <w:lang w:val="en-MY" w:eastAsia="en-GB" w:bidi="ar-SA"/>
        </w:rPr>
        <w:t>. Different composites of magnetite graphene used as supercapacitor</w:t>
      </w:r>
    </w:p>
    <w:p w14:paraId="36A837B9" w14:textId="77777777" w:rsidR="002F3518" w:rsidRPr="002F3518" w:rsidRDefault="002F3518" w:rsidP="002F3518">
      <w:pPr>
        <w:spacing w:after="0"/>
        <w:jc w:val="center"/>
        <w:rPr>
          <w:rFonts w:ascii="Times New Roman" w:hAnsi="Times New Roman"/>
          <w:sz w:val="20"/>
          <w:szCs w:val="20"/>
          <w:lang w:val="en-MY" w:eastAsia="en-GB" w:bidi="ar-SA"/>
        </w:rPr>
      </w:pPr>
    </w:p>
    <w:tbl>
      <w:tblPr>
        <w:tblW w:w="0" w:type="auto"/>
        <w:tblCellMar>
          <w:top w:w="15" w:type="dxa"/>
          <w:left w:w="15" w:type="dxa"/>
          <w:bottom w:w="15" w:type="dxa"/>
          <w:right w:w="15" w:type="dxa"/>
        </w:tblCellMar>
        <w:tblLook w:val="04A0" w:firstRow="1" w:lastRow="0" w:firstColumn="1" w:lastColumn="0" w:noHBand="0" w:noVBand="1"/>
      </w:tblPr>
      <w:tblGrid>
        <w:gridCol w:w="2076"/>
        <w:gridCol w:w="1359"/>
        <w:gridCol w:w="1563"/>
        <w:gridCol w:w="2186"/>
        <w:gridCol w:w="1497"/>
        <w:gridCol w:w="650"/>
      </w:tblGrid>
      <w:tr w:rsidR="002F3518" w:rsidRPr="002F3518" w14:paraId="43B21D51" w14:textId="77777777" w:rsidTr="004C543D">
        <w:trPr>
          <w:trHeight w:val="809"/>
        </w:trPr>
        <w:tc>
          <w:tcPr>
            <w:tcW w:w="0" w:type="auto"/>
            <w:tcBorders>
              <w:top w:val="single" w:sz="4" w:space="0" w:color="000000"/>
              <w:bottom w:val="single" w:sz="4" w:space="0" w:color="000000"/>
            </w:tcBorders>
            <w:tcMar>
              <w:top w:w="0" w:type="dxa"/>
              <w:left w:w="108" w:type="dxa"/>
              <w:bottom w:w="0" w:type="dxa"/>
              <w:right w:w="108" w:type="dxa"/>
            </w:tcMar>
            <w:vAlign w:val="center"/>
          </w:tcPr>
          <w:p w14:paraId="6E6E7278"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Electrode Materials</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1E2A63A0"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Current Collector</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5B3CB8AE"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Electrolyte</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4385D6F5"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Highest Specific Capacitance (Fg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0094567D"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Current Density (Ag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55C6B8F3"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010F9BA5" w14:textId="77777777" w:rsidTr="004C543D">
        <w:trPr>
          <w:trHeight w:val="440"/>
        </w:trPr>
        <w:tc>
          <w:tcPr>
            <w:tcW w:w="0" w:type="auto"/>
            <w:tcBorders>
              <w:top w:val="single" w:sz="4" w:space="0" w:color="000000"/>
            </w:tcBorders>
            <w:tcMar>
              <w:top w:w="0" w:type="dxa"/>
              <w:left w:w="108" w:type="dxa"/>
              <w:bottom w:w="0" w:type="dxa"/>
              <w:right w:w="108" w:type="dxa"/>
            </w:tcMar>
          </w:tcPr>
          <w:p w14:paraId="231B85F8"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Multilayer rGO</w:t>
            </w:r>
          </w:p>
        </w:tc>
        <w:tc>
          <w:tcPr>
            <w:tcW w:w="0" w:type="auto"/>
            <w:tcBorders>
              <w:top w:val="single" w:sz="4" w:space="0" w:color="000000"/>
            </w:tcBorders>
            <w:tcMar>
              <w:top w:w="0" w:type="dxa"/>
              <w:left w:w="108" w:type="dxa"/>
              <w:bottom w:w="0" w:type="dxa"/>
              <w:right w:w="108" w:type="dxa"/>
            </w:tcMar>
          </w:tcPr>
          <w:p w14:paraId="71EF30E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Au-sputtered</w:t>
            </w:r>
          </w:p>
        </w:tc>
        <w:tc>
          <w:tcPr>
            <w:tcW w:w="0" w:type="auto"/>
            <w:tcBorders>
              <w:top w:val="single" w:sz="4" w:space="0" w:color="000000"/>
            </w:tcBorders>
            <w:tcMar>
              <w:top w:w="0" w:type="dxa"/>
              <w:left w:w="108" w:type="dxa"/>
              <w:bottom w:w="0" w:type="dxa"/>
              <w:right w:w="108" w:type="dxa"/>
            </w:tcMar>
          </w:tcPr>
          <w:p w14:paraId="003384B5"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PVA/H</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PO</w:t>
            </w:r>
            <w:r w:rsidRPr="002F3518">
              <w:rPr>
                <w:rFonts w:ascii="Times New Roman" w:hAnsi="Times New Roman"/>
                <w:sz w:val="20"/>
                <w:szCs w:val="20"/>
                <w:vertAlign w:val="subscript"/>
                <w:lang w:val="en-MY" w:eastAsia="en-GB" w:bidi="ar-SA"/>
              </w:rPr>
              <w:t>4</w:t>
            </w:r>
          </w:p>
        </w:tc>
        <w:tc>
          <w:tcPr>
            <w:tcW w:w="0" w:type="auto"/>
            <w:tcBorders>
              <w:top w:val="single" w:sz="4" w:space="0" w:color="000000"/>
            </w:tcBorders>
            <w:tcMar>
              <w:top w:w="0" w:type="dxa"/>
              <w:left w:w="108" w:type="dxa"/>
              <w:bottom w:w="0" w:type="dxa"/>
              <w:right w:w="108" w:type="dxa"/>
            </w:tcMar>
          </w:tcPr>
          <w:p w14:paraId="5376BA31"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247.3</w:t>
            </w:r>
          </w:p>
        </w:tc>
        <w:tc>
          <w:tcPr>
            <w:tcW w:w="0" w:type="auto"/>
            <w:tcBorders>
              <w:top w:val="single" w:sz="4" w:space="0" w:color="000000"/>
            </w:tcBorders>
            <w:tcMar>
              <w:top w:w="0" w:type="dxa"/>
              <w:left w:w="108" w:type="dxa"/>
              <w:bottom w:w="0" w:type="dxa"/>
              <w:right w:w="108" w:type="dxa"/>
            </w:tcMar>
          </w:tcPr>
          <w:p w14:paraId="0CD1CA9D"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0.176</w:t>
            </w:r>
          </w:p>
        </w:tc>
        <w:tc>
          <w:tcPr>
            <w:tcW w:w="0" w:type="auto"/>
            <w:tcBorders>
              <w:top w:val="single" w:sz="4" w:space="0" w:color="000000"/>
            </w:tcBorders>
            <w:tcMar>
              <w:top w:w="0" w:type="dxa"/>
              <w:left w:w="108" w:type="dxa"/>
              <w:bottom w:w="0" w:type="dxa"/>
              <w:right w:w="108" w:type="dxa"/>
            </w:tcMar>
          </w:tcPr>
          <w:p w14:paraId="67569E9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[99]</w:t>
            </w:r>
          </w:p>
        </w:tc>
      </w:tr>
      <w:tr w:rsidR="002F3518" w:rsidRPr="002F3518" w14:paraId="6666949B" w14:textId="77777777" w:rsidTr="004C543D">
        <w:trPr>
          <w:trHeight w:val="450"/>
        </w:trPr>
        <w:tc>
          <w:tcPr>
            <w:tcW w:w="0" w:type="auto"/>
            <w:tcMar>
              <w:top w:w="0" w:type="dxa"/>
              <w:left w:w="108" w:type="dxa"/>
              <w:bottom w:w="0" w:type="dxa"/>
              <w:right w:w="108" w:type="dxa"/>
            </w:tcMar>
          </w:tcPr>
          <w:p w14:paraId="4ED2BBAB"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Graphene hydrogel</w:t>
            </w:r>
          </w:p>
        </w:tc>
        <w:tc>
          <w:tcPr>
            <w:tcW w:w="0" w:type="auto"/>
            <w:tcMar>
              <w:top w:w="0" w:type="dxa"/>
              <w:left w:w="108" w:type="dxa"/>
              <w:bottom w:w="0" w:type="dxa"/>
              <w:right w:w="108" w:type="dxa"/>
            </w:tcMar>
          </w:tcPr>
          <w:p w14:paraId="057667D7"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Au-coated PI</w:t>
            </w:r>
          </w:p>
        </w:tc>
        <w:tc>
          <w:tcPr>
            <w:tcW w:w="0" w:type="auto"/>
            <w:tcMar>
              <w:top w:w="0" w:type="dxa"/>
              <w:left w:w="108" w:type="dxa"/>
              <w:bottom w:w="0" w:type="dxa"/>
              <w:right w:w="108" w:type="dxa"/>
            </w:tcMar>
          </w:tcPr>
          <w:p w14:paraId="2A7A6472"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PVA/H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346C2BE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186.0</w:t>
            </w:r>
          </w:p>
        </w:tc>
        <w:tc>
          <w:tcPr>
            <w:tcW w:w="0" w:type="auto"/>
            <w:tcMar>
              <w:top w:w="0" w:type="dxa"/>
              <w:left w:w="108" w:type="dxa"/>
              <w:bottom w:w="0" w:type="dxa"/>
              <w:right w:w="108" w:type="dxa"/>
            </w:tcMar>
          </w:tcPr>
          <w:p w14:paraId="34DC0EA3"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792A4A05"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w:t>
            </w:r>
          </w:p>
        </w:tc>
      </w:tr>
      <w:tr w:rsidR="002F3518" w:rsidRPr="002F3518" w14:paraId="3FE51995" w14:textId="77777777" w:rsidTr="004C543D">
        <w:trPr>
          <w:trHeight w:val="720"/>
        </w:trPr>
        <w:tc>
          <w:tcPr>
            <w:tcW w:w="0" w:type="auto"/>
            <w:tcMar>
              <w:top w:w="0" w:type="dxa"/>
              <w:left w:w="108" w:type="dxa"/>
              <w:bottom w:w="0" w:type="dxa"/>
              <w:right w:w="108" w:type="dxa"/>
            </w:tcMar>
          </w:tcPr>
          <w:p w14:paraId="085FE2A4"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CNT-graphene/Fe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nPs</w:t>
            </w:r>
          </w:p>
        </w:tc>
        <w:tc>
          <w:tcPr>
            <w:tcW w:w="0" w:type="auto"/>
            <w:tcMar>
              <w:top w:w="0" w:type="dxa"/>
              <w:left w:w="108" w:type="dxa"/>
              <w:bottom w:w="0" w:type="dxa"/>
              <w:right w:w="108" w:type="dxa"/>
            </w:tcMar>
          </w:tcPr>
          <w:p w14:paraId="6186695F"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Au-coated PET</w:t>
            </w:r>
          </w:p>
        </w:tc>
        <w:tc>
          <w:tcPr>
            <w:tcW w:w="0" w:type="auto"/>
            <w:tcMar>
              <w:top w:w="0" w:type="dxa"/>
              <w:left w:w="108" w:type="dxa"/>
              <w:bottom w:w="0" w:type="dxa"/>
              <w:right w:w="108" w:type="dxa"/>
            </w:tcMar>
          </w:tcPr>
          <w:p w14:paraId="7C853966"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Filter paper/Na</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1DF800B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200.4</w:t>
            </w:r>
          </w:p>
        </w:tc>
        <w:tc>
          <w:tcPr>
            <w:tcW w:w="0" w:type="auto"/>
            <w:tcMar>
              <w:top w:w="0" w:type="dxa"/>
              <w:left w:w="108" w:type="dxa"/>
              <w:bottom w:w="0" w:type="dxa"/>
              <w:right w:w="108" w:type="dxa"/>
            </w:tcMar>
          </w:tcPr>
          <w:p w14:paraId="4E40D761"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28938F16"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[101]</w:t>
            </w:r>
          </w:p>
        </w:tc>
      </w:tr>
      <w:tr w:rsidR="002F3518" w:rsidRPr="002F3518" w14:paraId="4081B31C" w14:textId="77777777" w:rsidTr="004C543D">
        <w:trPr>
          <w:trHeight w:val="720"/>
        </w:trPr>
        <w:tc>
          <w:tcPr>
            <w:tcW w:w="0" w:type="auto"/>
            <w:tcMar>
              <w:top w:w="0" w:type="dxa"/>
              <w:left w:w="108" w:type="dxa"/>
              <w:bottom w:w="0" w:type="dxa"/>
              <w:right w:w="108" w:type="dxa"/>
            </w:tcMar>
          </w:tcPr>
          <w:p w14:paraId="531333C2"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Hollow Carbon Sphere/Fe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22B57005"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Stainless steel</w:t>
            </w:r>
          </w:p>
        </w:tc>
        <w:tc>
          <w:tcPr>
            <w:tcW w:w="0" w:type="auto"/>
            <w:tcMar>
              <w:top w:w="0" w:type="dxa"/>
              <w:left w:w="108" w:type="dxa"/>
              <w:bottom w:w="0" w:type="dxa"/>
              <w:right w:w="108" w:type="dxa"/>
            </w:tcMar>
          </w:tcPr>
          <w:p w14:paraId="259741C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5M LiCl</w:t>
            </w:r>
          </w:p>
        </w:tc>
        <w:tc>
          <w:tcPr>
            <w:tcW w:w="0" w:type="auto"/>
            <w:tcMar>
              <w:top w:w="0" w:type="dxa"/>
              <w:left w:w="108" w:type="dxa"/>
              <w:bottom w:w="0" w:type="dxa"/>
              <w:right w:w="108" w:type="dxa"/>
            </w:tcMar>
          </w:tcPr>
          <w:p w14:paraId="36C3B14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193</w:t>
            </w:r>
          </w:p>
        </w:tc>
        <w:tc>
          <w:tcPr>
            <w:tcW w:w="0" w:type="auto"/>
            <w:tcMar>
              <w:top w:w="0" w:type="dxa"/>
              <w:left w:w="108" w:type="dxa"/>
              <w:bottom w:w="0" w:type="dxa"/>
              <w:right w:w="108" w:type="dxa"/>
            </w:tcMar>
          </w:tcPr>
          <w:p w14:paraId="0C74FB4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7ED80696"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[102]</w:t>
            </w:r>
          </w:p>
        </w:tc>
      </w:tr>
      <w:tr w:rsidR="002F3518" w:rsidRPr="002F3518" w14:paraId="2BE110B9" w14:textId="77777777" w:rsidTr="004C543D">
        <w:trPr>
          <w:trHeight w:val="630"/>
        </w:trPr>
        <w:tc>
          <w:tcPr>
            <w:tcW w:w="0" w:type="auto"/>
            <w:tcBorders>
              <w:bottom w:val="single" w:sz="4" w:space="0" w:color="auto"/>
            </w:tcBorders>
            <w:tcMar>
              <w:top w:w="0" w:type="dxa"/>
              <w:left w:w="108" w:type="dxa"/>
              <w:bottom w:w="0" w:type="dxa"/>
              <w:right w:w="108" w:type="dxa"/>
            </w:tcMar>
          </w:tcPr>
          <w:p w14:paraId="4AC11482"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/C core shell microsphere</w:t>
            </w:r>
          </w:p>
        </w:tc>
        <w:tc>
          <w:tcPr>
            <w:tcW w:w="0" w:type="auto"/>
            <w:tcBorders>
              <w:bottom w:val="single" w:sz="4" w:space="0" w:color="auto"/>
            </w:tcBorders>
            <w:tcMar>
              <w:top w:w="0" w:type="dxa"/>
              <w:left w:w="108" w:type="dxa"/>
              <w:bottom w:w="0" w:type="dxa"/>
              <w:right w:w="108" w:type="dxa"/>
            </w:tcMar>
          </w:tcPr>
          <w:p w14:paraId="6C3CA92C"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Borders>
              <w:bottom w:val="single" w:sz="4" w:space="0" w:color="auto"/>
            </w:tcBorders>
            <w:tcMar>
              <w:top w:w="0" w:type="dxa"/>
              <w:left w:w="108" w:type="dxa"/>
              <w:bottom w:w="0" w:type="dxa"/>
              <w:right w:w="108" w:type="dxa"/>
            </w:tcMar>
          </w:tcPr>
          <w:p w14:paraId="6E32F70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1M KOH</w:t>
            </w:r>
          </w:p>
        </w:tc>
        <w:tc>
          <w:tcPr>
            <w:tcW w:w="0" w:type="auto"/>
            <w:tcBorders>
              <w:bottom w:val="single" w:sz="4" w:space="0" w:color="auto"/>
            </w:tcBorders>
            <w:tcMar>
              <w:top w:w="0" w:type="dxa"/>
              <w:left w:w="108" w:type="dxa"/>
              <w:bottom w:w="0" w:type="dxa"/>
              <w:right w:w="108" w:type="dxa"/>
            </w:tcMar>
          </w:tcPr>
          <w:p w14:paraId="343C36C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110.8</w:t>
            </w:r>
          </w:p>
        </w:tc>
        <w:tc>
          <w:tcPr>
            <w:tcW w:w="0" w:type="auto"/>
            <w:tcBorders>
              <w:bottom w:val="single" w:sz="4" w:space="0" w:color="auto"/>
            </w:tcBorders>
            <w:tcMar>
              <w:top w:w="0" w:type="dxa"/>
              <w:left w:w="108" w:type="dxa"/>
              <w:bottom w:w="0" w:type="dxa"/>
              <w:right w:w="108" w:type="dxa"/>
            </w:tcMar>
          </w:tcPr>
          <w:p w14:paraId="050EBC7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0.500</w:t>
            </w:r>
          </w:p>
        </w:tc>
        <w:tc>
          <w:tcPr>
            <w:tcW w:w="0" w:type="auto"/>
            <w:tcBorders>
              <w:bottom w:val="single" w:sz="4" w:space="0" w:color="auto"/>
            </w:tcBorders>
            <w:tcMar>
              <w:top w:w="0" w:type="dxa"/>
              <w:left w:w="108" w:type="dxa"/>
              <w:bottom w:w="0" w:type="dxa"/>
              <w:right w:w="108" w:type="dxa"/>
            </w:tcMar>
          </w:tcPr>
          <w:p w14:paraId="216146AD"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[103]</w:t>
            </w:r>
          </w:p>
        </w:tc>
      </w:tr>
    </w:tbl>
    <w:p w14:paraId="744B53AF" w14:textId="77777777" w:rsidR="002F3518" w:rsidRPr="002F3518" w:rsidRDefault="002F3518" w:rsidP="002F3518">
      <w:pPr>
        <w:spacing w:after="0"/>
        <w:jc w:val="both"/>
        <w:rPr>
          <w:rFonts w:ascii="Times New Roman" w:hAnsi="Times New Roman"/>
          <w:sz w:val="20"/>
          <w:szCs w:val="20"/>
          <w:lang w:val="en-MY" w:eastAsia="en-GB" w:bidi="ar-SA"/>
        </w:rPr>
      </w:pPr>
    </w:p>
    <w:p w14:paraId="14B281EB" w14:textId="77777777" w:rsidR="00EF6288" w:rsidRDefault="00EF6288" w:rsidP="002F3518">
      <w:pPr>
        <w:spacing w:after="0"/>
        <w:jc w:val="both"/>
        <w:rPr>
          <w:rFonts w:ascii="Times New Roman" w:hAnsi="Times New Roman"/>
          <w:sz w:val="20"/>
          <w:szCs w:val="20"/>
          <w:lang w:val="en-MY" w:eastAsia="en-GB" w:bidi="ar-SA"/>
        </w:rPr>
        <w:sectPr w:rsidR="00EF6288" w:rsidSect="001D33F5">
          <w:type w:val="continuous"/>
          <w:pgSz w:w="12240" w:h="15840" w:code="1"/>
          <w:pgMar w:top="1800" w:right="1469" w:bottom="1699" w:left="1440" w:header="706" w:footer="706" w:gutter="0"/>
          <w:pgNumType w:start="1"/>
          <w:cols w:space="403"/>
          <w:docGrid w:linePitch="360"/>
        </w:sectPr>
      </w:pPr>
    </w:p>
    <w:p w14:paraId="08D64F8C"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The distinctive properties of graphene will enhance the flexibility of the electrode and provide maximum adhesion with minimal distance between the electrode and electrolyte interface; thus, the charge-storage mechanism will eventually be more efficient [93]. However, to further improve the performance of supercapacitor, a nanosized transition metal oxide incorporated with carbonous material is one of the promising solutions.</w:t>
      </w:r>
    </w:p>
    <w:p w14:paraId="20B661C9" w14:textId="77777777" w:rsidR="002F3518" w:rsidRPr="002F3518" w:rsidRDefault="002F3518" w:rsidP="002F3518">
      <w:pPr>
        <w:spacing w:after="0"/>
        <w:jc w:val="both"/>
        <w:rPr>
          <w:rFonts w:ascii="Times New Roman" w:hAnsi="Times New Roman"/>
          <w:sz w:val="20"/>
          <w:szCs w:val="20"/>
          <w:lang w:val="en-MY" w:eastAsia="en-GB" w:bidi="ar-SA"/>
        </w:rPr>
      </w:pPr>
    </w:p>
    <w:p w14:paraId="0FD23124" w14:textId="77777777" w:rsidR="002F3518" w:rsidRPr="002F3518" w:rsidRDefault="002F3518" w:rsidP="002F3518">
      <w:pPr>
        <w:spacing w:after="0"/>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The incorporation of magnetite with graphene reduces the aggregation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as the native magnetite is found to be low conductive. Thus the capacity of magnetite-based supercapacitors is easily faded [96]. To overcome this problem, most of the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will be attached onto the surface of graphene therefore, the immobilisation of the magnetite particles on the surface of graphene would eventually </w:t>
      </w:r>
      <w:r w:rsidRPr="002F3518">
        <w:rPr>
          <w:rFonts w:ascii="Times New Roman" w:hAnsi="Times New Roman"/>
          <w:sz w:val="20"/>
          <w:szCs w:val="20"/>
          <w:lang w:val="en-MY" w:eastAsia="en-GB" w:bidi="ar-SA"/>
        </w:rPr>
        <w:t>lower the intensity of the aggregation as graphene had high conductivity and more electrochemical stability. Magnetite-graphene composite considerable as excellent electroactive materials as the composite being composed of 30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/r-GO bilayers which reported from Wang </w:t>
      </w:r>
      <w:r w:rsidRPr="002F3518">
        <w:rPr>
          <w:rFonts w:ascii="Times New Roman" w:hAnsi="Times New Roman"/>
          <w:i/>
          <w:sz w:val="20"/>
          <w:szCs w:val="20"/>
          <w:lang w:val="en-MY" w:eastAsia="en-GB" w:bidi="ar-SA"/>
        </w:rPr>
        <w:t>et al.,</w:t>
      </w:r>
      <w:r w:rsidRPr="002F3518">
        <w:rPr>
          <w:rFonts w:ascii="Times New Roman" w:hAnsi="Times New Roman"/>
          <w:sz w:val="20"/>
          <w:szCs w:val="20"/>
          <w:lang w:val="en-MY" w:eastAsia="en-GB" w:bidi="ar-SA"/>
        </w:rPr>
        <w:t>., 2014 being synthesised through a layer-by-layer self-assembly method on silicon or indium tin oxide (ITO) substrate and it provides the capacitance, C</w:t>
      </w:r>
      <w:r w:rsidRPr="002F3518">
        <w:rPr>
          <w:rFonts w:ascii="Times New Roman" w:hAnsi="Times New Roman"/>
          <w:sz w:val="20"/>
          <w:szCs w:val="20"/>
          <w:vertAlign w:val="subscript"/>
          <w:lang w:val="en-MY" w:eastAsia="en-GB" w:bidi="ar-SA"/>
        </w:rPr>
        <w:t>s</w:t>
      </w:r>
      <w:r w:rsidRPr="002F3518">
        <w:rPr>
          <w:rFonts w:ascii="Times New Roman" w:hAnsi="Times New Roman"/>
          <w:sz w:val="20"/>
          <w:szCs w:val="20"/>
          <w:lang w:val="en-MY" w:eastAsia="en-GB" w:bidi="ar-SA"/>
        </w:rPr>
        <w:t xml:space="preserve"> of 151 Fg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0.9 Ag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[97]. Another work reported by Wang </w:t>
      </w:r>
      <w:r w:rsidRPr="002F3518">
        <w:rPr>
          <w:rFonts w:ascii="Times New Roman" w:hAnsi="Times New Roman"/>
          <w:i/>
          <w:sz w:val="20"/>
          <w:szCs w:val="20"/>
          <w:lang w:val="en-MY" w:eastAsia="en-GB" w:bidi="ar-SA"/>
        </w:rPr>
        <w:t>et al.,</w:t>
      </w:r>
      <w:r w:rsidRPr="002F3518">
        <w:rPr>
          <w:rFonts w:ascii="Times New Roman" w:hAnsi="Times New Roman"/>
          <w:sz w:val="20"/>
          <w:szCs w:val="20"/>
          <w:lang w:val="en-MY" w:eastAsia="en-GB" w:bidi="ar-SA"/>
        </w:rPr>
        <w:t>., 2014 provide a capacitance, C</w:t>
      </w:r>
      <w:r w:rsidRPr="002F3518">
        <w:rPr>
          <w:rFonts w:ascii="Times New Roman" w:hAnsi="Times New Roman"/>
          <w:sz w:val="20"/>
          <w:szCs w:val="20"/>
          <w:vertAlign w:val="subscript"/>
          <w:lang w:val="en-MY" w:eastAsia="en-GB" w:bidi="ar-SA"/>
        </w:rPr>
        <w:t>s</w:t>
      </w:r>
      <w:r w:rsidRPr="002F3518">
        <w:rPr>
          <w:rFonts w:ascii="Times New Roman" w:hAnsi="Times New Roman"/>
          <w:sz w:val="20"/>
          <w:szCs w:val="20"/>
          <w:lang w:val="en-MY" w:eastAsia="en-GB" w:bidi="ar-SA"/>
        </w:rPr>
        <w:t xml:space="preserve"> of 220.1 Fg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0.5 Ag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by the production of magnetite-graphene via hydrothermal reaction method [98]. Table 5 displays different composites of magnetite graphene used as supercapacitors. Moreover, </w:t>
      </w:r>
      <w:r w:rsidRPr="002F3518">
        <w:rPr>
          <w:rFonts w:ascii="Times New Roman" w:hAnsi="Times New Roman"/>
          <w:sz w:val="20"/>
          <w:szCs w:val="20"/>
          <w:lang w:eastAsia="en-GB" w:bidi="ar-SA"/>
        </w:rPr>
        <w:t>Table 6 below illustrates advantages, disadvantages and challenges in each application, batteries, fuel cell, corrosion, sensor and supercapacitors.</w:t>
      </w:r>
    </w:p>
    <w:p w14:paraId="1F2EC228" w14:textId="77777777" w:rsidR="00EF6288" w:rsidRDefault="00EF6288" w:rsidP="002F3518">
      <w:pPr>
        <w:spacing w:after="0"/>
        <w:jc w:val="both"/>
        <w:rPr>
          <w:rFonts w:ascii="Times New Roman" w:hAnsi="Times New Roman"/>
          <w:sz w:val="20"/>
          <w:szCs w:val="20"/>
          <w:lang w:eastAsia="en-GB" w:bidi="ar-SA"/>
        </w:rPr>
        <w:sectPr w:rsidR="00EF6288" w:rsidSect="00EF6288">
          <w:type w:val="continuous"/>
          <w:pgSz w:w="12240" w:h="15840" w:code="1"/>
          <w:pgMar w:top="1800" w:right="1469" w:bottom="1699" w:left="1440" w:header="706" w:footer="706" w:gutter="0"/>
          <w:pgNumType w:start="1"/>
          <w:cols w:num="2" w:space="403"/>
          <w:docGrid w:linePitch="360"/>
        </w:sectPr>
      </w:pPr>
    </w:p>
    <w:p w14:paraId="0DB3F2BF" w14:textId="77777777" w:rsidR="002F3518" w:rsidRPr="002F3518" w:rsidRDefault="002F3518" w:rsidP="002F3518">
      <w:pPr>
        <w:spacing w:after="0"/>
        <w:jc w:val="both"/>
        <w:rPr>
          <w:rFonts w:ascii="Times New Roman" w:hAnsi="Times New Roman"/>
          <w:sz w:val="20"/>
          <w:szCs w:val="20"/>
          <w:lang w:eastAsia="en-GB" w:bidi="ar-SA"/>
        </w:rPr>
      </w:pPr>
    </w:p>
    <w:p w14:paraId="4B74337F" w14:textId="17EBED9D" w:rsidR="002F3518" w:rsidRPr="002F3518" w:rsidRDefault="002F3518" w:rsidP="002F3518">
      <w:pPr>
        <w:spacing w:after="0"/>
        <w:jc w:val="center"/>
        <w:rPr>
          <w:rFonts w:ascii="Times New Roman" w:hAnsi="Times New Roman"/>
          <w:sz w:val="20"/>
          <w:szCs w:val="20"/>
          <w:lang w:eastAsia="en-GB" w:bidi="ar-SA"/>
        </w:rPr>
      </w:pPr>
      <w:r w:rsidRPr="002F3518">
        <w:rPr>
          <w:rFonts w:ascii="Times New Roman" w:hAnsi="Times New Roman"/>
          <w:b/>
          <w:bCs/>
          <w:sz w:val="20"/>
          <w:szCs w:val="20"/>
          <w:lang w:eastAsia="en-GB" w:bidi="ar-SA"/>
        </w:rPr>
        <w:t xml:space="preserve">Table 6 </w:t>
      </w:r>
      <w:r w:rsidRPr="002F3518">
        <w:rPr>
          <w:rFonts w:ascii="Times New Roman" w:hAnsi="Times New Roman"/>
          <w:sz w:val="20"/>
          <w:szCs w:val="20"/>
          <w:lang w:eastAsia="en-GB" w:bidi="ar-SA"/>
        </w:rPr>
        <w:t>Summary of advantages, disadvantages and challenges between applications</w:t>
      </w:r>
    </w:p>
    <w:p w14:paraId="43E86C1F" w14:textId="77777777" w:rsidR="002F3518" w:rsidRPr="002F3518" w:rsidRDefault="002F3518" w:rsidP="002F3518">
      <w:pPr>
        <w:spacing w:after="0"/>
        <w:jc w:val="both"/>
        <w:rPr>
          <w:rFonts w:ascii="Times New Roman" w:hAnsi="Times New Roman"/>
          <w:sz w:val="20"/>
          <w:szCs w:val="20"/>
          <w:lang w:eastAsia="en-GB" w:bidi="ar-SA"/>
        </w:rPr>
      </w:pPr>
    </w:p>
    <w:tbl>
      <w:tblPr>
        <w:tblStyle w:val="TableGrid2"/>
        <w:tblpPr w:leftFromText="181" w:rightFromText="181" w:vertAnchor="text" w:horzAnchor="margin" w:tblpY="1"/>
        <w:tblOverlap w:val="never"/>
        <w:tblW w:w="8790" w:type="dxa"/>
        <w:tblBorders>
          <w:left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276"/>
        <w:gridCol w:w="142"/>
        <w:gridCol w:w="2126"/>
        <w:gridCol w:w="142"/>
        <w:gridCol w:w="2126"/>
        <w:gridCol w:w="142"/>
        <w:gridCol w:w="1701"/>
        <w:gridCol w:w="142"/>
        <w:gridCol w:w="851"/>
        <w:gridCol w:w="142"/>
      </w:tblGrid>
      <w:tr w:rsidR="002F3518" w:rsidRPr="002F3518" w14:paraId="1619EF26" w14:textId="77777777" w:rsidTr="00B07F6D">
        <w:tc>
          <w:tcPr>
            <w:tcW w:w="1418" w:type="dxa"/>
            <w:gridSpan w:val="2"/>
            <w:tcBorders>
              <w:top w:val="single" w:sz="4" w:space="0" w:color="auto"/>
              <w:bottom w:val="single" w:sz="4" w:space="0" w:color="auto"/>
              <w:right w:val="nil"/>
            </w:tcBorders>
          </w:tcPr>
          <w:p w14:paraId="4688CB0F" w14:textId="77777777" w:rsidR="002F3518" w:rsidRPr="002F3518" w:rsidRDefault="002F3518" w:rsidP="002F3518">
            <w:pPr>
              <w:spacing w:after="0"/>
              <w:rPr>
                <w:rFonts w:ascii="Times New Roman" w:eastAsia="SimSun" w:hAnsi="Times New Roman"/>
                <w:b/>
                <w:sz w:val="20"/>
                <w:szCs w:val="20"/>
                <w:lang w:eastAsia="zh-CN" w:bidi="ar-SA"/>
              </w:rPr>
            </w:pPr>
            <w:r w:rsidRPr="002F3518">
              <w:rPr>
                <w:rFonts w:ascii="Times New Roman" w:eastAsia="SimSun" w:hAnsi="Times New Roman"/>
                <w:b/>
                <w:sz w:val="20"/>
                <w:szCs w:val="20"/>
                <w:lang w:eastAsia="zh-CN" w:bidi="ar-SA"/>
              </w:rPr>
              <w:t xml:space="preserve">Applications </w:t>
            </w:r>
          </w:p>
        </w:tc>
        <w:tc>
          <w:tcPr>
            <w:tcW w:w="2268" w:type="dxa"/>
            <w:gridSpan w:val="2"/>
            <w:tcBorders>
              <w:top w:val="single" w:sz="4" w:space="0" w:color="auto"/>
              <w:left w:val="nil"/>
              <w:bottom w:val="single" w:sz="4" w:space="0" w:color="auto"/>
              <w:right w:val="nil"/>
            </w:tcBorders>
          </w:tcPr>
          <w:p w14:paraId="08E2EA93" w14:textId="77777777" w:rsidR="002F3518" w:rsidRPr="002F3518" w:rsidRDefault="002F3518" w:rsidP="002F3518">
            <w:pPr>
              <w:spacing w:after="0"/>
              <w:rPr>
                <w:rFonts w:ascii="Times New Roman" w:eastAsia="SimSun" w:hAnsi="Times New Roman"/>
                <w:b/>
                <w:sz w:val="20"/>
                <w:szCs w:val="20"/>
                <w:lang w:eastAsia="zh-CN" w:bidi="ar-SA"/>
              </w:rPr>
            </w:pPr>
            <w:r w:rsidRPr="002F3518">
              <w:rPr>
                <w:rFonts w:ascii="Times New Roman" w:eastAsia="SimSun" w:hAnsi="Times New Roman"/>
                <w:b/>
                <w:sz w:val="20"/>
                <w:szCs w:val="20"/>
                <w:lang w:eastAsia="zh-CN" w:bidi="ar-SA"/>
              </w:rPr>
              <w:t>Advantages</w:t>
            </w:r>
          </w:p>
        </w:tc>
        <w:tc>
          <w:tcPr>
            <w:tcW w:w="2268" w:type="dxa"/>
            <w:gridSpan w:val="2"/>
            <w:tcBorders>
              <w:top w:val="single" w:sz="4" w:space="0" w:color="auto"/>
              <w:left w:val="nil"/>
              <w:bottom w:val="single" w:sz="4" w:space="0" w:color="auto"/>
              <w:right w:val="nil"/>
            </w:tcBorders>
          </w:tcPr>
          <w:p w14:paraId="044DC101" w14:textId="77777777" w:rsidR="002F3518" w:rsidRPr="002F3518" w:rsidRDefault="002F3518" w:rsidP="002F3518">
            <w:pPr>
              <w:spacing w:after="0"/>
              <w:rPr>
                <w:rFonts w:ascii="Times New Roman" w:eastAsia="SimSun" w:hAnsi="Times New Roman"/>
                <w:b/>
                <w:sz w:val="20"/>
                <w:szCs w:val="20"/>
                <w:lang w:eastAsia="zh-CN" w:bidi="ar-SA"/>
              </w:rPr>
            </w:pPr>
            <w:r w:rsidRPr="002F3518">
              <w:rPr>
                <w:rFonts w:ascii="Times New Roman" w:eastAsia="SimSun" w:hAnsi="Times New Roman"/>
                <w:b/>
                <w:sz w:val="20"/>
                <w:szCs w:val="20"/>
                <w:lang w:eastAsia="zh-CN" w:bidi="ar-SA"/>
              </w:rPr>
              <w:t>Disadvantages</w:t>
            </w:r>
          </w:p>
        </w:tc>
        <w:tc>
          <w:tcPr>
            <w:tcW w:w="1843" w:type="dxa"/>
            <w:gridSpan w:val="2"/>
            <w:tcBorders>
              <w:top w:val="single" w:sz="4" w:space="0" w:color="auto"/>
              <w:left w:val="nil"/>
              <w:bottom w:val="single" w:sz="4" w:space="0" w:color="auto"/>
              <w:right w:val="nil"/>
            </w:tcBorders>
          </w:tcPr>
          <w:p w14:paraId="35F1EE4C" w14:textId="77777777" w:rsidR="002F3518" w:rsidRPr="002F3518" w:rsidRDefault="002F3518" w:rsidP="002F3518">
            <w:pPr>
              <w:spacing w:after="0"/>
              <w:rPr>
                <w:rFonts w:ascii="Times New Roman" w:eastAsia="SimSun" w:hAnsi="Times New Roman"/>
                <w:b/>
                <w:sz w:val="20"/>
                <w:szCs w:val="20"/>
                <w:lang w:eastAsia="zh-CN" w:bidi="ar-SA"/>
              </w:rPr>
            </w:pPr>
            <w:r w:rsidRPr="002F3518">
              <w:rPr>
                <w:rFonts w:ascii="Times New Roman" w:eastAsia="SimSun" w:hAnsi="Times New Roman"/>
                <w:b/>
                <w:sz w:val="20"/>
                <w:szCs w:val="20"/>
                <w:lang w:eastAsia="zh-CN" w:bidi="ar-SA"/>
              </w:rPr>
              <w:t>Challenges</w:t>
            </w:r>
          </w:p>
        </w:tc>
        <w:tc>
          <w:tcPr>
            <w:tcW w:w="993" w:type="dxa"/>
            <w:gridSpan w:val="2"/>
            <w:tcBorders>
              <w:top w:val="single" w:sz="4" w:space="0" w:color="auto"/>
              <w:left w:val="nil"/>
              <w:bottom w:val="single" w:sz="4" w:space="0" w:color="auto"/>
            </w:tcBorders>
          </w:tcPr>
          <w:p w14:paraId="1D4FB686" w14:textId="77777777" w:rsidR="002F3518" w:rsidRPr="002F3518" w:rsidRDefault="002F3518" w:rsidP="002F3518">
            <w:pPr>
              <w:spacing w:after="0"/>
              <w:rPr>
                <w:rFonts w:ascii="Times New Roman" w:eastAsia="SimSun" w:hAnsi="Times New Roman"/>
                <w:b/>
                <w:sz w:val="20"/>
                <w:szCs w:val="20"/>
                <w:lang w:eastAsia="zh-CN" w:bidi="ar-SA"/>
              </w:rPr>
            </w:pPr>
            <w:r w:rsidRPr="002F3518">
              <w:rPr>
                <w:rFonts w:ascii="Times New Roman" w:eastAsia="SimSun" w:hAnsi="Times New Roman"/>
                <w:b/>
                <w:sz w:val="20"/>
                <w:szCs w:val="20"/>
                <w:lang w:eastAsia="zh-CN" w:bidi="ar-SA"/>
              </w:rPr>
              <w:t>Ref.</w:t>
            </w:r>
          </w:p>
        </w:tc>
      </w:tr>
      <w:tr w:rsidR="002F3518" w:rsidRPr="002F3518" w14:paraId="5D5C9D08" w14:textId="77777777" w:rsidTr="00B07F6D">
        <w:trPr>
          <w:gridAfter w:val="1"/>
          <w:wAfter w:w="142" w:type="dxa"/>
        </w:trPr>
        <w:tc>
          <w:tcPr>
            <w:tcW w:w="1276" w:type="dxa"/>
            <w:tcBorders>
              <w:top w:val="single" w:sz="4" w:space="0" w:color="auto"/>
              <w:bottom w:val="nil"/>
            </w:tcBorders>
          </w:tcPr>
          <w:p w14:paraId="7BF84EAE"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Batteries</w:t>
            </w:r>
          </w:p>
        </w:tc>
        <w:tc>
          <w:tcPr>
            <w:tcW w:w="2268" w:type="dxa"/>
            <w:gridSpan w:val="2"/>
            <w:tcBorders>
              <w:top w:val="single" w:sz="4" w:space="0" w:color="auto"/>
              <w:bottom w:val="nil"/>
            </w:tcBorders>
          </w:tcPr>
          <w:p w14:paraId="7FEF6D28"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bCs/>
                <w:sz w:val="20"/>
                <w:szCs w:val="20"/>
                <w:lang w:eastAsia="zh-CN" w:bidi="ar-SA"/>
              </w:rPr>
              <w:t>High electrical conductivity, big Li</w:t>
            </w:r>
            <w:r w:rsidRPr="002F3518">
              <w:rPr>
                <w:rFonts w:ascii="Times New Roman" w:eastAsia="SimSun" w:hAnsi="Times New Roman"/>
                <w:bCs/>
                <w:sz w:val="20"/>
                <w:szCs w:val="20"/>
                <w:vertAlign w:val="superscript"/>
                <w:lang w:eastAsia="zh-CN" w:bidi="ar-SA"/>
              </w:rPr>
              <w:t>+</w:t>
            </w:r>
            <w:r w:rsidRPr="002F3518">
              <w:rPr>
                <w:rFonts w:ascii="Times New Roman" w:eastAsia="SimSun" w:hAnsi="Times New Roman"/>
                <w:bCs/>
                <w:sz w:val="20"/>
                <w:szCs w:val="20"/>
                <w:lang w:eastAsia="zh-CN" w:bidi="ar-SA"/>
              </w:rPr>
              <w:t xml:space="preserve"> storage capacity, greater reversible capacity, high-rate performance, and cyclic stability. </w:t>
            </w:r>
          </w:p>
        </w:tc>
        <w:tc>
          <w:tcPr>
            <w:tcW w:w="2268" w:type="dxa"/>
            <w:gridSpan w:val="2"/>
            <w:tcBorders>
              <w:top w:val="single" w:sz="4" w:space="0" w:color="auto"/>
              <w:bottom w:val="nil"/>
            </w:tcBorders>
          </w:tcPr>
          <w:p w14:paraId="1F3B92CA"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bCs/>
                <w:sz w:val="20"/>
                <w:szCs w:val="20"/>
                <w:lang w:eastAsia="zh-CN" w:bidi="ar-SA"/>
              </w:rPr>
              <w:t xml:space="preserve">Large surface area of rGO tends to restack, causing passivated solid electrolyte interface (SEI) film forms and irreversible electrolyte consumptions, resulting </w:t>
            </w:r>
            <w:r w:rsidRPr="002F3518">
              <w:rPr>
                <w:rFonts w:ascii="Times New Roman" w:eastAsia="SimSun" w:hAnsi="Times New Roman"/>
                <w:bCs/>
                <w:sz w:val="20"/>
                <w:szCs w:val="20"/>
                <w:lang w:eastAsia="zh-CN" w:bidi="ar-SA"/>
              </w:rPr>
              <w:lastRenderedPageBreak/>
              <w:t>in capacity fading and low Coulombic efficiencies</w:t>
            </w:r>
          </w:p>
        </w:tc>
        <w:tc>
          <w:tcPr>
            <w:tcW w:w="1843" w:type="dxa"/>
            <w:gridSpan w:val="2"/>
            <w:tcBorders>
              <w:top w:val="single" w:sz="4" w:space="0" w:color="auto"/>
              <w:bottom w:val="nil"/>
            </w:tcBorders>
          </w:tcPr>
          <w:p w14:paraId="4B7B2194" w14:textId="77777777" w:rsidR="002F3518" w:rsidRPr="002F3518" w:rsidRDefault="002F3518" w:rsidP="002F3518">
            <w:pPr>
              <w:spacing w:after="0"/>
              <w:jc w:val="both"/>
              <w:rPr>
                <w:rFonts w:ascii="Times New Roman" w:eastAsia="SimSun" w:hAnsi="Times New Roman"/>
                <w:bCs/>
                <w:sz w:val="20"/>
                <w:szCs w:val="20"/>
                <w:lang w:eastAsia="zh-CN" w:bidi="ar-SA"/>
              </w:rPr>
            </w:pPr>
            <w:r w:rsidRPr="002F3518">
              <w:rPr>
                <w:rFonts w:ascii="Times New Roman" w:eastAsia="SimSun" w:hAnsi="Times New Roman"/>
                <w:bCs/>
                <w:sz w:val="20"/>
                <w:szCs w:val="20"/>
                <w:lang w:eastAsia="zh-CN" w:bidi="ar-SA"/>
              </w:rPr>
              <w:lastRenderedPageBreak/>
              <w:t xml:space="preserve">Fabricating three-dimensional (3D) rGO or porous rGO to reduce agglomerations of graphene sheets and increase the active </w:t>
            </w:r>
            <w:r w:rsidRPr="002F3518">
              <w:rPr>
                <w:rFonts w:ascii="Times New Roman" w:eastAsia="SimSun" w:hAnsi="Times New Roman"/>
                <w:bCs/>
                <w:sz w:val="20"/>
                <w:szCs w:val="20"/>
                <w:lang w:eastAsia="zh-CN" w:bidi="ar-SA"/>
              </w:rPr>
              <w:lastRenderedPageBreak/>
              <w:t xml:space="preserve">surface area, resulting in fast diffusion </w:t>
            </w:r>
          </w:p>
          <w:p w14:paraId="4DC40E92" w14:textId="77777777" w:rsidR="002F3518" w:rsidRPr="002F3518" w:rsidRDefault="002F3518" w:rsidP="002F3518">
            <w:pPr>
              <w:spacing w:after="0"/>
              <w:jc w:val="both"/>
              <w:rPr>
                <w:rFonts w:ascii="Times New Roman" w:eastAsia="SimSun" w:hAnsi="Times New Roman"/>
                <w:sz w:val="20"/>
                <w:szCs w:val="20"/>
                <w:lang w:eastAsia="zh-CN" w:bidi="ar-SA"/>
              </w:rPr>
            </w:pPr>
          </w:p>
        </w:tc>
        <w:tc>
          <w:tcPr>
            <w:tcW w:w="993" w:type="dxa"/>
            <w:gridSpan w:val="2"/>
            <w:tcBorders>
              <w:top w:val="single" w:sz="4" w:space="0" w:color="auto"/>
              <w:bottom w:val="nil"/>
            </w:tcBorders>
          </w:tcPr>
          <w:p w14:paraId="756FCEC7" w14:textId="77777777" w:rsidR="002F3518" w:rsidRPr="002F3518" w:rsidRDefault="002F3518" w:rsidP="002F3518">
            <w:pPr>
              <w:spacing w:after="0"/>
              <w:jc w:val="center"/>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lastRenderedPageBreak/>
              <w:t>[40-43]</w:t>
            </w:r>
          </w:p>
        </w:tc>
      </w:tr>
      <w:tr w:rsidR="002F3518" w:rsidRPr="002F3518" w14:paraId="4F3CE713" w14:textId="77777777" w:rsidTr="00B07F6D">
        <w:trPr>
          <w:gridAfter w:val="1"/>
          <w:wAfter w:w="142" w:type="dxa"/>
        </w:trPr>
        <w:tc>
          <w:tcPr>
            <w:tcW w:w="1276" w:type="dxa"/>
            <w:tcBorders>
              <w:top w:val="nil"/>
              <w:bottom w:val="nil"/>
            </w:tcBorders>
          </w:tcPr>
          <w:p w14:paraId="450115BF"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Fuel cell</w:t>
            </w:r>
          </w:p>
        </w:tc>
        <w:tc>
          <w:tcPr>
            <w:tcW w:w="2268" w:type="dxa"/>
            <w:gridSpan w:val="2"/>
            <w:tcBorders>
              <w:top w:val="nil"/>
              <w:bottom w:val="nil"/>
            </w:tcBorders>
          </w:tcPr>
          <w:p w14:paraId="55AC120F"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Surface of the electrocatalyst will not be inactivated prematurely. The catalyst is easy to recycle, which saves money and protects the environment</w:t>
            </w:r>
          </w:p>
        </w:tc>
        <w:tc>
          <w:tcPr>
            <w:tcW w:w="2268" w:type="dxa"/>
            <w:gridSpan w:val="2"/>
            <w:tcBorders>
              <w:top w:val="nil"/>
              <w:bottom w:val="nil"/>
            </w:tcBorders>
          </w:tcPr>
          <w:p w14:paraId="453DA2D7"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Graphene sheets tend to restack due to the attractive forces between graphene sheets, leading to a decrease in the availability of active sites</w:t>
            </w:r>
          </w:p>
        </w:tc>
        <w:tc>
          <w:tcPr>
            <w:tcW w:w="1843" w:type="dxa"/>
            <w:gridSpan w:val="2"/>
            <w:tcBorders>
              <w:top w:val="nil"/>
              <w:bottom w:val="nil"/>
            </w:tcBorders>
          </w:tcPr>
          <w:p w14:paraId="689CE054"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en-GB" w:bidi="ar-SA"/>
              </w:rPr>
              <w:t xml:space="preserve"> The</w:t>
            </w:r>
          </w:p>
          <w:p w14:paraId="6556E8A1"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val="en-MY" w:eastAsia="en-GB" w:bidi="ar-SA"/>
              </w:rPr>
              <w:t xml:space="preserve">choice of carrier material is key to the activity, selectivity, durability and cost-effectiveness of a catalyst. </w:t>
            </w:r>
          </w:p>
          <w:p w14:paraId="52275AD4" w14:textId="77777777" w:rsidR="002F3518" w:rsidRPr="002F3518" w:rsidRDefault="002F3518" w:rsidP="002F3518">
            <w:pPr>
              <w:spacing w:after="0"/>
              <w:jc w:val="both"/>
              <w:rPr>
                <w:rFonts w:ascii="Times New Roman" w:eastAsia="SimSun" w:hAnsi="Times New Roman"/>
                <w:sz w:val="20"/>
                <w:szCs w:val="20"/>
                <w:lang w:eastAsia="zh-CN" w:bidi="ar-SA"/>
              </w:rPr>
            </w:pPr>
          </w:p>
        </w:tc>
        <w:tc>
          <w:tcPr>
            <w:tcW w:w="993" w:type="dxa"/>
            <w:gridSpan w:val="2"/>
            <w:tcBorders>
              <w:top w:val="nil"/>
              <w:bottom w:val="nil"/>
            </w:tcBorders>
          </w:tcPr>
          <w:p w14:paraId="4AD457E6" w14:textId="77777777" w:rsidR="002F3518" w:rsidRPr="002F3518" w:rsidRDefault="002F3518" w:rsidP="002F3518">
            <w:pPr>
              <w:spacing w:after="0"/>
              <w:jc w:val="center"/>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[43]</w:t>
            </w:r>
          </w:p>
        </w:tc>
      </w:tr>
      <w:tr w:rsidR="002F3518" w:rsidRPr="002F3518" w14:paraId="424B75E4" w14:textId="77777777" w:rsidTr="00B07F6D">
        <w:trPr>
          <w:gridAfter w:val="1"/>
          <w:wAfter w:w="142" w:type="dxa"/>
        </w:trPr>
        <w:tc>
          <w:tcPr>
            <w:tcW w:w="1276" w:type="dxa"/>
            <w:tcBorders>
              <w:top w:val="nil"/>
              <w:bottom w:val="nil"/>
            </w:tcBorders>
          </w:tcPr>
          <w:p w14:paraId="6E79998B"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Corrosion</w:t>
            </w:r>
          </w:p>
        </w:tc>
        <w:tc>
          <w:tcPr>
            <w:tcW w:w="2268" w:type="dxa"/>
            <w:gridSpan w:val="2"/>
            <w:tcBorders>
              <w:top w:val="nil"/>
              <w:bottom w:val="nil"/>
            </w:tcBorders>
          </w:tcPr>
          <w:p w14:paraId="4A045AF0" w14:textId="77777777" w:rsidR="002F3518" w:rsidRPr="002F3518" w:rsidRDefault="002F3518" w:rsidP="002F3518">
            <w:pPr>
              <w:spacing w:after="0"/>
              <w:jc w:val="both"/>
              <w:rPr>
                <w:rFonts w:ascii="Times New Roman" w:eastAsia="SimSun" w:hAnsi="Times New Roman"/>
                <w:bCs/>
                <w:iCs/>
                <w:sz w:val="20"/>
                <w:szCs w:val="20"/>
                <w:lang w:eastAsia="zh-CN" w:bidi="ar-SA"/>
              </w:rPr>
            </w:pPr>
            <w:r w:rsidRPr="002F3518">
              <w:rPr>
                <w:rFonts w:ascii="Times New Roman" w:eastAsia="SimSun" w:hAnsi="Times New Roman"/>
                <w:bCs/>
                <w:iCs/>
                <w:sz w:val="20"/>
                <w:szCs w:val="20"/>
                <w:lang w:eastAsia="zh-CN" w:bidi="ar-SA"/>
              </w:rPr>
              <w:t>Preventing the transport of corrosive or oxidative species toward the underlying substrate without notably altering its thermal conductivity and optical properties</w:t>
            </w:r>
          </w:p>
          <w:p w14:paraId="24218354" w14:textId="77777777" w:rsidR="002F3518" w:rsidRPr="002F3518" w:rsidRDefault="002F3518" w:rsidP="002F3518">
            <w:pPr>
              <w:spacing w:after="0"/>
              <w:jc w:val="both"/>
              <w:rPr>
                <w:rFonts w:ascii="Times New Roman" w:eastAsia="SimSun" w:hAnsi="Times New Roman"/>
                <w:sz w:val="20"/>
                <w:szCs w:val="20"/>
                <w:lang w:eastAsia="zh-CN" w:bidi="ar-SA"/>
              </w:rPr>
            </w:pPr>
          </w:p>
        </w:tc>
        <w:tc>
          <w:tcPr>
            <w:tcW w:w="2268" w:type="dxa"/>
            <w:gridSpan w:val="2"/>
            <w:tcBorders>
              <w:top w:val="nil"/>
              <w:bottom w:val="nil"/>
            </w:tcBorders>
          </w:tcPr>
          <w:p w14:paraId="34B7F4B3"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bCs/>
                <w:iCs/>
                <w:sz w:val="20"/>
                <w:szCs w:val="20"/>
                <w:lang w:eastAsia="zh-CN" w:bidi="ar-SA"/>
              </w:rPr>
              <w:t>Poor adhesion of graphene-based coatings to the most engineering metals</w:t>
            </w:r>
          </w:p>
        </w:tc>
        <w:tc>
          <w:tcPr>
            <w:tcW w:w="1843" w:type="dxa"/>
            <w:gridSpan w:val="2"/>
            <w:tcBorders>
              <w:top w:val="nil"/>
              <w:bottom w:val="nil"/>
            </w:tcBorders>
          </w:tcPr>
          <w:p w14:paraId="10333FF0"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bCs/>
                <w:iCs/>
                <w:sz w:val="20"/>
                <w:szCs w:val="20"/>
                <w:lang w:eastAsia="zh-CN" w:bidi="ar-SA"/>
              </w:rPr>
              <w:t>Graphene-based coatings produced directly on metallic surfaces do not improve corrosion protection</w:t>
            </w:r>
          </w:p>
        </w:tc>
        <w:tc>
          <w:tcPr>
            <w:tcW w:w="993" w:type="dxa"/>
            <w:gridSpan w:val="2"/>
            <w:tcBorders>
              <w:top w:val="nil"/>
              <w:bottom w:val="nil"/>
            </w:tcBorders>
          </w:tcPr>
          <w:p w14:paraId="1928838D" w14:textId="77777777" w:rsidR="002F3518" w:rsidRPr="002F3518" w:rsidRDefault="002F3518" w:rsidP="002F3518">
            <w:pPr>
              <w:spacing w:after="0"/>
              <w:jc w:val="center"/>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[72, 73]</w:t>
            </w:r>
          </w:p>
        </w:tc>
      </w:tr>
      <w:tr w:rsidR="002F3518" w:rsidRPr="002F3518" w14:paraId="51222BEE" w14:textId="77777777" w:rsidTr="00B07F6D">
        <w:trPr>
          <w:gridAfter w:val="1"/>
          <w:wAfter w:w="142" w:type="dxa"/>
        </w:trPr>
        <w:tc>
          <w:tcPr>
            <w:tcW w:w="1276" w:type="dxa"/>
            <w:tcBorders>
              <w:top w:val="nil"/>
              <w:bottom w:val="nil"/>
            </w:tcBorders>
          </w:tcPr>
          <w:p w14:paraId="63F6721C"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Sensors</w:t>
            </w:r>
          </w:p>
        </w:tc>
        <w:tc>
          <w:tcPr>
            <w:tcW w:w="2268" w:type="dxa"/>
            <w:gridSpan w:val="2"/>
            <w:tcBorders>
              <w:top w:val="nil"/>
              <w:bottom w:val="nil"/>
            </w:tcBorders>
          </w:tcPr>
          <w:p w14:paraId="0084848D"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High sensitive sensing with a linear range magnitude nanoparticles can be highly dispersed on its surface, and the charge transfer at the interface of these hybrid materials can provide a synergistic effect</w:t>
            </w:r>
          </w:p>
        </w:tc>
        <w:tc>
          <w:tcPr>
            <w:tcW w:w="2268" w:type="dxa"/>
            <w:gridSpan w:val="2"/>
            <w:tcBorders>
              <w:top w:val="nil"/>
              <w:bottom w:val="nil"/>
            </w:tcBorders>
          </w:tcPr>
          <w:p w14:paraId="76DDC9AB"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Decreasing interfering species' non-specific adsorption, and (3) maintaining the sensor's repeatability and stability in complicated actual matrices</w:t>
            </w:r>
          </w:p>
        </w:tc>
        <w:tc>
          <w:tcPr>
            <w:tcW w:w="1843" w:type="dxa"/>
            <w:gridSpan w:val="2"/>
            <w:tcBorders>
              <w:top w:val="nil"/>
              <w:bottom w:val="nil"/>
            </w:tcBorders>
          </w:tcPr>
          <w:p w14:paraId="358EAB05"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Sensitive to temperature and, therefore, the sensors typically are internally temperature compensated</w:t>
            </w:r>
          </w:p>
          <w:p w14:paraId="3D43B49C"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greater the exposure to the target gas, the shorter the life span</w:t>
            </w:r>
          </w:p>
          <w:p w14:paraId="69749DAF" w14:textId="77777777" w:rsidR="002F3518" w:rsidRPr="002F3518" w:rsidRDefault="002F3518" w:rsidP="002F3518">
            <w:pPr>
              <w:spacing w:after="0"/>
              <w:jc w:val="both"/>
              <w:rPr>
                <w:rFonts w:ascii="Times New Roman" w:eastAsia="SimSun" w:hAnsi="Times New Roman"/>
                <w:sz w:val="20"/>
                <w:szCs w:val="20"/>
                <w:lang w:eastAsia="zh-CN" w:bidi="ar-SA"/>
              </w:rPr>
            </w:pPr>
          </w:p>
        </w:tc>
        <w:tc>
          <w:tcPr>
            <w:tcW w:w="993" w:type="dxa"/>
            <w:gridSpan w:val="2"/>
            <w:tcBorders>
              <w:top w:val="nil"/>
              <w:bottom w:val="nil"/>
            </w:tcBorders>
          </w:tcPr>
          <w:p w14:paraId="39D23AAF" w14:textId="77777777" w:rsidR="002F3518" w:rsidRPr="002F3518" w:rsidRDefault="002F3518" w:rsidP="002F3518">
            <w:pPr>
              <w:spacing w:after="0"/>
              <w:jc w:val="center"/>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[79, 80]</w:t>
            </w:r>
          </w:p>
        </w:tc>
      </w:tr>
      <w:tr w:rsidR="002F3518" w:rsidRPr="002F3518" w14:paraId="12AE1D0A" w14:textId="77777777" w:rsidTr="00B07F6D">
        <w:trPr>
          <w:gridAfter w:val="1"/>
          <w:wAfter w:w="142" w:type="dxa"/>
        </w:trPr>
        <w:tc>
          <w:tcPr>
            <w:tcW w:w="1276" w:type="dxa"/>
            <w:tcBorders>
              <w:top w:val="nil"/>
              <w:bottom w:val="single" w:sz="4" w:space="0" w:color="auto"/>
            </w:tcBorders>
          </w:tcPr>
          <w:p w14:paraId="26FC39EE"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 xml:space="preserve">Super Capacitors </w:t>
            </w:r>
          </w:p>
        </w:tc>
        <w:tc>
          <w:tcPr>
            <w:tcW w:w="2268" w:type="dxa"/>
            <w:gridSpan w:val="2"/>
            <w:tcBorders>
              <w:top w:val="nil"/>
              <w:bottom w:val="single" w:sz="4" w:space="0" w:color="auto"/>
            </w:tcBorders>
          </w:tcPr>
          <w:p w14:paraId="35472B97"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Can be coupled to generate hybrid nanostructures with EDLC and pseudocapacitive capabilities. Adding Fe</w:t>
            </w:r>
            <w:r w:rsidRPr="002F3518">
              <w:rPr>
                <w:rFonts w:ascii="Times New Roman" w:eastAsia="SimSun" w:hAnsi="Times New Roman"/>
                <w:sz w:val="20"/>
                <w:szCs w:val="20"/>
                <w:vertAlign w:val="subscript"/>
                <w:lang w:eastAsia="zh-CN" w:bidi="ar-SA"/>
              </w:rPr>
              <w:t>3</w:t>
            </w:r>
            <w:r w:rsidRPr="002F3518">
              <w:rPr>
                <w:rFonts w:ascii="Times New Roman" w:eastAsia="SimSun" w:hAnsi="Times New Roman"/>
                <w:sz w:val="20"/>
                <w:szCs w:val="20"/>
                <w:lang w:eastAsia="zh-CN" w:bidi="ar-SA"/>
              </w:rPr>
              <w:t>O</w:t>
            </w:r>
            <w:r w:rsidRPr="002F3518">
              <w:rPr>
                <w:rFonts w:ascii="Times New Roman" w:eastAsia="SimSun" w:hAnsi="Times New Roman"/>
                <w:sz w:val="20"/>
                <w:szCs w:val="20"/>
                <w:vertAlign w:val="subscript"/>
                <w:lang w:eastAsia="zh-CN" w:bidi="ar-SA"/>
              </w:rPr>
              <w:t>4</w:t>
            </w:r>
            <w:r w:rsidRPr="002F3518">
              <w:rPr>
                <w:rFonts w:ascii="Times New Roman" w:eastAsia="SimSun" w:hAnsi="Times New Roman"/>
                <w:sz w:val="20"/>
                <w:szCs w:val="20"/>
                <w:lang w:eastAsia="zh-CN" w:bidi="ar-SA"/>
              </w:rPr>
              <w:t xml:space="preserve"> to the anode boosted both the power output and the anodic capacitance</w:t>
            </w:r>
          </w:p>
        </w:tc>
        <w:tc>
          <w:tcPr>
            <w:tcW w:w="2268" w:type="dxa"/>
            <w:gridSpan w:val="2"/>
            <w:tcBorders>
              <w:top w:val="nil"/>
              <w:bottom w:val="single" w:sz="4" w:space="0" w:color="auto"/>
            </w:tcBorders>
          </w:tcPr>
          <w:p w14:paraId="06600851"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Poor electrochemical stability and had low conductivity</w:t>
            </w:r>
          </w:p>
        </w:tc>
        <w:tc>
          <w:tcPr>
            <w:tcW w:w="1843" w:type="dxa"/>
            <w:gridSpan w:val="2"/>
            <w:tcBorders>
              <w:top w:val="nil"/>
              <w:bottom w:val="single" w:sz="4" w:space="0" w:color="auto"/>
            </w:tcBorders>
          </w:tcPr>
          <w:p w14:paraId="2D2BB157" w14:textId="77777777" w:rsidR="002F3518" w:rsidRPr="002F3518" w:rsidRDefault="002F3518" w:rsidP="002F3518">
            <w:pPr>
              <w:spacing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Limitations in transferring capacitive (F) performance values to bigger scales or commercial devices that retain the desirable properties of EDL SCs that outperform the current supercapacitor generation</w:t>
            </w:r>
          </w:p>
        </w:tc>
        <w:tc>
          <w:tcPr>
            <w:tcW w:w="993" w:type="dxa"/>
            <w:gridSpan w:val="2"/>
            <w:tcBorders>
              <w:top w:val="nil"/>
              <w:bottom w:val="single" w:sz="4" w:space="0" w:color="auto"/>
            </w:tcBorders>
          </w:tcPr>
          <w:p w14:paraId="003F2D01" w14:textId="77777777" w:rsidR="002F3518" w:rsidRPr="002F3518" w:rsidRDefault="002F3518" w:rsidP="002F3518">
            <w:pPr>
              <w:spacing w:after="0"/>
              <w:jc w:val="center"/>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[94, 95, 104]</w:t>
            </w:r>
          </w:p>
        </w:tc>
      </w:tr>
    </w:tbl>
    <w:p w14:paraId="3C9CB96A" w14:textId="77777777" w:rsidR="002F3518" w:rsidRPr="002F3518" w:rsidRDefault="002F3518" w:rsidP="002F3518">
      <w:pPr>
        <w:spacing w:after="0"/>
        <w:rPr>
          <w:rFonts w:ascii="Times New Roman" w:hAnsi="Times New Roman"/>
          <w:b/>
          <w:bCs/>
          <w:sz w:val="20"/>
          <w:szCs w:val="20"/>
          <w:lang w:val="en-MY" w:eastAsia="en-GB" w:bidi="ar-SA"/>
        </w:rPr>
      </w:pPr>
    </w:p>
    <w:p w14:paraId="2FD3A7B5" w14:textId="77777777" w:rsidR="004C543D" w:rsidRDefault="004C543D" w:rsidP="002F3518">
      <w:pPr>
        <w:spacing w:after="0"/>
        <w:jc w:val="center"/>
        <w:rPr>
          <w:rFonts w:ascii="Times New Roman" w:hAnsi="Times New Roman"/>
          <w:b/>
          <w:bCs/>
          <w:sz w:val="20"/>
          <w:szCs w:val="20"/>
          <w:lang w:val="en-MY" w:eastAsia="en-GB" w:bidi="ar-SA"/>
        </w:rPr>
      </w:pPr>
    </w:p>
    <w:p w14:paraId="50C78500" w14:textId="77777777" w:rsidR="004C543D" w:rsidRDefault="004C543D" w:rsidP="002F3518">
      <w:pPr>
        <w:spacing w:after="0"/>
        <w:jc w:val="center"/>
        <w:rPr>
          <w:rFonts w:ascii="Times New Roman" w:hAnsi="Times New Roman"/>
          <w:b/>
          <w:bCs/>
          <w:sz w:val="20"/>
          <w:szCs w:val="20"/>
          <w:lang w:val="en-MY" w:eastAsia="en-GB" w:bidi="ar-SA"/>
        </w:rPr>
      </w:pPr>
    </w:p>
    <w:p w14:paraId="4E674EF0" w14:textId="77777777" w:rsidR="004C543D" w:rsidRDefault="004C543D" w:rsidP="002F3518">
      <w:pPr>
        <w:spacing w:after="0"/>
        <w:jc w:val="center"/>
        <w:rPr>
          <w:rFonts w:ascii="Times New Roman" w:hAnsi="Times New Roman"/>
          <w:b/>
          <w:bCs/>
          <w:sz w:val="20"/>
          <w:szCs w:val="20"/>
          <w:lang w:val="en-MY" w:eastAsia="en-GB" w:bidi="ar-SA"/>
        </w:rPr>
      </w:pPr>
    </w:p>
    <w:p w14:paraId="40B2E704" w14:textId="77777777" w:rsidR="004C543D" w:rsidRDefault="004C543D" w:rsidP="002F3518">
      <w:pPr>
        <w:spacing w:after="0"/>
        <w:jc w:val="center"/>
        <w:rPr>
          <w:rFonts w:ascii="Times New Roman" w:hAnsi="Times New Roman"/>
          <w:b/>
          <w:bCs/>
          <w:sz w:val="20"/>
          <w:szCs w:val="20"/>
          <w:lang w:val="en-MY" w:eastAsia="en-GB" w:bidi="ar-SA"/>
        </w:rPr>
      </w:pPr>
    </w:p>
    <w:p w14:paraId="2900AA0E" w14:textId="74AECC19" w:rsidR="004C543D" w:rsidRDefault="004C543D" w:rsidP="002F3518">
      <w:pPr>
        <w:spacing w:after="0"/>
        <w:jc w:val="center"/>
        <w:rPr>
          <w:rFonts w:ascii="Times New Roman" w:hAnsi="Times New Roman"/>
          <w:b/>
          <w:bCs/>
          <w:sz w:val="20"/>
          <w:szCs w:val="20"/>
          <w:lang w:val="en-MY" w:eastAsia="en-GB" w:bidi="ar-SA"/>
        </w:rPr>
      </w:pPr>
    </w:p>
    <w:p w14:paraId="70D8C09B" w14:textId="4661FF4E" w:rsidR="004C543D" w:rsidRDefault="004C543D" w:rsidP="002F3518">
      <w:pPr>
        <w:spacing w:after="0"/>
        <w:jc w:val="center"/>
        <w:rPr>
          <w:rFonts w:ascii="Times New Roman" w:hAnsi="Times New Roman"/>
          <w:b/>
          <w:bCs/>
          <w:sz w:val="20"/>
          <w:szCs w:val="20"/>
          <w:lang w:val="en-MY" w:eastAsia="en-GB" w:bidi="ar-SA"/>
        </w:rPr>
      </w:pPr>
    </w:p>
    <w:p w14:paraId="388C3D0F" w14:textId="770F4D99" w:rsidR="004C543D" w:rsidRDefault="004C543D" w:rsidP="002F3518">
      <w:pPr>
        <w:spacing w:after="0"/>
        <w:jc w:val="center"/>
        <w:rPr>
          <w:rFonts w:ascii="Times New Roman" w:hAnsi="Times New Roman"/>
          <w:b/>
          <w:bCs/>
          <w:sz w:val="20"/>
          <w:szCs w:val="20"/>
          <w:lang w:val="en-MY" w:eastAsia="en-GB" w:bidi="ar-SA"/>
        </w:rPr>
      </w:pPr>
    </w:p>
    <w:p w14:paraId="2120EF07" w14:textId="077EB08B" w:rsidR="004C543D" w:rsidRDefault="004C543D" w:rsidP="002F3518">
      <w:pPr>
        <w:spacing w:after="0"/>
        <w:jc w:val="center"/>
        <w:rPr>
          <w:rFonts w:ascii="Times New Roman" w:hAnsi="Times New Roman"/>
          <w:b/>
          <w:bCs/>
          <w:sz w:val="20"/>
          <w:szCs w:val="20"/>
          <w:lang w:val="en-MY" w:eastAsia="en-GB" w:bidi="ar-SA"/>
        </w:rPr>
      </w:pPr>
    </w:p>
    <w:p w14:paraId="22478589" w14:textId="2CDAA5B9" w:rsidR="004C543D" w:rsidRDefault="004C543D" w:rsidP="002F3518">
      <w:pPr>
        <w:spacing w:after="0"/>
        <w:jc w:val="center"/>
        <w:rPr>
          <w:rFonts w:ascii="Times New Roman" w:hAnsi="Times New Roman"/>
          <w:b/>
          <w:bCs/>
          <w:sz w:val="20"/>
          <w:szCs w:val="20"/>
          <w:lang w:val="en-MY" w:eastAsia="en-GB" w:bidi="ar-SA"/>
        </w:rPr>
      </w:pPr>
    </w:p>
    <w:p w14:paraId="5B147296" w14:textId="3A7CD02A" w:rsidR="004C543D" w:rsidRDefault="004C543D" w:rsidP="002F3518">
      <w:pPr>
        <w:spacing w:after="0"/>
        <w:jc w:val="center"/>
        <w:rPr>
          <w:rFonts w:ascii="Times New Roman" w:hAnsi="Times New Roman"/>
          <w:b/>
          <w:bCs/>
          <w:sz w:val="20"/>
          <w:szCs w:val="20"/>
          <w:lang w:val="en-MY" w:eastAsia="en-GB" w:bidi="ar-SA"/>
        </w:rPr>
      </w:pPr>
    </w:p>
    <w:p w14:paraId="614AB5C5" w14:textId="0A2C3098" w:rsidR="004C543D" w:rsidRDefault="004C543D" w:rsidP="002F3518">
      <w:pPr>
        <w:spacing w:after="0"/>
        <w:jc w:val="center"/>
        <w:rPr>
          <w:rFonts w:ascii="Times New Roman" w:hAnsi="Times New Roman"/>
          <w:b/>
          <w:bCs/>
          <w:sz w:val="20"/>
          <w:szCs w:val="20"/>
          <w:lang w:val="en-MY" w:eastAsia="en-GB" w:bidi="ar-SA"/>
        </w:rPr>
      </w:pPr>
    </w:p>
    <w:p w14:paraId="5C50EB84" w14:textId="27681EEA" w:rsidR="004C543D" w:rsidRDefault="004C543D" w:rsidP="002F3518">
      <w:pPr>
        <w:spacing w:after="0"/>
        <w:jc w:val="center"/>
        <w:rPr>
          <w:rFonts w:ascii="Times New Roman" w:hAnsi="Times New Roman"/>
          <w:b/>
          <w:bCs/>
          <w:sz w:val="20"/>
          <w:szCs w:val="20"/>
          <w:lang w:val="en-MY" w:eastAsia="en-GB" w:bidi="ar-SA"/>
        </w:rPr>
      </w:pPr>
    </w:p>
    <w:p w14:paraId="6076C96D" w14:textId="481A534F" w:rsidR="004C543D" w:rsidRDefault="004C543D" w:rsidP="002F3518">
      <w:pPr>
        <w:spacing w:after="0"/>
        <w:jc w:val="center"/>
        <w:rPr>
          <w:rFonts w:ascii="Times New Roman" w:hAnsi="Times New Roman"/>
          <w:b/>
          <w:bCs/>
          <w:sz w:val="20"/>
          <w:szCs w:val="20"/>
          <w:lang w:val="en-MY" w:eastAsia="en-GB" w:bidi="ar-SA"/>
        </w:rPr>
      </w:pPr>
    </w:p>
    <w:p w14:paraId="34FAC914" w14:textId="1400D3C4" w:rsidR="004C543D" w:rsidRDefault="004C543D" w:rsidP="002F3518">
      <w:pPr>
        <w:spacing w:after="0"/>
        <w:jc w:val="center"/>
        <w:rPr>
          <w:rFonts w:ascii="Times New Roman" w:hAnsi="Times New Roman"/>
          <w:b/>
          <w:bCs/>
          <w:sz w:val="20"/>
          <w:szCs w:val="20"/>
          <w:lang w:val="en-MY" w:eastAsia="en-GB" w:bidi="ar-SA"/>
        </w:rPr>
      </w:pPr>
    </w:p>
    <w:p w14:paraId="7EC8D553" w14:textId="79ACCA29" w:rsidR="004C543D" w:rsidRDefault="004C543D" w:rsidP="002F3518">
      <w:pPr>
        <w:spacing w:after="0"/>
        <w:jc w:val="center"/>
        <w:rPr>
          <w:rFonts w:ascii="Times New Roman" w:hAnsi="Times New Roman"/>
          <w:b/>
          <w:bCs/>
          <w:sz w:val="20"/>
          <w:szCs w:val="20"/>
          <w:lang w:val="en-MY" w:eastAsia="en-GB" w:bidi="ar-SA"/>
        </w:rPr>
      </w:pPr>
    </w:p>
    <w:p w14:paraId="74D46E38" w14:textId="149546C5" w:rsidR="004C543D" w:rsidRDefault="004C543D" w:rsidP="002F3518">
      <w:pPr>
        <w:spacing w:after="0"/>
        <w:jc w:val="center"/>
        <w:rPr>
          <w:rFonts w:ascii="Times New Roman" w:hAnsi="Times New Roman"/>
          <w:b/>
          <w:bCs/>
          <w:sz w:val="20"/>
          <w:szCs w:val="20"/>
          <w:lang w:val="en-MY" w:eastAsia="en-GB" w:bidi="ar-SA"/>
        </w:rPr>
      </w:pPr>
    </w:p>
    <w:p w14:paraId="3DC8A0C0" w14:textId="54CBAD88" w:rsidR="004C543D" w:rsidRDefault="004C543D" w:rsidP="002F3518">
      <w:pPr>
        <w:spacing w:after="0"/>
        <w:jc w:val="center"/>
        <w:rPr>
          <w:rFonts w:ascii="Times New Roman" w:hAnsi="Times New Roman"/>
          <w:b/>
          <w:bCs/>
          <w:sz w:val="20"/>
          <w:szCs w:val="20"/>
          <w:lang w:val="en-MY" w:eastAsia="en-GB" w:bidi="ar-SA"/>
        </w:rPr>
      </w:pPr>
    </w:p>
    <w:p w14:paraId="24CD14B2" w14:textId="6A9FC5C8" w:rsidR="004C543D" w:rsidRDefault="004C543D" w:rsidP="002F3518">
      <w:pPr>
        <w:spacing w:after="0"/>
        <w:jc w:val="center"/>
        <w:rPr>
          <w:rFonts w:ascii="Times New Roman" w:hAnsi="Times New Roman"/>
          <w:b/>
          <w:bCs/>
          <w:sz w:val="20"/>
          <w:szCs w:val="20"/>
          <w:lang w:val="en-MY" w:eastAsia="en-GB" w:bidi="ar-SA"/>
        </w:rPr>
      </w:pPr>
    </w:p>
    <w:p w14:paraId="0E7370B0" w14:textId="7DB6BA0B" w:rsidR="004C543D" w:rsidRDefault="004C543D" w:rsidP="002F3518">
      <w:pPr>
        <w:spacing w:after="0"/>
        <w:jc w:val="center"/>
        <w:rPr>
          <w:rFonts w:ascii="Times New Roman" w:hAnsi="Times New Roman"/>
          <w:b/>
          <w:bCs/>
          <w:sz w:val="20"/>
          <w:szCs w:val="20"/>
          <w:lang w:val="en-MY" w:eastAsia="en-GB" w:bidi="ar-SA"/>
        </w:rPr>
      </w:pPr>
    </w:p>
    <w:p w14:paraId="660C3B58" w14:textId="7E4D88D7" w:rsidR="004C543D" w:rsidRDefault="004C543D" w:rsidP="002F3518">
      <w:pPr>
        <w:spacing w:after="0"/>
        <w:jc w:val="center"/>
        <w:rPr>
          <w:rFonts w:ascii="Times New Roman" w:hAnsi="Times New Roman"/>
          <w:b/>
          <w:bCs/>
          <w:sz w:val="20"/>
          <w:szCs w:val="20"/>
          <w:lang w:val="en-MY" w:eastAsia="en-GB" w:bidi="ar-SA"/>
        </w:rPr>
      </w:pPr>
    </w:p>
    <w:p w14:paraId="7F879331" w14:textId="0F26BF02" w:rsidR="004C543D" w:rsidRDefault="004C543D" w:rsidP="002F3518">
      <w:pPr>
        <w:spacing w:after="0"/>
        <w:jc w:val="center"/>
        <w:rPr>
          <w:rFonts w:ascii="Times New Roman" w:hAnsi="Times New Roman"/>
          <w:b/>
          <w:bCs/>
          <w:sz w:val="20"/>
          <w:szCs w:val="20"/>
          <w:lang w:val="en-MY" w:eastAsia="en-GB" w:bidi="ar-SA"/>
        </w:rPr>
      </w:pPr>
    </w:p>
    <w:p w14:paraId="5C7A5B1C" w14:textId="5D062187" w:rsidR="004C543D" w:rsidRDefault="004C543D" w:rsidP="002F3518">
      <w:pPr>
        <w:spacing w:after="0"/>
        <w:jc w:val="center"/>
        <w:rPr>
          <w:rFonts w:ascii="Times New Roman" w:hAnsi="Times New Roman"/>
          <w:b/>
          <w:bCs/>
          <w:sz w:val="20"/>
          <w:szCs w:val="20"/>
          <w:lang w:val="en-MY" w:eastAsia="en-GB" w:bidi="ar-SA"/>
        </w:rPr>
      </w:pPr>
    </w:p>
    <w:p w14:paraId="4F412882" w14:textId="11BBF5B8" w:rsidR="004C543D" w:rsidRDefault="004C543D" w:rsidP="002F3518">
      <w:pPr>
        <w:spacing w:after="0"/>
        <w:jc w:val="center"/>
        <w:rPr>
          <w:rFonts w:ascii="Times New Roman" w:hAnsi="Times New Roman"/>
          <w:b/>
          <w:bCs/>
          <w:sz w:val="20"/>
          <w:szCs w:val="20"/>
          <w:lang w:val="en-MY" w:eastAsia="en-GB" w:bidi="ar-SA"/>
        </w:rPr>
      </w:pPr>
    </w:p>
    <w:p w14:paraId="72CE5C4C" w14:textId="71B7C23F" w:rsidR="004C543D" w:rsidRDefault="004C543D" w:rsidP="002F3518">
      <w:pPr>
        <w:spacing w:after="0"/>
        <w:jc w:val="center"/>
        <w:rPr>
          <w:rFonts w:ascii="Times New Roman" w:hAnsi="Times New Roman"/>
          <w:b/>
          <w:bCs/>
          <w:sz w:val="20"/>
          <w:szCs w:val="20"/>
          <w:lang w:val="en-MY" w:eastAsia="en-GB" w:bidi="ar-SA"/>
        </w:rPr>
      </w:pPr>
    </w:p>
    <w:p w14:paraId="31A3E7CB" w14:textId="780028CA" w:rsidR="004C543D" w:rsidRDefault="004C543D" w:rsidP="002F3518">
      <w:pPr>
        <w:spacing w:after="0"/>
        <w:jc w:val="center"/>
        <w:rPr>
          <w:rFonts w:ascii="Times New Roman" w:hAnsi="Times New Roman"/>
          <w:b/>
          <w:bCs/>
          <w:sz w:val="20"/>
          <w:szCs w:val="20"/>
          <w:lang w:val="en-MY" w:eastAsia="en-GB" w:bidi="ar-SA"/>
        </w:rPr>
      </w:pPr>
    </w:p>
    <w:p w14:paraId="3929C99D" w14:textId="13286C2C" w:rsidR="004C543D" w:rsidRDefault="004C543D" w:rsidP="002F3518">
      <w:pPr>
        <w:spacing w:after="0"/>
        <w:jc w:val="center"/>
        <w:rPr>
          <w:rFonts w:ascii="Times New Roman" w:hAnsi="Times New Roman"/>
          <w:b/>
          <w:bCs/>
          <w:sz w:val="20"/>
          <w:szCs w:val="20"/>
          <w:lang w:val="en-MY" w:eastAsia="en-GB" w:bidi="ar-SA"/>
        </w:rPr>
      </w:pPr>
    </w:p>
    <w:p w14:paraId="26ABE4DB" w14:textId="77777777" w:rsidR="0091382C" w:rsidRDefault="0091382C" w:rsidP="0091382C">
      <w:pPr>
        <w:spacing w:after="0"/>
        <w:rPr>
          <w:rFonts w:ascii="Times New Roman" w:hAnsi="Times New Roman"/>
          <w:b/>
          <w:bCs/>
          <w:sz w:val="20"/>
          <w:szCs w:val="20"/>
          <w:lang w:val="en-MY" w:eastAsia="en-GB" w:bidi="ar-SA"/>
        </w:rPr>
      </w:pPr>
    </w:p>
    <w:p w14:paraId="1F17E37E" w14:textId="77777777" w:rsidR="00364927" w:rsidRDefault="00364927" w:rsidP="0091382C">
      <w:pPr>
        <w:spacing w:after="0"/>
        <w:rPr>
          <w:rFonts w:ascii="Times New Roman" w:hAnsi="Times New Roman"/>
          <w:b/>
          <w:bCs/>
          <w:sz w:val="20"/>
          <w:szCs w:val="20"/>
          <w:lang w:val="en-MY" w:eastAsia="en-GB" w:bidi="ar-SA"/>
        </w:rPr>
      </w:pPr>
    </w:p>
    <w:p w14:paraId="1110ED63" w14:textId="77777777" w:rsidR="00364927" w:rsidRDefault="00364927" w:rsidP="0091382C">
      <w:pPr>
        <w:spacing w:after="0"/>
        <w:rPr>
          <w:rFonts w:ascii="Times New Roman" w:hAnsi="Times New Roman"/>
          <w:b/>
          <w:bCs/>
          <w:sz w:val="20"/>
          <w:szCs w:val="20"/>
          <w:lang w:val="en-MY" w:eastAsia="en-GB" w:bidi="ar-SA"/>
        </w:rPr>
      </w:pPr>
    </w:p>
    <w:p w14:paraId="453B7DC1" w14:textId="77777777" w:rsidR="00364927" w:rsidRDefault="00364927" w:rsidP="0091382C">
      <w:pPr>
        <w:spacing w:after="0"/>
        <w:rPr>
          <w:rFonts w:ascii="Times New Roman" w:hAnsi="Times New Roman"/>
          <w:b/>
          <w:bCs/>
          <w:sz w:val="20"/>
          <w:szCs w:val="20"/>
          <w:lang w:val="en-MY" w:eastAsia="en-GB" w:bidi="ar-SA"/>
        </w:rPr>
      </w:pPr>
    </w:p>
    <w:p w14:paraId="362CDD3A" w14:textId="77777777" w:rsidR="00364927" w:rsidRDefault="00364927" w:rsidP="0091382C">
      <w:pPr>
        <w:spacing w:after="0"/>
        <w:rPr>
          <w:rFonts w:ascii="Times New Roman" w:hAnsi="Times New Roman"/>
          <w:b/>
          <w:bCs/>
          <w:sz w:val="20"/>
          <w:szCs w:val="20"/>
          <w:lang w:val="en-MY" w:eastAsia="en-GB" w:bidi="ar-SA"/>
        </w:rPr>
      </w:pPr>
    </w:p>
    <w:p w14:paraId="3048DEA9" w14:textId="77777777" w:rsidR="00364927" w:rsidRDefault="00364927" w:rsidP="0091382C">
      <w:pPr>
        <w:spacing w:after="0"/>
        <w:rPr>
          <w:rFonts w:ascii="Times New Roman" w:hAnsi="Times New Roman"/>
          <w:b/>
          <w:bCs/>
          <w:sz w:val="20"/>
          <w:szCs w:val="20"/>
          <w:lang w:val="en-MY" w:eastAsia="en-GB" w:bidi="ar-SA"/>
        </w:rPr>
      </w:pPr>
    </w:p>
    <w:p w14:paraId="7A766E30" w14:textId="77777777" w:rsidR="00364927" w:rsidRDefault="00364927" w:rsidP="0091382C">
      <w:pPr>
        <w:spacing w:after="0"/>
        <w:rPr>
          <w:rFonts w:ascii="Times New Roman" w:hAnsi="Times New Roman"/>
          <w:b/>
          <w:bCs/>
          <w:sz w:val="20"/>
          <w:szCs w:val="20"/>
          <w:lang w:val="en-MY" w:eastAsia="en-GB" w:bidi="ar-SA"/>
        </w:rPr>
      </w:pPr>
    </w:p>
    <w:p w14:paraId="19A00891" w14:textId="77777777" w:rsidR="00364927" w:rsidRDefault="00364927" w:rsidP="0091382C">
      <w:pPr>
        <w:spacing w:after="0"/>
        <w:rPr>
          <w:rFonts w:ascii="Times New Roman" w:hAnsi="Times New Roman"/>
          <w:b/>
          <w:bCs/>
          <w:sz w:val="20"/>
          <w:szCs w:val="20"/>
          <w:lang w:val="en-MY" w:eastAsia="en-GB" w:bidi="ar-SA"/>
        </w:rPr>
      </w:pPr>
    </w:p>
    <w:p w14:paraId="53A157DC" w14:textId="77777777" w:rsidR="00364927" w:rsidRDefault="00364927" w:rsidP="0091382C">
      <w:pPr>
        <w:spacing w:after="0"/>
        <w:rPr>
          <w:rFonts w:ascii="Times New Roman" w:hAnsi="Times New Roman"/>
          <w:b/>
          <w:bCs/>
          <w:sz w:val="20"/>
          <w:szCs w:val="20"/>
          <w:lang w:val="en-MY" w:eastAsia="en-GB" w:bidi="ar-SA"/>
        </w:rPr>
      </w:pPr>
    </w:p>
    <w:p w14:paraId="78839D96" w14:textId="77777777" w:rsidR="00364927" w:rsidRDefault="00364927" w:rsidP="0091382C">
      <w:pPr>
        <w:spacing w:after="0"/>
        <w:rPr>
          <w:rFonts w:ascii="Times New Roman" w:hAnsi="Times New Roman"/>
          <w:b/>
          <w:bCs/>
          <w:sz w:val="20"/>
          <w:szCs w:val="20"/>
          <w:lang w:val="en-MY" w:eastAsia="en-GB" w:bidi="ar-SA"/>
        </w:rPr>
      </w:pPr>
    </w:p>
    <w:p w14:paraId="25F93159" w14:textId="77777777" w:rsidR="00364927" w:rsidRDefault="00364927" w:rsidP="0091382C">
      <w:pPr>
        <w:spacing w:after="0"/>
        <w:rPr>
          <w:rFonts w:ascii="Times New Roman" w:hAnsi="Times New Roman"/>
          <w:b/>
          <w:bCs/>
          <w:sz w:val="20"/>
          <w:szCs w:val="20"/>
          <w:lang w:val="en-MY" w:eastAsia="en-GB" w:bidi="ar-SA"/>
        </w:rPr>
      </w:pPr>
    </w:p>
    <w:p w14:paraId="2BF37C0B" w14:textId="77777777" w:rsidR="00364927" w:rsidRDefault="00364927" w:rsidP="0091382C">
      <w:pPr>
        <w:spacing w:after="0"/>
        <w:rPr>
          <w:rFonts w:ascii="Times New Roman" w:hAnsi="Times New Roman"/>
          <w:b/>
          <w:bCs/>
          <w:sz w:val="20"/>
          <w:szCs w:val="20"/>
          <w:lang w:val="en-MY" w:eastAsia="en-GB" w:bidi="ar-SA"/>
        </w:rPr>
      </w:pPr>
    </w:p>
    <w:p w14:paraId="5B5A4C93" w14:textId="77777777" w:rsidR="00364927" w:rsidRDefault="00364927" w:rsidP="0091382C">
      <w:pPr>
        <w:spacing w:after="0"/>
        <w:rPr>
          <w:rFonts w:ascii="Times New Roman" w:hAnsi="Times New Roman"/>
          <w:b/>
          <w:bCs/>
          <w:sz w:val="20"/>
          <w:szCs w:val="20"/>
          <w:lang w:val="en-MY" w:eastAsia="en-GB" w:bidi="ar-SA"/>
        </w:rPr>
      </w:pPr>
    </w:p>
    <w:p w14:paraId="3C3504AE" w14:textId="77777777" w:rsidR="00364927" w:rsidRDefault="00364927" w:rsidP="0091382C">
      <w:pPr>
        <w:spacing w:after="0"/>
        <w:rPr>
          <w:rFonts w:ascii="Times New Roman" w:hAnsi="Times New Roman"/>
          <w:b/>
          <w:bCs/>
          <w:sz w:val="20"/>
          <w:szCs w:val="20"/>
          <w:lang w:val="en-MY" w:eastAsia="en-GB" w:bidi="ar-SA"/>
        </w:rPr>
      </w:pPr>
    </w:p>
    <w:p w14:paraId="226B5EA0" w14:textId="77777777" w:rsidR="00364927" w:rsidRDefault="00364927" w:rsidP="0091382C">
      <w:pPr>
        <w:spacing w:after="0"/>
        <w:rPr>
          <w:rFonts w:ascii="Times New Roman" w:hAnsi="Times New Roman"/>
          <w:b/>
          <w:bCs/>
          <w:sz w:val="20"/>
          <w:szCs w:val="20"/>
          <w:lang w:val="en-MY" w:eastAsia="en-GB" w:bidi="ar-SA"/>
        </w:rPr>
      </w:pPr>
    </w:p>
    <w:p w14:paraId="575E7B07" w14:textId="77777777" w:rsidR="00364927" w:rsidRDefault="00364927" w:rsidP="0091382C">
      <w:pPr>
        <w:spacing w:after="0"/>
        <w:rPr>
          <w:rFonts w:ascii="Times New Roman" w:hAnsi="Times New Roman"/>
          <w:b/>
          <w:bCs/>
          <w:sz w:val="20"/>
          <w:szCs w:val="20"/>
          <w:lang w:val="en-MY" w:eastAsia="en-GB" w:bidi="ar-SA"/>
        </w:rPr>
      </w:pPr>
    </w:p>
    <w:p w14:paraId="20774930" w14:textId="77777777" w:rsidR="00364927" w:rsidRDefault="00364927" w:rsidP="0091382C">
      <w:pPr>
        <w:spacing w:after="0"/>
        <w:rPr>
          <w:rFonts w:ascii="Times New Roman" w:hAnsi="Times New Roman"/>
          <w:b/>
          <w:bCs/>
          <w:sz w:val="20"/>
          <w:szCs w:val="20"/>
          <w:lang w:val="en-MY" w:eastAsia="en-GB" w:bidi="ar-SA"/>
        </w:rPr>
      </w:pPr>
    </w:p>
    <w:p w14:paraId="6BA97DD9" w14:textId="77777777" w:rsidR="00364927" w:rsidRDefault="00364927" w:rsidP="0091382C">
      <w:pPr>
        <w:spacing w:after="0"/>
        <w:rPr>
          <w:rFonts w:ascii="Times New Roman" w:hAnsi="Times New Roman"/>
          <w:b/>
          <w:bCs/>
          <w:sz w:val="20"/>
          <w:szCs w:val="20"/>
          <w:lang w:val="en-MY" w:eastAsia="en-GB" w:bidi="ar-SA"/>
        </w:rPr>
      </w:pPr>
    </w:p>
    <w:p w14:paraId="29D5FE93" w14:textId="1B3F6F9C" w:rsidR="00364927" w:rsidRDefault="00364927" w:rsidP="0091382C">
      <w:pPr>
        <w:spacing w:after="0"/>
        <w:rPr>
          <w:rFonts w:ascii="Times New Roman" w:hAnsi="Times New Roman"/>
          <w:b/>
          <w:bCs/>
          <w:sz w:val="20"/>
          <w:szCs w:val="20"/>
          <w:lang w:val="en-MY" w:eastAsia="en-GB" w:bidi="ar-SA"/>
        </w:rPr>
        <w:sectPr w:rsidR="00364927" w:rsidSect="001D33F5">
          <w:type w:val="continuous"/>
          <w:pgSz w:w="12240" w:h="15840" w:code="1"/>
          <w:pgMar w:top="1800" w:right="1469" w:bottom="1699" w:left="1440" w:header="706" w:footer="706" w:gutter="0"/>
          <w:pgNumType w:start="1"/>
          <w:cols w:space="403"/>
          <w:docGrid w:linePitch="360"/>
        </w:sectPr>
      </w:pPr>
    </w:p>
    <w:p w14:paraId="27AEECA8" w14:textId="77777777" w:rsidR="00364927" w:rsidRDefault="00364927" w:rsidP="00364927">
      <w:pPr>
        <w:spacing w:after="0"/>
        <w:rPr>
          <w:rFonts w:ascii="Times New Roman" w:hAnsi="Times New Roman"/>
          <w:b/>
          <w:bCs/>
          <w:sz w:val="20"/>
          <w:szCs w:val="20"/>
          <w:lang w:val="en-MY" w:eastAsia="en-GB" w:bidi="ar-SA"/>
        </w:rPr>
      </w:pPr>
    </w:p>
    <w:p w14:paraId="7C87216A" w14:textId="77777777" w:rsidR="00364927" w:rsidRDefault="00364927" w:rsidP="00364927">
      <w:pPr>
        <w:spacing w:after="0"/>
        <w:rPr>
          <w:rFonts w:ascii="Times New Roman" w:hAnsi="Times New Roman"/>
          <w:b/>
          <w:bCs/>
          <w:sz w:val="20"/>
          <w:szCs w:val="20"/>
          <w:lang w:val="en-MY" w:eastAsia="en-GB" w:bidi="ar-SA"/>
        </w:rPr>
      </w:pPr>
    </w:p>
    <w:p w14:paraId="6381E2DD" w14:textId="7CB9BCA6" w:rsidR="002F3518" w:rsidRPr="002F3518" w:rsidRDefault="002F3518" w:rsidP="00364927">
      <w:pPr>
        <w:spacing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lastRenderedPageBreak/>
        <w:t>Stability and Reusability</w:t>
      </w:r>
    </w:p>
    <w:p w14:paraId="08E93605" w14:textId="77777777" w:rsidR="002F3518" w:rsidRPr="002F3518" w:rsidRDefault="002F3518" w:rsidP="002F3518">
      <w:pPr>
        <w:spacing w:after="0"/>
        <w:jc w:val="both"/>
        <w:rPr>
          <w:rFonts w:ascii="Times New Roman" w:hAnsi="Times New Roman"/>
          <w:sz w:val="20"/>
          <w:szCs w:val="20"/>
          <w:shd w:val="clear" w:color="auto" w:fill="FFFFFF"/>
          <w:lang w:val="en-MY" w:eastAsia="en-GB" w:bidi="ar-SA"/>
        </w:rPr>
      </w:pPr>
      <w:r w:rsidRPr="002F3518">
        <w:rPr>
          <w:rFonts w:ascii="Times New Roman" w:hAnsi="Times New Roman"/>
          <w:sz w:val="20"/>
          <w:szCs w:val="20"/>
          <w:lang w:val="en-MY" w:eastAsia="en-GB" w:bidi="ar-SA"/>
        </w:rPr>
        <w:t>The stability and reusability of the magnetite graphene nanocomposite are important aspects to be considered to avoid any loss of cost and energy. T</w:t>
      </w:r>
      <w:r w:rsidRPr="002F3518">
        <w:rPr>
          <w:rFonts w:ascii="Times New Roman" w:hAnsi="Times New Roman"/>
          <w:sz w:val="20"/>
          <w:szCs w:val="20"/>
          <w:shd w:val="clear" w:color="auto" w:fill="FFFFFF"/>
          <w:lang w:val="en-MY" w:eastAsia="en-GB" w:bidi="ar-SA"/>
        </w:rPr>
        <w:t>he magnetite graphene composite seems to be potential material to supplement the techniques in use due to particular characteristics such as selectivity, low building and storage cost, miniaturising potential, easy automaticity, and simple to build and portable apparatus.</w:t>
      </w:r>
    </w:p>
    <w:p w14:paraId="75CA0959" w14:textId="77777777" w:rsidR="002F3518" w:rsidRPr="002F3518" w:rsidRDefault="002F3518" w:rsidP="002F3518">
      <w:pPr>
        <w:spacing w:after="0"/>
        <w:jc w:val="both"/>
        <w:rPr>
          <w:rFonts w:ascii="Times New Roman" w:hAnsi="Times New Roman"/>
          <w:sz w:val="20"/>
          <w:szCs w:val="20"/>
          <w:shd w:val="clear" w:color="auto" w:fill="FFFFFF"/>
          <w:lang w:val="en-MY" w:eastAsia="en-GB" w:bidi="ar-SA"/>
        </w:rPr>
      </w:pPr>
    </w:p>
    <w:p w14:paraId="62D589A0"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For example, work using batteries application as described by Li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revealed that the capacity of the magnetite graphene composite was ~434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after 50 cycles which is still 61% of the initial capacity (709.6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[105]. Another work presented by Zhou </w:t>
      </w:r>
      <w:r w:rsidRPr="002F3518">
        <w:rPr>
          <w:rFonts w:ascii="Times New Roman" w:hAnsi="Times New Roman"/>
          <w:iCs/>
          <w:sz w:val="20"/>
          <w:szCs w:val="20"/>
          <w:lang w:val="en-MY" w:eastAsia="en-GB" w:bidi="ar-SA"/>
        </w:rPr>
        <w:t>et al.,</w:t>
      </w:r>
      <w:r w:rsidRPr="002F3518">
        <w:rPr>
          <w:rFonts w:ascii="Times New Roman" w:hAnsi="Times New Roman"/>
          <w:i/>
          <w:iCs/>
          <w:sz w:val="20"/>
          <w:szCs w:val="20"/>
          <w:lang w:val="en-MY" w:eastAsia="en-GB" w:bidi="ar-SA"/>
        </w:rPr>
        <w:t xml:space="preserve"> </w:t>
      </w:r>
      <w:r w:rsidRPr="002F3518">
        <w:rPr>
          <w:rFonts w:ascii="Times New Roman" w:hAnsi="Times New Roman"/>
          <w:sz w:val="20"/>
          <w:szCs w:val="20"/>
          <w:lang w:val="en-MY" w:eastAsia="en-GB" w:bidi="ar-SA"/>
        </w:rPr>
        <w:t>uses graphene wrapped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for anode materials in applying lithium-ion batteries. The charge capacity of the magnetite graphene remained at 950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from the initial capacity even after the 85</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which demonstrates the improvement of cycling stability of the composite. The Coulombic efficiency of the magnetite graphene after the second cycle remained close to 100% until the 30</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The magnetite graphene composite is also reported to exhibit an outstanding cyclic ability where it retains 91% of its initial capacity after 100 cycles when tested at a higher current density of 700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[106].</w:t>
      </w:r>
    </w:p>
    <w:p w14:paraId="350DA75A" w14:textId="77777777" w:rsidR="002F3518" w:rsidRPr="002F3518" w:rsidRDefault="002F3518" w:rsidP="002F3518">
      <w:pPr>
        <w:spacing w:after="0"/>
        <w:jc w:val="both"/>
        <w:rPr>
          <w:rFonts w:ascii="Times New Roman" w:hAnsi="Times New Roman"/>
          <w:sz w:val="20"/>
          <w:szCs w:val="20"/>
          <w:lang w:val="en-MY" w:eastAsia="en-GB" w:bidi="ar-SA"/>
        </w:rPr>
      </w:pPr>
    </w:p>
    <w:p w14:paraId="67D9F492"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Based on the work conducted by Guo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which used magnetite modified graphene for oxygen reduction reaction (ORR) of fuel cell application, the composites exhibited outstanding stability and a four-electron transfer pathway, suggesting the direct reduction of oxygen to water. The nanocomposite decorated graphene also displayed superior oxygen reduction reaction activity with a half-wave potential of 0.85 V and 0.97 V of the onset potential, where the value is higher than the commercial 20 wt% Pt/C electrode [107].</w:t>
      </w:r>
    </w:p>
    <w:p w14:paraId="2F886CD1" w14:textId="77777777" w:rsidR="002F3518" w:rsidRPr="002F3518" w:rsidRDefault="002F3518" w:rsidP="002F3518">
      <w:pPr>
        <w:spacing w:after="0"/>
        <w:jc w:val="both"/>
        <w:rPr>
          <w:rFonts w:ascii="Times New Roman" w:hAnsi="Times New Roman"/>
          <w:sz w:val="20"/>
          <w:szCs w:val="20"/>
          <w:lang w:val="en-MY" w:eastAsia="en-GB" w:bidi="ar-SA"/>
        </w:rPr>
      </w:pPr>
    </w:p>
    <w:p w14:paraId="1FC3575C"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On top of that, Vinodha </w:t>
      </w:r>
      <w:r w:rsidRPr="002F3518">
        <w:rPr>
          <w:rFonts w:ascii="Times New Roman" w:hAnsi="Times New Roman"/>
          <w:iCs/>
          <w:sz w:val="20"/>
          <w:szCs w:val="20"/>
          <w:lang w:val="en-MY" w:eastAsia="en-GB" w:bidi="ar-SA"/>
        </w:rPr>
        <w:t>et al</w:t>
      </w:r>
      <w:r w:rsidRPr="002F3518">
        <w:rPr>
          <w:rFonts w:ascii="Times New Roman" w:hAnsi="Times New Roman"/>
          <w:i/>
          <w:iCs/>
          <w:sz w:val="20"/>
          <w:szCs w:val="20"/>
          <w:lang w:val="en-MY" w:eastAsia="en-GB" w:bidi="ar-SA"/>
        </w:rPr>
        <w:t>.</w:t>
      </w:r>
      <w:r w:rsidRPr="002F3518">
        <w:rPr>
          <w:rFonts w:ascii="Times New Roman" w:hAnsi="Times New Roman"/>
          <w:sz w:val="20"/>
          <w:szCs w:val="20"/>
          <w:lang w:val="en-MY" w:eastAsia="en-GB" w:bidi="ar-SA"/>
        </w:rPr>
        <w:t xml:space="preserve"> also used magnetite graphene as an electrode modifier for detection of hydrazine, The stability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 were determined through the stability curves of the composite/GCE between the potential of negative 1 (-1) to positive 1 (+1) at a scan rate of 0.05 Vs</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in 0.1M PBS solution. </w:t>
      </w:r>
      <w:r w:rsidRPr="002F3518">
        <w:rPr>
          <w:rFonts w:ascii="Times New Roman" w:hAnsi="Times New Roman"/>
          <w:sz w:val="20"/>
          <w:szCs w:val="20"/>
          <w:lang w:val="en-MY" w:eastAsia="en-GB" w:bidi="ar-SA"/>
        </w:rPr>
        <w:t>The composites reached their stable form at 30th cycle after continuous cycle. The redox peak current density decreased evenly before the 30th cycle. Once the magnetite graphene composite reaches its stable form, the stability of the composite remains until the 35</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The reproducibility and reusability properties remained 95.16% from the original detection limit after a gap of 20 days of analysis [108, 109-111]. </w:t>
      </w:r>
    </w:p>
    <w:p w14:paraId="23FB1833" w14:textId="77777777" w:rsidR="002F3518" w:rsidRPr="002F3518" w:rsidRDefault="002F3518" w:rsidP="002F3518">
      <w:pPr>
        <w:spacing w:after="0"/>
        <w:jc w:val="both"/>
        <w:rPr>
          <w:rFonts w:ascii="Times New Roman" w:hAnsi="Times New Roman"/>
          <w:sz w:val="20"/>
          <w:szCs w:val="20"/>
          <w:lang w:val="en-MY" w:eastAsia="en-GB" w:bidi="ar-SA"/>
        </w:rPr>
      </w:pPr>
    </w:p>
    <w:p w14:paraId="72DC23B5"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Long term stability of magnetite graphene composite also has been reported by Ghasemi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which used the composite for supercapacitors application. The composite being tested for 500 cycles by repeating the charge/discharge test, and during the first 100 cycles, it is being observed that it is only a slight increase, and the composite remains 87% of the initial capacitance after 500 cycles and only 3% decay in the capacitance [89,111-114].</w:t>
      </w:r>
    </w:p>
    <w:p w14:paraId="0252C607" w14:textId="77777777" w:rsidR="002F3518" w:rsidRPr="002F3518" w:rsidRDefault="002F3518" w:rsidP="002F3518">
      <w:pPr>
        <w:spacing w:after="0"/>
        <w:jc w:val="both"/>
        <w:rPr>
          <w:rFonts w:ascii="Times New Roman" w:hAnsi="Times New Roman"/>
          <w:sz w:val="20"/>
          <w:szCs w:val="20"/>
          <w:lang w:val="en-MY" w:eastAsia="en-GB" w:bidi="ar-SA"/>
        </w:rPr>
      </w:pPr>
    </w:p>
    <w:p w14:paraId="3C83A3FB"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Future Perspectives</w:t>
      </w:r>
    </w:p>
    <w:p w14:paraId="213698D3"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nanoparticles decorated on graphene sheets require comprehensive understanding both theoretically and experimentally. To improve this aspect, researchers are encouraged to use advanced physical characterisation techniques to deeply comprehend the control of the iron oxide nanoparticles' shape, size, crystallinity, distribution, and phase composition onto the graphene sheets. It is recommended to study the electrocatalytic efficiency of the nanocomposite towards ORR that can be further analysed using RDE and RRDE voltammetry techniques, where exposure to hydrodynamic effect and kinetic parameter will be obtained. The synthesis and production of high-quality graphene sheets also need extra attention. The in-situ production may lead to several defects and low purity of product as the core is graphene before magnetite is embedded into the sheets. Small-scale consumption of the nanocomposite in the electrochemical field can be enhanced into big-scale production, which can be used in energy generation plants as a primary source of renewable energy. The appropriate storage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/rGO is vital to avoid any contamination towards the sample or oxidation process to maghemite or hematite. The nanocomposite can be used extensively in other fields other than energy production, such as biomedical imaging, wastewater treatment, or water </w:t>
      </w:r>
      <w:r w:rsidRPr="002F3518">
        <w:rPr>
          <w:rFonts w:ascii="Times New Roman" w:hAnsi="Times New Roman"/>
          <w:sz w:val="20"/>
          <w:szCs w:val="20"/>
          <w:lang w:val="en-MY" w:eastAsia="en-GB" w:bidi="ar-SA"/>
        </w:rPr>
        <w:lastRenderedPageBreak/>
        <w:t>pollution removal. The properties of the nanocomposite might boost and give better-targeted yield throughout applications. Magnetic graphene can be further studied for its usage in human body for bone regeneration surgery treatment. The nanocomposite can be further modified with the addition of different, non-metallic nanoparticles to prolong the lifetime of the nanocomposite and give an increase in surface area and added exceptional properties.</w:t>
      </w:r>
    </w:p>
    <w:p w14:paraId="46918974" w14:textId="77777777" w:rsidR="002F3518" w:rsidRPr="002F3518" w:rsidRDefault="002F3518" w:rsidP="002F3518">
      <w:pPr>
        <w:spacing w:after="0"/>
        <w:jc w:val="both"/>
        <w:rPr>
          <w:rFonts w:ascii="Times New Roman" w:hAnsi="Times New Roman"/>
          <w:b/>
          <w:sz w:val="20"/>
          <w:szCs w:val="20"/>
          <w:lang w:val="en-MY" w:eastAsia="en-GB" w:bidi="ar-SA"/>
        </w:rPr>
      </w:pPr>
    </w:p>
    <w:p w14:paraId="585306D3" w14:textId="77777777" w:rsidR="002F3518" w:rsidRPr="002F3518" w:rsidRDefault="002F3518" w:rsidP="002F3518">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Conclusion</w:t>
      </w:r>
    </w:p>
    <w:p w14:paraId="0439A4C6"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Most of the process to synthesise magnetic graphene oxide is environmentally friendly, obeying the green chemistry rule. Graphene oxide is used as a unique and excellent material in the research field. Magnetic compound integration into GO strengthens the nanocomposite with more active sites and a larger surface area. A various alternative has been found recently to overcome the dependency of fossil fuels that will deplete sooner in the current rate of usage. Fuel cell is the brainchild of scientists who have a more excellent prospect in future; however, not favoured due to high costs due to the requirement of expensive materials such as platinum for generation of energy. Small scale energy production such as batteries improved its efficiency by the usage of magnetite graphene oxide nanocomposite. In corrosion, the nanocomposite layer proved to be better in protecting metal surfaces. Use of magnetite graphene oxide nanocomposite also improvises any gadgets and instruments applied. The simple method of production that obeys the green chemistry rules makes the production of the nanocomposite is safer and can be done at low cost. This is important as it is beneficial to industries and developing countries to cut-cost of energy production mainly. The material would be the most applied compound in wider fields in the future.    </w:t>
      </w:r>
    </w:p>
    <w:p w14:paraId="3272E46C" w14:textId="77777777" w:rsidR="002F3518" w:rsidRPr="002F3518" w:rsidRDefault="002F3518" w:rsidP="002F3518">
      <w:pPr>
        <w:spacing w:after="0"/>
        <w:rPr>
          <w:rFonts w:ascii="Times New Roman" w:hAnsi="Times New Roman"/>
          <w:b/>
          <w:bCs/>
          <w:sz w:val="20"/>
          <w:szCs w:val="20"/>
          <w:lang w:val="en-MY" w:eastAsia="en-GB" w:bidi="ar-SA"/>
        </w:rPr>
      </w:pPr>
    </w:p>
    <w:p w14:paraId="7CB1C851"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Acknowledgement</w:t>
      </w:r>
    </w:p>
    <w:p w14:paraId="4B5EB766" w14:textId="77777777" w:rsidR="002F3518" w:rsidRPr="002F3518" w:rsidRDefault="002F3518" w:rsidP="002F3518">
      <w:pPr>
        <w:spacing w:after="0"/>
        <w:jc w:val="both"/>
        <w:rPr>
          <w:rFonts w:ascii="Times New Roman" w:hAnsi="Times New Roman"/>
          <w:bCs/>
          <w:sz w:val="20"/>
          <w:szCs w:val="20"/>
          <w:lang w:eastAsia="en-GB" w:bidi="ar-SA"/>
        </w:rPr>
      </w:pPr>
      <w:r w:rsidRPr="002F3518">
        <w:rPr>
          <w:rFonts w:ascii="Times New Roman" w:hAnsi="Times New Roman"/>
          <w:bCs/>
          <w:sz w:val="20"/>
          <w:szCs w:val="20"/>
          <w:lang w:eastAsia="en-GB" w:bidi="ar-SA"/>
        </w:rPr>
        <w:t>The authors are grateful to the Ministry of Higher Education Fundamental Research Grant Scheme (</w:t>
      </w:r>
      <w:r w:rsidRPr="002F3518">
        <w:rPr>
          <w:rFonts w:ascii="Times New Roman" w:hAnsi="Times New Roman"/>
          <w:bCs/>
          <w:sz w:val="20"/>
          <w:szCs w:val="20"/>
          <w:lang w:val="en-MY" w:eastAsia="en-GB" w:bidi="ar-SA"/>
        </w:rPr>
        <w:t xml:space="preserve">FRGS/1/2021/STG04/UMT/02/1) and Universiti Malaysia Terengganu </w:t>
      </w:r>
      <w:r w:rsidRPr="002F3518">
        <w:rPr>
          <w:rFonts w:ascii="Times New Roman" w:hAnsi="Times New Roman"/>
          <w:bCs/>
          <w:sz w:val="20"/>
          <w:szCs w:val="20"/>
          <w:lang w:eastAsia="en-GB" w:bidi="ar-SA"/>
        </w:rPr>
        <w:t xml:space="preserve">for financial support and providing facilities for undertaking this research. </w:t>
      </w:r>
    </w:p>
    <w:p w14:paraId="0BAE9428" w14:textId="77777777" w:rsidR="002F3518" w:rsidRPr="002F3518" w:rsidRDefault="002F3518" w:rsidP="002F3518">
      <w:pPr>
        <w:spacing w:after="0"/>
        <w:jc w:val="both"/>
        <w:rPr>
          <w:rFonts w:ascii="Times New Roman" w:hAnsi="Times New Roman"/>
          <w:b/>
          <w:sz w:val="20"/>
          <w:szCs w:val="20"/>
          <w:lang w:val="en-MY" w:eastAsia="en-GB" w:bidi="ar-SA"/>
        </w:rPr>
      </w:pPr>
    </w:p>
    <w:p w14:paraId="33FF72CC" w14:textId="77777777" w:rsidR="00C045B9" w:rsidRDefault="00C045B9" w:rsidP="002F3518">
      <w:pPr>
        <w:spacing w:after="0"/>
        <w:jc w:val="center"/>
        <w:rPr>
          <w:rFonts w:ascii="Times New Roman" w:hAnsi="Times New Roman"/>
          <w:b/>
          <w:sz w:val="20"/>
          <w:szCs w:val="20"/>
          <w:lang w:val="en-MY" w:eastAsia="en-GB" w:bidi="ar-SA"/>
        </w:rPr>
      </w:pPr>
    </w:p>
    <w:p w14:paraId="43767CAD" w14:textId="69E3D3FF" w:rsidR="002F3518" w:rsidRPr="002F3518" w:rsidRDefault="002F3518" w:rsidP="002F3518">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References</w:t>
      </w:r>
    </w:p>
    <w:p w14:paraId="3399D0E4"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fr-FR" w:eastAsia="en-GB" w:bidi="ar-SA"/>
        </w:rPr>
        <w:t xml:space="preserve">Ramachandran, R., Chen, T. W., Chen, S. M., Baskar, T., Kannan, R., Elumalai, P., ... and </w:t>
      </w:r>
      <w:r w:rsidRPr="002F3518">
        <w:rPr>
          <w:rFonts w:ascii="Times New Roman" w:hAnsi="Times New Roman"/>
          <w:sz w:val="20"/>
          <w:szCs w:val="20"/>
          <w:lang w:val="en-MY" w:eastAsia="en-GB" w:bidi="ar-SA"/>
        </w:rPr>
        <w:t xml:space="preserve">Dinakaran, K. (2019). A review of the advanced developments of electrochemical sensors for the detection of toxic and bioactive molecules. </w:t>
      </w:r>
      <w:r w:rsidRPr="002F3518">
        <w:rPr>
          <w:rFonts w:ascii="Times New Roman" w:hAnsi="Times New Roman"/>
          <w:i/>
          <w:iCs/>
          <w:sz w:val="20"/>
          <w:szCs w:val="20"/>
          <w:lang w:val="en-MY" w:eastAsia="en-GB" w:bidi="ar-SA"/>
        </w:rPr>
        <w:t>Inorganic Chemistry Frontier</w:t>
      </w:r>
      <w:r w:rsidRPr="002F3518">
        <w:rPr>
          <w:rFonts w:ascii="Times New Roman" w:hAnsi="Times New Roman"/>
          <w:sz w:val="20"/>
          <w:szCs w:val="20"/>
          <w:lang w:val="en-MY" w:eastAsia="en-GB" w:bidi="ar-SA"/>
        </w:rPr>
        <w:t xml:space="preserve">, </w:t>
      </w:r>
      <w:r w:rsidRPr="002F3518">
        <w:rPr>
          <w:rFonts w:ascii="Times New Roman" w:hAnsi="Times New Roman"/>
          <w:i/>
          <w:iCs/>
          <w:sz w:val="20"/>
          <w:szCs w:val="20"/>
          <w:lang w:val="en-MY" w:eastAsia="en-GB" w:bidi="ar-SA"/>
        </w:rPr>
        <w:t>6</w:t>
      </w:r>
      <w:r w:rsidRPr="002F3518">
        <w:rPr>
          <w:rFonts w:ascii="Times New Roman" w:hAnsi="Times New Roman"/>
          <w:sz w:val="20"/>
          <w:szCs w:val="20"/>
          <w:lang w:val="en-MY" w:eastAsia="en-GB" w:bidi="ar-SA"/>
        </w:rPr>
        <w:t>(12): 3418-3439.</w:t>
      </w:r>
      <w:r w:rsidRPr="002F3518">
        <w:rPr>
          <w:rFonts w:ascii="Times New Roman" w:hAnsi="Times New Roman"/>
          <w:sz w:val="20"/>
          <w:szCs w:val="20"/>
          <w:lang w:eastAsia="en-GB" w:bidi="ar-SA"/>
        </w:rPr>
        <w:t xml:space="preserve"> </w:t>
      </w:r>
    </w:p>
    <w:p w14:paraId="2EEF7EB7"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Wang, G., Chen, J., Ding, Y., Cai, P., Yi, L., Li, Y., and Dai, L. (2021). Electrocatalysis for CO</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 xml:space="preserve"> conversion: from fundamentals to value-added products. </w:t>
      </w:r>
      <w:r w:rsidRPr="002F3518">
        <w:rPr>
          <w:rFonts w:ascii="Times New Roman" w:hAnsi="Times New Roman"/>
          <w:i/>
          <w:iCs/>
          <w:sz w:val="20"/>
          <w:szCs w:val="20"/>
          <w:lang w:val="en-MY" w:eastAsia="en-GB" w:bidi="ar-SA"/>
        </w:rPr>
        <w:t>Chemical Society Reviews</w:t>
      </w:r>
      <w:r w:rsidRPr="002F3518">
        <w:rPr>
          <w:rFonts w:ascii="Times New Roman" w:hAnsi="Times New Roman"/>
          <w:sz w:val="20"/>
          <w:szCs w:val="20"/>
          <w:lang w:val="en-MY" w:eastAsia="en-GB" w:bidi="ar-SA"/>
        </w:rPr>
        <w:t>, 50(8): 4993-5061.</w:t>
      </w:r>
    </w:p>
    <w:p w14:paraId="34DCFBB0"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Khan, W., Singh, A. K., Naseem, S., Husain, S., Shoeb, M. and Nadeem, M. (2018). Synthesis and magnetic dispersibility of magnetite decorated reduced graphene oxide. </w:t>
      </w:r>
      <w:r w:rsidRPr="002F3518">
        <w:rPr>
          <w:rFonts w:ascii="Times New Roman" w:hAnsi="Times New Roman"/>
          <w:i/>
          <w:iCs/>
          <w:sz w:val="20"/>
          <w:szCs w:val="20"/>
          <w:lang w:val="en-MY" w:eastAsia="en-GB" w:bidi="ar-SA"/>
        </w:rPr>
        <w:t>Nano-structures &amp; Nano-objects</w:t>
      </w:r>
      <w:r w:rsidRPr="002F3518">
        <w:rPr>
          <w:rFonts w:ascii="Times New Roman" w:hAnsi="Times New Roman"/>
          <w:sz w:val="20"/>
          <w:szCs w:val="20"/>
          <w:lang w:val="en-MY" w:eastAsia="en-GB" w:bidi="ar-SA"/>
        </w:rPr>
        <w:t>, 16: 180-184.</w:t>
      </w:r>
      <w:r w:rsidRPr="002F3518">
        <w:rPr>
          <w:rFonts w:ascii="Times New Roman" w:hAnsi="Times New Roman"/>
          <w:sz w:val="20"/>
          <w:szCs w:val="20"/>
          <w:lang w:eastAsia="en-GB" w:bidi="ar-SA"/>
        </w:rPr>
        <w:t xml:space="preserve"> </w:t>
      </w:r>
    </w:p>
    <w:p w14:paraId="1CB0542C"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Jin, C., Feng, G., Linghu, W., Zhang, L., Shen, R., Hu, J., ... and Sheng, J. (2018). Decontamination performance of magnetic graphene oxide towards nickel ions and its underlying mechanism investigation by XAFS. </w:t>
      </w:r>
      <w:r w:rsidRPr="002F3518">
        <w:rPr>
          <w:rFonts w:ascii="Times New Roman" w:hAnsi="Times New Roman"/>
          <w:i/>
          <w:iCs/>
          <w:sz w:val="20"/>
          <w:szCs w:val="20"/>
          <w:lang w:val="en-MY" w:eastAsia="en-GB" w:bidi="ar-SA"/>
        </w:rPr>
        <w:t>Journal Molecular Liquids</w:t>
      </w:r>
      <w:r w:rsidRPr="002F3518">
        <w:rPr>
          <w:rFonts w:ascii="Times New Roman" w:hAnsi="Times New Roman"/>
          <w:sz w:val="20"/>
          <w:szCs w:val="20"/>
          <w:lang w:val="en-MY" w:eastAsia="en-GB" w:bidi="ar-SA"/>
        </w:rPr>
        <w:t>, 258: 48-56.</w:t>
      </w:r>
    </w:p>
    <w:p w14:paraId="3399EF88"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Li, S., Duan, Y., Teng, Y., Fan, N. and Huo, Y. (2019). MOF-derived tremelliform Co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/NiO/Mn</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 xml:space="preserve">3 </w:t>
      </w:r>
      <w:r w:rsidRPr="002F3518">
        <w:rPr>
          <w:rFonts w:ascii="Times New Roman" w:hAnsi="Times New Roman"/>
          <w:sz w:val="20"/>
          <w:szCs w:val="20"/>
          <w:lang w:val="en-MY" w:eastAsia="en-GB" w:bidi="ar-SA"/>
        </w:rPr>
        <w:t xml:space="preserve">with excellent capacitive performance. </w:t>
      </w:r>
      <w:r w:rsidRPr="002F3518">
        <w:rPr>
          <w:rFonts w:ascii="Times New Roman" w:hAnsi="Times New Roman"/>
          <w:i/>
          <w:iCs/>
          <w:sz w:val="20"/>
          <w:szCs w:val="20"/>
          <w:lang w:val="en-MY" w:eastAsia="en-GB" w:bidi="ar-SA"/>
        </w:rPr>
        <w:t>Applied Surface Sciences</w:t>
      </w:r>
      <w:r w:rsidRPr="002F3518">
        <w:rPr>
          <w:rFonts w:ascii="Times New Roman" w:hAnsi="Times New Roman"/>
          <w:sz w:val="20"/>
          <w:szCs w:val="20"/>
          <w:lang w:val="en-MY" w:eastAsia="en-GB" w:bidi="ar-SA"/>
        </w:rPr>
        <w:t>, 478: 247-254.</w:t>
      </w:r>
    </w:p>
    <w:p w14:paraId="3386FC30"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Yuan, R., Yuan, J., Wu, Y., Chen, L., Zhou, H. and Chen, J. (2017). Efficient synthesis of graphene oxide and the mechanisms of oxidation and exfoliation. </w:t>
      </w:r>
      <w:r w:rsidRPr="002F3518">
        <w:rPr>
          <w:rFonts w:ascii="Times New Roman" w:hAnsi="Times New Roman"/>
          <w:i/>
          <w:iCs/>
          <w:sz w:val="20"/>
          <w:szCs w:val="20"/>
          <w:lang w:val="en-MY" w:eastAsia="en-GB" w:bidi="ar-SA"/>
        </w:rPr>
        <w:t>Applied Surface Sciences</w:t>
      </w:r>
      <w:r w:rsidRPr="002F3518">
        <w:rPr>
          <w:rFonts w:ascii="Times New Roman" w:hAnsi="Times New Roman"/>
          <w:sz w:val="20"/>
          <w:szCs w:val="20"/>
          <w:lang w:val="en-MY" w:eastAsia="en-GB" w:bidi="ar-SA"/>
        </w:rPr>
        <w:t>, 416: 868-877.</w:t>
      </w:r>
    </w:p>
    <w:p w14:paraId="5C8597BA"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Lakshmi, K. B., Kumar, K. A., Reddy, J. V. and Sugunamma, V. (2019). Influence of nonlinear radiation and cross diffusion on MHD flow of Casson and Walters-B nanofluids past a variable thickness sheet. </w:t>
      </w:r>
      <w:r w:rsidRPr="002F3518">
        <w:rPr>
          <w:rFonts w:ascii="Times New Roman" w:hAnsi="Times New Roman"/>
          <w:i/>
          <w:iCs/>
          <w:sz w:val="20"/>
          <w:szCs w:val="20"/>
          <w:lang w:val="en-MY" w:eastAsia="en-GB" w:bidi="ar-SA"/>
        </w:rPr>
        <w:t>Journal Nanofluids</w:t>
      </w:r>
      <w:r w:rsidRPr="002F3518">
        <w:rPr>
          <w:rFonts w:ascii="Times New Roman" w:hAnsi="Times New Roman"/>
          <w:sz w:val="20"/>
          <w:szCs w:val="20"/>
          <w:lang w:val="en-MY" w:eastAsia="en-GB" w:bidi="ar-SA"/>
        </w:rPr>
        <w:t xml:space="preserve">, </w:t>
      </w:r>
      <w:r w:rsidRPr="002F3518">
        <w:rPr>
          <w:rFonts w:ascii="Times New Roman" w:hAnsi="Times New Roman"/>
          <w:i/>
          <w:iCs/>
          <w:sz w:val="20"/>
          <w:szCs w:val="20"/>
          <w:lang w:val="en-MY" w:eastAsia="en-GB" w:bidi="ar-SA"/>
        </w:rPr>
        <w:t>8</w:t>
      </w:r>
      <w:r w:rsidRPr="002F3518">
        <w:rPr>
          <w:rFonts w:ascii="Times New Roman" w:hAnsi="Times New Roman"/>
          <w:sz w:val="20"/>
          <w:szCs w:val="20"/>
          <w:lang w:val="en-MY" w:eastAsia="en-GB" w:bidi="ar-SA"/>
        </w:rPr>
        <w:t>(1): 73-83.</w:t>
      </w:r>
    </w:p>
    <w:p w14:paraId="630B2D8A" w14:textId="77777777" w:rsidR="00780D9D" w:rsidRDefault="002F3518" w:rsidP="00C045B9">
      <w:pPr>
        <w:numPr>
          <w:ilvl w:val="0"/>
          <w:numId w:val="4"/>
        </w:numPr>
        <w:spacing w:after="0"/>
        <w:ind w:left="446" w:hanging="360"/>
        <w:contextualSpacing/>
        <w:jc w:val="both"/>
        <w:rPr>
          <w:rFonts w:ascii="Times New Roman" w:hAnsi="Times New Roman"/>
          <w:sz w:val="20"/>
          <w:szCs w:val="20"/>
          <w:lang w:val="en-MY" w:eastAsia="en-GB" w:bidi="ar-SA"/>
        </w:rPr>
        <w:sectPr w:rsidR="00780D9D" w:rsidSect="00C045B9">
          <w:type w:val="continuous"/>
          <w:pgSz w:w="12240" w:h="15840" w:code="1"/>
          <w:pgMar w:top="1800" w:right="1469" w:bottom="1699" w:left="1440" w:header="706" w:footer="706" w:gutter="0"/>
          <w:pgNumType w:start="1"/>
          <w:cols w:num="2" w:space="403"/>
          <w:docGrid w:linePitch="360"/>
        </w:sectPr>
      </w:pPr>
      <w:r w:rsidRPr="002F3518">
        <w:rPr>
          <w:rFonts w:ascii="Times New Roman" w:hAnsi="Times New Roman"/>
          <w:sz w:val="20"/>
          <w:szCs w:val="20"/>
          <w:lang w:val="en-MY" w:eastAsia="en-GB" w:bidi="ar-SA"/>
        </w:rPr>
        <w:t xml:space="preserve">Jiao, X., Zhang, L., Qiu, Y. and Guan, J. (2017). Comparison of the adsorption of cationic blue onto graphene oxides prepared from natural graphites with different graphitisation degrees. </w:t>
      </w:r>
      <w:r w:rsidRPr="002F3518">
        <w:rPr>
          <w:rFonts w:ascii="Times New Roman" w:hAnsi="Times New Roman"/>
          <w:i/>
          <w:iCs/>
          <w:sz w:val="20"/>
          <w:szCs w:val="20"/>
          <w:lang w:val="en-MY" w:eastAsia="en-GB" w:bidi="ar-SA"/>
        </w:rPr>
        <w:t>Colloids and Surface A: Physicochemical and Eng. Aspects</w:t>
      </w:r>
      <w:r w:rsidRPr="002F3518">
        <w:rPr>
          <w:rFonts w:ascii="Times New Roman" w:hAnsi="Times New Roman"/>
          <w:sz w:val="20"/>
          <w:szCs w:val="20"/>
          <w:lang w:val="en-MY" w:eastAsia="en-GB" w:bidi="ar-SA"/>
        </w:rPr>
        <w:t>, 529: 292-301.</w:t>
      </w:r>
    </w:p>
    <w:p w14:paraId="0C1A8FB1" w14:textId="3EDEF414" w:rsidR="002F3518" w:rsidRDefault="002F3518" w:rsidP="00780D9D">
      <w:pPr>
        <w:spacing w:after="0"/>
        <w:contextualSpacing/>
        <w:jc w:val="both"/>
        <w:rPr>
          <w:rFonts w:ascii="Times New Roman" w:hAnsi="Times New Roman"/>
          <w:sz w:val="20"/>
          <w:szCs w:val="20"/>
          <w:lang w:eastAsia="en-GB" w:bidi="ar-SA"/>
        </w:rPr>
      </w:pPr>
    </w:p>
    <w:p w14:paraId="0A468128" w14:textId="4DD57F7F" w:rsidR="00780D9D" w:rsidRDefault="00780D9D" w:rsidP="00780D9D">
      <w:pPr>
        <w:spacing w:after="0"/>
        <w:contextualSpacing/>
        <w:jc w:val="both"/>
        <w:rPr>
          <w:rFonts w:ascii="Times New Roman" w:hAnsi="Times New Roman"/>
          <w:sz w:val="20"/>
          <w:szCs w:val="20"/>
          <w:lang w:eastAsia="en-GB" w:bidi="ar-SA"/>
        </w:rPr>
      </w:pPr>
    </w:p>
    <w:p w14:paraId="720739F6"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lastRenderedPageBreak/>
        <w:t xml:space="preserve">D'Souza, A., Yoon, J. H., Beaman, H., Gosavi, P., Lengyel-Zhand, Z., Sternisha, A. and Makhlynets, O. V. (2020). Nine-residue peptide self-assembles in the presence of silver to produce a self-healing, cytocompatible, antimicrobial hydrogel. </w:t>
      </w:r>
      <w:r w:rsidRPr="002F3518">
        <w:rPr>
          <w:rFonts w:ascii="Times New Roman" w:hAnsi="Times New Roman"/>
          <w:i/>
          <w:iCs/>
          <w:sz w:val="20"/>
          <w:szCs w:val="20"/>
          <w:lang w:val="en-MY" w:eastAsia="en-GB" w:bidi="ar-SA"/>
        </w:rPr>
        <w:t>ACS Applied Materials &amp; Interfaces</w:t>
      </w:r>
      <w:r w:rsidRPr="002F3518">
        <w:rPr>
          <w:rFonts w:ascii="Times New Roman" w:hAnsi="Times New Roman"/>
          <w:sz w:val="20"/>
          <w:szCs w:val="20"/>
          <w:lang w:val="en-MY" w:eastAsia="en-GB" w:bidi="ar-SA"/>
        </w:rPr>
        <w:t>, 12(14): 17091-17099.</w:t>
      </w:r>
    </w:p>
    <w:p w14:paraId="1A478935"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Ansari, M. O., Gauthaman, K., Essa, A., Bencherif, S. A. and Memic, A. (2019). Graphene and graphene-based materials in biomedical applications. </w:t>
      </w:r>
      <w:r w:rsidRPr="002F3518">
        <w:rPr>
          <w:rFonts w:ascii="Times New Roman" w:hAnsi="Times New Roman"/>
          <w:i/>
          <w:iCs/>
          <w:sz w:val="20"/>
          <w:szCs w:val="20"/>
          <w:lang w:val="en-MY" w:eastAsia="en-GB" w:bidi="ar-SA"/>
        </w:rPr>
        <w:t>Current Medical Chemistry,</w:t>
      </w:r>
      <w:r w:rsidRPr="002F3518">
        <w:rPr>
          <w:rFonts w:ascii="Times New Roman" w:hAnsi="Times New Roman"/>
          <w:sz w:val="20"/>
          <w:szCs w:val="20"/>
          <w:lang w:val="en-MY" w:eastAsia="en-GB" w:bidi="ar-SA"/>
        </w:rPr>
        <w:t xml:space="preserve"> 26(38): 6834-6850.</w:t>
      </w:r>
    </w:p>
    <w:p w14:paraId="45676D07"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Smith, A. T., LaChance, A. M., Zeng, S. and Sun, L. (2019). Synthesis, properties, and applications of graphene oxide/reduced graphene oxide and their nanocomposites. </w:t>
      </w:r>
      <w:r w:rsidRPr="002F3518">
        <w:rPr>
          <w:rFonts w:ascii="Times New Roman" w:hAnsi="Times New Roman"/>
          <w:i/>
          <w:iCs/>
          <w:sz w:val="20"/>
          <w:szCs w:val="20"/>
          <w:lang w:val="en-MY" w:eastAsia="en-GB" w:bidi="ar-SA"/>
        </w:rPr>
        <w:t>Nano Materials Sciences,</w:t>
      </w:r>
      <w:r w:rsidRPr="002F3518">
        <w:rPr>
          <w:rFonts w:ascii="Times New Roman" w:hAnsi="Times New Roman"/>
          <w:sz w:val="20"/>
          <w:szCs w:val="20"/>
          <w:lang w:val="en-MY" w:eastAsia="en-GB" w:bidi="ar-SA"/>
        </w:rPr>
        <w:t xml:space="preserve"> 1(1): 31-47.</w:t>
      </w:r>
    </w:p>
    <w:p w14:paraId="2BCE76EB"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Suresh, K. and Yusoff, F. (2020). Thermal stability and porosity of reduced graphene oxide/zinc oxide nanoparticles and their capacity as a potential oxygen reduction electrocatalyst. </w:t>
      </w:r>
      <w:r w:rsidRPr="002F3518">
        <w:rPr>
          <w:rFonts w:ascii="Times New Roman" w:hAnsi="Times New Roman"/>
          <w:i/>
          <w:iCs/>
          <w:sz w:val="20"/>
          <w:szCs w:val="20"/>
          <w:lang w:val="en-MY" w:eastAsia="en-GB" w:bidi="ar-SA"/>
        </w:rPr>
        <w:t>Malaysian Journal Analytical Sciences</w:t>
      </w:r>
      <w:r w:rsidRPr="002F3518">
        <w:rPr>
          <w:rFonts w:ascii="Times New Roman" w:hAnsi="Times New Roman"/>
          <w:sz w:val="20"/>
          <w:szCs w:val="20"/>
          <w:lang w:val="en-MY" w:eastAsia="en-GB" w:bidi="ar-SA"/>
        </w:rPr>
        <w:t>, 24(3): 405-412.</w:t>
      </w:r>
    </w:p>
    <w:p w14:paraId="2AB4D2E4"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Hussain, S., Kongi, N., Treshchalov, A., Kahro, T., Rähn, M., Merisalu, M., ... and Tammeveski, K. (2021). Enhanced oxygen reduction reaction activity and durability of Pt nanoparticles deposited on graphene-coated alumina nanofibres. </w:t>
      </w:r>
      <w:r w:rsidRPr="002F3518">
        <w:rPr>
          <w:rFonts w:ascii="Times New Roman" w:hAnsi="Times New Roman"/>
          <w:i/>
          <w:iCs/>
          <w:sz w:val="20"/>
          <w:szCs w:val="20"/>
          <w:lang w:val="en-MY" w:eastAsia="en-GB" w:bidi="ar-SA"/>
        </w:rPr>
        <w:t>Nanoscale Advances</w:t>
      </w:r>
      <w:r w:rsidRPr="002F3518">
        <w:rPr>
          <w:rFonts w:ascii="Times New Roman" w:hAnsi="Times New Roman"/>
          <w:sz w:val="20"/>
          <w:szCs w:val="20"/>
          <w:lang w:val="en-MY" w:eastAsia="en-GB" w:bidi="ar-SA"/>
        </w:rPr>
        <w:t>, 3(8): 2261-2268.</w:t>
      </w:r>
    </w:p>
    <w:p w14:paraId="760B2D2C"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Park, S. K., Sure, J., Vishnu, D., Jo, S. J., Lee, W. C., Ahmad, I. A. and Kim, H. K. (2021). Nano-Fe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/carbon nanotubes composites by one-pot microwave solvothermal method for supercapacitor applications. </w:t>
      </w:r>
      <w:r w:rsidRPr="002F3518">
        <w:rPr>
          <w:rFonts w:ascii="Times New Roman" w:hAnsi="Times New Roman"/>
          <w:i/>
          <w:iCs/>
          <w:sz w:val="20"/>
          <w:szCs w:val="20"/>
          <w:lang w:val="en-MY" w:eastAsia="en-GB" w:bidi="ar-SA"/>
        </w:rPr>
        <w:t>Energies</w:t>
      </w:r>
      <w:r w:rsidRPr="002F3518">
        <w:rPr>
          <w:rFonts w:ascii="Times New Roman" w:hAnsi="Times New Roman"/>
          <w:sz w:val="20"/>
          <w:szCs w:val="20"/>
          <w:lang w:val="en-MY" w:eastAsia="en-GB" w:bidi="ar-SA"/>
        </w:rPr>
        <w:t>, 14(10): 2908.</w:t>
      </w:r>
    </w:p>
    <w:p w14:paraId="25D0E19B"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He, B. and Li, J. (2019). A sensitive electrochemical sensor based on reduced graphene oxide/Fe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nanorod composites for detection of nitrofurantoin and its metabolite. </w:t>
      </w:r>
      <w:r w:rsidRPr="002F3518">
        <w:rPr>
          <w:rFonts w:ascii="Times New Roman" w:hAnsi="Times New Roman"/>
          <w:i/>
          <w:iCs/>
          <w:sz w:val="20"/>
          <w:szCs w:val="20"/>
          <w:lang w:val="en-MY" w:eastAsia="en-GB" w:bidi="ar-SA"/>
        </w:rPr>
        <w:t>Analytical Methods</w:t>
      </w:r>
      <w:r w:rsidRPr="002F3518">
        <w:rPr>
          <w:rFonts w:ascii="Times New Roman" w:hAnsi="Times New Roman"/>
          <w:sz w:val="20"/>
          <w:szCs w:val="20"/>
          <w:lang w:val="en-MY" w:eastAsia="en-GB" w:bidi="ar-SA"/>
        </w:rPr>
        <w:t>, 11(11): 1427-1435.</w:t>
      </w:r>
    </w:p>
    <w:p w14:paraId="596BAB15"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Sammaiah, A., Huang, W. and Wang, X. (2018). Synthesis of magnetic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/graphene oxide nanocomposites and their tribological properties under magnetic field. </w:t>
      </w:r>
      <w:r w:rsidRPr="002F3518">
        <w:rPr>
          <w:rFonts w:ascii="Times New Roman" w:hAnsi="Times New Roman"/>
          <w:i/>
          <w:iCs/>
          <w:sz w:val="20"/>
          <w:szCs w:val="20"/>
          <w:lang w:val="en-MY" w:eastAsia="en-GB" w:bidi="ar-SA"/>
        </w:rPr>
        <w:t>Materials Research Express</w:t>
      </w:r>
      <w:r w:rsidRPr="002F3518">
        <w:rPr>
          <w:rFonts w:ascii="Times New Roman" w:hAnsi="Times New Roman"/>
          <w:sz w:val="20"/>
          <w:szCs w:val="20"/>
          <w:lang w:val="en-MY" w:eastAsia="en-GB" w:bidi="ar-SA"/>
        </w:rPr>
        <w:t>, 5(10): 105006.</w:t>
      </w:r>
    </w:p>
    <w:p w14:paraId="128F322D"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Banerjee, P., Chakrabarty, S., Thapa, R., &amp; Das, G. P. (2017). Exploring the catalytic activity of pristine T6 [100] surface for oxygen reduction reaction: A first-principles study. </w:t>
      </w:r>
      <w:r w:rsidRPr="002F3518">
        <w:rPr>
          <w:rFonts w:ascii="Times New Roman" w:hAnsi="Times New Roman"/>
          <w:i/>
          <w:iCs/>
          <w:sz w:val="20"/>
          <w:szCs w:val="20"/>
          <w:lang w:val="en-MY" w:eastAsia="en-GB" w:bidi="ar-SA"/>
        </w:rPr>
        <w:t>Applied Surface Science</w:t>
      </w:r>
      <w:r w:rsidRPr="002F3518">
        <w:rPr>
          <w:rFonts w:ascii="Times New Roman" w:hAnsi="Times New Roman"/>
          <w:sz w:val="20"/>
          <w:szCs w:val="20"/>
          <w:lang w:val="en-MY" w:eastAsia="en-GB" w:bidi="ar-SA"/>
        </w:rPr>
        <w:t>, 418: 56-63.</w:t>
      </w:r>
    </w:p>
    <w:p w14:paraId="1A84B141"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Carmona-Carmona, A. J., Palomino-Ovando, M. A., Hernández-Cristobal, O., Sánchez-Mora, E. and Toledo-Solano, M. (2017). Synthesis and characterization of magnetic opal/Fe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colloidal crystal. </w:t>
      </w:r>
      <w:r w:rsidRPr="002F3518">
        <w:rPr>
          <w:rFonts w:ascii="Times New Roman" w:hAnsi="Times New Roman"/>
          <w:i/>
          <w:iCs/>
          <w:sz w:val="20"/>
          <w:szCs w:val="20"/>
          <w:lang w:val="en-MY" w:eastAsia="en-GB" w:bidi="ar-SA"/>
        </w:rPr>
        <w:t>Journal of Crystal Growth</w:t>
      </w:r>
      <w:r w:rsidRPr="002F3518">
        <w:rPr>
          <w:rFonts w:ascii="Times New Roman" w:hAnsi="Times New Roman"/>
          <w:sz w:val="20"/>
          <w:szCs w:val="20"/>
          <w:lang w:val="en-MY" w:eastAsia="en-GB" w:bidi="ar-SA"/>
        </w:rPr>
        <w:t>, 462: 6-11.</w:t>
      </w:r>
    </w:p>
    <w:p w14:paraId="6F90DA56"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eastAsia="en-GB" w:bidi="ar-SA"/>
        </w:rPr>
        <w:t>Narayanaswamy, V., Obaidat, I. M., Kamzin, A. S., Latiyan, S., Jain, S., Kumar, H., ... and Issa, B. (2019). Synthesis of graphene oxide-Fe</w:t>
      </w:r>
      <w:r w:rsidRPr="002F3518">
        <w:rPr>
          <w:rFonts w:ascii="Times New Roman" w:hAnsi="Times New Roman"/>
          <w:sz w:val="20"/>
          <w:szCs w:val="20"/>
          <w:vertAlign w:val="subscript"/>
          <w:lang w:eastAsia="en-GB" w:bidi="ar-SA"/>
        </w:rPr>
        <w:t>3</w:t>
      </w:r>
      <w:r w:rsidRPr="002F3518">
        <w:rPr>
          <w:rFonts w:ascii="Times New Roman" w:hAnsi="Times New Roman"/>
          <w:sz w:val="20"/>
          <w:szCs w:val="20"/>
          <w:lang w:eastAsia="en-GB" w:bidi="ar-SA"/>
        </w:rPr>
        <w:t>O</w:t>
      </w:r>
      <w:r w:rsidRPr="002F3518">
        <w:rPr>
          <w:rFonts w:ascii="Times New Roman" w:hAnsi="Times New Roman"/>
          <w:sz w:val="20"/>
          <w:szCs w:val="20"/>
          <w:vertAlign w:val="subscript"/>
          <w:lang w:eastAsia="en-GB" w:bidi="ar-SA"/>
        </w:rPr>
        <w:t>4</w:t>
      </w:r>
      <w:r w:rsidRPr="002F3518">
        <w:rPr>
          <w:rFonts w:ascii="Times New Roman" w:hAnsi="Times New Roman"/>
          <w:sz w:val="20"/>
          <w:szCs w:val="20"/>
          <w:lang w:eastAsia="en-GB" w:bidi="ar-SA"/>
        </w:rPr>
        <w:t xml:space="preserve"> based nanocomposites using the mechanochemical method and in vitro magnetic hyperthermia. </w:t>
      </w:r>
      <w:r w:rsidRPr="002F3518">
        <w:rPr>
          <w:rFonts w:ascii="Times New Roman" w:hAnsi="Times New Roman"/>
          <w:i/>
          <w:iCs/>
          <w:sz w:val="20"/>
          <w:szCs w:val="20"/>
          <w:lang w:eastAsia="en-GB" w:bidi="ar-SA"/>
        </w:rPr>
        <w:t>International Journal of Molecular Sciences</w:t>
      </w:r>
      <w:r w:rsidRPr="002F3518">
        <w:rPr>
          <w:rFonts w:ascii="Times New Roman" w:hAnsi="Times New Roman"/>
          <w:sz w:val="20"/>
          <w:szCs w:val="20"/>
          <w:lang w:eastAsia="en-GB" w:bidi="ar-SA"/>
        </w:rPr>
        <w:t>, 20(13): 3368.</w:t>
      </w:r>
    </w:p>
    <w:p w14:paraId="2314F946"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eastAsia="en-GB" w:bidi="ar-SA"/>
        </w:rPr>
        <w:t>Manna, R. and Srivastava, S. K. (2021). Reduced graphene oxide/Fe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/polyaniline ternary composites as a superior microwave absorber in the shielding of electromagnetic pollution. </w:t>
      </w:r>
      <w:r w:rsidRPr="002F3518">
        <w:rPr>
          <w:rFonts w:ascii="Times New Roman" w:hAnsi="Times New Roman"/>
          <w:i/>
          <w:iCs/>
          <w:sz w:val="20"/>
          <w:szCs w:val="20"/>
          <w:lang w:val="en-MY" w:eastAsia="en-GB" w:bidi="ar-SA"/>
        </w:rPr>
        <w:t>ACS omega</w:t>
      </w:r>
      <w:r w:rsidRPr="002F3518">
        <w:rPr>
          <w:rFonts w:ascii="Times New Roman" w:hAnsi="Times New Roman"/>
          <w:sz w:val="20"/>
          <w:szCs w:val="20"/>
          <w:lang w:val="en-MY" w:eastAsia="en-GB" w:bidi="ar-SA"/>
        </w:rPr>
        <w:t>, 6(13): 9164-9175.</w:t>
      </w:r>
    </w:p>
    <w:p w14:paraId="76ABB8C9"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Venkataprasad, G., Reddy, T. M., Narayana, A. L., Hussain, O. M., Shaikshavali, P., Gopal, T. V. and Gopal, P. (2019). A facile synthesis of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-Gr nanocomposite and its effective use as electrochemical sensor for the determination of dopamine and as anode material in lithium ion batteries. </w:t>
      </w:r>
      <w:r w:rsidRPr="002F3518">
        <w:rPr>
          <w:rFonts w:ascii="Times New Roman" w:hAnsi="Times New Roman"/>
          <w:i/>
          <w:iCs/>
          <w:sz w:val="20"/>
          <w:szCs w:val="20"/>
          <w:lang w:val="en-MY" w:bidi="ar-SA"/>
        </w:rPr>
        <w:t>Sensors and Actuators A: Physical</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293</w:t>
      </w:r>
      <w:r w:rsidRPr="002F3518">
        <w:rPr>
          <w:rFonts w:ascii="Times New Roman" w:hAnsi="Times New Roman"/>
          <w:sz w:val="20"/>
          <w:szCs w:val="20"/>
          <w:lang w:val="en-MY" w:bidi="ar-SA"/>
        </w:rPr>
        <w:t>, 87-100.</w:t>
      </w:r>
    </w:p>
    <w:p w14:paraId="34DCE65D"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Wang, L., Wei, Z., Mao, M., Wang, H., Li, Y. and Ma, J. (2019). Metal oxide/graphene composite anode materials for sodium-ion batteries. </w:t>
      </w:r>
      <w:r w:rsidRPr="002F3518">
        <w:rPr>
          <w:rFonts w:ascii="Times New Roman" w:hAnsi="Times New Roman"/>
          <w:i/>
          <w:iCs/>
          <w:sz w:val="20"/>
          <w:szCs w:val="20"/>
          <w:lang w:val="en-MY" w:bidi="ar-SA"/>
        </w:rPr>
        <w:t>Energy Storage Materials,</w:t>
      </w:r>
      <w:r w:rsidRPr="002F3518">
        <w:rPr>
          <w:rFonts w:ascii="Times New Roman" w:hAnsi="Times New Roman"/>
          <w:sz w:val="20"/>
          <w:szCs w:val="20"/>
          <w:lang w:val="en-MY" w:bidi="ar-SA"/>
        </w:rPr>
        <w:t xml:space="preserve"> 16: 434-454.</w:t>
      </w:r>
    </w:p>
    <w:p w14:paraId="197E54A1"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Shobukawa, H., Alvarado, J., Yang, Y. and Meng, Y. S. (2017). Electrochemical performance and interfacial investigation on Si composite anode for lithium ion batteries in full cell. </w:t>
      </w:r>
      <w:r w:rsidRPr="002F3518">
        <w:rPr>
          <w:rFonts w:ascii="Times New Roman" w:hAnsi="Times New Roman"/>
          <w:i/>
          <w:iCs/>
          <w:sz w:val="20"/>
          <w:szCs w:val="20"/>
          <w:lang w:val="en-MY" w:bidi="ar-SA"/>
        </w:rPr>
        <w:t>Journal of Power Sources</w:t>
      </w:r>
      <w:r w:rsidRPr="002F3518">
        <w:rPr>
          <w:rFonts w:ascii="Times New Roman" w:hAnsi="Times New Roman"/>
          <w:sz w:val="20"/>
          <w:szCs w:val="20"/>
          <w:lang w:val="en-MY" w:bidi="ar-SA"/>
        </w:rPr>
        <w:t>, 359: 173-181.</w:t>
      </w:r>
    </w:p>
    <w:p w14:paraId="533E92D9" w14:textId="77777777" w:rsidR="00BC3B1C" w:rsidRDefault="002F3518" w:rsidP="00C045B9">
      <w:pPr>
        <w:numPr>
          <w:ilvl w:val="0"/>
          <w:numId w:val="4"/>
        </w:numPr>
        <w:spacing w:after="0"/>
        <w:ind w:left="446" w:hanging="360"/>
        <w:contextualSpacing/>
        <w:jc w:val="both"/>
        <w:rPr>
          <w:rFonts w:ascii="Times New Roman" w:eastAsia="Calibri" w:hAnsi="Times New Roman"/>
          <w:sz w:val="20"/>
          <w:szCs w:val="20"/>
          <w:lang w:bidi="ar-SA"/>
        </w:rPr>
        <w:sectPr w:rsidR="00BC3B1C" w:rsidSect="00C045B9">
          <w:type w:val="continuous"/>
          <w:pgSz w:w="12240" w:h="15840" w:code="1"/>
          <w:pgMar w:top="1800" w:right="1469" w:bottom="1699" w:left="1440" w:header="706" w:footer="706" w:gutter="0"/>
          <w:pgNumType w:start="1"/>
          <w:cols w:num="2" w:space="403"/>
          <w:docGrid w:linePitch="360"/>
        </w:sectPr>
      </w:pPr>
      <w:r w:rsidRPr="002F3518">
        <w:rPr>
          <w:rFonts w:ascii="Times New Roman" w:eastAsia="Calibri" w:hAnsi="Times New Roman"/>
          <w:sz w:val="20"/>
          <w:szCs w:val="20"/>
          <w:lang w:bidi="ar-SA"/>
        </w:rPr>
        <w:t xml:space="preserve">Costa, C.M., Lee, Y.-H., Kim, J.-H., Lee, S.-Y. and Lanceros-Méndez, S. (2019). Recent advances on separator membranes for lithium-ion battery applications: from porous membranes to solid electrolytes. </w:t>
      </w:r>
      <w:r w:rsidRPr="002F3518">
        <w:rPr>
          <w:rFonts w:ascii="Times New Roman" w:eastAsia="Calibri" w:hAnsi="Times New Roman"/>
          <w:i/>
          <w:iCs/>
          <w:sz w:val="20"/>
          <w:szCs w:val="20"/>
          <w:lang w:bidi="ar-SA"/>
        </w:rPr>
        <w:t>Energy Storage Materials</w:t>
      </w:r>
      <w:r w:rsidRPr="002F3518">
        <w:rPr>
          <w:rFonts w:ascii="Times New Roman" w:eastAsia="Calibri" w:hAnsi="Times New Roman"/>
          <w:sz w:val="20"/>
          <w:szCs w:val="20"/>
          <w:lang w:bidi="ar-SA"/>
        </w:rPr>
        <w:t>, 22: 346-375.</w:t>
      </w:r>
    </w:p>
    <w:p w14:paraId="1E816BF9" w14:textId="2294751C" w:rsidR="002F3518" w:rsidRDefault="002F3518" w:rsidP="00BC3B1C">
      <w:pPr>
        <w:spacing w:after="0"/>
        <w:ind w:left="446"/>
        <w:contextualSpacing/>
        <w:jc w:val="both"/>
        <w:rPr>
          <w:rFonts w:ascii="Times New Roman" w:eastAsia="Calibri" w:hAnsi="Times New Roman"/>
          <w:sz w:val="20"/>
          <w:szCs w:val="20"/>
          <w:lang w:bidi="ar-SA"/>
        </w:rPr>
      </w:pPr>
    </w:p>
    <w:p w14:paraId="345D8AB0" w14:textId="039E61C6" w:rsidR="00BC3B1C" w:rsidRDefault="00BC3B1C" w:rsidP="00BC3B1C">
      <w:pPr>
        <w:spacing w:after="0"/>
        <w:ind w:left="446"/>
        <w:contextualSpacing/>
        <w:jc w:val="both"/>
        <w:rPr>
          <w:rFonts w:ascii="Times New Roman" w:eastAsia="Calibri" w:hAnsi="Times New Roman"/>
          <w:sz w:val="20"/>
          <w:szCs w:val="20"/>
          <w:lang w:bidi="ar-SA"/>
        </w:rPr>
      </w:pPr>
    </w:p>
    <w:p w14:paraId="6617EDDF" w14:textId="77777777" w:rsidR="002F3518" w:rsidRPr="002F3518" w:rsidRDefault="002F3518" w:rsidP="00C045B9">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lastRenderedPageBreak/>
        <w:t xml:space="preserve">Park, C. M., Heo, J., Wang, D., Su, C. and Yoon, Y. (2018). Heterogeneous activation of persulfate by reduced graphene oxide–elemental silver/magnetite nanohybrids for the oxidative degradation of pharmaceuticals and endocrine disrupting compounds in water. </w:t>
      </w:r>
      <w:r w:rsidRPr="002F3518">
        <w:rPr>
          <w:rFonts w:ascii="Times New Roman" w:hAnsi="Times New Roman"/>
          <w:i/>
          <w:iCs/>
          <w:sz w:val="20"/>
          <w:szCs w:val="20"/>
          <w:lang w:val="en-MY" w:bidi="ar-SA"/>
        </w:rPr>
        <w:t>Applied Catalysis B: Environmental</w:t>
      </w:r>
      <w:r w:rsidRPr="002F3518">
        <w:rPr>
          <w:rFonts w:ascii="Times New Roman" w:hAnsi="Times New Roman"/>
          <w:sz w:val="20"/>
          <w:szCs w:val="20"/>
          <w:lang w:val="en-MY" w:bidi="ar-SA"/>
        </w:rPr>
        <w:t>, 225: 91-99.</w:t>
      </w:r>
    </w:p>
    <w:p w14:paraId="3F0D699D"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Tian, H., Liu, H., Yang, T., Veder, J.P., Wang, G., Hu, M., Wang, S., Jaroniec, M. and Liu, J. (2017). Fabrication of core-shell, yolk-shell and hollow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@carbon microboxes for high-performance lithium-ion batteries. </w:t>
      </w:r>
      <w:r w:rsidRPr="002F3518">
        <w:rPr>
          <w:rFonts w:ascii="Times New Roman" w:hAnsi="Times New Roman"/>
          <w:i/>
          <w:iCs/>
          <w:sz w:val="20"/>
          <w:szCs w:val="20"/>
          <w:lang w:val="en-MY" w:bidi="ar-SA"/>
        </w:rPr>
        <w:t>Materials Chemistry Frontiers</w:t>
      </w:r>
      <w:r w:rsidRPr="002F3518">
        <w:rPr>
          <w:rFonts w:ascii="Times New Roman" w:hAnsi="Times New Roman"/>
          <w:sz w:val="20"/>
          <w:szCs w:val="20"/>
          <w:lang w:val="en-MY" w:bidi="ar-SA"/>
        </w:rPr>
        <w:t>, 1: 823-830.</w:t>
      </w:r>
    </w:p>
    <w:p w14:paraId="00999191" w14:textId="77777777" w:rsidR="002F3518" w:rsidRPr="002F3518" w:rsidRDefault="002F3518" w:rsidP="00780D9D">
      <w:pPr>
        <w:numPr>
          <w:ilvl w:val="0"/>
          <w:numId w:val="4"/>
        </w:numPr>
        <w:spacing w:after="0"/>
        <w:ind w:left="446"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Wang, Z., Xing, B., Zeng, H., Huang, G., Liu, X., Guo, H., Zhang, C., Cao, Y. and Chen, Z. (2021). Space-confined carbonisation strategy for synthesis of carbon nanosheets from glucose and coal tar pitch for high-performance lithium-ion batteries. </w:t>
      </w:r>
      <w:r w:rsidRPr="002F3518">
        <w:rPr>
          <w:rFonts w:ascii="Times New Roman" w:eastAsia="Calibri" w:hAnsi="Times New Roman"/>
          <w:i/>
          <w:iCs/>
          <w:sz w:val="20"/>
          <w:szCs w:val="20"/>
          <w:lang w:bidi="ar-SA"/>
        </w:rPr>
        <w:t>Applied Surface Sciences</w:t>
      </w:r>
      <w:r w:rsidRPr="002F3518">
        <w:rPr>
          <w:rFonts w:ascii="Times New Roman" w:eastAsia="Calibri" w:hAnsi="Times New Roman"/>
          <w:sz w:val="20"/>
          <w:szCs w:val="20"/>
          <w:lang w:bidi="ar-SA"/>
        </w:rPr>
        <w:t>, 547: 149228.</w:t>
      </w:r>
    </w:p>
    <w:p w14:paraId="1E721FE0" w14:textId="77777777" w:rsidR="002F3518" w:rsidRPr="002F3518" w:rsidRDefault="002F3518" w:rsidP="00780D9D">
      <w:pPr>
        <w:numPr>
          <w:ilvl w:val="0"/>
          <w:numId w:val="4"/>
        </w:numPr>
        <w:spacing w:after="0"/>
        <w:ind w:left="446"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val="fr-FR" w:bidi="ar-SA"/>
        </w:rPr>
        <w:t xml:space="preserve">Li, R., Zhang, F., Du, C. and Liu, J. (2012). </w:t>
      </w:r>
      <w:r w:rsidRPr="002F3518">
        <w:rPr>
          <w:rFonts w:ascii="Times New Roman" w:eastAsia="Calibri" w:hAnsi="Times New Roman"/>
          <w:sz w:val="20"/>
          <w:szCs w:val="20"/>
          <w:lang w:bidi="ar-SA"/>
        </w:rPr>
        <w:t>Synthesis of Fe</w:t>
      </w:r>
      <w:r w:rsidRPr="002F3518">
        <w:rPr>
          <w:rFonts w:ascii="Times New Roman" w:eastAsia="Calibri" w:hAnsi="Times New Roman"/>
          <w:sz w:val="20"/>
          <w:szCs w:val="20"/>
          <w:vertAlign w:val="subscript"/>
          <w:lang w:bidi="ar-SA"/>
        </w:rPr>
        <w:t>3</w:t>
      </w:r>
      <w:r w:rsidRPr="002F3518">
        <w:rPr>
          <w:rFonts w:ascii="Times New Roman" w:eastAsia="Calibri" w:hAnsi="Times New Roman"/>
          <w:sz w:val="20"/>
          <w:szCs w:val="20"/>
          <w:lang w:bidi="ar-SA"/>
        </w:rPr>
        <w:t>O</w:t>
      </w:r>
      <w:r w:rsidRPr="002F3518">
        <w:rPr>
          <w:rFonts w:ascii="Times New Roman" w:eastAsia="Calibri" w:hAnsi="Times New Roman"/>
          <w:sz w:val="20"/>
          <w:szCs w:val="20"/>
          <w:vertAlign w:val="subscript"/>
          <w:lang w:bidi="ar-SA"/>
        </w:rPr>
        <w:t>4</w:t>
      </w:r>
      <w:r w:rsidRPr="002F3518">
        <w:rPr>
          <w:rFonts w:ascii="Times New Roman" w:eastAsia="Calibri" w:hAnsi="Times New Roman"/>
          <w:sz w:val="20"/>
          <w:szCs w:val="20"/>
          <w:lang w:bidi="ar-SA"/>
        </w:rPr>
        <w:t>@SnO</w:t>
      </w:r>
      <w:r w:rsidRPr="002F3518">
        <w:rPr>
          <w:rFonts w:ascii="Times New Roman" w:eastAsia="Calibri" w:hAnsi="Times New Roman"/>
          <w:sz w:val="20"/>
          <w:szCs w:val="20"/>
          <w:vertAlign w:val="subscript"/>
          <w:lang w:bidi="ar-SA"/>
        </w:rPr>
        <w:t>2</w:t>
      </w:r>
      <w:r w:rsidRPr="002F3518">
        <w:rPr>
          <w:rFonts w:ascii="Times New Roman" w:eastAsia="Calibri" w:hAnsi="Times New Roman"/>
          <w:sz w:val="20"/>
          <w:szCs w:val="20"/>
          <w:lang w:bidi="ar-SA"/>
        </w:rPr>
        <w:t xml:space="preserve"> core – shell nanorod film and its application as a thin-film supercapacitor electrode. </w:t>
      </w:r>
      <w:r w:rsidRPr="002F3518">
        <w:rPr>
          <w:rFonts w:ascii="Times New Roman" w:eastAsia="Calibri" w:hAnsi="Times New Roman"/>
          <w:i/>
          <w:iCs/>
          <w:sz w:val="20"/>
          <w:szCs w:val="20"/>
          <w:lang w:bidi="ar-SA"/>
        </w:rPr>
        <w:t>Chemical Communication</w:t>
      </w:r>
      <w:r w:rsidRPr="002F3518">
        <w:rPr>
          <w:rFonts w:ascii="Times New Roman" w:eastAsia="Calibri" w:hAnsi="Times New Roman"/>
          <w:sz w:val="20"/>
          <w:szCs w:val="20"/>
          <w:lang w:bidi="ar-SA"/>
        </w:rPr>
        <w:t>, 48: 5010-5012.</w:t>
      </w:r>
    </w:p>
    <w:p w14:paraId="1B3D90B2"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Meng, Y., Liu, X., Xiao, M., Hu, Q., Li, Y., Li, R., ... and Zhu, F. (2019). Reduced graphene oxide@ nitrogen doped carbon with enhanced electrochemical performance in lithium ion batteries. </w:t>
      </w:r>
      <w:r w:rsidRPr="002F3518">
        <w:rPr>
          <w:rFonts w:ascii="Times New Roman" w:hAnsi="Times New Roman"/>
          <w:i/>
          <w:iCs/>
          <w:sz w:val="20"/>
          <w:szCs w:val="20"/>
          <w:lang w:val="en-MY" w:bidi="ar-SA"/>
        </w:rPr>
        <w:t>Electrochimica Acta</w:t>
      </w:r>
      <w:r w:rsidRPr="002F3518">
        <w:rPr>
          <w:rFonts w:ascii="Times New Roman" w:hAnsi="Times New Roman"/>
          <w:sz w:val="20"/>
          <w:szCs w:val="20"/>
          <w:lang w:val="en-MY" w:bidi="ar-SA"/>
        </w:rPr>
        <w:t>, 309: 228-233.</w:t>
      </w:r>
    </w:p>
    <w:p w14:paraId="23E4C41C" w14:textId="77777777" w:rsidR="002F3518" w:rsidRPr="002F3518" w:rsidRDefault="002F3518" w:rsidP="00780D9D">
      <w:pPr>
        <w:numPr>
          <w:ilvl w:val="0"/>
          <w:numId w:val="4"/>
        </w:numPr>
        <w:spacing w:after="0"/>
        <w:ind w:left="446"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Martha, S.K., Nanda, J., Zhou, H., Idrobo, J.C., Dudney, N.J., Pannala, S., Dai, S., Wang, J. and Braun, P.V. (2014). Electrode architectures for high capacity multivalent conversion compounds: iron (II and III) fluoride. </w:t>
      </w:r>
      <w:r w:rsidRPr="002F3518">
        <w:rPr>
          <w:rFonts w:ascii="Times New Roman" w:eastAsia="Calibri" w:hAnsi="Times New Roman"/>
          <w:i/>
          <w:iCs/>
          <w:sz w:val="20"/>
          <w:szCs w:val="20"/>
          <w:lang w:bidi="ar-SA"/>
        </w:rPr>
        <w:t>RSC Advances,</w:t>
      </w:r>
      <w:r w:rsidRPr="002F3518">
        <w:rPr>
          <w:rFonts w:ascii="Times New Roman" w:eastAsia="Calibri" w:hAnsi="Times New Roman"/>
          <w:sz w:val="20"/>
          <w:szCs w:val="20"/>
          <w:lang w:bidi="ar-SA"/>
        </w:rPr>
        <w:t xml:space="preserve"> 4: 6730-6737.</w:t>
      </w:r>
    </w:p>
    <w:p w14:paraId="1A44344A"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Yoon, D., Hwang, J., Chang, W. and Kim, J. (2017). Uniform one-pot anchoring of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to defective reduced graphene oxide for enhanced lithium storage. </w:t>
      </w:r>
      <w:r w:rsidRPr="002F3518">
        <w:rPr>
          <w:rFonts w:ascii="Times New Roman" w:hAnsi="Times New Roman"/>
          <w:i/>
          <w:iCs/>
          <w:sz w:val="20"/>
          <w:szCs w:val="20"/>
          <w:lang w:val="en-MY" w:bidi="ar-SA"/>
        </w:rPr>
        <w:t>Chemical Engineering Journal</w:t>
      </w:r>
      <w:r w:rsidRPr="002F3518">
        <w:rPr>
          <w:rFonts w:ascii="Times New Roman" w:hAnsi="Times New Roman"/>
          <w:sz w:val="20"/>
          <w:szCs w:val="20"/>
          <w:lang w:val="en-MY" w:bidi="ar-SA"/>
        </w:rPr>
        <w:t>, 317: 890-900.</w:t>
      </w:r>
    </w:p>
    <w:p w14:paraId="4596A900"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Wang, Y., Jin, Y., Zhao, C., Pan, E. and Jia, M. (2018). 3D graphene aerogel wrapped 3D flower-like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as a long stable and high rate anode material for lithium ion batteries. </w:t>
      </w:r>
      <w:r w:rsidRPr="002F3518">
        <w:rPr>
          <w:rFonts w:ascii="Times New Roman" w:hAnsi="Times New Roman"/>
          <w:i/>
          <w:iCs/>
          <w:sz w:val="20"/>
          <w:szCs w:val="20"/>
          <w:lang w:val="en-MY" w:bidi="ar-SA"/>
        </w:rPr>
        <w:t>Journal of Electroanalytical Chemistry</w:t>
      </w:r>
      <w:r w:rsidRPr="002F3518">
        <w:rPr>
          <w:rFonts w:ascii="Times New Roman" w:hAnsi="Times New Roman"/>
          <w:sz w:val="20"/>
          <w:szCs w:val="20"/>
          <w:lang w:val="en-MY" w:bidi="ar-SA"/>
        </w:rPr>
        <w:t>, 830: 106-115.</w:t>
      </w:r>
    </w:p>
    <w:p w14:paraId="3FDE4A57"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Huang, X., Zhou, X., Qian, K., Zhao, D., Liu, Z. and Yu, C. (2012). A magnetite nanocrystal/graphene composite as high performance anode for lithium-ion batteries. </w:t>
      </w:r>
      <w:r w:rsidRPr="002F3518">
        <w:rPr>
          <w:rFonts w:ascii="Times New Roman" w:eastAsia="Calibri" w:hAnsi="Times New Roman"/>
          <w:i/>
          <w:iCs/>
          <w:sz w:val="20"/>
          <w:szCs w:val="20"/>
          <w:lang w:bidi="ar-SA"/>
        </w:rPr>
        <w:t xml:space="preserve">Journal of Alloys and Compounds, </w:t>
      </w:r>
      <w:r w:rsidRPr="002F3518">
        <w:rPr>
          <w:rFonts w:ascii="Times New Roman" w:eastAsia="Calibri" w:hAnsi="Times New Roman"/>
          <w:sz w:val="20"/>
          <w:szCs w:val="20"/>
          <w:lang w:bidi="ar-SA"/>
        </w:rPr>
        <w:t>514: 76-80</w:t>
      </w:r>
      <w:r w:rsidRPr="002F3518">
        <w:rPr>
          <w:rFonts w:ascii="Times New Roman" w:eastAsia="Calibri" w:hAnsi="Times New Roman"/>
          <w:i/>
          <w:iCs/>
          <w:sz w:val="20"/>
          <w:szCs w:val="20"/>
          <w:lang w:bidi="ar-SA"/>
        </w:rPr>
        <w:t>.</w:t>
      </w:r>
    </w:p>
    <w:p w14:paraId="4DD6CBF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Tian, H., Zhang, C., Wang, Q., Miao, J., Zhang, Y., Li, X., ... and Chen, Y. (2021). SiO</w:t>
      </w:r>
      <w:r w:rsidRPr="002F3518">
        <w:rPr>
          <w:rFonts w:ascii="Times New Roman" w:hAnsi="Times New Roman"/>
          <w:sz w:val="20"/>
          <w:szCs w:val="20"/>
          <w:vertAlign w:val="subscript"/>
          <w:lang w:val="en-MY" w:bidi="ar-SA"/>
        </w:rPr>
        <w:t>2</w:t>
      </w:r>
      <w:r w:rsidRPr="002F3518">
        <w:rPr>
          <w:rFonts w:ascii="Times New Roman" w:hAnsi="Times New Roman"/>
          <w:sz w:val="20"/>
          <w:szCs w:val="20"/>
          <w:lang w:val="en-MY" w:bidi="ar-SA"/>
        </w:rPr>
        <w:t xml:space="preserve"> aerogel@ carbon nanotube anchored on graphene sheet as anode material for lithium ion battery. </w:t>
      </w:r>
      <w:r w:rsidRPr="002F3518">
        <w:rPr>
          <w:rFonts w:ascii="Times New Roman" w:hAnsi="Times New Roman"/>
          <w:i/>
          <w:iCs/>
          <w:sz w:val="20"/>
          <w:szCs w:val="20"/>
          <w:lang w:val="en-MY" w:bidi="ar-SA"/>
        </w:rPr>
        <w:t>Journal of Materials Science: Materials in Electronics</w:t>
      </w:r>
      <w:r w:rsidRPr="002F3518">
        <w:rPr>
          <w:rFonts w:ascii="Times New Roman" w:hAnsi="Times New Roman"/>
          <w:sz w:val="20"/>
          <w:szCs w:val="20"/>
          <w:lang w:val="en-MY" w:bidi="ar-SA"/>
        </w:rPr>
        <w:t>, 32(9): 11478-11488.</w:t>
      </w:r>
    </w:p>
    <w:p w14:paraId="445B8CD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Zhu, K., Zhang, Y., Qiu, H., Meng, Y., Gao, Y., Meng, X., ... and Wei, Y. (2016). Hierarchical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microsphere/reduced graphene oxide composites as a capable anode for lithium-ion batteries with remarkable cycling performance. </w:t>
      </w:r>
      <w:r w:rsidRPr="002F3518">
        <w:rPr>
          <w:rFonts w:ascii="Times New Roman" w:hAnsi="Times New Roman"/>
          <w:i/>
          <w:iCs/>
          <w:sz w:val="20"/>
          <w:szCs w:val="20"/>
          <w:lang w:val="en-MY" w:bidi="ar-SA"/>
        </w:rPr>
        <w:t>Journal of Alloys and Compounds</w:t>
      </w:r>
      <w:r w:rsidRPr="002F3518">
        <w:rPr>
          <w:rFonts w:ascii="Times New Roman" w:hAnsi="Times New Roman"/>
          <w:sz w:val="20"/>
          <w:szCs w:val="20"/>
          <w:lang w:val="en-MY" w:bidi="ar-SA"/>
        </w:rPr>
        <w:t>, 675: 399-406.</w:t>
      </w:r>
    </w:p>
    <w:p w14:paraId="0736B9E0"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Lee, S. H., Kotal, M., Oh, J. H., Sennu, P., Park, S. H., Lee, Y. S. and Oh, I. K. (2017). Nanohole-structured, iron oxide-decorated and gelatin-functionalised graphene for high rate and high capacity Li-Ion anode. </w:t>
      </w:r>
      <w:r w:rsidRPr="002F3518">
        <w:rPr>
          <w:rFonts w:ascii="Times New Roman" w:hAnsi="Times New Roman"/>
          <w:i/>
          <w:iCs/>
          <w:sz w:val="20"/>
          <w:szCs w:val="20"/>
          <w:lang w:val="en-MY" w:bidi="ar-SA"/>
        </w:rPr>
        <w:t>Carbon</w:t>
      </w:r>
      <w:r w:rsidRPr="002F3518">
        <w:rPr>
          <w:rFonts w:ascii="Times New Roman" w:hAnsi="Times New Roman"/>
          <w:sz w:val="20"/>
          <w:szCs w:val="20"/>
          <w:lang w:val="en-MY" w:bidi="ar-SA"/>
        </w:rPr>
        <w:t>, 119: 355-364.</w:t>
      </w:r>
    </w:p>
    <w:p w14:paraId="59856877"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Mhamane, D., Aravindan, V., Taneja, D., Suryawanshi, A., Game, O., Srinivasan, M. and Ogale, S. (2016). Graphene based nanocomposites for alloy (SnO</w:t>
      </w:r>
      <w:r w:rsidRPr="002F3518">
        <w:rPr>
          <w:rFonts w:ascii="Times New Roman" w:hAnsi="Times New Roman"/>
          <w:sz w:val="20"/>
          <w:szCs w:val="20"/>
          <w:vertAlign w:val="subscript"/>
          <w:lang w:val="en-MY" w:bidi="ar-SA"/>
        </w:rPr>
        <w:t>2</w:t>
      </w:r>
      <w:r w:rsidRPr="002F3518">
        <w:rPr>
          <w:rFonts w:ascii="Times New Roman" w:hAnsi="Times New Roman"/>
          <w:sz w:val="20"/>
          <w:szCs w:val="20"/>
          <w:lang w:val="en-MY" w:bidi="ar-SA"/>
        </w:rPr>
        <w:t>), and conversion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type efficient anodes for Li-ion battery applications. </w:t>
      </w:r>
      <w:r w:rsidRPr="002F3518">
        <w:rPr>
          <w:rFonts w:ascii="Times New Roman" w:hAnsi="Times New Roman"/>
          <w:i/>
          <w:iCs/>
          <w:sz w:val="20"/>
          <w:szCs w:val="20"/>
          <w:lang w:val="en-MY" w:bidi="ar-SA"/>
        </w:rPr>
        <w:t>Composites Science and Technology</w:t>
      </w:r>
      <w:r w:rsidRPr="002F3518">
        <w:rPr>
          <w:rFonts w:ascii="Times New Roman" w:hAnsi="Times New Roman"/>
          <w:sz w:val="20"/>
          <w:szCs w:val="20"/>
          <w:lang w:val="en-MY" w:bidi="ar-SA"/>
        </w:rPr>
        <w:t>, 130: 88-95.</w:t>
      </w:r>
    </w:p>
    <w:p w14:paraId="6E058FDE"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Shen, X., Liu, H., Cheng, X. B., Yan, C. and Huang, J. Q. (2018). Beyond lithium ion batteries: Higher energy density battery systems based on lithium metal anodes. </w:t>
      </w:r>
      <w:r w:rsidRPr="002F3518">
        <w:rPr>
          <w:rFonts w:ascii="Times New Roman" w:hAnsi="Times New Roman"/>
          <w:i/>
          <w:iCs/>
          <w:sz w:val="20"/>
          <w:szCs w:val="20"/>
          <w:lang w:val="en-MY" w:bidi="ar-SA"/>
        </w:rPr>
        <w:t>Energy Storage Materials</w:t>
      </w:r>
      <w:r w:rsidRPr="002F3518">
        <w:rPr>
          <w:rFonts w:ascii="Times New Roman" w:hAnsi="Times New Roman"/>
          <w:sz w:val="20"/>
          <w:szCs w:val="20"/>
          <w:lang w:val="en-MY" w:bidi="ar-SA"/>
        </w:rPr>
        <w:t>, 12: 161-175</w:t>
      </w:r>
      <w:r w:rsidRPr="002F3518">
        <w:rPr>
          <w:rFonts w:ascii="Times New Roman" w:hAnsi="Times New Roman"/>
          <w:sz w:val="20"/>
          <w:szCs w:val="20"/>
          <w:lang w:bidi="ar-SA"/>
        </w:rPr>
        <w:t>.</w:t>
      </w:r>
    </w:p>
    <w:p w14:paraId="666D3467"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bidi="ar-SA"/>
        </w:rPr>
        <w:t xml:space="preserve">Meng, Y., Liu, X., Xiao M., Hu, Q., Li, Y.,  Li, R., Ke, X., Ren, G. and Zhu, F. (2019). </w:t>
      </w:r>
      <w:r w:rsidRPr="002F3518">
        <w:rPr>
          <w:rFonts w:ascii="Times New Roman" w:eastAsia="Calibri" w:hAnsi="Times New Roman"/>
          <w:sz w:val="20"/>
          <w:szCs w:val="20"/>
          <w:lang w:bidi="ar-SA"/>
        </w:rPr>
        <w:t xml:space="preserve">Reduced graphene oxide@nitrogen doped carbon with enhanced electrochemical performance in lithium ion batteries. </w:t>
      </w:r>
      <w:r w:rsidRPr="002F3518">
        <w:rPr>
          <w:rFonts w:ascii="Times New Roman" w:eastAsia="Calibri" w:hAnsi="Times New Roman"/>
          <w:i/>
          <w:iCs/>
          <w:sz w:val="20"/>
          <w:szCs w:val="20"/>
          <w:lang w:bidi="ar-SA"/>
        </w:rPr>
        <w:t>Electrochimica Acta</w:t>
      </w:r>
      <w:r w:rsidRPr="002F3518">
        <w:rPr>
          <w:rFonts w:ascii="Times New Roman" w:eastAsia="Calibri" w:hAnsi="Times New Roman"/>
          <w:sz w:val="20"/>
          <w:szCs w:val="20"/>
          <w:lang w:bidi="ar-SA"/>
        </w:rPr>
        <w:t>,  309: 228-233.</w:t>
      </w:r>
    </w:p>
    <w:p w14:paraId="62307A8D" w14:textId="77777777" w:rsidR="00BC3B1C" w:rsidRDefault="002F3518" w:rsidP="00780D9D">
      <w:pPr>
        <w:numPr>
          <w:ilvl w:val="0"/>
          <w:numId w:val="4"/>
        </w:numPr>
        <w:spacing w:after="0"/>
        <w:ind w:left="446" w:hanging="360"/>
        <w:contextualSpacing/>
        <w:jc w:val="both"/>
        <w:rPr>
          <w:rFonts w:ascii="Times New Roman" w:eastAsia="Calibri" w:hAnsi="Times New Roman"/>
          <w:sz w:val="20"/>
          <w:szCs w:val="20"/>
          <w:lang w:bidi="ar-SA"/>
        </w:rPr>
        <w:sectPr w:rsidR="00BC3B1C" w:rsidSect="00C045B9">
          <w:type w:val="continuous"/>
          <w:pgSz w:w="12240" w:h="15840" w:code="1"/>
          <w:pgMar w:top="1800" w:right="1469" w:bottom="1699" w:left="1440" w:header="706" w:footer="706" w:gutter="0"/>
          <w:pgNumType w:start="1"/>
          <w:cols w:num="2" w:space="403"/>
          <w:docGrid w:linePitch="360"/>
        </w:sectPr>
      </w:pPr>
      <w:r w:rsidRPr="002F3518">
        <w:rPr>
          <w:rFonts w:ascii="Times New Roman" w:eastAsia="Calibri" w:hAnsi="Times New Roman"/>
          <w:sz w:val="20"/>
          <w:szCs w:val="20"/>
          <w:lang w:bidi="ar-SA"/>
        </w:rPr>
        <w:t>Hameed,  M.U., Akram,  M.Y., Ali, G., Hafeez, M., Altaf, F., Ahmed, A., Shahida, S. and Bocchetta, P. (2021). Facile preparation of Fe</w:t>
      </w:r>
      <w:r w:rsidRPr="002F3518">
        <w:rPr>
          <w:rFonts w:ascii="Times New Roman" w:eastAsia="Calibri" w:hAnsi="Times New Roman"/>
          <w:sz w:val="20"/>
          <w:szCs w:val="20"/>
          <w:vertAlign w:val="subscript"/>
          <w:lang w:bidi="ar-SA"/>
        </w:rPr>
        <w:t>3</w:t>
      </w:r>
      <w:r w:rsidRPr="002F3518">
        <w:rPr>
          <w:rFonts w:ascii="Times New Roman" w:eastAsia="Calibri" w:hAnsi="Times New Roman"/>
          <w:sz w:val="20"/>
          <w:szCs w:val="20"/>
          <w:lang w:bidi="ar-SA"/>
        </w:rPr>
        <w:t>O</w:t>
      </w:r>
      <w:r w:rsidRPr="002F3518">
        <w:rPr>
          <w:rFonts w:ascii="Times New Roman" w:eastAsia="Calibri" w:hAnsi="Times New Roman"/>
          <w:sz w:val="20"/>
          <w:szCs w:val="20"/>
          <w:vertAlign w:val="subscript"/>
          <w:lang w:bidi="ar-SA"/>
        </w:rPr>
        <w:t>4</w:t>
      </w:r>
      <w:r w:rsidRPr="002F3518">
        <w:rPr>
          <w:rFonts w:ascii="Times New Roman" w:eastAsia="Calibri" w:hAnsi="Times New Roman"/>
          <w:sz w:val="20"/>
          <w:szCs w:val="20"/>
          <w:lang w:bidi="ar-SA"/>
        </w:rPr>
        <w:t xml:space="preserve"> nanoparticles/reduced graphene oxide composite as an efficient anode material for lithium-ion batteries. </w:t>
      </w:r>
      <w:r w:rsidRPr="002F3518">
        <w:rPr>
          <w:rFonts w:ascii="Times New Roman" w:eastAsia="Calibri" w:hAnsi="Times New Roman"/>
          <w:i/>
          <w:iCs/>
          <w:sz w:val="20"/>
          <w:szCs w:val="20"/>
          <w:lang w:bidi="ar-SA"/>
        </w:rPr>
        <w:t>Coatings,</w:t>
      </w:r>
      <w:r w:rsidRPr="002F3518">
        <w:rPr>
          <w:rFonts w:ascii="Times New Roman" w:eastAsia="Calibri" w:hAnsi="Times New Roman"/>
          <w:sz w:val="20"/>
          <w:szCs w:val="20"/>
          <w:lang w:bidi="ar-SA"/>
        </w:rPr>
        <w:t xml:space="preserve"> 2021: 11836.</w:t>
      </w:r>
    </w:p>
    <w:p w14:paraId="06803DE5" w14:textId="77777777" w:rsidR="002F3518" w:rsidRPr="002F3518" w:rsidRDefault="002F3518" w:rsidP="00BC3B1C">
      <w:pPr>
        <w:spacing w:after="0"/>
        <w:ind w:left="446"/>
        <w:contextualSpacing/>
        <w:jc w:val="both"/>
        <w:rPr>
          <w:rFonts w:ascii="Times New Roman" w:hAnsi="Times New Roman"/>
          <w:sz w:val="20"/>
          <w:szCs w:val="20"/>
          <w:lang w:bidi="ar-SA"/>
        </w:rPr>
      </w:pPr>
    </w:p>
    <w:p w14:paraId="00D331F1"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lastRenderedPageBreak/>
        <w:t xml:space="preserve">Su, F. Y., Tang, R. and He, Y. B. (2017). Graphene conductive additives for lithium ion batteries: Origin, progress and prospect. </w:t>
      </w:r>
      <w:r w:rsidRPr="002F3518">
        <w:rPr>
          <w:rFonts w:ascii="Times New Roman" w:eastAsia="Calibri" w:hAnsi="Times New Roman"/>
          <w:i/>
          <w:iCs/>
          <w:sz w:val="20"/>
          <w:szCs w:val="20"/>
          <w:lang w:bidi="ar-SA"/>
        </w:rPr>
        <w:t>Chinese Science Bulletin</w:t>
      </w:r>
      <w:r w:rsidRPr="002F3518">
        <w:rPr>
          <w:rFonts w:ascii="Times New Roman" w:eastAsia="Calibri" w:hAnsi="Times New Roman"/>
          <w:sz w:val="20"/>
          <w:szCs w:val="20"/>
          <w:lang w:bidi="ar-SA"/>
        </w:rPr>
        <w:t>, 62: 3743-3756.</w:t>
      </w:r>
    </w:p>
    <w:p w14:paraId="412FA36C"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eastAsia="Calibri" w:hAnsi="Times New Roman"/>
          <w:sz w:val="20"/>
          <w:szCs w:val="20"/>
          <w:lang w:val="fr-FR" w:bidi="ar-SA"/>
        </w:rPr>
        <w:t xml:space="preserve">Xiang Y, Xin L, Hu J, Li C, Qi J, Hou Y, Wei X. (2021). </w:t>
      </w:r>
      <w:r w:rsidRPr="002F3518">
        <w:rPr>
          <w:rFonts w:ascii="Times New Roman" w:eastAsia="Calibri" w:hAnsi="Times New Roman"/>
          <w:sz w:val="20"/>
          <w:szCs w:val="20"/>
          <w:lang w:bidi="ar-SA"/>
        </w:rPr>
        <w:t xml:space="preserve">Advances in the applications of graphene-based nanocomposites in clean energy materials. </w:t>
      </w:r>
      <w:r w:rsidRPr="002F3518">
        <w:rPr>
          <w:rFonts w:ascii="Times New Roman" w:eastAsia="Calibri" w:hAnsi="Times New Roman"/>
          <w:i/>
          <w:iCs/>
          <w:sz w:val="20"/>
          <w:szCs w:val="20"/>
          <w:lang w:bidi="ar-SA"/>
        </w:rPr>
        <w:t>Crystals</w:t>
      </w:r>
      <w:r w:rsidRPr="002F3518">
        <w:rPr>
          <w:rFonts w:ascii="Times New Roman" w:eastAsia="Calibri" w:hAnsi="Times New Roman"/>
          <w:sz w:val="20"/>
          <w:szCs w:val="20"/>
          <w:lang w:bidi="ar-SA"/>
        </w:rPr>
        <w:t>, 11(1):47.</w:t>
      </w:r>
    </w:p>
    <w:p w14:paraId="5B9D3AE7"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Lee, J. G., Joshi, B. N., Lee, J. H., Kim, T. G., Kim, D. Y., Al-Deyab, S. S., ... and Yoon, S. S. (2017). Stable high-capacity lithium ion battery anodes produced by supersonic spray deposition of hematite nanoparticles and self-healing reduced graphene oxide. </w:t>
      </w:r>
      <w:r w:rsidRPr="002F3518">
        <w:rPr>
          <w:rFonts w:ascii="Times New Roman" w:hAnsi="Times New Roman"/>
          <w:i/>
          <w:iCs/>
          <w:sz w:val="20"/>
          <w:szCs w:val="20"/>
          <w:lang w:val="en-MY" w:bidi="ar-SA"/>
        </w:rPr>
        <w:t>Electrochimica Acta</w:t>
      </w:r>
      <w:r w:rsidRPr="002F3518">
        <w:rPr>
          <w:rFonts w:ascii="Times New Roman" w:hAnsi="Times New Roman"/>
          <w:sz w:val="20"/>
          <w:szCs w:val="20"/>
          <w:lang w:val="en-MY" w:bidi="ar-SA"/>
        </w:rPr>
        <w:t>, 228: 604-610.</w:t>
      </w:r>
    </w:p>
    <w:p w14:paraId="39E99EF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Abdalla, A. M., Hossain, S., Azad, A. T., Petra, P. M. I., Begum, F., Eriksson, S. G. and Azad, A. K. (2018). Nanomaterials for solid oxide fuel cells: A review. </w:t>
      </w:r>
      <w:r w:rsidRPr="002F3518">
        <w:rPr>
          <w:rFonts w:ascii="Times New Roman" w:hAnsi="Times New Roman"/>
          <w:i/>
          <w:iCs/>
          <w:sz w:val="20"/>
          <w:szCs w:val="20"/>
          <w:lang w:val="en-MY" w:bidi="ar-SA"/>
        </w:rPr>
        <w:t>Renewable and Sustainable Energy Reviews</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82</w:t>
      </w:r>
      <w:r w:rsidRPr="002F3518">
        <w:rPr>
          <w:rFonts w:ascii="Times New Roman" w:hAnsi="Times New Roman"/>
          <w:sz w:val="20"/>
          <w:szCs w:val="20"/>
          <w:lang w:val="en-MY" w:bidi="ar-SA"/>
        </w:rPr>
        <w:t>: 353-368.</w:t>
      </w:r>
    </w:p>
    <w:p w14:paraId="5284248C"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Zhang, W., Chen, J., Li, X., Zhang, J., Li, Y., Zhao, Y., ... and Jin, X. (2020). Cuprum metal-organic-framework and polyacrylonitrile-derived Cu-NC electrocatalyst for application in zinc-air batteries. </w:t>
      </w:r>
      <w:r w:rsidRPr="002F3518">
        <w:rPr>
          <w:rFonts w:ascii="Times New Roman" w:hAnsi="Times New Roman"/>
          <w:i/>
          <w:iCs/>
          <w:sz w:val="20"/>
          <w:szCs w:val="20"/>
          <w:lang w:val="en-MY" w:bidi="ar-SA"/>
        </w:rPr>
        <w:t>Nano</w:t>
      </w:r>
      <w:r w:rsidRPr="002F3518">
        <w:rPr>
          <w:rFonts w:ascii="Times New Roman" w:hAnsi="Times New Roman"/>
          <w:sz w:val="20"/>
          <w:szCs w:val="20"/>
          <w:lang w:val="en-MY" w:bidi="ar-SA"/>
        </w:rPr>
        <w:t>, 15(01): 2050012.</w:t>
      </w:r>
    </w:p>
    <w:p w14:paraId="327AFF41"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Kumar, S. R., Wang, J. J., Wu, Y. S., Yang, C. C. and Lue, S. J. (2020). Synergistic role of graphene oxide-magnetite nanofillers contribution on ionic conductivity and permeability for polybenzimidazole membrane electrolytes. </w:t>
      </w:r>
      <w:r w:rsidRPr="002F3518">
        <w:rPr>
          <w:rFonts w:ascii="Times New Roman" w:hAnsi="Times New Roman"/>
          <w:i/>
          <w:iCs/>
          <w:sz w:val="20"/>
          <w:szCs w:val="20"/>
          <w:lang w:val="en-MY" w:bidi="ar-SA"/>
        </w:rPr>
        <w:t>Journal of Power Sources</w:t>
      </w:r>
      <w:r w:rsidRPr="002F3518">
        <w:rPr>
          <w:rFonts w:ascii="Times New Roman" w:hAnsi="Times New Roman"/>
          <w:sz w:val="20"/>
          <w:szCs w:val="20"/>
          <w:lang w:val="en-MY" w:bidi="ar-SA"/>
        </w:rPr>
        <w:t>, 445: 227293.</w:t>
      </w:r>
    </w:p>
    <w:p w14:paraId="339F25C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Papiya, F., Nandy, A., Mondal, S. and Kundu, P. P. (2017). Co/Al</w:t>
      </w:r>
      <w:r w:rsidRPr="002F3518">
        <w:rPr>
          <w:rFonts w:ascii="Times New Roman" w:hAnsi="Times New Roman"/>
          <w:sz w:val="20"/>
          <w:szCs w:val="20"/>
          <w:vertAlign w:val="subscript"/>
          <w:lang w:val="en-MY" w:bidi="ar-SA"/>
        </w:rPr>
        <w:t>2</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 xml:space="preserve">-rGO nanocomposite as cathode electrocatalyst for superior oxygen reduction in microbial fuel cell applications: The effect of nanocomposite composition. </w:t>
      </w:r>
      <w:r w:rsidRPr="002F3518">
        <w:rPr>
          <w:rFonts w:ascii="Times New Roman" w:hAnsi="Times New Roman"/>
          <w:i/>
          <w:iCs/>
          <w:sz w:val="20"/>
          <w:szCs w:val="20"/>
          <w:lang w:val="en-MY" w:bidi="ar-SA"/>
        </w:rPr>
        <w:t>Electrochimica Acta</w:t>
      </w:r>
      <w:r w:rsidRPr="002F3518">
        <w:rPr>
          <w:rFonts w:ascii="Times New Roman" w:hAnsi="Times New Roman"/>
          <w:sz w:val="20"/>
          <w:szCs w:val="20"/>
          <w:lang w:val="en-MY" w:bidi="ar-SA"/>
        </w:rPr>
        <w:t>, 254: 1-13.</w:t>
      </w:r>
    </w:p>
    <w:p w14:paraId="7B78E981"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fr-FR" w:bidi="ar-SA"/>
        </w:rPr>
        <w:t xml:space="preserve">Santoro, C., Arbizzani, C., Erable, B. and Ieropoulos, I. (2017). </w:t>
      </w:r>
      <w:r w:rsidRPr="002F3518">
        <w:rPr>
          <w:rFonts w:ascii="Times New Roman" w:hAnsi="Times New Roman"/>
          <w:sz w:val="20"/>
          <w:szCs w:val="20"/>
          <w:lang w:val="en-MY" w:bidi="ar-SA"/>
        </w:rPr>
        <w:t xml:space="preserve">Microbial fuel cells: From fundamentals to applications. A review. </w:t>
      </w:r>
      <w:r w:rsidRPr="002F3518">
        <w:rPr>
          <w:rFonts w:ascii="Times New Roman" w:hAnsi="Times New Roman"/>
          <w:i/>
          <w:iCs/>
          <w:sz w:val="20"/>
          <w:szCs w:val="20"/>
          <w:lang w:val="en-MY" w:bidi="ar-SA"/>
        </w:rPr>
        <w:t>Journal of Power Sources</w:t>
      </w:r>
      <w:r w:rsidRPr="002F3518">
        <w:rPr>
          <w:rFonts w:ascii="Times New Roman" w:hAnsi="Times New Roman"/>
          <w:sz w:val="20"/>
          <w:szCs w:val="20"/>
          <w:lang w:val="en-MY" w:bidi="ar-SA"/>
        </w:rPr>
        <w:t>, 356: 225-244.</w:t>
      </w:r>
    </w:p>
    <w:p w14:paraId="68A2EC20"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Li, S., Pan, W., Wang, S., Meng, X., Jiang, C. and Irvine, J. T. (2017). Electrochemical performance </w:t>
      </w:r>
      <w:r w:rsidRPr="002F3518">
        <w:rPr>
          <w:rFonts w:ascii="Times New Roman" w:hAnsi="Times New Roman"/>
          <w:sz w:val="20"/>
          <w:szCs w:val="20"/>
          <w:lang w:val="en-MY" w:bidi="ar-SA"/>
        </w:rPr>
        <w:t xml:space="preserve">of different carbon fuels on a hybrid direct carbon fuel cell. </w:t>
      </w:r>
      <w:r w:rsidRPr="002F3518">
        <w:rPr>
          <w:rFonts w:ascii="Times New Roman" w:hAnsi="Times New Roman"/>
          <w:i/>
          <w:iCs/>
          <w:sz w:val="20"/>
          <w:szCs w:val="20"/>
          <w:lang w:val="en-MY" w:bidi="ar-SA"/>
        </w:rPr>
        <w:t>International Journal of Hydrogen Energy</w:t>
      </w:r>
      <w:r w:rsidRPr="002F3518">
        <w:rPr>
          <w:rFonts w:ascii="Times New Roman" w:hAnsi="Times New Roman"/>
          <w:sz w:val="20"/>
          <w:szCs w:val="20"/>
          <w:lang w:val="en-MY" w:bidi="ar-SA"/>
        </w:rPr>
        <w:t>, 42(25): 16279-16287.</w:t>
      </w:r>
    </w:p>
    <w:p w14:paraId="4D4987FA"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Goswami, C., Hazarika, K. K. and Bharali, P. (2018). Transition metal oxide nanocatalysts for oxygen reduction reaction. </w:t>
      </w:r>
      <w:r w:rsidRPr="002F3518">
        <w:rPr>
          <w:rFonts w:ascii="Times New Roman" w:hAnsi="Times New Roman"/>
          <w:i/>
          <w:iCs/>
          <w:sz w:val="20"/>
          <w:szCs w:val="20"/>
          <w:lang w:val="en-MY" w:bidi="ar-SA"/>
        </w:rPr>
        <w:t>Materials Science for Energy Technologies</w:t>
      </w:r>
      <w:r w:rsidRPr="002F3518">
        <w:rPr>
          <w:rFonts w:ascii="Times New Roman" w:hAnsi="Times New Roman"/>
          <w:sz w:val="20"/>
          <w:szCs w:val="20"/>
          <w:lang w:val="en-MY" w:bidi="ar-SA"/>
        </w:rPr>
        <w:t>, 1(2): 117-128.</w:t>
      </w:r>
    </w:p>
    <w:p w14:paraId="18F2616E" w14:textId="77777777" w:rsidR="002F3518" w:rsidRPr="002F3518" w:rsidRDefault="002F3518" w:rsidP="00780D9D">
      <w:pPr>
        <w:numPr>
          <w:ilvl w:val="0"/>
          <w:numId w:val="4"/>
        </w:numPr>
        <w:spacing w:after="0"/>
        <w:ind w:left="446" w:hanging="360"/>
        <w:contextualSpacing/>
        <w:jc w:val="both"/>
        <w:rPr>
          <w:rFonts w:ascii="Times New Roman" w:hAnsi="Times New Roman"/>
          <w:i/>
          <w:iCs/>
          <w:sz w:val="20"/>
          <w:szCs w:val="20"/>
          <w:lang w:bidi="ar-SA"/>
        </w:rPr>
      </w:pPr>
      <w:r w:rsidRPr="002F3518">
        <w:rPr>
          <w:rFonts w:ascii="Times New Roman" w:hAnsi="Times New Roman"/>
          <w:sz w:val="20"/>
          <w:szCs w:val="20"/>
          <w:lang w:bidi="ar-SA"/>
        </w:rPr>
        <w:t xml:space="preserve">Liu, X. and Hu, X. (2016). Iron oxide/oxyhydroxide decorated graphene oxides for oxygen reduction reaction catalysis: a comparison study  </w:t>
      </w:r>
      <w:r w:rsidRPr="002F3518">
        <w:rPr>
          <w:rFonts w:ascii="Times New Roman" w:hAnsi="Times New Roman"/>
          <w:i/>
          <w:iCs/>
          <w:sz w:val="20"/>
          <w:szCs w:val="20"/>
          <w:lang w:bidi="ar-SA"/>
        </w:rPr>
        <w:t>RSC Advance, 6</w:t>
      </w:r>
      <w:r w:rsidRPr="002F3518">
        <w:rPr>
          <w:rFonts w:ascii="Times New Roman" w:hAnsi="Times New Roman"/>
          <w:sz w:val="20"/>
          <w:szCs w:val="20"/>
          <w:lang w:bidi="ar-SA"/>
        </w:rPr>
        <w:t>: 29848.</w:t>
      </w:r>
    </w:p>
    <w:p w14:paraId="25908A1C"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Hof, F., Liu, M., Valenti, G., Picheau, E., Paolucci, F. and Pénicaud, A. (2019). Size control of nanographene supported iron oxide nanoparticles enhances their electrocatalytic performance for the oxygen reduction and oxygen evolution reactions. </w:t>
      </w:r>
      <w:r w:rsidRPr="002F3518">
        <w:rPr>
          <w:rFonts w:ascii="Times New Roman" w:hAnsi="Times New Roman"/>
          <w:i/>
          <w:iCs/>
          <w:sz w:val="20"/>
          <w:szCs w:val="20"/>
          <w:lang w:val="en-MY" w:bidi="ar-SA"/>
        </w:rPr>
        <w:t>The Journal of Physical Chemistry C</w:t>
      </w:r>
      <w:r w:rsidRPr="002F3518">
        <w:rPr>
          <w:rFonts w:ascii="Times New Roman" w:hAnsi="Times New Roman"/>
          <w:sz w:val="20"/>
          <w:szCs w:val="20"/>
          <w:lang w:val="en-MY" w:bidi="ar-SA"/>
        </w:rPr>
        <w:t>, 123(34): 20774-20780.</w:t>
      </w:r>
    </w:p>
    <w:p w14:paraId="350F232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Ma, Y., Wang, H., Key, J., Linkov, V., Ji, S., Mao, X., Wang, Q. and Wang, R. (2014). Ultrafine iron oxide nanoparticles supported on N-doped carbon black as an oxygen reduction reaction catalyst. </w:t>
      </w:r>
      <w:r w:rsidRPr="002F3518">
        <w:rPr>
          <w:rFonts w:ascii="Times New Roman" w:eastAsia="Calibri" w:hAnsi="Times New Roman"/>
          <w:i/>
          <w:iCs/>
          <w:sz w:val="20"/>
          <w:szCs w:val="20"/>
          <w:lang w:bidi="ar-SA"/>
        </w:rPr>
        <w:t xml:space="preserve">International Journal of Hydrogen Energy, </w:t>
      </w:r>
      <w:r w:rsidRPr="002F3518">
        <w:rPr>
          <w:rFonts w:ascii="Times New Roman" w:eastAsia="Calibri" w:hAnsi="Times New Roman"/>
          <w:sz w:val="20"/>
          <w:szCs w:val="20"/>
          <w:lang w:bidi="ar-SA"/>
        </w:rPr>
        <w:t>39(27): 14777-14782.</w:t>
      </w:r>
    </w:p>
    <w:p w14:paraId="20C42D84" w14:textId="77777777" w:rsidR="002F3518" w:rsidRPr="002F3518" w:rsidRDefault="002F3518" w:rsidP="00780D9D">
      <w:pPr>
        <w:numPr>
          <w:ilvl w:val="0"/>
          <w:numId w:val="4"/>
        </w:numPr>
        <w:spacing w:after="0"/>
        <w:ind w:left="446"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Wu, Z.-S., Yang, S., Sun, Y., Parvez, K., Feng, X. and Müllen, K. (2012). 3D nitrogen-doped graphene aerogel-supported Fe</w:t>
      </w:r>
      <w:r w:rsidRPr="002F3518">
        <w:rPr>
          <w:rFonts w:ascii="Times New Roman" w:eastAsia="Calibri" w:hAnsi="Times New Roman"/>
          <w:sz w:val="20"/>
          <w:szCs w:val="20"/>
          <w:vertAlign w:val="subscript"/>
          <w:lang w:bidi="ar-SA"/>
        </w:rPr>
        <w:t>3</w:t>
      </w:r>
      <w:r w:rsidRPr="002F3518">
        <w:rPr>
          <w:rFonts w:ascii="Times New Roman" w:eastAsia="Calibri" w:hAnsi="Times New Roman"/>
          <w:sz w:val="20"/>
          <w:szCs w:val="20"/>
          <w:lang w:bidi="ar-SA"/>
        </w:rPr>
        <w:t>O</w:t>
      </w:r>
      <w:r w:rsidRPr="002F3518">
        <w:rPr>
          <w:rFonts w:ascii="Times New Roman" w:eastAsia="Calibri" w:hAnsi="Times New Roman"/>
          <w:sz w:val="20"/>
          <w:szCs w:val="20"/>
          <w:vertAlign w:val="subscript"/>
          <w:lang w:bidi="ar-SA"/>
        </w:rPr>
        <w:t>4</w:t>
      </w:r>
      <w:r w:rsidRPr="002F3518">
        <w:rPr>
          <w:rFonts w:ascii="Times New Roman" w:eastAsia="Calibri" w:hAnsi="Times New Roman"/>
          <w:sz w:val="20"/>
          <w:szCs w:val="20"/>
          <w:lang w:bidi="ar-SA"/>
        </w:rPr>
        <w:t xml:space="preserve"> nanoparticles as efficient electrocatalysts for the oxygen reduction reaction. </w:t>
      </w:r>
      <w:r w:rsidRPr="002F3518">
        <w:rPr>
          <w:rFonts w:ascii="Times New Roman" w:eastAsia="Calibri" w:hAnsi="Times New Roman"/>
          <w:i/>
          <w:iCs/>
          <w:sz w:val="20"/>
          <w:szCs w:val="20"/>
          <w:lang w:bidi="ar-SA"/>
        </w:rPr>
        <w:t>Journal of the American Chemical Society,</w:t>
      </w:r>
      <w:r w:rsidRPr="002F3518">
        <w:rPr>
          <w:rFonts w:ascii="Times New Roman" w:eastAsia="Calibri" w:hAnsi="Times New Roman"/>
          <w:sz w:val="20"/>
          <w:szCs w:val="20"/>
          <w:lang w:bidi="ar-SA"/>
        </w:rPr>
        <w:t xml:space="preserve"> 134(22): 9082-9085.</w:t>
      </w:r>
    </w:p>
    <w:p w14:paraId="2112EA16" w14:textId="77777777" w:rsidR="002F3518" w:rsidRPr="002F3518" w:rsidRDefault="002F3518" w:rsidP="00780D9D">
      <w:pPr>
        <w:numPr>
          <w:ilvl w:val="0"/>
          <w:numId w:val="4"/>
        </w:numPr>
        <w:spacing w:after="0"/>
        <w:ind w:left="446"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Sun, W., Wu, T., Wang, L., Yang, Z., Zhua, T., Dong, C. and Liu, G. (2019). The role of graphene loading on the corrosion-promotion activity of graphene/epoxy nanocomposite coatings. </w:t>
      </w:r>
      <w:r w:rsidRPr="002F3518">
        <w:rPr>
          <w:rFonts w:ascii="Times New Roman" w:eastAsia="Calibri" w:hAnsi="Times New Roman"/>
          <w:i/>
          <w:iCs/>
          <w:sz w:val="20"/>
          <w:szCs w:val="20"/>
          <w:lang w:bidi="ar-SA"/>
        </w:rPr>
        <w:t>Composites Part B: Engineering,</w:t>
      </w:r>
      <w:r w:rsidRPr="002F3518">
        <w:rPr>
          <w:rFonts w:ascii="Times New Roman" w:eastAsia="Calibri" w:hAnsi="Times New Roman"/>
          <w:sz w:val="20"/>
          <w:szCs w:val="20"/>
          <w:lang w:bidi="ar-SA"/>
        </w:rPr>
        <w:t xml:space="preserve"> 173: 106916 </w:t>
      </w:r>
    </w:p>
    <w:p w14:paraId="6DAB0C41"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Karunagaran, R., Coghlan, C., Tung, T. T., Kabiri, S., Tran, D. N., Doonan, C. J. and Losic, D. (2017). Study of iron oxide nanoparticle phases in graphene aerogels for oxygen reduction reaction. </w:t>
      </w:r>
      <w:r w:rsidRPr="002F3518">
        <w:rPr>
          <w:rFonts w:ascii="Times New Roman" w:hAnsi="Times New Roman"/>
          <w:i/>
          <w:iCs/>
          <w:sz w:val="20"/>
          <w:szCs w:val="20"/>
          <w:lang w:val="en-MY" w:bidi="ar-SA"/>
        </w:rPr>
        <w:t>New Journal of Chemistry</w:t>
      </w:r>
      <w:r w:rsidRPr="002F3518">
        <w:rPr>
          <w:rFonts w:ascii="Times New Roman" w:hAnsi="Times New Roman"/>
          <w:sz w:val="20"/>
          <w:szCs w:val="20"/>
          <w:lang w:val="en-MY" w:bidi="ar-SA"/>
        </w:rPr>
        <w:t>, 41(24): 15180-15186.</w:t>
      </w:r>
    </w:p>
    <w:p w14:paraId="78DA62A3" w14:textId="77777777" w:rsidR="00BC3B1C" w:rsidRDefault="002F3518" w:rsidP="00780D9D">
      <w:pPr>
        <w:numPr>
          <w:ilvl w:val="0"/>
          <w:numId w:val="4"/>
        </w:numPr>
        <w:spacing w:after="0"/>
        <w:ind w:left="446" w:hanging="360"/>
        <w:contextualSpacing/>
        <w:jc w:val="both"/>
        <w:rPr>
          <w:rFonts w:ascii="Times New Roman" w:eastAsia="Calibri" w:hAnsi="Times New Roman"/>
          <w:sz w:val="20"/>
          <w:szCs w:val="20"/>
          <w:lang w:bidi="ar-SA"/>
        </w:rPr>
        <w:sectPr w:rsidR="00BC3B1C" w:rsidSect="00C045B9">
          <w:type w:val="continuous"/>
          <w:pgSz w:w="12240" w:h="15840" w:code="1"/>
          <w:pgMar w:top="1800" w:right="1469" w:bottom="1699" w:left="1440" w:header="706" w:footer="706" w:gutter="0"/>
          <w:pgNumType w:start="1"/>
          <w:cols w:num="2" w:space="403"/>
          <w:docGrid w:linePitch="360"/>
        </w:sectPr>
      </w:pPr>
      <w:r w:rsidRPr="002F3518">
        <w:rPr>
          <w:rFonts w:ascii="Times New Roman" w:hAnsi="Times New Roman"/>
          <w:sz w:val="20"/>
          <w:szCs w:val="20"/>
          <w:lang w:bidi="ar-SA"/>
        </w:rPr>
        <w:t xml:space="preserve">Duan, Z. </w:t>
      </w:r>
      <w:r w:rsidRPr="002F3518">
        <w:rPr>
          <w:rFonts w:ascii="Times New Roman" w:eastAsia="Calibri" w:hAnsi="Times New Roman"/>
          <w:sz w:val="20"/>
          <w:szCs w:val="20"/>
          <w:lang w:bidi="ar-SA"/>
        </w:rPr>
        <w:t xml:space="preserve">(2019). </w:t>
      </w:r>
      <w:r w:rsidRPr="002F3518">
        <w:rPr>
          <w:rFonts w:ascii="Times New Roman" w:hAnsi="Times New Roman"/>
          <w:sz w:val="20"/>
          <w:szCs w:val="20"/>
          <w:lang w:bidi="ar-SA"/>
        </w:rPr>
        <w:t xml:space="preserve">Application of graphene in metal corrosion </w:t>
      </w:r>
      <w:r w:rsidRPr="002F3518">
        <w:rPr>
          <w:rFonts w:ascii="Times New Roman" w:eastAsia="Calibri" w:hAnsi="Times New Roman"/>
          <w:sz w:val="20"/>
          <w:szCs w:val="20"/>
          <w:lang w:bidi="ar-SA"/>
        </w:rPr>
        <w:t xml:space="preserve">protection. </w:t>
      </w:r>
      <w:r w:rsidRPr="002F3518">
        <w:rPr>
          <w:rFonts w:ascii="Times New Roman" w:eastAsia="Calibri" w:hAnsi="Times New Roman"/>
          <w:i/>
          <w:iCs/>
          <w:sz w:val="20"/>
          <w:szCs w:val="20"/>
          <w:lang w:bidi="ar-SA"/>
        </w:rPr>
        <w:t>IOP Conference Series: Materials Science Engineering,</w:t>
      </w:r>
      <w:r w:rsidRPr="002F3518">
        <w:rPr>
          <w:rFonts w:ascii="Times New Roman" w:eastAsia="Calibri" w:hAnsi="Times New Roman"/>
          <w:sz w:val="20"/>
          <w:szCs w:val="20"/>
          <w:lang w:bidi="ar-SA"/>
        </w:rPr>
        <w:t xml:space="preserve"> 493: 012020.</w:t>
      </w:r>
    </w:p>
    <w:p w14:paraId="560217A4" w14:textId="3FD4381C" w:rsidR="002F3518" w:rsidRDefault="002F3518" w:rsidP="00CA4564">
      <w:pPr>
        <w:spacing w:after="0"/>
        <w:contextualSpacing/>
        <w:jc w:val="both"/>
        <w:rPr>
          <w:rFonts w:ascii="Times New Roman" w:hAnsi="Times New Roman"/>
          <w:sz w:val="20"/>
          <w:szCs w:val="20"/>
          <w:lang w:bidi="ar-SA"/>
        </w:rPr>
      </w:pPr>
    </w:p>
    <w:p w14:paraId="4B7955B3" w14:textId="08D99177" w:rsidR="00CA4564" w:rsidRDefault="00CA4564" w:rsidP="00CA4564">
      <w:pPr>
        <w:spacing w:after="0"/>
        <w:contextualSpacing/>
        <w:jc w:val="both"/>
        <w:rPr>
          <w:rFonts w:ascii="Times New Roman" w:hAnsi="Times New Roman"/>
          <w:sz w:val="20"/>
          <w:szCs w:val="20"/>
          <w:lang w:bidi="ar-SA"/>
        </w:rPr>
      </w:pPr>
    </w:p>
    <w:p w14:paraId="1DAE491D" w14:textId="4237B0EE" w:rsidR="00CA4564" w:rsidRDefault="00CA4564" w:rsidP="00CA4564">
      <w:pPr>
        <w:spacing w:after="0"/>
        <w:contextualSpacing/>
        <w:jc w:val="both"/>
        <w:rPr>
          <w:rFonts w:ascii="Times New Roman" w:hAnsi="Times New Roman"/>
          <w:sz w:val="20"/>
          <w:szCs w:val="20"/>
          <w:lang w:bidi="ar-SA"/>
        </w:rPr>
      </w:pPr>
    </w:p>
    <w:p w14:paraId="6D8B7AAB" w14:textId="1AEDD4A8" w:rsidR="00CA4564" w:rsidRDefault="00CA4564" w:rsidP="00CA4564">
      <w:pPr>
        <w:spacing w:after="0"/>
        <w:contextualSpacing/>
        <w:jc w:val="both"/>
        <w:rPr>
          <w:rFonts w:ascii="Times New Roman" w:hAnsi="Times New Roman"/>
          <w:sz w:val="20"/>
          <w:szCs w:val="20"/>
          <w:lang w:bidi="ar-SA"/>
        </w:rPr>
      </w:pPr>
    </w:p>
    <w:p w14:paraId="3103DF1D" w14:textId="77777777" w:rsidR="00CA4564" w:rsidRPr="002F3518" w:rsidRDefault="00CA4564" w:rsidP="00CA4564">
      <w:pPr>
        <w:spacing w:after="0"/>
        <w:contextualSpacing/>
        <w:jc w:val="both"/>
        <w:rPr>
          <w:rFonts w:ascii="Times New Roman" w:hAnsi="Times New Roman"/>
          <w:sz w:val="20"/>
          <w:szCs w:val="20"/>
          <w:lang w:bidi="ar-SA"/>
        </w:rPr>
      </w:pPr>
    </w:p>
    <w:p w14:paraId="2951DC80"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lastRenderedPageBreak/>
        <w:t xml:space="preserve">Parhizkar, N., Ramezanzadeh, B. and Shahrabi, T. (2018). Corrosion protection and adhesion properties of the epoxy coating applied on the steel substrate pre-treated by a sol-gel based silane coating filled with amino and isocyanate silane functionalised graphene oxide nanosheets. </w:t>
      </w:r>
      <w:r w:rsidRPr="002F3518">
        <w:rPr>
          <w:rFonts w:ascii="Times New Roman" w:hAnsi="Times New Roman"/>
          <w:i/>
          <w:iCs/>
          <w:sz w:val="20"/>
          <w:szCs w:val="20"/>
          <w:lang w:val="en-MY" w:bidi="ar-SA"/>
        </w:rPr>
        <w:t>Applied Surface Sciences,</w:t>
      </w:r>
      <w:r w:rsidRPr="002F3518">
        <w:rPr>
          <w:rFonts w:ascii="Times New Roman" w:hAnsi="Times New Roman"/>
          <w:sz w:val="20"/>
          <w:szCs w:val="20"/>
          <w:lang w:val="en-MY" w:bidi="ar-SA"/>
        </w:rPr>
        <w:t xml:space="preserve"> 439: 45-59.</w:t>
      </w:r>
    </w:p>
    <w:p w14:paraId="4484DFE2" w14:textId="77777777" w:rsidR="002F3518" w:rsidRPr="002F3518" w:rsidRDefault="002F3518" w:rsidP="00780D9D">
      <w:pPr>
        <w:numPr>
          <w:ilvl w:val="0"/>
          <w:numId w:val="4"/>
        </w:numPr>
        <w:spacing w:after="0"/>
        <w:ind w:left="446"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Chen, S., Brown, L., Levendorf, M., Cai, W., Ju, S.-Y., Edgeworth, J., Li, X., Magnuson, C. W., Velamakanni, A., Piner, R. D., Kang, J., Park, J. and Runoff, R.S. (2011). Oxidation resistance of graphene-coated Cu and Cu/Ni alloy. </w:t>
      </w:r>
      <w:r w:rsidRPr="002F3518">
        <w:rPr>
          <w:rFonts w:ascii="Times New Roman" w:eastAsia="Calibri" w:hAnsi="Times New Roman"/>
          <w:i/>
          <w:iCs/>
          <w:sz w:val="20"/>
          <w:szCs w:val="20"/>
          <w:lang w:bidi="ar-SA"/>
        </w:rPr>
        <w:t xml:space="preserve">ACS Nano, </w:t>
      </w:r>
      <w:r w:rsidRPr="002F3518">
        <w:rPr>
          <w:rFonts w:ascii="Times New Roman" w:eastAsia="Calibri" w:hAnsi="Times New Roman"/>
          <w:sz w:val="20"/>
          <w:szCs w:val="20"/>
          <w:lang w:bidi="ar-SA"/>
        </w:rPr>
        <w:t>5(2): 1321-1327.</w:t>
      </w:r>
    </w:p>
    <w:p w14:paraId="388DC29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Ding, R., Chen, S., Zhou, N., Zheng, Y., Li, B. J., Gui, T. J., ... and Tian, H. W. (2019). The diffusion-dynamical and electrochemical effect mechanism of oriented magnetic graphene on zinc-rich coatings and the electrodynamics and quantum mechanics mechanism of electron conduction in graphene zinc-rich coatings. </w:t>
      </w:r>
      <w:r w:rsidRPr="002F3518">
        <w:rPr>
          <w:rFonts w:ascii="Times New Roman" w:hAnsi="Times New Roman"/>
          <w:i/>
          <w:iCs/>
          <w:sz w:val="20"/>
          <w:szCs w:val="20"/>
          <w:lang w:val="en-MY" w:bidi="ar-SA"/>
        </w:rPr>
        <w:t>Journal of Alloys and Compounds</w:t>
      </w:r>
      <w:r w:rsidRPr="002F3518">
        <w:rPr>
          <w:rFonts w:ascii="Times New Roman" w:hAnsi="Times New Roman"/>
          <w:sz w:val="20"/>
          <w:szCs w:val="20"/>
          <w:lang w:val="en-MY" w:bidi="ar-SA"/>
        </w:rPr>
        <w:t>, 784: 756-768.</w:t>
      </w:r>
    </w:p>
    <w:p w14:paraId="316EB408"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Zhang, L., Wu, H., Zheng, Z., He, H., Wei, M. and Huang, X. (2019). Fabrication of graphene oxide/multi-walled carbon nanotube/urushiol formaldehyde polymer composite coatings and evaluation of their physico-mechanical properties and corrosion resistance. </w:t>
      </w:r>
      <w:r w:rsidRPr="002F3518">
        <w:rPr>
          <w:rFonts w:ascii="Times New Roman" w:hAnsi="Times New Roman"/>
          <w:i/>
          <w:iCs/>
          <w:sz w:val="20"/>
          <w:szCs w:val="20"/>
          <w:lang w:val="en-MY" w:bidi="ar-SA"/>
        </w:rPr>
        <w:t>Progress in Organic Coatings</w:t>
      </w:r>
      <w:r w:rsidRPr="002F3518">
        <w:rPr>
          <w:rFonts w:ascii="Times New Roman" w:hAnsi="Times New Roman"/>
          <w:sz w:val="20"/>
          <w:szCs w:val="20"/>
          <w:lang w:val="en-MY" w:bidi="ar-SA"/>
        </w:rPr>
        <w:t>, 127: 131-139.</w:t>
      </w:r>
    </w:p>
    <w:p w14:paraId="7EFD71F1"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Yu, F., Camilli, L., Wang, T., Mackenzie, D. M., Curioni, M., Akid, R. and Bøggild, P. (2018). Complete long-term corrosion protection with chemical vapor deposited graphene. </w:t>
      </w:r>
      <w:r w:rsidRPr="002F3518">
        <w:rPr>
          <w:rFonts w:ascii="Times New Roman" w:hAnsi="Times New Roman"/>
          <w:i/>
          <w:iCs/>
          <w:sz w:val="20"/>
          <w:szCs w:val="20"/>
          <w:lang w:val="en-MY" w:bidi="ar-SA"/>
        </w:rPr>
        <w:t>Carbon</w:t>
      </w:r>
      <w:r w:rsidRPr="002F3518">
        <w:rPr>
          <w:rFonts w:ascii="Times New Roman" w:hAnsi="Times New Roman"/>
          <w:sz w:val="20"/>
          <w:szCs w:val="20"/>
          <w:lang w:val="en-MY" w:bidi="ar-SA"/>
        </w:rPr>
        <w:t>, 132: 78-84.</w:t>
      </w:r>
    </w:p>
    <w:p w14:paraId="5C091EFD"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fr-FR" w:bidi="ar-SA"/>
        </w:rPr>
        <w:t xml:space="preserve">Bouanis, F. Z., Moutoussammy, P., Florea, I., Dominique, N., Chaussadent, T. and Pribat, D. (2019). </w:t>
      </w:r>
      <w:r w:rsidRPr="002F3518">
        <w:rPr>
          <w:rFonts w:ascii="Times New Roman" w:hAnsi="Times New Roman"/>
          <w:sz w:val="20"/>
          <w:szCs w:val="20"/>
          <w:lang w:val="en-MY" w:bidi="ar-SA"/>
        </w:rPr>
        <w:t xml:space="preserve">Graphene nanoplatelets coating for corrosion protection of aluminum substrates. </w:t>
      </w:r>
      <w:r w:rsidRPr="002F3518">
        <w:rPr>
          <w:rFonts w:ascii="Times New Roman" w:hAnsi="Times New Roman"/>
          <w:i/>
          <w:iCs/>
          <w:sz w:val="20"/>
          <w:szCs w:val="20"/>
          <w:lang w:val="en-MY" w:bidi="ar-SA"/>
        </w:rPr>
        <w:t>Corrosion</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75</w:t>
      </w:r>
      <w:r w:rsidRPr="002F3518">
        <w:rPr>
          <w:rFonts w:ascii="Times New Roman" w:hAnsi="Times New Roman"/>
          <w:sz w:val="20"/>
          <w:szCs w:val="20"/>
          <w:lang w:val="en-MY" w:bidi="ar-SA"/>
        </w:rPr>
        <w:t>(7): 799-808.</w:t>
      </w:r>
    </w:p>
    <w:p w14:paraId="64F6B43D"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Necolau, M. I. and Pandele, A. M. (2020). Recent advances in graphene oxide-based anti-corrosive coatings: An overview. </w:t>
      </w:r>
      <w:r w:rsidRPr="002F3518">
        <w:rPr>
          <w:rFonts w:ascii="Times New Roman" w:hAnsi="Times New Roman"/>
          <w:i/>
          <w:iCs/>
          <w:sz w:val="20"/>
          <w:szCs w:val="20"/>
          <w:lang w:val="en-MY" w:bidi="ar-SA"/>
        </w:rPr>
        <w:t>Coatings</w:t>
      </w:r>
      <w:r w:rsidRPr="002F3518">
        <w:rPr>
          <w:rFonts w:ascii="Times New Roman" w:hAnsi="Times New Roman"/>
          <w:sz w:val="20"/>
          <w:szCs w:val="20"/>
          <w:lang w:val="en-MY" w:bidi="ar-SA"/>
        </w:rPr>
        <w:t>, 10(12): 1149.</w:t>
      </w:r>
    </w:p>
    <w:p w14:paraId="676D6A50"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Nayak, P. K., Hsu, C. J., Wang, S. C., Sung, J. C. and Huang, J. L. (2013). Graphene coated Ni </w:t>
      </w:r>
      <w:r w:rsidRPr="002F3518">
        <w:rPr>
          <w:rFonts w:ascii="Times New Roman" w:hAnsi="Times New Roman"/>
          <w:sz w:val="20"/>
          <w:szCs w:val="20"/>
          <w:lang w:val="en-MY" w:bidi="ar-SA"/>
        </w:rPr>
        <w:t xml:space="preserve">films: a protective coating. </w:t>
      </w:r>
      <w:r w:rsidRPr="002F3518">
        <w:rPr>
          <w:rFonts w:ascii="Times New Roman" w:hAnsi="Times New Roman"/>
          <w:i/>
          <w:iCs/>
          <w:sz w:val="20"/>
          <w:szCs w:val="20"/>
          <w:lang w:val="en-MY" w:bidi="ar-SA"/>
        </w:rPr>
        <w:t>Thin Solid Films</w:t>
      </w:r>
      <w:r w:rsidRPr="002F3518">
        <w:rPr>
          <w:rFonts w:ascii="Times New Roman" w:hAnsi="Times New Roman"/>
          <w:sz w:val="20"/>
          <w:szCs w:val="20"/>
          <w:lang w:val="en-MY" w:bidi="ar-SA"/>
        </w:rPr>
        <w:t>, 529: 312-316.</w:t>
      </w:r>
    </w:p>
    <w:p w14:paraId="6B947D50"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Anisur, M. R., Banerjee, P. C., Easton, C. D. and Raman, R. S. (2018). Controlling hydrogen environment and cooling during CVD graphene growth on nickel for improved corrosion resistance. </w:t>
      </w:r>
      <w:r w:rsidRPr="002F3518">
        <w:rPr>
          <w:rFonts w:ascii="Times New Roman" w:hAnsi="Times New Roman"/>
          <w:i/>
          <w:iCs/>
          <w:sz w:val="20"/>
          <w:szCs w:val="20"/>
          <w:lang w:val="en-MY" w:bidi="ar-SA"/>
        </w:rPr>
        <w:t>Carbon</w:t>
      </w:r>
      <w:r w:rsidRPr="002F3518">
        <w:rPr>
          <w:rFonts w:ascii="Times New Roman" w:hAnsi="Times New Roman"/>
          <w:sz w:val="20"/>
          <w:szCs w:val="20"/>
          <w:lang w:val="en-MY" w:bidi="ar-SA"/>
        </w:rPr>
        <w:t>, 127: 131-140.</w:t>
      </w:r>
    </w:p>
    <w:p w14:paraId="3A9868BD"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Chen, S., Brown, L., Levendorf, M., Cai, W., Ju, S.-Y., Edgeworth, J., Li, X., Magnuson, C.W., Velamakanni, A., Piner, R.D., Kang, J., Park, J. and Runoff, R.S. (2011). Oxidation resistance of graphene-coated Cu and Cu/Ni alloy. </w:t>
      </w:r>
      <w:r w:rsidRPr="002F3518">
        <w:rPr>
          <w:rFonts w:ascii="Times New Roman" w:hAnsi="Times New Roman"/>
          <w:i/>
          <w:iCs/>
          <w:sz w:val="20"/>
          <w:szCs w:val="20"/>
          <w:lang w:val="en-MY" w:bidi="ar-SA"/>
        </w:rPr>
        <w:t>ACS Nano,</w:t>
      </w:r>
      <w:r w:rsidRPr="002F3518">
        <w:rPr>
          <w:rFonts w:ascii="Times New Roman" w:hAnsi="Times New Roman"/>
          <w:sz w:val="20"/>
          <w:szCs w:val="20"/>
          <w:lang w:val="en-MY" w:bidi="ar-SA"/>
        </w:rPr>
        <w:t xml:space="preserve"> 5(2): 1321-1327.</w:t>
      </w:r>
    </w:p>
    <w:p w14:paraId="03F6EC1C"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bidi="ar-SA"/>
        </w:rPr>
        <w:t xml:space="preserve">Bagherzadeh, M., Haddadi, H. and Iranpour, M. (2016). Electrochemical evaluation and surface study of magnetite/PANI nanocomposite for carbon steel protection in 3.5% NaCl. </w:t>
      </w:r>
      <w:r w:rsidRPr="002F3518">
        <w:rPr>
          <w:rFonts w:ascii="Times New Roman" w:hAnsi="Times New Roman"/>
          <w:i/>
          <w:iCs/>
          <w:sz w:val="20"/>
          <w:szCs w:val="20"/>
          <w:lang w:bidi="ar-SA"/>
        </w:rPr>
        <w:t>Progress in Organic Coatings,</w:t>
      </w:r>
      <w:r w:rsidRPr="002F3518">
        <w:rPr>
          <w:rFonts w:ascii="Times New Roman" w:hAnsi="Times New Roman"/>
          <w:sz w:val="20"/>
          <w:szCs w:val="20"/>
          <w:lang w:bidi="ar-SA"/>
        </w:rPr>
        <w:t xml:space="preserve"> 101: 149-160</w:t>
      </w:r>
    </w:p>
    <w:p w14:paraId="32CCB2A8"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bidi="ar-SA"/>
        </w:rPr>
        <w:t xml:space="preserve">Sai, K. Jyotheender and Srivastava, C. (2019). Ni-graphene oxide composite coatings: Optimum graphene oxide for enhanced corrosion resistance. </w:t>
      </w:r>
      <w:r w:rsidRPr="002F3518">
        <w:rPr>
          <w:rFonts w:ascii="Times New Roman" w:hAnsi="Times New Roman"/>
          <w:i/>
          <w:iCs/>
          <w:sz w:val="20"/>
          <w:szCs w:val="20"/>
          <w:lang w:bidi="ar-SA"/>
        </w:rPr>
        <w:t>Composites Part B: Engineering,</w:t>
      </w:r>
      <w:r w:rsidRPr="002F3518">
        <w:rPr>
          <w:rFonts w:ascii="Times New Roman" w:hAnsi="Times New Roman"/>
          <w:sz w:val="20"/>
          <w:szCs w:val="20"/>
          <w:lang w:bidi="ar-SA"/>
        </w:rPr>
        <w:t xml:space="preserve"> 175: 107145.</w:t>
      </w:r>
    </w:p>
    <w:p w14:paraId="71EEB19E"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bidi="ar-SA"/>
        </w:rPr>
        <w:t xml:space="preserve">Khamis, E. A., Hamdy, A. and Morsi, R.E. (2018). Magnetite nanoparticles/polyvinyl pyrrolidone stabilised system for corrosion inhibition of carbon steel. </w:t>
      </w:r>
      <w:r w:rsidRPr="002F3518">
        <w:rPr>
          <w:rFonts w:ascii="Times New Roman" w:hAnsi="Times New Roman"/>
          <w:i/>
          <w:iCs/>
          <w:sz w:val="20"/>
          <w:szCs w:val="20"/>
          <w:lang w:bidi="ar-SA"/>
        </w:rPr>
        <w:t>Egyptian Journal of Petroleum</w:t>
      </w:r>
      <w:r w:rsidRPr="002F3518">
        <w:rPr>
          <w:rFonts w:ascii="Times New Roman" w:hAnsi="Times New Roman"/>
          <w:sz w:val="20"/>
          <w:szCs w:val="20"/>
          <w:lang w:bidi="ar-SA"/>
        </w:rPr>
        <w:t>, 27(4): 919-926</w:t>
      </w:r>
    </w:p>
    <w:p w14:paraId="6D20EB63"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Bohdan, K., Maria A A. F. Nuno, F. F. S., Farzin, M., Alexandre, F. F. C. Kiryl, Y., António J. S. S. F. Adriana, B., Bruno, F., Rui, S., João, T.  and Florinda M. C. (2021). A critical review on the production and application of graphene and graphene-based materials in anti-corrosion coatings</w:t>
      </w:r>
      <w:r w:rsidRPr="002F3518">
        <w:rPr>
          <w:rFonts w:ascii="Times New Roman" w:eastAsia="Calibri" w:hAnsi="Times New Roman"/>
          <w:i/>
          <w:iCs/>
          <w:sz w:val="20"/>
          <w:szCs w:val="20"/>
          <w:lang w:bidi="ar-SA"/>
        </w:rPr>
        <w:t xml:space="preserve">. Critical Reviews in Solid State and Materials Sciences, </w:t>
      </w:r>
      <w:r w:rsidRPr="002F3518">
        <w:rPr>
          <w:rFonts w:ascii="Times New Roman" w:eastAsia="Calibri" w:hAnsi="Times New Roman"/>
          <w:sz w:val="20"/>
          <w:szCs w:val="20"/>
          <w:lang w:bidi="ar-SA"/>
        </w:rPr>
        <w:t>47(3): 309-355.</w:t>
      </w:r>
    </w:p>
    <w:p w14:paraId="22F331DF"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Mahmoudi, M., Raeissi, K., Karimzadeh, F. and Golozar, M. A.(2019). A study on corrosion behavior of graphene oxide coating produced on stainless steel by electrophoretic deposition. </w:t>
      </w:r>
      <w:r w:rsidRPr="002F3518">
        <w:rPr>
          <w:rFonts w:ascii="Times New Roman" w:eastAsia="Calibri" w:hAnsi="Times New Roman"/>
          <w:i/>
          <w:iCs/>
          <w:sz w:val="20"/>
          <w:szCs w:val="20"/>
          <w:lang w:bidi="ar-SA"/>
        </w:rPr>
        <w:t>Surface and Coatings Technology</w:t>
      </w:r>
      <w:r w:rsidRPr="002F3518">
        <w:rPr>
          <w:rFonts w:ascii="Times New Roman" w:eastAsia="Calibri" w:hAnsi="Times New Roman"/>
          <w:sz w:val="20"/>
          <w:szCs w:val="20"/>
          <w:lang w:bidi="ar-SA"/>
        </w:rPr>
        <w:t>,  372: 327-342,</w:t>
      </w:r>
    </w:p>
    <w:p w14:paraId="7C932A35" w14:textId="77777777" w:rsidR="00CA4564" w:rsidRDefault="002F3518" w:rsidP="00780D9D">
      <w:pPr>
        <w:numPr>
          <w:ilvl w:val="0"/>
          <w:numId w:val="4"/>
        </w:numPr>
        <w:spacing w:after="0"/>
        <w:ind w:left="446" w:hanging="360"/>
        <w:contextualSpacing/>
        <w:jc w:val="both"/>
        <w:rPr>
          <w:rFonts w:ascii="Times New Roman" w:hAnsi="Times New Roman"/>
          <w:sz w:val="20"/>
          <w:szCs w:val="20"/>
          <w:lang w:bidi="ar-SA"/>
        </w:rPr>
        <w:sectPr w:rsidR="00CA4564" w:rsidSect="00C045B9">
          <w:type w:val="continuous"/>
          <w:pgSz w:w="12240" w:h="15840" w:code="1"/>
          <w:pgMar w:top="1800" w:right="1469" w:bottom="1699" w:left="1440" w:header="706" w:footer="706" w:gutter="0"/>
          <w:pgNumType w:start="1"/>
          <w:cols w:num="2" w:space="403"/>
          <w:docGrid w:linePitch="360"/>
        </w:sectPr>
      </w:pPr>
      <w:r w:rsidRPr="002F3518">
        <w:rPr>
          <w:rFonts w:ascii="Times New Roman" w:hAnsi="Times New Roman"/>
          <w:sz w:val="20"/>
          <w:szCs w:val="20"/>
          <w:lang w:bidi="ar-SA"/>
        </w:rPr>
        <w:t xml:space="preserve">Manjavacas, G., &amp; Nieto, B. (2016). Hydrogen sensors and detectors. In </w:t>
      </w:r>
      <w:r w:rsidRPr="002F3518">
        <w:rPr>
          <w:rFonts w:ascii="Times New Roman" w:hAnsi="Times New Roman"/>
          <w:i/>
          <w:iCs/>
          <w:sz w:val="20"/>
          <w:szCs w:val="20"/>
          <w:lang w:bidi="ar-SA"/>
        </w:rPr>
        <w:t xml:space="preserve">Compendium of Hydrogen Energy </w:t>
      </w:r>
      <w:r w:rsidRPr="002F3518">
        <w:rPr>
          <w:rFonts w:ascii="Times New Roman" w:hAnsi="Times New Roman"/>
          <w:sz w:val="20"/>
          <w:szCs w:val="20"/>
          <w:lang w:bidi="ar-SA"/>
        </w:rPr>
        <w:t>(pp. 215-234). Woodhead Publishing.</w:t>
      </w:r>
    </w:p>
    <w:p w14:paraId="66CD0A0E" w14:textId="34C728D1" w:rsidR="002F3518" w:rsidRDefault="002F3518" w:rsidP="00CA4564">
      <w:pPr>
        <w:spacing w:after="0"/>
        <w:contextualSpacing/>
        <w:jc w:val="both"/>
        <w:rPr>
          <w:rFonts w:ascii="Times New Roman" w:hAnsi="Times New Roman"/>
          <w:sz w:val="20"/>
          <w:szCs w:val="20"/>
          <w:lang w:bidi="ar-SA"/>
        </w:rPr>
      </w:pPr>
    </w:p>
    <w:p w14:paraId="5775B39D" w14:textId="59787822" w:rsidR="00CA4564" w:rsidRDefault="00CA4564" w:rsidP="00CA4564">
      <w:pPr>
        <w:spacing w:after="0"/>
        <w:contextualSpacing/>
        <w:jc w:val="both"/>
        <w:rPr>
          <w:rFonts w:ascii="Times New Roman" w:hAnsi="Times New Roman"/>
          <w:sz w:val="20"/>
          <w:szCs w:val="20"/>
          <w:lang w:bidi="ar-SA"/>
        </w:rPr>
      </w:pPr>
    </w:p>
    <w:p w14:paraId="7DA591FB" w14:textId="53DE3E06" w:rsidR="00CA4564" w:rsidRDefault="00CA4564" w:rsidP="00CA4564">
      <w:pPr>
        <w:spacing w:after="0"/>
        <w:contextualSpacing/>
        <w:jc w:val="both"/>
        <w:rPr>
          <w:rFonts w:ascii="Times New Roman" w:hAnsi="Times New Roman"/>
          <w:sz w:val="20"/>
          <w:szCs w:val="20"/>
          <w:lang w:bidi="ar-SA"/>
        </w:rPr>
      </w:pPr>
    </w:p>
    <w:p w14:paraId="0FFE3F21" w14:textId="77777777" w:rsidR="00CA4564" w:rsidRPr="002F3518" w:rsidRDefault="00CA4564" w:rsidP="00CA4564">
      <w:pPr>
        <w:spacing w:after="0"/>
        <w:contextualSpacing/>
        <w:jc w:val="both"/>
        <w:rPr>
          <w:rFonts w:ascii="Times New Roman" w:hAnsi="Times New Roman"/>
          <w:sz w:val="20"/>
          <w:szCs w:val="20"/>
          <w:lang w:bidi="ar-SA"/>
        </w:rPr>
      </w:pPr>
    </w:p>
    <w:p w14:paraId="6307B751"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lastRenderedPageBreak/>
        <w:t xml:space="preserve">Fronczak, M., Łabędź, O., Kaszuwara, W. and Bystrzejewski, M. (2018). Corrosion resistance studies of carbon-encapsulated iron nanoparticles. </w:t>
      </w:r>
      <w:r w:rsidRPr="002F3518">
        <w:rPr>
          <w:rFonts w:ascii="Times New Roman" w:hAnsi="Times New Roman"/>
          <w:i/>
          <w:iCs/>
          <w:sz w:val="20"/>
          <w:szCs w:val="20"/>
          <w:lang w:val="en-MY" w:bidi="ar-SA"/>
        </w:rPr>
        <w:t>Journal of Materials Science</w:t>
      </w:r>
      <w:r w:rsidRPr="002F3518">
        <w:rPr>
          <w:rFonts w:ascii="Times New Roman" w:hAnsi="Times New Roman"/>
          <w:sz w:val="20"/>
          <w:szCs w:val="20"/>
          <w:lang w:val="en-MY" w:bidi="ar-SA"/>
        </w:rPr>
        <w:t>, 53(5): 3805-3816.</w:t>
      </w:r>
    </w:p>
    <w:p w14:paraId="3A107E69"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Nag, A., Mitra, A. and Mukhopadhyay, S. C. (2018). Graphene and its sensor-based applications: A review. </w:t>
      </w:r>
      <w:r w:rsidRPr="002F3518">
        <w:rPr>
          <w:rFonts w:ascii="Times New Roman" w:hAnsi="Times New Roman"/>
          <w:i/>
          <w:iCs/>
          <w:sz w:val="20"/>
          <w:szCs w:val="20"/>
          <w:lang w:val="en-MY" w:bidi="ar-SA"/>
        </w:rPr>
        <w:t>Sensors and Actuators A: Physical</w:t>
      </w:r>
      <w:r w:rsidRPr="002F3518">
        <w:rPr>
          <w:rFonts w:ascii="Times New Roman" w:hAnsi="Times New Roman"/>
          <w:sz w:val="20"/>
          <w:szCs w:val="20"/>
          <w:lang w:val="en-MY" w:bidi="ar-SA"/>
        </w:rPr>
        <w:t>, 270: 177-194.</w:t>
      </w:r>
    </w:p>
    <w:p w14:paraId="25CE4FC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Agnihotri, A. S., Varghese, A. and Nidhin, M. (2021). Transition metal oxides in electrochemical and bio sensing: A state-of-art review. </w:t>
      </w:r>
      <w:r w:rsidRPr="002F3518">
        <w:rPr>
          <w:rFonts w:ascii="Times New Roman" w:hAnsi="Times New Roman"/>
          <w:i/>
          <w:iCs/>
          <w:sz w:val="20"/>
          <w:szCs w:val="20"/>
          <w:lang w:val="en-MY" w:bidi="ar-SA"/>
        </w:rPr>
        <w:t>Applied Surface Science Advances</w:t>
      </w:r>
      <w:r w:rsidRPr="002F3518">
        <w:rPr>
          <w:rFonts w:ascii="Times New Roman" w:hAnsi="Times New Roman"/>
          <w:sz w:val="20"/>
          <w:szCs w:val="20"/>
          <w:lang w:val="en-MY" w:bidi="ar-SA"/>
        </w:rPr>
        <w:t>, 4: 100072.</w:t>
      </w:r>
    </w:p>
    <w:p w14:paraId="76D7194C"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Yusoff, F., Rosli, A. R. and Ghadimi, H. (2021). Synthesis and characterisation of gold nanoparticles/poly3,4-ethylene-dioxythiophene/reduced-graphene oxide for electrochemical detection of dopamine. </w:t>
      </w:r>
      <w:r w:rsidRPr="002F3518">
        <w:rPr>
          <w:rFonts w:ascii="Times New Roman" w:hAnsi="Times New Roman"/>
          <w:i/>
          <w:iCs/>
          <w:sz w:val="20"/>
          <w:szCs w:val="20"/>
          <w:lang w:val="en-MY" w:bidi="ar-SA"/>
        </w:rPr>
        <w:t>Journal of Electrochemical Society</w:t>
      </w:r>
      <w:r w:rsidRPr="002F3518">
        <w:rPr>
          <w:rFonts w:ascii="Times New Roman" w:hAnsi="Times New Roman"/>
          <w:sz w:val="20"/>
          <w:szCs w:val="20"/>
          <w:lang w:val="en-MY" w:bidi="ar-SA"/>
        </w:rPr>
        <w:t>, 168(2): 026509.</w:t>
      </w:r>
    </w:p>
    <w:p w14:paraId="34F2658E"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bidi="ar-SA"/>
        </w:rPr>
        <w:t xml:space="preserve">Ladmakhi, H. B., Chekin, F., Fathi, S. and Raoof, J. B. (2020). Electrochemical sensor based on magnetite graphene oxide/ordered mesoporous carbon hybrid to detection of allopurinol in clinical samples. </w:t>
      </w:r>
      <w:r w:rsidRPr="002F3518">
        <w:rPr>
          <w:rFonts w:ascii="Times New Roman" w:hAnsi="Times New Roman"/>
          <w:i/>
          <w:iCs/>
          <w:sz w:val="20"/>
          <w:szCs w:val="20"/>
          <w:lang w:bidi="ar-SA"/>
        </w:rPr>
        <w:t>Talanta,</w:t>
      </w:r>
      <w:r w:rsidRPr="002F3518">
        <w:rPr>
          <w:rFonts w:ascii="Times New Roman" w:hAnsi="Times New Roman"/>
          <w:sz w:val="20"/>
          <w:szCs w:val="20"/>
          <w:lang w:bidi="ar-SA"/>
        </w:rPr>
        <w:t xml:space="preserve"> 211: 120759.</w:t>
      </w:r>
    </w:p>
    <w:p w14:paraId="522ED69F"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Rosli, A. R. M., Yusoff, F., Loh, S. H., Yusoff, H. M., Jamil, M. M. A. and Shamsudin, S. H. (2021). Simultaneous electrochemical detection of ascorbic acid, dopamine, and uric acid at magnetic nanoparticles/reduced graphene oxide modified electrode. </w:t>
      </w:r>
      <w:r w:rsidRPr="002F3518">
        <w:rPr>
          <w:rFonts w:ascii="Times New Roman" w:hAnsi="Times New Roman"/>
          <w:i/>
          <w:iCs/>
          <w:sz w:val="20"/>
          <w:szCs w:val="20"/>
          <w:lang w:val="en-MY" w:bidi="ar-SA"/>
        </w:rPr>
        <w:t>Jurnal Teknologi</w:t>
      </w:r>
      <w:r w:rsidRPr="002F3518">
        <w:rPr>
          <w:rFonts w:ascii="Times New Roman" w:hAnsi="Times New Roman"/>
          <w:sz w:val="20"/>
          <w:szCs w:val="20"/>
          <w:lang w:val="en-MY" w:bidi="ar-SA"/>
        </w:rPr>
        <w:t>, 83(3): 85-92.</w:t>
      </w:r>
    </w:p>
    <w:p w14:paraId="69EC6A0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Salamon, J., Sathishkumar, Y., Ramachandran, K., Lee, Y. S., Yoo, D. J. and Kim, A. R. (2015). One-pot synthesis of magnetite nanorods/graphene composites and its catalytic activity toward electrochemical detection of dopamine. </w:t>
      </w:r>
      <w:r w:rsidRPr="002F3518">
        <w:rPr>
          <w:rFonts w:ascii="Times New Roman" w:hAnsi="Times New Roman"/>
          <w:i/>
          <w:iCs/>
          <w:sz w:val="20"/>
          <w:szCs w:val="20"/>
          <w:lang w:val="en-MY" w:bidi="ar-SA"/>
        </w:rPr>
        <w:t>Biosensors and Bioelectronics</w:t>
      </w:r>
      <w:r w:rsidRPr="002F3518">
        <w:rPr>
          <w:rFonts w:ascii="Times New Roman" w:hAnsi="Times New Roman"/>
          <w:sz w:val="20"/>
          <w:szCs w:val="20"/>
          <w:lang w:val="en-MY" w:bidi="ar-SA"/>
        </w:rPr>
        <w:t>, 64: 269-276.</w:t>
      </w:r>
    </w:p>
    <w:p w14:paraId="2DAC675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Teymourian, H., Salimi, A. and Khezrian, S. (2013).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 xml:space="preserve">4 </w:t>
      </w:r>
      <w:r w:rsidRPr="002F3518">
        <w:rPr>
          <w:rFonts w:ascii="Times New Roman" w:hAnsi="Times New Roman"/>
          <w:sz w:val="20"/>
          <w:szCs w:val="20"/>
          <w:lang w:val="en-MY" w:bidi="ar-SA"/>
        </w:rPr>
        <w:t xml:space="preserve">magnetic nanoparticles/reduced graphene oxide nanosheets as a novel electrochemical and bioeletrochemical sensing platform. </w:t>
      </w:r>
      <w:r w:rsidRPr="002F3518">
        <w:rPr>
          <w:rFonts w:ascii="Times New Roman" w:hAnsi="Times New Roman"/>
          <w:i/>
          <w:iCs/>
          <w:sz w:val="20"/>
          <w:szCs w:val="20"/>
          <w:lang w:val="en-MY" w:bidi="ar-SA"/>
        </w:rPr>
        <w:t>Biosensors and Bioelectronics</w:t>
      </w:r>
      <w:r w:rsidRPr="002F3518">
        <w:rPr>
          <w:rFonts w:ascii="Times New Roman" w:hAnsi="Times New Roman"/>
          <w:sz w:val="20"/>
          <w:szCs w:val="20"/>
          <w:lang w:val="en-MY" w:bidi="ar-SA"/>
        </w:rPr>
        <w:t>, 49: 1-8.</w:t>
      </w:r>
    </w:p>
    <w:p w14:paraId="4A050B15"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bidi="ar-SA"/>
        </w:rPr>
        <w:t xml:space="preserve">Shao, Y., Wang, J., Wu, H., Liu, J., Aksay, I. A. and Lin, Y. (2010). Graphene based electrochemical sensors and biosensors: a review. </w:t>
      </w:r>
      <w:r w:rsidRPr="002F3518">
        <w:rPr>
          <w:rFonts w:ascii="Times New Roman" w:hAnsi="Times New Roman"/>
          <w:i/>
          <w:iCs/>
          <w:sz w:val="20"/>
          <w:szCs w:val="20"/>
          <w:lang w:bidi="ar-SA"/>
        </w:rPr>
        <w:t xml:space="preserve">Electroanalysis: An International Journal Devoted to Fundamental and Practical Aspects of Electroanalysis, </w:t>
      </w:r>
      <w:r w:rsidRPr="002F3518">
        <w:rPr>
          <w:rFonts w:ascii="Times New Roman" w:hAnsi="Times New Roman"/>
          <w:sz w:val="20"/>
          <w:szCs w:val="20"/>
          <w:lang w:bidi="ar-SA"/>
        </w:rPr>
        <w:t>22(10): 1027-1036.</w:t>
      </w:r>
    </w:p>
    <w:p w14:paraId="3E87115A"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bidi="ar-SA"/>
        </w:rPr>
        <w:t>Xin, Y., Fu-bing, X., Hong-wei, L., Feng, W., Di-zhao, C. and Zhao-yang, W. (2013). A novel H</w:t>
      </w:r>
      <w:r w:rsidRPr="002F3518">
        <w:rPr>
          <w:rFonts w:ascii="Times New Roman" w:hAnsi="Times New Roman"/>
          <w:sz w:val="20"/>
          <w:szCs w:val="20"/>
          <w:vertAlign w:val="subscript"/>
          <w:lang w:bidi="ar-SA"/>
        </w:rPr>
        <w:t>2</w:t>
      </w:r>
      <w:r w:rsidRPr="002F3518">
        <w:rPr>
          <w:rFonts w:ascii="Times New Roman" w:hAnsi="Times New Roman"/>
          <w:sz w:val="20"/>
          <w:szCs w:val="20"/>
          <w:lang w:bidi="ar-SA"/>
        </w:rPr>
        <w:t>O</w:t>
      </w:r>
      <w:r w:rsidRPr="002F3518">
        <w:rPr>
          <w:rFonts w:ascii="Times New Roman" w:hAnsi="Times New Roman"/>
          <w:sz w:val="20"/>
          <w:szCs w:val="20"/>
          <w:vertAlign w:val="subscript"/>
          <w:lang w:bidi="ar-SA"/>
        </w:rPr>
        <w:t xml:space="preserve">2 </w:t>
      </w:r>
      <w:r w:rsidRPr="002F3518">
        <w:rPr>
          <w:rFonts w:ascii="Times New Roman" w:hAnsi="Times New Roman"/>
          <w:sz w:val="20"/>
          <w:szCs w:val="20"/>
          <w:lang w:bidi="ar-SA"/>
        </w:rPr>
        <w:t>biosensor based on Fe</w:t>
      </w:r>
      <w:r w:rsidRPr="002F3518">
        <w:rPr>
          <w:rFonts w:ascii="Times New Roman" w:hAnsi="Times New Roman"/>
          <w:sz w:val="20"/>
          <w:szCs w:val="20"/>
          <w:vertAlign w:val="subscript"/>
          <w:lang w:bidi="ar-SA"/>
        </w:rPr>
        <w:t>3</w:t>
      </w:r>
      <w:r w:rsidRPr="002F3518">
        <w:rPr>
          <w:rFonts w:ascii="Times New Roman" w:hAnsi="Times New Roman"/>
          <w:sz w:val="20"/>
          <w:szCs w:val="20"/>
          <w:lang w:bidi="ar-SA"/>
        </w:rPr>
        <w:t>O</w:t>
      </w:r>
      <w:r w:rsidRPr="002F3518">
        <w:rPr>
          <w:rFonts w:ascii="Times New Roman" w:hAnsi="Times New Roman"/>
          <w:sz w:val="20"/>
          <w:szCs w:val="20"/>
          <w:vertAlign w:val="subscript"/>
          <w:lang w:bidi="ar-SA"/>
        </w:rPr>
        <w:t>4</w:t>
      </w:r>
      <w:r w:rsidRPr="002F3518">
        <w:rPr>
          <w:rFonts w:ascii="Times New Roman" w:hAnsi="Times New Roman"/>
          <w:sz w:val="20"/>
          <w:szCs w:val="20"/>
          <w:lang w:bidi="ar-SA"/>
        </w:rPr>
        <w:t xml:space="preserve">–Au magnetic nanoparticles coated horseradish peroxidase and graphene sheets–Nafion film modified screen-printed carbon electrode. </w:t>
      </w:r>
      <w:r w:rsidRPr="002F3518">
        <w:rPr>
          <w:rFonts w:ascii="Times New Roman" w:hAnsi="Times New Roman"/>
          <w:i/>
          <w:iCs/>
          <w:sz w:val="20"/>
          <w:szCs w:val="20"/>
          <w:lang w:bidi="ar-SA"/>
        </w:rPr>
        <w:t>Electrochimica Acta,</w:t>
      </w:r>
      <w:r w:rsidRPr="002F3518">
        <w:rPr>
          <w:rFonts w:ascii="Times New Roman" w:hAnsi="Times New Roman"/>
          <w:sz w:val="20"/>
          <w:szCs w:val="20"/>
          <w:lang w:bidi="ar-SA"/>
        </w:rPr>
        <w:t xml:space="preserve"> 109: 750-755.</w:t>
      </w:r>
    </w:p>
    <w:p w14:paraId="5EB172AD"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Sharafeldin, M., Bishop, G. W., Bhakta, S., El-Sawy, A., Suib, S. L. and Rusling, J. F. (2017).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 xml:space="preserve">4 </w:t>
      </w:r>
      <w:r w:rsidRPr="002F3518">
        <w:rPr>
          <w:rFonts w:ascii="Times New Roman" w:hAnsi="Times New Roman"/>
          <w:sz w:val="20"/>
          <w:szCs w:val="20"/>
          <w:lang w:val="en-MY" w:bidi="ar-SA"/>
        </w:rPr>
        <w:t xml:space="preserve">nanoparticles on graphene oxide sheets for isolation and ultrasensitive amperometric detection of cancer biomarker proteins. </w:t>
      </w:r>
      <w:r w:rsidRPr="002F3518">
        <w:rPr>
          <w:rFonts w:ascii="Times New Roman" w:hAnsi="Times New Roman"/>
          <w:i/>
          <w:iCs/>
          <w:sz w:val="20"/>
          <w:szCs w:val="20"/>
          <w:lang w:val="en-MY" w:bidi="ar-SA"/>
        </w:rPr>
        <w:t>Biosensors and Bioelectronics</w:t>
      </w:r>
      <w:r w:rsidRPr="002F3518">
        <w:rPr>
          <w:rFonts w:ascii="Times New Roman" w:hAnsi="Times New Roman"/>
          <w:sz w:val="20"/>
          <w:szCs w:val="20"/>
          <w:lang w:val="en-MY" w:bidi="ar-SA"/>
        </w:rPr>
        <w:t>, 91: 359-366.</w:t>
      </w:r>
    </w:p>
    <w:p w14:paraId="58892D8A"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Häggström, Fredrik; Delsing, Jerker. (2018). IoT Energy Storage – A Forecast”. </w:t>
      </w:r>
      <w:r w:rsidRPr="002F3518">
        <w:rPr>
          <w:rFonts w:ascii="Times New Roman" w:hAnsi="Times New Roman"/>
          <w:i/>
          <w:iCs/>
          <w:sz w:val="20"/>
          <w:szCs w:val="20"/>
          <w:lang w:val="en-MY" w:bidi="ar-SA"/>
        </w:rPr>
        <w:t>Energy Harvesting and Systems.</w:t>
      </w:r>
      <w:r w:rsidRPr="002F3518">
        <w:rPr>
          <w:rFonts w:ascii="Times New Roman" w:hAnsi="Times New Roman"/>
          <w:sz w:val="20"/>
          <w:szCs w:val="20"/>
          <w:lang w:val="en-MY" w:bidi="ar-SA"/>
        </w:rPr>
        <w:t xml:space="preserve"> 5 (3–4): 43-51</w:t>
      </w:r>
    </w:p>
    <w:p w14:paraId="21A4E70B"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Xu, B., Zheng, M., Tang, H., Chen, Z., Chi, Y., Wang, L., ... and Pang, H. (2019). Iron oxide-based nanomaterials for supercapacitors. </w:t>
      </w:r>
      <w:r w:rsidRPr="002F3518">
        <w:rPr>
          <w:rFonts w:ascii="Times New Roman" w:hAnsi="Times New Roman"/>
          <w:i/>
          <w:iCs/>
          <w:sz w:val="20"/>
          <w:szCs w:val="20"/>
          <w:lang w:val="en-MY" w:bidi="ar-SA"/>
        </w:rPr>
        <w:t>Nanotechnology</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30</w:t>
      </w:r>
      <w:r w:rsidRPr="002F3518">
        <w:rPr>
          <w:rFonts w:ascii="Times New Roman" w:hAnsi="Times New Roman"/>
          <w:sz w:val="20"/>
          <w:szCs w:val="20"/>
          <w:lang w:val="en-MY" w:bidi="ar-SA"/>
        </w:rPr>
        <w:t>(20), 204002.</w:t>
      </w:r>
    </w:p>
    <w:p w14:paraId="4E4057A7"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Ghanbari, R., Shabestari, M. E., Kalali, E. N., Hu, Y. and Ghorbani, S. R. (2021). Iron (II and III) Oxides/reduced graphene oxide/polypyrrole ternary nanocomposite as electrochemical supercapacitor electrode. </w:t>
      </w:r>
      <w:r w:rsidRPr="002F3518">
        <w:rPr>
          <w:rFonts w:ascii="Times New Roman" w:hAnsi="Times New Roman"/>
          <w:i/>
          <w:iCs/>
          <w:sz w:val="20"/>
          <w:szCs w:val="20"/>
          <w:lang w:val="en-MY" w:bidi="ar-SA"/>
        </w:rPr>
        <w:t>Journal of The Electrochemical Society</w:t>
      </w:r>
      <w:r w:rsidRPr="002F3518">
        <w:rPr>
          <w:rFonts w:ascii="Times New Roman" w:hAnsi="Times New Roman"/>
          <w:sz w:val="20"/>
          <w:szCs w:val="20"/>
          <w:lang w:val="en-MY" w:bidi="ar-SA"/>
        </w:rPr>
        <w:t>, 168(3): 030543.</w:t>
      </w:r>
    </w:p>
    <w:p w14:paraId="156F868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Ghasemi, S., Hosseini, S. R. and Kazemi, Z. (2018). Electrophoretic preparation of graphene-iron oxide nanocomposite as an efficient Pt-free counter electrode for dye-sensitised solar cell. </w:t>
      </w:r>
      <w:r w:rsidRPr="002F3518">
        <w:rPr>
          <w:rFonts w:ascii="Times New Roman" w:hAnsi="Times New Roman"/>
          <w:i/>
          <w:iCs/>
          <w:sz w:val="20"/>
          <w:szCs w:val="20"/>
          <w:lang w:val="en-MY" w:bidi="ar-SA"/>
        </w:rPr>
        <w:t>Journal of Solid State Electrochemistry</w:t>
      </w:r>
      <w:r w:rsidRPr="002F3518">
        <w:rPr>
          <w:rFonts w:ascii="Times New Roman" w:hAnsi="Times New Roman"/>
          <w:sz w:val="20"/>
          <w:szCs w:val="20"/>
          <w:lang w:val="en-MY" w:bidi="ar-SA"/>
        </w:rPr>
        <w:t>, 22(1): 245-253.</w:t>
      </w:r>
    </w:p>
    <w:p w14:paraId="728888E2"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Sharma, P. and Bhatti, T.S. (2010). A review on electrochemical double-layer capacitors. </w:t>
      </w:r>
      <w:r w:rsidRPr="002F3518">
        <w:rPr>
          <w:rFonts w:ascii="Times New Roman" w:hAnsi="Times New Roman"/>
          <w:i/>
          <w:iCs/>
          <w:sz w:val="20"/>
          <w:szCs w:val="20"/>
          <w:lang w:val="en-MY" w:bidi="ar-SA"/>
        </w:rPr>
        <w:t>Energy Conversion Management,</w:t>
      </w:r>
      <w:r w:rsidRPr="002F3518">
        <w:rPr>
          <w:rFonts w:ascii="Times New Roman" w:hAnsi="Times New Roman"/>
          <w:sz w:val="20"/>
          <w:szCs w:val="20"/>
          <w:lang w:val="en-MY" w:bidi="ar-SA"/>
        </w:rPr>
        <w:t xml:space="preserve"> 51(12): 2901-2912</w:t>
      </w:r>
    </w:p>
    <w:p w14:paraId="7AF84DDE"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bidi="ar-SA"/>
        </w:rPr>
        <w:t xml:space="preserve">Fleischmann, S., Mitchell, J. B., Wang, R., Zhan, C., Jiang, D. E., Presser, V. and Augustyn, V. (2020). Pseudocapacitance: from fundamental understanding to high power energy storage </w:t>
      </w:r>
      <w:r w:rsidRPr="002F3518">
        <w:rPr>
          <w:rFonts w:ascii="Times New Roman" w:eastAsia="Calibri" w:hAnsi="Times New Roman"/>
          <w:sz w:val="20"/>
          <w:szCs w:val="20"/>
          <w:lang w:bidi="ar-SA"/>
        </w:rPr>
        <w:t xml:space="preserve">materials. </w:t>
      </w:r>
      <w:r w:rsidRPr="002F3518">
        <w:rPr>
          <w:rFonts w:ascii="Times New Roman" w:eastAsia="Calibri" w:hAnsi="Times New Roman"/>
          <w:i/>
          <w:iCs/>
          <w:sz w:val="20"/>
          <w:szCs w:val="20"/>
          <w:lang w:bidi="ar-SA"/>
        </w:rPr>
        <w:t>Chemical Reviews,</w:t>
      </w:r>
      <w:r w:rsidRPr="002F3518">
        <w:rPr>
          <w:rFonts w:ascii="Times New Roman" w:eastAsia="Calibri" w:hAnsi="Times New Roman"/>
          <w:sz w:val="20"/>
          <w:szCs w:val="20"/>
          <w:lang w:bidi="ar-SA"/>
        </w:rPr>
        <w:t xml:space="preserve"> 120(2020): 6738-6782.</w:t>
      </w:r>
    </w:p>
    <w:p w14:paraId="22D042F3"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Wang, G., Zhang, L. and Zhang, J. (2012). </w:t>
      </w:r>
      <w:r w:rsidRPr="002F3518">
        <w:rPr>
          <w:rFonts w:ascii="Times New Roman" w:hAnsi="Times New Roman"/>
          <w:sz w:val="20"/>
          <w:szCs w:val="20"/>
          <w:lang w:bidi="ar-SA"/>
        </w:rPr>
        <w:t xml:space="preserve">A review of electrode materials for electrochemical </w:t>
      </w:r>
      <w:r w:rsidRPr="002F3518">
        <w:rPr>
          <w:rFonts w:ascii="Times New Roman" w:eastAsia="Calibri" w:hAnsi="Times New Roman"/>
          <w:sz w:val="20"/>
          <w:szCs w:val="20"/>
          <w:lang w:bidi="ar-SA"/>
        </w:rPr>
        <w:t xml:space="preserve">supercapacitors. </w:t>
      </w:r>
      <w:r w:rsidRPr="002F3518">
        <w:rPr>
          <w:rFonts w:ascii="Times New Roman" w:eastAsia="Calibri" w:hAnsi="Times New Roman"/>
          <w:i/>
          <w:iCs/>
          <w:sz w:val="20"/>
          <w:szCs w:val="20"/>
          <w:lang w:bidi="ar-SA"/>
        </w:rPr>
        <w:t>Chemical Society Reviews,</w:t>
      </w:r>
      <w:r w:rsidRPr="002F3518">
        <w:rPr>
          <w:rFonts w:ascii="Times New Roman" w:eastAsia="Calibri" w:hAnsi="Times New Roman"/>
          <w:sz w:val="20"/>
          <w:szCs w:val="20"/>
          <w:lang w:bidi="ar-SA"/>
        </w:rPr>
        <w:t xml:space="preserve"> 41(2): 797-828.</w:t>
      </w:r>
    </w:p>
    <w:p w14:paraId="2AA51D2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lastRenderedPageBreak/>
        <w:t xml:space="preserve">Geng, L., Gao, Z. and Deng, Q. (2018). Electrochemical performance of iron oxide nanoflakes on carbon cloth under an external magnetic field. </w:t>
      </w:r>
      <w:r w:rsidRPr="002F3518">
        <w:rPr>
          <w:rFonts w:ascii="Times New Roman" w:hAnsi="Times New Roman"/>
          <w:i/>
          <w:iCs/>
          <w:sz w:val="20"/>
          <w:szCs w:val="20"/>
          <w:lang w:val="en-MY" w:bidi="ar-SA"/>
        </w:rPr>
        <w:t>Metals</w:t>
      </w:r>
      <w:r w:rsidRPr="002F3518">
        <w:rPr>
          <w:rFonts w:ascii="Times New Roman" w:hAnsi="Times New Roman"/>
          <w:sz w:val="20"/>
          <w:szCs w:val="20"/>
          <w:lang w:val="en-MY" w:bidi="ar-SA"/>
        </w:rPr>
        <w:t>, 8(11): 939.</w:t>
      </w:r>
    </w:p>
    <w:p w14:paraId="1B5C0F7A"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Peng, X., Yu, H., Ai, L., Li, N. and Wang, X. (2013). Time behavior and capacitance analysis of nano-Fe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added microbial fuel cells. </w:t>
      </w:r>
      <w:r w:rsidRPr="002F3518">
        <w:rPr>
          <w:rFonts w:ascii="Times New Roman" w:hAnsi="Times New Roman"/>
          <w:i/>
          <w:iCs/>
          <w:sz w:val="20"/>
          <w:szCs w:val="20"/>
          <w:lang w:val="en-MY" w:bidi="ar-SA"/>
        </w:rPr>
        <w:t>Bioresource Technology,</w:t>
      </w:r>
      <w:r w:rsidRPr="002F3518">
        <w:rPr>
          <w:rFonts w:ascii="Times New Roman" w:hAnsi="Times New Roman"/>
          <w:sz w:val="20"/>
          <w:szCs w:val="20"/>
          <w:lang w:val="en-MY" w:bidi="ar-SA"/>
        </w:rPr>
        <w:t xml:space="preserve"> 2013: 144689-114692.</w:t>
      </w:r>
    </w:p>
    <w:p w14:paraId="35CA788A"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bidi="ar-SA"/>
        </w:rPr>
        <w:t>Peng, X., Yu, H., Wang, X., Zhou, Q., Zhang, S., Geng, L., ... and Cai, Z. (2012). Enhanced performance and capacitance behavior of anode by rolling Fe</w:t>
      </w:r>
      <w:r w:rsidRPr="002F3518">
        <w:rPr>
          <w:rFonts w:ascii="Times New Roman" w:hAnsi="Times New Roman"/>
          <w:sz w:val="20"/>
          <w:szCs w:val="20"/>
          <w:vertAlign w:val="subscript"/>
          <w:lang w:bidi="ar-SA"/>
        </w:rPr>
        <w:t>3</w:t>
      </w:r>
      <w:r w:rsidRPr="002F3518">
        <w:rPr>
          <w:rFonts w:ascii="Times New Roman" w:hAnsi="Times New Roman"/>
          <w:sz w:val="20"/>
          <w:szCs w:val="20"/>
          <w:lang w:bidi="ar-SA"/>
        </w:rPr>
        <w:t>O</w:t>
      </w:r>
      <w:r w:rsidRPr="002F3518">
        <w:rPr>
          <w:rFonts w:ascii="Times New Roman" w:hAnsi="Times New Roman"/>
          <w:sz w:val="20"/>
          <w:szCs w:val="20"/>
          <w:vertAlign w:val="subscript"/>
          <w:lang w:bidi="ar-SA"/>
        </w:rPr>
        <w:t xml:space="preserve">4 </w:t>
      </w:r>
      <w:r w:rsidRPr="002F3518">
        <w:rPr>
          <w:rFonts w:ascii="Times New Roman" w:hAnsi="Times New Roman"/>
          <w:sz w:val="20"/>
          <w:szCs w:val="20"/>
          <w:lang w:bidi="ar-SA"/>
        </w:rPr>
        <w:t xml:space="preserve">into activated carbon in microbial fuel cells. </w:t>
      </w:r>
      <w:r w:rsidRPr="002F3518">
        <w:rPr>
          <w:rFonts w:ascii="Times New Roman" w:hAnsi="Times New Roman"/>
          <w:i/>
          <w:iCs/>
          <w:sz w:val="20"/>
          <w:szCs w:val="20"/>
          <w:lang w:bidi="ar-SA"/>
        </w:rPr>
        <w:t>Bioresource Technology,</w:t>
      </w:r>
      <w:r w:rsidRPr="002F3518">
        <w:rPr>
          <w:rFonts w:ascii="Times New Roman" w:hAnsi="Times New Roman"/>
          <w:sz w:val="20"/>
          <w:szCs w:val="20"/>
          <w:lang w:bidi="ar-SA"/>
        </w:rPr>
        <w:t xml:space="preserve"> 121: 450-453.</w:t>
      </w:r>
    </w:p>
    <w:p w14:paraId="337F08F8"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Azhar, A., Yamauchi, Y., Allah, A. E., Alothman, Z. A., Badjah, A. Y., Naushad, M., ... and Zakaria, M. B. (2019). Nanoporous iron oxide/carbon composites through in-situ deposition of prussian blue nanoparticles on graphene oxide nanosheets and subsequent thermal treatment for supercapacitor applications. </w:t>
      </w:r>
      <w:r w:rsidRPr="002F3518">
        <w:rPr>
          <w:rFonts w:ascii="Times New Roman" w:hAnsi="Times New Roman"/>
          <w:i/>
          <w:iCs/>
          <w:sz w:val="20"/>
          <w:szCs w:val="20"/>
          <w:lang w:val="en-MY" w:bidi="ar-SA"/>
        </w:rPr>
        <w:t>Nanomaterials</w:t>
      </w:r>
      <w:r w:rsidRPr="002F3518">
        <w:rPr>
          <w:rFonts w:ascii="Times New Roman" w:hAnsi="Times New Roman"/>
          <w:sz w:val="20"/>
          <w:szCs w:val="20"/>
          <w:lang w:val="en-MY" w:bidi="ar-SA"/>
        </w:rPr>
        <w:t>, 9(5): 776.</w:t>
      </w:r>
    </w:p>
    <w:p w14:paraId="2B87ECD5"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Xia, X. H., Chao, D. L., Zhang, Y. Q., Shen, Z. X. and Fan, H. J. (2014). Three-dimensional graphene and their integrated electrodes. </w:t>
      </w:r>
      <w:r w:rsidRPr="002F3518">
        <w:rPr>
          <w:rFonts w:ascii="Times New Roman" w:hAnsi="Times New Roman"/>
          <w:i/>
          <w:iCs/>
          <w:sz w:val="20"/>
          <w:szCs w:val="20"/>
          <w:lang w:val="en-MY" w:bidi="ar-SA"/>
        </w:rPr>
        <w:t>Nano Today</w:t>
      </w:r>
      <w:r w:rsidRPr="002F3518">
        <w:rPr>
          <w:rFonts w:ascii="Times New Roman" w:hAnsi="Times New Roman"/>
          <w:sz w:val="20"/>
          <w:szCs w:val="20"/>
          <w:lang w:val="en-MY" w:bidi="ar-SA"/>
        </w:rPr>
        <w:t>, 9(6): 785-807.</w:t>
      </w:r>
    </w:p>
    <w:p w14:paraId="18957FF2"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Wang, Q., Jiao, L., Du, H., Wang, Y. and Yuan, H. (2014).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nanoparticles grown on graphene as advanced electrode materials for supercapacitors. </w:t>
      </w:r>
      <w:r w:rsidRPr="002F3518">
        <w:rPr>
          <w:rFonts w:ascii="Times New Roman" w:hAnsi="Times New Roman"/>
          <w:i/>
          <w:iCs/>
          <w:sz w:val="20"/>
          <w:szCs w:val="20"/>
          <w:lang w:val="en-MY" w:bidi="ar-SA"/>
        </w:rPr>
        <w:t>Journal of Power Sources</w:t>
      </w:r>
      <w:r w:rsidRPr="002F3518">
        <w:rPr>
          <w:rFonts w:ascii="Times New Roman" w:hAnsi="Times New Roman"/>
          <w:sz w:val="20"/>
          <w:szCs w:val="20"/>
          <w:lang w:val="en-MY" w:bidi="ar-SA"/>
        </w:rPr>
        <w:t>, 245: 101-106.</w:t>
      </w:r>
    </w:p>
    <w:p w14:paraId="3A5A3537"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Yoo, J. J., Balakrishnan, K., Huang, J., Meunier, V., Sumpter, B. G., Srivastava, A., ... and Ajayan, P. M. (2011). Ultrathin planar graphene supercapacitors. </w:t>
      </w:r>
      <w:r w:rsidRPr="002F3518">
        <w:rPr>
          <w:rFonts w:ascii="Times New Roman" w:hAnsi="Times New Roman"/>
          <w:i/>
          <w:iCs/>
          <w:sz w:val="20"/>
          <w:szCs w:val="20"/>
          <w:lang w:val="en-MY" w:bidi="ar-SA"/>
        </w:rPr>
        <w:t>Nano Letters</w:t>
      </w:r>
      <w:r w:rsidRPr="002F3518">
        <w:rPr>
          <w:rFonts w:ascii="Times New Roman" w:hAnsi="Times New Roman"/>
          <w:sz w:val="20"/>
          <w:szCs w:val="20"/>
          <w:lang w:val="en-MY" w:bidi="ar-SA"/>
        </w:rPr>
        <w:t>, 11(4): 1423-1427.</w:t>
      </w:r>
    </w:p>
    <w:p w14:paraId="31B851B4"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Papandrea, B., Xu, X., Xu, Y., Chen, C. Y., Lin, Z., Wang, G., ... and Duan, X. (2016). Three-dimensional graphene framework with ultra-high sulfur content for a robust lithium–sulfur battery. </w:t>
      </w:r>
      <w:r w:rsidRPr="002F3518">
        <w:rPr>
          <w:rFonts w:ascii="Times New Roman" w:hAnsi="Times New Roman"/>
          <w:i/>
          <w:iCs/>
          <w:sz w:val="20"/>
          <w:szCs w:val="20"/>
          <w:lang w:val="en-MY" w:bidi="ar-SA"/>
        </w:rPr>
        <w:t>Nano Research</w:t>
      </w:r>
      <w:r w:rsidRPr="002F3518">
        <w:rPr>
          <w:rFonts w:ascii="Times New Roman" w:hAnsi="Times New Roman"/>
          <w:sz w:val="20"/>
          <w:szCs w:val="20"/>
          <w:lang w:val="en-MY" w:bidi="ar-SA"/>
        </w:rPr>
        <w:t>, 9(1): 240-248.</w:t>
      </w:r>
    </w:p>
    <w:p w14:paraId="07232E40"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Kuila, T., Mishra, A. K., Khanra, P., Kim, N. H. and Lee, J. H. (2013). Recent advances in the efficient reduction of graphene oxide and its application as energy storage electrode materials. </w:t>
      </w:r>
      <w:r w:rsidRPr="002F3518">
        <w:rPr>
          <w:rFonts w:ascii="Times New Roman" w:hAnsi="Times New Roman"/>
          <w:i/>
          <w:iCs/>
          <w:sz w:val="20"/>
          <w:szCs w:val="20"/>
          <w:lang w:val="en-MY" w:bidi="ar-SA"/>
        </w:rPr>
        <w:t>Nanoscale</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5</w:t>
      </w:r>
      <w:r w:rsidRPr="002F3518">
        <w:rPr>
          <w:rFonts w:ascii="Times New Roman" w:hAnsi="Times New Roman"/>
          <w:sz w:val="20"/>
          <w:szCs w:val="20"/>
          <w:lang w:val="en-MY" w:bidi="ar-SA"/>
        </w:rPr>
        <w:t>(1): 52-71.</w:t>
      </w:r>
    </w:p>
    <w:p w14:paraId="6BB20824"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Shi, X., Zhang, S., Chen, X., Tang, T. and Mijowska, E. (2017). Effect of iron oxide </w:t>
      </w:r>
      <w:r w:rsidRPr="002F3518">
        <w:rPr>
          <w:rFonts w:ascii="Times New Roman" w:hAnsi="Times New Roman"/>
          <w:sz w:val="20"/>
          <w:szCs w:val="20"/>
          <w:lang w:val="en-MY" w:bidi="ar-SA"/>
        </w:rPr>
        <w:t xml:space="preserve">impregnated in hollow carbon sphere as symmetric supercapacitors. </w:t>
      </w:r>
      <w:r w:rsidRPr="002F3518">
        <w:rPr>
          <w:rFonts w:ascii="Times New Roman" w:hAnsi="Times New Roman"/>
          <w:i/>
          <w:iCs/>
          <w:sz w:val="20"/>
          <w:szCs w:val="20"/>
          <w:lang w:val="en-MY" w:bidi="ar-SA"/>
        </w:rPr>
        <w:t>Journal of Alloys and Compounds</w:t>
      </w:r>
      <w:r w:rsidRPr="002F3518">
        <w:rPr>
          <w:rFonts w:ascii="Times New Roman" w:hAnsi="Times New Roman"/>
          <w:sz w:val="20"/>
          <w:szCs w:val="20"/>
          <w:lang w:val="en-MY" w:bidi="ar-SA"/>
        </w:rPr>
        <w:t>, 726: 466-473.</w:t>
      </w:r>
    </w:p>
    <w:p w14:paraId="27EF4471"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Pu, J., Shen, L., Zhu, S., Wang, J., Zhang, W. and Wang, Z. (2014).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C core–shell microspheres: synthesis, characterisation, and application as supercapacitor electrodes. </w:t>
      </w:r>
      <w:r w:rsidRPr="002F3518">
        <w:rPr>
          <w:rFonts w:ascii="Times New Roman" w:hAnsi="Times New Roman"/>
          <w:i/>
          <w:iCs/>
          <w:sz w:val="20"/>
          <w:szCs w:val="20"/>
          <w:lang w:val="en-MY" w:bidi="ar-SA"/>
        </w:rPr>
        <w:t>Journal of Solid State Electrochemistry</w:t>
      </w:r>
      <w:r w:rsidRPr="002F3518">
        <w:rPr>
          <w:rFonts w:ascii="Times New Roman" w:hAnsi="Times New Roman"/>
          <w:sz w:val="20"/>
          <w:szCs w:val="20"/>
          <w:lang w:val="en-MY" w:bidi="ar-SA"/>
        </w:rPr>
        <w:t>, 18(4): 1067-1076.</w:t>
      </w:r>
    </w:p>
    <w:p w14:paraId="2121642A"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Horn, M., Gupta, B.,  MacLeod, J., Liu, J. and Motta N. (2019). Graphene-based supercapacitor electrodes: Addressing challenges in mechanisms and materials. </w:t>
      </w:r>
      <w:r w:rsidRPr="002F3518">
        <w:rPr>
          <w:rFonts w:ascii="Times New Roman" w:hAnsi="Times New Roman"/>
          <w:i/>
          <w:iCs/>
          <w:sz w:val="20"/>
          <w:szCs w:val="20"/>
          <w:lang w:val="en-MY" w:bidi="ar-SA"/>
        </w:rPr>
        <w:t>Current Opinion in Green and Sustainable Chemistry,</w:t>
      </w:r>
      <w:r w:rsidRPr="002F3518">
        <w:rPr>
          <w:rFonts w:ascii="Times New Roman" w:hAnsi="Times New Roman"/>
          <w:sz w:val="20"/>
          <w:szCs w:val="20"/>
          <w:lang w:val="en-MY" w:bidi="ar-SA"/>
        </w:rPr>
        <w:t xml:space="preserve"> </w:t>
      </w:r>
      <w:r w:rsidRPr="002F3518">
        <w:rPr>
          <w:rFonts w:ascii="Times New Roman" w:eastAsia="Calibri" w:hAnsi="Times New Roman"/>
          <w:sz w:val="20"/>
          <w:szCs w:val="20"/>
          <w:lang w:bidi="ar-SA"/>
        </w:rPr>
        <w:t>17: 42-48.</w:t>
      </w:r>
    </w:p>
    <w:p w14:paraId="190C732E"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Li, X., Huang, X., Liu, D., Wang, X., Song, S., Zhou, L. and Zhang, H. (2011). Synthesis of 3D hierarchical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/graphene composites with high lithium storage capacity and for controlled drug delivery. </w:t>
      </w:r>
      <w:r w:rsidRPr="002F3518">
        <w:rPr>
          <w:rFonts w:ascii="Times New Roman" w:hAnsi="Times New Roman"/>
          <w:i/>
          <w:iCs/>
          <w:sz w:val="20"/>
          <w:szCs w:val="20"/>
          <w:lang w:val="en-MY" w:bidi="ar-SA"/>
        </w:rPr>
        <w:t>The Journal of Physical Chemistry C</w:t>
      </w:r>
      <w:r w:rsidRPr="002F3518">
        <w:rPr>
          <w:rFonts w:ascii="Times New Roman" w:hAnsi="Times New Roman"/>
          <w:sz w:val="20"/>
          <w:szCs w:val="20"/>
          <w:lang w:val="en-MY" w:bidi="ar-SA"/>
        </w:rPr>
        <w:t>, 115(44): 21567-21573.</w:t>
      </w:r>
    </w:p>
    <w:p w14:paraId="0DAB6FF9"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Zhou, M., Zhai, Y. and Dong, S. (2009). Electrochemical sensing and biosensing platform based on chemically reduced graphene oxide. </w:t>
      </w:r>
      <w:r w:rsidRPr="002F3518">
        <w:rPr>
          <w:rFonts w:ascii="Times New Roman" w:hAnsi="Times New Roman"/>
          <w:i/>
          <w:iCs/>
          <w:sz w:val="20"/>
          <w:szCs w:val="20"/>
          <w:lang w:val="en-MY" w:bidi="ar-SA"/>
        </w:rPr>
        <w:t>Analytical Chemistry</w:t>
      </w:r>
      <w:r w:rsidRPr="002F3518">
        <w:rPr>
          <w:rFonts w:ascii="Times New Roman" w:hAnsi="Times New Roman"/>
          <w:sz w:val="20"/>
          <w:szCs w:val="20"/>
          <w:lang w:val="en-MY" w:bidi="ar-SA"/>
        </w:rPr>
        <w:t>, 81(14): 5603-5613.</w:t>
      </w:r>
    </w:p>
    <w:p w14:paraId="04F36925"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Gu, D., Zhou, Y., Ma, R., Wang, F., Liu, Q. and Wang, J. (2018). Facile synthesis of N-doped graphene-like carbon nanoflakes as efficient and stable electrocatalysts for the oxygen reduction reaction. </w:t>
      </w:r>
      <w:r w:rsidRPr="002F3518">
        <w:rPr>
          <w:rFonts w:ascii="Times New Roman" w:hAnsi="Times New Roman"/>
          <w:i/>
          <w:iCs/>
          <w:sz w:val="20"/>
          <w:szCs w:val="20"/>
          <w:lang w:val="en-MY" w:bidi="ar-SA"/>
        </w:rPr>
        <w:t>Nano-Micro Letters</w:t>
      </w:r>
      <w:r w:rsidRPr="002F3518">
        <w:rPr>
          <w:rFonts w:ascii="Times New Roman" w:hAnsi="Times New Roman"/>
          <w:sz w:val="20"/>
          <w:szCs w:val="20"/>
          <w:lang w:val="en-MY" w:bidi="ar-SA"/>
        </w:rPr>
        <w:t>, 10(2): 1-12.</w:t>
      </w:r>
    </w:p>
    <w:p w14:paraId="09156113"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fr-FR" w:bidi="ar-SA"/>
        </w:rPr>
        <w:t xml:space="preserve">Vinodha, G., Shima, P. D. and Cindrella, L. (2019). </w:t>
      </w:r>
      <w:r w:rsidRPr="002F3518">
        <w:rPr>
          <w:rFonts w:ascii="Times New Roman" w:hAnsi="Times New Roman"/>
          <w:sz w:val="20"/>
          <w:szCs w:val="20"/>
          <w:lang w:val="en-MY" w:bidi="ar-SA"/>
        </w:rPr>
        <w:t xml:space="preserve">Mesoporous magnetite nanoparticle-decorated graphene oxide nanosheets for efficient electrochemical detection of hydrazine. </w:t>
      </w:r>
      <w:r w:rsidRPr="002F3518">
        <w:rPr>
          <w:rFonts w:ascii="Times New Roman" w:hAnsi="Times New Roman"/>
          <w:i/>
          <w:iCs/>
          <w:sz w:val="20"/>
          <w:szCs w:val="20"/>
          <w:lang w:val="en-MY" w:bidi="ar-SA"/>
        </w:rPr>
        <w:t>Journal of Materials Science</w:t>
      </w:r>
      <w:r w:rsidRPr="002F3518">
        <w:rPr>
          <w:rFonts w:ascii="Times New Roman" w:hAnsi="Times New Roman"/>
          <w:sz w:val="20"/>
          <w:szCs w:val="20"/>
          <w:lang w:val="en-MY" w:bidi="ar-SA"/>
        </w:rPr>
        <w:t>, 54(5): 4073-4088.</w:t>
      </w:r>
    </w:p>
    <w:p w14:paraId="1439C4F6" w14:textId="77777777" w:rsidR="002F3518" w:rsidRPr="002F3518" w:rsidRDefault="002F3518" w:rsidP="00780D9D">
      <w:pPr>
        <w:numPr>
          <w:ilvl w:val="0"/>
          <w:numId w:val="4"/>
        </w:numPr>
        <w:spacing w:after="0"/>
        <w:ind w:left="446"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Khairul, W. M., and Yusoff, F. (2019). Synthesis and characterisation of poly (3, 4-ethylenedioxythiophene) functionalised graphene with gold nanoparticles as a potential oxygen reduction electrocatalyst. </w:t>
      </w:r>
      <w:r w:rsidRPr="002F3518">
        <w:rPr>
          <w:rFonts w:ascii="Times New Roman" w:hAnsi="Times New Roman"/>
          <w:i/>
          <w:iCs/>
          <w:sz w:val="20"/>
          <w:szCs w:val="20"/>
          <w:lang w:val="en-MY" w:bidi="ar-SA"/>
        </w:rPr>
        <w:t>Journal of Solid State Chemistry</w:t>
      </w:r>
      <w:r w:rsidRPr="002F3518">
        <w:rPr>
          <w:rFonts w:ascii="Times New Roman" w:hAnsi="Times New Roman"/>
          <w:sz w:val="20"/>
          <w:szCs w:val="20"/>
          <w:lang w:val="en-MY" w:bidi="ar-SA"/>
        </w:rPr>
        <w:t>, 275: 30-37.</w:t>
      </w:r>
    </w:p>
    <w:p w14:paraId="27C88B63" w14:textId="77777777" w:rsidR="00CA4564" w:rsidRDefault="002F3518" w:rsidP="00780D9D">
      <w:pPr>
        <w:numPr>
          <w:ilvl w:val="0"/>
          <w:numId w:val="4"/>
        </w:numPr>
        <w:spacing w:after="0"/>
        <w:ind w:left="446" w:hanging="360"/>
        <w:contextualSpacing/>
        <w:jc w:val="both"/>
        <w:rPr>
          <w:rFonts w:ascii="Times New Roman" w:hAnsi="Times New Roman"/>
          <w:sz w:val="20"/>
          <w:szCs w:val="20"/>
          <w:lang w:val="en-MY" w:bidi="ar-SA"/>
        </w:rPr>
        <w:sectPr w:rsidR="00CA4564" w:rsidSect="00C045B9">
          <w:type w:val="continuous"/>
          <w:pgSz w:w="12240" w:h="15840" w:code="1"/>
          <w:pgMar w:top="1800" w:right="1469" w:bottom="1699" w:left="1440" w:header="706" w:footer="706" w:gutter="0"/>
          <w:pgNumType w:start="1"/>
          <w:cols w:num="2" w:space="403"/>
          <w:docGrid w:linePitch="360"/>
        </w:sectPr>
      </w:pPr>
      <w:r w:rsidRPr="002F3518">
        <w:rPr>
          <w:rFonts w:ascii="Times New Roman" w:hAnsi="Times New Roman"/>
          <w:sz w:val="20"/>
          <w:szCs w:val="20"/>
          <w:lang w:val="en-MY" w:bidi="ar-SA"/>
        </w:rPr>
        <w:t>Rosli, A. R., Loh, S. H. and Yusoff, F. (2019). Synthesis and characterisation of magnetic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/reduced graphene oxide and its application in determination of dopamine. </w:t>
      </w:r>
      <w:r w:rsidRPr="002F3518">
        <w:rPr>
          <w:rFonts w:ascii="Times New Roman" w:hAnsi="Times New Roman"/>
          <w:i/>
          <w:iCs/>
          <w:sz w:val="20"/>
          <w:szCs w:val="20"/>
          <w:lang w:val="en-MY" w:bidi="ar-SA"/>
        </w:rPr>
        <w:t>Asian Journal of Chemistry</w:t>
      </w:r>
      <w:r w:rsidRPr="002F3518">
        <w:rPr>
          <w:rFonts w:ascii="Times New Roman" w:hAnsi="Times New Roman"/>
          <w:sz w:val="20"/>
          <w:szCs w:val="20"/>
          <w:lang w:val="en-MY" w:bidi="ar-SA"/>
        </w:rPr>
        <w:t>, 31(12): 2785-2792.</w:t>
      </w:r>
    </w:p>
    <w:p w14:paraId="0745C78B" w14:textId="539829DC" w:rsidR="002F3518" w:rsidRDefault="002F3518" w:rsidP="00CA4564">
      <w:pPr>
        <w:spacing w:after="0"/>
        <w:contextualSpacing/>
        <w:jc w:val="both"/>
        <w:rPr>
          <w:rFonts w:ascii="Times New Roman" w:hAnsi="Times New Roman"/>
          <w:sz w:val="20"/>
          <w:szCs w:val="20"/>
          <w:lang w:bidi="ar-SA"/>
        </w:rPr>
      </w:pPr>
    </w:p>
    <w:p w14:paraId="0F8AAF0C" w14:textId="566A15D5" w:rsidR="00CA4564" w:rsidRDefault="00CA4564" w:rsidP="00CA4564">
      <w:pPr>
        <w:spacing w:after="0"/>
        <w:contextualSpacing/>
        <w:jc w:val="both"/>
        <w:rPr>
          <w:rFonts w:ascii="Times New Roman" w:hAnsi="Times New Roman"/>
          <w:sz w:val="20"/>
          <w:szCs w:val="20"/>
          <w:lang w:bidi="ar-SA"/>
        </w:rPr>
      </w:pPr>
    </w:p>
    <w:p w14:paraId="1B04DF7D" w14:textId="036732D9" w:rsidR="002F3518" w:rsidRPr="002F3518" w:rsidRDefault="002F3518" w:rsidP="00780D9D">
      <w:pPr>
        <w:spacing w:after="0"/>
        <w:ind w:left="446" w:hanging="360"/>
        <w:jc w:val="both"/>
        <w:rPr>
          <w:rFonts w:ascii="Times New Roman" w:eastAsia="Calibri" w:hAnsi="Times New Roman"/>
          <w:sz w:val="20"/>
          <w:szCs w:val="20"/>
          <w:lang w:val="en-MY" w:bidi="ar-SA"/>
        </w:rPr>
      </w:pPr>
      <w:r w:rsidRPr="002F3518">
        <w:rPr>
          <w:rFonts w:ascii="Times New Roman" w:eastAsia="Calibri" w:hAnsi="Times New Roman"/>
          <w:sz w:val="20"/>
          <w:szCs w:val="20"/>
          <w:lang w:val="en-MY" w:bidi="ar-SA"/>
        </w:rPr>
        <w:lastRenderedPageBreak/>
        <w:t xml:space="preserve">  111. Yusoff, F., Suresh, K. and Khairul, W. M. (2021). Synthesis and characterisation of reduced graphene</w:t>
      </w:r>
      <w:r w:rsidR="00DC7065">
        <w:rPr>
          <w:rFonts w:ascii="Times New Roman" w:eastAsia="Calibri" w:hAnsi="Times New Roman"/>
          <w:sz w:val="20"/>
          <w:szCs w:val="20"/>
          <w:lang w:val="en-MY" w:bidi="ar-SA"/>
        </w:rPr>
        <w:t xml:space="preserve"> </w:t>
      </w:r>
      <w:r w:rsidRPr="002F3518">
        <w:rPr>
          <w:rFonts w:ascii="Times New Roman" w:eastAsia="Calibri" w:hAnsi="Times New Roman"/>
          <w:sz w:val="20"/>
          <w:szCs w:val="20"/>
          <w:lang w:val="en-MY" w:bidi="ar-SA"/>
        </w:rPr>
        <w:t>oxide/iron oxide/silicon dioxide (rGO/Fe</w:t>
      </w:r>
      <w:r w:rsidRPr="002F3518">
        <w:rPr>
          <w:rFonts w:ascii="Times New Roman" w:eastAsia="Calibri" w:hAnsi="Times New Roman"/>
          <w:sz w:val="20"/>
          <w:szCs w:val="20"/>
          <w:vertAlign w:val="subscript"/>
          <w:lang w:val="en-MY" w:bidi="ar-SA"/>
        </w:rPr>
        <w:t>3</w:t>
      </w:r>
      <w:r w:rsidRPr="002F3518">
        <w:rPr>
          <w:rFonts w:ascii="Times New Roman" w:eastAsia="Calibri" w:hAnsi="Times New Roman"/>
          <w:sz w:val="20"/>
          <w:szCs w:val="20"/>
          <w:lang w:val="en-MY" w:bidi="ar-SA"/>
        </w:rPr>
        <w:t>O</w:t>
      </w:r>
      <w:r w:rsidRPr="002F3518">
        <w:rPr>
          <w:rFonts w:ascii="Times New Roman" w:eastAsia="Calibri" w:hAnsi="Times New Roman"/>
          <w:sz w:val="20"/>
          <w:szCs w:val="20"/>
          <w:vertAlign w:val="subscript"/>
          <w:lang w:val="en-MY" w:bidi="ar-SA"/>
        </w:rPr>
        <w:t>4</w:t>
      </w:r>
      <w:r w:rsidRPr="002F3518">
        <w:rPr>
          <w:rFonts w:ascii="Times New Roman" w:eastAsia="Calibri" w:hAnsi="Times New Roman"/>
          <w:sz w:val="20"/>
          <w:szCs w:val="20"/>
          <w:lang w:val="en-MY" w:bidi="ar-SA"/>
        </w:rPr>
        <w:t>/SiO</w:t>
      </w:r>
      <w:r w:rsidRPr="002F3518">
        <w:rPr>
          <w:rFonts w:ascii="Times New Roman" w:eastAsia="Calibri" w:hAnsi="Times New Roman"/>
          <w:sz w:val="20"/>
          <w:szCs w:val="20"/>
          <w:vertAlign w:val="subscript"/>
          <w:lang w:val="en-MY" w:bidi="ar-SA"/>
        </w:rPr>
        <w:t>2</w:t>
      </w:r>
      <w:r w:rsidRPr="002F3518">
        <w:rPr>
          <w:rFonts w:ascii="Times New Roman" w:eastAsia="Calibri" w:hAnsi="Times New Roman"/>
          <w:sz w:val="20"/>
          <w:szCs w:val="20"/>
          <w:lang w:val="en-MY" w:bidi="ar-SA"/>
        </w:rPr>
        <w:t>) nanocomposite as a potential cathode catalyst.</w:t>
      </w:r>
      <w:r w:rsidR="00DC7065">
        <w:rPr>
          <w:rFonts w:ascii="Times New Roman" w:eastAsia="Calibri" w:hAnsi="Times New Roman"/>
          <w:sz w:val="20"/>
          <w:szCs w:val="20"/>
          <w:lang w:val="en-MY" w:bidi="ar-SA"/>
        </w:rPr>
        <w:t xml:space="preserve"> </w:t>
      </w:r>
      <w:r w:rsidRPr="002F3518">
        <w:rPr>
          <w:rFonts w:ascii="Times New Roman" w:eastAsia="Calibri" w:hAnsi="Times New Roman"/>
          <w:i/>
          <w:iCs/>
          <w:sz w:val="20"/>
          <w:szCs w:val="20"/>
          <w:lang w:val="en-MY" w:bidi="ar-SA"/>
        </w:rPr>
        <w:t>Journal of Physics and Chemistry of Solids</w:t>
      </w:r>
      <w:r w:rsidRPr="002F3518">
        <w:rPr>
          <w:rFonts w:ascii="Times New Roman" w:eastAsia="Calibri" w:hAnsi="Times New Roman"/>
          <w:sz w:val="20"/>
          <w:szCs w:val="20"/>
          <w:lang w:val="en-MY" w:bidi="ar-SA"/>
        </w:rPr>
        <w:t>, 2021: 110551.</w:t>
      </w:r>
    </w:p>
    <w:p w14:paraId="24FE7689" w14:textId="7F76B76B" w:rsidR="002F3518" w:rsidRPr="002F3518" w:rsidRDefault="002F3518" w:rsidP="00780D9D">
      <w:pPr>
        <w:spacing w:after="0"/>
        <w:ind w:left="446" w:hanging="360"/>
        <w:jc w:val="both"/>
        <w:rPr>
          <w:rFonts w:ascii="Times New Roman" w:eastAsia="Calibri" w:hAnsi="Times New Roman"/>
          <w:sz w:val="20"/>
          <w:szCs w:val="20"/>
          <w:lang w:val="en-MY" w:bidi="ar-SA"/>
        </w:rPr>
      </w:pPr>
      <w:r w:rsidRPr="002F3518">
        <w:rPr>
          <w:rFonts w:ascii="Times New Roman" w:eastAsia="Calibri" w:hAnsi="Times New Roman"/>
          <w:sz w:val="20"/>
          <w:szCs w:val="20"/>
          <w:lang w:val="en-MY" w:bidi="ar-SA"/>
        </w:rPr>
        <w:t xml:space="preserve">  112. Yusoff, F., Suresh, K., Khairul, W. M. and Noorashikin, M. S. (2021). Electrocatalytic reduction of oxygen on reduced graphene oxide/iron oxide (rGO/Fe</w:t>
      </w:r>
      <w:r w:rsidRPr="002F3518">
        <w:rPr>
          <w:rFonts w:ascii="Times New Roman" w:eastAsia="Calibri" w:hAnsi="Times New Roman"/>
          <w:sz w:val="20"/>
          <w:szCs w:val="20"/>
          <w:vertAlign w:val="subscript"/>
          <w:lang w:val="en-MY" w:bidi="ar-SA"/>
        </w:rPr>
        <w:t>3</w:t>
      </w:r>
      <w:r w:rsidRPr="002F3518">
        <w:rPr>
          <w:rFonts w:ascii="Times New Roman" w:eastAsia="Calibri" w:hAnsi="Times New Roman"/>
          <w:sz w:val="20"/>
          <w:szCs w:val="20"/>
          <w:lang w:val="en-MY" w:bidi="ar-SA"/>
        </w:rPr>
        <w:t>O</w:t>
      </w:r>
      <w:r w:rsidRPr="002F3518">
        <w:rPr>
          <w:rFonts w:ascii="Times New Roman" w:eastAsia="Calibri" w:hAnsi="Times New Roman"/>
          <w:sz w:val="20"/>
          <w:szCs w:val="20"/>
          <w:vertAlign w:val="subscript"/>
          <w:lang w:val="en-MY" w:bidi="ar-SA"/>
        </w:rPr>
        <w:t>4</w:t>
      </w:r>
      <w:r w:rsidRPr="002F3518">
        <w:rPr>
          <w:rFonts w:ascii="Times New Roman" w:eastAsia="Calibri" w:hAnsi="Times New Roman"/>
          <w:sz w:val="20"/>
          <w:szCs w:val="20"/>
          <w:lang w:val="en-MY" w:bidi="ar-SA"/>
        </w:rPr>
        <w:t xml:space="preserve">) composite electrode. </w:t>
      </w:r>
      <w:r w:rsidRPr="002F3518">
        <w:rPr>
          <w:rFonts w:ascii="Times New Roman" w:eastAsia="Calibri" w:hAnsi="Times New Roman"/>
          <w:i/>
          <w:iCs/>
          <w:sz w:val="20"/>
          <w:szCs w:val="20"/>
          <w:lang w:val="en-MY" w:bidi="ar-SA"/>
        </w:rPr>
        <w:t>Russian Journal of Physical Chemistry A</w:t>
      </w:r>
      <w:r w:rsidRPr="002F3518">
        <w:rPr>
          <w:rFonts w:ascii="Times New Roman" w:eastAsia="Calibri" w:hAnsi="Times New Roman"/>
          <w:sz w:val="20"/>
          <w:szCs w:val="20"/>
          <w:lang w:val="en-MY" w:bidi="ar-SA"/>
        </w:rPr>
        <w:t xml:space="preserve">, </w:t>
      </w:r>
      <w:r w:rsidRPr="002F3518">
        <w:rPr>
          <w:rFonts w:ascii="Times New Roman" w:eastAsia="Calibri" w:hAnsi="Times New Roman"/>
          <w:i/>
          <w:iCs/>
          <w:sz w:val="20"/>
          <w:szCs w:val="20"/>
          <w:lang w:val="en-MY" w:bidi="ar-SA"/>
        </w:rPr>
        <w:t>95</w:t>
      </w:r>
      <w:r w:rsidRPr="002F3518">
        <w:rPr>
          <w:rFonts w:ascii="Times New Roman" w:eastAsia="Calibri" w:hAnsi="Times New Roman"/>
          <w:sz w:val="20"/>
          <w:szCs w:val="20"/>
          <w:lang w:val="en-MY" w:bidi="ar-SA"/>
        </w:rPr>
        <w:t>(4): 834-842.</w:t>
      </w:r>
    </w:p>
    <w:p w14:paraId="51161B1E" w14:textId="77777777" w:rsidR="002F3518" w:rsidRPr="002F3518" w:rsidRDefault="002F3518" w:rsidP="00780D9D">
      <w:pPr>
        <w:spacing w:after="0"/>
        <w:ind w:left="566" w:hangingChars="283" w:hanging="566"/>
        <w:jc w:val="both"/>
        <w:rPr>
          <w:rFonts w:ascii="Times New Roman" w:eastAsia="Calibri" w:hAnsi="Times New Roman"/>
          <w:sz w:val="20"/>
          <w:szCs w:val="20"/>
          <w:lang w:val="en-MY" w:bidi="ar-SA"/>
        </w:rPr>
      </w:pPr>
      <w:r w:rsidRPr="002F3518">
        <w:rPr>
          <w:rFonts w:ascii="Times New Roman" w:eastAsia="Calibri" w:hAnsi="Times New Roman"/>
          <w:sz w:val="20"/>
          <w:szCs w:val="20"/>
          <w:lang w:val="en-MY" w:bidi="ar-SA"/>
        </w:rPr>
        <w:t xml:space="preserve">  113. Yusoff, F. and Suresh, K. (2021). Performance of reduced graphene oxide/iron (iii) oxide/silica dioxide</w:t>
      </w:r>
      <w:r w:rsidRPr="002F3518">
        <w:rPr>
          <w:rFonts w:ascii="Times New Roman" w:eastAsia="Calibri" w:hAnsi="Times New Roman"/>
          <w:sz w:val="20"/>
          <w:szCs w:val="20"/>
          <w:lang w:bidi="ar-SA"/>
        </w:rPr>
        <w:t xml:space="preserve"> </w:t>
      </w:r>
      <w:r w:rsidRPr="002F3518">
        <w:rPr>
          <w:rFonts w:ascii="Times New Roman" w:eastAsia="Calibri" w:hAnsi="Times New Roman"/>
          <w:sz w:val="20"/>
          <w:szCs w:val="20"/>
          <w:lang w:val="en-MY" w:bidi="ar-SA"/>
        </w:rPr>
        <w:t>(rGO/Fe</w:t>
      </w:r>
      <w:r w:rsidRPr="002F3518">
        <w:rPr>
          <w:rFonts w:ascii="Times New Roman" w:eastAsia="Calibri" w:hAnsi="Times New Roman"/>
          <w:sz w:val="20"/>
          <w:szCs w:val="20"/>
          <w:vertAlign w:val="subscript"/>
          <w:lang w:val="en-MY" w:bidi="ar-SA"/>
        </w:rPr>
        <w:t>3</w:t>
      </w:r>
      <w:r w:rsidRPr="002F3518">
        <w:rPr>
          <w:rFonts w:ascii="Times New Roman" w:eastAsia="Calibri" w:hAnsi="Times New Roman"/>
          <w:sz w:val="20"/>
          <w:szCs w:val="20"/>
          <w:lang w:val="en-MY" w:bidi="ar-SA"/>
        </w:rPr>
        <w:t>O</w:t>
      </w:r>
      <w:r w:rsidRPr="002F3518">
        <w:rPr>
          <w:rFonts w:ascii="Times New Roman" w:eastAsia="Calibri" w:hAnsi="Times New Roman"/>
          <w:sz w:val="20"/>
          <w:szCs w:val="20"/>
          <w:vertAlign w:val="subscript"/>
          <w:lang w:val="en-MY" w:bidi="ar-SA"/>
        </w:rPr>
        <w:t>4</w:t>
      </w:r>
      <w:r w:rsidRPr="002F3518">
        <w:rPr>
          <w:rFonts w:ascii="Times New Roman" w:eastAsia="Calibri" w:hAnsi="Times New Roman"/>
          <w:sz w:val="20"/>
          <w:szCs w:val="20"/>
          <w:lang w:val="en-MY" w:bidi="ar-SA"/>
        </w:rPr>
        <w:t xml:space="preserve">). </w:t>
      </w:r>
      <w:r w:rsidRPr="002F3518">
        <w:rPr>
          <w:rFonts w:ascii="Times New Roman" w:eastAsia="Calibri" w:hAnsi="Times New Roman"/>
          <w:i/>
          <w:iCs/>
          <w:sz w:val="20"/>
          <w:szCs w:val="20"/>
          <w:lang w:val="en-MY" w:bidi="ar-SA"/>
        </w:rPr>
        <w:t>Sains Malaysiana</w:t>
      </w:r>
      <w:r w:rsidRPr="002F3518">
        <w:rPr>
          <w:rFonts w:ascii="Times New Roman" w:eastAsia="Calibri" w:hAnsi="Times New Roman"/>
          <w:sz w:val="20"/>
          <w:szCs w:val="20"/>
          <w:lang w:val="en-MY" w:bidi="ar-SA"/>
        </w:rPr>
        <w:t xml:space="preserve">, 50(7): 2017-2024. </w:t>
      </w:r>
    </w:p>
    <w:p w14:paraId="0ADA97AB" w14:textId="710D5D7C" w:rsidR="00C045B9" w:rsidRDefault="002F3518" w:rsidP="00C51B7C">
      <w:pPr>
        <w:spacing w:after="0"/>
        <w:ind w:left="446" w:hanging="360"/>
        <w:jc w:val="both"/>
        <w:rPr>
          <w:rFonts w:ascii="Times New Roman" w:eastAsia="Calibri" w:hAnsi="Times New Roman"/>
          <w:sz w:val="20"/>
          <w:szCs w:val="20"/>
          <w:lang w:val="en-MY" w:bidi="ar-SA"/>
        </w:rPr>
        <w:sectPr w:rsidR="00C045B9" w:rsidSect="00C045B9">
          <w:type w:val="continuous"/>
          <w:pgSz w:w="12240" w:h="15840" w:code="1"/>
          <w:pgMar w:top="1800" w:right="1469" w:bottom="1699" w:left="1440" w:header="706" w:footer="706" w:gutter="0"/>
          <w:pgNumType w:start="1"/>
          <w:cols w:num="2" w:space="403"/>
          <w:docGrid w:linePitch="360"/>
        </w:sectPr>
      </w:pPr>
      <w:r w:rsidRPr="002F3518">
        <w:rPr>
          <w:rFonts w:ascii="Times New Roman" w:eastAsia="Calibri" w:hAnsi="Times New Roman"/>
          <w:sz w:val="20"/>
          <w:szCs w:val="20"/>
          <w:lang w:val="en-MY" w:bidi="ar-SA"/>
        </w:rPr>
        <w:t xml:space="preserve">  114. Yusoff, F., Suresh, K. and Noorashikin, M. S. (2020). Synthesis and characterisation of reduced graphene oxide-iron oxide nanocomposite as a potential fuel cell electrocatalyst. In </w:t>
      </w:r>
      <w:r w:rsidRPr="002F3518">
        <w:rPr>
          <w:rFonts w:ascii="Times New Roman" w:eastAsia="Calibri" w:hAnsi="Times New Roman"/>
          <w:i/>
          <w:iCs/>
          <w:sz w:val="20"/>
          <w:szCs w:val="20"/>
          <w:lang w:val="en-MY" w:bidi="ar-SA"/>
        </w:rPr>
        <w:t>IOP Conference Series: Earth and Environmental Science</w:t>
      </w:r>
      <w:r w:rsidRPr="002F3518">
        <w:rPr>
          <w:rFonts w:ascii="Times New Roman" w:eastAsia="Calibri" w:hAnsi="Times New Roman"/>
          <w:sz w:val="20"/>
          <w:szCs w:val="20"/>
          <w:lang w:val="en-MY" w:bidi="ar-SA"/>
        </w:rPr>
        <w:t>, 463: p. 012078.</w:t>
      </w:r>
    </w:p>
    <w:p w14:paraId="25D2FF99" w14:textId="77777777" w:rsidR="00A74A7E" w:rsidRDefault="00A74A7E" w:rsidP="002F3518">
      <w:pPr>
        <w:spacing w:after="0"/>
        <w:ind w:left="360" w:hanging="360"/>
        <w:jc w:val="both"/>
        <w:rPr>
          <w:rFonts w:ascii="Times New Roman" w:hAnsi="Times New Roman"/>
          <w:noProof/>
          <w:sz w:val="20"/>
          <w:szCs w:val="20"/>
          <w:lang w:bidi="ar-SA"/>
        </w:rPr>
      </w:pPr>
    </w:p>
    <w:sectPr w:rsidR="00A74A7E" w:rsidSect="001D33F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F22D" w14:textId="77777777" w:rsidR="00664C91" w:rsidRDefault="00664C91" w:rsidP="00FB4C59">
      <w:pPr>
        <w:spacing w:after="0" w:line="240" w:lineRule="auto"/>
      </w:pPr>
      <w:r>
        <w:separator/>
      </w:r>
    </w:p>
  </w:endnote>
  <w:endnote w:type="continuationSeparator" w:id="0">
    <w:p w14:paraId="78A6C0AC" w14:textId="77777777" w:rsidR="00664C91" w:rsidRDefault="00664C9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310504A0" w:rsidR="00A14DB9" w:rsidRDefault="002F1D31">
    <w:pPr>
      <w:pStyle w:val="Footer"/>
    </w:pP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288F3BFA"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2E33" w14:textId="77777777" w:rsidR="00664C91" w:rsidRDefault="00664C91" w:rsidP="00FB4C59">
      <w:pPr>
        <w:spacing w:after="0" w:line="240" w:lineRule="auto"/>
      </w:pPr>
      <w:r>
        <w:separator/>
      </w:r>
    </w:p>
  </w:footnote>
  <w:footnote w:type="continuationSeparator" w:id="0">
    <w:p w14:paraId="6E7F9D09" w14:textId="77777777" w:rsidR="00664C91" w:rsidRDefault="00664C9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5083F490" w:rsidR="002B3BD8" w:rsidRPr="006B72B0" w:rsidRDefault="002D59D1" w:rsidP="002D59D1">
    <w:pPr>
      <w:pStyle w:val="Header"/>
      <w:ind w:left="1350" w:hanging="1350"/>
      <w:rPr>
        <w:rFonts w:ascii="Times New Roman" w:hAnsi="Times New Roman"/>
        <w:lang w:val="en-US"/>
      </w:rPr>
    </w:pPr>
    <w:r>
      <w:rPr>
        <w:rFonts w:ascii="Times New Roman" w:hAnsi="Times New Roman"/>
        <w:lang w:val="en-US"/>
      </w:rPr>
      <w:t>Farhanini</w:t>
    </w:r>
    <w:r w:rsidR="0064742B">
      <w:rPr>
        <w:rFonts w:ascii="Times New Roman" w:hAnsi="Times New Roman"/>
        <w:lang w:val="en-US"/>
      </w:rPr>
      <w:t xml:space="preserve"> et al.</w:t>
    </w:r>
    <w:r w:rsidR="006B72B0"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06C94C52" w14:textId="77777777" w:rsidR="00A14DB9" w:rsidRDefault="00A14DB9" w:rsidP="002D59D1">
    <w:pPr>
      <w:pStyle w:val="Header"/>
      <w:ind w:left="1350" w:hanging="13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6FE45F96"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2438BE">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2438BE">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2438BE">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3"/>
  </w:num>
  <w:num w:numId="3" w16cid:durableId="1205946393">
    <w:abstractNumId w:val="0"/>
  </w:num>
  <w:num w:numId="4" w16cid:durableId="79194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2745E"/>
    <w:rsid w:val="00135678"/>
    <w:rsid w:val="00152CEC"/>
    <w:rsid w:val="00175F9C"/>
    <w:rsid w:val="001A3275"/>
    <w:rsid w:val="001B712B"/>
    <w:rsid w:val="001D035A"/>
    <w:rsid w:val="001D33F5"/>
    <w:rsid w:val="001D3855"/>
    <w:rsid w:val="001D6F2C"/>
    <w:rsid w:val="00226579"/>
    <w:rsid w:val="00233177"/>
    <w:rsid w:val="002438BE"/>
    <w:rsid w:val="00261F5B"/>
    <w:rsid w:val="002627A2"/>
    <w:rsid w:val="002743CA"/>
    <w:rsid w:val="00277498"/>
    <w:rsid w:val="002860B7"/>
    <w:rsid w:val="00290F4D"/>
    <w:rsid w:val="002A2FC0"/>
    <w:rsid w:val="002B188F"/>
    <w:rsid w:val="002B3BD8"/>
    <w:rsid w:val="002B412F"/>
    <w:rsid w:val="002C0F7A"/>
    <w:rsid w:val="002C3D7A"/>
    <w:rsid w:val="002D59D1"/>
    <w:rsid w:val="002F1D31"/>
    <w:rsid w:val="002F3518"/>
    <w:rsid w:val="002F3F91"/>
    <w:rsid w:val="002F55F5"/>
    <w:rsid w:val="00304767"/>
    <w:rsid w:val="00304B34"/>
    <w:rsid w:val="00307602"/>
    <w:rsid w:val="00312A6F"/>
    <w:rsid w:val="00352D57"/>
    <w:rsid w:val="003609F3"/>
    <w:rsid w:val="00361BAF"/>
    <w:rsid w:val="00362FCE"/>
    <w:rsid w:val="00364927"/>
    <w:rsid w:val="00367D1F"/>
    <w:rsid w:val="003B4125"/>
    <w:rsid w:val="003B4FC1"/>
    <w:rsid w:val="003B6019"/>
    <w:rsid w:val="003B7499"/>
    <w:rsid w:val="003D585B"/>
    <w:rsid w:val="003E5F9B"/>
    <w:rsid w:val="003E7DA6"/>
    <w:rsid w:val="003F12FF"/>
    <w:rsid w:val="004073EC"/>
    <w:rsid w:val="00430237"/>
    <w:rsid w:val="004760D4"/>
    <w:rsid w:val="00482180"/>
    <w:rsid w:val="00494C46"/>
    <w:rsid w:val="004B43FF"/>
    <w:rsid w:val="004B6790"/>
    <w:rsid w:val="004C070C"/>
    <w:rsid w:val="004C543D"/>
    <w:rsid w:val="004C7089"/>
    <w:rsid w:val="004D7E25"/>
    <w:rsid w:val="004F265B"/>
    <w:rsid w:val="00500AC6"/>
    <w:rsid w:val="00502641"/>
    <w:rsid w:val="0054578F"/>
    <w:rsid w:val="00565AF5"/>
    <w:rsid w:val="0056630A"/>
    <w:rsid w:val="005C6768"/>
    <w:rsid w:val="005E4871"/>
    <w:rsid w:val="00601C8A"/>
    <w:rsid w:val="00617AA2"/>
    <w:rsid w:val="006257E5"/>
    <w:rsid w:val="00634C25"/>
    <w:rsid w:val="0063542E"/>
    <w:rsid w:val="00637469"/>
    <w:rsid w:val="006416AB"/>
    <w:rsid w:val="0064742B"/>
    <w:rsid w:val="0065373D"/>
    <w:rsid w:val="00660445"/>
    <w:rsid w:val="00664C91"/>
    <w:rsid w:val="00664F73"/>
    <w:rsid w:val="00666974"/>
    <w:rsid w:val="006768E9"/>
    <w:rsid w:val="00687982"/>
    <w:rsid w:val="006B260A"/>
    <w:rsid w:val="006B3EC8"/>
    <w:rsid w:val="006B72B0"/>
    <w:rsid w:val="006D286E"/>
    <w:rsid w:val="006D695E"/>
    <w:rsid w:val="00725A6A"/>
    <w:rsid w:val="007706A6"/>
    <w:rsid w:val="00780D9D"/>
    <w:rsid w:val="007943F3"/>
    <w:rsid w:val="007A0583"/>
    <w:rsid w:val="007A738C"/>
    <w:rsid w:val="007B1349"/>
    <w:rsid w:val="007B7B48"/>
    <w:rsid w:val="007D45AC"/>
    <w:rsid w:val="007D4BAB"/>
    <w:rsid w:val="007D517A"/>
    <w:rsid w:val="007E25BD"/>
    <w:rsid w:val="007F5C3C"/>
    <w:rsid w:val="00802C35"/>
    <w:rsid w:val="0082181A"/>
    <w:rsid w:val="00821953"/>
    <w:rsid w:val="00824412"/>
    <w:rsid w:val="0082457A"/>
    <w:rsid w:val="00825624"/>
    <w:rsid w:val="0083587A"/>
    <w:rsid w:val="00853064"/>
    <w:rsid w:val="00883CC3"/>
    <w:rsid w:val="008B470E"/>
    <w:rsid w:val="008B5904"/>
    <w:rsid w:val="008D1880"/>
    <w:rsid w:val="008D29BF"/>
    <w:rsid w:val="008E1211"/>
    <w:rsid w:val="008E5BBF"/>
    <w:rsid w:val="008E6968"/>
    <w:rsid w:val="008F45FE"/>
    <w:rsid w:val="008F7FFA"/>
    <w:rsid w:val="0091237C"/>
    <w:rsid w:val="0091382C"/>
    <w:rsid w:val="009211AF"/>
    <w:rsid w:val="00921742"/>
    <w:rsid w:val="0093466C"/>
    <w:rsid w:val="009357B8"/>
    <w:rsid w:val="00943D97"/>
    <w:rsid w:val="009866F6"/>
    <w:rsid w:val="009B0F4A"/>
    <w:rsid w:val="009B3139"/>
    <w:rsid w:val="009D030D"/>
    <w:rsid w:val="00A049C6"/>
    <w:rsid w:val="00A14DB9"/>
    <w:rsid w:val="00A233FC"/>
    <w:rsid w:val="00A467B1"/>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31FAA"/>
    <w:rsid w:val="00C51B7C"/>
    <w:rsid w:val="00C74D67"/>
    <w:rsid w:val="00C94D92"/>
    <w:rsid w:val="00C97340"/>
    <w:rsid w:val="00CA4564"/>
    <w:rsid w:val="00CA513F"/>
    <w:rsid w:val="00CB3AA6"/>
    <w:rsid w:val="00CB4C66"/>
    <w:rsid w:val="00CC01D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B0D50"/>
    <w:rsid w:val="00DC7065"/>
    <w:rsid w:val="00DD0CD5"/>
    <w:rsid w:val="00DD377F"/>
    <w:rsid w:val="00DD7C38"/>
    <w:rsid w:val="00DF1E96"/>
    <w:rsid w:val="00E25547"/>
    <w:rsid w:val="00E3287E"/>
    <w:rsid w:val="00E54D12"/>
    <w:rsid w:val="00E66197"/>
    <w:rsid w:val="00E7397B"/>
    <w:rsid w:val="00EC2D9C"/>
    <w:rsid w:val="00EF6288"/>
    <w:rsid w:val="00F01D73"/>
    <w:rsid w:val="00F121A0"/>
    <w:rsid w:val="00F241E9"/>
    <w:rsid w:val="00F301C4"/>
    <w:rsid w:val="00F31093"/>
    <w:rsid w:val="00F318AC"/>
    <w:rsid w:val="00F33AB1"/>
    <w:rsid w:val="00F412AF"/>
    <w:rsid w:val="00F41D9A"/>
    <w:rsid w:val="00F43667"/>
    <w:rsid w:val="00F447A7"/>
    <w:rsid w:val="00F44E65"/>
    <w:rsid w:val="00F4760B"/>
    <w:rsid w:val="00F82059"/>
    <w:rsid w:val="00FB0E79"/>
    <w:rsid w:val="00FB4C59"/>
    <w:rsid w:val="00FB6521"/>
    <w:rsid w:val="00FC5284"/>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rhanini@umt.edu.my"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10344</Words>
  <Characters>58967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69173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Enis Nadia Binti Md Yusof</cp:lastModifiedBy>
  <cp:revision>25</cp:revision>
  <dcterms:created xsi:type="dcterms:W3CDTF">2022-07-22T17:06:00Z</dcterms:created>
  <dcterms:modified xsi:type="dcterms:W3CDTF">2022-07-23T06:24:00Z</dcterms:modified>
</cp:coreProperties>
</file>