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207EDAE"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630BC7">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E03EE0">
        <w:rPr>
          <w:rFonts w:ascii="Times New Roman" w:hAnsi="Times New Roman" w:cs="Times New Roman"/>
          <w:b/>
          <w:i/>
          <w:sz w:val="24"/>
          <w:szCs w:val="24"/>
        </w:rPr>
        <w:t>734</w:t>
      </w:r>
      <w:r w:rsidR="009B31A6">
        <w:rPr>
          <w:rFonts w:ascii="Times New Roman" w:hAnsi="Times New Roman" w:cs="Times New Roman"/>
          <w:b/>
          <w:i/>
          <w:sz w:val="24"/>
          <w:szCs w:val="24"/>
        </w:rPr>
        <w:t xml:space="preserve"> - </w:t>
      </w:r>
      <w:r w:rsidR="00E03EE0">
        <w:rPr>
          <w:rFonts w:ascii="Times New Roman" w:hAnsi="Times New Roman" w:cs="Times New Roman"/>
          <w:b/>
          <w:i/>
          <w:sz w:val="24"/>
          <w:szCs w:val="24"/>
        </w:rPr>
        <w:t>741</w:t>
      </w:r>
    </w:p>
    <w:p w14:paraId="1FF05887" w14:textId="6418E530" w:rsidR="00095557" w:rsidRDefault="00095557" w:rsidP="001E55BE">
      <w:pPr>
        <w:spacing w:after="0"/>
        <w:rPr>
          <w:rFonts w:ascii="Times New Roman" w:hAnsi="Times New Roman" w:cs="Times New Roman"/>
          <w:sz w:val="24"/>
          <w:szCs w:val="24"/>
        </w:rPr>
      </w:pPr>
    </w:p>
    <w:p w14:paraId="2A1D43EC" w14:textId="3FC37446" w:rsidR="00C71E1D" w:rsidRDefault="00C71E1D" w:rsidP="001E55BE">
      <w:pPr>
        <w:spacing w:after="0"/>
        <w:rPr>
          <w:rFonts w:ascii="Times New Roman" w:hAnsi="Times New Roman" w:cs="Times New Roman"/>
          <w:sz w:val="24"/>
          <w:szCs w:val="24"/>
        </w:rPr>
      </w:pPr>
    </w:p>
    <w:p w14:paraId="48507C78" w14:textId="52C3D5AB" w:rsidR="00C71E1D" w:rsidRDefault="00C71E1D" w:rsidP="001E55BE">
      <w:pPr>
        <w:spacing w:after="0"/>
        <w:rPr>
          <w:rFonts w:ascii="Times New Roman" w:hAnsi="Times New Roman" w:cs="Times New Roman"/>
          <w:sz w:val="24"/>
          <w:szCs w:val="24"/>
        </w:rPr>
      </w:pPr>
    </w:p>
    <w:p w14:paraId="3DE8E54D" w14:textId="2AB18F32" w:rsidR="00C71E1D" w:rsidRDefault="00C71E1D" w:rsidP="001E55BE">
      <w:pPr>
        <w:spacing w:after="0"/>
        <w:rPr>
          <w:rFonts w:ascii="Times New Roman" w:hAnsi="Times New Roman" w:cs="Times New Roman"/>
          <w:sz w:val="24"/>
          <w:szCs w:val="24"/>
        </w:rPr>
      </w:pPr>
    </w:p>
    <w:p w14:paraId="435930A6" w14:textId="77777777" w:rsidR="00E03EE0" w:rsidRPr="00E41980" w:rsidRDefault="00E03EE0" w:rsidP="00E03EE0">
      <w:pPr>
        <w:spacing w:after="0"/>
        <w:jc w:val="center"/>
        <w:rPr>
          <w:rFonts w:ascii="Times New Roman" w:hAnsi="Times New Roman"/>
          <w:sz w:val="28"/>
          <w:szCs w:val="28"/>
          <w:lang w:val="en-GB"/>
        </w:rPr>
      </w:pPr>
      <w:bookmarkStart w:id="0" w:name="_Hlk98857617"/>
      <w:r w:rsidRPr="00E41980">
        <w:rPr>
          <w:rFonts w:ascii="Times New Roman" w:hAnsi="Times New Roman"/>
          <w:sz w:val="28"/>
          <w:szCs w:val="28"/>
          <w:lang w:val="en-GB"/>
        </w:rPr>
        <w:t xml:space="preserve">THE ANTIBACTERIAL, ANTIFUNGAL, ANTIOXIDANT POTENTIAL AND TOTAL PHENOLIC CONTENT OF MALAYSIAN ENDANGERED SPECIES </w:t>
      </w:r>
      <w:r w:rsidRPr="00E41980">
        <w:rPr>
          <w:rFonts w:ascii="Times New Roman" w:hAnsi="Times New Roman"/>
          <w:i/>
          <w:iCs/>
          <w:sz w:val="28"/>
          <w:szCs w:val="28"/>
          <w:lang w:val="en-GB"/>
        </w:rPr>
        <w:t>Coscinium fenestratum</w:t>
      </w:r>
      <w:r w:rsidRPr="00E41980">
        <w:rPr>
          <w:rFonts w:ascii="Times New Roman" w:hAnsi="Times New Roman"/>
          <w:sz w:val="28"/>
          <w:szCs w:val="28"/>
          <w:lang w:val="en-GB"/>
        </w:rPr>
        <w:t xml:space="preserve"> FROM PAYA BUNGOR PAHANG</w:t>
      </w:r>
    </w:p>
    <w:p w14:paraId="4FAC3768" w14:textId="77777777" w:rsidR="00E03EE0" w:rsidRDefault="00E03EE0" w:rsidP="00E03EE0">
      <w:pPr>
        <w:spacing w:after="0"/>
        <w:jc w:val="center"/>
        <w:rPr>
          <w:rFonts w:ascii="Times New Roman" w:hAnsi="Times New Roman"/>
          <w:noProof/>
          <w:sz w:val="24"/>
          <w:szCs w:val="24"/>
          <w:lang w:val="en-GB"/>
        </w:rPr>
      </w:pPr>
      <w:bookmarkStart w:id="1" w:name="_Hlk89411986"/>
      <w:bookmarkStart w:id="2" w:name="_Hlk80781744"/>
      <w:bookmarkEnd w:id="0"/>
    </w:p>
    <w:p w14:paraId="1CD6683A" w14:textId="77777777" w:rsidR="00E03EE0" w:rsidRPr="00E41980" w:rsidRDefault="00E03EE0" w:rsidP="00E03EE0">
      <w:pPr>
        <w:spacing w:after="0"/>
        <w:jc w:val="center"/>
        <w:rPr>
          <w:rFonts w:ascii="Times New Roman" w:hAnsi="Times New Roman"/>
          <w:noProof/>
          <w:sz w:val="24"/>
          <w:szCs w:val="24"/>
          <w:lang w:val="en-GB"/>
        </w:rPr>
      </w:pPr>
      <w:r w:rsidRPr="00E41980">
        <w:rPr>
          <w:rFonts w:ascii="Times New Roman" w:hAnsi="Times New Roman"/>
          <w:noProof/>
          <w:sz w:val="24"/>
          <w:szCs w:val="24"/>
          <w:lang w:val="en-GB"/>
        </w:rPr>
        <w:t xml:space="preserve">(Potensi Sifat Antibakteria, Antikulat, Antioksida dan Jumlah Kandungan Fenolik </w:t>
      </w:r>
      <w:r w:rsidRPr="00E41980">
        <w:rPr>
          <w:rFonts w:ascii="Times New Roman" w:hAnsi="Times New Roman"/>
          <w:i/>
          <w:iCs/>
          <w:noProof/>
          <w:sz w:val="24"/>
          <w:szCs w:val="24"/>
          <w:lang w:val="en-GB"/>
        </w:rPr>
        <w:t>Cosinium fenestratum</w:t>
      </w:r>
      <w:r w:rsidRPr="00E41980">
        <w:rPr>
          <w:rFonts w:ascii="Times New Roman" w:hAnsi="Times New Roman"/>
          <w:noProof/>
          <w:sz w:val="24"/>
          <w:szCs w:val="24"/>
          <w:lang w:val="en-GB"/>
        </w:rPr>
        <w:t xml:space="preserve"> Spesies Terancam Malaysia dari Paya Bungor Pahang)</w:t>
      </w:r>
    </w:p>
    <w:p w14:paraId="68692B92" w14:textId="77777777" w:rsidR="00E03EE0" w:rsidRDefault="00E03EE0" w:rsidP="00E03EE0">
      <w:pPr>
        <w:spacing w:after="0"/>
        <w:jc w:val="center"/>
        <w:rPr>
          <w:rFonts w:ascii="Times New Roman" w:hAnsi="Times New Roman"/>
          <w:noProof/>
          <w:sz w:val="20"/>
          <w:szCs w:val="20"/>
          <w:lang w:val="en-GB"/>
        </w:rPr>
      </w:pPr>
      <w:bookmarkStart w:id="3" w:name="_Hlk98857583"/>
    </w:p>
    <w:p w14:paraId="25B96A37" w14:textId="77777777" w:rsidR="00E03EE0" w:rsidRPr="00E41980" w:rsidRDefault="00E03EE0" w:rsidP="00E03EE0">
      <w:pPr>
        <w:spacing w:after="0"/>
        <w:jc w:val="center"/>
        <w:rPr>
          <w:rFonts w:ascii="Times New Roman" w:hAnsi="Times New Roman"/>
          <w:noProof/>
          <w:sz w:val="20"/>
          <w:szCs w:val="20"/>
          <w:lang w:val="en-GB"/>
        </w:rPr>
      </w:pPr>
      <w:r w:rsidRPr="00E41980">
        <w:rPr>
          <w:rFonts w:ascii="Times New Roman" w:hAnsi="Times New Roman"/>
          <w:noProof/>
          <w:sz w:val="20"/>
          <w:szCs w:val="20"/>
          <w:lang w:val="en-GB"/>
        </w:rPr>
        <w:t>Aiza Harun</w:t>
      </w:r>
      <w:r w:rsidRPr="00E41980">
        <w:rPr>
          <w:rFonts w:ascii="Times New Roman" w:hAnsi="Times New Roman"/>
          <w:noProof/>
          <w:sz w:val="20"/>
          <w:szCs w:val="20"/>
          <w:vertAlign w:val="superscript"/>
          <w:lang w:val="en-GB"/>
        </w:rPr>
        <w:t>1</w:t>
      </w:r>
      <w:r w:rsidRPr="00E41980">
        <w:rPr>
          <w:rFonts w:ascii="Times New Roman" w:hAnsi="Times New Roman"/>
          <w:noProof/>
          <w:sz w:val="20"/>
          <w:szCs w:val="20"/>
          <w:lang w:val="en-GB"/>
        </w:rPr>
        <w:t>*, Noorshilawati Abdul Aziz</w:t>
      </w:r>
      <w:r w:rsidRPr="00E41980">
        <w:rPr>
          <w:rFonts w:ascii="Times New Roman" w:hAnsi="Times New Roman"/>
          <w:noProof/>
          <w:sz w:val="20"/>
          <w:szCs w:val="20"/>
          <w:vertAlign w:val="superscript"/>
          <w:lang w:val="en-GB"/>
        </w:rPr>
        <w:t>2</w:t>
      </w:r>
      <w:r w:rsidRPr="00E41980">
        <w:rPr>
          <w:rFonts w:ascii="Times New Roman" w:hAnsi="Times New Roman"/>
          <w:noProof/>
          <w:sz w:val="20"/>
          <w:szCs w:val="20"/>
          <w:lang w:val="en-GB"/>
        </w:rPr>
        <w:t>, Shaari Daud</w:t>
      </w:r>
      <w:r w:rsidRPr="00E41980">
        <w:rPr>
          <w:rFonts w:ascii="Times New Roman" w:hAnsi="Times New Roman"/>
          <w:noProof/>
          <w:sz w:val="20"/>
          <w:szCs w:val="20"/>
          <w:vertAlign w:val="superscript"/>
          <w:lang w:val="en-GB"/>
        </w:rPr>
        <w:t>1</w:t>
      </w:r>
    </w:p>
    <w:p w14:paraId="552C8237" w14:textId="77777777" w:rsidR="00E03EE0" w:rsidRPr="00E03EE0" w:rsidRDefault="00E03EE0" w:rsidP="00E03EE0">
      <w:pPr>
        <w:spacing w:after="0"/>
        <w:jc w:val="center"/>
        <w:outlineLvl w:val="0"/>
        <w:rPr>
          <w:rFonts w:ascii="Times New Roman" w:hAnsi="Times New Roman"/>
          <w:i/>
          <w:iCs/>
          <w:noProof/>
          <w:sz w:val="20"/>
          <w:szCs w:val="20"/>
          <w:lang w:val="en-GB"/>
        </w:rPr>
      </w:pPr>
      <w:bookmarkStart w:id="4" w:name="_Hlk89412100"/>
      <w:bookmarkEnd w:id="1"/>
      <w:bookmarkEnd w:id="3"/>
    </w:p>
    <w:p w14:paraId="278C67B3" w14:textId="77777777" w:rsidR="00E03EE0" w:rsidRPr="00E03EE0" w:rsidRDefault="00E03EE0" w:rsidP="00E03EE0">
      <w:pPr>
        <w:spacing w:after="0"/>
        <w:jc w:val="center"/>
        <w:outlineLvl w:val="0"/>
        <w:rPr>
          <w:rFonts w:ascii="Times New Roman" w:hAnsi="Times New Roman"/>
          <w:i/>
          <w:iCs/>
          <w:noProof/>
          <w:sz w:val="20"/>
          <w:szCs w:val="20"/>
          <w:lang w:val="en-GB"/>
        </w:rPr>
      </w:pPr>
      <w:r w:rsidRPr="00E03EE0">
        <w:rPr>
          <w:rFonts w:ascii="Times New Roman" w:hAnsi="Times New Roman"/>
          <w:i/>
          <w:iCs/>
          <w:noProof/>
          <w:sz w:val="20"/>
          <w:szCs w:val="20"/>
          <w:vertAlign w:val="superscript"/>
          <w:lang w:val="en-GB"/>
        </w:rPr>
        <w:t>1</w:t>
      </w:r>
      <w:r w:rsidRPr="00E03EE0">
        <w:rPr>
          <w:rFonts w:ascii="Times New Roman" w:hAnsi="Times New Roman"/>
          <w:i/>
          <w:iCs/>
          <w:noProof/>
          <w:sz w:val="20"/>
          <w:szCs w:val="20"/>
          <w:lang w:val="en-GB"/>
        </w:rPr>
        <w:t>Faculty of Applied Sciences</w:t>
      </w:r>
    </w:p>
    <w:bookmarkEnd w:id="4"/>
    <w:p w14:paraId="50731132" w14:textId="77777777" w:rsidR="00E03EE0" w:rsidRPr="00E03EE0" w:rsidRDefault="00E03EE0" w:rsidP="00E03EE0">
      <w:pPr>
        <w:spacing w:after="0"/>
        <w:jc w:val="center"/>
        <w:outlineLvl w:val="0"/>
        <w:rPr>
          <w:rFonts w:ascii="Times New Roman" w:hAnsi="Times New Roman"/>
          <w:i/>
          <w:iCs/>
          <w:noProof/>
          <w:sz w:val="20"/>
          <w:szCs w:val="20"/>
          <w:lang w:val="en-GB"/>
        </w:rPr>
      </w:pPr>
      <w:r w:rsidRPr="00E03EE0">
        <w:rPr>
          <w:rFonts w:ascii="Times New Roman" w:hAnsi="Times New Roman"/>
          <w:i/>
          <w:iCs/>
          <w:noProof/>
          <w:sz w:val="20"/>
          <w:szCs w:val="20"/>
          <w:vertAlign w:val="superscript"/>
          <w:lang w:val="en-GB"/>
        </w:rPr>
        <w:t>2</w:t>
      </w:r>
      <w:r w:rsidRPr="00E03EE0">
        <w:rPr>
          <w:rFonts w:ascii="Times New Roman" w:hAnsi="Times New Roman"/>
          <w:i/>
          <w:iCs/>
          <w:noProof/>
          <w:sz w:val="20"/>
          <w:szCs w:val="20"/>
          <w:lang w:val="en-GB"/>
        </w:rPr>
        <w:t>Faculty of Plantation and Agrotechnology</w:t>
      </w:r>
    </w:p>
    <w:p w14:paraId="69679CD4" w14:textId="77777777" w:rsidR="00E03EE0" w:rsidRPr="00E03EE0" w:rsidRDefault="00E03EE0" w:rsidP="00E03EE0">
      <w:pPr>
        <w:spacing w:after="0"/>
        <w:jc w:val="center"/>
        <w:outlineLvl w:val="0"/>
        <w:rPr>
          <w:rFonts w:ascii="Times New Roman" w:hAnsi="Times New Roman"/>
          <w:i/>
          <w:iCs/>
          <w:noProof/>
          <w:sz w:val="20"/>
          <w:szCs w:val="20"/>
          <w:lang w:val="en-GB"/>
        </w:rPr>
      </w:pPr>
      <w:r w:rsidRPr="00E03EE0">
        <w:rPr>
          <w:rFonts w:ascii="Times New Roman" w:hAnsi="Times New Roman"/>
          <w:i/>
          <w:iCs/>
          <w:noProof/>
          <w:sz w:val="20"/>
          <w:szCs w:val="20"/>
          <w:lang w:val="en-GB"/>
        </w:rPr>
        <w:t>Universiti Teknologi MARA Cawangan Pahang, 26400 Bandar Jengka, Pahang, Malaysia</w:t>
      </w:r>
    </w:p>
    <w:p w14:paraId="46F85FE9" w14:textId="77777777" w:rsidR="00E03EE0" w:rsidRPr="00E03EE0" w:rsidRDefault="00E03EE0" w:rsidP="00E03EE0">
      <w:pPr>
        <w:spacing w:after="0"/>
        <w:jc w:val="center"/>
        <w:outlineLvl w:val="0"/>
        <w:rPr>
          <w:rFonts w:ascii="Times New Roman" w:hAnsi="Times New Roman"/>
          <w:i/>
          <w:iCs/>
          <w:noProof/>
          <w:sz w:val="20"/>
          <w:szCs w:val="20"/>
          <w:lang w:val="en-GB"/>
        </w:rPr>
      </w:pPr>
    </w:p>
    <w:p w14:paraId="418440E4" w14:textId="77777777" w:rsidR="00E03EE0" w:rsidRPr="00E03EE0" w:rsidRDefault="00E03EE0" w:rsidP="00E03EE0">
      <w:pPr>
        <w:spacing w:after="0"/>
        <w:jc w:val="center"/>
        <w:outlineLvl w:val="0"/>
        <w:rPr>
          <w:rFonts w:ascii="Times New Roman" w:hAnsi="Times New Roman"/>
          <w:b/>
          <w:i/>
          <w:noProof/>
          <w:sz w:val="20"/>
          <w:szCs w:val="20"/>
          <w:lang w:val="en-GB"/>
        </w:rPr>
      </w:pPr>
      <w:r w:rsidRPr="00E03EE0">
        <w:rPr>
          <w:rFonts w:ascii="Times New Roman" w:hAnsi="Times New Roman"/>
          <w:i/>
          <w:noProof/>
          <w:sz w:val="20"/>
          <w:szCs w:val="20"/>
          <w:lang w:val="en-GB"/>
        </w:rPr>
        <w:t>*Corresponding author:  aizaharun@uitm.edu.my</w:t>
      </w:r>
      <w:bookmarkEnd w:id="2"/>
    </w:p>
    <w:p w14:paraId="09BA3D1A" w14:textId="77777777" w:rsidR="00E03EE0" w:rsidRPr="00E03EE0" w:rsidRDefault="00E03EE0" w:rsidP="00E03EE0">
      <w:pPr>
        <w:spacing w:after="0"/>
        <w:jc w:val="center"/>
        <w:rPr>
          <w:rFonts w:ascii="Times New Roman" w:hAnsi="Times New Roman"/>
          <w:noProof/>
          <w:sz w:val="20"/>
          <w:szCs w:val="20"/>
        </w:rPr>
      </w:pPr>
    </w:p>
    <w:p w14:paraId="48C6D2DB" w14:textId="77777777" w:rsidR="00E03EE0" w:rsidRPr="00E03EE0" w:rsidRDefault="00E03EE0" w:rsidP="00E03EE0">
      <w:pPr>
        <w:spacing w:after="0"/>
        <w:jc w:val="center"/>
        <w:rPr>
          <w:rFonts w:ascii="Times New Roman" w:hAnsi="Times New Roman"/>
          <w:noProof/>
          <w:sz w:val="20"/>
          <w:szCs w:val="20"/>
        </w:rPr>
      </w:pPr>
    </w:p>
    <w:p w14:paraId="0E93EF2F" w14:textId="77777777" w:rsidR="00E03EE0" w:rsidRPr="00E03EE0" w:rsidRDefault="00E03EE0" w:rsidP="00E03EE0">
      <w:pPr>
        <w:spacing w:after="0"/>
        <w:jc w:val="center"/>
        <w:rPr>
          <w:rFonts w:ascii="Times New Roman" w:hAnsi="Times New Roman"/>
          <w:noProof/>
          <w:sz w:val="20"/>
          <w:szCs w:val="20"/>
        </w:rPr>
      </w:pPr>
      <w:r w:rsidRPr="00E03EE0">
        <w:rPr>
          <w:rFonts w:ascii="Times New Roman" w:hAnsi="Times New Roman"/>
          <w:noProof/>
          <w:sz w:val="20"/>
          <w:szCs w:val="20"/>
        </w:rPr>
        <w:t>Received:  21 January 2022; Accepted:  2 April 2022; Published:  xx August 2022</w:t>
      </w:r>
    </w:p>
    <w:p w14:paraId="5C4B8676" w14:textId="77777777" w:rsidR="00E03EE0" w:rsidRPr="00E03EE0" w:rsidRDefault="00E03EE0" w:rsidP="00E03EE0">
      <w:pPr>
        <w:spacing w:after="0"/>
        <w:jc w:val="center"/>
        <w:rPr>
          <w:rFonts w:ascii="Times New Roman" w:hAnsi="Times New Roman"/>
          <w:noProof/>
          <w:sz w:val="20"/>
          <w:szCs w:val="20"/>
        </w:rPr>
      </w:pPr>
    </w:p>
    <w:p w14:paraId="58723309" w14:textId="77777777" w:rsidR="00E03EE0" w:rsidRPr="00E03EE0" w:rsidRDefault="00E03EE0" w:rsidP="00E03EE0">
      <w:pPr>
        <w:spacing w:after="0"/>
        <w:jc w:val="center"/>
        <w:rPr>
          <w:rFonts w:ascii="Times New Roman" w:hAnsi="Times New Roman"/>
          <w:noProof/>
          <w:sz w:val="20"/>
          <w:szCs w:val="20"/>
        </w:rPr>
      </w:pPr>
    </w:p>
    <w:p w14:paraId="301CB5C4" w14:textId="77777777" w:rsidR="00E03EE0" w:rsidRPr="00E03EE0" w:rsidRDefault="00E03EE0" w:rsidP="00E03EE0">
      <w:pPr>
        <w:spacing w:after="0"/>
        <w:jc w:val="center"/>
        <w:rPr>
          <w:rFonts w:ascii="Times New Roman" w:hAnsi="Times New Roman"/>
          <w:b/>
          <w:noProof/>
          <w:sz w:val="20"/>
          <w:szCs w:val="20"/>
        </w:rPr>
      </w:pPr>
      <w:r w:rsidRPr="00E03EE0">
        <w:rPr>
          <w:rFonts w:ascii="Times New Roman" w:hAnsi="Times New Roman"/>
          <w:b/>
          <w:noProof/>
          <w:sz w:val="20"/>
          <w:szCs w:val="20"/>
        </w:rPr>
        <w:t>Abstract</w:t>
      </w:r>
    </w:p>
    <w:p w14:paraId="5875DD58" w14:textId="77777777" w:rsidR="00E03EE0" w:rsidRPr="00E03EE0" w:rsidRDefault="00E03EE0" w:rsidP="00E03EE0">
      <w:pPr>
        <w:spacing w:after="0"/>
        <w:jc w:val="both"/>
        <w:rPr>
          <w:rFonts w:ascii="Times New Roman" w:hAnsi="Times New Roman"/>
          <w:noProof/>
          <w:sz w:val="20"/>
          <w:szCs w:val="20"/>
          <w:lang w:val="en-GB"/>
        </w:rPr>
      </w:pPr>
      <w:r w:rsidRPr="00E03EE0">
        <w:rPr>
          <w:rFonts w:ascii="Times New Roman" w:hAnsi="Times New Roman"/>
          <w:i/>
          <w:iCs/>
          <w:noProof/>
          <w:sz w:val="20"/>
          <w:szCs w:val="20"/>
          <w:lang w:val="en-GB"/>
        </w:rPr>
        <w:t>Coscinium fenestratum</w:t>
      </w:r>
      <w:r w:rsidRPr="00E03EE0">
        <w:rPr>
          <w:rFonts w:ascii="Times New Roman" w:hAnsi="Times New Roman"/>
          <w:noProof/>
          <w:sz w:val="20"/>
          <w:szCs w:val="20"/>
          <w:lang w:val="en-GB"/>
        </w:rPr>
        <w:t xml:space="preserve"> (family: Menispermaceae), which is locally known as </w:t>
      </w:r>
      <w:r w:rsidRPr="00E03EE0">
        <w:rPr>
          <w:rFonts w:ascii="Times New Roman" w:hAnsi="Times New Roman"/>
          <w:i/>
          <w:iCs/>
          <w:noProof/>
          <w:sz w:val="20"/>
          <w:szCs w:val="20"/>
          <w:lang w:val="en-GB"/>
        </w:rPr>
        <w:t>akar sekunyit</w:t>
      </w:r>
      <w:r w:rsidRPr="00E03EE0">
        <w:rPr>
          <w:rFonts w:ascii="Times New Roman" w:hAnsi="Times New Roman"/>
          <w:noProof/>
          <w:sz w:val="20"/>
          <w:szCs w:val="20"/>
          <w:lang w:val="en-GB"/>
        </w:rPr>
        <w:t xml:space="preserve">, is one of the endangered species in Malaysia. </w:t>
      </w:r>
      <w:r w:rsidRPr="00E03EE0">
        <w:rPr>
          <w:rFonts w:ascii="Times New Roman" w:hAnsi="Times New Roman"/>
          <w:i/>
          <w:iCs/>
          <w:noProof/>
          <w:sz w:val="20"/>
          <w:szCs w:val="20"/>
          <w:lang w:val="en-GB"/>
        </w:rPr>
        <w:t>C. fenestratum</w:t>
      </w:r>
      <w:r w:rsidRPr="00E03EE0">
        <w:rPr>
          <w:rFonts w:ascii="Times New Roman" w:hAnsi="Times New Roman"/>
          <w:noProof/>
          <w:sz w:val="20"/>
          <w:szCs w:val="20"/>
          <w:lang w:val="en-GB"/>
        </w:rPr>
        <w:t xml:space="preserve"> is wildly grown in the forest reserve, Paya Bungor, Pahang. This study aims to investigate the potential of </w:t>
      </w:r>
      <w:r w:rsidRPr="00E03EE0">
        <w:rPr>
          <w:rFonts w:ascii="Times New Roman" w:hAnsi="Times New Roman"/>
          <w:i/>
          <w:iCs/>
          <w:noProof/>
          <w:sz w:val="20"/>
          <w:szCs w:val="20"/>
          <w:lang w:val="en-GB"/>
        </w:rPr>
        <w:t xml:space="preserve">C. fenestratum </w:t>
      </w:r>
      <w:r w:rsidRPr="00E03EE0">
        <w:rPr>
          <w:rFonts w:ascii="Times New Roman" w:hAnsi="Times New Roman"/>
          <w:noProof/>
          <w:sz w:val="20"/>
          <w:szCs w:val="20"/>
          <w:lang w:val="en-GB"/>
        </w:rPr>
        <w:t xml:space="preserve">as an antibacterial, antifungal, and antioxidant agent as well as its total phenolic content. Four types of extracts were prepared from the consecutive soaking using hexane, dichloromethane (DCM), ethyl acetate (EA), and methanol. All types of extracts were assessed for their antibacterial and antifungal activities using the disc diffusion method against </w:t>
      </w:r>
      <w:r w:rsidRPr="00E03EE0">
        <w:rPr>
          <w:rFonts w:ascii="Times New Roman" w:hAnsi="Times New Roman"/>
          <w:i/>
          <w:iCs/>
          <w:noProof/>
          <w:sz w:val="20"/>
          <w:szCs w:val="20"/>
          <w:lang w:val="en-GB"/>
        </w:rPr>
        <w:t>Salmonella thypi</w:t>
      </w:r>
      <w:r w:rsidRPr="00E03EE0">
        <w:rPr>
          <w:rFonts w:ascii="Times New Roman" w:hAnsi="Times New Roman"/>
          <w:noProof/>
          <w:sz w:val="20"/>
          <w:szCs w:val="20"/>
          <w:lang w:val="en-GB"/>
        </w:rPr>
        <w:t xml:space="preserve"> ATCC 10708, </w:t>
      </w:r>
      <w:r w:rsidRPr="00E03EE0">
        <w:rPr>
          <w:rFonts w:ascii="Times New Roman" w:hAnsi="Times New Roman"/>
          <w:i/>
          <w:iCs/>
          <w:noProof/>
          <w:sz w:val="20"/>
          <w:szCs w:val="20"/>
          <w:lang w:val="en-GB"/>
        </w:rPr>
        <w:t>Staphylococcus aureus</w:t>
      </w:r>
      <w:r w:rsidRPr="00E03EE0">
        <w:rPr>
          <w:rFonts w:ascii="Times New Roman" w:hAnsi="Times New Roman"/>
          <w:noProof/>
          <w:sz w:val="20"/>
          <w:szCs w:val="20"/>
          <w:lang w:val="en-GB"/>
        </w:rPr>
        <w:t xml:space="preserve"> ATCC 43300, </w:t>
      </w:r>
      <w:r w:rsidRPr="00E03EE0">
        <w:rPr>
          <w:rFonts w:ascii="Times New Roman" w:hAnsi="Times New Roman"/>
          <w:i/>
          <w:iCs/>
          <w:noProof/>
          <w:sz w:val="20"/>
          <w:szCs w:val="20"/>
          <w:lang w:val="en-GB"/>
        </w:rPr>
        <w:t>Escherichia coli</w:t>
      </w:r>
      <w:r w:rsidRPr="00E03EE0">
        <w:rPr>
          <w:rFonts w:ascii="Times New Roman" w:hAnsi="Times New Roman"/>
          <w:noProof/>
          <w:sz w:val="20"/>
          <w:szCs w:val="20"/>
          <w:lang w:val="en-GB"/>
        </w:rPr>
        <w:t xml:space="preserve"> UPMC 25922, </w:t>
      </w:r>
      <w:r w:rsidRPr="00E03EE0">
        <w:rPr>
          <w:rFonts w:ascii="Times New Roman" w:hAnsi="Times New Roman"/>
          <w:i/>
          <w:iCs/>
          <w:noProof/>
          <w:sz w:val="20"/>
          <w:szCs w:val="20"/>
          <w:lang w:val="en-GB"/>
        </w:rPr>
        <w:t>Candida albicans</w:t>
      </w:r>
      <w:r w:rsidRPr="00E03EE0">
        <w:rPr>
          <w:rFonts w:ascii="Times New Roman" w:hAnsi="Times New Roman"/>
          <w:noProof/>
          <w:sz w:val="20"/>
          <w:szCs w:val="20"/>
          <w:lang w:val="en-GB"/>
        </w:rPr>
        <w:t xml:space="preserve"> ATCC 90028, and </w:t>
      </w:r>
      <w:r w:rsidRPr="00E03EE0">
        <w:rPr>
          <w:rFonts w:ascii="Times New Roman" w:hAnsi="Times New Roman"/>
          <w:i/>
          <w:iCs/>
          <w:noProof/>
          <w:sz w:val="20"/>
          <w:szCs w:val="20"/>
          <w:lang w:val="en-GB"/>
        </w:rPr>
        <w:t>Aspergillus brasiliensis</w:t>
      </w:r>
      <w:r w:rsidRPr="00E03EE0">
        <w:rPr>
          <w:rFonts w:ascii="Times New Roman" w:hAnsi="Times New Roman"/>
          <w:noProof/>
          <w:sz w:val="20"/>
          <w:szCs w:val="20"/>
          <w:lang w:val="en-GB"/>
        </w:rPr>
        <w:t xml:space="preserve"> ATCC 16404. The potency of this species as an antioxidant agent was evaluated using semiquantitative staining dot blot assay against DPPH (2,2-diphenyl-1-picrylhydrazyl). The total phenolic content was assessed using the Folin-Ciocalteu method. The phytochemical screening for all types of extracts revealed the presence of alkaloid, terpenoid, phenolic, and saponin. All extracts with the concentration of 1,000 ppm demonstrated antibacterial and antifungal activities against </w:t>
      </w:r>
      <w:r w:rsidRPr="00E03EE0">
        <w:rPr>
          <w:rFonts w:ascii="Times New Roman" w:hAnsi="Times New Roman"/>
          <w:i/>
          <w:iCs/>
          <w:noProof/>
          <w:sz w:val="20"/>
          <w:szCs w:val="20"/>
          <w:lang w:val="en-GB"/>
        </w:rPr>
        <w:t>S. aureus</w:t>
      </w:r>
      <w:r w:rsidRPr="00E03EE0">
        <w:rPr>
          <w:rFonts w:ascii="Times New Roman" w:hAnsi="Times New Roman"/>
          <w:noProof/>
          <w:sz w:val="20"/>
          <w:szCs w:val="20"/>
          <w:lang w:val="en-GB"/>
        </w:rPr>
        <w:t xml:space="preserve"> ATCC 43300 and </w:t>
      </w:r>
      <w:r w:rsidRPr="00E03EE0">
        <w:rPr>
          <w:rFonts w:ascii="Times New Roman" w:hAnsi="Times New Roman"/>
          <w:i/>
          <w:iCs/>
          <w:noProof/>
          <w:sz w:val="20"/>
          <w:szCs w:val="20"/>
          <w:lang w:val="en-GB"/>
        </w:rPr>
        <w:t>C. albicans</w:t>
      </w:r>
      <w:r w:rsidRPr="00E03EE0">
        <w:rPr>
          <w:rFonts w:ascii="Times New Roman" w:hAnsi="Times New Roman"/>
          <w:noProof/>
          <w:sz w:val="20"/>
          <w:szCs w:val="20"/>
          <w:lang w:val="en-GB"/>
        </w:rPr>
        <w:t xml:space="preserve"> ATCC 90028 but none for the rest of the bacteria and fungi. The methanol extract was more active with a moderate inhibition zone. The semiquantitative staining dot blot assay against DPPH revealed that the lowest concentration of methanol extract for DPPH inhibition was at the concentration of 0.012 mg/ml, and the DCM extract showed that the DPPH inhibition was at 0.006 mg/ml. However, the methanol extract of </w:t>
      </w:r>
      <w:r w:rsidRPr="00E03EE0">
        <w:rPr>
          <w:rFonts w:ascii="Times New Roman" w:hAnsi="Times New Roman"/>
          <w:i/>
          <w:iCs/>
          <w:noProof/>
          <w:sz w:val="20"/>
          <w:szCs w:val="20"/>
          <w:lang w:val="en-GB"/>
        </w:rPr>
        <w:t>C. fenestratum</w:t>
      </w:r>
      <w:r w:rsidRPr="00E03EE0">
        <w:rPr>
          <w:rFonts w:ascii="Times New Roman" w:hAnsi="Times New Roman"/>
          <w:noProof/>
          <w:sz w:val="20"/>
          <w:szCs w:val="20"/>
          <w:lang w:val="en-GB"/>
        </w:rPr>
        <w:t xml:space="preserve"> had a higher total phenolic content (TPC) with the value of 12.722 mg GAE/g sample </w:t>
      </w:r>
      <w:r w:rsidRPr="00E03EE0">
        <w:rPr>
          <w:rFonts w:ascii="Times New Roman" w:hAnsi="Times New Roman"/>
          <w:noProof/>
          <w:sz w:val="20"/>
          <w:szCs w:val="20"/>
          <w:lang w:val="en-GB"/>
        </w:rPr>
        <w:lastRenderedPageBreak/>
        <w:t xml:space="preserve">compared to the DCM extract at 8.627 mg GAE/g sample. Hence, both methanol extract and DCM extract of </w:t>
      </w:r>
      <w:r w:rsidRPr="00E03EE0">
        <w:rPr>
          <w:rFonts w:ascii="Times New Roman" w:hAnsi="Times New Roman"/>
          <w:i/>
          <w:iCs/>
          <w:noProof/>
          <w:sz w:val="20"/>
          <w:szCs w:val="20"/>
          <w:lang w:val="en-GB"/>
        </w:rPr>
        <w:t>C. fenestratum</w:t>
      </w:r>
      <w:r w:rsidRPr="00E03EE0">
        <w:rPr>
          <w:rFonts w:ascii="Times New Roman" w:hAnsi="Times New Roman"/>
          <w:noProof/>
          <w:sz w:val="20"/>
          <w:szCs w:val="20"/>
          <w:lang w:val="en-GB"/>
        </w:rPr>
        <w:t xml:space="preserve"> exhibited stimulating antimicrobial and antioxidant properties with potent phenolic content.</w:t>
      </w:r>
    </w:p>
    <w:p w14:paraId="3CB95B33" w14:textId="77777777" w:rsidR="00E03EE0" w:rsidRPr="00E03EE0" w:rsidRDefault="00E03EE0" w:rsidP="00E03EE0">
      <w:pPr>
        <w:spacing w:after="0"/>
        <w:jc w:val="both"/>
        <w:rPr>
          <w:rFonts w:ascii="Times New Roman" w:hAnsi="Times New Roman"/>
          <w:noProof/>
          <w:sz w:val="20"/>
          <w:szCs w:val="20"/>
          <w:lang w:val="en-GB"/>
        </w:rPr>
      </w:pPr>
    </w:p>
    <w:p w14:paraId="2DEC9263" w14:textId="77777777" w:rsidR="00E03EE0" w:rsidRPr="00E03EE0" w:rsidRDefault="00E03EE0" w:rsidP="00E03EE0">
      <w:pPr>
        <w:spacing w:after="0"/>
        <w:jc w:val="both"/>
        <w:rPr>
          <w:rFonts w:ascii="Times New Roman" w:hAnsi="Times New Roman"/>
          <w:noProof/>
          <w:sz w:val="20"/>
          <w:szCs w:val="20"/>
          <w:lang w:val="en-GB"/>
        </w:rPr>
      </w:pPr>
      <w:r w:rsidRPr="00E03EE0">
        <w:rPr>
          <w:rFonts w:ascii="Times New Roman" w:hAnsi="Times New Roman"/>
          <w:b/>
          <w:bCs/>
          <w:noProof/>
          <w:sz w:val="20"/>
          <w:szCs w:val="20"/>
          <w:lang w:val="en-GB"/>
        </w:rPr>
        <w:t>Keywords:</w:t>
      </w:r>
      <w:r w:rsidRPr="00E03EE0">
        <w:rPr>
          <w:rFonts w:ascii="Times New Roman" w:hAnsi="Times New Roman"/>
          <w:noProof/>
          <w:sz w:val="20"/>
          <w:szCs w:val="20"/>
          <w:lang w:val="en-GB"/>
        </w:rPr>
        <w:t xml:space="preserve">  </w:t>
      </w:r>
      <w:r w:rsidRPr="00E03EE0">
        <w:rPr>
          <w:rFonts w:ascii="Times New Roman" w:hAnsi="Times New Roman"/>
          <w:i/>
          <w:iCs/>
          <w:noProof/>
          <w:sz w:val="20"/>
          <w:szCs w:val="20"/>
          <w:lang w:val="en-GB"/>
        </w:rPr>
        <w:t>Coscinium fenestratum</w:t>
      </w:r>
      <w:r w:rsidRPr="00E03EE0">
        <w:rPr>
          <w:rFonts w:ascii="Times New Roman" w:hAnsi="Times New Roman"/>
          <w:noProof/>
          <w:sz w:val="20"/>
          <w:szCs w:val="20"/>
          <w:lang w:val="en-GB"/>
        </w:rPr>
        <w:t>, antibacterial, antifungal, akar sekunyit, antioxidant</w:t>
      </w:r>
    </w:p>
    <w:p w14:paraId="67B8B827" w14:textId="77777777" w:rsidR="00E03EE0" w:rsidRPr="00E03EE0" w:rsidRDefault="00E03EE0" w:rsidP="00E03EE0">
      <w:pPr>
        <w:spacing w:after="0"/>
        <w:jc w:val="center"/>
        <w:rPr>
          <w:rFonts w:ascii="Times New Roman" w:hAnsi="Times New Roman"/>
          <w:b/>
          <w:bCs/>
          <w:noProof/>
          <w:sz w:val="20"/>
          <w:szCs w:val="20"/>
          <w:lang w:val="en-GB"/>
        </w:rPr>
      </w:pPr>
    </w:p>
    <w:p w14:paraId="347DA85B" w14:textId="77777777" w:rsidR="00E03EE0" w:rsidRPr="00E03EE0" w:rsidRDefault="00E03EE0" w:rsidP="00E03EE0">
      <w:pPr>
        <w:spacing w:after="0"/>
        <w:jc w:val="center"/>
        <w:rPr>
          <w:rFonts w:ascii="Times New Roman" w:hAnsi="Times New Roman"/>
          <w:b/>
          <w:bCs/>
          <w:noProof/>
          <w:sz w:val="20"/>
          <w:szCs w:val="20"/>
          <w:lang w:val="en-GB"/>
        </w:rPr>
      </w:pPr>
      <w:r w:rsidRPr="00E03EE0">
        <w:rPr>
          <w:rFonts w:ascii="Times New Roman" w:hAnsi="Times New Roman"/>
          <w:b/>
          <w:bCs/>
          <w:noProof/>
          <w:sz w:val="20"/>
          <w:szCs w:val="20"/>
          <w:lang w:val="en-GB"/>
        </w:rPr>
        <w:t>Abstrak</w:t>
      </w:r>
    </w:p>
    <w:p w14:paraId="53B06C05" w14:textId="77777777" w:rsidR="00E03EE0" w:rsidRPr="00E03EE0" w:rsidRDefault="00E03EE0" w:rsidP="00E03E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y2iqfc"/>
          <w:rFonts w:ascii="Times New Roman" w:hAnsi="Times New Roman"/>
          <w:noProof/>
          <w:sz w:val="20"/>
          <w:szCs w:val="20"/>
          <w:lang w:val="en-GB"/>
        </w:rPr>
      </w:pPr>
      <w:r w:rsidRPr="00E03EE0">
        <w:rPr>
          <w:rFonts w:ascii="Times New Roman" w:hAnsi="Times New Roman"/>
          <w:i/>
          <w:iCs/>
          <w:noProof/>
          <w:sz w:val="20"/>
          <w:szCs w:val="20"/>
          <w:shd w:val="clear" w:color="auto" w:fill="FFFFFF" w:themeFill="background1"/>
          <w:lang w:val="en-GB" w:eastAsia="en-MY"/>
        </w:rPr>
        <w:t>Coscinium fenestratum</w:t>
      </w:r>
      <w:r w:rsidRPr="00E03EE0">
        <w:rPr>
          <w:rFonts w:ascii="Times New Roman" w:hAnsi="Times New Roman"/>
          <w:noProof/>
          <w:sz w:val="20"/>
          <w:szCs w:val="20"/>
          <w:shd w:val="clear" w:color="auto" w:fill="FFFFFF" w:themeFill="background1"/>
          <w:lang w:val="en-GB" w:eastAsia="en-MY"/>
        </w:rPr>
        <w:t xml:space="preserve"> (keluarga: Menispermaceae) yang dikenali sebagai akar sekunyit adalah salah satu spesies terancam di Malaysia iaitu </w:t>
      </w:r>
      <w:r w:rsidRPr="00E03EE0">
        <w:rPr>
          <w:rStyle w:val="y2iqfc"/>
          <w:rFonts w:ascii="Times New Roman" w:hAnsi="Times New Roman"/>
          <w:noProof/>
          <w:sz w:val="20"/>
          <w:szCs w:val="20"/>
          <w:shd w:val="clear" w:color="auto" w:fill="FFFFFF" w:themeFill="background1"/>
          <w:lang w:val="en-GB"/>
        </w:rPr>
        <w:t>Pahang dan ia tumbuh secara liar di hutan simpan Paya Bungor Pahang.</w:t>
      </w:r>
      <w:r w:rsidRPr="00E03EE0">
        <w:rPr>
          <w:rFonts w:ascii="Times New Roman" w:hAnsi="Times New Roman"/>
          <w:noProof/>
          <w:sz w:val="20"/>
          <w:szCs w:val="20"/>
          <w:shd w:val="clear" w:color="auto" w:fill="FFFFFF" w:themeFill="background1"/>
          <w:lang w:val="en-GB" w:eastAsia="en-MY"/>
        </w:rPr>
        <w:t xml:space="preserve"> </w:t>
      </w:r>
      <w:r w:rsidRPr="00E03EE0">
        <w:rPr>
          <w:rStyle w:val="y2iqfc"/>
          <w:rFonts w:ascii="Times New Roman" w:hAnsi="Times New Roman"/>
          <w:noProof/>
          <w:sz w:val="20"/>
          <w:szCs w:val="20"/>
          <w:shd w:val="clear" w:color="auto" w:fill="FFFFFF" w:themeFill="background1"/>
          <w:lang w:val="en-GB"/>
        </w:rPr>
        <w:t xml:space="preserve">Kajian ini bertujuan untuk menyiasat potensi </w:t>
      </w:r>
      <w:r w:rsidRPr="00E03EE0">
        <w:rPr>
          <w:rStyle w:val="y2iqfc"/>
          <w:rFonts w:ascii="Times New Roman" w:hAnsi="Times New Roman"/>
          <w:i/>
          <w:iCs/>
          <w:noProof/>
          <w:sz w:val="20"/>
          <w:szCs w:val="20"/>
          <w:shd w:val="clear" w:color="auto" w:fill="FFFFFF" w:themeFill="background1"/>
          <w:lang w:val="en-GB"/>
        </w:rPr>
        <w:t>C. fenestratum</w:t>
      </w:r>
      <w:r w:rsidRPr="00E03EE0">
        <w:rPr>
          <w:rStyle w:val="y2iqfc"/>
          <w:rFonts w:ascii="Times New Roman" w:hAnsi="Times New Roman"/>
          <w:noProof/>
          <w:sz w:val="20"/>
          <w:szCs w:val="20"/>
          <w:shd w:val="clear" w:color="auto" w:fill="FFFFFF" w:themeFill="background1"/>
          <w:lang w:val="en-GB"/>
        </w:rPr>
        <w:t xml:space="preserve"> sebagai agen antibakteria, antikulat dan antioksidan serta jumlah kandungan fenolik. Empat jenis ekstrak telah disediakan daripada rendaman berturut-turut menggunakan heksana, diklorometana (DCM), etil asetat dan metanol. Semua jenis</w:t>
      </w:r>
      <w:r w:rsidRPr="00E03EE0">
        <w:rPr>
          <w:rStyle w:val="y2iqfc"/>
          <w:rFonts w:ascii="Times New Roman" w:hAnsi="Times New Roman"/>
          <w:noProof/>
          <w:sz w:val="20"/>
          <w:szCs w:val="20"/>
          <w:lang w:val="en-GB"/>
        </w:rPr>
        <w:t xml:space="preserve"> ekstrak telah dinilai untuk aktiviti antibakteria dan antikulat menggunakan kaedah penyebaran cakera terhadap </w:t>
      </w:r>
      <w:r w:rsidRPr="00E03EE0">
        <w:rPr>
          <w:rStyle w:val="y2iqfc"/>
          <w:rFonts w:ascii="Times New Roman" w:hAnsi="Times New Roman"/>
          <w:i/>
          <w:iCs/>
          <w:noProof/>
          <w:sz w:val="20"/>
          <w:szCs w:val="20"/>
          <w:lang w:val="en-GB"/>
        </w:rPr>
        <w:t>Salmonella thypi</w:t>
      </w:r>
      <w:r w:rsidRPr="00E03EE0">
        <w:rPr>
          <w:rStyle w:val="y2iqfc"/>
          <w:rFonts w:ascii="Times New Roman" w:hAnsi="Times New Roman"/>
          <w:noProof/>
          <w:sz w:val="20"/>
          <w:szCs w:val="20"/>
          <w:lang w:val="en-GB"/>
        </w:rPr>
        <w:t xml:space="preserve"> ATCC 10708, </w:t>
      </w:r>
      <w:r w:rsidRPr="00E03EE0">
        <w:rPr>
          <w:rStyle w:val="y2iqfc"/>
          <w:rFonts w:ascii="Times New Roman" w:hAnsi="Times New Roman"/>
          <w:i/>
          <w:iCs/>
          <w:noProof/>
          <w:sz w:val="20"/>
          <w:szCs w:val="20"/>
          <w:lang w:val="en-GB"/>
        </w:rPr>
        <w:t>Staphylococcus aureus</w:t>
      </w:r>
      <w:r w:rsidRPr="00E03EE0">
        <w:rPr>
          <w:rStyle w:val="y2iqfc"/>
          <w:rFonts w:ascii="Times New Roman" w:hAnsi="Times New Roman"/>
          <w:noProof/>
          <w:sz w:val="20"/>
          <w:szCs w:val="20"/>
          <w:lang w:val="en-GB"/>
        </w:rPr>
        <w:t xml:space="preserve"> ATCC 43300, </w:t>
      </w:r>
      <w:r w:rsidRPr="00E03EE0">
        <w:rPr>
          <w:rStyle w:val="y2iqfc"/>
          <w:rFonts w:ascii="Times New Roman" w:hAnsi="Times New Roman"/>
          <w:i/>
          <w:iCs/>
          <w:noProof/>
          <w:sz w:val="20"/>
          <w:szCs w:val="20"/>
          <w:lang w:val="en-GB"/>
        </w:rPr>
        <w:t>Escherichia coli</w:t>
      </w:r>
      <w:r w:rsidRPr="00E03EE0">
        <w:rPr>
          <w:rStyle w:val="y2iqfc"/>
          <w:rFonts w:ascii="Times New Roman" w:hAnsi="Times New Roman"/>
          <w:noProof/>
          <w:sz w:val="20"/>
          <w:szCs w:val="20"/>
          <w:lang w:val="en-GB"/>
        </w:rPr>
        <w:t xml:space="preserve"> UPMC 25922, </w:t>
      </w:r>
      <w:r w:rsidRPr="00E03EE0">
        <w:rPr>
          <w:rStyle w:val="y2iqfc"/>
          <w:rFonts w:ascii="Times New Roman" w:hAnsi="Times New Roman"/>
          <w:i/>
          <w:iCs/>
          <w:noProof/>
          <w:sz w:val="20"/>
          <w:szCs w:val="20"/>
          <w:lang w:val="en-GB"/>
        </w:rPr>
        <w:t>Candida albicans</w:t>
      </w:r>
      <w:r w:rsidRPr="00E03EE0">
        <w:rPr>
          <w:rStyle w:val="y2iqfc"/>
          <w:rFonts w:ascii="Times New Roman" w:hAnsi="Times New Roman"/>
          <w:noProof/>
          <w:sz w:val="20"/>
          <w:szCs w:val="20"/>
          <w:lang w:val="en-GB"/>
        </w:rPr>
        <w:t xml:space="preserve"> ATCC 90028 dan </w:t>
      </w:r>
      <w:r w:rsidRPr="00E03EE0">
        <w:rPr>
          <w:rStyle w:val="y2iqfc"/>
          <w:rFonts w:ascii="Times New Roman" w:hAnsi="Times New Roman"/>
          <w:i/>
          <w:iCs/>
          <w:noProof/>
          <w:sz w:val="20"/>
          <w:szCs w:val="20"/>
          <w:lang w:val="en-GB"/>
        </w:rPr>
        <w:t>Aspergillus</w:t>
      </w:r>
      <w:r w:rsidRPr="00E03EE0">
        <w:rPr>
          <w:rStyle w:val="y2iqfc"/>
          <w:rFonts w:ascii="Times New Roman" w:hAnsi="Times New Roman"/>
          <w:noProof/>
          <w:sz w:val="20"/>
          <w:szCs w:val="20"/>
          <w:lang w:val="en-GB"/>
        </w:rPr>
        <w:t xml:space="preserve"> </w:t>
      </w:r>
      <w:r w:rsidRPr="00E03EE0">
        <w:rPr>
          <w:rFonts w:ascii="Times New Roman" w:hAnsi="Times New Roman"/>
          <w:i/>
          <w:iCs/>
          <w:noProof/>
          <w:sz w:val="20"/>
          <w:szCs w:val="20"/>
          <w:lang w:val="en-GB"/>
        </w:rPr>
        <w:t>brasiliensis</w:t>
      </w:r>
      <w:r w:rsidRPr="00E03EE0">
        <w:rPr>
          <w:rStyle w:val="y2iqfc"/>
          <w:rFonts w:ascii="Times New Roman" w:hAnsi="Times New Roman"/>
          <w:noProof/>
          <w:sz w:val="20"/>
          <w:szCs w:val="20"/>
          <w:lang w:val="en-GB"/>
        </w:rPr>
        <w:t xml:space="preserve"> ATCC 90028. Keupayaan spesies ini sebagai agen antioksida dinilai daripada ujian bintik-bintik pewarnaan semikuantitatif terhadap DPPH (2,2-difenil-1-pikrilhidrazil). Jumlah kandungan fenolik dinilai menggunakan kaedah Folin-Ciocalteu. Pemeriksaan fitokimia untuk semua jenis ekstrak mendedahkan kehadiran alkaloid, terpenoid, fenolik dan saponin. Semua ekstrak dengan kepekatan 1,000 ppm menunjukkan aktiviti antibakteria dan antikulat terhadap </w:t>
      </w:r>
      <w:r w:rsidRPr="00E03EE0">
        <w:rPr>
          <w:rStyle w:val="y2iqfc"/>
          <w:rFonts w:ascii="Times New Roman" w:hAnsi="Times New Roman"/>
          <w:i/>
          <w:iCs/>
          <w:noProof/>
          <w:sz w:val="20"/>
          <w:szCs w:val="20"/>
          <w:lang w:val="en-GB"/>
        </w:rPr>
        <w:t>S. aureus</w:t>
      </w:r>
      <w:r w:rsidRPr="00E03EE0">
        <w:rPr>
          <w:rStyle w:val="y2iqfc"/>
          <w:rFonts w:ascii="Times New Roman" w:hAnsi="Times New Roman"/>
          <w:noProof/>
          <w:sz w:val="20"/>
          <w:szCs w:val="20"/>
          <w:lang w:val="en-GB"/>
        </w:rPr>
        <w:t xml:space="preserve"> ATCC 43300 dan </w:t>
      </w:r>
      <w:r w:rsidRPr="00E03EE0">
        <w:rPr>
          <w:rStyle w:val="y2iqfc"/>
          <w:rFonts w:ascii="Times New Roman" w:hAnsi="Times New Roman"/>
          <w:i/>
          <w:iCs/>
          <w:noProof/>
          <w:sz w:val="20"/>
          <w:szCs w:val="20"/>
          <w:lang w:val="en-GB"/>
        </w:rPr>
        <w:t>C. albicans</w:t>
      </w:r>
      <w:r w:rsidRPr="00E03EE0">
        <w:rPr>
          <w:rStyle w:val="y2iqfc"/>
          <w:rFonts w:ascii="Times New Roman" w:hAnsi="Times New Roman"/>
          <w:noProof/>
          <w:sz w:val="20"/>
          <w:szCs w:val="20"/>
          <w:lang w:val="en-GB"/>
        </w:rPr>
        <w:t xml:space="preserve"> ATCC 90028, tetapi aktiviti itu tidak dapat dilihat untuk bakteria dan kulat yang lain. Ekstrak metanol didapati sebagai ekstrak yang lebih aktif dengan zon perencatan sederhana berbanding dengan ekstrak yang lain. Ujian bintik-bintik pewarnaan separa kuantitatif terhadap DPPH mendedahkan bahawa kepekatan terendah ekstrak metanol untuk perencatan DPPH adalah pada kepekatan 0.012 mg/ml dan ekstrak DCM menunjukkan perencatan DPPH pada 0.006 mg/ml. Walau bagaimanapun, ekstrak metanol </w:t>
      </w:r>
      <w:r w:rsidRPr="00E03EE0">
        <w:rPr>
          <w:rStyle w:val="y2iqfc"/>
          <w:rFonts w:ascii="Times New Roman" w:hAnsi="Times New Roman"/>
          <w:i/>
          <w:iCs/>
          <w:noProof/>
          <w:sz w:val="20"/>
          <w:szCs w:val="20"/>
          <w:lang w:val="en-GB"/>
        </w:rPr>
        <w:t>C. fenestratum</w:t>
      </w:r>
      <w:r w:rsidRPr="00E03EE0">
        <w:rPr>
          <w:rStyle w:val="y2iqfc"/>
          <w:rFonts w:ascii="Times New Roman" w:hAnsi="Times New Roman"/>
          <w:noProof/>
          <w:sz w:val="20"/>
          <w:szCs w:val="20"/>
          <w:lang w:val="en-GB"/>
        </w:rPr>
        <w:t xml:space="preserve"> mempunyai jumlah kandungan fenolik yang lebih tinggi dengan nilai 12.722 mg sampel GAE/g berbanding ekstrak DCM pada 8.627 mg sampel GAE/g. Oleh itu, adalah disahkan bahawa kedua-dua ekstrak metanol dan ekstrak DCM </w:t>
      </w:r>
      <w:r w:rsidRPr="00E03EE0">
        <w:rPr>
          <w:rStyle w:val="y2iqfc"/>
          <w:rFonts w:ascii="Times New Roman" w:hAnsi="Times New Roman"/>
          <w:i/>
          <w:iCs/>
          <w:noProof/>
          <w:sz w:val="20"/>
          <w:szCs w:val="20"/>
          <w:lang w:val="en-GB"/>
        </w:rPr>
        <w:t>C. fenestratum</w:t>
      </w:r>
      <w:r w:rsidRPr="00E03EE0">
        <w:rPr>
          <w:rStyle w:val="y2iqfc"/>
          <w:rFonts w:ascii="Times New Roman" w:hAnsi="Times New Roman"/>
          <w:noProof/>
          <w:sz w:val="20"/>
          <w:szCs w:val="20"/>
          <w:lang w:val="en-GB"/>
        </w:rPr>
        <w:t xml:space="preserve"> mempamerkan sifat antimikrob dan antioksida yang baik dan sederhana dengan kandungan fenolik yang memberangsangkan.</w:t>
      </w:r>
    </w:p>
    <w:p w14:paraId="322CE82A" w14:textId="77777777" w:rsidR="00E03EE0" w:rsidRPr="00E03EE0" w:rsidRDefault="00E03EE0" w:rsidP="00E03E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noProof/>
          <w:sz w:val="20"/>
          <w:szCs w:val="20"/>
          <w:lang w:val="en-GB"/>
        </w:rPr>
      </w:pPr>
    </w:p>
    <w:p w14:paraId="7FD35FC2" w14:textId="6BB3D59E" w:rsidR="00E03EE0" w:rsidRDefault="00E03EE0" w:rsidP="00E03EE0">
      <w:pPr>
        <w:pStyle w:val="HTMLPreformatted"/>
        <w:shd w:val="clear" w:color="auto" w:fill="FFFFFF" w:themeFill="background1"/>
        <w:spacing w:line="276" w:lineRule="auto"/>
        <w:jc w:val="both"/>
        <w:rPr>
          <w:rStyle w:val="y2iqfc"/>
          <w:rFonts w:ascii="Times New Roman" w:hAnsi="Times New Roman" w:cs="Times New Roman"/>
          <w:noProof/>
          <w:lang w:val="en-GB"/>
        </w:rPr>
      </w:pPr>
      <w:r w:rsidRPr="00E03EE0">
        <w:rPr>
          <w:rStyle w:val="y2iqfc"/>
          <w:rFonts w:ascii="Times New Roman" w:hAnsi="Times New Roman" w:cs="Times New Roman"/>
          <w:b/>
          <w:bCs/>
          <w:noProof/>
          <w:lang w:val="en-GB"/>
        </w:rPr>
        <w:t>Kata kunci:</w:t>
      </w:r>
      <w:r w:rsidRPr="00E03EE0">
        <w:rPr>
          <w:rStyle w:val="y2iqfc"/>
          <w:rFonts w:ascii="Times New Roman" w:hAnsi="Times New Roman" w:cs="Times New Roman"/>
          <w:noProof/>
          <w:lang w:val="en-GB"/>
        </w:rPr>
        <w:t xml:space="preserve">  </w:t>
      </w:r>
      <w:r w:rsidRPr="00E03EE0">
        <w:rPr>
          <w:rStyle w:val="y2iqfc"/>
          <w:rFonts w:ascii="Times New Roman" w:hAnsi="Times New Roman" w:cs="Times New Roman"/>
          <w:i/>
          <w:iCs/>
          <w:noProof/>
          <w:lang w:val="en-GB"/>
        </w:rPr>
        <w:t>Coscinium fenestratum</w:t>
      </w:r>
      <w:r w:rsidRPr="00E03EE0">
        <w:rPr>
          <w:rStyle w:val="y2iqfc"/>
          <w:rFonts w:ascii="Times New Roman" w:hAnsi="Times New Roman" w:cs="Times New Roman"/>
          <w:noProof/>
          <w:lang w:val="en-GB"/>
        </w:rPr>
        <w:t>, antibakteria, antikulat, akar sekunyit, antioksida</w:t>
      </w:r>
    </w:p>
    <w:p w14:paraId="6D170D06" w14:textId="285B9E7C" w:rsidR="00E03EE0" w:rsidRDefault="00E03EE0" w:rsidP="00E03EE0">
      <w:pPr>
        <w:pStyle w:val="HTMLPreformatted"/>
        <w:shd w:val="clear" w:color="auto" w:fill="FFFFFF" w:themeFill="background1"/>
        <w:spacing w:line="276" w:lineRule="auto"/>
        <w:jc w:val="both"/>
        <w:rPr>
          <w:rStyle w:val="y2iqfc"/>
          <w:rFonts w:ascii="Times New Roman" w:hAnsi="Times New Roman" w:cs="Times New Roman"/>
          <w:noProof/>
          <w:lang w:val="en-GB"/>
        </w:rPr>
      </w:pPr>
    </w:p>
    <w:p w14:paraId="6FB4E779" w14:textId="77777777" w:rsidR="00E03EE0" w:rsidRPr="00383C16" w:rsidRDefault="00E03EE0" w:rsidP="00E03EE0">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0A20EE71"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Cook, N. C. and Samman, S. (1996). Flavonoids-chemistry, metabolism, cardioprotective effects, and dietary sources. </w:t>
      </w:r>
      <w:r w:rsidRPr="00384343">
        <w:rPr>
          <w:rFonts w:ascii="Times New Roman" w:hAnsi="Times New Roman"/>
          <w:i/>
          <w:iCs/>
          <w:noProof/>
          <w:sz w:val="20"/>
          <w:szCs w:val="20"/>
          <w:lang w:val="en-GB"/>
        </w:rPr>
        <w:t>Nutritional Biochemistry</w:t>
      </w:r>
      <w:r w:rsidRPr="00384343">
        <w:rPr>
          <w:rFonts w:ascii="Times New Roman" w:hAnsi="Times New Roman"/>
          <w:noProof/>
          <w:sz w:val="20"/>
          <w:szCs w:val="20"/>
          <w:lang w:val="en-GB"/>
        </w:rPr>
        <w:t>, 7: 66-76.</w:t>
      </w:r>
    </w:p>
    <w:p w14:paraId="2C6824AB"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Rojsanga, P. and Gritsanapan, W.(2005). Variation of berberine content in </w:t>
      </w:r>
      <w:r w:rsidRPr="00384343">
        <w:rPr>
          <w:rFonts w:ascii="Times New Roman" w:hAnsi="Times New Roman"/>
          <w:i/>
          <w:iCs/>
          <w:noProof/>
          <w:sz w:val="20"/>
          <w:szCs w:val="20"/>
          <w:lang w:val="en-GB"/>
        </w:rPr>
        <w:t>Coscinium fenestratum</w:t>
      </w:r>
      <w:r w:rsidRPr="00384343">
        <w:rPr>
          <w:rFonts w:ascii="Times New Roman" w:hAnsi="Times New Roman"/>
          <w:noProof/>
          <w:sz w:val="20"/>
          <w:szCs w:val="20"/>
          <w:lang w:val="en-GB"/>
        </w:rPr>
        <w:t xml:space="preserve"> stem in thailand market. </w:t>
      </w:r>
      <w:r w:rsidRPr="00384343">
        <w:rPr>
          <w:rFonts w:ascii="Times New Roman" w:hAnsi="Times New Roman"/>
          <w:i/>
          <w:iCs/>
          <w:noProof/>
          <w:sz w:val="20"/>
          <w:szCs w:val="20"/>
          <w:lang w:val="en-GB"/>
        </w:rPr>
        <w:t>Mahidol University Journal of Pharmaceutical Sciences</w:t>
      </w:r>
      <w:r w:rsidRPr="00384343">
        <w:rPr>
          <w:rFonts w:ascii="Times New Roman" w:hAnsi="Times New Roman"/>
          <w:noProof/>
          <w:sz w:val="20"/>
          <w:szCs w:val="20"/>
          <w:lang w:val="en-GB"/>
        </w:rPr>
        <w:t>, 32(3-4): 66-70.</w:t>
      </w:r>
    </w:p>
    <w:p w14:paraId="32536FC4"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Danapur, V., Haleshi, C. and Sringeswara A. N. (2020). Endangered medicinal plant </w:t>
      </w:r>
      <w:r w:rsidRPr="00384343">
        <w:rPr>
          <w:rFonts w:ascii="Times New Roman" w:hAnsi="Times New Roman"/>
          <w:i/>
          <w:iCs/>
          <w:noProof/>
          <w:sz w:val="20"/>
          <w:szCs w:val="20"/>
          <w:lang w:val="en-GB"/>
        </w:rPr>
        <w:t xml:space="preserve">Coscinium fenestratum </w:t>
      </w:r>
      <w:r w:rsidRPr="00384343">
        <w:rPr>
          <w:rFonts w:ascii="Times New Roman" w:hAnsi="Times New Roman"/>
          <w:noProof/>
          <w:sz w:val="20"/>
          <w:szCs w:val="20"/>
          <w:lang w:val="en-GB"/>
        </w:rPr>
        <w:t>(Gaertn.) Colebr. - A review</w:t>
      </w:r>
      <w:r w:rsidRPr="00384343">
        <w:rPr>
          <w:rFonts w:ascii="Times New Roman" w:hAnsi="Times New Roman"/>
          <w:i/>
          <w:iCs/>
          <w:noProof/>
          <w:sz w:val="20"/>
          <w:szCs w:val="20"/>
          <w:lang w:val="en-GB"/>
        </w:rPr>
        <w:t xml:space="preserve">. Pharmacognosy Journal, </w:t>
      </w:r>
      <w:r w:rsidRPr="00384343">
        <w:rPr>
          <w:rFonts w:ascii="Times New Roman" w:hAnsi="Times New Roman"/>
          <w:noProof/>
          <w:sz w:val="20"/>
          <w:szCs w:val="20"/>
          <w:lang w:val="en-GB"/>
        </w:rPr>
        <w:t>12(5): 1077-1085</w:t>
      </w:r>
    </w:p>
    <w:p w14:paraId="45F37C28"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Eamsiri, J., Chookaew, S., Pewlong, W., Sajjabut, S. and Orpong, P. (2019). Effects of irradiation on antioxidant and antimicrobial activities of </w:t>
      </w:r>
      <w:r w:rsidRPr="00384343">
        <w:rPr>
          <w:rFonts w:ascii="Times New Roman" w:hAnsi="Times New Roman"/>
          <w:i/>
          <w:iCs/>
          <w:noProof/>
          <w:sz w:val="20"/>
          <w:szCs w:val="20"/>
          <w:lang w:val="en-GB"/>
        </w:rPr>
        <w:t>Coscinium fenestratum</w:t>
      </w:r>
      <w:r w:rsidRPr="00384343">
        <w:rPr>
          <w:rFonts w:ascii="Times New Roman" w:hAnsi="Times New Roman"/>
          <w:noProof/>
          <w:sz w:val="20"/>
          <w:szCs w:val="20"/>
          <w:lang w:val="en-GB"/>
        </w:rPr>
        <w:t xml:space="preserve"> (Goetgh.) Colebr. </w:t>
      </w:r>
      <w:r w:rsidRPr="00384343">
        <w:rPr>
          <w:rFonts w:ascii="Times New Roman" w:hAnsi="Times New Roman"/>
          <w:i/>
          <w:noProof/>
          <w:sz w:val="20"/>
          <w:szCs w:val="20"/>
          <w:lang w:val="en-GB"/>
        </w:rPr>
        <w:t xml:space="preserve">IOP Conf. Series: </w:t>
      </w:r>
      <w:r w:rsidRPr="00384343">
        <w:rPr>
          <w:rFonts w:ascii="Times New Roman" w:hAnsi="Times New Roman"/>
          <w:i/>
          <w:iCs/>
          <w:noProof/>
          <w:sz w:val="20"/>
          <w:szCs w:val="20"/>
          <w:lang w:val="en-GB"/>
        </w:rPr>
        <w:t>Journal of Physics</w:t>
      </w:r>
      <w:r w:rsidRPr="00384343">
        <w:rPr>
          <w:rFonts w:ascii="Times New Roman" w:hAnsi="Times New Roman"/>
          <w:noProof/>
          <w:sz w:val="20"/>
          <w:szCs w:val="20"/>
          <w:lang w:val="en-GB"/>
        </w:rPr>
        <w:t>: Conf. Series 1285 (2019) 012006.</w:t>
      </w:r>
    </w:p>
    <w:p w14:paraId="28EEEF16"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Harun, A., Mat So’ad, S.Z., Mohd Hassan, N. and Che Mohd Ramli, N.K. (2014). In-vitro antidermatophytic activity of methanolic fractions from </w:t>
      </w:r>
      <w:r w:rsidRPr="00384343">
        <w:rPr>
          <w:rFonts w:ascii="Times New Roman" w:hAnsi="Times New Roman"/>
          <w:i/>
          <w:iCs/>
          <w:noProof/>
          <w:sz w:val="20"/>
          <w:szCs w:val="20"/>
          <w:lang w:val="en-GB"/>
        </w:rPr>
        <w:t>Entada spiralis</w:t>
      </w:r>
      <w:r w:rsidRPr="00384343">
        <w:rPr>
          <w:rFonts w:ascii="Times New Roman" w:hAnsi="Times New Roman"/>
          <w:noProof/>
          <w:sz w:val="20"/>
          <w:szCs w:val="20"/>
          <w:lang w:val="en-GB"/>
        </w:rPr>
        <w:t xml:space="preserve"> Ridl. stem bark and its bioautographic profile. </w:t>
      </w:r>
      <w:r w:rsidRPr="00384343">
        <w:rPr>
          <w:rFonts w:ascii="Times New Roman" w:hAnsi="Times New Roman"/>
          <w:i/>
          <w:iCs/>
          <w:noProof/>
          <w:sz w:val="20"/>
          <w:szCs w:val="20"/>
          <w:lang w:val="en-GB"/>
        </w:rPr>
        <w:t>Pertanika Journal Science &amp; Technol</w:t>
      </w:r>
      <w:r w:rsidRPr="00384343">
        <w:rPr>
          <w:rFonts w:ascii="Times New Roman" w:hAnsi="Times New Roman"/>
          <w:i/>
          <w:noProof/>
          <w:sz w:val="20"/>
          <w:szCs w:val="20"/>
          <w:lang w:val="en-GB"/>
        </w:rPr>
        <w:t>ogy</w:t>
      </w:r>
      <w:r w:rsidRPr="00384343">
        <w:rPr>
          <w:rFonts w:ascii="Times New Roman" w:hAnsi="Times New Roman"/>
          <w:noProof/>
          <w:sz w:val="20"/>
          <w:szCs w:val="20"/>
          <w:lang w:val="en-GB"/>
        </w:rPr>
        <w:t xml:space="preserve"> 22(1): 113-121.</w:t>
      </w:r>
    </w:p>
    <w:p w14:paraId="7156EFB0"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Daud, A. D., Azman, N. S., Alias, N. I. A., Syaifudin, N., Harun, A. and Abdul Aziz, N. (2021). Phytochemical and antibacterial properties on three medicinal plants for potent anti-soft rot agents. </w:t>
      </w:r>
      <w:r w:rsidRPr="00384343">
        <w:rPr>
          <w:rFonts w:ascii="Times New Roman" w:hAnsi="Times New Roman"/>
          <w:i/>
          <w:iCs/>
          <w:noProof/>
          <w:sz w:val="20"/>
          <w:szCs w:val="20"/>
          <w:lang w:val="en-GB"/>
        </w:rPr>
        <w:t>Malaysian Journal of Analytical Sciences</w:t>
      </w:r>
      <w:r w:rsidRPr="00384343">
        <w:rPr>
          <w:rFonts w:ascii="Times New Roman" w:hAnsi="Times New Roman"/>
          <w:noProof/>
          <w:sz w:val="20"/>
          <w:szCs w:val="20"/>
          <w:lang w:val="en-GB"/>
        </w:rPr>
        <w:t>, 25(1): 119-128.</w:t>
      </w:r>
    </w:p>
    <w:p w14:paraId="2F3624D4"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lastRenderedPageBreak/>
        <w:t xml:space="preserve">Harun, A., Abdul Aziz, N., Mohd Azenan, N. S., Muhammad Kamarazzaman, N. F and Mat So’ad., S. Z. (2020). Antimicrobial efficacy, antioxidant profile and nine alternative active constituents from petroleum ether and ethyl acetate extract of </w:t>
      </w:r>
      <w:r w:rsidRPr="00384343">
        <w:rPr>
          <w:rFonts w:ascii="Times New Roman" w:hAnsi="Times New Roman"/>
          <w:i/>
          <w:iCs/>
          <w:noProof/>
          <w:sz w:val="20"/>
          <w:szCs w:val="20"/>
          <w:lang w:val="en-GB"/>
        </w:rPr>
        <w:t>Entada spiralis</w:t>
      </w:r>
      <w:r w:rsidRPr="00384343">
        <w:rPr>
          <w:rFonts w:ascii="Times New Roman" w:hAnsi="Times New Roman"/>
          <w:noProof/>
          <w:sz w:val="20"/>
          <w:szCs w:val="20"/>
          <w:lang w:val="en-GB"/>
        </w:rPr>
        <w:t xml:space="preserve">. </w:t>
      </w:r>
      <w:r w:rsidRPr="00384343">
        <w:rPr>
          <w:rFonts w:ascii="Times New Roman" w:hAnsi="Times New Roman"/>
          <w:i/>
          <w:iCs/>
          <w:noProof/>
          <w:sz w:val="20"/>
          <w:szCs w:val="20"/>
          <w:lang w:val="en-GB"/>
        </w:rPr>
        <w:t>Malaysian Journal of Analytical Sciences</w:t>
      </w:r>
      <w:r w:rsidRPr="00384343">
        <w:rPr>
          <w:rFonts w:ascii="Times New Roman" w:hAnsi="Times New Roman"/>
          <w:noProof/>
          <w:sz w:val="20"/>
          <w:szCs w:val="20"/>
          <w:lang w:val="en-GB"/>
        </w:rPr>
        <w:t>, 25(5): 707-718.</w:t>
      </w:r>
    </w:p>
    <w:p w14:paraId="4B2FB673"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Siddiqui, N., Rauf, A., Latif, A. and Mahmood, Z.(2017). Spectrophotometric determination of the totalphenolic content, spectral and fluorescence study of the herbal Unani drug Gul-e Zoofa (Nepeta bracteata Benth). </w:t>
      </w:r>
      <w:r w:rsidRPr="00384343">
        <w:rPr>
          <w:rFonts w:ascii="Times New Roman" w:hAnsi="Times New Roman"/>
          <w:i/>
          <w:iCs/>
          <w:noProof/>
          <w:sz w:val="20"/>
          <w:szCs w:val="20"/>
          <w:lang w:val="en-GB"/>
        </w:rPr>
        <w:t>Journal of Taibah University Medical Sciences,</w:t>
      </w:r>
      <w:r w:rsidRPr="00384343">
        <w:rPr>
          <w:rFonts w:ascii="Times New Roman" w:hAnsi="Times New Roman"/>
          <w:noProof/>
          <w:sz w:val="20"/>
          <w:szCs w:val="20"/>
          <w:lang w:val="en-GB"/>
        </w:rPr>
        <w:t xml:space="preserve"> 12(4): 360-363.</w:t>
      </w:r>
    </w:p>
    <w:p w14:paraId="00774707" w14:textId="77777777" w:rsidR="00E03EE0" w:rsidRPr="00384343"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Style w:val="bold"/>
          <w:rFonts w:ascii="Times New Roman" w:hAnsi="Times New Roman"/>
          <w:noProof/>
          <w:sz w:val="20"/>
          <w:szCs w:val="20"/>
          <w:shd w:val="clear" w:color="auto" w:fill="FFFFFF"/>
          <w:lang w:val="en-GB"/>
        </w:rPr>
        <w:t>Rubab, M., Chelliah, R., Saravanakumar, K., Kim</w:t>
      </w:r>
      <w:r w:rsidRPr="00384343">
        <w:rPr>
          <w:rFonts w:ascii="Times New Roman" w:hAnsi="Times New Roman"/>
          <w:noProof/>
          <w:sz w:val="20"/>
          <w:szCs w:val="20"/>
          <w:shd w:val="clear" w:color="auto" w:fill="FFFFFF"/>
          <w:lang w:val="en-GB"/>
        </w:rPr>
        <w:t>, J. R., </w:t>
      </w:r>
      <w:r w:rsidRPr="00384343">
        <w:rPr>
          <w:rStyle w:val="bold"/>
          <w:rFonts w:ascii="Times New Roman" w:hAnsi="Times New Roman"/>
          <w:noProof/>
          <w:sz w:val="20"/>
          <w:szCs w:val="20"/>
          <w:shd w:val="clear" w:color="auto" w:fill="FFFFFF"/>
          <w:lang w:val="en-GB"/>
        </w:rPr>
        <w:t>Yoo</w:t>
      </w:r>
      <w:r w:rsidRPr="00384343">
        <w:rPr>
          <w:rFonts w:ascii="Times New Roman" w:hAnsi="Times New Roman"/>
          <w:noProof/>
          <w:sz w:val="20"/>
          <w:szCs w:val="20"/>
          <w:shd w:val="clear" w:color="auto" w:fill="FFFFFF"/>
          <w:lang w:val="en-GB"/>
        </w:rPr>
        <w:t xml:space="preserve">, D., </w:t>
      </w:r>
      <w:r w:rsidRPr="00384343">
        <w:rPr>
          <w:rStyle w:val="bold"/>
          <w:rFonts w:ascii="Times New Roman" w:hAnsi="Times New Roman"/>
          <w:noProof/>
          <w:sz w:val="20"/>
          <w:szCs w:val="20"/>
          <w:shd w:val="clear" w:color="auto" w:fill="FFFFFF"/>
          <w:lang w:val="en-GB"/>
        </w:rPr>
        <w:t xml:space="preserve">Wang, M. H. and Oh, D. H.   (2020). </w:t>
      </w:r>
      <w:r w:rsidRPr="00384343">
        <w:rPr>
          <w:rFonts w:ascii="Times New Roman" w:hAnsi="Times New Roman"/>
          <w:noProof/>
          <w:spacing w:val="-7"/>
          <w:kern w:val="36"/>
          <w:sz w:val="20"/>
          <w:szCs w:val="20"/>
          <w:lang w:val="en-GB" w:eastAsia="en-MY"/>
        </w:rPr>
        <w:t>Phytochemical characterization, and antioxidant and antimicrobial activities of white cabbage extract on the quality and shelf life of raw beef during refrigerated storage.</w:t>
      </w:r>
      <w:r w:rsidRPr="00384343">
        <w:rPr>
          <w:rFonts w:ascii="Times New Roman" w:hAnsi="Times New Roman"/>
          <w:i/>
          <w:iCs/>
          <w:noProof/>
          <w:sz w:val="20"/>
          <w:szCs w:val="20"/>
          <w:shd w:val="clear" w:color="auto" w:fill="FFFFFF"/>
          <w:vertAlign w:val="superscript"/>
          <w:lang w:val="en-GB"/>
        </w:rPr>
        <w:t xml:space="preserve"> </w:t>
      </w:r>
      <w:r w:rsidRPr="00384343">
        <w:rPr>
          <w:rStyle w:val="italic"/>
          <w:rFonts w:ascii="Times New Roman" w:hAnsi="Times New Roman"/>
          <w:noProof/>
          <w:sz w:val="20"/>
          <w:szCs w:val="20"/>
          <w:shd w:val="clear" w:color="auto" w:fill="FFFFFF"/>
          <w:lang w:val="en-GB"/>
        </w:rPr>
        <w:t>Royal Society of Chemistry,</w:t>
      </w:r>
      <w:r w:rsidRPr="00384343">
        <w:rPr>
          <w:rStyle w:val="Strong"/>
          <w:rFonts w:ascii="Times New Roman" w:hAnsi="Times New Roman"/>
          <w:noProof/>
          <w:sz w:val="20"/>
          <w:szCs w:val="20"/>
          <w:shd w:val="clear" w:color="auto" w:fill="FFFFFF"/>
          <w:lang w:val="en-GB"/>
        </w:rPr>
        <w:t>10</w:t>
      </w:r>
      <w:r w:rsidRPr="00384343">
        <w:rPr>
          <w:rFonts w:ascii="Times New Roman" w:hAnsi="Times New Roman"/>
          <w:noProof/>
          <w:sz w:val="20"/>
          <w:szCs w:val="20"/>
          <w:shd w:val="clear" w:color="auto" w:fill="FFFFFF"/>
          <w:lang w:val="en-GB"/>
        </w:rPr>
        <w:t>: 41430-41442.</w:t>
      </w:r>
    </w:p>
    <w:p w14:paraId="7AEC8492"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Nair, G. M., Narasimhan, S., Shiburaj, S. and Abraham, T. K.(2005). Antibacterial effects of </w:t>
      </w:r>
      <w:r w:rsidRPr="00384343">
        <w:rPr>
          <w:rFonts w:ascii="Times New Roman" w:hAnsi="Times New Roman"/>
          <w:i/>
          <w:iCs/>
          <w:noProof/>
          <w:sz w:val="20"/>
          <w:szCs w:val="20"/>
          <w:lang w:val="en-GB"/>
        </w:rPr>
        <w:t>Coscinium   fenestratum</w:t>
      </w:r>
      <w:r w:rsidRPr="00384343">
        <w:rPr>
          <w:rFonts w:ascii="Times New Roman" w:hAnsi="Times New Roman"/>
          <w:noProof/>
          <w:sz w:val="20"/>
          <w:szCs w:val="20"/>
          <w:lang w:val="en-GB"/>
        </w:rPr>
        <w:t xml:space="preserve">. </w:t>
      </w:r>
      <w:r w:rsidRPr="00384343">
        <w:rPr>
          <w:rFonts w:ascii="Times New Roman" w:hAnsi="Times New Roman"/>
          <w:i/>
          <w:iCs/>
          <w:noProof/>
          <w:sz w:val="20"/>
          <w:szCs w:val="20"/>
          <w:lang w:val="en-GB"/>
        </w:rPr>
        <w:t>Fitoterapia</w:t>
      </w:r>
      <w:r w:rsidRPr="00384343">
        <w:rPr>
          <w:rFonts w:ascii="Times New Roman" w:hAnsi="Times New Roman"/>
          <w:noProof/>
          <w:sz w:val="20"/>
          <w:szCs w:val="20"/>
          <w:lang w:val="en-GB"/>
        </w:rPr>
        <w:t>,76: 585-587.</w:t>
      </w:r>
    </w:p>
    <w:p w14:paraId="5EA6DB9C"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Singburaudom, N. (2015). The alkaloid berberine isolated from </w:t>
      </w:r>
      <w:r w:rsidRPr="00384343">
        <w:rPr>
          <w:rFonts w:ascii="Times New Roman" w:hAnsi="Times New Roman"/>
          <w:i/>
          <w:iCs/>
          <w:noProof/>
          <w:sz w:val="20"/>
          <w:szCs w:val="20"/>
          <w:lang w:val="en-GB"/>
        </w:rPr>
        <w:t>Coscinium fenestratum</w:t>
      </w:r>
      <w:r w:rsidRPr="00384343">
        <w:rPr>
          <w:rFonts w:ascii="Times New Roman" w:hAnsi="Times New Roman"/>
          <w:noProof/>
          <w:sz w:val="20"/>
          <w:szCs w:val="20"/>
          <w:lang w:val="en-GB"/>
        </w:rPr>
        <w:t xml:space="preserve"> is an inhibitor of phytopathogenic fungi. </w:t>
      </w:r>
      <w:r w:rsidRPr="00384343">
        <w:rPr>
          <w:rFonts w:ascii="Times New Roman" w:hAnsi="Times New Roman"/>
          <w:i/>
          <w:iCs/>
          <w:noProof/>
          <w:sz w:val="20"/>
          <w:szCs w:val="20"/>
          <w:lang w:val="en-GB"/>
        </w:rPr>
        <w:t xml:space="preserve">Journal of Biopesticides, </w:t>
      </w:r>
      <w:r w:rsidRPr="00384343">
        <w:rPr>
          <w:rFonts w:ascii="Times New Roman" w:hAnsi="Times New Roman"/>
          <w:noProof/>
          <w:sz w:val="20"/>
          <w:szCs w:val="20"/>
          <w:lang w:val="en-GB"/>
        </w:rPr>
        <w:t>8(1):28-36.</w:t>
      </w:r>
    </w:p>
    <w:p w14:paraId="4243DDBE"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rPr>
        <w:t xml:space="preserve">Goveas, S.W. and Abraham, A. (2013). Evaluation of antimicrobial and antioxidant activity of stem and leaf extracts of </w:t>
      </w:r>
      <w:r w:rsidRPr="00384343">
        <w:rPr>
          <w:rFonts w:ascii="Times New Roman" w:hAnsi="Times New Roman"/>
          <w:i/>
          <w:iCs/>
          <w:noProof/>
          <w:sz w:val="20"/>
          <w:szCs w:val="20"/>
          <w:lang w:val="en-GB"/>
        </w:rPr>
        <w:t>Coscinium fenestratum</w:t>
      </w:r>
      <w:r w:rsidRPr="00384343">
        <w:rPr>
          <w:rFonts w:ascii="Times New Roman" w:hAnsi="Times New Roman"/>
          <w:noProof/>
          <w:sz w:val="20"/>
          <w:szCs w:val="20"/>
          <w:lang w:val="en-GB"/>
        </w:rPr>
        <w:t xml:space="preserve">. </w:t>
      </w:r>
      <w:r w:rsidRPr="00384343">
        <w:rPr>
          <w:rFonts w:ascii="Times New Roman" w:hAnsi="Times New Roman"/>
          <w:i/>
          <w:iCs/>
          <w:noProof/>
          <w:sz w:val="20"/>
          <w:szCs w:val="20"/>
          <w:lang w:val="en-GB"/>
        </w:rPr>
        <w:t>Asian Journal of Pharmaceutical Clinical Research</w:t>
      </w:r>
      <w:r w:rsidRPr="00384343">
        <w:rPr>
          <w:rFonts w:ascii="Times New Roman" w:hAnsi="Times New Roman"/>
          <w:noProof/>
          <w:sz w:val="20"/>
          <w:szCs w:val="20"/>
          <w:lang w:val="en-GB"/>
        </w:rPr>
        <w:t>, 6(3): 218-221.</w:t>
      </w:r>
    </w:p>
    <w:p w14:paraId="265B4B74" w14:textId="77777777" w:rsid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384343">
        <w:rPr>
          <w:rFonts w:ascii="Times New Roman" w:hAnsi="Times New Roman"/>
          <w:noProof/>
          <w:sz w:val="20"/>
          <w:szCs w:val="20"/>
          <w:lang w:val="en-GB" w:eastAsia="en-MY"/>
        </w:rPr>
        <w:t>Mohd Azli, N. A. N., Harun, A., Abdul Aziz, N. and Daud, S. (2021). Anti soft rot and antioxidant behaviour of nine medicinal plants from Paya Bungor, Pahang.</w:t>
      </w:r>
      <w:r w:rsidRPr="00384343">
        <w:rPr>
          <w:rFonts w:ascii="Times New Roman" w:hAnsi="Times New Roman"/>
          <w:noProof/>
          <w:sz w:val="20"/>
          <w:szCs w:val="20"/>
          <w:lang w:val="en-GB"/>
        </w:rPr>
        <w:t xml:space="preserve"> </w:t>
      </w:r>
      <w:r w:rsidRPr="00384343">
        <w:rPr>
          <w:rFonts w:ascii="Times New Roman" w:hAnsi="Times New Roman"/>
          <w:i/>
          <w:iCs/>
          <w:noProof/>
          <w:sz w:val="20"/>
          <w:szCs w:val="20"/>
          <w:lang w:val="en-GB" w:eastAsia="en-MY"/>
        </w:rPr>
        <w:t>GADING Journal of Science and Technology</w:t>
      </w:r>
      <w:r w:rsidRPr="00384343">
        <w:rPr>
          <w:rFonts w:ascii="Times New Roman" w:hAnsi="Times New Roman"/>
          <w:noProof/>
          <w:sz w:val="20"/>
          <w:szCs w:val="20"/>
          <w:lang w:val="en-GB" w:eastAsia="en-MY"/>
        </w:rPr>
        <w:t>, 4(2): 20-26.</w:t>
      </w:r>
    </w:p>
    <w:p w14:paraId="5DDBC5E6" w14:textId="20A99F91" w:rsidR="00E03EE0" w:rsidRPr="00E03EE0" w:rsidRDefault="00E03EE0" w:rsidP="00E03EE0">
      <w:pPr>
        <w:pStyle w:val="ListParagraph"/>
        <w:numPr>
          <w:ilvl w:val="0"/>
          <w:numId w:val="11"/>
        </w:numPr>
        <w:spacing w:after="0"/>
        <w:ind w:left="360"/>
        <w:jc w:val="both"/>
        <w:rPr>
          <w:rFonts w:ascii="Times New Roman" w:hAnsi="Times New Roman"/>
          <w:noProof/>
          <w:sz w:val="20"/>
          <w:szCs w:val="20"/>
          <w:lang w:val="en-GB"/>
        </w:rPr>
      </w:pPr>
      <w:r w:rsidRPr="00E03EE0">
        <w:rPr>
          <w:rFonts w:ascii="Times New Roman" w:hAnsi="Times New Roman"/>
          <w:noProof/>
          <w:lang w:val="en-GB"/>
        </w:rPr>
        <w:t xml:space="preserve">Keawpradub, N., Dej-adisai, S. and Yuenyongsawad., S. (2005). Antioxidant and cytotoxic activities of Thai medicinal plants named Khaminkhruea: </w:t>
      </w:r>
      <w:r w:rsidRPr="00E03EE0">
        <w:rPr>
          <w:rFonts w:ascii="Times New Roman" w:hAnsi="Times New Roman"/>
          <w:i/>
          <w:iCs/>
          <w:noProof/>
          <w:lang w:val="en-GB"/>
        </w:rPr>
        <w:t>Arcangelisia flava, Coscinium blumeanum and Fibraurea tinctoria</w:t>
      </w:r>
      <w:r w:rsidRPr="00E03EE0">
        <w:rPr>
          <w:rFonts w:ascii="Times New Roman" w:hAnsi="Times New Roman"/>
          <w:noProof/>
          <w:lang w:val="en-GB"/>
        </w:rPr>
        <w:t xml:space="preserve">. </w:t>
      </w:r>
      <w:r w:rsidRPr="00E03EE0">
        <w:rPr>
          <w:rFonts w:ascii="Times New Roman" w:hAnsi="Times New Roman"/>
          <w:i/>
          <w:iCs/>
          <w:noProof/>
          <w:lang w:val="en-GB"/>
        </w:rPr>
        <w:t>Songklanakarin Journal of Science Technology</w:t>
      </w:r>
      <w:r w:rsidRPr="00E03EE0">
        <w:rPr>
          <w:rFonts w:ascii="Times New Roman" w:hAnsi="Times New Roman"/>
          <w:noProof/>
          <w:lang w:val="en-GB"/>
        </w:rPr>
        <w:t>, 27(2): 455-467.</w:t>
      </w: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619F8863"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9761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976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10"/>
  </w:num>
  <w:num w:numId="4" w16cid:durableId="857737045">
    <w:abstractNumId w:val="2"/>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759446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2</cp:revision>
  <cp:lastPrinted>2020-04-01T04:48:00Z</cp:lastPrinted>
  <dcterms:created xsi:type="dcterms:W3CDTF">2022-08-11T03:03:00Z</dcterms:created>
  <dcterms:modified xsi:type="dcterms:W3CDTF">2022-08-11T03:03:00Z</dcterms:modified>
</cp:coreProperties>
</file>