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2757419C" w:rsidR="00272C5A" w:rsidRDefault="00FB44BF" w:rsidP="001F3367">
      <w:pPr>
        <w:spacing w:after="0"/>
        <w:jc w:val="center"/>
        <w:outlineLvl w:val="0"/>
        <w:rPr>
          <w:rFonts w:asciiTheme="majorBidi" w:hAnsiTheme="majorBidi" w:cstheme="majorBidi"/>
          <w:sz w:val="28"/>
          <w:szCs w:val="28"/>
        </w:rPr>
      </w:pPr>
      <w:bookmarkStart w:id="0" w:name="_Hlk109431962"/>
      <w:r w:rsidRPr="00FB44BF">
        <w:rPr>
          <w:rFonts w:asciiTheme="majorBidi" w:hAnsiTheme="majorBidi" w:cstheme="majorBidi"/>
          <w:sz w:val="28"/>
          <w:szCs w:val="28"/>
        </w:rPr>
        <w:t>PRELIMINARY STUDIES ON SUNLIGHT ASSISTED DEGRADATION OF 2-CHLOROPHENOL USING MoS</w:t>
      </w:r>
      <w:r w:rsidRPr="005237E3">
        <w:rPr>
          <w:rFonts w:asciiTheme="majorBidi" w:hAnsiTheme="majorBidi" w:cstheme="majorBidi"/>
          <w:sz w:val="28"/>
          <w:szCs w:val="28"/>
          <w:vertAlign w:val="subscript"/>
        </w:rPr>
        <w:t>2</w:t>
      </w:r>
      <w:r w:rsidRPr="00FB44BF">
        <w:rPr>
          <w:rFonts w:asciiTheme="majorBidi" w:hAnsiTheme="majorBidi" w:cstheme="majorBidi"/>
          <w:sz w:val="28"/>
          <w:szCs w:val="28"/>
        </w:rPr>
        <w:t>/GO AS PHOTOCATALYST</w:t>
      </w:r>
    </w:p>
    <w:bookmarkEnd w:id="0"/>
    <w:p w14:paraId="349D3987" w14:textId="77777777" w:rsidR="006768E9" w:rsidRPr="00F447A7" w:rsidRDefault="006768E9" w:rsidP="00873799">
      <w:pPr>
        <w:spacing w:after="0"/>
        <w:jc w:val="center"/>
        <w:rPr>
          <w:rFonts w:ascii="Times New Roman" w:hAnsi="Times New Roman"/>
          <w:noProof/>
          <w:sz w:val="24"/>
          <w:szCs w:val="24"/>
          <w:lang w:bidi="ar-SA"/>
        </w:rPr>
      </w:pPr>
    </w:p>
    <w:p w14:paraId="2A6345B1" w14:textId="77777777" w:rsidR="001F3367" w:rsidRPr="001F3367" w:rsidRDefault="001F3367" w:rsidP="00873799">
      <w:pPr>
        <w:spacing w:after="0"/>
        <w:jc w:val="center"/>
        <w:rPr>
          <w:rFonts w:ascii="Times New Roman" w:eastAsia="Calibri" w:hAnsi="Times New Roman"/>
          <w:sz w:val="24"/>
          <w:szCs w:val="24"/>
          <w:lang w:bidi="ar-SA"/>
        </w:rPr>
      </w:pPr>
      <w:r w:rsidRPr="001F3367">
        <w:rPr>
          <w:rFonts w:ascii="Times New Roman" w:eastAsia="Calibri" w:hAnsi="Times New Roman"/>
          <w:sz w:val="24"/>
          <w:szCs w:val="24"/>
          <w:lang w:val="en-MY" w:bidi="ar-SA"/>
        </w:rPr>
        <w:t>(</w:t>
      </w:r>
      <w:r w:rsidRPr="001F3367">
        <w:rPr>
          <w:rFonts w:ascii="Times New Roman" w:eastAsia="Calibri" w:hAnsi="Times New Roman"/>
          <w:sz w:val="24"/>
          <w:szCs w:val="24"/>
          <w:lang w:val="ms-MY" w:bidi="ar-SA"/>
        </w:rPr>
        <w:t>Kajian Awal Mengenai Cahaya Tampak Dituruti Penyusutan Sinaran 2-klorofenol Menggunakan MoS</w:t>
      </w:r>
      <w:r w:rsidRPr="001F3367">
        <w:rPr>
          <w:rFonts w:ascii="Times New Roman" w:eastAsia="Calibri" w:hAnsi="Times New Roman"/>
          <w:sz w:val="24"/>
          <w:szCs w:val="24"/>
          <w:vertAlign w:val="subscript"/>
          <w:lang w:val="ms-MY" w:bidi="ar-SA"/>
        </w:rPr>
        <w:t>2</w:t>
      </w:r>
      <w:r w:rsidRPr="001F3367">
        <w:rPr>
          <w:rFonts w:ascii="Times New Roman" w:eastAsia="Calibri" w:hAnsi="Times New Roman"/>
          <w:sz w:val="24"/>
          <w:szCs w:val="24"/>
          <w:lang w:val="ms-MY" w:bidi="ar-SA"/>
        </w:rPr>
        <w:t>/GO Sebagai Pemangkin Cahaya</w:t>
      </w:r>
      <w:r w:rsidRPr="001F3367">
        <w:rPr>
          <w:rFonts w:ascii="Times New Roman" w:eastAsia="Calibri" w:hAnsi="Times New Roman"/>
          <w:sz w:val="24"/>
          <w:szCs w:val="24"/>
          <w:lang w:bidi="ar-SA"/>
        </w:rPr>
        <w:t>)</w:t>
      </w:r>
    </w:p>
    <w:p w14:paraId="0CC73174" w14:textId="77777777" w:rsidR="00873799" w:rsidRDefault="00873799" w:rsidP="001F3367">
      <w:pPr>
        <w:spacing w:after="0"/>
        <w:jc w:val="center"/>
        <w:rPr>
          <w:rFonts w:ascii="Times New Roman" w:eastAsia="Calibri" w:hAnsi="Times New Roman"/>
          <w:noProof/>
          <w:sz w:val="20"/>
          <w:szCs w:val="20"/>
          <w:lang w:val="ms-MY" w:bidi="ar-SA"/>
        </w:rPr>
      </w:pPr>
      <w:bookmarkStart w:id="1" w:name="_Hlk89762909"/>
    </w:p>
    <w:p w14:paraId="3D756A3F" w14:textId="67FDC04D"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 xml:space="preserve">Kavirajaa Pandian Sambasevam, Syara Syazliana Muhammad Rajab, Izyan Najwa Mohd Norsham, </w:t>
      </w:r>
    </w:p>
    <w:p w14:paraId="5C79CFA6" w14:textId="0EECFF92"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Siti Nor Atika Baharin</w:t>
      </w:r>
      <w:r w:rsidRPr="00FE05EE">
        <w:rPr>
          <w:rFonts w:ascii="Times New Roman" w:eastAsia="Calibri" w:hAnsi="Times New Roman"/>
          <w:noProof/>
          <w:sz w:val="20"/>
          <w:szCs w:val="20"/>
          <w:lang w:val="ms-MY" w:bidi="ar-SA"/>
        </w:rPr>
        <w:t>*</w:t>
      </w:r>
      <w:bookmarkEnd w:id="1"/>
    </w:p>
    <w:p w14:paraId="481FE833" w14:textId="77777777" w:rsidR="001F3367" w:rsidRPr="001F3367" w:rsidRDefault="001F3367" w:rsidP="001F3367">
      <w:pPr>
        <w:spacing w:after="0"/>
        <w:jc w:val="center"/>
        <w:rPr>
          <w:rFonts w:ascii="Times New Roman" w:eastAsia="Calibri" w:hAnsi="Times New Roman"/>
          <w:noProof/>
          <w:sz w:val="20"/>
          <w:szCs w:val="20"/>
          <w:lang w:val="ms-MY" w:bidi="ar-SA"/>
        </w:rPr>
      </w:pPr>
    </w:p>
    <w:p w14:paraId="426DC324" w14:textId="1B23A4D6" w:rsidR="001F3367" w:rsidRPr="001F3367" w:rsidRDefault="001F3367" w:rsidP="00873799">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Advanced Material for Environmental Remediation (AMER) Research Group, Faculty of Applied Sciences, </w:t>
      </w:r>
    </w:p>
    <w:p w14:paraId="07E417F2"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University Teknologi MARA, Cawangan Negeri Sembilan, Kampus Kuala Pilah,</w:t>
      </w:r>
    </w:p>
    <w:p w14:paraId="5477468D"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 72000, Kuala Pilah, Negeri Sembilan, Malaysia</w:t>
      </w:r>
    </w:p>
    <w:p w14:paraId="7EDA6C6E" w14:textId="77777777" w:rsidR="001F3367" w:rsidRPr="001F3367" w:rsidRDefault="001F3367" w:rsidP="001F3367">
      <w:pPr>
        <w:spacing w:after="0"/>
        <w:jc w:val="center"/>
        <w:rPr>
          <w:rFonts w:ascii="Times New Roman" w:eastAsia="Calibri" w:hAnsi="Times New Roman"/>
          <w:i/>
          <w:iCs/>
          <w:noProof/>
          <w:sz w:val="18"/>
          <w:szCs w:val="18"/>
          <w:lang w:val="ms-MY" w:bidi="ar-SA"/>
        </w:rPr>
      </w:pPr>
    </w:p>
    <w:p w14:paraId="605ADCCB" w14:textId="269C53EF" w:rsidR="006768E9" w:rsidRPr="001F3367" w:rsidRDefault="001F3367" w:rsidP="001F3367">
      <w:pPr>
        <w:spacing w:after="0"/>
        <w:jc w:val="center"/>
        <w:rPr>
          <w:rFonts w:ascii="Times New Roman" w:eastAsia="Calibri" w:hAnsi="Times New Roman"/>
          <w:i/>
          <w:iCs/>
          <w:noProof/>
          <w:sz w:val="18"/>
          <w:szCs w:val="18"/>
          <w:lang w:val="ms-MY" w:bidi="ar-SA"/>
        </w:rPr>
      </w:pPr>
      <w:r w:rsidRPr="00873799">
        <w:rPr>
          <w:rFonts w:ascii="Times New Roman" w:eastAsia="Calibri" w:hAnsi="Times New Roman"/>
          <w:i/>
          <w:iCs/>
          <w:noProof/>
          <w:sz w:val="18"/>
          <w:szCs w:val="18"/>
          <w:lang w:val="ms-MY" w:bidi="ar-SA"/>
        </w:rPr>
        <w:t>*</w:t>
      </w:r>
      <w:r w:rsidRPr="001F3367">
        <w:rPr>
          <w:rFonts w:ascii="Times New Roman" w:eastAsia="Calibri" w:hAnsi="Times New Roman"/>
          <w:i/>
          <w:iCs/>
          <w:noProof/>
          <w:sz w:val="18"/>
          <w:szCs w:val="18"/>
          <w:lang w:val="ms-MY" w:bidi="ar-SA"/>
        </w:rPr>
        <w:t xml:space="preserve">Corresponding author: </w:t>
      </w:r>
      <w:r w:rsidR="00873799">
        <w:rPr>
          <w:rFonts w:ascii="Times New Roman" w:eastAsia="Calibri" w:hAnsi="Times New Roman"/>
          <w:i/>
          <w:iCs/>
          <w:noProof/>
          <w:sz w:val="18"/>
          <w:szCs w:val="18"/>
          <w:lang w:val="ms-MY" w:bidi="ar-SA"/>
        </w:rPr>
        <w:t xml:space="preserve"> </w:t>
      </w:r>
      <w:r w:rsidRPr="001F3367">
        <w:rPr>
          <w:rFonts w:ascii="Times New Roman" w:eastAsia="Calibri" w:hAnsi="Times New Roman"/>
          <w:i/>
          <w:iCs/>
          <w:noProof/>
          <w:sz w:val="18"/>
          <w:szCs w:val="18"/>
          <w:lang w:val="ms-MY" w:bidi="ar-SA"/>
        </w:rPr>
        <w:t>atikabaharin@uitm.edu.my</w:t>
      </w:r>
    </w:p>
    <w:p w14:paraId="18D54BE3" w14:textId="0C68965C" w:rsidR="006768E9" w:rsidRDefault="006768E9" w:rsidP="009B102B">
      <w:pPr>
        <w:spacing w:after="0"/>
        <w:jc w:val="center"/>
        <w:rPr>
          <w:rFonts w:ascii="Times New Roman" w:hAnsi="Times New Roman"/>
          <w:noProof/>
          <w:sz w:val="18"/>
          <w:szCs w:val="18"/>
          <w:lang w:bidi="ar-SA"/>
        </w:rPr>
      </w:pPr>
    </w:p>
    <w:p w14:paraId="235CF43B" w14:textId="77777777" w:rsidR="001F3367" w:rsidRDefault="001F3367" w:rsidP="009B102B">
      <w:pPr>
        <w:spacing w:after="0"/>
        <w:jc w:val="center"/>
        <w:rPr>
          <w:rFonts w:ascii="Times New Roman" w:hAnsi="Times New Roman"/>
          <w:noProof/>
          <w:sz w:val="18"/>
          <w:szCs w:val="18"/>
          <w:lang w:bidi="ar-SA"/>
        </w:rPr>
      </w:pPr>
    </w:p>
    <w:p w14:paraId="49CD0BC5" w14:textId="5C4FBDAF" w:rsidR="00BA1F7B" w:rsidRDefault="00BA1F7B" w:rsidP="00B86421">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091B06">
        <w:rPr>
          <w:rFonts w:ascii="Times New Roman" w:hAnsi="Times New Roman"/>
          <w:noProof/>
          <w:sz w:val="18"/>
          <w:szCs w:val="18"/>
          <w:lang w:bidi="ar-SA"/>
        </w:rPr>
        <w:t>14 September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E472AC">
        <w:rPr>
          <w:rFonts w:ascii="Times New Roman" w:hAnsi="Times New Roman"/>
          <w:noProof/>
          <w:sz w:val="18"/>
          <w:szCs w:val="18"/>
          <w:lang w:bidi="ar-SA"/>
        </w:rPr>
        <w:t>4 March</w:t>
      </w:r>
      <w:r w:rsidR="00430237">
        <w:rPr>
          <w:rFonts w:ascii="Times New Roman" w:hAnsi="Times New Roman"/>
          <w:noProof/>
          <w:sz w:val="18"/>
          <w:szCs w:val="18"/>
          <w:lang w:bidi="ar-SA"/>
        </w:rPr>
        <w:t xml:space="preserve"> 202</w:t>
      </w:r>
      <w:r w:rsidR="00430237" w:rsidRPr="00B86421">
        <w:rPr>
          <w:rFonts w:ascii="Times New Roman" w:hAnsi="Times New Roman"/>
          <w:noProof/>
          <w:sz w:val="18"/>
          <w:szCs w:val="18"/>
          <w:lang w:bidi="ar-SA"/>
        </w:rPr>
        <w:t>2</w:t>
      </w:r>
      <w:r w:rsidR="00F82059" w:rsidRPr="00B86421">
        <w:rPr>
          <w:rFonts w:ascii="Times New Roman" w:hAnsi="Times New Roman"/>
          <w:noProof/>
          <w:sz w:val="18"/>
          <w:szCs w:val="18"/>
          <w:lang w:bidi="ar-SA"/>
        </w:rPr>
        <w:t xml:space="preserve">; Published: </w:t>
      </w:r>
      <w:r w:rsidR="00B86421" w:rsidRPr="00B86421">
        <w:rPr>
          <w:rFonts w:ascii="Times New Roman" w:hAnsi="Times New Roman"/>
          <w:noProof/>
          <w:sz w:val="18"/>
          <w:szCs w:val="18"/>
          <w:lang w:bidi="ar-SA"/>
        </w:rPr>
        <w:t>x</w:t>
      </w:r>
      <w:r w:rsidR="00B86421" w:rsidRPr="009618D3">
        <w:rPr>
          <w:rFonts w:ascii="Times New Roman" w:hAnsi="Times New Roman"/>
          <w:noProof/>
          <w:sz w:val="18"/>
          <w:szCs w:val="18"/>
          <w:lang w:bidi="ar-SA"/>
        </w:rPr>
        <w:t>x</w:t>
      </w:r>
      <w:r w:rsidR="00B86421">
        <w:rPr>
          <w:rFonts w:ascii="Times New Roman" w:hAnsi="Times New Roman"/>
          <w:noProof/>
          <w:sz w:val="18"/>
          <w:szCs w:val="18"/>
          <w:lang w:bidi="ar-SA"/>
        </w:rPr>
        <w:t xml:space="preserve"> August 2022</w:t>
      </w:r>
    </w:p>
    <w:p w14:paraId="5A496945" w14:textId="1A2AF737" w:rsidR="00BA1F7B" w:rsidRDefault="00BA1F7B" w:rsidP="00676177">
      <w:pPr>
        <w:spacing w:after="0"/>
        <w:jc w:val="center"/>
        <w:rPr>
          <w:rFonts w:ascii="Times New Roman" w:hAnsi="Times New Roman"/>
          <w:noProof/>
          <w:sz w:val="18"/>
          <w:szCs w:val="18"/>
          <w:lang w:bidi="ar-SA"/>
        </w:rPr>
      </w:pPr>
    </w:p>
    <w:p w14:paraId="7D5AC062" w14:textId="77777777" w:rsidR="00E26E85" w:rsidRDefault="00E26E85" w:rsidP="00676177">
      <w:pPr>
        <w:spacing w:after="0"/>
        <w:jc w:val="center"/>
        <w:rPr>
          <w:rFonts w:ascii="Times New Roman" w:hAnsi="Times New Roman"/>
          <w:noProof/>
          <w:sz w:val="18"/>
          <w:szCs w:val="18"/>
          <w:lang w:bidi="ar-SA"/>
        </w:rPr>
      </w:pPr>
    </w:p>
    <w:p w14:paraId="5A4B167A" w14:textId="77777777" w:rsidR="00676177" w:rsidRPr="00676177" w:rsidRDefault="00676177" w:rsidP="00CB19E8">
      <w:pPr>
        <w:spacing w:after="0"/>
        <w:ind w:right="288"/>
        <w:jc w:val="center"/>
        <w:rPr>
          <w:rFonts w:ascii="Times New Roman" w:hAnsi="Times New Roman"/>
          <w:b/>
          <w:sz w:val="18"/>
          <w:szCs w:val="18"/>
          <w:lang w:bidi="ar-SA"/>
        </w:rPr>
      </w:pPr>
      <w:r w:rsidRPr="00676177">
        <w:rPr>
          <w:rFonts w:ascii="Times New Roman" w:hAnsi="Times New Roman"/>
          <w:b/>
          <w:sz w:val="18"/>
          <w:szCs w:val="18"/>
          <w:lang w:bidi="ar-SA"/>
        </w:rPr>
        <w:t>Abstract</w:t>
      </w:r>
    </w:p>
    <w:p w14:paraId="0DAA1CA4" w14:textId="77777777" w:rsidR="00676177" w:rsidRPr="00676177" w:rsidRDefault="00676177" w:rsidP="00CB19E8">
      <w:pPr>
        <w:spacing w:after="0"/>
        <w:ind w:right="-46"/>
        <w:jc w:val="both"/>
        <w:rPr>
          <w:rFonts w:ascii="Times New Roman" w:hAnsi="Times New Roman"/>
          <w:sz w:val="18"/>
          <w:szCs w:val="18"/>
          <w:lang w:bidi="ar-SA"/>
        </w:rPr>
      </w:pPr>
      <w:r w:rsidRPr="00676177">
        <w:rPr>
          <w:rFonts w:ascii="Times New Roman" w:hAnsi="Times New Roman"/>
          <w:sz w:val="18"/>
          <w:szCs w:val="18"/>
          <w:lang w:bidi="ar-SA"/>
        </w:rPr>
        <w:t>This study highlighted preliminary studies on photodegradation of 2-chlorophenol using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photocatalyst with different weight ratios under sunlight irradiation. The 2-chlorophenol is known as one of the most dangerous pollutant due to its hazardous properties of mutagenicity, carcinogenicity and eco-pollutant. The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photocatalysts were synthesized using the hydrothermal method and used for the degradation of 2-chlorophenol under solar light irradiation. Three different compositions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(1%, 5% and 15%) were synthesized with different weight ratio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The composites material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GO and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was characterized by FTIR and XRD indicating successful formation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composites. The photodegradation of the 10 ppm of 2-chlorophenol were observed under the exposure of sunlight for 180 minutes and analyzed using UV-VIS to measure percent degradation of 2-chlorophenol. 1%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xml:space="preserve">/rGO has been chosen as the composite to degrade 2-chlorophenol due to having the highest percent degradation of 51.41% among other photocatalysts. </w:t>
      </w:r>
    </w:p>
    <w:p w14:paraId="52197CA5" w14:textId="77777777" w:rsidR="00676177" w:rsidRPr="00676177" w:rsidRDefault="00676177" w:rsidP="00CB19E8">
      <w:pPr>
        <w:spacing w:after="0"/>
        <w:ind w:right="288"/>
        <w:jc w:val="both"/>
        <w:rPr>
          <w:rFonts w:ascii="Times New Roman" w:hAnsi="Times New Roman"/>
          <w:b/>
          <w:sz w:val="18"/>
          <w:szCs w:val="18"/>
          <w:lang w:bidi="ar-SA"/>
        </w:rPr>
      </w:pPr>
    </w:p>
    <w:p w14:paraId="36CFA134" w14:textId="77777777" w:rsidR="00676177" w:rsidRPr="00676177" w:rsidRDefault="00676177" w:rsidP="00CB19E8">
      <w:pPr>
        <w:spacing w:after="0"/>
        <w:jc w:val="both"/>
        <w:rPr>
          <w:rFonts w:ascii="Times New Roman" w:eastAsia="Calibri" w:hAnsi="Times New Roman"/>
          <w:sz w:val="18"/>
          <w:szCs w:val="18"/>
          <w:lang w:val="en-MY" w:bidi="ar-SA"/>
        </w:rPr>
      </w:pPr>
      <w:r w:rsidRPr="00676177">
        <w:rPr>
          <w:rFonts w:ascii="Times New Roman" w:eastAsia="Calibri" w:hAnsi="Times New Roman"/>
          <w:b/>
          <w:bCs/>
          <w:sz w:val="18"/>
          <w:szCs w:val="18"/>
          <w:lang w:val="en-MY" w:bidi="ar-SA"/>
        </w:rPr>
        <w:t xml:space="preserve">Keywords: </w:t>
      </w:r>
      <w:r w:rsidRPr="00676177">
        <w:rPr>
          <w:rFonts w:ascii="Times New Roman" w:eastAsia="Calibri" w:hAnsi="Times New Roman"/>
          <w:sz w:val="18"/>
          <w:szCs w:val="18"/>
          <w:lang w:val="en-MY" w:bidi="ar-SA"/>
        </w:rPr>
        <w:t>graphene oxide, molybdenum disulfide, photocatalytic degradation, semiconductor photocatalyst, solar irradiation</w:t>
      </w:r>
    </w:p>
    <w:p w14:paraId="68F94C0E" w14:textId="77777777" w:rsidR="00E83EEC" w:rsidRDefault="00E83EEC" w:rsidP="00CB19E8">
      <w:pPr>
        <w:spacing w:after="0"/>
        <w:jc w:val="center"/>
        <w:rPr>
          <w:rFonts w:ascii="Times New Roman" w:eastAsia="Calibri" w:hAnsi="Times New Roman"/>
          <w:b/>
          <w:bCs/>
          <w:noProof/>
          <w:sz w:val="18"/>
          <w:szCs w:val="18"/>
          <w:lang w:val="ms-MY" w:bidi="ar-SA"/>
        </w:rPr>
      </w:pPr>
    </w:p>
    <w:p w14:paraId="56682ADF" w14:textId="00A22F32" w:rsidR="00676177" w:rsidRPr="00676177" w:rsidRDefault="00676177" w:rsidP="00CB19E8">
      <w:pPr>
        <w:spacing w:after="0"/>
        <w:jc w:val="center"/>
        <w:rPr>
          <w:rFonts w:ascii="Times New Roman" w:eastAsia="Calibri" w:hAnsi="Times New Roman"/>
          <w:b/>
          <w:bCs/>
          <w:noProof/>
          <w:sz w:val="18"/>
          <w:szCs w:val="18"/>
          <w:lang w:val="ms-MY" w:bidi="ar-SA"/>
        </w:rPr>
      </w:pPr>
      <w:r w:rsidRPr="00676177">
        <w:rPr>
          <w:rFonts w:ascii="Times New Roman" w:eastAsia="Calibri" w:hAnsi="Times New Roman"/>
          <w:b/>
          <w:bCs/>
          <w:noProof/>
          <w:sz w:val="18"/>
          <w:szCs w:val="18"/>
          <w:lang w:val="ms-MY" w:bidi="ar-SA"/>
        </w:rPr>
        <w:t>Abstrak</w:t>
      </w:r>
    </w:p>
    <w:p w14:paraId="754184D3" w14:textId="77777777" w:rsidR="00676177" w:rsidRPr="00676177" w:rsidRDefault="00676177" w:rsidP="00CB19E8">
      <w:pPr>
        <w:spacing w:after="0"/>
        <w:jc w:val="both"/>
        <w:rPr>
          <w:rFonts w:ascii="Times New Roman" w:eastAsia="Calibri" w:hAnsi="Times New Roman"/>
          <w:noProof/>
          <w:sz w:val="18"/>
          <w:szCs w:val="18"/>
          <w:lang w:val="ms-MY" w:bidi="ar-SA"/>
        </w:rPr>
      </w:pPr>
      <w:r w:rsidRPr="00676177">
        <w:rPr>
          <w:rFonts w:ascii="Times New Roman" w:eastAsia="Calibri" w:hAnsi="Times New Roman"/>
          <w:noProof/>
          <w:sz w:val="18"/>
          <w:szCs w:val="18"/>
          <w:lang w:val="ms-MY" w:bidi="ar-SA"/>
        </w:rPr>
        <w:t>Kajian in menekankan kajian awal mengenai fotodegradasi 2-klorofenol dengan menggunakan berat ratio pemangkin cahaya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dibawah radiasi matahari. 2-klorofenol dikenali sebagai salah satu bahan pencemar yang mempunyai ciri-ciri merbahaya seperti mutagenisiti, karsinogenik dan eko-pencemar. Komposit MoS2/rGO telah disintesis menggunakan kaedah hidroterma. Kaedah fotokatalisis yang menggunakan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sebagai pemangkin cahaya untuk merosotkan 2-klorofenol dibawah sinaran matahari. Tiga komposisi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(1%, 5% and 15%) telah disintesis menggunakan nisbah berat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 yang berbeza. Bahan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GO dan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dicirikan menggunakan FTIR dan XRD telah menunjukkan hasil jaya pembentukan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/rGO dengan jayanya. Penyusutan sinaran oleh 10 ppm 2-klorofenol telah diperhatikan dibawah sinaran matahari selama 180 minit telah dianalisiskan dengan UV-VIS untuk mengukur peratus penyusutan sinaran 2-klorofenol. 1% MoS2/rGO telah dipilih untuk merosotkan 2-klorofenol kerana mempunyai peratusan penyosotan yang tinggi iaitu 51.41%. </w:t>
      </w:r>
    </w:p>
    <w:p w14:paraId="6D918E5B" w14:textId="77777777" w:rsidR="00676177" w:rsidRPr="00676177" w:rsidRDefault="00676177" w:rsidP="00CB19E8">
      <w:pPr>
        <w:spacing w:after="0"/>
        <w:jc w:val="both"/>
        <w:rPr>
          <w:rFonts w:ascii="Times New Roman" w:eastAsia="Calibri" w:hAnsi="Times New Roman"/>
          <w:noProof/>
          <w:sz w:val="18"/>
          <w:szCs w:val="18"/>
          <w:lang w:val="ms-MY" w:bidi="ar-SA"/>
        </w:rPr>
      </w:pPr>
    </w:p>
    <w:p w14:paraId="5C4B0302" w14:textId="77777777" w:rsidR="003F1C89" w:rsidRDefault="00676177" w:rsidP="00CB19E8">
      <w:pPr>
        <w:spacing w:after="0"/>
        <w:ind w:left="993" w:hanging="993"/>
        <w:jc w:val="both"/>
        <w:rPr>
          <w:rFonts w:ascii="Times New Roman" w:eastAsia="Calibri" w:hAnsi="Times New Roman"/>
          <w:b/>
          <w:bCs/>
          <w:sz w:val="18"/>
          <w:szCs w:val="18"/>
          <w:lang w:val="ms-MY" w:bidi="ar-SA"/>
        </w:rPr>
      </w:pPr>
      <w:r w:rsidRPr="00676177">
        <w:rPr>
          <w:rFonts w:ascii="Times New Roman" w:eastAsia="Calibri" w:hAnsi="Times New Roman"/>
          <w:b/>
          <w:bCs/>
          <w:sz w:val="18"/>
          <w:szCs w:val="18"/>
          <w:lang w:val="ms-MY" w:bidi="ar-SA"/>
        </w:rPr>
        <w:lastRenderedPageBreak/>
        <w:t xml:space="preserve">Kata kunci: </w:t>
      </w:r>
      <w:r w:rsidRPr="00676177">
        <w:rPr>
          <w:rFonts w:ascii="Times New Roman" w:eastAsia="Calibri" w:hAnsi="Times New Roman"/>
          <w:noProof/>
          <w:sz w:val="18"/>
          <w:szCs w:val="18"/>
          <w:lang w:val="ms-MY" w:bidi="ar-SA"/>
        </w:rPr>
        <w:t>grafena oksida, molibdenum disulfida, degradasi fotokatalitik, pemangkin cahaya semikonduktor, penyinaran suria</w:t>
      </w:r>
      <w:r w:rsidRPr="00676177">
        <w:rPr>
          <w:rFonts w:ascii="Times New Roman" w:eastAsia="Calibri" w:hAnsi="Times New Roman"/>
          <w:b/>
          <w:bCs/>
          <w:sz w:val="18"/>
          <w:szCs w:val="18"/>
          <w:lang w:val="ms-MY" w:bidi="ar-SA"/>
        </w:rPr>
        <w:t xml:space="preserve"> </w:t>
      </w:r>
    </w:p>
    <w:p w14:paraId="1D00A50F" w14:textId="77777777" w:rsidR="00E83EEC" w:rsidRDefault="00E83EEC" w:rsidP="00CB19E8">
      <w:pPr>
        <w:spacing w:after="0"/>
        <w:ind w:left="993" w:hanging="993"/>
        <w:jc w:val="both"/>
        <w:rPr>
          <w:rFonts w:ascii="Times New Roman" w:eastAsia="Calibri" w:hAnsi="Times New Roman"/>
          <w:b/>
          <w:bCs/>
          <w:sz w:val="18"/>
          <w:szCs w:val="18"/>
          <w:lang w:val="ms-MY" w:bidi="ar-SA"/>
        </w:rPr>
      </w:pPr>
    </w:p>
    <w:p w14:paraId="418CA12C" w14:textId="7911052E" w:rsidR="00E83EEC" w:rsidRDefault="00E83EEC" w:rsidP="00FE05EE">
      <w:pPr>
        <w:spacing w:after="0"/>
        <w:ind w:left="993" w:hanging="993"/>
        <w:jc w:val="both"/>
        <w:rPr>
          <w:rFonts w:ascii="Times New Roman" w:eastAsia="Calibri" w:hAnsi="Times New Roman"/>
          <w:b/>
          <w:bCs/>
          <w:sz w:val="18"/>
          <w:szCs w:val="18"/>
          <w:lang w:val="ms-MY" w:bidi="ar-SA"/>
        </w:rPr>
        <w:sectPr w:rsidR="00E83EEC" w:rsidSect="003F1C89">
          <w:headerReference w:type="even" r:id="rId9"/>
          <w:headerReference w:type="default" r:id="rId10"/>
          <w:footerReference w:type="even" r:id="rId11"/>
          <w:footerReference w:type="default" r:id="rId12"/>
          <w:headerReference w:type="first" r:id="rId13"/>
          <w:type w:val="continuous"/>
          <w:pgSz w:w="12240" w:h="15840" w:code="1"/>
          <w:pgMar w:top="1800" w:right="1469" w:bottom="1699" w:left="1440" w:header="706" w:footer="706" w:gutter="0"/>
          <w:pgNumType w:start="1"/>
          <w:cols w:space="403"/>
          <w:docGrid w:linePitch="360"/>
        </w:sectPr>
      </w:pPr>
    </w:p>
    <w:p w14:paraId="56739854" w14:textId="1941D72B" w:rsidR="00676177" w:rsidRPr="00676177" w:rsidRDefault="00676177" w:rsidP="00FE05EE">
      <w:pPr>
        <w:spacing w:after="0"/>
        <w:jc w:val="center"/>
        <w:rPr>
          <w:rFonts w:ascii="Times New Roman" w:eastAsia="Calibri" w:hAnsi="Times New Roman"/>
          <w:b/>
          <w:bCs/>
          <w:sz w:val="18"/>
          <w:szCs w:val="18"/>
          <w:lang w:val="ms-MY" w:bidi="ar-SA"/>
        </w:rPr>
      </w:pPr>
      <w:r w:rsidRPr="00676177">
        <w:rPr>
          <w:rFonts w:ascii="Times New Roman" w:eastAsia="Calibri" w:hAnsi="Times New Roman"/>
          <w:b/>
          <w:bCs/>
          <w:sz w:val="20"/>
          <w:szCs w:val="20"/>
          <w:lang w:val="en-MY" w:bidi="ar-SA"/>
        </w:rPr>
        <w:t>Introduction</w:t>
      </w:r>
    </w:p>
    <w:p w14:paraId="2BA7AF79" w14:textId="71AEDBEB" w:rsidR="00676177" w:rsidRDefault="00676177" w:rsidP="00FE05EE">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2-chlorophenol is one of the chemical groups derives from chlorophenol that were made by electrophilic halogenation of phenol with chlorine. It is widely known as one of the most priority pollutants by the US Environmental Protection Agency and World Health Organization (WHO) based on its properties of strong odor, mutagenicity, carcinogenicity and eco-persistent [1]. It is highly toxic and difficult to degrade due to its high thermal and chemical stability [2]. Even with its hazardous characteristics, it is largely used in industrial and commercial scales such as plastic, pesticide, textile, steel, pharmaceutical, iron, paper and wood preserving that were reported to be a major source of chlorophenol compound found in the wastewater [3]. It can affect organisms when it released to the environment. Thus, many studies have been made to eliminate it such as biodegradation, adsorption and Fenton-like advanced oxidation processes. However, due to utilization of extra oxidants, vigorous conditions and intensive energy input, studies are made to search for sustainable </w:t>
      </w:r>
      <w:r w:rsidRPr="00676177">
        <w:rPr>
          <w:rFonts w:ascii="Times New Roman" w:eastAsia="Calibri" w:hAnsi="Times New Roman"/>
          <w:sz w:val="20"/>
          <w:szCs w:val="20"/>
          <w:lang w:bidi="ar-SA"/>
        </w:rPr>
        <w:t xml:space="preserve">technology to degrade 2-chlorophenol. Hence, to overcome the environment issues, solar-driven photocatalysis method is being used to eliminate the contaminant in the wastewater, ground water and rivers. </w:t>
      </w:r>
    </w:p>
    <w:p w14:paraId="5C37BC75" w14:textId="77777777" w:rsidR="00CB19E8" w:rsidRPr="00676177" w:rsidRDefault="00CB19E8" w:rsidP="00FE05EE">
      <w:pPr>
        <w:spacing w:after="0"/>
        <w:jc w:val="both"/>
        <w:rPr>
          <w:rFonts w:ascii="Times New Roman" w:eastAsia="Calibri" w:hAnsi="Times New Roman"/>
          <w:sz w:val="20"/>
          <w:szCs w:val="20"/>
          <w:lang w:bidi="ar-SA"/>
        </w:rPr>
      </w:pPr>
    </w:p>
    <w:p w14:paraId="11A3F9A7" w14:textId="77777777" w:rsidR="00BC00DF" w:rsidRDefault="00676177" w:rsidP="00BC00DF">
      <w:pPr>
        <w:spacing w:after="0"/>
        <w:jc w:val="both"/>
        <w:rPr>
          <w:rFonts w:ascii="Times New Roman" w:eastAsia="Calibri" w:hAnsi="Times New Roman"/>
          <w:sz w:val="20"/>
          <w:szCs w:val="20"/>
          <w:lang w:val="en-MY" w:bidi="ar-SA"/>
        </w:rPr>
        <w:sectPr w:rsidR="00BC00DF" w:rsidSect="003F1C89">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sz w:val="20"/>
          <w:szCs w:val="20"/>
          <w:lang w:bidi="ar-SA"/>
        </w:rPr>
        <w:t xml:space="preserve">Photocatalysis is known as one of the advanced oxidation processes which is a method of removing contaminants concerning wastewater effluents. Photocatalysis is a technique to degrade pollutant by using photocatalyst to utilize photogenerated carriers such as electrons and holes in order to start the redox reaction for the conversion of solar to chemical energy [4]. Photocatalysis is one of the advanced treatment technologies to degrade contaminant by using radicals produced from transition-metal oxide photocatalysts involving UV irradiation. To promote indirect hole oxidation, the electron-hole pairs are generated on the photocatalyst surface and the valence band edge of photocatalysts must be better of the oxidation potential of hydroxyl radical, •OH [5]. </w:t>
      </w:r>
      <w:r w:rsidRPr="00676177">
        <w:rPr>
          <w:rFonts w:ascii="Times New Roman" w:eastAsia="Calibri" w:hAnsi="Times New Roman"/>
          <w:sz w:val="20"/>
          <w:szCs w:val="20"/>
          <w:lang w:bidi="ar-SA"/>
        </w:rPr>
        <w:fldChar w:fldCharType="begin"/>
      </w:r>
      <w:r w:rsidRPr="00676177">
        <w:rPr>
          <w:rFonts w:ascii="Times New Roman" w:eastAsia="Calibri" w:hAnsi="Times New Roman"/>
          <w:sz w:val="20"/>
          <w:szCs w:val="20"/>
          <w:lang w:bidi="ar-SA"/>
        </w:rPr>
        <w:instrText xml:space="preserve"> REF _Ref80662074 \h  \* MERGEFORMAT </w:instrText>
      </w:r>
      <w:r w:rsidRPr="00676177">
        <w:rPr>
          <w:rFonts w:ascii="Times New Roman" w:eastAsia="Calibri" w:hAnsi="Times New Roman"/>
          <w:sz w:val="20"/>
          <w:szCs w:val="20"/>
          <w:lang w:bidi="ar-SA"/>
        </w:rPr>
      </w:r>
      <w:r w:rsidRPr="00676177">
        <w:rPr>
          <w:rFonts w:ascii="Times New Roman" w:eastAsia="Calibri" w:hAnsi="Times New Roman"/>
          <w:sz w:val="20"/>
          <w:szCs w:val="20"/>
          <w:lang w:bidi="ar-SA"/>
        </w:rPr>
        <w:fldChar w:fldCharType="separate"/>
      </w:r>
    </w:p>
    <w:p w14:paraId="5AAD29BF" w14:textId="77777777" w:rsidR="00BC00DF" w:rsidRDefault="00BC00DF" w:rsidP="00BC00DF">
      <w:pPr>
        <w:spacing w:after="0"/>
        <w:jc w:val="both"/>
        <w:rPr>
          <w:rFonts w:ascii="Times New Roman" w:eastAsia="Calibri" w:hAnsi="Times New Roman"/>
          <w:sz w:val="20"/>
          <w:szCs w:val="20"/>
          <w:lang w:val="en-MY" w:bidi="ar-SA"/>
        </w:rPr>
      </w:pPr>
    </w:p>
    <w:p w14:paraId="5B039071" w14:textId="456A19CC" w:rsidR="00676177" w:rsidRPr="00676177" w:rsidRDefault="00BC00DF" w:rsidP="00FE05EE">
      <w:pPr>
        <w:spacing w:after="0"/>
        <w:jc w:val="both"/>
        <w:rPr>
          <w:rFonts w:ascii="Times New Roman" w:eastAsia="Calibri" w:hAnsi="Times New Roman"/>
          <w:sz w:val="20"/>
          <w:szCs w:val="20"/>
          <w:lang w:bidi="ar-SA"/>
        </w:rPr>
      </w:pPr>
      <w:r w:rsidRPr="00676177">
        <w:rPr>
          <w:rFonts w:ascii="Times New Roman" w:eastAsia="Calibri" w:hAnsi="Times New Roman"/>
          <w:noProof/>
          <w:sz w:val="20"/>
          <w:szCs w:val="20"/>
          <w:lang w:val="en-MY" w:bidi="ar-SA"/>
        </w:rPr>
        <w:t>Table</w:t>
      </w:r>
      <w:r w:rsidRPr="00676177">
        <w:rPr>
          <w:rFonts w:ascii="Times New Roman" w:eastAsia="Calibri" w:hAnsi="Times New Roman"/>
          <w:sz w:val="20"/>
          <w:szCs w:val="20"/>
          <w:lang w:val="en-MY" w:bidi="ar-SA"/>
        </w:rPr>
        <w:t xml:space="preserve"> </w:t>
      </w:r>
      <w:r>
        <w:rPr>
          <w:rFonts w:ascii="Times New Roman" w:eastAsia="Calibri" w:hAnsi="Times New Roman"/>
          <w:noProof/>
          <w:sz w:val="20"/>
          <w:szCs w:val="20"/>
          <w:lang w:val="en-MY" w:bidi="ar-SA"/>
        </w:rPr>
        <w:t>1</w:t>
      </w:r>
      <w:r w:rsidR="00676177" w:rsidRPr="00676177">
        <w:rPr>
          <w:rFonts w:ascii="Times New Roman" w:eastAsia="Calibri" w:hAnsi="Times New Roman"/>
          <w:sz w:val="20"/>
          <w:szCs w:val="20"/>
          <w:lang w:bidi="ar-SA"/>
        </w:rPr>
        <w:fldChar w:fldCharType="end"/>
      </w:r>
      <w:r w:rsidR="00676177" w:rsidRPr="00676177">
        <w:rPr>
          <w:rFonts w:ascii="Times New Roman" w:eastAsia="Calibri" w:hAnsi="Times New Roman"/>
          <w:sz w:val="20"/>
          <w:szCs w:val="20"/>
          <w:lang w:bidi="ar-SA"/>
        </w:rPr>
        <w:t xml:space="preserve"> examines the different types of photocatalyst materials for degradation of 2-chlorophenol.</w:t>
      </w:r>
    </w:p>
    <w:p w14:paraId="4AC5260D" w14:textId="4FCF76B9" w:rsidR="00CB19E8" w:rsidRDefault="00CB19E8" w:rsidP="00CB19E8">
      <w:pPr>
        <w:keepNext/>
        <w:spacing w:after="0"/>
        <w:rPr>
          <w:rFonts w:ascii="Times New Roman" w:eastAsia="Calibri" w:hAnsi="Times New Roman"/>
          <w:sz w:val="20"/>
          <w:szCs w:val="20"/>
          <w:lang w:val="en-MY" w:bidi="ar-SA"/>
        </w:rPr>
        <w:sectPr w:rsidR="00CB19E8" w:rsidSect="003F1C89">
          <w:type w:val="continuous"/>
          <w:pgSz w:w="12240" w:h="15840" w:code="1"/>
          <w:pgMar w:top="1800" w:right="1469" w:bottom="1699" w:left="1440" w:header="706" w:footer="706" w:gutter="0"/>
          <w:pgNumType w:start="1"/>
          <w:cols w:num="2" w:space="403"/>
          <w:docGrid w:linePitch="360"/>
        </w:sectPr>
      </w:pPr>
      <w:bookmarkStart w:id="2" w:name="_Ref80662074"/>
    </w:p>
    <w:p w14:paraId="6CC3AB42" w14:textId="77777777" w:rsidR="00CB19E8" w:rsidRDefault="00CB19E8" w:rsidP="00CB19E8">
      <w:pPr>
        <w:keepNext/>
        <w:spacing w:after="0"/>
        <w:jc w:val="center"/>
        <w:rPr>
          <w:rFonts w:ascii="Times New Roman" w:eastAsia="Calibri" w:hAnsi="Times New Roman"/>
          <w:sz w:val="20"/>
          <w:szCs w:val="20"/>
          <w:lang w:val="en-MY" w:bidi="ar-SA"/>
        </w:rPr>
      </w:pPr>
    </w:p>
    <w:p w14:paraId="4E2598C2" w14:textId="1A81BAE3" w:rsidR="00E26E85" w:rsidRPr="00676177" w:rsidRDefault="00676177" w:rsidP="00FE05EE">
      <w:pPr>
        <w:keepNext/>
        <w:spacing w:after="120"/>
        <w:jc w:val="center"/>
        <w:rPr>
          <w:rFonts w:ascii="Times New Roman" w:eastAsia="Calibri" w:hAnsi="Times New Roman"/>
          <w:sz w:val="20"/>
          <w:szCs w:val="20"/>
          <w:lang w:bidi="ar-SA"/>
        </w:rPr>
      </w:pPr>
      <w:r w:rsidRPr="00676177">
        <w:rPr>
          <w:rFonts w:ascii="Times New Roman" w:eastAsia="Calibri" w:hAnsi="Times New Roman"/>
          <w:sz w:val="20"/>
          <w:szCs w:val="20"/>
          <w:lang w:val="en-MY" w:bidi="ar-SA"/>
        </w:rPr>
        <w:t xml:space="preserve">Table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Table \* ARABIC </w:instrText>
      </w:r>
      <w:r w:rsidRPr="00676177">
        <w:rPr>
          <w:rFonts w:ascii="Times New Roman" w:eastAsia="Calibri" w:hAnsi="Times New Roman"/>
          <w:sz w:val="20"/>
          <w:szCs w:val="20"/>
          <w:lang w:val="en-MY" w:bidi="ar-SA"/>
        </w:rPr>
        <w:fldChar w:fldCharType="separate"/>
      </w:r>
      <w:r w:rsidR="00BC00DF">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2"/>
      <w:r w:rsidRPr="00676177">
        <w:rPr>
          <w:rFonts w:ascii="Times New Roman" w:eastAsia="Calibri" w:hAnsi="Times New Roman"/>
          <w:sz w:val="20"/>
          <w:szCs w:val="20"/>
          <w:lang w:bidi="ar-SA"/>
        </w:rPr>
        <w:t>. Degradation of 2-chlorophenol using photocatalytic degradation</w:t>
      </w:r>
    </w:p>
    <w:tbl>
      <w:tblPr>
        <w:tblStyle w:val="TableGrid3"/>
        <w:tblW w:w="88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5"/>
        <w:gridCol w:w="1608"/>
        <w:gridCol w:w="1921"/>
        <w:gridCol w:w="2340"/>
        <w:gridCol w:w="1511"/>
      </w:tblGrid>
      <w:tr w:rsidR="00676177" w:rsidRPr="00676177" w14:paraId="6483BEBE" w14:textId="77777777" w:rsidTr="00B07F6D">
        <w:trPr>
          <w:trHeight w:val="427"/>
          <w:jc w:val="center"/>
        </w:trPr>
        <w:tc>
          <w:tcPr>
            <w:tcW w:w="1515" w:type="dxa"/>
            <w:tcBorders>
              <w:top w:val="single" w:sz="4" w:space="0" w:color="auto"/>
              <w:bottom w:val="single" w:sz="4" w:space="0" w:color="auto"/>
            </w:tcBorders>
          </w:tcPr>
          <w:p w14:paraId="6C4D60A3"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Photocatalyst</w:t>
            </w:r>
          </w:p>
        </w:tc>
        <w:tc>
          <w:tcPr>
            <w:tcW w:w="1608" w:type="dxa"/>
            <w:tcBorders>
              <w:top w:val="single" w:sz="4" w:space="0" w:color="auto"/>
              <w:bottom w:val="single" w:sz="4" w:space="0" w:color="auto"/>
            </w:tcBorders>
          </w:tcPr>
          <w:p w14:paraId="6F814A0B"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Source of Light</w:t>
            </w:r>
          </w:p>
        </w:tc>
        <w:tc>
          <w:tcPr>
            <w:tcW w:w="1921" w:type="dxa"/>
            <w:tcBorders>
              <w:top w:val="single" w:sz="4" w:space="0" w:color="auto"/>
              <w:bottom w:val="single" w:sz="4" w:space="0" w:color="auto"/>
            </w:tcBorders>
          </w:tcPr>
          <w:p w14:paraId="4E027983"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Degradation Time</w:t>
            </w:r>
          </w:p>
        </w:tc>
        <w:tc>
          <w:tcPr>
            <w:tcW w:w="2340" w:type="dxa"/>
            <w:tcBorders>
              <w:top w:val="single" w:sz="4" w:space="0" w:color="auto"/>
              <w:bottom w:val="single" w:sz="4" w:space="0" w:color="auto"/>
            </w:tcBorders>
          </w:tcPr>
          <w:p w14:paraId="4FFC779F"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Percentage Degradation</w:t>
            </w:r>
          </w:p>
        </w:tc>
        <w:tc>
          <w:tcPr>
            <w:tcW w:w="1511" w:type="dxa"/>
            <w:tcBorders>
              <w:top w:val="single" w:sz="4" w:space="0" w:color="auto"/>
              <w:bottom w:val="single" w:sz="4" w:space="0" w:color="auto"/>
            </w:tcBorders>
          </w:tcPr>
          <w:p w14:paraId="2385F138"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References</w:t>
            </w:r>
          </w:p>
        </w:tc>
      </w:tr>
      <w:tr w:rsidR="00676177" w:rsidRPr="00676177" w14:paraId="45BE7632" w14:textId="77777777" w:rsidTr="00B07F6D">
        <w:trPr>
          <w:trHeight w:val="427"/>
          <w:jc w:val="center"/>
        </w:trPr>
        <w:tc>
          <w:tcPr>
            <w:tcW w:w="1515" w:type="dxa"/>
            <w:tcBorders>
              <w:top w:val="single" w:sz="4" w:space="0" w:color="auto"/>
            </w:tcBorders>
          </w:tcPr>
          <w:p w14:paraId="2D397137"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Ru/TiO</w:t>
            </w:r>
            <w:r w:rsidRPr="00676177">
              <w:rPr>
                <w:rFonts w:ascii="Times New Roman" w:eastAsia="Calibri" w:hAnsi="Times New Roman"/>
                <w:sz w:val="20"/>
                <w:szCs w:val="16"/>
                <w:vertAlign w:val="subscript"/>
                <w:lang w:bidi="ar-SA"/>
              </w:rPr>
              <w:t>2</w:t>
            </w:r>
          </w:p>
        </w:tc>
        <w:tc>
          <w:tcPr>
            <w:tcW w:w="1608" w:type="dxa"/>
            <w:tcBorders>
              <w:top w:val="single" w:sz="4" w:space="0" w:color="auto"/>
            </w:tcBorders>
          </w:tcPr>
          <w:p w14:paraId="0FB91DEE"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Borders>
              <w:top w:val="single" w:sz="4" w:space="0" w:color="auto"/>
            </w:tcBorders>
          </w:tcPr>
          <w:p w14:paraId="4BBDE9DC"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Borders>
              <w:top w:val="single" w:sz="4" w:space="0" w:color="auto"/>
            </w:tcBorders>
          </w:tcPr>
          <w:p w14:paraId="4FC171D1"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50%</w:t>
            </w:r>
          </w:p>
        </w:tc>
        <w:tc>
          <w:tcPr>
            <w:tcW w:w="1511" w:type="dxa"/>
            <w:tcBorders>
              <w:top w:val="single" w:sz="4" w:space="0" w:color="auto"/>
            </w:tcBorders>
          </w:tcPr>
          <w:p w14:paraId="4B38310C"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[6]</w:t>
            </w:r>
          </w:p>
        </w:tc>
      </w:tr>
      <w:tr w:rsidR="00676177" w:rsidRPr="00676177" w14:paraId="570F7984" w14:textId="77777777" w:rsidTr="00B07F6D">
        <w:trPr>
          <w:trHeight w:val="720"/>
          <w:jc w:val="center"/>
        </w:trPr>
        <w:tc>
          <w:tcPr>
            <w:tcW w:w="1515" w:type="dxa"/>
          </w:tcPr>
          <w:p w14:paraId="36C93807" w14:textId="77777777" w:rsidR="00676177" w:rsidRPr="00676177" w:rsidRDefault="00676177" w:rsidP="00FE05EE">
            <w:pPr>
              <w:spacing w:after="0"/>
              <w:rPr>
                <w:rFonts w:ascii="Times New Roman" w:eastAsia="Calibri" w:hAnsi="Times New Roman"/>
                <w:sz w:val="20"/>
                <w:szCs w:val="16"/>
                <w:vertAlign w:val="subscript"/>
                <w:lang w:bidi="ar-SA"/>
              </w:rPr>
            </w:pPr>
            <w:r w:rsidRPr="00676177">
              <w:rPr>
                <w:rFonts w:ascii="Times New Roman" w:eastAsia="Calibri" w:hAnsi="Times New Roman"/>
                <w:sz w:val="20"/>
                <w:szCs w:val="16"/>
                <w:lang w:bidi="ar-SA"/>
              </w:rPr>
              <w:t>Cu doped BiFeO</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 xml:space="preserve"> and Ba-Cu co-doped BiFeO</w:t>
            </w:r>
            <w:r w:rsidRPr="00676177">
              <w:rPr>
                <w:rFonts w:ascii="Times New Roman" w:eastAsia="Calibri" w:hAnsi="Times New Roman"/>
                <w:sz w:val="20"/>
                <w:szCs w:val="16"/>
                <w:vertAlign w:val="subscript"/>
                <w:lang w:bidi="ar-SA"/>
              </w:rPr>
              <w:t>3</w:t>
            </w:r>
          </w:p>
          <w:p w14:paraId="6077328B" w14:textId="77777777" w:rsidR="00676177" w:rsidRPr="00676177" w:rsidRDefault="00676177" w:rsidP="00FE05EE">
            <w:pPr>
              <w:spacing w:after="0"/>
              <w:rPr>
                <w:rFonts w:ascii="Times New Roman" w:eastAsia="Calibri" w:hAnsi="Times New Roman"/>
                <w:sz w:val="20"/>
                <w:szCs w:val="16"/>
                <w:vertAlign w:val="subscript"/>
                <w:lang w:bidi="ar-SA"/>
              </w:rPr>
            </w:pPr>
          </w:p>
        </w:tc>
        <w:tc>
          <w:tcPr>
            <w:tcW w:w="1608" w:type="dxa"/>
          </w:tcPr>
          <w:p w14:paraId="57DADBB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022B8719"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70 minutes</w:t>
            </w:r>
          </w:p>
        </w:tc>
        <w:tc>
          <w:tcPr>
            <w:tcW w:w="2340" w:type="dxa"/>
          </w:tcPr>
          <w:p w14:paraId="5AEA837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98% and 100%</w:t>
            </w:r>
          </w:p>
        </w:tc>
        <w:tc>
          <w:tcPr>
            <w:tcW w:w="1511" w:type="dxa"/>
          </w:tcPr>
          <w:p w14:paraId="71C2BE67"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w:t>
            </w:r>
          </w:p>
        </w:tc>
      </w:tr>
      <w:tr w:rsidR="00676177" w:rsidRPr="00676177" w14:paraId="4444C49B" w14:textId="77777777" w:rsidTr="00B07F6D">
        <w:trPr>
          <w:trHeight w:val="640"/>
          <w:jc w:val="center"/>
        </w:trPr>
        <w:tc>
          <w:tcPr>
            <w:tcW w:w="1515" w:type="dxa"/>
          </w:tcPr>
          <w:p w14:paraId="07B59FC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C</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N</w:t>
            </w:r>
            <w:r w:rsidRPr="00676177">
              <w:rPr>
                <w:rFonts w:ascii="Times New Roman" w:eastAsia="Calibri" w:hAnsi="Times New Roman"/>
                <w:sz w:val="20"/>
                <w:szCs w:val="16"/>
                <w:vertAlign w:val="subscript"/>
                <w:lang w:bidi="ar-SA"/>
              </w:rPr>
              <w:t>4</w:t>
            </w:r>
            <w:r w:rsidRPr="00676177">
              <w:rPr>
                <w:rFonts w:ascii="Times New Roman" w:eastAsia="Calibri" w:hAnsi="Times New Roman"/>
                <w:sz w:val="20"/>
                <w:szCs w:val="16"/>
                <w:lang w:bidi="ar-SA"/>
              </w:rPr>
              <w:t>/TiO</w:t>
            </w:r>
            <w:r w:rsidRPr="00676177">
              <w:rPr>
                <w:rFonts w:ascii="Times New Roman" w:eastAsia="Calibri" w:hAnsi="Times New Roman"/>
                <w:sz w:val="20"/>
                <w:szCs w:val="16"/>
                <w:vertAlign w:val="subscript"/>
                <w:lang w:bidi="ar-SA"/>
              </w:rPr>
              <w:t>2</w:t>
            </w:r>
            <w:r w:rsidRPr="00676177">
              <w:rPr>
                <w:rFonts w:ascii="Times New Roman" w:eastAsia="Calibri" w:hAnsi="Times New Roman"/>
                <w:sz w:val="20"/>
                <w:szCs w:val="16"/>
                <w:lang w:bidi="ar-SA"/>
              </w:rPr>
              <w:t>-NTs in pH of 9 and 12</w:t>
            </w:r>
          </w:p>
          <w:p w14:paraId="5DBFABE6" w14:textId="77777777" w:rsidR="00676177" w:rsidRPr="00676177" w:rsidRDefault="00676177" w:rsidP="00FE05EE">
            <w:pPr>
              <w:spacing w:after="0"/>
              <w:rPr>
                <w:rFonts w:ascii="Times New Roman" w:eastAsia="Calibri" w:hAnsi="Times New Roman"/>
                <w:sz w:val="20"/>
                <w:szCs w:val="16"/>
                <w:lang w:bidi="ar-SA"/>
              </w:rPr>
            </w:pPr>
          </w:p>
        </w:tc>
        <w:tc>
          <w:tcPr>
            <w:tcW w:w="1608" w:type="dxa"/>
          </w:tcPr>
          <w:p w14:paraId="1D327424"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UV/ Visible light</w:t>
            </w:r>
          </w:p>
        </w:tc>
        <w:tc>
          <w:tcPr>
            <w:tcW w:w="1921" w:type="dxa"/>
          </w:tcPr>
          <w:p w14:paraId="339E5DE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Pr>
          <w:p w14:paraId="5D850BB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25.02% and 70.25%</w:t>
            </w:r>
          </w:p>
        </w:tc>
        <w:tc>
          <w:tcPr>
            <w:tcW w:w="1511" w:type="dxa"/>
          </w:tcPr>
          <w:p w14:paraId="541EFFB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[8]</w:t>
            </w:r>
          </w:p>
        </w:tc>
      </w:tr>
      <w:tr w:rsidR="00676177" w:rsidRPr="00676177" w14:paraId="5D2F4338" w14:textId="77777777" w:rsidTr="00B07F6D">
        <w:trPr>
          <w:trHeight w:val="261"/>
          <w:jc w:val="center"/>
        </w:trPr>
        <w:tc>
          <w:tcPr>
            <w:tcW w:w="1515" w:type="dxa"/>
          </w:tcPr>
          <w:p w14:paraId="1D373FD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ZnO-ZnS@PANI</w:t>
            </w:r>
          </w:p>
          <w:p w14:paraId="6B9899D4" w14:textId="77777777" w:rsidR="00676177" w:rsidRPr="00676177" w:rsidRDefault="00676177" w:rsidP="00FE05EE">
            <w:pPr>
              <w:spacing w:after="0"/>
              <w:rPr>
                <w:rFonts w:ascii="Times New Roman" w:eastAsia="Calibri" w:hAnsi="Times New Roman"/>
                <w:sz w:val="20"/>
                <w:szCs w:val="16"/>
                <w:lang w:bidi="ar-SA"/>
              </w:rPr>
            </w:pPr>
          </w:p>
        </w:tc>
        <w:tc>
          <w:tcPr>
            <w:tcW w:w="1608" w:type="dxa"/>
          </w:tcPr>
          <w:p w14:paraId="585256D8"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69DA8DFC"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240 minutes</w:t>
            </w:r>
          </w:p>
        </w:tc>
        <w:tc>
          <w:tcPr>
            <w:tcW w:w="2340" w:type="dxa"/>
          </w:tcPr>
          <w:p w14:paraId="0085DD82"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89%</w:t>
            </w:r>
          </w:p>
        </w:tc>
        <w:tc>
          <w:tcPr>
            <w:tcW w:w="1511" w:type="dxa"/>
          </w:tcPr>
          <w:p w14:paraId="2A8F795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[9]</w:t>
            </w:r>
          </w:p>
        </w:tc>
      </w:tr>
      <w:tr w:rsidR="00676177" w:rsidRPr="00676177" w14:paraId="1BC787DD" w14:textId="77777777" w:rsidTr="00FE05EE">
        <w:trPr>
          <w:trHeight w:val="360"/>
          <w:jc w:val="center"/>
        </w:trPr>
        <w:tc>
          <w:tcPr>
            <w:tcW w:w="1515" w:type="dxa"/>
          </w:tcPr>
          <w:p w14:paraId="242352C4" w14:textId="06E22B4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5% Ag-TiO</w:t>
            </w:r>
            <w:r w:rsidRPr="00676177">
              <w:rPr>
                <w:rFonts w:ascii="Times New Roman" w:eastAsia="Calibri" w:hAnsi="Times New Roman"/>
                <w:sz w:val="20"/>
                <w:szCs w:val="16"/>
                <w:vertAlign w:val="subscript"/>
                <w:lang w:bidi="ar-SA"/>
              </w:rPr>
              <w:t>2</w:t>
            </w:r>
          </w:p>
        </w:tc>
        <w:tc>
          <w:tcPr>
            <w:tcW w:w="1608" w:type="dxa"/>
          </w:tcPr>
          <w:p w14:paraId="7A2AE511"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Pr>
          <w:p w14:paraId="5AA2C26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150 minutes</w:t>
            </w:r>
          </w:p>
        </w:tc>
        <w:tc>
          <w:tcPr>
            <w:tcW w:w="2340" w:type="dxa"/>
          </w:tcPr>
          <w:p w14:paraId="31089B6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74%</w:t>
            </w:r>
          </w:p>
        </w:tc>
        <w:tc>
          <w:tcPr>
            <w:tcW w:w="1511" w:type="dxa"/>
          </w:tcPr>
          <w:p w14:paraId="323E5173"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[10]</w:t>
            </w:r>
          </w:p>
        </w:tc>
      </w:tr>
    </w:tbl>
    <w:p w14:paraId="50B3F004" w14:textId="77777777" w:rsidR="00676177" w:rsidRPr="00676177" w:rsidRDefault="00676177" w:rsidP="00CB19E8">
      <w:pPr>
        <w:spacing w:after="0"/>
        <w:jc w:val="both"/>
        <w:rPr>
          <w:rFonts w:ascii="Times New Roman" w:eastAsia="Calibri" w:hAnsi="Times New Roman"/>
          <w:sz w:val="20"/>
          <w:szCs w:val="20"/>
          <w:lang w:val="en-MY" w:bidi="ar-SA"/>
        </w:rPr>
      </w:pPr>
    </w:p>
    <w:p w14:paraId="418A0AD3" w14:textId="77777777" w:rsidR="00CB19E8" w:rsidRDefault="00CB19E8" w:rsidP="00CB19E8">
      <w:pPr>
        <w:spacing w:after="0"/>
        <w:jc w:val="both"/>
        <w:rPr>
          <w:rFonts w:ascii="Times New Roman" w:eastAsia="Calibri" w:hAnsi="Times New Roman"/>
          <w:sz w:val="20"/>
          <w:szCs w:val="20"/>
          <w:lang w:bidi="ar-SA"/>
        </w:rPr>
      </w:pPr>
    </w:p>
    <w:p w14:paraId="298DE309" w14:textId="7BD8A6F5" w:rsidR="00FE05EE" w:rsidRDefault="00FE05EE" w:rsidP="00CB19E8">
      <w:pPr>
        <w:spacing w:after="0"/>
        <w:jc w:val="both"/>
        <w:rPr>
          <w:rFonts w:ascii="Times New Roman" w:eastAsia="Calibri" w:hAnsi="Times New Roman"/>
          <w:sz w:val="20"/>
          <w:szCs w:val="20"/>
          <w:lang w:bidi="ar-SA"/>
        </w:rPr>
        <w:sectPr w:rsidR="00FE05EE" w:rsidSect="001D33F5">
          <w:type w:val="continuous"/>
          <w:pgSz w:w="12240" w:h="15840" w:code="1"/>
          <w:pgMar w:top="1800" w:right="1469" w:bottom="1699" w:left="1440" w:header="706" w:footer="706" w:gutter="0"/>
          <w:pgNumType w:start="1"/>
          <w:cols w:space="403"/>
          <w:docGrid w:linePitch="360"/>
        </w:sectPr>
      </w:pPr>
    </w:p>
    <w:p w14:paraId="220BB547"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lastRenderedPageBreak/>
        <w:t xml:space="preserve">Meanwhile, photocatalyst is material that absorbs light energy to facilitate chemical reaction. Semiconductor photocatalyst uses light energy to get desirable chemical transformation through reduction-oxidation (redox) reaction. The photocatalytic semiconductors are commonly used for wastewater treatment, surfaces with self-cleaning and antifogging properties, purification of outdoor air, indoor air deodorization and cancer therapy </w:t>
      </w:r>
      <w:r w:rsidRPr="00676177">
        <w:rPr>
          <w:rFonts w:ascii="Times New Roman" w:eastAsia="Calibri" w:hAnsi="Times New Roman"/>
          <w:sz w:val="20"/>
          <w:szCs w:val="20"/>
          <w:lang w:bidi="ar-SA"/>
        </w:rPr>
        <w:fldChar w:fldCharType="begin" w:fldLock="1"/>
      </w:r>
      <w:r w:rsidRPr="00676177">
        <w:rPr>
          <w:rFonts w:ascii="Times New Roman" w:eastAsia="Calibri" w:hAnsi="Times New Roman"/>
          <w:sz w:val="20"/>
          <w:szCs w:val="20"/>
          <w:lang w:bidi="ar-SA"/>
        </w:rPr>
        <w:instrText>ADDIN CSL_CITATION {"citationItems":[{"id":"ITEM-1","itemData":{"DOI":"10.1016/j.jclepro.2020.120694","ISSN":"09596526","abstract":"Advanced oxidation processes (AOPs) such as photocatalysis are widely studied for degradation of organic pollutants of contaminants of emerging concern (CECs). However, degradation of organic pollutants leads to formation of by-products, which may be more toxic than parental contaminants. The toxicity of wastewater treated by photocatalysis is topical issue. In this review paper recent studies concerned with photocatalytic detoxification of real industrial and municipal wastewater were assembled and critically discussed. Such issues as challenges for application of photocatalytic wastewater detoxification, feasibility of various toxicity tests, reuse of photocatalysts, cost estimation, etc. were considered. Based on reviewed literature it can be suggested that photocatalysis might not always be a promising treatment method for degradation of organic pollutants in real wastewaters and/or wastewater detoxification from the application point of view.","author":[{"dropping-particle":"","family":"Rueda-Marquez","given":"Juan José","non-dropping-particle":"","parse-names":false,"suffix":""},{"dropping-particle":"","family":"Levchuk","given":"Irina","non-dropping-particle":"","parse-names":false,"suffix":""},{"dropping-particle":"","family":"Fernández Ibañez","given":"Pilar","non-dropping-particle":"","parse-names":false,"suffix":""},{"dropping-particle":"","family":"Sillanpää","given":"Mika","non-dropping-particle":"","parse-names":false,"suffix":""}],"container-title":"Journal of Cleaner Production","id":"ITEM-1","issued":{"date-parts":[["2020"]]},"page":"120694","title":"A critical review on application of photocatalysis for toxicity reduction of real wastewaters","type":"article-journal","volume":"258"},"uris":["http://www.mendeley.com/documents/?uuid=39584b96-b00f-48aa-8045-c7f114b4dd9b"]}],"mendeley":{"formattedCitation":"(Rueda-Marquez et al., 2020)","manualFormatting":"(Rueda-Marquez et al., 2020)","plainTextFormattedCitation":"(Rueda-Marquez et al., 2020)","previouslyFormattedCitation":"(Rueda-Marquez et al., 2020)"},"properties":{"noteIndex":0},"schema":"https://github.com/citation-style-language/schema/raw/master/csl-citation.json"}</w:instrText>
      </w:r>
      <w:r w:rsidRPr="00676177">
        <w:rPr>
          <w:rFonts w:ascii="Times New Roman" w:eastAsia="Calibri" w:hAnsi="Times New Roman"/>
          <w:sz w:val="20"/>
          <w:szCs w:val="20"/>
          <w:lang w:bidi="ar-SA"/>
        </w:rPr>
        <w:fldChar w:fldCharType="separate"/>
      </w:r>
      <w:r w:rsidRPr="00676177">
        <w:rPr>
          <w:rFonts w:ascii="Times New Roman" w:eastAsia="Calibri" w:hAnsi="Times New Roman"/>
          <w:noProof/>
          <w:sz w:val="20"/>
          <w:szCs w:val="20"/>
          <w:lang w:bidi="ar-SA"/>
        </w:rPr>
        <w:t>[11]</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It uses suitable band gap to produce strong visible light response with a high photocatalytic presentation, non-toxicity, good thermal, inexpensive and have  chemical stability [12]. </w:t>
      </w:r>
    </w:p>
    <w:p w14:paraId="363626E1" w14:textId="77777777" w:rsidR="00676177" w:rsidRPr="00676177" w:rsidRDefault="00676177" w:rsidP="00CB19E8">
      <w:pPr>
        <w:spacing w:after="0"/>
        <w:jc w:val="both"/>
        <w:rPr>
          <w:rFonts w:ascii="Times New Roman" w:eastAsia="Calibri" w:hAnsi="Times New Roman"/>
          <w:sz w:val="20"/>
          <w:szCs w:val="20"/>
          <w:lang w:val="en-MY" w:bidi="ar-SA"/>
        </w:rPr>
      </w:pPr>
    </w:p>
    <w:p w14:paraId="567E6785"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Graphene is a 2-D structure of hexagonal carbon atom in the sp</w:t>
      </w:r>
      <w:r w:rsidRPr="00676177">
        <w:rPr>
          <w:rFonts w:ascii="Times New Roman" w:eastAsia="Calibri" w:hAnsi="Times New Roman"/>
          <w:sz w:val="20"/>
          <w:szCs w:val="20"/>
          <w:vertAlign w:val="superscript"/>
        </w:rPr>
        <w:t>2</w:t>
      </w:r>
      <w:r w:rsidRPr="00676177">
        <w:rPr>
          <w:rFonts w:ascii="Times New Roman" w:eastAsia="Calibri" w:hAnsi="Times New Roman"/>
          <w:sz w:val="20"/>
          <w:szCs w:val="20"/>
        </w:rPr>
        <w:t xml:space="preserve"> hybrid orbital that is widely used in electrochemical energy storage, optical and optoelectronics bioengineering due to its outstanding electrical, optical, thermal and mechanical properties. Graphene and its derivatives consist of large surface area, thermal conductivity and carrier mobility. Thus, it has the high potential in energy sensors and microelectronic devices. </w:t>
      </w:r>
      <w:r w:rsidRPr="00676177">
        <w:rPr>
          <w:rFonts w:ascii="Times New Roman" w:eastAsia="Calibri" w:hAnsi="Times New Roman"/>
          <w:sz w:val="20"/>
          <w:szCs w:val="20"/>
          <w:lang w:bidi="ar-SA"/>
        </w:rPr>
        <w:t xml:space="preserve">Integration of GO with other semiconductor can effectively improve the structural stability of the composites and enhance the photocatalytic activity by hindering the recombination of photo-generated carrier. Moreover, GO-based composite can alleviate the serious agglomeration of nanoparticles to a certain extent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{"citationItems":[{"id":"ITEM-1","itemData":{"DOI":"10.1016/j.apsusc.2017.12.099","ISSN":"01694332","abstract":"We show the enhanced photocatalytic activity of graphene oxide –Molybdenum trioxide nanocomposites in the visible range synthesized by a simple dispersion method in two steps. In the first step α-Molybdenum trioxide was synthesized by acidified Sonochemical method. Then the nanocomposites were prepared by loading α-MoO 3 on GO. Thus prepared samples were subjected to XRD, UV, PL, Raman, SEM and TEM for structural, optical and morphological studies respectively. The 2-D structure of graphene oxide was confirmed by SEM and TEM. The Raman analysis reveals the presence of D and G peaks of Graphene oxide and also that of MoO 3 . The X-Ray diffractogram of the nanocomposite indicates the good crystalline nature of the sample and all the peaks were indexed. XPS data conveys the elemental composition of the GO-MoO 3 nanocomposite. The BET study reveals a pore size of 4.3 nm for the composite. The as synthesized composites were recognized as a photo catalyst for the photo catalytic dye degradation of Victoria blue dye under various experimental conditions. An explicit control over light harvesting and an enhancement in photo catalytic efficiency was seen by the presence of Graphene oxide. The as synthesized photocatalysts remains chemically and thermally stable and contribute excellent electron transfer mechanism during photocatalytic reactions. The thermal stability of the composites was confirmed by TG-DTA analysis. This work provides new conceit that the as synthesized GO-MoO 3 nanocomposites can be efficiently used as high performance photocatalyst for enhancing the degradation of Victoria blue dye under visible light irradiation.","author":[{"dropping-particle":"","family":"Kamalam","given":"M. Beaula Ruby","non-dropping-particle":"","parse-names":false,"suffix":""},{"dropping-particle":"","family":"Inbanathan","given":"S. S.R.","non-dropping-particle":"","parse-names":false,"suffix":""},{"dropping-particle":"","family":"Sethuraman","given":"K.","non-dropping-particle":"","parse-names":false,"suffix":""}],"container-title":"Applied Surface Science","id":"ITEM-1","issued":{"date-parts":[["2018"]]},"page":"685-696","publisher":"Elsevier B.V.","title":"Enhanced photo catalytic activity of graphene oxide /MoO 3 nanocomposites in the degradation of Victoria Blue Dye under visible light irradiation","type":"article-journal","volume":"449"},"uris":["http://www.mendeley.com/documents/?uuid=d0bb7ead-4648-46ba-86e2-208cb83a3db4"]},{"id":"ITEM-2","itemData":{"DOI":"10.1016/j.diamond.2019.107508","ISSN":"09259635","abstract":"A novel BiVO4/MOF/GO ternary photocatalyst was prepared by hydrothermal method, and was characterized by XRD, SEM, EDS, TEM, FT-IR, XPS, BET, UV–Vis DRS and PL. The as-prepared BiVO4/MOF/GO composites displayed the standout photocatalytic activity towards the degradation of Rhodamine B (RhB) under visible light irradiation, which caused by MOF, BiVO4 and grapheme oxide have combined to produce the synergistic effect. And the topgallant composite referred to BFG-2 that showed the highest photocatalytic activity. In the light of the active species trapping experiments, the [rad]OH and [rad]O2– radicals were the two main active radicals in the photocatalytic tests. The enhanced photocatalytic performance is chiefly ascribed to the formation of the tight joint interface in BiVO4/MOF/GO composites, in which GO has the excellent conductivity and adsorption effect during the photodegradation process, and this hybrid structure is beneficial to increase the surface active site of the catalyst compared the pure one. Moreover, this synergistic effect is propitious to the transfer and separation of photo-generated carriers. At the same time, the BiVO4/MOF/GO composite photocatalyst can maintain a stable photocatalytic activity and structure after four cycles. Finally, the possible mechanism of photocatalytic degradation of RhB was put forward.","author":[{"dropping-particle":"","family":"Chen","given":"Ying","non-dropping-particle":"","parse-names":false,"suffix":""},{"dropping-particle":"","family":"Zhai","given":"B.","non-dropping-particle":"","parse-names":false,"suffix":""},{"dropping-particle":"","family":"Liang","given":"Yuning","non-dropping-particle":"","parse-names":false,"suffix":""}],"container-title":"Diamond and Related Materials","id":"ITEM-2","issue":"August","issued":{"date-parts":[["2019"]]},"page":"107508","publisher":"Elsevier","title":"Enhanced degradation performance of organic dyes removal by semiconductor/MOF/graphene oxide composites under visible light irradiation","type":"article-journal","volume":"98"},"uris":["http://www.mendeley.com/documents/?uuid=aeac7adb-7158-4dc2-8a76-6ce4c928dd39"]}],"mendeley":{"formattedCitation":"(Chen et al., 2019; Kamalam et al., 2018)","manualFormatting":"(Chen et al., 2019; Kamalam et al., 2018)","plainTextFormattedCitation":"(Chen et al., 2019; Kamalam et al., 2018)","previouslyFormattedCitation":"(Chen et al., 2019; Kamalam et al., 2018)"},"properties":{"noteIndex":0},"schema":"https://github.com/citation-style-language/schema/raw/master/csl-citation.json"}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t>[13, 14]</w:t>
      </w:r>
      <w:r w:rsidRPr="00676177">
        <w:rPr>
          <w:rFonts w:ascii="Times New Roman" w:eastAsia="Calibri" w:hAnsi="Times New Roman"/>
          <w:sz w:val="20"/>
          <w:szCs w:val="20"/>
          <w:lang w:bidi="ar-SA"/>
        </w:rPr>
        <w:fldChar w:fldCharType="end"/>
      </w:r>
      <w:r w:rsidRPr="00676177" w:rsidDel="00BB2960">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 Graphene is also known as electron cocatalyst that can improve hydrogen performance of photocatalysts due to its excellent of conductivity [15]. It also has capacity for adsorption of organic pollutants and potential mechanical strength and electrical conductivity [16].</w:t>
      </w:r>
      <w:r w:rsidRPr="00676177">
        <w:rPr>
          <w:rFonts w:ascii="Times New Roman" w:eastAsia="Calibri" w:hAnsi="Times New Roman"/>
          <w:sz w:val="18"/>
          <w:szCs w:val="18"/>
        </w:rPr>
        <w:t xml:space="preserve"> </w:t>
      </w:r>
      <w:r w:rsidRPr="00676177">
        <w:rPr>
          <w:rFonts w:ascii="Times New Roman" w:eastAsia="Calibri" w:hAnsi="Times New Roman"/>
          <w:sz w:val="20"/>
          <w:szCs w:val="20"/>
        </w:rPr>
        <w:t>GO can give productive route for highly dispersive, band tunable and few-layer structured of graphene-based materials thus it acts as supportive material for photocatalyst semiconductor [17].</w:t>
      </w:r>
    </w:p>
    <w:p w14:paraId="4A5634B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 </w:t>
      </w:r>
    </w:p>
    <w:p w14:paraId="6831B47C" w14:textId="6C40E2B8"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is a 2-D layered n-type semiconductor and has narrow bandgap of 1.20 eV for its few layers where each layers have gap value of 1.90 eV. Thus, it has large specific surface area complex edge structure and abundant unsaturated active sites. It has high thermal stability and strong absorption in visible spectrum region.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have limitations as it has limit in energy storage and photocatalytic properties due to high </w:t>
      </w:r>
      <w:r w:rsidRPr="00676177">
        <w:rPr>
          <w:rFonts w:ascii="Times New Roman" w:eastAsia="Calibri" w:hAnsi="Times New Roman"/>
          <w:sz w:val="20"/>
          <w:szCs w:val="20"/>
        </w:rPr>
        <w:t>recombination rate of photo-generated electron hole pairs, low energy density and poor electronic conductivity. Combining with other metal oxide nanostructures, it can improve the disadvantages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such as GO can enhance its photocatalytic performances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Compounds","id":"ITEM-1","issued":{"date-parts":[["2021"]]},"page":"157060","publisher":"Elsevier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2021)","manualFormatting":"(Asaithambi et al., 2021; Yu-Cheng &amp; Yu-Wen, 2020)","plainTextFormattedCitation":"(Asaithambi et al., 2021)","previouslyFormattedCitation":"(Asaithambi et al., 2021)"},"properties":{"noteIndex":0},"schema":"https://github.com/citation-style-language/schema/raw/master/csl-citation.json"}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fldChar w:fldCharType="begin" w:fldLock="1"/>
      </w:r>
      <w:r w:rsidRPr="00676177">
        <w:rPr>
          <w:rFonts w:ascii="Times New Roman" w:eastAsia="Calibri" w:hAnsi="Times New Roman"/>
          <w:noProof/>
          <w:sz w:val="20"/>
          <w:szCs w:val="20"/>
        </w:rPr>
        <w:instrText>ADDIN CSL_CITATION {"citationItems":[{"id":"ITEM-1","itemData":{"DOI":"10.1016/j.materresbull.2020.110912","ISSN":"00255408","abstract":"Two-step hydrothermal processes have been used to synthesize MoS2@SnO2 core-shell sub-microspheres. The effect of the different weight of citric acid for MoS2@SnO2 core-shell sub-microspheres on the microstructural and photocatalytic properties was studied. The results indicate that MoS2@SnO2 core-shell sub-microspheres can reveal the highly efficient photocatalytic water splitting and degradation of rhodamine B solution under visible-light irradiation. The enhanced photocatalytic performance was ascribed to MoS2 sub-microspheres decorated with SnO2 nanoparticles, improving their surface-to-volume ratio and photoinduced electron-hole pairs separation.","author":[{"dropping-particle":"","family":"Yu-Cheng","given":"Chang","non-dropping-particle":"","parse-names":false,"suffix":""},{"dropping-particle":"","family":"Yu-Wen","given":"Lin","non-dropping-particle":"","parse-names":false,"suffix":""}],"container-title":"Materials Research Bulletin","id":"ITEM-1","issue":"January","issued":{"date-parts":[["2020"]]},"title":"MoS2@SnO2 core-shell sub-microspheres for high efficient visible-light photodegradation and photocatalytic hydrogen production","type":"article-journal","volume":"129"},"uris":["http://www.mendeley.com/documents/?uuid=4cc65577-78ee-4f42-afde-cbae6e95df38"]},{"id":"ITEM-2","itemData":{"DOI":"10.1016/j.jallcom.2020.157060","ISSN":"09258388","abstract":"In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Compounds","id":"ITEM-2","issued":{"date-parts":[["2021"]]},"page":"157060","publisher":"Elsevier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 Yu-Cheng &amp; Yu-Wen, 2020)","manualFormatting":"[3][30]","plainTextFormattedCitation":"(Asaithambi et al., 2021; Yu-Cheng &amp; Yu-Wen, 2020)","previouslyFormattedCitation":"(Asaithambi et al., 2021; Yu-Cheng &amp; Yu-Wen, 2020)"},"properties":{"noteIndex":0},"schema":"https://github.com/citation-style-language/schema/raw/master/csl-citation.json"}</w:instrText>
      </w:r>
      <w:r w:rsidRPr="00676177">
        <w:rPr>
          <w:rFonts w:ascii="Times New Roman" w:eastAsia="Calibri" w:hAnsi="Times New Roman"/>
          <w:noProof/>
          <w:sz w:val="20"/>
          <w:szCs w:val="20"/>
        </w:rPr>
        <w:fldChar w:fldCharType="separate"/>
      </w:r>
      <w:r w:rsidRPr="00676177">
        <w:rPr>
          <w:rFonts w:ascii="Times New Roman" w:eastAsia="Calibri" w:hAnsi="Times New Roman"/>
          <w:noProof/>
          <w:sz w:val="20"/>
          <w:szCs w:val="20"/>
        </w:rPr>
        <w:t>[18, 19]</w:t>
      </w:r>
      <w:r w:rsidRPr="00676177">
        <w:rPr>
          <w:rFonts w:ascii="Times New Roman" w:eastAsia="Calibri" w:hAnsi="Times New Roman"/>
          <w:noProof/>
          <w:sz w:val="20"/>
          <w:szCs w:val="20"/>
        </w:rPr>
        <w:fldChar w:fldCharType="end"/>
      </w:r>
      <w:r w:rsidRPr="00676177">
        <w:rPr>
          <w:rFonts w:ascii="Times New Roman" w:eastAsia="Calibri" w:hAnsi="Times New Roman"/>
          <w:sz w:val="20"/>
          <w:szCs w:val="20"/>
        </w:rPr>
        <w:fldChar w:fldCharType="end"/>
      </w:r>
      <w:r w:rsidRPr="00676177">
        <w:rPr>
          <w:rFonts w:ascii="Times New Roman" w:eastAsia="Calibri" w:hAnsi="Times New Roman"/>
          <w:sz w:val="20"/>
          <w:szCs w:val="20"/>
        </w:rPr>
        <w:t>. This can be explained by transfer of photo-generated electrons from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conduction band to the graphene [20]. When the band gap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increases due to quantum confinement effects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it will change the redox potential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thus photo-generated electron can be easily migrate [21]. Therefore, this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research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focusses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on </w:t>
      </w:r>
      <w:r w:rsidR="00395909">
        <w:rPr>
          <w:rFonts w:ascii="Times New Roman" w:eastAsia="Calibri" w:hAnsi="Times New Roman"/>
          <w:sz w:val="20"/>
          <w:szCs w:val="20"/>
        </w:rPr>
        <w:t xml:space="preserve"> </w:t>
      </w:r>
      <w:r w:rsidRPr="00676177">
        <w:rPr>
          <w:rFonts w:ascii="Times New Roman" w:eastAsia="Calibri" w:hAnsi="Times New Roman"/>
          <w:sz w:val="20"/>
          <w:szCs w:val="20"/>
        </w:rPr>
        <w:t>preliminary</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 studies</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 on the ability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photocatalyst to degrade 2-chlorophenol from aqueous solution under sunlight.</w:t>
      </w:r>
    </w:p>
    <w:p w14:paraId="437AD51A" w14:textId="77777777" w:rsidR="00676177" w:rsidRPr="00676177" w:rsidRDefault="00676177" w:rsidP="00CB19E8">
      <w:pPr>
        <w:spacing w:after="0"/>
        <w:jc w:val="both"/>
        <w:rPr>
          <w:rFonts w:ascii="Times New Roman" w:eastAsia="Calibri" w:hAnsi="Times New Roman"/>
          <w:sz w:val="20"/>
          <w:szCs w:val="20"/>
        </w:rPr>
      </w:pPr>
    </w:p>
    <w:p w14:paraId="5A4E2E12" w14:textId="77777777" w:rsidR="00676177" w:rsidRPr="00676177" w:rsidRDefault="00676177" w:rsidP="00CB19E8">
      <w:pPr>
        <w:spacing w:after="0"/>
        <w:jc w:val="center"/>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 and Methods</w:t>
      </w:r>
    </w:p>
    <w:p w14:paraId="044A4A66" w14:textId="77777777" w:rsidR="00676177" w:rsidRPr="00676177" w:rsidRDefault="00676177" w:rsidP="00CB19E8">
      <w:pPr>
        <w:spacing w:after="0"/>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w:t>
      </w:r>
    </w:p>
    <w:p w14:paraId="3114E71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2-chlorophenol, sulphuric acid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SO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 sodium nitrate (NaNO</w:t>
      </w:r>
      <w:r w:rsidRPr="00676177">
        <w:rPr>
          <w:rFonts w:ascii="Times New Roman" w:eastAsia="Calibri" w:hAnsi="Times New Roman"/>
          <w:sz w:val="20"/>
          <w:szCs w:val="20"/>
          <w:vertAlign w:val="subscript"/>
          <w:lang w:val="en-MY" w:bidi="ar-SA"/>
        </w:rPr>
        <w:t>3</w:t>
      </w:r>
      <w:r w:rsidRPr="00676177">
        <w:rPr>
          <w:rFonts w:ascii="Times New Roman" w:eastAsia="Calibri" w:hAnsi="Times New Roman"/>
          <w:sz w:val="20"/>
          <w:szCs w:val="20"/>
          <w:lang w:val="en-MY" w:bidi="ar-SA"/>
        </w:rPr>
        <w:t>), graphite powder, hydrogen peroxide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hydrochloric acid (HCl),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were purchased from Merck Sdn. Bhd. Finally, deionized water was supplied from Purite machine model Fusion system (United Kingdom) that has ultrapure water 18.2 M Ω at a flow rate of 48 L/hr.</w:t>
      </w:r>
    </w:p>
    <w:p w14:paraId="09F18A57" w14:textId="77777777" w:rsidR="00676177" w:rsidRPr="00676177" w:rsidRDefault="00676177" w:rsidP="00CB19E8">
      <w:pPr>
        <w:spacing w:after="0"/>
        <w:jc w:val="both"/>
        <w:rPr>
          <w:rFonts w:ascii="Times New Roman" w:eastAsia="Calibri" w:hAnsi="Times New Roman"/>
          <w:sz w:val="20"/>
          <w:szCs w:val="20"/>
          <w:lang w:val="en-MY" w:bidi="ar-SA"/>
        </w:rPr>
      </w:pPr>
    </w:p>
    <w:p w14:paraId="1254D532"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GO</w:t>
      </w:r>
    </w:p>
    <w:p w14:paraId="5B838B5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G</w:t>
      </w:r>
      <w:r w:rsidRPr="00676177">
        <w:rPr>
          <w:rFonts w:ascii="Times New Roman" w:eastAsia="Calibri" w:hAnsi="Times New Roman"/>
          <w:sz w:val="20"/>
          <w:szCs w:val="20"/>
          <w:lang w:val="en-MY"/>
        </w:rPr>
        <w:t>raphene oxide was prepared by using modified Hummers method from pure graphite powder. Solution of 23 mL sulphuric acid,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SO</w:t>
      </w:r>
      <w:r w:rsidRPr="00676177">
        <w:rPr>
          <w:rFonts w:ascii="Times New Roman" w:eastAsia="Calibri" w:hAnsi="Times New Roman"/>
          <w:sz w:val="20"/>
          <w:szCs w:val="20"/>
          <w:vertAlign w:val="subscript"/>
          <w:lang w:val="en-MY"/>
        </w:rPr>
        <w:t>4</w:t>
      </w:r>
      <w:r w:rsidRPr="00676177">
        <w:rPr>
          <w:rFonts w:ascii="Times New Roman" w:eastAsia="Calibri" w:hAnsi="Times New Roman"/>
          <w:sz w:val="20"/>
          <w:szCs w:val="20"/>
          <w:lang w:val="en-MY"/>
        </w:rPr>
        <w:t>, 0.5 g of sodium nitrate, NaNO</w:t>
      </w:r>
      <w:r w:rsidRPr="00676177">
        <w:rPr>
          <w:rFonts w:ascii="Times New Roman" w:eastAsia="Calibri" w:hAnsi="Times New Roman"/>
          <w:sz w:val="20"/>
          <w:szCs w:val="20"/>
          <w:vertAlign w:val="subscript"/>
          <w:lang w:val="en-MY"/>
        </w:rPr>
        <w:t>3</w:t>
      </w:r>
      <w:r w:rsidRPr="00676177">
        <w:rPr>
          <w:rFonts w:ascii="Times New Roman" w:eastAsia="Calibri" w:hAnsi="Times New Roman"/>
          <w:sz w:val="20"/>
          <w:szCs w:val="20"/>
          <w:lang w:val="en-MY"/>
        </w:rPr>
        <w:t xml:space="preserve"> and 1.0 g of graphite powder were mixed. The solution was stirred for an hour in ice bath until it becomes dark green solution. The solution was stirred for another 4 hours after being removed from the ice bath where the solution turned into dark grey solution. The solution was transferred into a water bath and the temperature was raised to 35˚C and stirred for 30 minutes. The solution was added 250 mL of deionized water and was stirred for another 15 minutes while heated up to 70˚C then added dropwise of 10 mL of hydrogen peroxide,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O</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Cool the solution as there will be exothermic reaction occurs. The solution was centrifuged three times at 3000rpm for 10 minutes and the supernatant drained, and the residual was washed HCl to obtain GO solution. The GO solution was dried </w:t>
      </w:r>
      <w:r w:rsidRPr="00676177">
        <w:rPr>
          <w:rFonts w:ascii="Times New Roman" w:eastAsia="Calibri" w:hAnsi="Times New Roman"/>
          <w:sz w:val="20"/>
          <w:szCs w:val="20"/>
          <w:lang w:val="en-MY"/>
        </w:rPr>
        <w:lastRenderedPageBreak/>
        <w:t>the using the oven at ˚C for 24 hours to gain powdered form of GO [22].</w:t>
      </w:r>
    </w:p>
    <w:p w14:paraId="60869BCB" w14:textId="77777777" w:rsidR="00676177" w:rsidRPr="00676177" w:rsidRDefault="00676177" w:rsidP="00CB19E8">
      <w:pPr>
        <w:spacing w:after="0"/>
        <w:jc w:val="both"/>
        <w:rPr>
          <w:rFonts w:ascii="Times New Roman" w:eastAsia="Calibri" w:hAnsi="Times New Roman"/>
          <w:sz w:val="20"/>
          <w:szCs w:val="20"/>
          <w:lang w:val="en-MY" w:bidi="ar-SA"/>
        </w:rPr>
      </w:pPr>
    </w:p>
    <w:p w14:paraId="2713A43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p>
    <w:p w14:paraId="3790D52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Molybdenum disulfide,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was synthesized by using hydrothermal method. Firstly, 3.0 g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3.8 g of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80 mL of deionized water were mixed and stirred for 30 minutes. 10 mL of 1M HCl was added to the solution and transferred into 100 mL Teflon stainless steel autoclave and heated in the oven at 120˚C for 24 hours. The solution was kept in the room temperature to let it cooled before centrifuged three times and washed with deionized water. The solution was dried in the oven at 70˚C for 24 hours [23].</w:t>
      </w:r>
    </w:p>
    <w:p w14:paraId="4A4D67CC" w14:textId="77777777" w:rsidR="00676177" w:rsidRPr="00676177" w:rsidRDefault="00676177" w:rsidP="00CB19E8">
      <w:pPr>
        <w:spacing w:after="0"/>
        <w:jc w:val="both"/>
        <w:rPr>
          <w:rFonts w:ascii="Times New Roman" w:eastAsia="Calibri" w:hAnsi="Times New Roman"/>
          <w:sz w:val="20"/>
          <w:szCs w:val="20"/>
          <w:lang w:val="en-MY" w:bidi="ar-SA"/>
        </w:rPr>
      </w:pPr>
    </w:p>
    <w:p w14:paraId="1693CCE9"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r w:rsidRPr="00676177">
        <w:rPr>
          <w:rFonts w:ascii="Times New Roman" w:eastAsia="Calibri" w:hAnsi="Times New Roman"/>
          <w:b/>
          <w:bCs/>
          <w:sz w:val="20"/>
          <w:szCs w:val="20"/>
          <w:lang w:val="en-MY" w:bidi="ar-SA"/>
        </w:rPr>
        <w:t>/GO</w:t>
      </w:r>
    </w:p>
    <w:p w14:paraId="3F28CB47" w14:textId="3B8CDA33" w:rsid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The solution was prepared by using ex-situ and hydrothermal method by adding 0.001 g of molybdenum disulfide,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and 20 mL of deionized water were mixed and sonicated for 30 minutes. Another solution was prepared of 0.1 g of graphene oxide, GO and added with 20 mL of deionized water before sonicated for 30 minutes. Both solutions were added together and sonicate for another 30 minutes before transferred into the Teflon stainless steel and dry in the oven overnight at 120˚C. Centrifuged and washed the solution with deionized water three times after cooling at room temperature and dried the product at 80˚C for 24 hours [24].</w:t>
      </w:r>
    </w:p>
    <w:p w14:paraId="1C7C7105" w14:textId="77777777" w:rsidR="00670B3B" w:rsidRDefault="00670B3B" w:rsidP="00CB19E8">
      <w:pPr>
        <w:spacing w:after="0"/>
        <w:jc w:val="both"/>
        <w:rPr>
          <w:rFonts w:ascii="Times New Roman" w:eastAsia="Calibri" w:hAnsi="Times New Roman"/>
          <w:b/>
          <w:bCs/>
          <w:sz w:val="20"/>
          <w:szCs w:val="20"/>
          <w:lang w:val="en-MY" w:bidi="ar-SA"/>
        </w:rPr>
      </w:pPr>
    </w:p>
    <w:p w14:paraId="1B554B2E" w14:textId="6000DF1E"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Characterisations</w:t>
      </w:r>
    </w:p>
    <w:p w14:paraId="3231D4A4" w14:textId="58884C8F" w:rsid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Perkin Elmer Fourier Transform model 100 was used to identify the functional group of the sample by producing infrared absorption </w:t>
      </w:r>
      <w:r w:rsidR="008600E9">
        <w:rPr>
          <w:rFonts w:ascii="Times New Roman" w:eastAsia="Calibri" w:hAnsi="Times New Roman"/>
          <w:sz w:val="20"/>
          <w:szCs w:val="20"/>
        </w:rPr>
        <w:t xml:space="preserve"> </w:t>
      </w:r>
      <w:r w:rsidRPr="00676177">
        <w:rPr>
          <w:rFonts w:ascii="Times New Roman" w:eastAsia="Calibri" w:hAnsi="Times New Roman"/>
          <w:sz w:val="20"/>
          <w:szCs w:val="20"/>
        </w:rPr>
        <w:t>spectrum</w:t>
      </w:r>
      <w:r w:rsidR="008E6760">
        <w:rPr>
          <w:rFonts w:ascii="Times New Roman" w:eastAsia="Calibri" w:hAnsi="Times New Roman"/>
          <w:sz w:val="20"/>
          <w:szCs w:val="20"/>
        </w:rPr>
        <w:t xml:space="preserve"> </w:t>
      </w:r>
      <w:r w:rsidRPr="00676177">
        <w:rPr>
          <w:rFonts w:ascii="Times New Roman" w:eastAsia="Calibri" w:hAnsi="Times New Roman"/>
          <w:sz w:val="20"/>
          <w:szCs w:val="20"/>
        </w:rPr>
        <w:t xml:space="preserve"> in</w:t>
      </w:r>
      <w:r w:rsidR="008E6760">
        <w:rPr>
          <w:rFonts w:ascii="Times New Roman" w:eastAsia="Calibri" w:hAnsi="Times New Roman"/>
          <w:sz w:val="20"/>
          <w:szCs w:val="20"/>
        </w:rPr>
        <w:t xml:space="preserve"> </w:t>
      </w:r>
      <w:r w:rsidRPr="00676177">
        <w:rPr>
          <w:rFonts w:ascii="Times New Roman" w:eastAsia="Calibri" w:hAnsi="Times New Roman"/>
          <w:sz w:val="20"/>
          <w:szCs w:val="20"/>
        </w:rPr>
        <w:t xml:space="preserve"> the range 600-4000 cm</w:t>
      </w:r>
      <w:r w:rsidRPr="00676177">
        <w:rPr>
          <w:rFonts w:ascii="Times New Roman" w:eastAsia="Calibri" w:hAnsi="Times New Roman"/>
          <w:sz w:val="20"/>
          <w:szCs w:val="20"/>
          <w:vertAlign w:val="superscript"/>
        </w:rPr>
        <w:t>-1</w:t>
      </w:r>
      <w:r w:rsidRPr="00676177">
        <w:rPr>
          <w:rFonts w:ascii="Times New Roman" w:eastAsia="Calibri" w:hAnsi="Times New Roman"/>
          <w:sz w:val="20"/>
          <w:szCs w:val="20"/>
        </w:rPr>
        <w:t>. Ultraviolet-visible spectroscopy solid Perkin Elmer model was used to measure light absorbance of the sample at the wavelength range of 200 to 500 nm. The model</w:t>
      </w:r>
      <w:r w:rsidR="008600E9">
        <w:rPr>
          <w:rFonts w:ascii="Times New Roman" w:eastAsia="Calibri" w:hAnsi="Times New Roman"/>
          <w:sz w:val="20"/>
          <w:szCs w:val="20"/>
        </w:rPr>
        <w:t xml:space="preserve"> </w:t>
      </w:r>
      <w:r w:rsidRPr="00676177">
        <w:rPr>
          <w:rFonts w:ascii="Times New Roman" w:eastAsia="Calibri" w:hAnsi="Times New Roman"/>
          <w:sz w:val="20"/>
          <w:szCs w:val="20"/>
        </w:rPr>
        <w:t xml:space="preserve"> Oxford Instruments of X-ray Diffractometer (XRD) was used to determine the crystallographic structure of composites.</w:t>
      </w:r>
      <w:bookmarkStart w:id="3" w:name="_Toc79358946"/>
    </w:p>
    <w:p w14:paraId="60F82283" w14:textId="77777777" w:rsidR="00B444CB" w:rsidRDefault="00B444CB" w:rsidP="00CB19E8">
      <w:pPr>
        <w:spacing w:after="0"/>
        <w:jc w:val="both"/>
        <w:rPr>
          <w:rFonts w:ascii="Times New Roman" w:eastAsia="Calibri" w:hAnsi="Times New Roman"/>
          <w:sz w:val="20"/>
          <w:szCs w:val="20"/>
        </w:rPr>
      </w:pPr>
    </w:p>
    <w:p w14:paraId="52407839" w14:textId="77777777" w:rsidR="00B444CB" w:rsidRPr="00676177" w:rsidRDefault="00B444CB" w:rsidP="00B444CB">
      <w:pPr>
        <w:spacing w:after="0"/>
        <w:jc w:val="both"/>
        <w:rPr>
          <w:rFonts w:ascii="Times New Roman" w:eastAsia="Calibri" w:hAnsi="Times New Roman"/>
          <w:sz w:val="20"/>
          <w:szCs w:val="20"/>
          <w:lang w:val="en-MY" w:bidi="ar-SA"/>
        </w:rPr>
      </w:pPr>
      <w:r w:rsidRPr="00676177">
        <w:rPr>
          <w:rFonts w:ascii="Times New Roman" w:eastAsia="Calibri" w:hAnsi="Times New Roman"/>
          <w:b/>
          <w:sz w:val="20"/>
          <w:szCs w:val="20"/>
          <w:lang w:val="en-MY"/>
        </w:rPr>
        <w:t>Degradation of 2-Chlorophenol by using MoS</w:t>
      </w:r>
      <w:r w:rsidRPr="00676177">
        <w:rPr>
          <w:rFonts w:ascii="Times New Roman" w:eastAsia="Calibri" w:hAnsi="Times New Roman"/>
          <w:b/>
          <w:sz w:val="20"/>
          <w:szCs w:val="20"/>
          <w:vertAlign w:val="subscript"/>
          <w:lang w:val="en-MY"/>
        </w:rPr>
        <w:t>2</w:t>
      </w:r>
      <w:r w:rsidRPr="00676177">
        <w:rPr>
          <w:rFonts w:ascii="Times New Roman" w:eastAsia="Calibri" w:hAnsi="Times New Roman"/>
          <w:b/>
          <w:sz w:val="20"/>
          <w:szCs w:val="20"/>
          <w:lang w:val="en-MY"/>
        </w:rPr>
        <w:t>/ GO</w:t>
      </w:r>
    </w:p>
    <w:p w14:paraId="2A90E54B" w14:textId="1D7F0778" w:rsidR="001F4C64" w:rsidRDefault="00B444CB" w:rsidP="00CB19E8">
      <w:pPr>
        <w:spacing w:after="0"/>
        <w:jc w:val="both"/>
        <w:rPr>
          <w:rFonts w:ascii="Times New Roman" w:eastAsia="Calibri" w:hAnsi="Times New Roman"/>
          <w:bCs/>
          <w:sz w:val="20"/>
          <w:szCs w:val="20"/>
        </w:rPr>
      </w:pPr>
      <w:r w:rsidRPr="00676177">
        <w:rPr>
          <w:rFonts w:ascii="Times New Roman" w:eastAsia="Calibri" w:hAnsi="Times New Roman"/>
          <w:bCs/>
          <w:sz w:val="20"/>
          <w:szCs w:val="20"/>
        </w:rPr>
        <w:t>The composites undergo screening process to determine the optimum sorbent for the extraction of 2-chlorophenol by exposing under the sunlight for 3 hours. 20 mL of 10 ppm of 2-chlorophenol was added to 10 mg photocatalyst. The degradation of 2-chlorophenol was measured using UV-visible in wavelength between 230 nm to 500 nm. Degradation percentage of 2-chlorophenol was determined by using the formula:</w:t>
      </w:r>
    </w:p>
    <w:p w14:paraId="2132A84E" w14:textId="77777777" w:rsidR="008600E9" w:rsidRDefault="008600E9" w:rsidP="00CB19E8">
      <w:pPr>
        <w:spacing w:after="0"/>
        <w:jc w:val="both"/>
        <w:rPr>
          <w:rFonts w:ascii="Times New Roman" w:eastAsia="Calibri" w:hAnsi="Times New Roman"/>
          <w:bCs/>
          <w:sz w:val="20"/>
          <w:szCs w:val="20"/>
        </w:rPr>
      </w:pPr>
    </w:p>
    <w:p w14:paraId="2D4E53D9" w14:textId="4D39CEB8" w:rsidR="001F4C64" w:rsidRPr="008600E9" w:rsidRDefault="001F4C64" w:rsidP="008600E9">
      <w:pPr>
        <w:spacing w:after="120"/>
        <w:jc w:val="both"/>
        <w:rPr>
          <w:rFonts w:ascii="Cambria Math" w:eastAsia="Calibri" w:hAnsi="Cambria Math"/>
          <w:bCs/>
          <w:i/>
          <w:iCs/>
          <w:sz w:val="20"/>
          <w:szCs w:val="20"/>
        </w:rPr>
      </w:pPr>
      <w:r w:rsidRPr="008600E9">
        <w:rPr>
          <w:rFonts w:ascii="Cambria Math" w:eastAsia="Calibri" w:hAnsi="Cambria Math"/>
          <w:bCs/>
          <w:i/>
          <w:iCs/>
          <w:sz w:val="20"/>
          <w:szCs w:val="20"/>
        </w:rPr>
        <w:t>Degradation of 2-</w:t>
      </w:r>
      <w:r w:rsidR="008E6760">
        <w:rPr>
          <w:rFonts w:ascii="Cambria Math" w:eastAsia="Calibri" w:hAnsi="Cambria Math"/>
          <w:bCs/>
          <w:i/>
          <w:iCs/>
          <w:sz w:val="20"/>
          <w:szCs w:val="20"/>
        </w:rPr>
        <w:t>chl</w:t>
      </w:r>
      <w:r w:rsidRPr="008600E9">
        <w:rPr>
          <w:rFonts w:ascii="Cambria Math" w:eastAsia="Calibri" w:hAnsi="Cambria Math"/>
          <w:bCs/>
          <w:i/>
          <w:iCs/>
          <w:sz w:val="20"/>
          <w:szCs w:val="20"/>
        </w:rPr>
        <w:t>orophenol(%)</w:t>
      </w:r>
    </w:p>
    <w:p w14:paraId="0A83B1EA" w14:textId="7A8E02A0" w:rsidR="008600E9" w:rsidRPr="008600E9" w:rsidRDefault="008600E9" w:rsidP="008600E9">
      <w:pPr>
        <w:spacing w:after="120"/>
        <w:jc w:val="both"/>
        <w:rPr>
          <w:rFonts w:ascii="Times New Roman" w:eastAsia="Calibri" w:hAnsi="Times New Roman"/>
          <w:bCs/>
          <w:iCs/>
          <w:sz w:val="20"/>
          <w:szCs w:val="20"/>
        </w:rPr>
      </w:pPr>
      <w:r w:rsidRPr="008600E9">
        <w:rPr>
          <w:rFonts w:ascii="Cambria Math" w:eastAsia="Calibri" w:hAnsi="Cambria Math"/>
          <w:bCs/>
          <w:i/>
          <w:iCs/>
          <w:sz w:val="20"/>
          <w:szCs w:val="20"/>
        </w:rPr>
        <w:t xml:space="preserve">                                                = </w:t>
      </w:r>
      <m:oMath>
        <m:f>
          <m:fPr>
            <m:ctrlPr>
              <w:rPr>
                <w:rFonts w:ascii="Cambria Math" w:eastAsia="Calibri" w:hAnsi="Cambria Math"/>
                <w:iCs/>
                <w:sz w:val="20"/>
                <w:szCs w:val="20"/>
              </w:rPr>
            </m:ctrlPr>
          </m:fPr>
          <m:num>
            <m:r>
              <w:rPr>
                <w:rFonts w:ascii="Cambria Math" w:eastAsia="Calibri" w:hAnsi="Cambria Math"/>
                <w:sz w:val="20"/>
                <w:szCs w:val="20"/>
              </w:rPr>
              <m:t>Ao</m:t>
            </m:r>
            <m:r>
              <m:rPr>
                <m:sty m:val="p"/>
              </m:rPr>
              <w:rPr>
                <w:rFonts w:ascii="Cambria Math" w:eastAsia="Calibri" w:hAnsi="Cambria Math"/>
                <w:sz w:val="20"/>
                <w:szCs w:val="20"/>
              </w:rPr>
              <m:t>-</m:t>
            </m:r>
            <m:r>
              <w:rPr>
                <w:rFonts w:ascii="Cambria Math" w:eastAsia="Calibri" w:hAnsi="Cambria Math"/>
                <w:sz w:val="20"/>
                <w:szCs w:val="20"/>
              </w:rPr>
              <m:t>A</m:t>
            </m:r>
          </m:num>
          <m:den>
            <m:r>
              <w:rPr>
                <w:rFonts w:ascii="Cambria Math" w:eastAsia="Calibri" w:hAnsi="Cambria Math"/>
                <w:sz w:val="20"/>
                <w:szCs w:val="20"/>
              </w:rPr>
              <m:t>Ao</m:t>
            </m:r>
          </m:den>
        </m:f>
        <m:r>
          <m:rPr>
            <m:sty m:val="p"/>
          </m:rPr>
          <w:rPr>
            <w:rFonts w:ascii="Cambria Math" w:eastAsia="Calibri" w:hAnsi="Cambria Math"/>
            <w:sz w:val="20"/>
            <w:szCs w:val="20"/>
          </w:rPr>
          <m:t xml:space="preserve"> ×100</m:t>
        </m:r>
      </m:oMath>
      <w:r>
        <w:rPr>
          <w:rFonts w:ascii="Times New Roman" w:eastAsia="Calibri" w:hAnsi="Times New Roman"/>
          <w:iCs/>
          <w:sz w:val="20"/>
          <w:szCs w:val="20"/>
        </w:rPr>
        <w:t xml:space="preserve">                   (1)</w:t>
      </w:r>
    </w:p>
    <w:p w14:paraId="05C0B49B" w14:textId="3B371A34" w:rsidR="008600E9" w:rsidRDefault="008600E9" w:rsidP="008600E9">
      <w:pPr>
        <w:spacing w:after="0"/>
        <w:jc w:val="both"/>
        <w:rPr>
          <w:rFonts w:ascii="Times New Roman" w:eastAsia="Calibri" w:hAnsi="Times New Roman"/>
          <w:bCs/>
          <w:sz w:val="20"/>
          <w:szCs w:val="20"/>
        </w:rPr>
      </w:pPr>
      <w:r w:rsidRPr="00676177">
        <w:rPr>
          <w:rFonts w:ascii="Times New Roman" w:eastAsia="Calibri" w:hAnsi="Times New Roman"/>
          <w:bCs/>
          <w:sz w:val="20"/>
          <w:szCs w:val="20"/>
        </w:rPr>
        <w:t>where A</w:t>
      </w:r>
      <w:r w:rsidRPr="008E6760">
        <w:rPr>
          <w:rFonts w:ascii="Times New Roman" w:eastAsia="Calibri" w:hAnsi="Times New Roman"/>
          <w:bCs/>
          <w:sz w:val="20"/>
          <w:szCs w:val="20"/>
          <w:vertAlign w:val="subscript"/>
        </w:rPr>
        <w:t>o</w:t>
      </w:r>
      <w:r w:rsidRPr="00676177">
        <w:rPr>
          <w:rFonts w:ascii="Times New Roman" w:eastAsia="Calibri" w:hAnsi="Times New Roman"/>
          <w:bCs/>
          <w:sz w:val="20"/>
          <w:szCs w:val="20"/>
        </w:rPr>
        <w:t xml:space="preserve"> is an initial absorption of 2-chlorophenol and A is an absorption of 2-chlorophenol at sampling time after the degradation process [25]. The natural sunlight photocatalysis was measured from April to May 2021 (Wednesday to Friday) at (2° 47' 20.3892" N, 102° 13' 4.6992" E) in Kuala Pilah, Negeri Sembilan Malaysia, (10AM- 1PM). The daily solar irradiance could reach 4.21–5.56 kWhm</w:t>
      </w:r>
      <w:r w:rsidRPr="00676177">
        <w:rPr>
          <w:rFonts w:ascii="Times New Roman" w:eastAsia="Calibri" w:hAnsi="Times New Roman"/>
          <w:bCs/>
          <w:sz w:val="20"/>
          <w:szCs w:val="20"/>
          <w:vertAlign w:val="superscript"/>
        </w:rPr>
        <w:t xml:space="preserve">−2 </w:t>
      </w:r>
      <w:r w:rsidRPr="00676177">
        <w:rPr>
          <w:rFonts w:ascii="Times New Roman" w:eastAsia="Calibri" w:hAnsi="Times New Roman"/>
          <w:bCs/>
          <w:sz w:val="20"/>
          <w:szCs w:val="20"/>
          <w:lang w:val="en-GB"/>
        </w:rPr>
        <w:t>[26]</w:t>
      </w:r>
      <w:r w:rsidRPr="00676177">
        <w:rPr>
          <w:rFonts w:ascii="Times New Roman" w:eastAsia="Calibri" w:hAnsi="Times New Roman"/>
          <w:bCs/>
          <w:sz w:val="20"/>
          <w:szCs w:val="20"/>
        </w:rPr>
        <w:t>.</w:t>
      </w:r>
    </w:p>
    <w:p w14:paraId="4BF503FF" w14:textId="77777777" w:rsidR="008E6760" w:rsidRDefault="008E6760" w:rsidP="008600E9">
      <w:pPr>
        <w:spacing w:after="0"/>
        <w:jc w:val="both"/>
        <w:rPr>
          <w:rFonts w:ascii="Times New Roman" w:eastAsia="Calibri" w:hAnsi="Times New Roman"/>
          <w:bCs/>
          <w:sz w:val="20"/>
          <w:szCs w:val="20"/>
        </w:rPr>
      </w:pPr>
    </w:p>
    <w:p w14:paraId="473FE677" w14:textId="77777777" w:rsidR="008E6760" w:rsidRPr="00676177" w:rsidRDefault="008E6760" w:rsidP="008E6760">
      <w:pPr>
        <w:spacing w:after="0"/>
        <w:jc w:val="center"/>
        <w:rPr>
          <w:rFonts w:ascii="Times New Roman" w:eastAsia="Calibri" w:hAnsi="Times New Roman"/>
          <w:b/>
          <w:bCs/>
          <w:sz w:val="20"/>
          <w:szCs w:val="20"/>
          <w:lang w:val="en-MY"/>
        </w:rPr>
      </w:pPr>
      <w:r w:rsidRPr="00676177">
        <w:rPr>
          <w:rFonts w:ascii="Times New Roman" w:eastAsia="Calibri" w:hAnsi="Times New Roman"/>
          <w:b/>
          <w:bCs/>
          <w:sz w:val="20"/>
          <w:szCs w:val="20"/>
          <w:lang w:val="en-MY"/>
        </w:rPr>
        <w:t>Results and Discussion</w:t>
      </w:r>
    </w:p>
    <w:p w14:paraId="03B64FC9" w14:textId="4E84BD37" w:rsidR="001F4C64" w:rsidRPr="008E6760" w:rsidRDefault="008E6760" w:rsidP="008E6760">
      <w:pPr>
        <w:spacing w:after="0"/>
        <w:jc w:val="both"/>
        <w:rPr>
          <w:rFonts w:ascii="Times New Roman" w:eastAsia="Calibri" w:hAnsi="Times New Roman"/>
          <w:sz w:val="20"/>
          <w:szCs w:val="20"/>
          <w:lang w:val="en-MY"/>
        </w:rPr>
      </w:pP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00BC00DF" w:rsidRPr="00676177">
        <w:rPr>
          <w:rFonts w:ascii="Times New Roman" w:eastAsia="Calibri" w:hAnsi="Times New Roman"/>
          <w:sz w:val="20"/>
          <w:szCs w:val="20"/>
          <w:lang w:val="en-MY" w:bidi="ar-SA"/>
        </w:rPr>
        <w:t xml:space="preserve">Figure </w:t>
      </w:r>
      <w:r w:rsidR="00BC00DF">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below show IR spectra of the representative composites within the range of 650 to 4000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The broad peak at 3353.94 cm</w:t>
      </w:r>
      <w:r w:rsidRPr="00676177">
        <w:rPr>
          <w:rFonts w:ascii="Times New Roman" w:eastAsia="Calibri" w:hAnsi="Times New Roman"/>
          <w:sz w:val="20"/>
          <w:szCs w:val="20"/>
          <w:vertAlign w:val="superscript"/>
          <w:lang w:val="en-MY"/>
        </w:rPr>
        <w:t xml:space="preserve">-1 </w:t>
      </w:r>
      <w:r w:rsidRPr="00676177">
        <w:rPr>
          <w:rFonts w:ascii="Times New Roman" w:eastAsia="Calibri" w:hAnsi="Times New Roman"/>
          <w:sz w:val="20"/>
          <w:szCs w:val="20"/>
          <w:lang w:val="en-MY"/>
        </w:rPr>
        <w:t xml:space="preserve">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_Ref76676607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00BC00DF">
        <w:rPr>
          <w:rFonts w:ascii="Times New Roman" w:eastAsia="Calibri" w:hAnsi="Times New Roman"/>
          <w:b/>
          <w:bCs/>
          <w:sz w:val="20"/>
          <w:szCs w:val="20"/>
        </w:rPr>
        <w:t>Error! Reference source not found.</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represented the hydroxyl group stretching vibration of graphene oxide composite. Besides, there is also C=O stretch of carboxylic acid at 1737.46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The peak at 1163.52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and 1042.35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assigned to C-O-C,</w:t>
      </w:r>
      <w:r>
        <w:rPr>
          <w:rFonts w:ascii="Times New Roman" w:eastAsia="Calibri" w:hAnsi="Times New Roman"/>
          <w:sz w:val="20"/>
          <w:szCs w:val="20"/>
          <w:lang w:val="en-MY"/>
        </w:rPr>
        <w:t xml:space="preserve"> </w:t>
      </w:r>
      <w:r w:rsidRPr="00676177">
        <w:rPr>
          <w:rFonts w:ascii="Times New Roman" w:eastAsia="Calibri" w:hAnsi="Times New Roman"/>
          <w:sz w:val="20"/>
          <w:szCs w:val="20"/>
          <w:lang w:val="en-MY"/>
        </w:rPr>
        <w:t xml:space="preserve"> epoxy and C-O stretch. Next, the peak at 1588.21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were corresponding to the C=C aromatic stretch group. The peaks at 862.28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that were observed at the MoS2 composite corresponds to the Mo-O bond. [24]. FTIR spectroscopy 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00BC00DF" w:rsidRPr="00676177">
        <w:rPr>
          <w:rFonts w:ascii="Times New Roman" w:eastAsia="Calibri" w:hAnsi="Times New Roman"/>
          <w:sz w:val="20"/>
          <w:szCs w:val="20"/>
          <w:lang w:val="en-MY" w:bidi="ar-SA"/>
        </w:rPr>
        <w:t xml:space="preserve">Figure </w:t>
      </w:r>
      <w:r w:rsidR="00BC00DF">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confirms the presence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and GO which indicates successful preparation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in the experiment. Moreover, there are band shifts and intensified of the spectra for different concentration of the 1%, 5% and 15%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composites.</w:t>
      </w:r>
    </w:p>
    <w:p w14:paraId="1EA6D1F6" w14:textId="0CD09638" w:rsidR="001F4C64" w:rsidRPr="001F4C64" w:rsidRDefault="001F4C64" w:rsidP="001F4C64">
      <w:pPr>
        <w:spacing w:after="0"/>
        <w:ind w:right="1044"/>
        <w:jc w:val="both"/>
        <w:rPr>
          <w:rFonts w:ascii="Times New Roman" w:eastAsia="Calibri" w:hAnsi="Times New Roman"/>
          <w:bCs/>
          <w:sz w:val="20"/>
          <w:szCs w:val="20"/>
        </w:rPr>
        <w:sectPr w:rsidR="001F4C64" w:rsidRPr="001F4C64" w:rsidSect="008E6760">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r>
        <w:rPr>
          <w:rFonts w:ascii="Times New Roman" w:eastAsia="Calibri" w:hAnsi="Times New Roman"/>
          <w:iCs/>
          <w:sz w:val="20"/>
          <w:szCs w:val="20"/>
        </w:rPr>
        <w:t xml:space="preserve">  </w:t>
      </w:r>
    </w:p>
    <w:bookmarkEnd w:id="3"/>
    <w:p w14:paraId="434BA503" w14:textId="77777777" w:rsidR="00CB19E8" w:rsidRDefault="00CB19E8" w:rsidP="00CB19E8">
      <w:pPr>
        <w:spacing w:after="0"/>
        <w:jc w:val="both"/>
        <w:rPr>
          <w:rFonts w:ascii="Times New Roman" w:eastAsia="Calibri" w:hAnsi="Times New Roman"/>
          <w:sz w:val="20"/>
          <w:szCs w:val="20"/>
          <w:lang w:val="en-MY" w:bidi="ar-SA"/>
        </w:rPr>
        <w:sectPr w:rsidR="00CB19E8" w:rsidSect="00B444CB">
          <w:type w:val="continuous"/>
          <w:pgSz w:w="12240" w:h="15840" w:code="1"/>
          <w:pgMar w:top="1800" w:right="1469" w:bottom="1699" w:left="1440" w:header="706" w:footer="706" w:gutter="0"/>
          <w:pgNumType w:start="1"/>
          <w:cols w:space="403"/>
          <w:docGrid w:linePitch="360"/>
        </w:sectPr>
      </w:pPr>
    </w:p>
    <w:p w14:paraId="453CB257" w14:textId="77777777" w:rsidR="00676177" w:rsidRPr="00676177" w:rsidRDefault="00676177" w:rsidP="00CB19E8">
      <w:pPr>
        <w:spacing w:after="0"/>
        <w:jc w:val="both"/>
        <w:rPr>
          <w:rFonts w:ascii="Times New Roman" w:eastAsia="Calibri" w:hAnsi="Times New Roman"/>
          <w:sz w:val="20"/>
          <w:szCs w:val="20"/>
          <w:lang w:val="en-MY" w:bidi="ar-SA"/>
        </w:rPr>
      </w:pPr>
    </w:p>
    <w:p w14:paraId="44B9668D" w14:textId="77777777" w:rsidR="00676177" w:rsidRPr="00676177" w:rsidRDefault="00676177" w:rsidP="00CB19E8">
      <w:pPr>
        <w:spacing w:after="0"/>
        <w:jc w:val="both"/>
        <w:rPr>
          <w:rFonts w:ascii="Times New Roman" w:hAnsi="Times New Roman"/>
          <w:sz w:val="20"/>
          <w:szCs w:val="20"/>
        </w:rPr>
      </w:pPr>
    </w:p>
    <w:p w14:paraId="0D94C5BD" w14:textId="77777777" w:rsidR="00913BDA" w:rsidRDefault="00913BDA" w:rsidP="00CB19E8">
      <w:pPr>
        <w:spacing w:after="0"/>
        <w:jc w:val="both"/>
        <w:rPr>
          <w:rFonts w:ascii="Times New Roman" w:eastAsia="Calibri" w:hAnsi="Times New Roman"/>
          <w:bCs/>
          <w:sz w:val="20"/>
          <w:szCs w:val="20"/>
        </w:rPr>
        <w:sectPr w:rsidR="00913BDA" w:rsidSect="00B444CB">
          <w:type w:val="continuous"/>
          <w:pgSz w:w="12240" w:h="15840" w:code="1"/>
          <w:pgMar w:top="1800" w:right="1469" w:bottom="1699" w:left="1440" w:header="706" w:footer="706" w:gutter="0"/>
          <w:pgNumType w:start="1"/>
          <w:cols w:space="403"/>
          <w:docGrid w:linePitch="360"/>
        </w:sectPr>
      </w:pPr>
    </w:p>
    <w:p w14:paraId="5E8F69E6" w14:textId="77777777" w:rsidR="00B444CB" w:rsidRPr="00676177" w:rsidRDefault="00B444CB" w:rsidP="00CB19E8">
      <w:pPr>
        <w:spacing w:after="0"/>
        <w:jc w:val="both"/>
        <w:rPr>
          <w:rFonts w:ascii="Times New Roman" w:eastAsia="Calibri" w:hAnsi="Times New Roman"/>
          <w:bCs/>
          <w:sz w:val="20"/>
          <w:szCs w:val="20"/>
        </w:rPr>
      </w:pPr>
    </w:p>
    <w:p w14:paraId="00D19D18" w14:textId="77777777" w:rsidR="00B444CB" w:rsidRDefault="00B444CB" w:rsidP="00CB19E8">
      <w:pPr>
        <w:spacing w:after="0"/>
        <w:jc w:val="both"/>
        <w:rPr>
          <w:rFonts w:ascii="Times New Roman" w:eastAsia="Calibri" w:hAnsi="Times New Roman"/>
          <w:bCs/>
          <w:sz w:val="20"/>
          <w:szCs w:val="20"/>
        </w:rPr>
        <w:sectPr w:rsidR="00B444CB" w:rsidSect="00B444CB">
          <w:type w:val="continuous"/>
          <w:pgSz w:w="12240" w:h="15840" w:code="1"/>
          <w:pgMar w:top="1800" w:right="1469" w:bottom="1699" w:left="1440" w:header="706" w:footer="706" w:gutter="0"/>
          <w:pgNumType w:start="1"/>
          <w:cols w:space="403"/>
          <w:docGrid w:linePitch="360"/>
        </w:sectPr>
      </w:pPr>
    </w:p>
    <w:p w14:paraId="739964B0" w14:textId="77777777" w:rsidR="00676177" w:rsidRPr="00676177" w:rsidRDefault="00676177" w:rsidP="00CB19E8">
      <w:pPr>
        <w:spacing w:after="0"/>
        <w:jc w:val="both"/>
        <w:rPr>
          <w:rFonts w:ascii="Times New Roman" w:eastAsia="Calibri" w:hAnsi="Times New Roman"/>
          <w:bCs/>
          <w:sz w:val="20"/>
          <w:szCs w:val="20"/>
        </w:rPr>
      </w:pPr>
    </w:p>
    <w:p w14:paraId="72FB6AB6" w14:textId="77777777" w:rsidR="00395909" w:rsidRDefault="00395909" w:rsidP="008E6760">
      <w:pPr>
        <w:spacing w:after="0"/>
        <w:rPr>
          <w:rFonts w:ascii="Times New Roman" w:eastAsia="Calibri" w:hAnsi="Times New Roman"/>
          <w:b/>
          <w:bCs/>
          <w:sz w:val="20"/>
          <w:szCs w:val="20"/>
          <w:lang w:val="en-MY"/>
        </w:rPr>
        <w:sectPr w:rsidR="00395909" w:rsidSect="00913BDA">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1"/>
          <w:cols w:num="2" w:space="403"/>
          <w:docGrid w:linePitch="360"/>
        </w:sectPr>
      </w:pPr>
    </w:p>
    <w:p w14:paraId="73D2997D" w14:textId="77777777" w:rsidR="00676177" w:rsidRPr="00676177" w:rsidRDefault="00676177" w:rsidP="00A04B17">
      <w:pPr>
        <w:keepNext/>
        <w:spacing w:after="120"/>
        <w:jc w:val="center"/>
        <w:rPr>
          <w:rFonts w:ascii="Calibri" w:eastAsia="Calibri" w:hAnsi="Calibri"/>
          <w:lang w:val="en-MY" w:bidi="ar-SA"/>
        </w:rPr>
      </w:pPr>
      <w:r w:rsidRPr="00676177">
        <w:rPr>
          <w:rFonts w:ascii="Times New Roman" w:eastAsia="Calibri" w:hAnsi="Times New Roman"/>
          <w:b/>
          <w:bCs/>
          <w:noProof/>
          <w:sz w:val="20"/>
          <w:szCs w:val="20"/>
          <w:lang w:val="en-MY" w:eastAsia="en-MY" w:bidi="ar-SA"/>
        </w:rPr>
        <w:drawing>
          <wp:inline distT="0" distB="0" distL="0" distR="0" wp14:anchorId="72F58BC6" wp14:editId="5EE32256">
            <wp:extent cx="3894582" cy="5132640"/>
            <wp:effectExtent l="19050" t="19050" r="10795" b="11430"/>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23"/>
                    <a:stretch>
                      <a:fillRect/>
                    </a:stretch>
                  </pic:blipFill>
                  <pic:spPr>
                    <a:xfrm>
                      <a:off x="0" y="0"/>
                      <a:ext cx="3898998" cy="5138460"/>
                    </a:xfrm>
                    <a:prstGeom prst="rect">
                      <a:avLst/>
                    </a:prstGeom>
                    <a:ln>
                      <a:solidFill>
                        <a:sysClr val="windowText" lastClr="000000"/>
                      </a:solidFill>
                    </a:ln>
                  </pic:spPr>
                </pic:pic>
              </a:graphicData>
            </a:graphic>
          </wp:inline>
        </w:drawing>
      </w:r>
    </w:p>
    <w:p w14:paraId="7157576E" w14:textId="32A01B6D" w:rsidR="00676177" w:rsidRDefault="00676177" w:rsidP="00CB19E8">
      <w:pPr>
        <w:spacing w:after="0"/>
        <w:jc w:val="center"/>
        <w:rPr>
          <w:rFonts w:ascii="Times New Roman" w:eastAsia="Calibri" w:hAnsi="Times New Roman"/>
          <w:sz w:val="20"/>
          <w:szCs w:val="20"/>
          <w:lang w:bidi="ar-SA"/>
        </w:rPr>
      </w:pPr>
      <w:bookmarkStart w:id="4" w:name="_Ref82434795"/>
      <w:bookmarkStart w:id="5" w:name="_Ref82434787"/>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00BC00DF">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4"/>
      <w:r w:rsidRPr="00676177">
        <w:rPr>
          <w:rFonts w:ascii="Times New Roman" w:eastAsia="Calibri" w:hAnsi="Times New Roman"/>
          <w:sz w:val="20"/>
          <w:szCs w:val="20"/>
          <w:lang w:bidi="ar-SA"/>
        </w:rPr>
        <w:t xml:space="preserve">. </w:t>
      </w:r>
      <w:r w:rsidR="00A04B17">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FTIR spectrum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bookmarkEnd w:id="5"/>
    </w:p>
    <w:p w14:paraId="14089B1A" w14:textId="19AEBAF5" w:rsidR="00913BDA" w:rsidRDefault="00913BDA" w:rsidP="00CB19E8">
      <w:pPr>
        <w:spacing w:after="0"/>
        <w:jc w:val="center"/>
        <w:rPr>
          <w:rFonts w:ascii="Times New Roman" w:eastAsia="Calibri" w:hAnsi="Times New Roman"/>
          <w:color w:val="4472C4"/>
          <w:lang w:val="en-MY"/>
        </w:rPr>
      </w:pPr>
    </w:p>
    <w:p w14:paraId="5F4702C6" w14:textId="77777777" w:rsidR="007D0B92" w:rsidRPr="00676177" w:rsidRDefault="007D0B92" w:rsidP="00CB19E8">
      <w:pPr>
        <w:spacing w:after="0"/>
        <w:jc w:val="center"/>
        <w:rPr>
          <w:rFonts w:ascii="Times New Roman" w:eastAsia="Calibri" w:hAnsi="Times New Roman"/>
          <w:color w:val="4472C4"/>
          <w:lang w:val="en-MY"/>
        </w:rPr>
      </w:pPr>
    </w:p>
    <w:p w14:paraId="4AA91788" w14:textId="77777777" w:rsidR="00947930" w:rsidRDefault="00947930" w:rsidP="00CB19E8">
      <w:pPr>
        <w:spacing w:after="0"/>
        <w:jc w:val="both"/>
        <w:rPr>
          <w:rFonts w:ascii="Times New Roman" w:eastAsia="Calibri" w:hAnsi="Times New Roman"/>
          <w:iCs/>
          <w:sz w:val="20"/>
          <w:szCs w:val="20"/>
          <w:lang w:val="en-MY"/>
        </w:rPr>
        <w:sectPr w:rsidR="00947930" w:rsidSect="001D33F5">
          <w:type w:val="continuous"/>
          <w:pgSz w:w="12240" w:h="15840" w:code="1"/>
          <w:pgMar w:top="1800" w:right="1469" w:bottom="1699" w:left="1440" w:header="706" w:footer="706" w:gutter="0"/>
          <w:pgNumType w:start="1"/>
          <w:cols w:space="403"/>
          <w:docGrid w:linePitch="360"/>
        </w:sectPr>
      </w:pPr>
    </w:p>
    <w:p w14:paraId="76FAB24B" w14:textId="77777777" w:rsidR="00D47DC3" w:rsidRDefault="00676177" w:rsidP="00CB19E8">
      <w:pPr>
        <w:spacing w:after="0"/>
        <w:jc w:val="both"/>
        <w:rPr>
          <w:rFonts w:ascii="Times New Roman" w:eastAsia="Calibri" w:hAnsi="Times New Roman"/>
          <w:iCs/>
          <w:sz w:val="20"/>
          <w:szCs w:val="20"/>
          <w:lang w:val="en-MY"/>
        </w:rPr>
        <w:sectPr w:rsidR="00D47DC3" w:rsidSect="00670B3B">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iCs/>
          <w:sz w:val="20"/>
          <w:szCs w:val="20"/>
          <w:lang w:val="en-MY"/>
        </w:rPr>
        <w:t xml:space="preserve">Figure 2 shows diffractogram of </w:t>
      </w:r>
      <w:r w:rsidRPr="00676177">
        <w:rPr>
          <w:rFonts w:ascii="Times New Roman" w:eastAsia="Calibri" w:hAnsi="Times New Roman"/>
          <w:sz w:val="20"/>
          <w:szCs w:val="20"/>
          <w:lang w:bidi="ar-SA"/>
        </w:rPr>
        <w:t>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r w:rsidRPr="00676177">
        <w:rPr>
          <w:rFonts w:ascii="Times New Roman" w:eastAsia="Calibri" w:hAnsi="Times New Roman"/>
          <w:iCs/>
          <w:sz w:val="20"/>
          <w:szCs w:val="20"/>
          <w:lang w:val="en-MY"/>
        </w:rPr>
        <w:t xml:space="preserve"> Based on the figure, the diffraction peak of GO can be seen at 2ᶿ = 24.92˚ indicating interplanar space of the GO sheet (001) [25].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also showed peak corresponding to </w:t>
      </w:r>
      <w:r w:rsidRPr="00676177">
        <w:rPr>
          <w:rFonts w:ascii="Times New Roman" w:eastAsia="Calibri" w:hAnsi="Times New Roman"/>
          <w:iCs/>
          <w:sz w:val="20"/>
          <w:szCs w:val="20"/>
          <w:lang w:val="en-MY"/>
        </w:rPr>
        <w:t>(100) plane at 2ᶿ = 32.65˚ which successfully appeared at all of the mass ratio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(1%, 5% and 15%)</w:t>
      </w:r>
      <w:r w:rsidRPr="00676177">
        <w:rPr>
          <w:rFonts w:ascii="Times New Roman" w:eastAsia="Calibri" w:hAnsi="Times New Roman"/>
          <w:iCs/>
          <w:sz w:val="20"/>
          <w:szCs w:val="20"/>
          <w:lang w:val="en-MY"/>
        </w:rPr>
        <w:fldChar w:fldCharType="begin" w:fldLock="1"/>
      </w:r>
      <w:r w:rsidRPr="00676177">
        <w:rPr>
          <w:rFonts w:ascii="Times New Roman" w:eastAsia="Calibri" w:hAnsi="Times New Roman"/>
          <w:iCs/>
          <w:sz w:val="20"/>
          <w:szCs w:val="20"/>
          <w:lang w:val="en-MY"/>
        </w:rPr>
        <w:instrText>ADDIN CSL_CITATION {"citationItems":[{"id":"ITEM-1","itemData":{"DOI":"10.1016/j.jpowsour.2019.227680","ISSN":"03787753","abstract":"In recent years, many efforts are devoted to enhance the energy density of supercapacitors without sacrificing its intrinsic high power density. To achieve this, high energy density aqueous lithium-ion capacitors (LIC) are demonstrated by employing phosphorus-MoS2/polyaniline/reduced graphene oxide hierarchical nanosheets (P–MoS2/PANI/rGO HNSs) anode electrode via a simple organic/inorganic hybridization method. With the phosphorus and PANI intercalate into the adjacent MoS2 layers and then grow on the rGO nanosheets, the P–MoS2/PANI/rGO HNSs has enlarged and disordered interlayer structure and thus obtain improved Li-ion storage capability. Accordingly, an P–MoS2/PANI/rGO HNSs based LIC delivers an energy density of 56.0 Wh kg−1, when the power density is 0.45 kW kg−1. Moreover, the capacitance retention of the P–MoS2/PANI/rGO based LIC can be up to 93.5% after 30,000 charge/discharge cycles at a current density of 5 A g−1, showing great application potential for future electric vehicle.","author":[{"dropping-particle":"","family":"Chao","given":"Jie","non-dropping-particle":"","parse-names":false,"suffix":""},{"dropping-particle":"","family":"Yang","given":"Lichun","non-dropping-particle":"","parse-names":false,"suffix":""},{"dropping-particle":"","family":"Zhang","given":"Hanyin","non-dropping-particle":"","parse-names":false,"suffix":""},{"dropping-particle":"","family":"Liu","given":"Jiangwen","non-dropping-particle":"","parse-names":false,"suffix":""},{"dropping-particle":"","family":"Hu","given":"Renzong","non-dropping-particle":"","parse-names":false,"suffix":""},{"dropping-particle":"","family":"Zhu","given":"Min","non-dropping-particle":"","parse-names":false,"suffix":""}],"container-title":"Journal of Power Sources","id":"ITEM-1","issue":"December 2019","issued":{"date-parts":[["2020"]]},"title":"Engineering layer structure of MoS2/polyaniline/graphene nanocomposites to achieve fast and reversible lithium storage for high energy density aqueous lithium-ion capacitors","type":"article-journal","volume":"450"},"uris":["http://www.mendeley.com/documents/?uuid=7d5b2e75-4885-4696-9ed0-467e52781ce5"]},{"id":"ITEM-2","itemData":{"DOI":"10.1016/j.cap.2018.02.004","ISSN":"15671739","abstract":"Electron-hole separation and a narrow band-gap are essential steps to obtain efficient photocatalysis, towards which the use of co-catalysts or co-doped-TiO2 photocatalysts has become a widely used strategy. In this article, the combination of MoS2 and co-doping of V, N is the goal to achieve high performance photocatalysts. We synthesized MoS2/V, N co-doped TiO2 heterostructure thin film by sol-gel and chemical bath deposition methods. Herein, we investigated the influence of deposition time of MoS2 layer on visible-photocatalytic activity of the obtained samples. The thin films were characterized by X-ray diffraction, scanning electron microscopy, X-ray photoelectron spectroscopy and UV–vis spectroscopy techniques. Visible-photocatalytic activity of these samples were evaluated on the removal of methylene blue (MB) under visible light irradiation. The results show that the aforementioned heterostructure thin films have better photocatalytic activities than those of TiO2, MoS2 and V, N co-doped TiO2 counterparts in visible light region. The mechanism for increasing visible-photocatalytic property of the heterostructure thin films is discussed in detail. We find that MoS2/V, N co-doped TiO2 heterostructure thin film at MoS2 deposition time of 45-min shows the highest photocatalytic performance in the visible light region with MB photodegradation rate about 99% for 150 min and the degradation rate constant is 2.06 times higher than that of V and N co-doped TiO2 counterpart.","author":[{"dropping-particle":"","family":"Phung","given":"Hang Nguyen Thai","non-dropping-particle":"","parse-names":false,"suffix":""},{"dropping-particle":"","family":"Truong","given":"Nguyen Duc","non-dropping-particle":"","parse-names":false,"suffix":""},{"dropping-particle":"","family":"Duong","given":"Phuong Ai","non-dropping-particle":"","parse-names":false,"suffix":""},{"dropping-particle":"","family":"Tuan Hung","given":"Le Vu","non-dropping-particle":"","parse-names":false,"suffix":""}],"container-title":"Current Applied Physics","id":"ITEM-2","issue":"6","issued":{"date-parts":[["2018"]]},"page":"737-743","title":"Influence of MoS2 deposition time on the photocatalytic activity of MoS2/ V, N co-doped TiO2 heterostructure thin film in the visible light region","type":"article-journal","volume":"18"},"uris":["http://www.mendeley.com/documents/?uuid=5b289f98-d6fe-42de-96c3-73f3a97b9223"]}],"mendeley":{"formattedCitation":"(Chao et al., 2020; Phung et al., 2018)","plainTextFormattedCitation":"(Chao et al., 2020; Phung et al., 2018)","previouslyFormattedCitation":"(Chao et al., 2020; Phung et al., 2018)"},"properties":{"noteIndex":0},"schema":"https://github.com/citation-style-language/schema/raw/master/csl-citation.json"}</w:instrText>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noProof/>
          <w:sz w:val="20"/>
          <w:szCs w:val="20"/>
          <w:lang w:val="en-MY"/>
        </w:rPr>
        <w:t>[27]</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[28]</w:t>
      </w:r>
      <w:r w:rsidRPr="00676177">
        <w:rPr>
          <w:rFonts w:ascii="Times New Roman" w:eastAsia="Calibri" w:hAnsi="Times New Roman"/>
          <w:iCs/>
          <w:sz w:val="20"/>
          <w:szCs w:val="20"/>
          <w:lang w:val="en-MY"/>
        </w:rPr>
        <w:t>. Thus, it confirmed that GO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composites were successfully integrated.</w:t>
      </w:r>
    </w:p>
    <w:p w14:paraId="4C80320A" w14:textId="77777777" w:rsidR="00670B3B" w:rsidRDefault="00670B3B" w:rsidP="00CB19E8">
      <w:pPr>
        <w:spacing w:after="0"/>
        <w:jc w:val="both"/>
        <w:rPr>
          <w:rFonts w:ascii="Times New Roman" w:eastAsia="Calibri" w:hAnsi="Times New Roman"/>
          <w:iCs/>
          <w:sz w:val="20"/>
          <w:szCs w:val="20"/>
          <w:lang w:val="en-MY"/>
        </w:rPr>
        <w:sectPr w:rsidR="00670B3B" w:rsidSect="00670B3B">
          <w:type w:val="continuous"/>
          <w:pgSz w:w="12240" w:h="15840" w:code="1"/>
          <w:pgMar w:top="1800" w:right="1469" w:bottom="1699" w:left="1440" w:header="706" w:footer="706" w:gutter="0"/>
          <w:pgNumType w:start="1"/>
          <w:cols w:num="2" w:space="403"/>
          <w:docGrid w:linePitch="360"/>
        </w:sectPr>
      </w:pPr>
    </w:p>
    <w:p w14:paraId="19F3ACC6" w14:textId="77777777" w:rsidR="00676177" w:rsidRPr="00676177" w:rsidRDefault="00676177" w:rsidP="00A04B17">
      <w:pPr>
        <w:keepNext/>
        <w:spacing w:after="120"/>
        <w:jc w:val="center"/>
        <w:rPr>
          <w:rFonts w:ascii="Calibri" w:eastAsia="Calibri" w:hAnsi="Calibri"/>
          <w:lang w:val="en-MY" w:bidi="ar-SA"/>
        </w:rPr>
      </w:pPr>
      <w:r w:rsidRPr="00676177">
        <w:rPr>
          <w:rFonts w:ascii="Times New Roman" w:eastAsia="Calibri" w:hAnsi="Times New Roman"/>
          <w:iCs/>
          <w:noProof/>
          <w:sz w:val="20"/>
          <w:szCs w:val="20"/>
          <w:lang w:val="en-MY" w:eastAsia="en-MY" w:bidi="ar-SA"/>
        </w:rPr>
        <w:lastRenderedPageBreak/>
        <w:drawing>
          <wp:inline distT="0" distB="0" distL="0" distR="0" wp14:anchorId="0E444BF2" wp14:editId="6D224AD8">
            <wp:extent cx="4374348" cy="5040000"/>
            <wp:effectExtent l="19050" t="19050" r="26670" b="273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24"/>
                    <a:stretch>
                      <a:fillRect/>
                    </a:stretch>
                  </pic:blipFill>
                  <pic:spPr>
                    <a:xfrm>
                      <a:off x="0" y="0"/>
                      <a:ext cx="4374348" cy="5040000"/>
                    </a:xfrm>
                    <a:prstGeom prst="rect">
                      <a:avLst/>
                    </a:prstGeom>
                    <a:ln>
                      <a:solidFill>
                        <a:sysClr val="windowText" lastClr="000000"/>
                      </a:solidFill>
                    </a:ln>
                  </pic:spPr>
                </pic:pic>
              </a:graphicData>
            </a:graphic>
          </wp:inline>
        </w:drawing>
      </w:r>
    </w:p>
    <w:p w14:paraId="3437E2C0" w14:textId="512DD5B9" w:rsidR="00676177" w:rsidRPr="00676177" w:rsidRDefault="00676177" w:rsidP="00CB19E8">
      <w:pPr>
        <w:spacing w:after="0"/>
        <w:jc w:val="center"/>
        <w:rPr>
          <w:rFonts w:ascii="Times New Roman" w:eastAsia="Calibri" w:hAnsi="Times New Roman"/>
          <w:iCs/>
          <w:lang w:val="en-MY"/>
        </w:rPr>
      </w:pPr>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00BC00DF">
        <w:rPr>
          <w:rFonts w:ascii="Times New Roman" w:eastAsia="Calibri" w:hAnsi="Times New Roman"/>
          <w:noProof/>
          <w:sz w:val="20"/>
          <w:szCs w:val="20"/>
          <w:lang w:val="en-MY" w:bidi="ar-SA"/>
        </w:rPr>
        <w:t>2</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w:t>
      </w:r>
      <w:r w:rsidR="00A04B17">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XRD patterns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 (1%, 5% and 15%)</w:t>
      </w:r>
    </w:p>
    <w:p w14:paraId="5F02A9C7" w14:textId="77777777" w:rsidR="00676177" w:rsidRPr="00676177" w:rsidRDefault="00676177" w:rsidP="00CB19E8">
      <w:pPr>
        <w:spacing w:after="0"/>
        <w:rPr>
          <w:rFonts w:ascii="Times New Roman" w:eastAsia="Calibri" w:hAnsi="Times New Roman"/>
          <w:iCs/>
          <w:sz w:val="20"/>
          <w:szCs w:val="20"/>
          <w:lang w:val="en-MY"/>
        </w:rPr>
      </w:pPr>
    </w:p>
    <w:p w14:paraId="339348D7" w14:textId="77777777" w:rsidR="00D47DC3" w:rsidRDefault="00D47DC3" w:rsidP="00CB19E8">
      <w:pPr>
        <w:spacing w:after="0"/>
        <w:jc w:val="both"/>
        <w:rPr>
          <w:rFonts w:ascii="Times New Roman" w:eastAsia="Calibri" w:hAnsi="Times New Roman"/>
          <w:iCs/>
          <w:sz w:val="20"/>
          <w:szCs w:val="20"/>
          <w:lang w:val="en-MY"/>
        </w:rPr>
      </w:pPr>
    </w:p>
    <w:p w14:paraId="0A96DC5D" w14:textId="2F10D39F" w:rsidR="007D0B92" w:rsidRDefault="007D0B92" w:rsidP="00CB19E8">
      <w:pPr>
        <w:spacing w:after="0"/>
        <w:jc w:val="both"/>
        <w:rPr>
          <w:rFonts w:ascii="Times New Roman" w:eastAsia="Calibri" w:hAnsi="Times New Roman"/>
          <w:iCs/>
          <w:sz w:val="20"/>
          <w:szCs w:val="20"/>
          <w:lang w:val="en-MY"/>
        </w:rPr>
        <w:sectPr w:rsidR="007D0B92" w:rsidSect="00670B3B">
          <w:headerReference w:type="even" r:id="rId25"/>
          <w:headerReference w:type="default" r:id="rId26"/>
          <w:footerReference w:type="even" r:id="rId27"/>
          <w:headerReference w:type="first" r:id="rId28"/>
          <w:type w:val="evenPage"/>
          <w:pgSz w:w="12240" w:h="15840" w:code="1"/>
          <w:pgMar w:top="1800" w:right="1469" w:bottom="1699" w:left="1440" w:header="706" w:footer="706" w:gutter="0"/>
          <w:pgNumType w:start="1"/>
          <w:cols w:space="403"/>
          <w:docGrid w:linePitch="360"/>
        </w:sectPr>
      </w:pPr>
    </w:p>
    <w:p w14:paraId="043822D2" w14:textId="71D21641" w:rsidR="00676177" w:rsidRPr="00676177" w:rsidRDefault="00676177" w:rsidP="00CB19E8">
      <w:pPr>
        <w:spacing w:after="0"/>
        <w:jc w:val="both"/>
        <w:rPr>
          <w:rFonts w:ascii="Times New Roman" w:eastAsia="Calibri" w:hAnsi="Times New Roman"/>
          <w:iCs/>
          <w:sz w:val="20"/>
          <w:szCs w:val="20"/>
          <w:lang w:val="en-MY"/>
        </w:rPr>
      </w:pPr>
      <w:r w:rsidRPr="00676177">
        <w:rPr>
          <w:rFonts w:ascii="Times New Roman" w:eastAsia="Calibri" w:hAnsi="Times New Roman"/>
          <w:iCs/>
          <w:sz w:val="20"/>
          <w:szCs w:val="20"/>
          <w:lang w:val="en-MY"/>
        </w:rPr>
        <w:t>Figure 3 reveals the photodegradation of 2-chlorophenol under sunlight using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GO,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(1%, 5% and 15%) photocatalyst. Successful photodegradation was monitored by decreasing in the intensity of absorbance with time irradiation. Hence,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proved for having lowest absorbance of 0.086 Abs. Based on the</w:t>
      </w:r>
      <w:r w:rsidR="00B03329">
        <w:rPr>
          <w:rFonts w:ascii="Times New Roman" w:eastAsia="Calibri" w:hAnsi="Times New Roman"/>
          <w:iCs/>
          <w:sz w:val="20"/>
          <w:szCs w:val="20"/>
          <w:lang w:val="en-MY"/>
        </w:rPr>
        <w:t xml:space="preserve"> Figure 3, </w:t>
      </w:r>
      <w:r w:rsidRPr="00676177">
        <w:rPr>
          <w:rFonts w:ascii="Times New Roman" w:eastAsia="Calibri" w:hAnsi="Times New Roman"/>
          <w:iCs/>
          <w:sz w:val="20"/>
          <w:szCs w:val="20"/>
          <w:lang w:val="en-MY"/>
        </w:rPr>
        <w:t>the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showed an increase in absorption at 0.198 Abs of the visible light in the range of ~275 nm due to the absorption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in the 2-chlorophenol pollutant as it </w:t>
      </w:r>
      <w:r w:rsidRPr="00676177">
        <w:rPr>
          <w:rFonts w:ascii="Times New Roman" w:eastAsia="Calibri" w:hAnsi="Times New Roman"/>
          <w:iCs/>
          <w:sz w:val="20"/>
          <w:szCs w:val="20"/>
        </w:rPr>
        <w:t xml:space="preserve">hinders complete usage of sunlight for charge carrier generation due to having wider band gap and have low mobility </w:t>
      </w:r>
      <w:r w:rsidRPr="00676177">
        <w:rPr>
          <w:rFonts w:ascii="Times New Roman" w:eastAsia="Calibri" w:hAnsi="Times New Roman"/>
          <w:iCs/>
          <w:sz w:val="20"/>
          <w:szCs w:val="20"/>
        </w:rPr>
        <w:t xml:space="preserve">preventing charge transfer </w:t>
      </w:r>
      <w:r w:rsidRPr="00676177">
        <w:rPr>
          <w:rFonts w:ascii="Times New Roman" w:eastAsia="Calibri" w:hAnsi="Times New Roman"/>
          <w:iCs/>
          <w:sz w:val="20"/>
          <w:szCs w:val="20"/>
          <w:lang w:val="en-MY"/>
        </w:rPr>
        <w:t xml:space="preserve">[29]. Moreover, </w:t>
      </w:r>
      <w:r w:rsidRPr="00676177">
        <w:rPr>
          <w:rFonts w:ascii="Times New Roman" w:eastAsia="Calibri" w:hAnsi="Times New Roman"/>
          <w:iCs/>
          <w:sz w:val="20"/>
          <w:szCs w:val="20"/>
        </w:rPr>
        <w:t>rapid recombination of photogenerated electron hole pairs can decline its photocatalytic activities and poor dispersion happened when the nanomaterials are accumulated [30].</w:t>
      </w:r>
      <w:r w:rsidRPr="00676177">
        <w:rPr>
          <w:rFonts w:ascii="Times New Roman" w:eastAsia="Calibri" w:hAnsi="Times New Roman"/>
          <w:iCs/>
          <w:sz w:val="20"/>
          <w:szCs w:val="20"/>
          <w:lang w:val="en-MY"/>
        </w:rPr>
        <w:t xml:space="preserve"> Meanwhile, </w:t>
      </w:r>
      <w:r w:rsidR="00B03329">
        <w:rPr>
          <w:rFonts w:ascii="Times New Roman" w:eastAsia="Calibri" w:hAnsi="Times New Roman"/>
          <w:iCs/>
          <w:sz w:val="20"/>
          <w:szCs w:val="20"/>
          <w:lang w:val="en-MY"/>
        </w:rPr>
        <w:t xml:space="preserve">Figure 4 </w:t>
      </w:r>
      <w:r w:rsidRPr="00676177">
        <w:rPr>
          <w:rFonts w:ascii="Times New Roman" w:eastAsia="Calibri" w:hAnsi="Times New Roman"/>
          <w:iCs/>
          <w:sz w:val="20"/>
          <w:szCs w:val="20"/>
          <w:lang w:val="en-MY"/>
        </w:rPr>
        <w:t>presents the degradation percentage of all composites where the highest percent degradation is 51.41% for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due to the compatibility between graphene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as it enhanced the catalytic activities of amorphous producing highly efficient hydrogen production under visible light irradiation [31]. </w:t>
      </w:r>
    </w:p>
    <w:p w14:paraId="58908BAA" w14:textId="77777777" w:rsidR="00D47DC3" w:rsidRDefault="00D47DC3" w:rsidP="00CB19E8">
      <w:pPr>
        <w:spacing w:after="0"/>
        <w:jc w:val="both"/>
        <w:rPr>
          <w:rFonts w:ascii="Times New Roman" w:eastAsia="Calibri" w:hAnsi="Times New Roman"/>
          <w:iCs/>
          <w:sz w:val="20"/>
          <w:szCs w:val="20"/>
          <w:lang w:val="en-MY"/>
        </w:rPr>
        <w:sectPr w:rsidR="00D47DC3" w:rsidSect="00D47DC3">
          <w:type w:val="continuous"/>
          <w:pgSz w:w="12240" w:h="15840" w:code="1"/>
          <w:pgMar w:top="1800" w:right="1469" w:bottom="1699" w:left="1440" w:header="706" w:footer="706" w:gutter="0"/>
          <w:pgNumType w:start="1"/>
          <w:cols w:num="2" w:space="403"/>
          <w:docGrid w:linePitch="360"/>
        </w:sectPr>
      </w:pPr>
    </w:p>
    <w:p w14:paraId="789C7880" w14:textId="77777777" w:rsidR="00676177" w:rsidRPr="00676177" w:rsidRDefault="00676177" w:rsidP="00CB19E8">
      <w:pPr>
        <w:spacing w:after="0"/>
        <w:jc w:val="both"/>
        <w:rPr>
          <w:rFonts w:ascii="Times New Roman" w:eastAsia="Calibri" w:hAnsi="Times New Roman"/>
          <w:iCs/>
          <w:sz w:val="20"/>
          <w:szCs w:val="20"/>
          <w:lang w:val="en-MY"/>
        </w:rPr>
      </w:pPr>
    </w:p>
    <w:p w14:paraId="25C7B8C4" w14:textId="77777777" w:rsidR="00676177" w:rsidRPr="00676177" w:rsidRDefault="00676177" w:rsidP="00A04B17">
      <w:pPr>
        <w:spacing w:after="120"/>
        <w:jc w:val="center"/>
        <w:rPr>
          <w:rFonts w:ascii="Times New Roman" w:eastAsia="Calibri" w:hAnsi="Times New Roman"/>
          <w:iCs/>
          <w:sz w:val="20"/>
          <w:szCs w:val="20"/>
        </w:rPr>
      </w:pPr>
      <w:bookmarkStart w:id="6" w:name="_Ref82434986"/>
      <w:r w:rsidRPr="00676177">
        <w:rPr>
          <w:rFonts w:ascii="Times New Roman" w:eastAsia="Calibri" w:hAnsi="Times New Roman"/>
          <w:iCs/>
          <w:noProof/>
          <w:sz w:val="20"/>
          <w:szCs w:val="20"/>
          <w:lang w:val="en-MY" w:eastAsia="en-MY" w:bidi="ar-SA"/>
        </w:rPr>
        <w:drawing>
          <wp:inline distT="0" distB="0" distL="0" distR="0" wp14:anchorId="579E28B1" wp14:editId="34B94B30">
            <wp:extent cx="4577334" cy="3339825"/>
            <wp:effectExtent l="19050" t="19050" r="13970" b="133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29"/>
                    <a:stretch>
                      <a:fillRect/>
                    </a:stretch>
                  </pic:blipFill>
                  <pic:spPr>
                    <a:xfrm>
                      <a:off x="0" y="0"/>
                      <a:ext cx="4582460" cy="3343565"/>
                    </a:xfrm>
                    <a:prstGeom prst="rect">
                      <a:avLst/>
                    </a:prstGeom>
                    <a:ln>
                      <a:solidFill>
                        <a:sysClr val="windowText" lastClr="000000"/>
                      </a:solidFill>
                    </a:ln>
                  </pic:spPr>
                </pic:pic>
              </a:graphicData>
            </a:graphic>
          </wp:inline>
        </w:drawing>
      </w:r>
      <w:bookmarkStart w:id="7" w:name="_Ref76677014"/>
      <w:bookmarkStart w:id="8" w:name="_Ref80650958"/>
      <w:bookmarkStart w:id="9" w:name="_Toc79783609"/>
    </w:p>
    <w:p w14:paraId="7A081130" w14:textId="5E34BAAC"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00BC00DF">
        <w:rPr>
          <w:rFonts w:ascii="Times New Roman" w:eastAsia="Calibri" w:hAnsi="Times New Roman"/>
          <w:iCs/>
          <w:noProof/>
          <w:sz w:val="20"/>
          <w:szCs w:val="20"/>
        </w:rPr>
        <w:t>3</w:t>
      </w:r>
      <w:r w:rsidRPr="00676177">
        <w:rPr>
          <w:rFonts w:ascii="Times New Roman" w:eastAsia="Calibri" w:hAnsi="Times New Roman"/>
          <w:iCs/>
          <w:sz w:val="20"/>
          <w:szCs w:val="20"/>
        </w:rPr>
        <w:fldChar w:fldCharType="end"/>
      </w:r>
      <w:bookmarkEnd w:id="6"/>
      <w:bookmarkEnd w:id="7"/>
      <w:bookmarkEnd w:id="8"/>
      <w:r w:rsidRPr="00676177">
        <w:rPr>
          <w:rFonts w:ascii="Times New Roman" w:eastAsia="Calibri" w:hAnsi="Times New Roman"/>
          <w:iCs/>
          <w:sz w:val="20"/>
          <w:szCs w:val="20"/>
        </w:rPr>
        <w:t xml:space="preserve">. </w:t>
      </w:r>
      <w:r w:rsidR="00A04B17">
        <w:rPr>
          <w:rFonts w:ascii="Times New Roman" w:eastAsia="Calibri" w:hAnsi="Times New Roman"/>
          <w:iCs/>
          <w:sz w:val="20"/>
          <w:szCs w:val="20"/>
        </w:rPr>
        <w:t xml:space="preserve"> </w:t>
      </w:r>
      <w:r w:rsidRPr="00676177">
        <w:rPr>
          <w:rFonts w:ascii="Times New Roman" w:eastAsia="Calibri" w:hAnsi="Times New Roman"/>
          <w:iCs/>
          <w:sz w:val="20"/>
          <w:szCs w:val="20"/>
        </w:rPr>
        <w:t>Different absorbance for different catalyst for 3 hours</w:t>
      </w:r>
      <w:bookmarkEnd w:id="9"/>
    </w:p>
    <w:p w14:paraId="1DE2A4BB" w14:textId="77777777" w:rsidR="00D47DC3" w:rsidRPr="00676177" w:rsidRDefault="00D47DC3" w:rsidP="00CB19E8">
      <w:pPr>
        <w:spacing w:after="0"/>
        <w:jc w:val="center"/>
        <w:rPr>
          <w:rFonts w:ascii="Times New Roman" w:eastAsia="Calibri" w:hAnsi="Times New Roman"/>
          <w:iCs/>
          <w:sz w:val="20"/>
          <w:szCs w:val="20"/>
        </w:rPr>
      </w:pPr>
    </w:p>
    <w:p w14:paraId="22886469" w14:textId="77777777" w:rsidR="00676177" w:rsidRPr="00676177" w:rsidRDefault="00676177" w:rsidP="00A04B17">
      <w:pPr>
        <w:spacing w:after="120"/>
        <w:jc w:val="center"/>
        <w:rPr>
          <w:rFonts w:ascii="Times New Roman" w:eastAsia="Calibri" w:hAnsi="Times New Roman"/>
          <w:iCs/>
          <w:sz w:val="20"/>
          <w:szCs w:val="20"/>
        </w:rPr>
      </w:pPr>
      <w:r w:rsidRPr="00676177">
        <w:rPr>
          <w:rFonts w:ascii="Times New Roman" w:eastAsia="Calibri" w:hAnsi="Times New Roman"/>
          <w:iCs/>
          <w:noProof/>
          <w:sz w:val="20"/>
          <w:szCs w:val="20"/>
          <w:lang w:val="en-MY"/>
        </w:rPr>
        <w:drawing>
          <wp:inline distT="0" distB="0" distL="0" distR="0" wp14:anchorId="3B26D2C8" wp14:editId="317E94F8">
            <wp:extent cx="4626102" cy="2698558"/>
            <wp:effectExtent l="19050" t="19050" r="22225" b="26035"/>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Lst>
                    </a:blip>
                    <a:stretch>
                      <a:fillRect/>
                    </a:stretch>
                  </pic:blipFill>
                  <pic:spPr>
                    <a:xfrm>
                      <a:off x="0" y="0"/>
                      <a:ext cx="4635453" cy="2704013"/>
                    </a:xfrm>
                    <a:prstGeom prst="rect">
                      <a:avLst/>
                    </a:prstGeom>
                    <a:ln>
                      <a:solidFill>
                        <a:sysClr val="windowText" lastClr="000000"/>
                      </a:solidFill>
                    </a:ln>
                  </pic:spPr>
                </pic:pic>
              </a:graphicData>
            </a:graphic>
          </wp:inline>
        </w:drawing>
      </w:r>
      <w:bookmarkStart w:id="10" w:name="_Ref77333546"/>
      <w:bookmarkStart w:id="11" w:name="_Toc79783610"/>
    </w:p>
    <w:p w14:paraId="6580E14A" w14:textId="16785258"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00BC00DF">
        <w:rPr>
          <w:rFonts w:ascii="Times New Roman" w:eastAsia="Calibri" w:hAnsi="Times New Roman"/>
          <w:iCs/>
          <w:noProof/>
          <w:sz w:val="20"/>
          <w:szCs w:val="20"/>
        </w:rPr>
        <w:t>4</w:t>
      </w:r>
      <w:r w:rsidRPr="00676177">
        <w:rPr>
          <w:rFonts w:ascii="Times New Roman" w:eastAsia="Calibri" w:hAnsi="Times New Roman"/>
          <w:iCs/>
          <w:sz w:val="20"/>
          <w:szCs w:val="20"/>
        </w:rPr>
        <w:fldChar w:fldCharType="end"/>
      </w:r>
      <w:bookmarkEnd w:id="10"/>
      <w:r w:rsidRPr="00676177">
        <w:rPr>
          <w:rFonts w:ascii="Times New Roman" w:eastAsia="Calibri" w:hAnsi="Times New Roman"/>
          <w:iCs/>
          <w:sz w:val="20"/>
          <w:szCs w:val="20"/>
        </w:rPr>
        <w:t xml:space="preserve">. </w:t>
      </w:r>
      <w:r w:rsidR="00A04B17">
        <w:rPr>
          <w:rFonts w:ascii="Times New Roman" w:eastAsia="Calibri" w:hAnsi="Times New Roman"/>
          <w:iCs/>
          <w:sz w:val="20"/>
          <w:szCs w:val="20"/>
        </w:rPr>
        <w:t xml:space="preserve"> </w:t>
      </w:r>
      <w:r w:rsidRPr="00676177">
        <w:rPr>
          <w:rFonts w:ascii="Times New Roman" w:eastAsia="Calibri" w:hAnsi="Times New Roman"/>
          <w:iCs/>
          <w:sz w:val="20"/>
          <w:szCs w:val="20"/>
        </w:rPr>
        <w:t>Degradation percentage of 2-chlorophenol for different catalyst</w:t>
      </w:r>
      <w:bookmarkEnd w:id="11"/>
      <w:r w:rsidRPr="00676177">
        <w:rPr>
          <w:rFonts w:ascii="Times New Roman" w:eastAsia="Calibri" w:hAnsi="Times New Roman"/>
          <w:iCs/>
          <w:sz w:val="20"/>
          <w:szCs w:val="20"/>
        </w:rPr>
        <w:t>s under sunlight</w:t>
      </w:r>
    </w:p>
    <w:p w14:paraId="2BB4D7B0" w14:textId="48CE7C0C" w:rsidR="00D47DC3" w:rsidRDefault="00D47DC3" w:rsidP="00CB19E8">
      <w:pPr>
        <w:spacing w:after="0"/>
        <w:jc w:val="center"/>
        <w:rPr>
          <w:rFonts w:ascii="Times New Roman" w:eastAsia="Calibri" w:hAnsi="Times New Roman"/>
          <w:iCs/>
          <w:sz w:val="20"/>
          <w:szCs w:val="20"/>
        </w:rPr>
      </w:pPr>
    </w:p>
    <w:p w14:paraId="3479C17C" w14:textId="77777777" w:rsidR="00A04B17" w:rsidRPr="00676177" w:rsidRDefault="00A04B17" w:rsidP="00CB19E8">
      <w:pPr>
        <w:spacing w:after="0"/>
        <w:jc w:val="center"/>
        <w:rPr>
          <w:rFonts w:ascii="Times New Roman" w:eastAsia="Calibri" w:hAnsi="Times New Roman"/>
          <w:iCs/>
          <w:sz w:val="20"/>
          <w:szCs w:val="20"/>
        </w:rPr>
      </w:pPr>
    </w:p>
    <w:p w14:paraId="53C33E86" w14:textId="77777777" w:rsidR="00D47DC3" w:rsidRDefault="00D47DC3" w:rsidP="00CB19E8">
      <w:pPr>
        <w:spacing w:after="0"/>
        <w:jc w:val="center"/>
        <w:rPr>
          <w:rFonts w:ascii="Times New Roman" w:eastAsia="Calibri" w:hAnsi="Times New Roman"/>
          <w:b/>
          <w:bCs/>
          <w:sz w:val="20"/>
          <w:szCs w:val="20"/>
        </w:rPr>
        <w:sectPr w:rsidR="00D47DC3" w:rsidSect="00D47DC3">
          <w:headerReference w:type="even" r:id="rId32"/>
          <w:headerReference w:type="default" r:id="rId33"/>
          <w:footerReference w:type="default" r:id="rId34"/>
          <w:headerReference w:type="first" r:id="rId35"/>
          <w:type w:val="continuous"/>
          <w:pgSz w:w="12240" w:h="15840" w:code="1"/>
          <w:pgMar w:top="1800" w:right="1469" w:bottom="1699" w:left="1440" w:header="706" w:footer="706" w:gutter="0"/>
          <w:pgNumType w:start="1"/>
          <w:cols w:space="403"/>
          <w:docGrid w:linePitch="360"/>
        </w:sectPr>
      </w:pPr>
    </w:p>
    <w:p w14:paraId="1C4FC939"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Conclusion</w:t>
      </w:r>
    </w:p>
    <w:p w14:paraId="3BE7546B" w14:textId="3E0085D1" w:rsid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/GO composites were successfully prepared using ex-situ and hydrothermal method. This can be seen from </w:t>
      </w:r>
      <w:r w:rsidRPr="00676177">
        <w:rPr>
          <w:rFonts w:ascii="Times New Roman" w:eastAsia="Calibri" w:hAnsi="Times New Roman"/>
          <w:sz w:val="20"/>
          <w:szCs w:val="20"/>
        </w:rPr>
        <w:t>the analyses of the FTIR, UV-Vis and XRD which confirmed the functional group and incorporated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and GO composites. From the findings, all of the </w:t>
      </w:r>
      <w:r w:rsidRPr="00676177">
        <w:rPr>
          <w:rFonts w:ascii="Times New Roman" w:eastAsia="Calibri" w:hAnsi="Times New Roman"/>
          <w:sz w:val="20"/>
          <w:szCs w:val="20"/>
        </w:rPr>
        <w:lastRenderedPageBreak/>
        <w:t>composites prepared have the potential in degrading 2-chlorophenol under sunlight assisted degradation. 1%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was revealed as the best composite to degrade 2-chlorophenol with the percentage degradation of 51.41%. Further optimization and controlled experiments can be done to tackle the most prominent condition for 2-chlorophenol to degrade with sunlight as the main source of light to achieve highest degradation percentage within a short time.</w:t>
      </w:r>
    </w:p>
    <w:p w14:paraId="351A7F9D" w14:textId="77777777" w:rsidR="00A04B17" w:rsidRPr="00676177" w:rsidRDefault="00A04B17" w:rsidP="00CB19E8">
      <w:pPr>
        <w:spacing w:after="0"/>
        <w:jc w:val="both"/>
        <w:rPr>
          <w:rFonts w:ascii="Times New Roman" w:eastAsia="Calibri" w:hAnsi="Times New Roman"/>
          <w:sz w:val="20"/>
          <w:szCs w:val="20"/>
        </w:rPr>
      </w:pPr>
    </w:p>
    <w:p w14:paraId="349E5601" w14:textId="77777777" w:rsidR="00676177" w:rsidRPr="00676177" w:rsidRDefault="00676177" w:rsidP="00CB19E8">
      <w:pPr>
        <w:spacing w:after="0"/>
        <w:jc w:val="center"/>
        <w:rPr>
          <w:rFonts w:ascii="Times New Roman" w:eastAsia="Calibri" w:hAnsi="Times New Roman"/>
          <w:sz w:val="20"/>
          <w:szCs w:val="20"/>
        </w:rPr>
      </w:pPr>
      <w:r w:rsidRPr="00676177">
        <w:rPr>
          <w:rFonts w:ascii="Times New Roman" w:eastAsia="Calibri" w:hAnsi="Times New Roman"/>
          <w:b/>
          <w:bCs/>
          <w:sz w:val="20"/>
          <w:szCs w:val="20"/>
        </w:rPr>
        <w:t>Acknowledgement</w:t>
      </w:r>
    </w:p>
    <w:p w14:paraId="395622A1"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We acknowledge the financial support of the Ministry of Higher Education for Fundamental Research Grant (FRGS/1/2018/STG01/UITM/02/1). We also acknowledge School of Chemistry and Environment in the Faculty of Applied Science at UiTM Negeri Sembilan, Kuala Pilah Campus for the facilities that have been provided for the research.</w:t>
      </w:r>
    </w:p>
    <w:p w14:paraId="387B5228" w14:textId="77777777" w:rsidR="00676177" w:rsidRPr="00676177" w:rsidRDefault="00676177" w:rsidP="00CB19E8">
      <w:pPr>
        <w:spacing w:after="0"/>
        <w:jc w:val="both"/>
        <w:rPr>
          <w:rFonts w:ascii="Times New Roman" w:eastAsia="Calibri" w:hAnsi="Times New Roman"/>
          <w:sz w:val="20"/>
          <w:szCs w:val="20"/>
        </w:rPr>
      </w:pPr>
    </w:p>
    <w:p w14:paraId="6E0B8FEF"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References</w:t>
      </w:r>
    </w:p>
    <w:p w14:paraId="3F902A4D"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Li, K., Fang, X., Fu, Z., Yang, Y., Nabi, I., Feng, Y., Bacha, A. U. R. and Zhang, L. (2020). Boosting photocatalytic chlorophenols remediation with addition of sulfite and mechanism investigation by </w:t>
      </w:r>
      <w:r w:rsidRPr="00D059EB">
        <w:rPr>
          <w:rFonts w:ascii="Times New Roman" w:eastAsia="Calibri" w:hAnsi="Times New Roman"/>
          <w:i/>
          <w:iCs/>
          <w:noProof/>
          <w:sz w:val="20"/>
          <w:szCs w:val="20"/>
          <w:lang w:val="en-MY" w:bidi="ar-SA"/>
        </w:rPr>
        <w:t>in-situ</w:t>
      </w:r>
      <w:r w:rsidRPr="00D059EB">
        <w:rPr>
          <w:rFonts w:ascii="Times New Roman" w:eastAsia="Calibri" w:hAnsi="Times New Roman"/>
          <w:noProof/>
          <w:sz w:val="20"/>
          <w:szCs w:val="20"/>
          <w:lang w:val="en-MY" w:bidi="ar-SA"/>
        </w:rPr>
        <w:t xml:space="preserve"> DRIFTs. </w:t>
      </w:r>
      <w:r w:rsidRPr="00D059EB">
        <w:rPr>
          <w:rFonts w:ascii="Times New Roman" w:eastAsia="Calibri" w:hAnsi="Times New Roman"/>
          <w:i/>
          <w:iCs/>
          <w:noProof/>
          <w:sz w:val="20"/>
          <w:szCs w:val="20"/>
          <w:lang w:val="en-MY" w:bidi="ar-SA"/>
        </w:rPr>
        <w:t>Journal of Hazardous Materials</w:t>
      </w:r>
      <w:r w:rsidRPr="00D059EB">
        <w:rPr>
          <w:rFonts w:ascii="Times New Roman" w:eastAsia="Calibri" w:hAnsi="Times New Roman"/>
          <w:noProof/>
          <w:sz w:val="20"/>
          <w:szCs w:val="20"/>
          <w:lang w:val="en-MY" w:bidi="ar-SA"/>
        </w:rPr>
        <w:t xml:space="preserve">, 398: 123007. </w:t>
      </w:r>
    </w:p>
    <w:p w14:paraId="6832CF81"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Lei, M., Gao, Q., Zhou, K., Gogoi, P., Liu, J., Wang, J., Song, H., Wang, S. and Liu, X. (2021). Catalytic degradation and mineralization mechanism of 4-chlorophenol oxidized by phosphomolybdic acid/H</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w:t>
      </w:r>
      <w:r w:rsidRPr="00D059EB">
        <w:rPr>
          <w:rFonts w:ascii="Times New Roman" w:eastAsia="Calibri" w:hAnsi="Times New Roman"/>
          <w:i/>
          <w:iCs/>
          <w:noProof/>
          <w:sz w:val="20"/>
          <w:szCs w:val="20"/>
          <w:lang w:val="en-MY" w:bidi="ar-SA"/>
        </w:rPr>
        <w:t>Separation and Purification Technology</w:t>
      </w:r>
      <w:r w:rsidRPr="00D059EB">
        <w:rPr>
          <w:rFonts w:ascii="Times New Roman" w:eastAsia="Calibri" w:hAnsi="Times New Roman"/>
          <w:noProof/>
          <w:sz w:val="20"/>
          <w:szCs w:val="20"/>
          <w:lang w:val="en-MY" w:bidi="ar-SA"/>
        </w:rPr>
        <w:t xml:space="preserve">, 257: 117933. </w:t>
      </w:r>
    </w:p>
    <w:p w14:paraId="7D989E5C"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Garba, Z. N., Zhou, W., Lawan, I., Xiao, W., Zhang, M., Wang, L., Chen, L. and Yuan, Z. (2019). An overview of chlorophenols as contaminants and their removal from wastewater by adsorption: A review. </w:t>
      </w:r>
      <w:r w:rsidRPr="00D059EB">
        <w:rPr>
          <w:rFonts w:ascii="Times New Roman" w:eastAsia="Calibri" w:hAnsi="Times New Roman"/>
          <w:i/>
          <w:iCs/>
          <w:noProof/>
          <w:sz w:val="20"/>
          <w:szCs w:val="20"/>
          <w:lang w:val="en-MY" w:bidi="ar-SA"/>
        </w:rPr>
        <w:t>Journal of Environmental Management</w:t>
      </w:r>
      <w:r w:rsidRPr="00D059EB">
        <w:rPr>
          <w:rFonts w:ascii="Times New Roman" w:eastAsia="Calibri" w:hAnsi="Times New Roman"/>
          <w:noProof/>
          <w:sz w:val="20"/>
          <w:szCs w:val="20"/>
          <w:lang w:val="en-MY" w:bidi="ar-SA"/>
        </w:rPr>
        <w:t>, 241: 59-75.</w:t>
      </w:r>
    </w:p>
    <w:p w14:paraId="47FD0CEF"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Han, Z., Fei, J., Li, J., Deng, Y., Lv, M., Zhao, J., Wang, C. and Zhao, X. (2020). Enhanced dye-sensitized photocatalysis for water purification by an alveoli-like bilayer Janus membrane. </w:t>
      </w:r>
      <w:r w:rsidRPr="00D059EB">
        <w:rPr>
          <w:rFonts w:ascii="Times New Roman" w:eastAsia="Calibri" w:hAnsi="Times New Roman"/>
          <w:i/>
          <w:iCs/>
          <w:noProof/>
          <w:sz w:val="20"/>
          <w:szCs w:val="20"/>
          <w:lang w:val="en-MY" w:bidi="ar-SA"/>
        </w:rPr>
        <w:t>Chemical Engineering Journal</w:t>
      </w:r>
      <w:r w:rsidRPr="00D059EB">
        <w:rPr>
          <w:rFonts w:ascii="Times New Roman" w:eastAsia="Calibri" w:hAnsi="Times New Roman"/>
          <w:noProof/>
          <w:sz w:val="20"/>
          <w:szCs w:val="20"/>
          <w:lang w:val="en-MY" w:bidi="ar-SA"/>
        </w:rPr>
        <w:t>, 407: 127214.</w:t>
      </w:r>
    </w:p>
    <w:p w14:paraId="136AE299" w14:textId="5AC84EB8"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sz w:val="20"/>
          <w:szCs w:val="20"/>
          <w:lang w:val="en-MY" w:bidi="ar-SA"/>
        </w:rPr>
        <w:fldChar w:fldCharType="begin" w:fldLock="1"/>
      </w:r>
      <w:r w:rsidRPr="00D059EB">
        <w:rPr>
          <w:rFonts w:ascii="Times New Roman" w:eastAsia="Calibri" w:hAnsi="Times New Roman"/>
          <w:sz w:val="20"/>
          <w:szCs w:val="20"/>
          <w:lang w:val="en-MY" w:bidi="ar-SA"/>
        </w:rPr>
        <w:instrText xml:space="preserve">ADDIN Mendeley Bibliography CSL_BIBLIOGRAPHY </w:instrText>
      </w:r>
      <w:r w:rsidRPr="00D059EB">
        <w:rPr>
          <w:rFonts w:ascii="Times New Roman" w:eastAsia="Calibri" w:hAnsi="Times New Roman"/>
          <w:sz w:val="20"/>
          <w:szCs w:val="20"/>
          <w:lang w:val="en-MY" w:bidi="ar-SA"/>
        </w:rPr>
        <w:fldChar w:fldCharType="separate"/>
      </w:r>
      <w:r w:rsidRPr="00D059EB">
        <w:rPr>
          <w:rFonts w:ascii="Times New Roman" w:eastAsia="Calibri" w:hAnsi="Times New Roman"/>
          <w:noProof/>
          <w:sz w:val="20"/>
          <w:szCs w:val="20"/>
          <w:lang w:val="en-MY" w:bidi="ar-SA"/>
        </w:rPr>
        <w:t xml:space="preserve">Abada, B., Alivio, T. E. G., Shao, Y., O’Loughlin, T. E., Klemashevich, C., Banerjee, S., Jayaraman, A.,     and Chu, K. H. (2018). Photodegradation of </w:t>
      </w:r>
      <w:r w:rsidRPr="00D059EB">
        <w:rPr>
          <w:rFonts w:ascii="Times New Roman" w:eastAsia="Calibri" w:hAnsi="Times New Roman"/>
          <w:noProof/>
          <w:sz w:val="20"/>
          <w:szCs w:val="20"/>
          <w:lang w:val="en-MY" w:bidi="ar-SA"/>
        </w:rPr>
        <w:t xml:space="preserve">fluorotelomer carboxylic 5:3 acid and perfluorooctanoic acid using zinc oxide. </w:t>
      </w:r>
      <w:r w:rsidRPr="00D059EB">
        <w:rPr>
          <w:rFonts w:ascii="Times New Roman" w:eastAsia="Calibri" w:hAnsi="Times New Roman"/>
          <w:i/>
          <w:iCs/>
          <w:noProof/>
          <w:sz w:val="20"/>
          <w:szCs w:val="20"/>
          <w:lang w:val="en-MY" w:bidi="ar-SA"/>
        </w:rPr>
        <w:t>Environmental Pollution</w:t>
      </w:r>
      <w:r w:rsidRPr="00D059EB">
        <w:rPr>
          <w:rFonts w:ascii="Times New Roman" w:eastAsia="Calibri" w:hAnsi="Times New Roman"/>
          <w:noProof/>
          <w:sz w:val="20"/>
          <w:szCs w:val="20"/>
          <w:lang w:val="en-MY" w:bidi="ar-SA"/>
        </w:rPr>
        <w:t xml:space="preserve">, 243: 637-644. </w:t>
      </w:r>
    </w:p>
    <w:p w14:paraId="07A51308"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Elsalamony, R. A. and Mahmoud, S. A. (2017). Preparation of nanostructured ruthenium doped titania for the photocatalytic degradation of 2-chlorophenol under visible light. </w:t>
      </w:r>
      <w:r w:rsidRPr="00D059EB">
        <w:rPr>
          <w:rFonts w:ascii="Times New Roman" w:eastAsia="Calibri" w:hAnsi="Times New Roman"/>
          <w:i/>
          <w:iCs/>
          <w:noProof/>
          <w:sz w:val="20"/>
          <w:szCs w:val="20"/>
          <w:lang w:val="en-MY" w:bidi="ar-SA"/>
        </w:rPr>
        <w:t>Arabian Journal of Chemistry</w:t>
      </w:r>
      <w:r w:rsidRPr="00D059EB">
        <w:rPr>
          <w:rFonts w:ascii="Times New Roman" w:eastAsia="Calibri" w:hAnsi="Times New Roman"/>
          <w:noProof/>
          <w:sz w:val="20"/>
          <w:szCs w:val="20"/>
          <w:lang w:val="en-MY" w:bidi="ar-SA"/>
        </w:rPr>
        <w:t>, 10(2): 194-205.</w:t>
      </w:r>
    </w:p>
    <w:p w14:paraId="3A9C5649"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Soltani, T. and Lee, B. K. (2017). Enhanced formation of sulfate radicals by metal-doped BiFeO</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under visible light for improving photo-Fenton catalytic degradation of 2-chlorophenol. </w:t>
      </w:r>
      <w:r w:rsidRPr="00D059EB">
        <w:rPr>
          <w:rFonts w:ascii="Times New Roman" w:eastAsia="Calibri" w:hAnsi="Times New Roman"/>
          <w:i/>
          <w:iCs/>
          <w:noProof/>
          <w:sz w:val="20"/>
          <w:szCs w:val="20"/>
          <w:lang w:val="en-MY" w:bidi="ar-SA"/>
        </w:rPr>
        <w:t>Chemical Engineering Journal</w:t>
      </w:r>
      <w:r w:rsidRPr="00D059EB">
        <w:rPr>
          <w:rFonts w:ascii="Times New Roman" w:eastAsia="Calibri" w:hAnsi="Times New Roman"/>
          <w:noProof/>
          <w:sz w:val="20"/>
          <w:szCs w:val="20"/>
          <w:lang w:val="en-MY" w:bidi="ar-SA"/>
        </w:rPr>
        <w:t xml:space="preserve">, 313: 1258-1268. </w:t>
      </w:r>
    </w:p>
    <w:p w14:paraId="4F04091A"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Barakat, M. A., Kumar, R. and Eniola, J. O. (2021). Adsorption and photocatalytic scavenging of 2-chlorophenol using carbon nitride-titania nanotubes based nanocomposite: Experimental data, kinetics and mechanism. </w:t>
      </w:r>
      <w:r w:rsidRPr="00D059EB">
        <w:rPr>
          <w:rFonts w:ascii="Times New Roman" w:eastAsia="Calibri" w:hAnsi="Times New Roman"/>
          <w:i/>
          <w:iCs/>
          <w:noProof/>
          <w:sz w:val="20"/>
          <w:szCs w:val="20"/>
          <w:lang w:val="en-MY" w:bidi="ar-SA"/>
        </w:rPr>
        <w:t>Data in Brief</w:t>
      </w:r>
      <w:r w:rsidRPr="00D059EB">
        <w:rPr>
          <w:rFonts w:ascii="Times New Roman" w:eastAsia="Calibri" w:hAnsi="Times New Roman"/>
          <w:noProof/>
          <w:sz w:val="20"/>
          <w:szCs w:val="20"/>
          <w:lang w:val="en-MY" w:bidi="ar-SA"/>
        </w:rPr>
        <w:t xml:space="preserve">, 34: 106664. </w:t>
      </w:r>
    </w:p>
    <w:p w14:paraId="1CB043F1"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Anjum, M., Oves, M., Kumar, R. and Barakat, M. A. (2017). Fabrication of ZnO-ZnS@polyaniline nanohybrid for enhanced photocatalytic degradation of 2-chlorophenol and microbial contaminants in wastewater. </w:t>
      </w:r>
      <w:r w:rsidRPr="00D059EB">
        <w:rPr>
          <w:rFonts w:ascii="Times New Roman" w:eastAsia="Calibri" w:hAnsi="Times New Roman"/>
          <w:i/>
          <w:iCs/>
          <w:noProof/>
          <w:sz w:val="20"/>
          <w:szCs w:val="20"/>
          <w:lang w:val="en-MY" w:bidi="ar-SA"/>
        </w:rPr>
        <w:t>International Biodeterioration and Biodegradation</w:t>
      </w:r>
      <w:r w:rsidRPr="00D059EB">
        <w:rPr>
          <w:rFonts w:ascii="Times New Roman" w:eastAsia="Calibri" w:hAnsi="Times New Roman"/>
          <w:noProof/>
          <w:sz w:val="20"/>
          <w:szCs w:val="20"/>
          <w:lang w:val="en-MY" w:bidi="ar-SA"/>
        </w:rPr>
        <w:t xml:space="preserve">, 119: 66-77. </w:t>
      </w:r>
    </w:p>
    <w:p w14:paraId="50D1ED22"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Onkani, S. P., Diagboya, P. N., Mtunzi, F. M., Klink, M. J., Olu-Owolabi, B. I. and Pakade, V. (2020). Comparative study of the photocatalytic degradation of 2–chlorophenol under UV irradiation using pristine and Ag-doped species of TiO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ZnO and ZnS photocatalysts. </w:t>
      </w:r>
      <w:r w:rsidRPr="00D059EB">
        <w:rPr>
          <w:rFonts w:ascii="Times New Roman" w:eastAsia="Calibri" w:hAnsi="Times New Roman"/>
          <w:i/>
          <w:iCs/>
          <w:noProof/>
          <w:sz w:val="20"/>
          <w:szCs w:val="20"/>
          <w:lang w:val="en-MY" w:bidi="ar-SA"/>
        </w:rPr>
        <w:t>Journal of Environmental Management</w:t>
      </w:r>
      <w:r w:rsidRPr="00D059EB">
        <w:rPr>
          <w:rFonts w:ascii="Times New Roman" w:eastAsia="Calibri" w:hAnsi="Times New Roman"/>
          <w:noProof/>
          <w:sz w:val="20"/>
          <w:szCs w:val="20"/>
          <w:lang w:val="en-MY" w:bidi="ar-SA"/>
        </w:rPr>
        <w:t xml:space="preserve">, 260: 110145. </w:t>
      </w:r>
    </w:p>
    <w:p w14:paraId="1EE69A86"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Rueda-Marquez, J. J., Levchuk, I., Fernández Ibañez, P. and Sillanpää, M. (2020). A critical review on application of photocatalysis for toxicity reduction of real wastewaters. </w:t>
      </w:r>
      <w:r w:rsidRPr="00D059EB">
        <w:rPr>
          <w:rFonts w:ascii="Times New Roman" w:eastAsia="Calibri" w:hAnsi="Times New Roman"/>
          <w:i/>
          <w:iCs/>
          <w:noProof/>
          <w:sz w:val="20"/>
          <w:szCs w:val="20"/>
          <w:lang w:val="en-MY" w:bidi="ar-SA"/>
        </w:rPr>
        <w:t>Journal of Cleaner Production</w:t>
      </w:r>
      <w:r w:rsidRPr="00D059EB">
        <w:rPr>
          <w:rFonts w:ascii="Times New Roman" w:eastAsia="Calibri" w:hAnsi="Times New Roman"/>
          <w:noProof/>
          <w:sz w:val="20"/>
          <w:szCs w:val="20"/>
          <w:lang w:val="en-MY" w:bidi="ar-SA"/>
        </w:rPr>
        <w:t>, 258: 120694</w:t>
      </w:r>
    </w:p>
    <w:p w14:paraId="7383B3DE" w14:textId="4242417E"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Prasad, C., Liu, Q., Tang, H., Yuvaraja, G., Long, J., Rammohan, A. and Zyryanov, G. V. (2020). An overview of graphene oxide supported semiconductors based photocatalysts: Properties, synthesis and photocatalytic applications. </w:t>
      </w:r>
      <w:r w:rsidRPr="00D059EB">
        <w:rPr>
          <w:rFonts w:ascii="Times New Roman" w:eastAsia="Calibri" w:hAnsi="Times New Roman"/>
          <w:i/>
          <w:iCs/>
          <w:noProof/>
          <w:sz w:val="20"/>
          <w:szCs w:val="20"/>
          <w:lang w:val="en-MY" w:bidi="ar-SA"/>
        </w:rPr>
        <w:t>Journal of Molecular Liquids</w:t>
      </w:r>
      <w:r w:rsidRPr="00D059EB">
        <w:rPr>
          <w:rFonts w:ascii="Times New Roman" w:eastAsia="Calibri" w:hAnsi="Times New Roman"/>
          <w:noProof/>
          <w:sz w:val="20"/>
          <w:szCs w:val="20"/>
          <w:lang w:val="en-MY" w:bidi="ar-SA"/>
        </w:rPr>
        <w:t>, 297: 111826.</w:t>
      </w:r>
    </w:p>
    <w:p w14:paraId="02D75745" w14:textId="4BC054F0" w:rsidR="007D0B92" w:rsidRDefault="007D0B92" w:rsidP="007D0B92">
      <w:pPr>
        <w:spacing w:after="0"/>
        <w:jc w:val="both"/>
        <w:rPr>
          <w:rFonts w:ascii="Times New Roman" w:eastAsia="Calibri" w:hAnsi="Times New Roman"/>
          <w:noProof/>
          <w:sz w:val="20"/>
          <w:szCs w:val="20"/>
          <w:lang w:val="en-MY" w:bidi="ar-SA"/>
        </w:rPr>
      </w:pPr>
    </w:p>
    <w:p w14:paraId="2C875328" w14:textId="5E8DE272" w:rsidR="007D0B92" w:rsidRDefault="007D0B92" w:rsidP="007D0B92">
      <w:pPr>
        <w:spacing w:after="0"/>
        <w:jc w:val="both"/>
        <w:rPr>
          <w:rFonts w:ascii="Times New Roman" w:eastAsia="Calibri" w:hAnsi="Times New Roman"/>
          <w:noProof/>
          <w:sz w:val="20"/>
          <w:szCs w:val="20"/>
          <w:lang w:val="en-MY" w:bidi="ar-SA"/>
        </w:rPr>
      </w:pPr>
    </w:p>
    <w:p w14:paraId="0435231B" w14:textId="77777777" w:rsidR="007D0B92" w:rsidRPr="007D0B92" w:rsidRDefault="007D0B92" w:rsidP="007D0B92">
      <w:pPr>
        <w:spacing w:after="0"/>
        <w:jc w:val="both"/>
        <w:rPr>
          <w:rFonts w:ascii="Times New Roman" w:eastAsia="Calibri" w:hAnsi="Times New Roman"/>
          <w:noProof/>
          <w:sz w:val="20"/>
          <w:szCs w:val="20"/>
          <w:lang w:val="en-MY" w:bidi="ar-SA"/>
        </w:rPr>
      </w:pPr>
    </w:p>
    <w:p w14:paraId="2D6B6CC5"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lastRenderedPageBreak/>
        <w:t>Chen, Y., Zhai, B. and Liang, Y. (2019). Enhanced degradation performance of organic dyes removal by semiconductor/MOF/graphene</w:t>
      </w:r>
      <w:r w:rsidR="00A31B88" w:rsidRPr="00D059EB">
        <w:rPr>
          <w:rFonts w:ascii="Times New Roman" w:eastAsia="Calibri" w:hAnsi="Times New Roman"/>
          <w:noProof/>
          <w:sz w:val="20"/>
          <w:szCs w:val="20"/>
          <w:lang w:val="en-MY" w:bidi="ar-SA"/>
        </w:rPr>
        <w:t xml:space="preserve"> </w:t>
      </w:r>
      <w:r w:rsidRPr="00D059EB">
        <w:rPr>
          <w:rFonts w:ascii="Times New Roman" w:eastAsia="Calibri" w:hAnsi="Times New Roman"/>
          <w:noProof/>
          <w:sz w:val="20"/>
          <w:szCs w:val="20"/>
          <w:lang w:val="en-MY" w:bidi="ar-SA"/>
        </w:rPr>
        <w:t xml:space="preserve">oxide composites under visible light irradiation. </w:t>
      </w:r>
      <w:r w:rsidRPr="00D059EB">
        <w:rPr>
          <w:rFonts w:ascii="Times New Roman" w:eastAsia="Calibri" w:hAnsi="Times New Roman"/>
          <w:i/>
          <w:iCs/>
          <w:noProof/>
          <w:sz w:val="20"/>
          <w:szCs w:val="20"/>
          <w:lang w:val="en-MY" w:bidi="ar-SA"/>
        </w:rPr>
        <w:t>Diamond and Related Materials</w:t>
      </w:r>
      <w:r w:rsidRPr="00D059EB">
        <w:rPr>
          <w:rFonts w:ascii="Times New Roman" w:eastAsia="Calibri" w:hAnsi="Times New Roman"/>
          <w:noProof/>
          <w:sz w:val="20"/>
          <w:szCs w:val="20"/>
          <w:lang w:val="en-MY" w:bidi="ar-SA"/>
        </w:rPr>
        <w:t xml:space="preserve">, 98: 107508. </w:t>
      </w:r>
    </w:p>
    <w:p w14:paraId="285B189F"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Kamalam, M. B. R., Inbanathan, S. S. R. and Sethuraman, K. (2018). Enhanced photo catalytic activity of graphene oxide /MoO</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nanocomposites in the degradation of Victoria Blue Dye under visible light irradiation. </w:t>
      </w:r>
      <w:r w:rsidRPr="00D059EB">
        <w:rPr>
          <w:rFonts w:ascii="Times New Roman" w:eastAsia="Calibri" w:hAnsi="Times New Roman"/>
          <w:i/>
          <w:iCs/>
          <w:noProof/>
          <w:sz w:val="20"/>
          <w:szCs w:val="20"/>
          <w:lang w:val="en-MY" w:bidi="ar-SA"/>
        </w:rPr>
        <w:t>Applied Surface Science</w:t>
      </w:r>
      <w:r w:rsidRPr="00D059EB">
        <w:rPr>
          <w:rFonts w:ascii="Times New Roman" w:eastAsia="Calibri" w:hAnsi="Times New Roman"/>
          <w:noProof/>
          <w:sz w:val="20"/>
          <w:szCs w:val="20"/>
          <w:lang w:val="en-MY" w:bidi="ar-SA"/>
        </w:rPr>
        <w:t xml:space="preserve">, 449: 685-696. </w:t>
      </w:r>
    </w:p>
    <w:p w14:paraId="0920FE72"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Cao, Y., Wang, P., Fan, J. and Yu, H. (2021). Covalently functionalized graphene by thiourea for enhancing H</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-evolution performance of TiO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photocatalyst. </w:t>
      </w:r>
      <w:r w:rsidRPr="00D059EB">
        <w:rPr>
          <w:rFonts w:ascii="Times New Roman" w:eastAsia="Calibri" w:hAnsi="Times New Roman"/>
          <w:i/>
          <w:iCs/>
          <w:noProof/>
          <w:sz w:val="20"/>
          <w:szCs w:val="20"/>
          <w:lang w:val="en-MY" w:bidi="ar-SA"/>
        </w:rPr>
        <w:t>Ceramics International</w:t>
      </w:r>
      <w:r w:rsidRPr="00D059EB">
        <w:rPr>
          <w:rFonts w:ascii="Times New Roman" w:eastAsia="Calibri" w:hAnsi="Times New Roman"/>
          <w:noProof/>
          <w:sz w:val="20"/>
          <w:szCs w:val="20"/>
          <w:lang w:val="en-MY" w:bidi="ar-SA"/>
        </w:rPr>
        <w:t>, 47(1): 654-661.</w:t>
      </w:r>
    </w:p>
    <w:p w14:paraId="00A05D7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El-Fawal, E. M., Younis, S. A. and Zaki, T. (2020). Designing AgFeO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-graphene/Cu</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(BTC)</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MOF heterojunction photocatalysts for enhanced treatment of pharmaceutical wastewater under sunlight. </w:t>
      </w:r>
      <w:r w:rsidRPr="00D059EB">
        <w:rPr>
          <w:rFonts w:ascii="Times New Roman" w:eastAsia="Calibri" w:hAnsi="Times New Roman"/>
          <w:i/>
          <w:iCs/>
          <w:noProof/>
          <w:sz w:val="20"/>
          <w:szCs w:val="20"/>
          <w:lang w:val="en-MY" w:bidi="ar-SA"/>
        </w:rPr>
        <w:t>Journal of Photochemistry and Photobiology A: Chemistry</w:t>
      </w:r>
      <w:r w:rsidRPr="00D059EB">
        <w:rPr>
          <w:rFonts w:ascii="Times New Roman" w:eastAsia="Calibri" w:hAnsi="Times New Roman"/>
          <w:noProof/>
          <w:sz w:val="20"/>
          <w:szCs w:val="20"/>
          <w:lang w:val="en-MY" w:bidi="ar-SA"/>
        </w:rPr>
        <w:t xml:space="preserve">, 401: 112746. </w:t>
      </w:r>
    </w:p>
    <w:p w14:paraId="13EEE3A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Long, D., Peng, J., Liu, H., Feng, Z., Chen, L., Chen, X. and Lu, M. (2020). Graphene oxide discarded solution for high surface area photocatalyst. </w:t>
      </w:r>
      <w:r w:rsidRPr="00306BD8">
        <w:rPr>
          <w:rFonts w:ascii="Times New Roman" w:eastAsia="Calibri" w:hAnsi="Times New Roman"/>
          <w:i/>
          <w:iCs/>
          <w:noProof/>
          <w:sz w:val="20"/>
          <w:szCs w:val="20"/>
          <w:lang w:val="en-MY" w:bidi="ar-SA"/>
        </w:rPr>
        <w:t>Solar Energy Materials and Solar Cells</w:t>
      </w:r>
      <w:r w:rsidRPr="00306BD8">
        <w:rPr>
          <w:rFonts w:ascii="Times New Roman" w:eastAsia="Calibri" w:hAnsi="Times New Roman"/>
          <w:noProof/>
          <w:sz w:val="20"/>
          <w:szCs w:val="20"/>
          <w:lang w:val="en-MY" w:bidi="ar-SA"/>
        </w:rPr>
        <w:t xml:space="preserve">, 209: 110446. </w:t>
      </w:r>
    </w:p>
    <w:p w14:paraId="0B97D919"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Asaithambi, S., Sakthivel, P., Karuppaiah, M., Balamurugan, K., Yuvakkumar, R., Thambidurai, M. and Ravi, G. (2021). Synthesis and characterization of various transition metals doped 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composites for supercapacitor and photocatalytic applications. </w:t>
      </w:r>
      <w:r w:rsidRPr="00306BD8">
        <w:rPr>
          <w:rFonts w:ascii="Times New Roman" w:eastAsia="Calibri" w:hAnsi="Times New Roman"/>
          <w:i/>
          <w:iCs/>
          <w:noProof/>
          <w:sz w:val="20"/>
          <w:szCs w:val="20"/>
          <w:lang w:val="en-MY" w:bidi="ar-SA"/>
        </w:rPr>
        <w:t>Journal of Alloys and Compounds</w:t>
      </w:r>
      <w:r w:rsidRPr="00306BD8">
        <w:rPr>
          <w:rFonts w:ascii="Times New Roman" w:eastAsia="Calibri" w:hAnsi="Times New Roman"/>
          <w:noProof/>
          <w:sz w:val="20"/>
          <w:szCs w:val="20"/>
          <w:lang w:val="en-MY" w:bidi="ar-SA"/>
        </w:rPr>
        <w:t xml:space="preserve">, 853: 157060. </w:t>
      </w:r>
    </w:p>
    <w:p w14:paraId="4884A9E9"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Yu-Cheng, C. and Yu-Wen, L. (2020).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core-shell sub-microspheres for high efficient visible-light photodegradation and photocatalytic hydrogen production. </w:t>
      </w:r>
      <w:r w:rsidRPr="00306BD8">
        <w:rPr>
          <w:rFonts w:ascii="Times New Roman" w:eastAsia="Calibri" w:hAnsi="Times New Roman"/>
          <w:i/>
          <w:iCs/>
          <w:noProof/>
          <w:sz w:val="20"/>
          <w:szCs w:val="20"/>
          <w:lang w:val="en-MY" w:bidi="ar-SA"/>
        </w:rPr>
        <w:t>Materials Research Bulletin</w:t>
      </w:r>
      <w:r w:rsidRPr="00306BD8">
        <w:rPr>
          <w:rFonts w:ascii="Times New Roman" w:eastAsia="Calibri" w:hAnsi="Times New Roman"/>
          <w:noProof/>
          <w:sz w:val="20"/>
          <w:szCs w:val="20"/>
          <w:lang w:val="en-MY" w:bidi="ar-SA"/>
        </w:rPr>
        <w:t>, 129: 110902.</w:t>
      </w:r>
    </w:p>
    <w:p w14:paraId="4B9B271D"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Zhao, Y., Zhang, X., Wang, C., Zhao, Y., Zhou, H., Li, J. and Jin, H. B. (2017). The synthesis of hierarchical nanostructured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/Graphene composites with enhanced visible-light photo-degradation property. </w:t>
      </w:r>
      <w:r w:rsidRPr="00306BD8">
        <w:rPr>
          <w:rFonts w:ascii="Times New Roman" w:eastAsia="Calibri" w:hAnsi="Times New Roman"/>
          <w:i/>
          <w:iCs/>
          <w:noProof/>
          <w:sz w:val="20"/>
          <w:szCs w:val="20"/>
          <w:lang w:val="en-MY" w:bidi="ar-SA"/>
        </w:rPr>
        <w:t>Applied Surface Science</w:t>
      </w:r>
      <w:r w:rsidRPr="00306BD8">
        <w:rPr>
          <w:rFonts w:ascii="Times New Roman" w:eastAsia="Calibri" w:hAnsi="Times New Roman"/>
          <w:noProof/>
          <w:sz w:val="20"/>
          <w:szCs w:val="20"/>
          <w:lang w:val="en-MY" w:bidi="ar-SA"/>
        </w:rPr>
        <w:t xml:space="preserve">, 412: 207-213. </w:t>
      </w:r>
    </w:p>
    <w:p w14:paraId="48A6CD6F"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Rani, A., Singh, K., Patel, A. S., Chakraborti, A., Kumar, S., Ghosh, K. and Sharma, P. (2020). Visible light driven photocatalysis of organic dyes using 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decorated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nanocomposites. </w:t>
      </w:r>
      <w:r w:rsidRPr="00306BD8">
        <w:rPr>
          <w:rFonts w:ascii="Times New Roman" w:eastAsia="Calibri" w:hAnsi="Times New Roman"/>
          <w:i/>
          <w:iCs/>
          <w:noProof/>
          <w:sz w:val="20"/>
          <w:szCs w:val="20"/>
          <w:lang w:val="en-MY" w:bidi="ar-SA"/>
        </w:rPr>
        <w:t>Chemical Physics Letters</w:t>
      </w:r>
      <w:r w:rsidRPr="00306BD8">
        <w:rPr>
          <w:rFonts w:ascii="Times New Roman" w:eastAsia="Calibri" w:hAnsi="Times New Roman"/>
          <w:noProof/>
          <w:sz w:val="20"/>
          <w:szCs w:val="20"/>
          <w:lang w:val="en-MY" w:bidi="ar-SA"/>
        </w:rPr>
        <w:t>, 738: 136874.</w:t>
      </w:r>
    </w:p>
    <w:p w14:paraId="0F4B3E9B"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Zaaba, N. I., Foo, K. L., Hashim, U., Tan, S. J., Liu, W. W. and Voon, C. H. (2017). Synthesis of graphene oxide using modified hummers method: solvent influence. </w:t>
      </w:r>
      <w:r w:rsidRPr="00306BD8">
        <w:rPr>
          <w:rFonts w:ascii="Times New Roman" w:eastAsia="Calibri" w:hAnsi="Times New Roman"/>
          <w:i/>
          <w:iCs/>
          <w:noProof/>
          <w:sz w:val="20"/>
          <w:szCs w:val="20"/>
          <w:lang w:val="en-MY" w:bidi="ar-SA"/>
        </w:rPr>
        <w:t>Procedia Engineering</w:t>
      </w:r>
      <w:r w:rsidRPr="00306BD8">
        <w:rPr>
          <w:rFonts w:ascii="Times New Roman" w:eastAsia="Calibri" w:hAnsi="Times New Roman"/>
          <w:noProof/>
          <w:sz w:val="20"/>
          <w:szCs w:val="20"/>
          <w:lang w:val="en-MY" w:bidi="ar-SA"/>
        </w:rPr>
        <w:t xml:space="preserve">, 184: 469-477. </w:t>
      </w:r>
    </w:p>
    <w:p w14:paraId="549CFE3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Gopalakrishnan, K., Sultan, S., Govindaraj, A. and Rao, C. N. R. (2015). Supercapacitors based on composites of PANI with nanosheets of nitrogen-doped RGO, BC</w:t>
      </w:r>
      <w:r w:rsidRPr="00306BD8">
        <w:rPr>
          <w:rFonts w:ascii="Times New Roman" w:eastAsia="Calibri" w:hAnsi="Times New Roman"/>
          <w:noProof/>
          <w:sz w:val="20"/>
          <w:szCs w:val="20"/>
          <w:vertAlign w:val="subscript"/>
          <w:lang w:val="en-MY" w:bidi="ar-SA"/>
        </w:rPr>
        <w:t>1.5</w:t>
      </w:r>
      <w:r w:rsidRPr="00306BD8">
        <w:rPr>
          <w:rFonts w:ascii="Times New Roman" w:eastAsia="Calibri" w:hAnsi="Times New Roman"/>
          <w:noProof/>
          <w:sz w:val="20"/>
          <w:szCs w:val="20"/>
          <w:lang w:val="en-MY" w:bidi="ar-SA"/>
        </w:rPr>
        <w:t>N,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and WS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w:t>
      </w:r>
      <w:r w:rsidRPr="00306BD8">
        <w:rPr>
          <w:rFonts w:ascii="Times New Roman" w:eastAsia="Calibri" w:hAnsi="Times New Roman"/>
          <w:i/>
          <w:iCs/>
          <w:noProof/>
          <w:sz w:val="20"/>
          <w:szCs w:val="20"/>
          <w:lang w:val="en-MY" w:bidi="ar-SA"/>
        </w:rPr>
        <w:t>Nano Energy</w:t>
      </w:r>
      <w:r w:rsidRPr="00306BD8">
        <w:rPr>
          <w:rFonts w:ascii="Times New Roman" w:eastAsia="Calibri" w:hAnsi="Times New Roman"/>
          <w:noProof/>
          <w:sz w:val="20"/>
          <w:szCs w:val="20"/>
          <w:lang w:val="en-MY" w:bidi="ar-SA"/>
        </w:rPr>
        <w:t>, 12: 52-58.</w:t>
      </w:r>
    </w:p>
    <w:p w14:paraId="32ABC232"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Song, Y., Cao, K., Li, W., Ma, C., Qiao, X., Li, H. and Hong, C. (2020). Optimal film thickness of rGO/MoS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 polyaniline nanosheets of 3D arrays for carcinoembryonic antigen high sensitivity detection. </w:t>
      </w:r>
      <w:r w:rsidRPr="00306BD8">
        <w:rPr>
          <w:rFonts w:ascii="Times New Roman" w:eastAsia="Calibri" w:hAnsi="Times New Roman"/>
          <w:i/>
          <w:iCs/>
          <w:noProof/>
          <w:sz w:val="20"/>
          <w:szCs w:val="20"/>
          <w:lang w:val="en-MY" w:bidi="ar-SA"/>
        </w:rPr>
        <w:t>Microchemical Journal</w:t>
      </w:r>
      <w:r w:rsidRPr="00306BD8">
        <w:rPr>
          <w:rFonts w:ascii="Times New Roman" w:eastAsia="Calibri" w:hAnsi="Times New Roman"/>
          <w:noProof/>
          <w:sz w:val="20"/>
          <w:szCs w:val="20"/>
          <w:lang w:val="en-MY" w:bidi="ar-SA"/>
        </w:rPr>
        <w:t>, 155: 104694.</w:t>
      </w:r>
    </w:p>
    <w:p w14:paraId="78432112"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Hanafi, N. N., Sambasevam, K. P., Arifutzzaman, A., Rahman, S. and Baharin, S. N. A. (2020). Solar-driven degradation of 2-chlorophenol using PANI/GO as photocatalyst. </w:t>
      </w:r>
      <w:r w:rsidRPr="00306BD8">
        <w:rPr>
          <w:rFonts w:ascii="Times New Roman" w:eastAsia="Calibri" w:hAnsi="Times New Roman"/>
          <w:i/>
          <w:iCs/>
          <w:noProof/>
          <w:sz w:val="20"/>
          <w:szCs w:val="20"/>
          <w:lang w:val="en-MY" w:bidi="ar-SA"/>
        </w:rPr>
        <w:t>Orbital</w:t>
      </w:r>
      <w:r w:rsidRPr="00306BD8">
        <w:rPr>
          <w:rFonts w:ascii="Times New Roman" w:eastAsia="Calibri" w:hAnsi="Times New Roman"/>
          <w:noProof/>
          <w:sz w:val="20"/>
          <w:szCs w:val="20"/>
          <w:lang w:val="en-MY" w:bidi="ar-SA"/>
        </w:rPr>
        <w:t xml:space="preserve">, 12(4): 205-212. </w:t>
      </w:r>
    </w:p>
    <w:p w14:paraId="7C7C8E14" w14:textId="3983C253"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Pawson, S. (n.d.). Weatherspark.com. Average Weather in April in Kuala Pilah, Malaysia - Weather Spark. https://weatherspark.com/m/</w:t>
      </w:r>
      <w:r w:rsidR="00751F44">
        <w:rPr>
          <w:rFonts w:ascii="Times New Roman" w:eastAsia="Calibri" w:hAnsi="Times New Roman"/>
          <w:noProof/>
          <w:sz w:val="20"/>
          <w:szCs w:val="20"/>
          <w:lang w:val="en-MY" w:bidi="ar-SA"/>
        </w:rPr>
        <w:t xml:space="preserve"> </w:t>
      </w:r>
      <w:r w:rsidRPr="00306BD8">
        <w:rPr>
          <w:rFonts w:ascii="Times New Roman" w:eastAsia="Calibri" w:hAnsi="Times New Roman"/>
          <w:noProof/>
          <w:sz w:val="20"/>
          <w:szCs w:val="20"/>
          <w:lang w:val="en-MY" w:bidi="ar-SA"/>
        </w:rPr>
        <w:t>114181/4/Average-Weather-in-April-in-Kuala-Pilah-Malaysia.</w:t>
      </w:r>
    </w:p>
    <w:p w14:paraId="7E5C8F6C" w14:textId="77777777" w:rsidR="00045334" w:rsidRDefault="00676177" w:rsidP="00045334">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Phung, H. N. T., Truong, N. D., Duong, P. A. and Tuan Hung, L. V. (2018). Influence of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deposition time on the photocatalytic activity of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V, N co-doped TiO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heterostructure thin film in the visible light region. </w:t>
      </w:r>
      <w:r w:rsidRPr="00306BD8">
        <w:rPr>
          <w:rFonts w:ascii="Times New Roman" w:eastAsia="Calibri" w:hAnsi="Times New Roman"/>
          <w:i/>
          <w:iCs/>
          <w:noProof/>
          <w:sz w:val="20"/>
          <w:szCs w:val="20"/>
          <w:lang w:val="en-MY" w:bidi="ar-SA"/>
        </w:rPr>
        <w:t>Current Applied Physics</w:t>
      </w:r>
      <w:r w:rsidRPr="00306BD8">
        <w:rPr>
          <w:rFonts w:ascii="Times New Roman" w:eastAsia="Calibri" w:hAnsi="Times New Roman"/>
          <w:noProof/>
          <w:sz w:val="20"/>
          <w:szCs w:val="20"/>
          <w:lang w:val="en-MY" w:bidi="ar-SA"/>
        </w:rPr>
        <w:t>, 18(6): 737-743.</w:t>
      </w:r>
    </w:p>
    <w:p w14:paraId="6D104EAA" w14:textId="6EEF3A51" w:rsidR="00282851" w:rsidRPr="00282851" w:rsidRDefault="00676177" w:rsidP="007F1D43">
      <w:pPr>
        <w:pStyle w:val="ListParagraph"/>
        <w:numPr>
          <w:ilvl w:val="0"/>
          <w:numId w:val="8"/>
        </w:numPr>
        <w:spacing w:after="0"/>
        <w:ind w:left="360"/>
        <w:contextualSpacing w:val="0"/>
        <w:jc w:val="both"/>
        <w:rPr>
          <w:rFonts w:ascii="Times New Roman" w:eastAsia="Calibri" w:hAnsi="Times New Roman"/>
          <w:noProof/>
          <w:sz w:val="20"/>
          <w:szCs w:val="20"/>
          <w:lang w:val="en-MY" w:bidi="ar-SA"/>
        </w:rPr>
        <w:sectPr w:rsidR="00282851" w:rsidRPr="00282851" w:rsidSect="00D47DC3">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num="2" w:space="403"/>
          <w:docGrid w:linePitch="360"/>
        </w:sectPr>
      </w:pPr>
      <w:r w:rsidRPr="00045334">
        <w:rPr>
          <w:rFonts w:ascii="Times New Roman" w:eastAsia="Calibri" w:hAnsi="Times New Roman"/>
          <w:noProof/>
          <w:sz w:val="20"/>
          <w:szCs w:val="20"/>
          <w:lang w:val="en-MY" w:bidi="ar-SA"/>
        </w:rPr>
        <w:t>Chao, J., Yang, L., Zhang, H., Liu, J., Hu, R. and Zhu, M. (2020). Engineering layer structure of MoS</w:t>
      </w:r>
      <w:r w:rsidRPr="00045334">
        <w:rPr>
          <w:rFonts w:ascii="Times New Roman" w:eastAsia="Calibri" w:hAnsi="Times New Roman"/>
          <w:noProof/>
          <w:sz w:val="20"/>
          <w:szCs w:val="20"/>
          <w:vertAlign w:val="subscript"/>
          <w:lang w:val="en-MY" w:bidi="ar-SA"/>
        </w:rPr>
        <w:t>2</w:t>
      </w:r>
      <w:r w:rsidRPr="00045334">
        <w:rPr>
          <w:rFonts w:ascii="Times New Roman" w:eastAsia="Calibri" w:hAnsi="Times New Roman"/>
          <w:noProof/>
          <w:sz w:val="20"/>
          <w:szCs w:val="20"/>
          <w:lang w:val="en-MY" w:bidi="ar-SA"/>
        </w:rPr>
        <w:t xml:space="preserve">/polyaniline/graphene nanocomposites to achieve fast and reversible lithium storage for high energy density aqueous lithium-ion capacitors. </w:t>
      </w:r>
      <w:r w:rsidRPr="00045334">
        <w:rPr>
          <w:rFonts w:ascii="Times New Roman" w:eastAsia="Calibri" w:hAnsi="Times New Roman"/>
          <w:i/>
          <w:iCs/>
          <w:noProof/>
          <w:sz w:val="20"/>
          <w:szCs w:val="20"/>
          <w:lang w:val="en-MY" w:bidi="ar-SA"/>
        </w:rPr>
        <w:t>Journal of Power Sources</w:t>
      </w:r>
      <w:r w:rsidRPr="00045334">
        <w:rPr>
          <w:rFonts w:ascii="Times New Roman" w:eastAsia="Calibri" w:hAnsi="Times New Roman"/>
          <w:noProof/>
          <w:sz w:val="20"/>
          <w:szCs w:val="20"/>
          <w:lang w:val="en-MY" w:bidi="ar-SA"/>
        </w:rPr>
        <w:t>, 450: 227680.</w:t>
      </w:r>
      <w:r w:rsidR="00045334" w:rsidRPr="00045334">
        <w:rPr>
          <w:rFonts w:ascii="Times New Roman" w:eastAsia="Calibri" w:hAnsi="Times New Roman"/>
          <w:noProof/>
          <w:sz w:val="20"/>
          <w:szCs w:val="20"/>
          <w:lang w:val="fr-FR" w:bidi="ar-SA"/>
        </w:rPr>
        <w:t xml:space="preserve"> </w:t>
      </w:r>
    </w:p>
    <w:p w14:paraId="24A00AB5" w14:textId="404D121E" w:rsidR="00045334" w:rsidRPr="00282851" w:rsidRDefault="0036352B" w:rsidP="00282851">
      <w:pPr>
        <w:spacing w:after="0"/>
        <w:ind w:left="360" w:hanging="360"/>
        <w:jc w:val="both"/>
        <w:rPr>
          <w:rFonts w:ascii="Times New Roman" w:eastAsia="Calibri" w:hAnsi="Times New Roman"/>
          <w:noProof/>
          <w:sz w:val="20"/>
          <w:szCs w:val="20"/>
          <w:lang w:val="en-MY" w:bidi="ar-SA"/>
        </w:rPr>
      </w:pPr>
      <w:r>
        <w:rPr>
          <w:rFonts w:ascii="Times New Roman" w:eastAsia="Calibri" w:hAnsi="Times New Roman"/>
          <w:noProof/>
          <w:sz w:val="20"/>
          <w:szCs w:val="20"/>
          <w:lang w:val="en-MY" w:bidi="ar-SA"/>
        </w:rPr>
        <w:lastRenderedPageBreak/>
        <w:t>31</w:t>
      </w:r>
      <w:r w:rsidR="00282851">
        <w:rPr>
          <w:rFonts w:ascii="Times New Roman" w:eastAsia="Calibri" w:hAnsi="Times New Roman"/>
          <w:noProof/>
          <w:sz w:val="20"/>
          <w:szCs w:val="20"/>
          <w:lang w:val="en-MY" w:bidi="ar-SA"/>
        </w:rPr>
        <w:t>.</w:t>
      </w:r>
      <w:r w:rsidR="00282851">
        <w:rPr>
          <w:rFonts w:ascii="Times New Roman" w:eastAsia="Calibri" w:hAnsi="Times New Roman"/>
          <w:noProof/>
          <w:sz w:val="20"/>
          <w:szCs w:val="20"/>
          <w:lang w:val="en-MY" w:bidi="ar-SA"/>
        </w:rPr>
        <w:tab/>
      </w:r>
      <w:r w:rsidR="00045334" w:rsidRPr="00282851">
        <w:rPr>
          <w:rFonts w:ascii="Times New Roman" w:eastAsia="Calibri" w:hAnsi="Times New Roman"/>
          <w:noProof/>
          <w:sz w:val="20"/>
          <w:szCs w:val="20"/>
          <w:lang w:val="fr-FR" w:bidi="ar-SA"/>
        </w:rPr>
        <w:t xml:space="preserve">Beura, R., Pachaiappan, R. and Paramasivam, T. (2021). </w:t>
      </w:r>
      <w:r w:rsidR="00045334" w:rsidRPr="00282851">
        <w:rPr>
          <w:rFonts w:ascii="Times New Roman" w:eastAsia="Calibri" w:hAnsi="Times New Roman"/>
          <w:noProof/>
          <w:sz w:val="20"/>
          <w:szCs w:val="20"/>
          <w:lang w:val="en-MY" w:bidi="ar-SA"/>
        </w:rPr>
        <w:t xml:space="preserve">Photocatalytic degradation studies of organic dyes over novel Ag-loaded ZnO-graphene hybrid nanocomposites. </w:t>
      </w:r>
      <w:r w:rsidR="00045334" w:rsidRPr="00282851">
        <w:rPr>
          <w:rFonts w:ascii="Times New Roman" w:eastAsia="Calibri" w:hAnsi="Times New Roman"/>
          <w:i/>
          <w:iCs/>
          <w:noProof/>
          <w:sz w:val="20"/>
          <w:szCs w:val="20"/>
          <w:lang w:val="en-MY" w:bidi="ar-SA"/>
        </w:rPr>
        <w:t>Journal of Physics and Chemistry of Solids</w:t>
      </w:r>
      <w:r w:rsidR="00045334" w:rsidRPr="00282851">
        <w:rPr>
          <w:rFonts w:ascii="Times New Roman" w:eastAsia="Calibri" w:hAnsi="Times New Roman"/>
          <w:noProof/>
          <w:sz w:val="20"/>
          <w:szCs w:val="20"/>
          <w:lang w:val="en-MY" w:bidi="ar-SA"/>
        </w:rPr>
        <w:t xml:space="preserve">, 148: 109689. </w:t>
      </w:r>
    </w:p>
    <w:p w14:paraId="2AC78438" w14:textId="77777777" w:rsidR="00045334" w:rsidRDefault="00045334" w:rsidP="00045334">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BD0994">
        <w:rPr>
          <w:rFonts w:ascii="Times New Roman" w:eastAsia="Calibri" w:hAnsi="Times New Roman"/>
          <w:noProof/>
          <w:sz w:val="20"/>
          <w:szCs w:val="20"/>
          <w:lang w:val="en-MY" w:bidi="ar-SA"/>
        </w:rPr>
        <w:t>Saha, S., Chaudhary, N., Mittal, H., Gupta, G. and Khanuja, M. (2019). Inorganic–organic nanohybrid of MoS</w:t>
      </w:r>
      <w:r w:rsidRPr="00BD0994">
        <w:rPr>
          <w:rFonts w:ascii="Times New Roman" w:eastAsia="Calibri" w:hAnsi="Times New Roman"/>
          <w:noProof/>
          <w:sz w:val="20"/>
          <w:szCs w:val="20"/>
          <w:vertAlign w:val="subscript"/>
          <w:lang w:val="en-MY" w:bidi="ar-SA"/>
        </w:rPr>
        <w:t>2</w:t>
      </w:r>
      <w:r w:rsidRPr="00BD0994">
        <w:rPr>
          <w:rFonts w:ascii="Times New Roman" w:eastAsia="Calibri" w:hAnsi="Times New Roman"/>
          <w:noProof/>
          <w:sz w:val="20"/>
          <w:szCs w:val="20"/>
          <w:lang w:val="en-MY" w:bidi="ar-SA"/>
        </w:rPr>
        <w:t xml:space="preserve">-PANI for advanced photocatalytic application. </w:t>
      </w:r>
      <w:r w:rsidRPr="00BD0994">
        <w:rPr>
          <w:rFonts w:ascii="Times New Roman" w:eastAsia="Calibri" w:hAnsi="Times New Roman"/>
          <w:i/>
          <w:iCs/>
          <w:noProof/>
          <w:sz w:val="20"/>
          <w:szCs w:val="20"/>
          <w:lang w:val="en-MY" w:bidi="ar-SA"/>
        </w:rPr>
        <w:t>International Nano Letters</w:t>
      </w:r>
      <w:r w:rsidRPr="00BD0994">
        <w:rPr>
          <w:rFonts w:ascii="Times New Roman" w:eastAsia="Calibri" w:hAnsi="Times New Roman"/>
          <w:noProof/>
          <w:sz w:val="20"/>
          <w:szCs w:val="20"/>
          <w:lang w:val="en-MY" w:bidi="ar-SA"/>
        </w:rPr>
        <w:t>, 9(2): 127-13.</w:t>
      </w:r>
    </w:p>
    <w:p w14:paraId="4328103E" w14:textId="77777777" w:rsidR="00045334" w:rsidRPr="00BD0994" w:rsidRDefault="00045334" w:rsidP="00045334">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BD0994">
        <w:rPr>
          <w:rFonts w:ascii="Times New Roman" w:eastAsia="Calibri" w:hAnsi="Times New Roman"/>
          <w:noProof/>
          <w:sz w:val="20"/>
          <w:szCs w:val="20"/>
          <w:lang w:val="en-MY" w:bidi="ar-SA"/>
        </w:rPr>
        <w:t xml:space="preserve">Sha, C., Lu, B., Mao, H., Cheng, J., Pan, X., Lu, J. and Ye, Z. (2016). 3D ternary nanocomposites of molybdenum disulfide/polyaniline/reduced graphene oxide aerogel for high performance supercapacitors. </w:t>
      </w:r>
      <w:r w:rsidRPr="00BD0994">
        <w:rPr>
          <w:rFonts w:ascii="Times New Roman" w:eastAsia="Calibri" w:hAnsi="Times New Roman"/>
          <w:i/>
          <w:iCs/>
          <w:noProof/>
          <w:sz w:val="20"/>
          <w:szCs w:val="20"/>
          <w:lang w:val="en-MY" w:bidi="ar-SA"/>
        </w:rPr>
        <w:t>Carbon</w:t>
      </w:r>
      <w:r w:rsidRPr="00BD0994">
        <w:rPr>
          <w:rFonts w:ascii="Times New Roman" w:eastAsia="Calibri" w:hAnsi="Times New Roman"/>
          <w:noProof/>
          <w:sz w:val="20"/>
          <w:szCs w:val="20"/>
          <w:lang w:val="en-MY" w:bidi="ar-SA"/>
        </w:rPr>
        <w:t>, 99: 26-34.</w:t>
      </w:r>
    </w:p>
    <w:p w14:paraId="6D6CF929" w14:textId="7F957B16" w:rsidR="00045334" w:rsidRPr="00045334" w:rsidRDefault="00045334" w:rsidP="00045334">
      <w:pPr>
        <w:spacing w:after="0"/>
        <w:jc w:val="both"/>
        <w:rPr>
          <w:rFonts w:ascii="Times New Roman" w:eastAsia="Calibri" w:hAnsi="Times New Roman"/>
          <w:noProof/>
          <w:sz w:val="20"/>
          <w:szCs w:val="20"/>
          <w:lang w:val="en-MY" w:bidi="ar-SA"/>
        </w:rPr>
        <w:sectPr w:rsidR="00045334" w:rsidRPr="00045334" w:rsidSect="00282851">
          <w:footerReference w:type="even" r:id="rId41"/>
          <w:type w:val="evenPage"/>
          <w:pgSz w:w="12240" w:h="15840" w:code="1"/>
          <w:pgMar w:top="1800" w:right="1469" w:bottom="1699" w:left="1440" w:header="706" w:footer="706" w:gutter="0"/>
          <w:pgNumType w:start="1"/>
          <w:cols w:num="2" w:space="403"/>
          <w:docGrid w:linePitch="360"/>
        </w:sectPr>
      </w:pPr>
    </w:p>
    <w:p w14:paraId="41E0E005" w14:textId="73B54F43" w:rsidR="00AE2D60" w:rsidRPr="00D059EB" w:rsidRDefault="00676177" w:rsidP="00306BD8">
      <w:pPr>
        <w:spacing w:after="0"/>
        <w:jc w:val="both"/>
        <w:rPr>
          <w:rFonts w:ascii="Times New Roman" w:eastAsia="Calibri" w:hAnsi="Times New Roman"/>
          <w:sz w:val="20"/>
          <w:szCs w:val="20"/>
        </w:rPr>
      </w:pPr>
      <w:r w:rsidRPr="00D059EB">
        <w:rPr>
          <w:rFonts w:ascii="Times New Roman" w:eastAsia="Calibri" w:hAnsi="Times New Roman"/>
          <w:sz w:val="20"/>
          <w:szCs w:val="20"/>
          <w:lang w:val="en-MY" w:bidi="ar-SA"/>
        </w:rPr>
        <w:lastRenderedPageBreak/>
        <w:fldChar w:fldCharType="end"/>
      </w:r>
    </w:p>
    <w:sectPr w:rsidR="00AE2D60" w:rsidRPr="00D059EB" w:rsidSect="009773F7">
      <w:headerReference w:type="even" r:id="rId42"/>
      <w:headerReference w:type="default" r:id="rId43"/>
      <w:footerReference w:type="even" r:id="rId44"/>
      <w:headerReference w:type="first" r:id="rId45"/>
      <w:type w:val="even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C4D" w14:textId="77777777" w:rsidR="00270DB6" w:rsidRDefault="00270DB6" w:rsidP="00FB4C59">
      <w:pPr>
        <w:spacing w:after="0" w:line="240" w:lineRule="auto"/>
      </w:pPr>
      <w:r>
        <w:separator/>
      </w:r>
    </w:p>
  </w:endnote>
  <w:endnote w:type="continuationSeparator" w:id="0">
    <w:p w14:paraId="5D1DE79B" w14:textId="77777777" w:rsidR="00270DB6" w:rsidRDefault="00270DB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AA79" w14:textId="0F9C3082" w:rsidR="00B9580B" w:rsidRPr="00B9580B" w:rsidRDefault="00045334">
    <w:pPr>
      <w:pStyle w:val="Footer"/>
      <w:rPr>
        <w:lang w:val="en-US"/>
      </w:rPr>
    </w:pPr>
    <w:r>
      <w:rPr>
        <w:lang w:val="en-US"/>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D86D" w14:textId="1F9FE755" w:rsidR="0036352B" w:rsidRPr="00B9580B" w:rsidRDefault="0036352B">
    <w:pPr>
      <w:pStyle w:val="Footer"/>
      <w:rPr>
        <w:lang w:val="en-US"/>
      </w:rPr>
    </w:pPr>
    <w:r>
      <w:rPr>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3D86" w14:textId="3355A4F0" w:rsidR="009F63D1" w:rsidRPr="00B9580B" w:rsidRDefault="009F63D1">
    <w:pPr>
      <w:pStyle w:val="Footer"/>
      <w:rPr>
        <w:lang w:val="en-US"/>
      </w:rPr>
    </w:pPr>
    <w:r>
      <w:rPr>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471D" w14:textId="4F2F9380" w:rsidR="00B9580B" w:rsidRPr="00B9580B" w:rsidRDefault="00B9580B" w:rsidP="00B9580B">
    <w:pPr>
      <w:pStyle w:val="Footer"/>
      <w:rPr>
        <w:lang w:val="en-US"/>
      </w:rPr>
    </w:pPr>
    <w:r>
      <w:rPr>
        <w:lang w:val="en-US"/>
      </w:rPr>
      <w:tab/>
    </w:r>
    <w:r>
      <w:rPr>
        <w:lang w:val="en-US"/>
      </w:rPr>
      <w:tab/>
      <w:t>1</w:t>
    </w:r>
  </w:p>
  <w:p w14:paraId="5AC6CF34" w14:textId="77777777" w:rsidR="00AE2D60" w:rsidRDefault="00AE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F2C0" w14:textId="328A25D4" w:rsidR="00B9580B" w:rsidRPr="00B9580B" w:rsidRDefault="00B9580B">
    <w:pPr>
      <w:pStyle w:val="Footer"/>
      <w:rPr>
        <w:lang w:val="en-US"/>
      </w:rPr>
    </w:pPr>
    <w:r>
      <w:rPr>
        <w:lang w:val="en-US"/>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3E18" w14:textId="285DEB16" w:rsidR="00B9580B" w:rsidRPr="00B9580B" w:rsidRDefault="00B9580B" w:rsidP="00B9580B">
    <w:pPr>
      <w:pStyle w:val="Footer"/>
      <w:rPr>
        <w:lang w:val="en-US"/>
      </w:rPr>
    </w:pPr>
    <w:r>
      <w:rPr>
        <w:lang w:val="en-US"/>
      </w:rPr>
      <w:tab/>
    </w:r>
    <w:r>
      <w:rPr>
        <w:lang w:val="en-US"/>
      </w:rPr>
      <w:tab/>
      <w:t>3</w:t>
    </w:r>
  </w:p>
  <w:p w14:paraId="55EDF110" w14:textId="77777777" w:rsidR="00B9580B" w:rsidRDefault="00B958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909" w14:textId="4590DB70" w:rsidR="00B9580B" w:rsidRPr="00B9580B" w:rsidRDefault="00B9580B" w:rsidP="00B9580B">
    <w:pPr>
      <w:pStyle w:val="Footer"/>
      <w:rPr>
        <w:lang w:val="en-US"/>
      </w:rPr>
    </w:pPr>
    <w:r>
      <w:rPr>
        <w:lang w:val="en-US"/>
      </w:rPr>
      <w:tab/>
    </w:r>
    <w:r>
      <w:rPr>
        <w:lang w:val="en-US"/>
      </w:rPr>
      <w:tab/>
      <w:t>5</w:t>
    </w:r>
  </w:p>
  <w:p w14:paraId="79BA44A0" w14:textId="77777777" w:rsidR="00B9580B" w:rsidRDefault="00B958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2D8C" w14:textId="3CEBC8E1" w:rsidR="00B9580B" w:rsidRPr="00B9580B" w:rsidRDefault="00B9580B">
    <w:pPr>
      <w:pStyle w:val="Footer"/>
      <w:rPr>
        <w:lang w:val="en-US"/>
      </w:rPr>
    </w:pPr>
    <w:r>
      <w:rPr>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CBA9" w14:textId="40520BE2" w:rsidR="00B9580B" w:rsidRPr="00B9580B" w:rsidRDefault="00B9580B" w:rsidP="00B9580B">
    <w:pPr>
      <w:pStyle w:val="Footer"/>
      <w:rPr>
        <w:lang w:val="en-US"/>
      </w:rPr>
    </w:pPr>
    <w:r>
      <w:rPr>
        <w:lang w:val="en-US"/>
      </w:rPr>
      <w:tab/>
    </w:r>
    <w:r>
      <w:rPr>
        <w:lang w:val="en-US"/>
      </w:rPr>
      <w:tab/>
      <w:t>7</w:t>
    </w:r>
  </w:p>
  <w:p w14:paraId="56EFDE98" w14:textId="77777777" w:rsidR="00B9580B" w:rsidRDefault="00B958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2794" w14:textId="7339020B" w:rsidR="00B9580B" w:rsidRPr="00B9580B" w:rsidRDefault="00282851">
    <w:pPr>
      <w:pStyle w:val="Footer"/>
      <w:rPr>
        <w:lang w:val="en-US"/>
      </w:rPr>
    </w:pPr>
    <w:r>
      <w:rPr>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C49" w14:textId="4EADE637" w:rsidR="00B9580B" w:rsidRPr="00B9580B" w:rsidRDefault="00B9580B" w:rsidP="00B9580B">
    <w:pPr>
      <w:pStyle w:val="Footer"/>
      <w:tabs>
        <w:tab w:val="right" w:pos="9331"/>
      </w:tabs>
      <w:rPr>
        <w:lang w:val="en-US"/>
      </w:rPr>
    </w:pPr>
    <w:r>
      <w:rPr>
        <w:lang w:val="en-US"/>
      </w:rPr>
      <w:tab/>
    </w:r>
    <w:r>
      <w:rPr>
        <w:lang w:val="en-US"/>
      </w:rPr>
      <w:tab/>
      <w:t>9</w:t>
    </w:r>
  </w:p>
  <w:p w14:paraId="422400DC" w14:textId="77777777" w:rsidR="00B9580B" w:rsidRDefault="00B9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38C6" w14:textId="77777777" w:rsidR="00270DB6" w:rsidRDefault="00270DB6" w:rsidP="00FB4C59">
      <w:pPr>
        <w:spacing w:after="0" w:line="240" w:lineRule="auto"/>
      </w:pPr>
      <w:r>
        <w:separator/>
      </w:r>
    </w:p>
  </w:footnote>
  <w:footnote w:type="continuationSeparator" w:id="0">
    <w:p w14:paraId="302A3DC8" w14:textId="77777777" w:rsidR="00270DB6" w:rsidRDefault="00270DB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3CF4BBC0" w:rsidR="00F65AD8" w:rsidRPr="006B72B0" w:rsidRDefault="0036352B" w:rsidP="00873799">
    <w:pPr>
      <w:pStyle w:val="Header"/>
      <w:tabs>
        <w:tab w:val="clear" w:pos="4680"/>
        <w:tab w:val="clear" w:pos="9360"/>
      </w:tabs>
      <w:ind w:left="1710" w:hanging="1710"/>
      <w:rPr>
        <w:rFonts w:ascii="Times New Roman" w:hAnsi="Times New Roman"/>
        <w:lang w:val="en-US"/>
      </w:rPr>
    </w:pPr>
    <w:r>
      <w:rPr>
        <w:noProof/>
      </w:rPr>
      <w:pict w14:anchorId="5CE44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35"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873799">
      <w:rPr>
        <w:rFonts w:ascii="Times New Roman" w:hAnsi="Times New Roman"/>
        <w:lang w:val="en-US"/>
      </w:rPr>
      <w:t>Sambasevam</w:t>
    </w:r>
    <w:r w:rsidR="00EB2ACC">
      <w:rPr>
        <w:rFonts w:ascii="Times New Roman" w:hAnsi="Times New Roman"/>
        <w:lang w:val="en-US"/>
      </w:rPr>
      <w:t xml:space="preserve"> </w:t>
    </w:r>
    <w:r w:rsidR="00F65AD8">
      <w:rPr>
        <w:rFonts w:ascii="Times New Roman" w:hAnsi="Times New Roman"/>
        <w:lang w:val="en-US"/>
      </w:rPr>
      <w:t>et al</w:t>
    </w:r>
    <w:r w:rsidR="00F65AD8" w:rsidRPr="006B72B0">
      <w:rPr>
        <w:rFonts w:ascii="Times New Roman" w:hAnsi="Times New Roman"/>
        <w:lang w:val="en-US"/>
      </w:rPr>
      <w:t xml:space="preserve">: </w:t>
    </w:r>
    <w:r w:rsidR="00873799">
      <w:rPr>
        <w:rFonts w:ascii="Times New Roman" w:hAnsi="Times New Roman"/>
        <w:lang w:val="en-US"/>
      </w:rPr>
      <w:tab/>
    </w:r>
    <w:r w:rsidR="00EB2ACC" w:rsidRPr="00EB2ACC">
      <w:rPr>
        <w:rFonts w:ascii="Times New Roman" w:hAnsi="Times New Roman"/>
        <w:lang w:val="en-US"/>
      </w:rPr>
      <w:t>PRELIMINARY STUDIES ON SUNLIGHT ASSISTED DEGRADATION OF 2-CHLOROPHENOL USING MoS</w:t>
    </w:r>
    <w:r w:rsidR="00EB2ACC" w:rsidRPr="005237E3">
      <w:rPr>
        <w:rFonts w:ascii="Times New Roman" w:hAnsi="Times New Roman"/>
        <w:vertAlign w:val="subscript"/>
        <w:lang w:val="en-US"/>
      </w:rPr>
      <w:t>2</w:t>
    </w:r>
    <w:r w:rsidR="00EB2ACC" w:rsidRPr="00EB2ACC">
      <w:rPr>
        <w:rFonts w:ascii="Times New Roman" w:hAnsi="Times New Roman"/>
        <w:lang w:val="en-US"/>
      </w:rPr>
      <w:t>/GO AS PHOTOCATALYST</w:t>
    </w:r>
  </w:p>
  <w:p w14:paraId="19708A29" w14:textId="77777777" w:rsidR="00A0444A" w:rsidRDefault="00A044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79CD" w14:textId="77777777" w:rsidR="003320B2" w:rsidRPr="006B72B0" w:rsidRDefault="0036352B" w:rsidP="003320B2">
    <w:pPr>
      <w:pStyle w:val="Header"/>
      <w:tabs>
        <w:tab w:val="clear" w:pos="4680"/>
        <w:tab w:val="clear" w:pos="9360"/>
      </w:tabs>
      <w:ind w:left="1710" w:hanging="1710"/>
      <w:rPr>
        <w:rFonts w:ascii="Times New Roman" w:hAnsi="Times New Roman"/>
        <w:lang w:val="en-US"/>
      </w:rPr>
    </w:pPr>
    <w:r>
      <w:rPr>
        <w:noProof/>
      </w:rPr>
      <w:pict w14:anchorId="5E453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Pr>
        <w:rFonts w:ascii="Times New Roman" w:hAnsi="Times New Roman"/>
        <w:lang w:val="en-US"/>
      </w:rPr>
      <w:t>Sambasevam et al</w:t>
    </w:r>
    <w:r w:rsidR="003320B2" w:rsidRPr="006B72B0">
      <w:rPr>
        <w:rFonts w:ascii="Times New Roman" w:hAnsi="Times New Roman"/>
        <w:lang w:val="en-US"/>
      </w:rPr>
      <w:t xml:space="preserve">: </w:t>
    </w:r>
    <w:r w:rsidR="003320B2">
      <w:rPr>
        <w:rFonts w:ascii="Times New Roman" w:hAnsi="Times New Roman"/>
        <w:lang w:val="en-US"/>
      </w:rPr>
      <w:tab/>
    </w:r>
    <w:r w:rsidR="003320B2" w:rsidRPr="00EB2ACC">
      <w:rPr>
        <w:rFonts w:ascii="Times New Roman" w:hAnsi="Times New Roman"/>
        <w:lang w:val="en-US"/>
      </w:rPr>
      <w:t>PRELIMINARY STUDIES ON SUNLIGHT ASSISTED DEGRADATION OF 2-CHLOROPHENOL USING MoS</w:t>
    </w:r>
    <w:r w:rsidR="003320B2" w:rsidRPr="005237E3">
      <w:rPr>
        <w:rFonts w:ascii="Times New Roman" w:hAnsi="Times New Roman"/>
        <w:vertAlign w:val="subscript"/>
        <w:lang w:val="en-US"/>
      </w:rPr>
      <w:t>2</w:t>
    </w:r>
    <w:r w:rsidR="003320B2" w:rsidRPr="00EB2ACC">
      <w:rPr>
        <w:rFonts w:ascii="Times New Roman" w:hAnsi="Times New Roman"/>
        <w:lang w:val="en-US"/>
      </w:rPr>
      <w:t>/GO AS PHOTOCATALYST</w:t>
    </w:r>
  </w:p>
  <w:p w14:paraId="17864C69" w14:textId="609848BF" w:rsidR="003320B2" w:rsidRDefault="0036352B">
    <w:pPr>
      <w:pStyle w:val="Header"/>
    </w:pPr>
    <w:r>
      <w:rPr>
        <w:noProof/>
      </w:rPr>
      <w:pict w14:anchorId="06AE1CEC">
        <v:shape id="PowerPlusWaterMarkObject7495744"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D70" w14:textId="076E8323" w:rsidR="003320B2" w:rsidRDefault="0036352B">
    <w:pPr>
      <w:pStyle w:val="Header"/>
    </w:pPr>
    <w:r>
      <w:rPr>
        <w:noProof/>
      </w:rPr>
      <w:pict w14:anchorId="4D1DB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5"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1BC8" w14:textId="30F1F007" w:rsidR="003320B2" w:rsidRDefault="0036352B">
    <w:pPr>
      <w:pStyle w:val="Header"/>
    </w:pPr>
    <w:r>
      <w:rPr>
        <w:noProof/>
      </w:rPr>
      <w:pict w14:anchorId="5143C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3"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BBF4" w14:textId="08FC1D30" w:rsidR="003320B2" w:rsidRDefault="0036352B">
    <w:pPr>
      <w:pStyle w:val="Header"/>
    </w:pPr>
    <w:r>
      <w:rPr>
        <w:noProof/>
      </w:rPr>
      <w:pict w14:anchorId="75F31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7"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C262" w14:textId="77777777" w:rsidR="003320B2" w:rsidRDefault="0036352B" w:rsidP="003320B2">
    <w:pPr>
      <w:pStyle w:val="Header"/>
      <w:jc w:val="right"/>
      <w:rPr>
        <w:rFonts w:ascii="Times New Roman" w:hAnsi="Times New Roman"/>
        <w:i/>
        <w:lang w:val="en-US"/>
      </w:rPr>
    </w:pPr>
    <w:r>
      <w:rPr>
        <w:noProof/>
      </w:rPr>
      <w:pict w14:anchorId="78543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sidRPr="00D75B35">
      <w:rPr>
        <w:rFonts w:ascii="Times New Roman" w:hAnsi="Times New Roman"/>
        <w:i/>
      </w:rPr>
      <w:t xml:space="preserve">Malaysian Journal of </w:t>
    </w:r>
    <w:r w:rsidR="003320B2">
      <w:rPr>
        <w:rFonts w:ascii="Times New Roman" w:hAnsi="Times New Roman"/>
        <w:i/>
      </w:rPr>
      <w:t xml:space="preserve">Analytical Sciences, Vol </w:t>
    </w:r>
    <w:r w:rsidR="003320B2">
      <w:rPr>
        <w:rFonts w:ascii="Times New Roman" w:hAnsi="Times New Roman"/>
        <w:i/>
        <w:lang w:val="en-US"/>
      </w:rPr>
      <w:t>26</w:t>
    </w:r>
    <w:r w:rsidR="003320B2">
      <w:rPr>
        <w:rFonts w:ascii="Times New Roman" w:hAnsi="Times New Roman"/>
        <w:i/>
      </w:rPr>
      <w:t xml:space="preserve"> </w:t>
    </w:r>
    <w:r w:rsidR="003320B2">
      <w:rPr>
        <w:rFonts w:ascii="Times New Roman" w:hAnsi="Times New Roman"/>
        <w:i/>
        <w:lang w:val="en-US"/>
      </w:rPr>
      <w:t>No 4</w:t>
    </w:r>
    <w:r w:rsidR="003320B2">
      <w:rPr>
        <w:rFonts w:ascii="Times New Roman" w:hAnsi="Times New Roman"/>
        <w:i/>
      </w:rPr>
      <w:t xml:space="preserve"> (20</w:t>
    </w:r>
    <w:r w:rsidR="003320B2">
      <w:rPr>
        <w:rFonts w:ascii="Times New Roman" w:hAnsi="Times New Roman"/>
        <w:i/>
        <w:lang w:val="en-MY"/>
      </w:rPr>
      <w:t>22</w:t>
    </w:r>
    <w:r w:rsidR="003320B2" w:rsidRPr="00D75B35">
      <w:rPr>
        <w:rFonts w:ascii="Times New Roman" w:hAnsi="Times New Roman"/>
        <w:i/>
      </w:rPr>
      <w:t xml:space="preserve">): </w:t>
    </w:r>
    <w:r w:rsidR="003320B2">
      <w:rPr>
        <w:rFonts w:ascii="Times New Roman" w:hAnsi="Times New Roman"/>
        <w:i/>
        <w:lang w:val="en-US"/>
      </w:rPr>
      <w:t>xxx - xxx</w:t>
    </w:r>
  </w:p>
  <w:p w14:paraId="35251822" w14:textId="3C593758" w:rsidR="003320B2" w:rsidRDefault="0036352B">
    <w:pPr>
      <w:pStyle w:val="Header"/>
    </w:pPr>
    <w:r>
      <w:rPr>
        <w:noProof/>
      </w:rPr>
      <w:pict w14:anchorId="4D89D911">
        <v:shape id="PowerPlusWaterMarkObject7495748"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E20F" w14:textId="3A903ED0" w:rsidR="003320B2" w:rsidRDefault="0036352B">
    <w:pPr>
      <w:pStyle w:val="Header"/>
    </w:pPr>
    <w:r>
      <w:rPr>
        <w:noProof/>
      </w:rPr>
      <w:pict w14:anchorId="6EDD4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6"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751" w14:textId="77777777" w:rsidR="003320B2" w:rsidRPr="006B72B0" w:rsidRDefault="0036352B" w:rsidP="003320B2">
    <w:pPr>
      <w:pStyle w:val="Header"/>
      <w:tabs>
        <w:tab w:val="clear" w:pos="4680"/>
        <w:tab w:val="clear" w:pos="9360"/>
      </w:tabs>
      <w:ind w:left="1710" w:hanging="1710"/>
      <w:rPr>
        <w:rFonts w:ascii="Times New Roman" w:hAnsi="Times New Roman"/>
        <w:lang w:val="en-US"/>
      </w:rPr>
    </w:pPr>
    <w:r>
      <w:rPr>
        <w:noProof/>
      </w:rPr>
      <w:pict w14:anchorId="2EB57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Pr>
        <w:rFonts w:ascii="Times New Roman" w:hAnsi="Times New Roman"/>
        <w:lang w:val="en-US"/>
      </w:rPr>
      <w:t>Sambasevam et al</w:t>
    </w:r>
    <w:r w:rsidR="003320B2" w:rsidRPr="006B72B0">
      <w:rPr>
        <w:rFonts w:ascii="Times New Roman" w:hAnsi="Times New Roman"/>
        <w:lang w:val="en-US"/>
      </w:rPr>
      <w:t xml:space="preserve">: </w:t>
    </w:r>
    <w:r w:rsidR="003320B2">
      <w:rPr>
        <w:rFonts w:ascii="Times New Roman" w:hAnsi="Times New Roman"/>
        <w:lang w:val="en-US"/>
      </w:rPr>
      <w:tab/>
    </w:r>
    <w:r w:rsidR="003320B2" w:rsidRPr="00EB2ACC">
      <w:rPr>
        <w:rFonts w:ascii="Times New Roman" w:hAnsi="Times New Roman"/>
        <w:lang w:val="en-US"/>
      </w:rPr>
      <w:t>PRELIMINARY STUDIES ON SUNLIGHT ASSISTED DEGRADATION OF 2-CHLOROPHENOL USING MoS</w:t>
    </w:r>
    <w:r w:rsidR="003320B2" w:rsidRPr="005237E3">
      <w:rPr>
        <w:rFonts w:ascii="Times New Roman" w:hAnsi="Times New Roman"/>
        <w:vertAlign w:val="subscript"/>
        <w:lang w:val="en-US"/>
      </w:rPr>
      <w:t>2</w:t>
    </w:r>
    <w:r w:rsidR="003320B2" w:rsidRPr="00EB2ACC">
      <w:rPr>
        <w:rFonts w:ascii="Times New Roman" w:hAnsi="Times New Roman"/>
        <w:lang w:val="en-US"/>
      </w:rPr>
      <w:t>/GO AS PHOTOCATALYST</w:t>
    </w:r>
  </w:p>
  <w:p w14:paraId="76656B2D" w14:textId="10E189E4" w:rsidR="003320B2" w:rsidRDefault="0036352B">
    <w:pPr>
      <w:pStyle w:val="Header"/>
    </w:pPr>
    <w:r>
      <w:rPr>
        <w:noProof/>
      </w:rPr>
      <w:pict w14:anchorId="32F58AFB">
        <v:shape id="PowerPlusWaterMarkObject7495750"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B48B" w14:textId="77777777" w:rsidR="003320B2" w:rsidRDefault="0036352B" w:rsidP="003320B2">
    <w:pPr>
      <w:pStyle w:val="Header"/>
      <w:jc w:val="right"/>
      <w:rPr>
        <w:rFonts w:ascii="Times New Roman" w:hAnsi="Times New Roman"/>
        <w:i/>
        <w:lang w:val="en-US"/>
      </w:rPr>
    </w:pPr>
    <w:r>
      <w:rPr>
        <w:noProof/>
      </w:rPr>
      <w:pict w14:anchorId="47321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sidRPr="00D75B35">
      <w:rPr>
        <w:rFonts w:ascii="Times New Roman" w:hAnsi="Times New Roman"/>
        <w:i/>
      </w:rPr>
      <w:t xml:space="preserve">Malaysian Journal of </w:t>
    </w:r>
    <w:r w:rsidR="003320B2">
      <w:rPr>
        <w:rFonts w:ascii="Times New Roman" w:hAnsi="Times New Roman"/>
        <w:i/>
      </w:rPr>
      <w:t xml:space="preserve">Analytical Sciences, Vol </w:t>
    </w:r>
    <w:r w:rsidR="003320B2">
      <w:rPr>
        <w:rFonts w:ascii="Times New Roman" w:hAnsi="Times New Roman"/>
        <w:i/>
        <w:lang w:val="en-US"/>
      </w:rPr>
      <w:t>26</w:t>
    </w:r>
    <w:r w:rsidR="003320B2">
      <w:rPr>
        <w:rFonts w:ascii="Times New Roman" w:hAnsi="Times New Roman"/>
        <w:i/>
      </w:rPr>
      <w:t xml:space="preserve"> </w:t>
    </w:r>
    <w:r w:rsidR="003320B2">
      <w:rPr>
        <w:rFonts w:ascii="Times New Roman" w:hAnsi="Times New Roman"/>
        <w:i/>
        <w:lang w:val="en-US"/>
      </w:rPr>
      <w:t>No 4</w:t>
    </w:r>
    <w:r w:rsidR="003320B2">
      <w:rPr>
        <w:rFonts w:ascii="Times New Roman" w:hAnsi="Times New Roman"/>
        <w:i/>
      </w:rPr>
      <w:t xml:space="preserve"> (20</w:t>
    </w:r>
    <w:r w:rsidR="003320B2">
      <w:rPr>
        <w:rFonts w:ascii="Times New Roman" w:hAnsi="Times New Roman"/>
        <w:i/>
        <w:lang w:val="en-MY"/>
      </w:rPr>
      <w:t>22</w:t>
    </w:r>
    <w:r w:rsidR="003320B2" w:rsidRPr="00D75B35">
      <w:rPr>
        <w:rFonts w:ascii="Times New Roman" w:hAnsi="Times New Roman"/>
        <w:i/>
      </w:rPr>
      <w:t xml:space="preserve">): </w:t>
    </w:r>
    <w:r w:rsidR="003320B2">
      <w:rPr>
        <w:rFonts w:ascii="Times New Roman" w:hAnsi="Times New Roman"/>
        <w:i/>
        <w:lang w:val="en-US"/>
      </w:rPr>
      <w:t>xxx - xxx</w:t>
    </w:r>
  </w:p>
  <w:p w14:paraId="6AD992AB" w14:textId="1AA1055E" w:rsidR="003320B2" w:rsidRDefault="0036352B">
    <w:pPr>
      <w:pStyle w:val="Header"/>
    </w:pPr>
    <w:r>
      <w:rPr>
        <w:noProof/>
      </w:rPr>
      <w:pict w14:anchorId="5240CA62">
        <v:shape id="PowerPlusWaterMarkObject7495751"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9260" w14:textId="4699C7FD" w:rsidR="003320B2" w:rsidRDefault="0036352B">
    <w:pPr>
      <w:pStyle w:val="Header"/>
    </w:pPr>
    <w:r>
      <w:rPr>
        <w:noProof/>
      </w:rPr>
      <w:pict w14:anchorId="0116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9"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7ADE" w14:textId="77777777" w:rsidR="003320B2" w:rsidRPr="006B72B0" w:rsidRDefault="0036352B" w:rsidP="003320B2">
    <w:pPr>
      <w:pStyle w:val="Header"/>
      <w:tabs>
        <w:tab w:val="clear" w:pos="4680"/>
        <w:tab w:val="clear" w:pos="9360"/>
      </w:tabs>
      <w:ind w:left="1710" w:hanging="1710"/>
      <w:rPr>
        <w:rFonts w:ascii="Times New Roman" w:hAnsi="Times New Roman"/>
        <w:lang w:val="en-US"/>
      </w:rPr>
    </w:pPr>
    <w:r>
      <w:rPr>
        <w:noProof/>
      </w:rPr>
      <w:pict w14:anchorId="5110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Pr>
        <w:rFonts w:ascii="Times New Roman" w:hAnsi="Times New Roman"/>
        <w:lang w:val="en-US"/>
      </w:rPr>
      <w:t>Sambasevam et al</w:t>
    </w:r>
    <w:r w:rsidR="003320B2" w:rsidRPr="006B72B0">
      <w:rPr>
        <w:rFonts w:ascii="Times New Roman" w:hAnsi="Times New Roman"/>
        <w:lang w:val="en-US"/>
      </w:rPr>
      <w:t xml:space="preserve">: </w:t>
    </w:r>
    <w:r w:rsidR="003320B2">
      <w:rPr>
        <w:rFonts w:ascii="Times New Roman" w:hAnsi="Times New Roman"/>
        <w:lang w:val="en-US"/>
      </w:rPr>
      <w:tab/>
    </w:r>
    <w:r w:rsidR="003320B2" w:rsidRPr="00EB2ACC">
      <w:rPr>
        <w:rFonts w:ascii="Times New Roman" w:hAnsi="Times New Roman"/>
        <w:lang w:val="en-US"/>
      </w:rPr>
      <w:t>PRELIMINARY STUDIES ON SUNLIGHT ASSISTED DEGRADATION OF 2-CHLOROPHENOL USING MoS</w:t>
    </w:r>
    <w:r w:rsidR="003320B2" w:rsidRPr="005237E3">
      <w:rPr>
        <w:rFonts w:ascii="Times New Roman" w:hAnsi="Times New Roman"/>
        <w:vertAlign w:val="subscript"/>
        <w:lang w:val="en-US"/>
      </w:rPr>
      <w:t>2</w:t>
    </w:r>
    <w:r w:rsidR="003320B2" w:rsidRPr="00EB2ACC">
      <w:rPr>
        <w:rFonts w:ascii="Times New Roman" w:hAnsi="Times New Roman"/>
        <w:lang w:val="en-US"/>
      </w:rPr>
      <w:t>/GO AS PHOTOCATALYST</w:t>
    </w:r>
  </w:p>
  <w:p w14:paraId="03CA0E48" w14:textId="0983A03E" w:rsidR="003320B2" w:rsidRDefault="0036352B">
    <w:pPr>
      <w:pStyle w:val="Header"/>
    </w:pPr>
    <w:r>
      <w:rPr>
        <w:noProof/>
      </w:rPr>
      <w:pict w14:anchorId="52AE7321">
        <v:shape id="PowerPlusWaterMarkObject7495753"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69B" w14:textId="132E851A" w:rsidR="000C524B" w:rsidRDefault="0036352B" w:rsidP="000C524B">
    <w:pPr>
      <w:pStyle w:val="Header"/>
      <w:jc w:val="right"/>
      <w:rPr>
        <w:rFonts w:ascii="Times New Roman" w:hAnsi="Times New Roman"/>
        <w:i/>
        <w:lang w:val="en-US"/>
      </w:rPr>
    </w:pPr>
    <w:r>
      <w:rPr>
        <w:noProof/>
      </w:rPr>
      <w:pict w14:anchorId="7B08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36"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C524B" w:rsidRPr="00D75B35">
      <w:rPr>
        <w:rFonts w:ascii="Times New Roman" w:hAnsi="Times New Roman"/>
        <w:i/>
      </w:rPr>
      <w:t xml:space="preserve">Malaysian Journal of </w:t>
    </w:r>
    <w:r w:rsidR="000C524B">
      <w:rPr>
        <w:rFonts w:ascii="Times New Roman" w:hAnsi="Times New Roman"/>
        <w:i/>
      </w:rPr>
      <w:t xml:space="preserve">Analytical Sciences, Vol </w:t>
    </w:r>
    <w:r w:rsidR="000C524B">
      <w:rPr>
        <w:rFonts w:ascii="Times New Roman" w:hAnsi="Times New Roman"/>
        <w:i/>
        <w:lang w:val="en-US"/>
      </w:rPr>
      <w:t>26</w:t>
    </w:r>
    <w:r w:rsidR="000C524B">
      <w:rPr>
        <w:rFonts w:ascii="Times New Roman" w:hAnsi="Times New Roman"/>
        <w:i/>
      </w:rPr>
      <w:t xml:space="preserve"> </w:t>
    </w:r>
    <w:r w:rsidR="000C524B">
      <w:rPr>
        <w:rFonts w:ascii="Times New Roman" w:hAnsi="Times New Roman"/>
        <w:i/>
        <w:lang w:val="en-US"/>
      </w:rPr>
      <w:t>No 4</w:t>
    </w:r>
    <w:r w:rsidR="000C524B">
      <w:rPr>
        <w:rFonts w:ascii="Times New Roman" w:hAnsi="Times New Roman"/>
        <w:i/>
      </w:rPr>
      <w:t xml:space="preserve"> (20</w:t>
    </w:r>
    <w:r w:rsidR="000C524B">
      <w:rPr>
        <w:rFonts w:ascii="Times New Roman" w:hAnsi="Times New Roman"/>
        <w:i/>
        <w:lang w:val="en-MY"/>
      </w:rPr>
      <w:t>22</w:t>
    </w:r>
    <w:r w:rsidR="000C524B" w:rsidRPr="00D75B35">
      <w:rPr>
        <w:rFonts w:ascii="Times New Roman" w:hAnsi="Times New Roman"/>
        <w:i/>
      </w:rPr>
      <w:t xml:space="preserve">): </w:t>
    </w:r>
    <w:r w:rsidR="000C524B">
      <w:rPr>
        <w:rFonts w:ascii="Times New Roman" w:hAnsi="Times New Roman"/>
        <w:i/>
        <w:lang w:val="en-US"/>
      </w:rPr>
      <w:t>xxx - xxx</w:t>
    </w:r>
  </w:p>
  <w:p w14:paraId="5DA627F6" w14:textId="77777777" w:rsidR="00AE2D60" w:rsidRDefault="00AE2D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63C2" w14:textId="4AC0FBE4" w:rsidR="003320B2" w:rsidRDefault="0036352B">
    <w:pPr>
      <w:pStyle w:val="Header"/>
    </w:pPr>
    <w:r>
      <w:rPr>
        <w:noProof/>
      </w:rPr>
      <w:pict w14:anchorId="2756D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54"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3C3" w14:textId="0BCACB91" w:rsidR="003320B2" w:rsidRDefault="0036352B">
    <w:pPr>
      <w:pStyle w:val="Header"/>
    </w:pPr>
    <w:r>
      <w:rPr>
        <w:noProof/>
      </w:rPr>
      <w:pict w14:anchorId="1DF6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52"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76B5" w14:textId="219A9228" w:rsidR="003320B2" w:rsidRDefault="0036352B">
    <w:pPr>
      <w:pStyle w:val="Header"/>
    </w:pPr>
    <w:r>
      <w:rPr>
        <w:noProof/>
      </w:rPr>
      <w:pict w14:anchorId="53A5F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34"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373E" w14:textId="77777777" w:rsidR="003320B2" w:rsidRPr="006B72B0" w:rsidRDefault="0036352B" w:rsidP="003320B2">
    <w:pPr>
      <w:pStyle w:val="Header"/>
      <w:tabs>
        <w:tab w:val="clear" w:pos="4680"/>
        <w:tab w:val="clear" w:pos="9360"/>
      </w:tabs>
      <w:ind w:left="1710" w:hanging="1710"/>
      <w:rPr>
        <w:rFonts w:ascii="Times New Roman" w:hAnsi="Times New Roman"/>
        <w:lang w:val="en-US"/>
      </w:rPr>
    </w:pPr>
    <w:r>
      <w:rPr>
        <w:noProof/>
      </w:rPr>
      <w:pict w14:anchorId="29106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Pr>
        <w:rFonts w:ascii="Times New Roman" w:hAnsi="Times New Roman"/>
        <w:lang w:val="en-US"/>
      </w:rPr>
      <w:t>Sambasevam et al</w:t>
    </w:r>
    <w:r w:rsidR="003320B2" w:rsidRPr="006B72B0">
      <w:rPr>
        <w:rFonts w:ascii="Times New Roman" w:hAnsi="Times New Roman"/>
        <w:lang w:val="en-US"/>
      </w:rPr>
      <w:t xml:space="preserve">: </w:t>
    </w:r>
    <w:r w:rsidR="003320B2">
      <w:rPr>
        <w:rFonts w:ascii="Times New Roman" w:hAnsi="Times New Roman"/>
        <w:lang w:val="en-US"/>
      </w:rPr>
      <w:tab/>
    </w:r>
    <w:r w:rsidR="003320B2" w:rsidRPr="00EB2ACC">
      <w:rPr>
        <w:rFonts w:ascii="Times New Roman" w:hAnsi="Times New Roman"/>
        <w:lang w:val="en-US"/>
      </w:rPr>
      <w:t>PRELIMINARY STUDIES ON SUNLIGHT ASSISTED DEGRADATION OF 2-CHLOROPHENOL USING MoS</w:t>
    </w:r>
    <w:r w:rsidR="003320B2" w:rsidRPr="005237E3">
      <w:rPr>
        <w:rFonts w:ascii="Times New Roman" w:hAnsi="Times New Roman"/>
        <w:vertAlign w:val="subscript"/>
        <w:lang w:val="en-US"/>
      </w:rPr>
      <w:t>2</w:t>
    </w:r>
    <w:r w:rsidR="003320B2" w:rsidRPr="00EB2ACC">
      <w:rPr>
        <w:rFonts w:ascii="Times New Roman" w:hAnsi="Times New Roman"/>
        <w:lang w:val="en-US"/>
      </w:rPr>
      <w:t>/GO AS PHOTOCATALYST</w:t>
    </w:r>
  </w:p>
  <w:p w14:paraId="626E9462" w14:textId="7AA4ABA6" w:rsidR="003320B2" w:rsidRDefault="0036352B">
    <w:pPr>
      <w:pStyle w:val="Header"/>
    </w:pPr>
    <w:r>
      <w:rPr>
        <w:noProof/>
      </w:rPr>
      <w:pict w14:anchorId="1DE87A33">
        <v:shape id="PowerPlusWaterMarkObject7495738"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626" w14:textId="77777777" w:rsidR="003320B2" w:rsidRDefault="0036352B" w:rsidP="003320B2">
    <w:pPr>
      <w:pStyle w:val="Header"/>
      <w:jc w:val="right"/>
      <w:rPr>
        <w:rFonts w:ascii="Times New Roman" w:hAnsi="Times New Roman"/>
        <w:i/>
        <w:lang w:val="en-US"/>
      </w:rPr>
    </w:pPr>
    <w:r>
      <w:rPr>
        <w:noProof/>
      </w:rPr>
      <w:pict w14:anchorId="3941F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sidRPr="00D75B35">
      <w:rPr>
        <w:rFonts w:ascii="Times New Roman" w:hAnsi="Times New Roman"/>
        <w:i/>
      </w:rPr>
      <w:t xml:space="preserve">Malaysian Journal of </w:t>
    </w:r>
    <w:r w:rsidR="003320B2">
      <w:rPr>
        <w:rFonts w:ascii="Times New Roman" w:hAnsi="Times New Roman"/>
        <w:i/>
      </w:rPr>
      <w:t xml:space="preserve">Analytical Sciences, Vol </w:t>
    </w:r>
    <w:r w:rsidR="003320B2">
      <w:rPr>
        <w:rFonts w:ascii="Times New Roman" w:hAnsi="Times New Roman"/>
        <w:i/>
        <w:lang w:val="en-US"/>
      </w:rPr>
      <w:t>26</w:t>
    </w:r>
    <w:r w:rsidR="003320B2">
      <w:rPr>
        <w:rFonts w:ascii="Times New Roman" w:hAnsi="Times New Roman"/>
        <w:i/>
      </w:rPr>
      <w:t xml:space="preserve"> </w:t>
    </w:r>
    <w:r w:rsidR="003320B2">
      <w:rPr>
        <w:rFonts w:ascii="Times New Roman" w:hAnsi="Times New Roman"/>
        <w:i/>
        <w:lang w:val="en-US"/>
      </w:rPr>
      <w:t>No 4</w:t>
    </w:r>
    <w:r w:rsidR="003320B2">
      <w:rPr>
        <w:rFonts w:ascii="Times New Roman" w:hAnsi="Times New Roman"/>
        <w:i/>
      </w:rPr>
      <w:t xml:space="preserve"> (20</w:t>
    </w:r>
    <w:r w:rsidR="003320B2">
      <w:rPr>
        <w:rFonts w:ascii="Times New Roman" w:hAnsi="Times New Roman"/>
        <w:i/>
        <w:lang w:val="en-MY"/>
      </w:rPr>
      <w:t>22</w:t>
    </w:r>
    <w:r w:rsidR="003320B2" w:rsidRPr="00D75B35">
      <w:rPr>
        <w:rFonts w:ascii="Times New Roman" w:hAnsi="Times New Roman"/>
        <w:i/>
      </w:rPr>
      <w:t xml:space="preserve">): </w:t>
    </w:r>
    <w:r w:rsidR="003320B2">
      <w:rPr>
        <w:rFonts w:ascii="Times New Roman" w:hAnsi="Times New Roman"/>
        <w:i/>
        <w:lang w:val="en-US"/>
      </w:rPr>
      <w:t>xxx - xxx</w:t>
    </w:r>
  </w:p>
  <w:p w14:paraId="086CDE42" w14:textId="7D8D9E61" w:rsidR="003320B2" w:rsidRDefault="0036352B">
    <w:pPr>
      <w:pStyle w:val="Header"/>
    </w:pPr>
    <w:r>
      <w:rPr>
        <w:noProof/>
      </w:rPr>
      <w:pict w14:anchorId="7224819F">
        <v:shape id="PowerPlusWaterMarkObject7495739"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8F41" w14:textId="673314AC" w:rsidR="003320B2" w:rsidRDefault="0036352B">
    <w:pPr>
      <w:pStyle w:val="Header"/>
    </w:pPr>
    <w:r>
      <w:rPr>
        <w:noProof/>
      </w:rPr>
      <w:pict w14:anchorId="1F56F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37"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BFF7" w14:textId="1FAFAA18" w:rsidR="003320B2" w:rsidRDefault="0036352B">
    <w:pPr>
      <w:pStyle w:val="Header"/>
    </w:pPr>
    <w:r>
      <w:rPr>
        <w:noProof/>
      </w:rPr>
      <w:pict w14:anchorId="48312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1"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FBBC" w14:textId="77777777" w:rsidR="003320B2" w:rsidRDefault="0036352B" w:rsidP="003320B2">
    <w:pPr>
      <w:pStyle w:val="Header"/>
      <w:jc w:val="right"/>
      <w:rPr>
        <w:rFonts w:ascii="Times New Roman" w:hAnsi="Times New Roman"/>
        <w:i/>
        <w:lang w:val="en-US"/>
      </w:rPr>
    </w:pPr>
    <w:r>
      <w:rPr>
        <w:noProof/>
      </w:rPr>
      <w:pict w14:anchorId="7A26E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sidRPr="00D75B35">
      <w:rPr>
        <w:rFonts w:ascii="Times New Roman" w:hAnsi="Times New Roman"/>
        <w:i/>
      </w:rPr>
      <w:t xml:space="preserve">Malaysian Journal of </w:t>
    </w:r>
    <w:r w:rsidR="003320B2">
      <w:rPr>
        <w:rFonts w:ascii="Times New Roman" w:hAnsi="Times New Roman"/>
        <w:i/>
      </w:rPr>
      <w:t xml:space="preserve">Analytical Sciences, Vol </w:t>
    </w:r>
    <w:r w:rsidR="003320B2">
      <w:rPr>
        <w:rFonts w:ascii="Times New Roman" w:hAnsi="Times New Roman"/>
        <w:i/>
        <w:lang w:val="en-US"/>
      </w:rPr>
      <w:t>26</w:t>
    </w:r>
    <w:r w:rsidR="003320B2">
      <w:rPr>
        <w:rFonts w:ascii="Times New Roman" w:hAnsi="Times New Roman"/>
        <w:i/>
      </w:rPr>
      <w:t xml:space="preserve"> </w:t>
    </w:r>
    <w:r w:rsidR="003320B2">
      <w:rPr>
        <w:rFonts w:ascii="Times New Roman" w:hAnsi="Times New Roman"/>
        <w:i/>
        <w:lang w:val="en-US"/>
      </w:rPr>
      <w:t>No 4</w:t>
    </w:r>
    <w:r w:rsidR="003320B2">
      <w:rPr>
        <w:rFonts w:ascii="Times New Roman" w:hAnsi="Times New Roman"/>
        <w:i/>
      </w:rPr>
      <w:t xml:space="preserve"> (20</w:t>
    </w:r>
    <w:r w:rsidR="003320B2">
      <w:rPr>
        <w:rFonts w:ascii="Times New Roman" w:hAnsi="Times New Roman"/>
        <w:i/>
        <w:lang w:val="en-MY"/>
      </w:rPr>
      <w:t>22</w:t>
    </w:r>
    <w:r w:rsidR="003320B2" w:rsidRPr="00D75B35">
      <w:rPr>
        <w:rFonts w:ascii="Times New Roman" w:hAnsi="Times New Roman"/>
        <w:i/>
      </w:rPr>
      <w:t xml:space="preserve">): </w:t>
    </w:r>
    <w:r w:rsidR="003320B2">
      <w:rPr>
        <w:rFonts w:ascii="Times New Roman" w:hAnsi="Times New Roman"/>
        <w:i/>
        <w:lang w:val="en-US"/>
      </w:rPr>
      <w:t>xxx - xxx</w:t>
    </w:r>
  </w:p>
  <w:p w14:paraId="46B897AB" w14:textId="2B75CC77" w:rsidR="003320B2" w:rsidRDefault="0036352B">
    <w:pPr>
      <w:pStyle w:val="Header"/>
    </w:pPr>
    <w:r>
      <w:rPr>
        <w:noProof/>
      </w:rPr>
      <w:pict w14:anchorId="4C3F1783">
        <v:shape id="PowerPlusWaterMarkObject7495742"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8473" w14:textId="00BFBA94" w:rsidR="003320B2" w:rsidRDefault="0036352B">
    <w:pPr>
      <w:pStyle w:val="Header"/>
    </w:pPr>
    <w:r>
      <w:rPr>
        <w:noProof/>
      </w:rPr>
      <w:pict w14:anchorId="21637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740"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413D9"/>
    <w:multiLevelType w:val="hybridMultilevel"/>
    <w:tmpl w:val="D0B2BDE4"/>
    <w:lvl w:ilvl="0" w:tplc="8B68B99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1205946393">
    <w:abstractNumId w:val="1"/>
  </w:num>
  <w:num w:numId="4" w16cid:durableId="791945025">
    <w:abstractNumId w:val="4"/>
  </w:num>
  <w:num w:numId="5" w16cid:durableId="807357808">
    <w:abstractNumId w:val="7"/>
  </w:num>
  <w:num w:numId="6" w16cid:durableId="1967347172">
    <w:abstractNumId w:val="0"/>
  </w:num>
  <w:num w:numId="7" w16cid:durableId="345401420">
    <w:abstractNumId w:val="6"/>
  </w:num>
  <w:num w:numId="8" w16cid:durableId="142449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45334"/>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74E6F"/>
    <w:rsid w:val="00175F9C"/>
    <w:rsid w:val="001A3275"/>
    <w:rsid w:val="001B712B"/>
    <w:rsid w:val="001D035A"/>
    <w:rsid w:val="001D33F5"/>
    <w:rsid w:val="001D3855"/>
    <w:rsid w:val="001D6F2C"/>
    <w:rsid w:val="001F3367"/>
    <w:rsid w:val="001F4C64"/>
    <w:rsid w:val="00226579"/>
    <w:rsid w:val="00233177"/>
    <w:rsid w:val="002438BE"/>
    <w:rsid w:val="0026007D"/>
    <w:rsid w:val="00261F5B"/>
    <w:rsid w:val="002627A2"/>
    <w:rsid w:val="00270DB6"/>
    <w:rsid w:val="00272C5A"/>
    <w:rsid w:val="002743CA"/>
    <w:rsid w:val="00277498"/>
    <w:rsid w:val="00282851"/>
    <w:rsid w:val="002829CF"/>
    <w:rsid w:val="002860B7"/>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6BD8"/>
    <w:rsid w:val="00307602"/>
    <w:rsid w:val="00312A6F"/>
    <w:rsid w:val="003320B2"/>
    <w:rsid w:val="00352D57"/>
    <w:rsid w:val="00357834"/>
    <w:rsid w:val="003609F3"/>
    <w:rsid w:val="00361BAF"/>
    <w:rsid w:val="00362FCE"/>
    <w:rsid w:val="0036352B"/>
    <w:rsid w:val="00364927"/>
    <w:rsid w:val="00367D1F"/>
    <w:rsid w:val="0039590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C46"/>
    <w:rsid w:val="004A1532"/>
    <w:rsid w:val="004B43FF"/>
    <w:rsid w:val="004B6790"/>
    <w:rsid w:val="004C070C"/>
    <w:rsid w:val="004C543D"/>
    <w:rsid w:val="004C7089"/>
    <w:rsid w:val="004D7E25"/>
    <w:rsid w:val="004F265B"/>
    <w:rsid w:val="00500AC6"/>
    <w:rsid w:val="00502641"/>
    <w:rsid w:val="005237E3"/>
    <w:rsid w:val="0054578F"/>
    <w:rsid w:val="00565AF5"/>
    <w:rsid w:val="0056630A"/>
    <w:rsid w:val="005953FB"/>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51F44"/>
    <w:rsid w:val="007706A6"/>
    <w:rsid w:val="00780D9D"/>
    <w:rsid w:val="007943F3"/>
    <w:rsid w:val="007A0583"/>
    <w:rsid w:val="007A738C"/>
    <w:rsid w:val="007B1349"/>
    <w:rsid w:val="007B7B48"/>
    <w:rsid w:val="007D0B92"/>
    <w:rsid w:val="007D1015"/>
    <w:rsid w:val="007D45AC"/>
    <w:rsid w:val="007D4BAB"/>
    <w:rsid w:val="007D517A"/>
    <w:rsid w:val="007E25BD"/>
    <w:rsid w:val="007F1D43"/>
    <w:rsid w:val="007F5C3C"/>
    <w:rsid w:val="00802C35"/>
    <w:rsid w:val="0082181A"/>
    <w:rsid w:val="00821953"/>
    <w:rsid w:val="00824412"/>
    <w:rsid w:val="0082457A"/>
    <w:rsid w:val="00825624"/>
    <w:rsid w:val="0083587A"/>
    <w:rsid w:val="00853064"/>
    <w:rsid w:val="008600E9"/>
    <w:rsid w:val="00873799"/>
    <w:rsid w:val="00883CC3"/>
    <w:rsid w:val="008B470E"/>
    <w:rsid w:val="008B5904"/>
    <w:rsid w:val="008D1880"/>
    <w:rsid w:val="008D29BF"/>
    <w:rsid w:val="008E1211"/>
    <w:rsid w:val="008E5BBF"/>
    <w:rsid w:val="008E6760"/>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773F7"/>
    <w:rsid w:val="009866F6"/>
    <w:rsid w:val="00997FD5"/>
    <w:rsid w:val="009B0F4A"/>
    <w:rsid w:val="009B102B"/>
    <w:rsid w:val="009B3139"/>
    <w:rsid w:val="009D030D"/>
    <w:rsid w:val="009F5CAD"/>
    <w:rsid w:val="009F63D1"/>
    <w:rsid w:val="00A0444A"/>
    <w:rsid w:val="00A049C6"/>
    <w:rsid w:val="00A04B17"/>
    <w:rsid w:val="00A14DB9"/>
    <w:rsid w:val="00A233FC"/>
    <w:rsid w:val="00A31B88"/>
    <w:rsid w:val="00A32F14"/>
    <w:rsid w:val="00A43045"/>
    <w:rsid w:val="00A467B1"/>
    <w:rsid w:val="00A4762A"/>
    <w:rsid w:val="00A64690"/>
    <w:rsid w:val="00A7355E"/>
    <w:rsid w:val="00A74A7E"/>
    <w:rsid w:val="00A85E24"/>
    <w:rsid w:val="00AA43F9"/>
    <w:rsid w:val="00AD1B8A"/>
    <w:rsid w:val="00AE2D60"/>
    <w:rsid w:val="00AE713F"/>
    <w:rsid w:val="00AF2305"/>
    <w:rsid w:val="00AF2821"/>
    <w:rsid w:val="00AF4494"/>
    <w:rsid w:val="00B03329"/>
    <w:rsid w:val="00B1121C"/>
    <w:rsid w:val="00B25B65"/>
    <w:rsid w:val="00B2770A"/>
    <w:rsid w:val="00B314AD"/>
    <w:rsid w:val="00B444CB"/>
    <w:rsid w:val="00B51963"/>
    <w:rsid w:val="00B57BD3"/>
    <w:rsid w:val="00B75BF6"/>
    <w:rsid w:val="00B7735A"/>
    <w:rsid w:val="00B86421"/>
    <w:rsid w:val="00B91DE7"/>
    <w:rsid w:val="00B9580B"/>
    <w:rsid w:val="00BA1F7B"/>
    <w:rsid w:val="00BB58AF"/>
    <w:rsid w:val="00BC00C2"/>
    <w:rsid w:val="00BC00DF"/>
    <w:rsid w:val="00BC3B1C"/>
    <w:rsid w:val="00BD0994"/>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059EB"/>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26E85"/>
    <w:rsid w:val="00E3287E"/>
    <w:rsid w:val="00E472AC"/>
    <w:rsid w:val="00E54D12"/>
    <w:rsid w:val="00E66197"/>
    <w:rsid w:val="00E7397B"/>
    <w:rsid w:val="00E83EEC"/>
    <w:rsid w:val="00EB2ACC"/>
    <w:rsid w:val="00EC2D9C"/>
    <w:rsid w:val="00EE7A37"/>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4BF"/>
    <w:rsid w:val="00FB4C59"/>
    <w:rsid w:val="00FB6521"/>
    <w:rsid w:val="00FC5284"/>
    <w:rsid w:val="00FE0572"/>
    <w:rsid w:val="00FE05EE"/>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7.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microsoft.com/office/2007/relationships/hdphoto" Target="media/hdphoto1.wdp"/><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image" Target="media/image5.png"/><Relationship Id="rId35" Type="http://schemas.openxmlformats.org/officeDocument/2006/relationships/header" Target="header15.xml"/><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8.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6664</Words>
  <Characters>37986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16</cp:revision>
  <cp:lastPrinted>2022-08-09T11:24:00Z</cp:lastPrinted>
  <dcterms:created xsi:type="dcterms:W3CDTF">2022-08-09T08:16:00Z</dcterms:created>
  <dcterms:modified xsi:type="dcterms:W3CDTF">2022-08-13T15:14:00Z</dcterms:modified>
</cp:coreProperties>
</file>