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163E65">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E8638" w14:textId="45843B3B" w:rsidR="00DE049A" w:rsidRPr="00DE049A" w:rsidRDefault="00DE049A" w:rsidP="00163E65">
      <w:pPr>
        <w:spacing w:after="0"/>
        <w:jc w:val="center"/>
        <w:rPr>
          <w:rFonts w:ascii="Times New Roman" w:hAnsi="Times New Roman"/>
          <w:noProof/>
          <w:sz w:val="28"/>
          <w:szCs w:val="28"/>
          <w:lang w:bidi="ar-SA"/>
        </w:rPr>
      </w:pPr>
      <w:r w:rsidRPr="00DE049A">
        <w:rPr>
          <w:rFonts w:ascii="Times New Roman" w:hAnsi="Times New Roman"/>
          <w:noProof/>
          <w:sz w:val="28"/>
          <w:szCs w:val="28"/>
          <w:lang w:bidi="ar-SA"/>
        </w:rPr>
        <w:t xml:space="preserve">CHANGES OF FATTY ACID COMPOSITION IN SCLERACTINIAN CORAL, </w:t>
      </w:r>
      <w:r w:rsidRPr="00DE049A">
        <w:rPr>
          <w:rFonts w:ascii="Times New Roman" w:hAnsi="Times New Roman"/>
          <w:i/>
          <w:iCs/>
          <w:noProof/>
          <w:sz w:val="28"/>
          <w:szCs w:val="28"/>
          <w:lang w:bidi="ar-SA"/>
        </w:rPr>
        <w:t>Galaxea fascicularis</w:t>
      </w:r>
      <w:r w:rsidRPr="00DE049A">
        <w:rPr>
          <w:rFonts w:ascii="Times New Roman" w:hAnsi="Times New Roman"/>
          <w:noProof/>
          <w:sz w:val="28"/>
          <w:szCs w:val="28"/>
          <w:lang w:bidi="ar-SA"/>
        </w:rPr>
        <w:t xml:space="preserve"> (LINNAEUS, 1767) BY ACUTE EXPOSURE OF </w:t>
      </w:r>
    </w:p>
    <w:p w14:paraId="4559BFE3" w14:textId="212D0CBA" w:rsidR="00A37A74" w:rsidRDefault="00DE049A" w:rsidP="00163E65">
      <w:pPr>
        <w:spacing w:after="0"/>
        <w:jc w:val="center"/>
        <w:rPr>
          <w:rFonts w:ascii="Times New Roman" w:hAnsi="Times New Roman"/>
          <w:noProof/>
          <w:sz w:val="28"/>
          <w:szCs w:val="28"/>
          <w:lang w:bidi="ar-SA"/>
        </w:rPr>
      </w:pPr>
      <w:r w:rsidRPr="00DE049A">
        <w:rPr>
          <w:rFonts w:ascii="Times New Roman" w:hAnsi="Times New Roman"/>
          <w:noProof/>
          <w:sz w:val="28"/>
          <w:szCs w:val="28"/>
          <w:lang w:bidi="ar-SA"/>
        </w:rPr>
        <w:t>IRGAROL-1051</w:t>
      </w:r>
    </w:p>
    <w:p w14:paraId="584E0E37" w14:textId="77777777" w:rsidR="00DE049A" w:rsidRPr="00FB1ED6" w:rsidRDefault="00DE049A" w:rsidP="00163E65">
      <w:pPr>
        <w:spacing w:after="0"/>
        <w:jc w:val="center"/>
        <w:rPr>
          <w:rFonts w:ascii="Times New Roman" w:hAnsi="Times New Roman"/>
          <w:noProof/>
          <w:sz w:val="24"/>
          <w:szCs w:val="24"/>
          <w:lang w:bidi="ar-SA"/>
        </w:rPr>
      </w:pPr>
    </w:p>
    <w:p w14:paraId="3B16BD38" w14:textId="77777777" w:rsidR="00DE049A" w:rsidRPr="00FB1ED6" w:rsidRDefault="00DE049A" w:rsidP="00163E65">
      <w:pPr>
        <w:spacing w:after="0"/>
        <w:jc w:val="center"/>
        <w:rPr>
          <w:rFonts w:ascii="Times New Roman" w:eastAsia="Calibri" w:hAnsi="Times New Roman"/>
          <w:sz w:val="24"/>
          <w:szCs w:val="24"/>
          <w:lang w:val="en-MY" w:bidi="ar-SA"/>
        </w:rPr>
      </w:pPr>
      <w:r w:rsidRPr="00FB1ED6">
        <w:rPr>
          <w:rFonts w:ascii="Times New Roman" w:eastAsia="Calibri" w:hAnsi="Times New Roman"/>
          <w:sz w:val="24"/>
          <w:szCs w:val="24"/>
          <w:lang w:val="en-MY" w:bidi="ar-SA"/>
        </w:rPr>
        <w:t>(</w:t>
      </w:r>
      <w:r w:rsidRPr="00FB1ED6">
        <w:rPr>
          <w:rFonts w:ascii="Times New Roman" w:eastAsia="Calibri" w:hAnsi="Times New Roman"/>
          <w:noProof/>
          <w:sz w:val="24"/>
          <w:szCs w:val="24"/>
          <w:lang w:val="ms-MY" w:bidi="ar-SA"/>
        </w:rPr>
        <w:t xml:space="preserve">Perubahan Komposisi Asid Lemak dalam Karang Scleractinia, </w:t>
      </w:r>
      <w:r w:rsidRPr="00FB1ED6">
        <w:rPr>
          <w:rFonts w:ascii="Times New Roman" w:eastAsia="Calibri" w:hAnsi="Times New Roman"/>
          <w:i/>
          <w:iCs/>
          <w:noProof/>
          <w:sz w:val="24"/>
          <w:szCs w:val="24"/>
          <w:lang w:val="ms-MY" w:bidi="ar-SA"/>
        </w:rPr>
        <w:t>Galaxea fascicularis</w:t>
      </w:r>
      <w:r w:rsidRPr="00FB1ED6">
        <w:rPr>
          <w:rFonts w:ascii="Times New Roman" w:eastAsia="Calibri" w:hAnsi="Times New Roman"/>
          <w:noProof/>
          <w:sz w:val="24"/>
          <w:szCs w:val="24"/>
          <w:lang w:val="ms-MY" w:bidi="ar-SA"/>
        </w:rPr>
        <w:t xml:space="preserve"> (LINNAEUS, 1976) oleh Pededahan Akut Irgarol-1051</w:t>
      </w:r>
      <w:r w:rsidRPr="00FB1ED6">
        <w:rPr>
          <w:rFonts w:ascii="Times New Roman" w:eastAsia="Calibri" w:hAnsi="Times New Roman"/>
          <w:sz w:val="24"/>
          <w:szCs w:val="24"/>
          <w:lang w:val="en-MY" w:bidi="ar-SA"/>
        </w:rPr>
        <w:t>)</w:t>
      </w:r>
    </w:p>
    <w:p w14:paraId="7265D0A0" w14:textId="77777777" w:rsidR="00DE049A" w:rsidRPr="00DE049A" w:rsidRDefault="00DE049A" w:rsidP="00FB1ED6">
      <w:pPr>
        <w:spacing w:after="0"/>
        <w:jc w:val="center"/>
        <w:rPr>
          <w:rFonts w:ascii="Times New Roman" w:eastAsia="Calibri" w:hAnsi="Times New Roman"/>
          <w:sz w:val="20"/>
          <w:lang w:val="en-MY" w:bidi="ar-SA"/>
        </w:rPr>
      </w:pPr>
    </w:p>
    <w:p w14:paraId="47018EAC" w14:textId="13B00562" w:rsidR="00DE049A" w:rsidRPr="00FB1ED6" w:rsidRDefault="00DE049A" w:rsidP="00FB1ED6">
      <w:pPr>
        <w:spacing w:after="0"/>
        <w:jc w:val="center"/>
        <w:rPr>
          <w:rFonts w:ascii="Times New Roman" w:eastAsia="Calibri" w:hAnsi="Times New Roman"/>
          <w:noProof/>
          <w:sz w:val="20"/>
          <w:szCs w:val="20"/>
          <w:lang w:val="en-MY" w:bidi="ar-SA"/>
        </w:rPr>
      </w:pPr>
      <w:r w:rsidRPr="00FB1ED6">
        <w:rPr>
          <w:rFonts w:ascii="Times New Roman" w:eastAsia="Calibri" w:hAnsi="Times New Roman"/>
          <w:noProof/>
          <w:sz w:val="20"/>
          <w:szCs w:val="20"/>
          <w:lang w:val="en-MY" w:bidi="ar-SA"/>
        </w:rPr>
        <w:t>Hassan Rashid Ali</w:t>
      </w:r>
      <w:r w:rsidRPr="00FB1ED6">
        <w:rPr>
          <w:rFonts w:ascii="Times New Roman" w:eastAsia="Calibri" w:hAnsi="Times New Roman"/>
          <w:noProof/>
          <w:sz w:val="20"/>
          <w:szCs w:val="20"/>
          <w:vertAlign w:val="superscript"/>
          <w:lang w:val="en-MY" w:bidi="ar-SA"/>
        </w:rPr>
        <w:t>1</w:t>
      </w:r>
      <w:r w:rsidRPr="00FB1ED6">
        <w:rPr>
          <w:rFonts w:ascii="Times New Roman" w:eastAsia="Calibri" w:hAnsi="Times New Roman"/>
          <w:noProof/>
          <w:sz w:val="20"/>
          <w:szCs w:val="20"/>
          <w:lang w:val="en-MY" w:bidi="ar-SA"/>
        </w:rPr>
        <w:t>, Che Din Mohd Safuan</w:t>
      </w:r>
      <w:r w:rsidRPr="00FB1ED6">
        <w:rPr>
          <w:rFonts w:ascii="Times New Roman" w:eastAsia="Calibri" w:hAnsi="Times New Roman"/>
          <w:noProof/>
          <w:sz w:val="20"/>
          <w:szCs w:val="20"/>
          <w:vertAlign w:val="superscript"/>
          <w:lang w:val="en-MY" w:bidi="ar-SA"/>
        </w:rPr>
        <w:t>2</w:t>
      </w:r>
      <w:r w:rsidRPr="00FB1ED6">
        <w:rPr>
          <w:rFonts w:ascii="Times New Roman" w:eastAsia="Calibri" w:hAnsi="Times New Roman"/>
          <w:noProof/>
          <w:sz w:val="20"/>
          <w:szCs w:val="20"/>
          <w:lang w:val="en-MY" w:bidi="ar-SA"/>
        </w:rPr>
        <w:t>, Marinah Mohd Ariffin</w:t>
      </w:r>
      <w:r w:rsidRPr="00FB1ED6">
        <w:rPr>
          <w:rFonts w:ascii="Times New Roman" w:eastAsia="Calibri" w:hAnsi="Times New Roman"/>
          <w:noProof/>
          <w:sz w:val="20"/>
          <w:szCs w:val="20"/>
          <w:vertAlign w:val="superscript"/>
          <w:lang w:val="en-MY" w:bidi="ar-SA"/>
        </w:rPr>
        <w:t>3</w:t>
      </w:r>
      <w:r w:rsidRPr="00FB1ED6">
        <w:rPr>
          <w:rFonts w:ascii="Times New Roman" w:eastAsia="Calibri" w:hAnsi="Times New Roman"/>
          <w:noProof/>
          <w:sz w:val="20"/>
          <w:szCs w:val="20"/>
          <w:lang w:val="en-MY" w:bidi="ar-SA"/>
        </w:rPr>
        <w:t>, Mohammed Ali Sheikh</w:t>
      </w:r>
      <w:r w:rsidRPr="00FB1ED6">
        <w:rPr>
          <w:rFonts w:ascii="Times New Roman" w:eastAsia="Calibri" w:hAnsi="Times New Roman"/>
          <w:noProof/>
          <w:sz w:val="20"/>
          <w:szCs w:val="20"/>
          <w:vertAlign w:val="superscript"/>
          <w:lang w:val="en-MY" w:bidi="ar-SA"/>
        </w:rPr>
        <w:t>1</w:t>
      </w:r>
      <w:r w:rsidRPr="00FB1ED6">
        <w:rPr>
          <w:rFonts w:ascii="Times New Roman" w:eastAsia="Calibri" w:hAnsi="Times New Roman"/>
          <w:noProof/>
          <w:sz w:val="20"/>
          <w:szCs w:val="20"/>
          <w:lang w:val="en-MY" w:bidi="ar-SA"/>
        </w:rPr>
        <w:t>,</w:t>
      </w:r>
    </w:p>
    <w:p w14:paraId="21CB42C3" w14:textId="77777777" w:rsidR="00DE049A" w:rsidRPr="00FB1ED6" w:rsidRDefault="00DE049A" w:rsidP="00FB1ED6">
      <w:pPr>
        <w:spacing w:after="0"/>
        <w:jc w:val="center"/>
        <w:rPr>
          <w:rFonts w:ascii="Times New Roman" w:eastAsia="Calibri" w:hAnsi="Times New Roman"/>
          <w:noProof/>
          <w:sz w:val="20"/>
          <w:szCs w:val="20"/>
          <w:vertAlign w:val="superscript"/>
          <w:lang w:val="en-MY" w:bidi="ar-SA"/>
        </w:rPr>
      </w:pPr>
      <w:r w:rsidRPr="00FB1ED6">
        <w:rPr>
          <w:rFonts w:ascii="Times New Roman" w:eastAsia="Calibri" w:hAnsi="Times New Roman"/>
          <w:noProof/>
          <w:sz w:val="20"/>
          <w:szCs w:val="20"/>
          <w:lang w:val="en-MY" w:bidi="ar-SA"/>
        </w:rPr>
        <w:t>Noor Azhar Mohamed Shazili</w:t>
      </w:r>
      <w:r w:rsidRPr="00FB1ED6">
        <w:rPr>
          <w:rFonts w:ascii="Times New Roman" w:eastAsia="Calibri" w:hAnsi="Times New Roman"/>
          <w:noProof/>
          <w:sz w:val="20"/>
          <w:szCs w:val="20"/>
          <w:vertAlign w:val="superscript"/>
          <w:lang w:val="en-MY" w:bidi="ar-SA"/>
        </w:rPr>
        <w:t>2</w:t>
      </w:r>
      <w:r w:rsidRPr="00FB1ED6">
        <w:rPr>
          <w:rFonts w:ascii="Times New Roman" w:eastAsia="Calibri" w:hAnsi="Times New Roman"/>
          <w:noProof/>
          <w:sz w:val="20"/>
          <w:szCs w:val="20"/>
          <w:lang w:val="en-MY" w:bidi="ar-SA"/>
        </w:rPr>
        <w:t>, Aminudin Muhammad Afiq-Firdaus</w:t>
      </w:r>
      <w:r w:rsidRPr="00FB1ED6">
        <w:rPr>
          <w:rFonts w:ascii="Times New Roman" w:eastAsia="Calibri" w:hAnsi="Times New Roman"/>
          <w:noProof/>
          <w:sz w:val="20"/>
          <w:szCs w:val="20"/>
          <w:vertAlign w:val="superscript"/>
          <w:lang w:val="en-MY" w:bidi="ar-SA"/>
        </w:rPr>
        <w:t>2</w:t>
      </w:r>
      <w:r w:rsidRPr="00FB1ED6">
        <w:rPr>
          <w:rFonts w:ascii="Times New Roman" w:eastAsia="Calibri" w:hAnsi="Times New Roman"/>
          <w:noProof/>
          <w:sz w:val="20"/>
          <w:szCs w:val="20"/>
          <w:lang w:val="en-MY" w:bidi="ar-SA"/>
        </w:rPr>
        <w:t>, Zainudin Bachok</w:t>
      </w:r>
      <w:r w:rsidRPr="00FB1ED6">
        <w:rPr>
          <w:rFonts w:ascii="Times New Roman" w:eastAsia="Calibri" w:hAnsi="Times New Roman"/>
          <w:noProof/>
          <w:sz w:val="20"/>
          <w:szCs w:val="20"/>
          <w:vertAlign w:val="superscript"/>
          <w:lang w:val="en-MY" w:bidi="ar-SA"/>
        </w:rPr>
        <w:t>2</w:t>
      </w:r>
      <w:r w:rsidRPr="00FB1ED6">
        <w:rPr>
          <w:rFonts w:ascii="Times New Roman" w:eastAsia="Calibri" w:hAnsi="Times New Roman"/>
          <w:noProof/>
          <w:sz w:val="20"/>
          <w:szCs w:val="20"/>
          <w:lang w:val="en-MY" w:bidi="ar-SA"/>
        </w:rPr>
        <w:t>*</w:t>
      </w:r>
    </w:p>
    <w:p w14:paraId="0DCD0A5C" w14:textId="77777777" w:rsidR="00DE049A" w:rsidRPr="00FB1ED6" w:rsidRDefault="00DE049A" w:rsidP="00FB1ED6">
      <w:pPr>
        <w:spacing w:after="0"/>
        <w:jc w:val="center"/>
        <w:rPr>
          <w:rFonts w:ascii="Times New Roman" w:eastAsia="Calibri" w:hAnsi="Times New Roman"/>
          <w:noProof/>
          <w:sz w:val="18"/>
          <w:szCs w:val="18"/>
          <w:vertAlign w:val="superscript"/>
          <w:lang w:val="en-MY" w:bidi="ar-SA"/>
        </w:rPr>
      </w:pPr>
    </w:p>
    <w:p w14:paraId="0E1324E5" w14:textId="77777777" w:rsidR="00DE049A" w:rsidRPr="00FB1ED6" w:rsidRDefault="00DE049A" w:rsidP="00163E65">
      <w:pPr>
        <w:spacing w:after="0"/>
        <w:jc w:val="center"/>
        <w:rPr>
          <w:rFonts w:ascii="Times New Roman" w:eastAsia="Calibri" w:hAnsi="Times New Roman"/>
          <w:i/>
          <w:iCs/>
          <w:noProof/>
          <w:sz w:val="18"/>
          <w:szCs w:val="18"/>
          <w:lang w:val="en-MY" w:bidi="ar-SA"/>
        </w:rPr>
      </w:pPr>
      <w:r w:rsidRPr="00FB1ED6">
        <w:rPr>
          <w:rFonts w:ascii="Times New Roman" w:eastAsia="Calibri" w:hAnsi="Times New Roman"/>
          <w:i/>
          <w:iCs/>
          <w:noProof/>
          <w:sz w:val="18"/>
          <w:szCs w:val="18"/>
          <w:vertAlign w:val="superscript"/>
          <w:lang w:val="en-MY" w:bidi="ar-SA"/>
        </w:rPr>
        <w:t>1</w:t>
      </w:r>
      <w:r w:rsidRPr="00FB1ED6">
        <w:rPr>
          <w:rFonts w:ascii="Times New Roman" w:eastAsia="Calibri" w:hAnsi="Times New Roman"/>
          <w:i/>
          <w:iCs/>
          <w:noProof/>
          <w:sz w:val="18"/>
          <w:szCs w:val="18"/>
          <w:lang w:val="en-MY" w:bidi="ar-SA"/>
        </w:rPr>
        <w:t xml:space="preserve">Tropical Research Centre for Oceanography, Environment and Natural Resources, </w:t>
      </w:r>
    </w:p>
    <w:p w14:paraId="0F7B24E2" w14:textId="77777777" w:rsidR="00DE049A" w:rsidRPr="00FB1ED6" w:rsidRDefault="00DE049A" w:rsidP="00163E65">
      <w:pPr>
        <w:spacing w:after="0"/>
        <w:jc w:val="center"/>
        <w:rPr>
          <w:rFonts w:ascii="Times New Roman" w:eastAsia="Calibri" w:hAnsi="Times New Roman"/>
          <w:i/>
          <w:iCs/>
          <w:noProof/>
          <w:sz w:val="18"/>
          <w:szCs w:val="18"/>
          <w:lang w:val="en-MY" w:bidi="ar-SA"/>
        </w:rPr>
      </w:pPr>
      <w:r w:rsidRPr="00FB1ED6">
        <w:rPr>
          <w:rFonts w:ascii="Times New Roman" w:eastAsia="Calibri" w:hAnsi="Times New Roman"/>
          <w:i/>
          <w:iCs/>
          <w:noProof/>
          <w:sz w:val="18"/>
          <w:szCs w:val="18"/>
          <w:lang w:val="en-MY" w:bidi="ar-SA"/>
        </w:rPr>
        <w:t>The State University of Zanzibar, P. O. Box 146, Zanzibar-Tanzania</w:t>
      </w:r>
    </w:p>
    <w:p w14:paraId="0242B4B8" w14:textId="300EE819" w:rsidR="00DE049A" w:rsidRPr="00FB1ED6" w:rsidRDefault="00DE049A" w:rsidP="00163E65">
      <w:pPr>
        <w:spacing w:after="0"/>
        <w:jc w:val="center"/>
        <w:rPr>
          <w:rFonts w:ascii="Times New Roman" w:eastAsia="Calibri" w:hAnsi="Times New Roman"/>
          <w:i/>
          <w:iCs/>
          <w:noProof/>
          <w:sz w:val="18"/>
          <w:szCs w:val="18"/>
          <w:lang w:val="en-MY" w:bidi="ar-SA"/>
        </w:rPr>
      </w:pPr>
      <w:r w:rsidRPr="00FB1ED6">
        <w:rPr>
          <w:rFonts w:ascii="Times New Roman" w:eastAsia="Calibri" w:hAnsi="Times New Roman"/>
          <w:i/>
          <w:iCs/>
          <w:noProof/>
          <w:sz w:val="18"/>
          <w:szCs w:val="18"/>
          <w:vertAlign w:val="superscript"/>
          <w:lang w:val="en-MY" w:bidi="ar-SA"/>
        </w:rPr>
        <w:t>2</w:t>
      </w:r>
      <w:r w:rsidRPr="00FB1ED6">
        <w:rPr>
          <w:rFonts w:ascii="Times New Roman" w:eastAsia="Calibri" w:hAnsi="Times New Roman"/>
          <w:i/>
          <w:iCs/>
          <w:noProof/>
          <w:sz w:val="18"/>
          <w:szCs w:val="18"/>
          <w:lang w:val="en-MY" w:bidi="ar-SA"/>
        </w:rPr>
        <w:t xml:space="preserve">Institute of Oceanography and Environment </w:t>
      </w:r>
    </w:p>
    <w:p w14:paraId="41625FFE" w14:textId="3856D6DA" w:rsidR="00DE049A" w:rsidRPr="00FB1ED6" w:rsidRDefault="00DE049A" w:rsidP="00163E65">
      <w:pPr>
        <w:spacing w:after="0"/>
        <w:jc w:val="center"/>
        <w:rPr>
          <w:rFonts w:ascii="Times New Roman" w:eastAsia="Calibri" w:hAnsi="Times New Roman"/>
          <w:i/>
          <w:iCs/>
          <w:noProof/>
          <w:sz w:val="18"/>
          <w:szCs w:val="18"/>
          <w:lang w:val="en-MY" w:bidi="ar-SA"/>
        </w:rPr>
      </w:pPr>
      <w:r w:rsidRPr="00FB1ED6">
        <w:rPr>
          <w:rFonts w:ascii="Times New Roman" w:eastAsia="Calibri" w:hAnsi="Times New Roman"/>
          <w:i/>
          <w:iCs/>
          <w:noProof/>
          <w:sz w:val="18"/>
          <w:szCs w:val="18"/>
          <w:vertAlign w:val="superscript"/>
          <w:lang w:val="en-MY" w:bidi="ar-SA"/>
        </w:rPr>
        <w:t>3</w:t>
      </w:r>
      <w:r w:rsidRPr="00FB1ED6">
        <w:rPr>
          <w:rFonts w:ascii="Times New Roman" w:eastAsia="Calibri" w:hAnsi="Times New Roman"/>
          <w:i/>
          <w:iCs/>
          <w:noProof/>
          <w:sz w:val="18"/>
          <w:szCs w:val="18"/>
          <w:lang w:val="en-MY" w:bidi="ar-SA"/>
        </w:rPr>
        <w:t>Faculty of Science and Marine and Environment</w:t>
      </w:r>
    </w:p>
    <w:p w14:paraId="76097773" w14:textId="77777777" w:rsidR="00DE049A" w:rsidRPr="00FB1ED6" w:rsidRDefault="00DE049A" w:rsidP="00163E65">
      <w:pPr>
        <w:spacing w:after="0"/>
        <w:jc w:val="center"/>
        <w:rPr>
          <w:rFonts w:ascii="Times New Roman" w:eastAsia="Calibri" w:hAnsi="Times New Roman"/>
          <w:i/>
          <w:iCs/>
          <w:noProof/>
          <w:sz w:val="18"/>
          <w:szCs w:val="18"/>
          <w:lang w:val="en-MY" w:bidi="ar-SA"/>
        </w:rPr>
      </w:pPr>
      <w:r w:rsidRPr="00FB1ED6">
        <w:rPr>
          <w:rFonts w:ascii="Times New Roman" w:eastAsia="Calibri" w:hAnsi="Times New Roman"/>
          <w:i/>
          <w:iCs/>
          <w:noProof/>
          <w:sz w:val="18"/>
          <w:szCs w:val="18"/>
          <w:lang w:val="en-MY" w:bidi="ar-SA"/>
        </w:rPr>
        <w:t>University Malaysia Terengganu, 21030 Kuala Nerus, Terengganu, Malaysia</w:t>
      </w:r>
    </w:p>
    <w:p w14:paraId="6438715C" w14:textId="77777777" w:rsidR="00DE049A" w:rsidRPr="00FB1ED6" w:rsidRDefault="00DE049A" w:rsidP="00163E65">
      <w:pPr>
        <w:spacing w:after="0"/>
        <w:jc w:val="center"/>
        <w:rPr>
          <w:rFonts w:ascii="Times New Roman" w:eastAsia="Calibri" w:hAnsi="Times New Roman"/>
          <w:sz w:val="18"/>
          <w:szCs w:val="18"/>
          <w:lang w:val="en-MY" w:bidi="ar-SA"/>
        </w:rPr>
      </w:pPr>
    </w:p>
    <w:p w14:paraId="6461B68E" w14:textId="00EE60F9" w:rsidR="00DE049A" w:rsidRPr="00FB1ED6" w:rsidRDefault="00DE049A" w:rsidP="00163E65">
      <w:pPr>
        <w:spacing w:after="0"/>
        <w:jc w:val="center"/>
        <w:rPr>
          <w:rFonts w:ascii="Times New Roman" w:eastAsia="Calibri" w:hAnsi="Times New Roman"/>
          <w:i/>
          <w:sz w:val="18"/>
          <w:szCs w:val="18"/>
          <w:lang w:val="en-MY" w:bidi="ar-SA"/>
        </w:rPr>
      </w:pPr>
      <w:r w:rsidRPr="00FB1ED6">
        <w:rPr>
          <w:rFonts w:ascii="Times New Roman" w:eastAsia="Calibri" w:hAnsi="Times New Roman"/>
          <w:i/>
          <w:sz w:val="18"/>
          <w:szCs w:val="18"/>
          <w:lang w:val="en-MY" w:bidi="ar-SA"/>
        </w:rPr>
        <w:t xml:space="preserve">*Corresponding author: </w:t>
      </w:r>
      <w:r w:rsidR="00FB1ED6">
        <w:rPr>
          <w:rFonts w:ascii="Times New Roman" w:eastAsia="Calibri" w:hAnsi="Times New Roman"/>
          <w:i/>
          <w:sz w:val="18"/>
          <w:szCs w:val="18"/>
          <w:lang w:val="en-MY" w:bidi="ar-SA"/>
        </w:rPr>
        <w:t xml:space="preserve"> </w:t>
      </w:r>
      <w:r w:rsidRPr="00FB1ED6">
        <w:rPr>
          <w:rFonts w:ascii="Times New Roman" w:eastAsia="Calibri" w:hAnsi="Times New Roman"/>
          <w:i/>
          <w:sz w:val="18"/>
          <w:szCs w:val="18"/>
          <w:lang w:val="en-MY" w:bidi="ar-SA"/>
        </w:rPr>
        <w:t>zainudinb@umt.edu.my</w:t>
      </w:r>
    </w:p>
    <w:p w14:paraId="5FB2B71D" w14:textId="77777777" w:rsidR="00A37A74" w:rsidRPr="006E784D" w:rsidRDefault="00A37A74" w:rsidP="00163E65">
      <w:pPr>
        <w:spacing w:after="0"/>
        <w:jc w:val="center"/>
        <w:rPr>
          <w:rFonts w:ascii="Times New Roman" w:hAnsi="Times New Roman"/>
          <w:noProof/>
          <w:sz w:val="18"/>
          <w:szCs w:val="18"/>
          <w:lang w:bidi="ar-SA"/>
        </w:rPr>
      </w:pPr>
    </w:p>
    <w:p w14:paraId="6627C101" w14:textId="77777777" w:rsidR="00A37A74" w:rsidRPr="006E784D" w:rsidRDefault="00A37A74" w:rsidP="00163E65">
      <w:pPr>
        <w:spacing w:after="0"/>
        <w:jc w:val="center"/>
        <w:rPr>
          <w:rFonts w:ascii="Times New Roman" w:hAnsi="Times New Roman"/>
          <w:noProof/>
          <w:sz w:val="18"/>
          <w:szCs w:val="18"/>
          <w:lang w:bidi="ar-SA"/>
        </w:rPr>
      </w:pPr>
    </w:p>
    <w:p w14:paraId="44FFC42D" w14:textId="0EE42385" w:rsidR="00BA1F7B" w:rsidRPr="00383C16" w:rsidRDefault="00A37A74" w:rsidP="00163E65">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DE049A">
        <w:rPr>
          <w:rFonts w:ascii="Times New Roman" w:hAnsi="Times New Roman"/>
          <w:noProof/>
          <w:sz w:val="18"/>
          <w:szCs w:val="18"/>
          <w:lang w:bidi="ar-SA"/>
        </w:rPr>
        <w:t>20 February 2022</w:t>
      </w:r>
      <w:r w:rsidRPr="006E784D">
        <w:rPr>
          <w:rFonts w:ascii="Times New Roman" w:hAnsi="Times New Roman"/>
          <w:noProof/>
          <w:sz w:val="18"/>
          <w:szCs w:val="18"/>
          <w:lang w:bidi="ar-SA"/>
        </w:rPr>
        <w:t>; Accepted:</w:t>
      </w:r>
      <w:r w:rsidR="00DE049A">
        <w:rPr>
          <w:rFonts w:ascii="Times New Roman" w:hAnsi="Times New Roman"/>
          <w:noProof/>
          <w:sz w:val="18"/>
          <w:szCs w:val="18"/>
          <w:lang w:bidi="ar-SA"/>
        </w:rPr>
        <w:t xml:space="preserve"> 18 May 2022</w:t>
      </w:r>
      <w:r>
        <w:rPr>
          <w:rFonts w:ascii="Times New Roman" w:hAnsi="Times New Roman"/>
          <w:noProof/>
          <w:sz w:val="18"/>
          <w:szCs w:val="18"/>
          <w:lang w:bidi="ar-SA"/>
        </w:rPr>
        <w:t>; Published:  xx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163E65">
      <w:pPr>
        <w:spacing w:after="0"/>
        <w:jc w:val="center"/>
        <w:rPr>
          <w:rFonts w:ascii="Times New Roman" w:hAnsi="Times New Roman"/>
          <w:noProof/>
          <w:sz w:val="18"/>
          <w:szCs w:val="18"/>
          <w:lang w:bidi="ar-SA"/>
        </w:rPr>
      </w:pPr>
    </w:p>
    <w:p w14:paraId="30229EE9" w14:textId="77777777" w:rsidR="00DE049A" w:rsidRDefault="00DE049A" w:rsidP="00163E65">
      <w:pPr>
        <w:widowControl w:val="0"/>
        <w:spacing w:after="0" w:line="240" w:lineRule="auto"/>
        <w:jc w:val="center"/>
        <w:outlineLvl w:val="0"/>
        <w:rPr>
          <w:rFonts w:ascii="Times New Roman" w:hAnsi="Times New Roman"/>
          <w:b/>
          <w:noProof/>
          <w:sz w:val="18"/>
          <w:szCs w:val="18"/>
          <w:lang w:bidi="ar-SA"/>
        </w:rPr>
      </w:pPr>
    </w:p>
    <w:p w14:paraId="5E16F71C" w14:textId="1E8A065B"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18"/>
          <w:szCs w:val="44"/>
          <w:lang w:bidi="ar-SA"/>
        </w:rPr>
        <w:t>Abstract</w:t>
      </w:r>
    </w:p>
    <w:p w14:paraId="3212DD7E" w14:textId="540ADFF6" w:rsidR="00DE049A" w:rsidRDefault="00DE049A" w:rsidP="00163E65">
      <w:pPr>
        <w:spacing w:after="0"/>
        <w:jc w:val="both"/>
        <w:rPr>
          <w:rFonts w:ascii="Times New Roman" w:eastAsia="Calibri" w:hAnsi="Times New Roman"/>
          <w:sz w:val="18"/>
          <w:szCs w:val="18"/>
          <w:lang w:val="en-MY" w:bidi="ar-SA"/>
        </w:rPr>
      </w:pPr>
      <w:r w:rsidRPr="00DE049A">
        <w:rPr>
          <w:rFonts w:ascii="Times New Roman" w:eastAsia="Calibri" w:hAnsi="Times New Roman"/>
          <w:sz w:val="18"/>
          <w:szCs w:val="18"/>
          <w:lang w:val="en-MY" w:bidi="ar-SA"/>
        </w:rPr>
        <w:t xml:space="preserve">Antifouling biocide such as Irgarol 1051 has been widely used as a replacement of tributyl tin (TBT). In Malaysia, we reported the level of Irgarol in coastal water up to 2021ng/L. This raises concern because high dosage of chemical pollutant in the seawater can affect the marine organisms.  This study therefore, examined the effect of Irgarol 1051 on fatty acids composition of reef building coral </w:t>
      </w:r>
      <w:r w:rsidRPr="00DE049A">
        <w:rPr>
          <w:rFonts w:ascii="Times New Roman" w:eastAsia="Calibri" w:hAnsi="Times New Roman"/>
          <w:i/>
          <w:sz w:val="18"/>
          <w:szCs w:val="18"/>
          <w:lang w:val="en-MY" w:bidi="ar-SA"/>
        </w:rPr>
        <w:t>Galaxea fascicularis</w:t>
      </w:r>
      <w:r w:rsidRPr="00DE049A">
        <w:rPr>
          <w:rFonts w:ascii="Times New Roman" w:eastAsia="Calibri" w:hAnsi="Times New Roman"/>
          <w:iCs/>
          <w:sz w:val="18"/>
          <w:szCs w:val="18"/>
          <w:lang w:val="en-MY" w:bidi="ar-SA"/>
        </w:rPr>
        <w:t>, collected in Pulau Bidong, Malaysia</w:t>
      </w:r>
      <w:r w:rsidRPr="00DE049A">
        <w:rPr>
          <w:rFonts w:ascii="Times New Roman" w:eastAsia="Calibri" w:hAnsi="Times New Roman"/>
          <w:i/>
          <w:sz w:val="18"/>
          <w:szCs w:val="18"/>
          <w:lang w:val="en-MY" w:bidi="ar-SA"/>
        </w:rPr>
        <w:t>.</w:t>
      </w:r>
      <w:r w:rsidRPr="00DE049A">
        <w:rPr>
          <w:rFonts w:ascii="Times New Roman" w:eastAsia="Calibri" w:hAnsi="Times New Roman"/>
          <w:sz w:val="18"/>
          <w:szCs w:val="18"/>
          <w:lang w:val="en-MY" w:bidi="ar-SA"/>
        </w:rPr>
        <w:t xml:space="preserve">  The corals were exposed to different doses of Irgarol 1051 under short term exposure (96 hrs) and the fatty acid compositions of the coral tissues were determined using the gas chromatography technique</w:t>
      </w:r>
      <w:r w:rsidRPr="00DE049A">
        <w:rPr>
          <w:rFonts w:ascii="Times New Roman" w:eastAsia="Calibri" w:hAnsi="Times New Roman"/>
          <w:i/>
          <w:sz w:val="18"/>
          <w:szCs w:val="18"/>
          <w:lang w:val="en-MY" w:bidi="ar-SA"/>
        </w:rPr>
        <w:t>.</w:t>
      </w:r>
      <w:r w:rsidRPr="00DE049A">
        <w:rPr>
          <w:rFonts w:ascii="Times New Roman" w:eastAsia="Calibri" w:hAnsi="Times New Roman"/>
          <w:sz w:val="18"/>
          <w:szCs w:val="18"/>
          <w:lang w:val="en-MY" w:bidi="ar-SA"/>
        </w:rPr>
        <w:t xml:space="preserve"> The findings revealed no clear different (</w:t>
      </w:r>
      <w:r w:rsidRPr="00DE049A">
        <w:rPr>
          <w:rFonts w:ascii="Times New Roman" w:eastAsia="Calibri" w:hAnsi="Times New Roman"/>
          <w:i/>
          <w:iCs/>
          <w:sz w:val="18"/>
          <w:szCs w:val="18"/>
          <w:lang w:val="en-MY" w:bidi="ar-SA"/>
        </w:rPr>
        <w:t>p</w:t>
      </w:r>
      <w:r w:rsidRPr="00DE049A">
        <w:rPr>
          <w:rFonts w:ascii="Times New Roman" w:eastAsia="Calibri" w:hAnsi="Times New Roman"/>
          <w:sz w:val="18"/>
          <w:szCs w:val="18"/>
          <w:lang w:val="en-MY" w:bidi="ar-SA"/>
        </w:rPr>
        <w:t xml:space="preserve"> &gt;0.05) among untreated samples (fresh and control) and both were dominated by polyunsaturated fatty acids (PUFA), followed by saturated fatty acids (SAFA) and monounsaturated fatty acids (MUFA). In contrast, the treated samples of </w:t>
      </w:r>
      <w:r w:rsidRPr="00DE049A">
        <w:rPr>
          <w:rFonts w:ascii="Times New Roman" w:eastAsia="Calibri" w:hAnsi="Times New Roman"/>
          <w:i/>
          <w:iCs/>
          <w:sz w:val="18"/>
          <w:szCs w:val="18"/>
          <w:lang w:val="en-MY" w:bidi="ar-SA"/>
        </w:rPr>
        <w:t>G. fascicularis</w:t>
      </w:r>
      <w:r w:rsidRPr="00DE049A">
        <w:rPr>
          <w:rFonts w:ascii="Times New Roman" w:eastAsia="Calibri" w:hAnsi="Times New Roman"/>
          <w:sz w:val="18"/>
          <w:szCs w:val="18"/>
          <w:lang w:val="en-MY" w:bidi="ar-SA"/>
        </w:rPr>
        <w:t xml:space="preserve"> (20, 100 and 500 µg/L) were significant different (</w:t>
      </w:r>
      <w:r w:rsidRPr="00DE049A">
        <w:rPr>
          <w:rFonts w:ascii="Times New Roman" w:eastAsia="Calibri" w:hAnsi="Times New Roman"/>
          <w:i/>
          <w:iCs/>
          <w:sz w:val="18"/>
          <w:szCs w:val="18"/>
          <w:lang w:val="en-MY" w:bidi="ar-SA"/>
        </w:rPr>
        <w:t>p</w:t>
      </w:r>
      <w:r w:rsidRPr="00DE049A">
        <w:rPr>
          <w:rFonts w:ascii="Times New Roman" w:eastAsia="Calibri" w:hAnsi="Times New Roman"/>
          <w:sz w:val="18"/>
          <w:szCs w:val="18"/>
          <w:lang w:val="en-MY" w:bidi="ar-SA"/>
        </w:rPr>
        <w:t xml:space="preserve"> &lt;0.05) where both SAFA and PUFA were significantly lowered than untreated samples especially at the samples exposed to higher dose of Irgarol 1051 (100 and 500 µg/L). As the level of dose increased, SAFA such as 16:0 and unsaturated fatty acid from ω3 and ω6 series were largely affected by the toxicology effect of the Irgarol 1051. The results indicate that Irgarol 1051 significantly affecting the health of the corals even at the lowest dose of Irgarol 1051 applied in this study. It is suggested that the antifouling biocide may have implication on metabolisms of the corals.</w:t>
      </w:r>
    </w:p>
    <w:p w14:paraId="403EC05A" w14:textId="77777777" w:rsidR="00FB1ED6" w:rsidRPr="00DE049A" w:rsidRDefault="00FB1ED6" w:rsidP="00163E65">
      <w:pPr>
        <w:spacing w:after="0"/>
        <w:jc w:val="both"/>
        <w:rPr>
          <w:rFonts w:ascii="Times New Roman" w:eastAsia="Calibri" w:hAnsi="Times New Roman"/>
          <w:sz w:val="18"/>
          <w:szCs w:val="18"/>
          <w:lang w:val="en-MY" w:bidi="ar-SA"/>
        </w:rPr>
      </w:pPr>
    </w:p>
    <w:p w14:paraId="18C7E8F7" w14:textId="426615C9" w:rsidR="00DE049A" w:rsidRPr="00DE049A" w:rsidRDefault="00DE049A" w:rsidP="00163E65">
      <w:pPr>
        <w:spacing w:after="0"/>
        <w:jc w:val="both"/>
        <w:rPr>
          <w:rFonts w:ascii="Times New Roman" w:eastAsia="Calibri" w:hAnsi="Times New Roman"/>
          <w:sz w:val="18"/>
          <w:szCs w:val="18"/>
          <w:lang w:val="en-MY" w:bidi="ar-SA"/>
        </w:rPr>
      </w:pPr>
      <w:r w:rsidRPr="00DE049A">
        <w:rPr>
          <w:rFonts w:ascii="Times New Roman" w:eastAsia="Calibri" w:hAnsi="Times New Roman"/>
          <w:b/>
          <w:bCs/>
          <w:sz w:val="18"/>
          <w:szCs w:val="18"/>
          <w:lang w:val="en-MY" w:bidi="ar-SA"/>
        </w:rPr>
        <w:t>Keywords:</w:t>
      </w:r>
      <w:r w:rsidRPr="00DE049A">
        <w:rPr>
          <w:rFonts w:ascii="Times New Roman" w:eastAsia="Calibri" w:hAnsi="Times New Roman"/>
          <w:sz w:val="18"/>
          <w:szCs w:val="18"/>
          <w:lang w:val="en-MY" w:bidi="ar-SA"/>
        </w:rPr>
        <w:t xml:space="preserve"> </w:t>
      </w:r>
      <w:r w:rsidR="00FB1ED6">
        <w:rPr>
          <w:rFonts w:ascii="Times New Roman" w:eastAsia="Calibri" w:hAnsi="Times New Roman"/>
          <w:sz w:val="18"/>
          <w:szCs w:val="18"/>
          <w:lang w:val="en-MY" w:bidi="ar-SA"/>
        </w:rPr>
        <w:t xml:space="preserve"> </w:t>
      </w:r>
      <w:r w:rsidRPr="00DE049A">
        <w:rPr>
          <w:rFonts w:ascii="Times New Roman" w:eastAsia="Calibri" w:hAnsi="Times New Roman"/>
          <w:sz w:val="18"/>
          <w:szCs w:val="18"/>
          <w:lang w:val="en-MY" w:bidi="ar-SA"/>
        </w:rPr>
        <w:t>booster biocides, antifouling chemicals, fatty acids, hard coral, coral reefs</w:t>
      </w:r>
    </w:p>
    <w:p w14:paraId="48411C6E" w14:textId="77777777" w:rsidR="00DE049A" w:rsidRPr="00DE049A" w:rsidRDefault="00DE049A" w:rsidP="00163E65">
      <w:pPr>
        <w:spacing w:after="0"/>
        <w:jc w:val="both"/>
        <w:rPr>
          <w:rFonts w:ascii="Times New Roman" w:eastAsia="Calibri" w:hAnsi="Times New Roman"/>
          <w:sz w:val="18"/>
          <w:szCs w:val="18"/>
          <w:lang w:val="en-MY" w:bidi="ar-SA"/>
        </w:rPr>
      </w:pPr>
    </w:p>
    <w:p w14:paraId="04EC737E" w14:textId="77777777" w:rsidR="00DE049A" w:rsidRPr="00DE049A" w:rsidRDefault="00DE049A" w:rsidP="00163E65">
      <w:pPr>
        <w:widowControl w:val="0"/>
        <w:spacing w:after="0"/>
        <w:jc w:val="center"/>
        <w:outlineLvl w:val="0"/>
        <w:rPr>
          <w:rFonts w:ascii="Times New Roman" w:hAnsi="Times New Roman"/>
          <w:b/>
          <w:noProof/>
          <w:kern w:val="36"/>
          <w:sz w:val="18"/>
          <w:szCs w:val="18"/>
          <w:lang w:val="ms-MY" w:bidi="ar-SA"/>
        </w:rPr>
      </w:pPr>
      <w:r w:rsidRPr="00DE049A">
        <w:rPr>
          <w:rFonts w:ascii="Times New Roman" w:hAnsi="Times New Roman"/>
          <w:b/>
          <w:noProof/>
          <w:kern w:val="36"/>
          <w:sz w:val="18"/>
          <w:szCs w:val="18"/>
          <w:lang w:val="ms-MY" w:bidi="ar-SA"/>
        </w:rPr>
        <w:t>Abstrak</w:t>
      </w:r>
    </w:p>
    <w:p w14:paraId="7E175FD8" w14:textId="77777777" w:rsidR="00DE049A" w:rsidRPr="00DE049A" w:rsidRDefault="00DE049A" w:rsidP="00163E65">
      <w:pPr>
        <w:spacing w:after="0"/>
        <w:jc w:val="both"/>
        <w:rPr>
          <w:rFonts w:ascii="Times New Roman" w:eastAsia="Calibri" w:hAnsi="Times New Roman"/>
          <w:noProof/>
          <w:sz w:val="18"/>
          <w:szCs w:val="18"/>
          <w:lang w:val="ms-MY" w:bidi="ar-SA"/>
        </w:rPr>
      </w:pPr>
      <w:r w:rsidRPr="00DE049A">
        <w:rPr>
          <w:rFonts w:ascii="Times New Roman" w:eastAsia="Calibri" w:hAnsi="Times New Roman"/>
          <w:noProof/>
          <w:sz w:val="18"/>
          <w:szCs w:val="18"/>
          <w:lang w:val="ms-MY" w:bidi="ar-SA"/>
        </w:rPr>
        <w:t xml:space="preserve">Biosid anti-kotoran seperti Irgarol 1051 telah digunakan secara meluas sebagai pengganti kepada tributil tin (TBT). Di Malaysia, kami telah melaporkan tahap Irgarol di perairan pantai mencapai setinggi 2021ng/L. Ini menimbulkan kebimbangan kerana dos bahan pencemar kimia yang tinggi dalam air laut boleh menjejaskan organisma marin. Oleh itu, kajian ini mengkaji kesan Irgarol </w:t>
      </w:r>
      <w:r w:rsidRPr="00DE049A">
        <w:rPr>
          <w:rFonts w:ascii="Times New Roman" w:eastAsia="Calibri" w:hAnsi="Times New Roman"/>
          <w:noProof/>
          <w:sz w:val="18"/>
          <w:szCs w:val="18"/>
          <w:lang w:val="ms-MY" w:bidi="ar-SA"/>
        </w:rPr>
        <w:lastRenderedPageBreak/>
        <w:t xml:space="preserve">1051 pada komposisi asid lemak di dalam karang keras </w:t>
      </w:r>
      <w:r w:rsidRPr="00DE049A">
        <w:rPr>
          <w:rFonts w:ascii="Times New Roman" w:eastAsia="Calibri" w:hAnsi="Times New Roman"/>
          <w:i/>
          <w:noProof/>
          <w:sz w:val="18"/>
          <w:szCs w:val="18"/>
          <w:lang w:val="ms-MY" w:bidi="ar-SA"/>
        </w:rPr>
        <w:t>Galaxea fascicularis</w:t>
      </w:r>
      <w:r w:rsidRPr="00DE049A">
        <w:rPr>
          <w:rFonts w:ascii="Times New Roman" w:eastAsia="Calibri" w:hAnsi="Times New Roman"/>
          <w:noProof/>
          <w:sz w:val="18"/>
          <w:szCs w:val="18"/>
          <w:lang w:val="ms-MY" w:bidi="ar-SA"/>
        </w:rPr>
        <w:t>. Pendedahan jangka pendek (96 jam) telah dilakukan ke atas spesis karang ini dengan menggunakan kepekatan Irgarol yang berbeza dan komposisi asid lemak didalam tisu karang ditentukan dengan menggunakan teknik gas kromatografi. Hasil kajian mendapati tiada perubahan yang ketara pada karang yang tidak terdedah dengan Irgarol (sampel segar dan kawalan) dan kedua-duanya mempunyai kandungan asid lemak yang didominasi oleh asid lemak poli tidak tepu (PUFA), diikuti dengan asid lemak tepu (SAFA) serta asid lemak mono tidak tepu (MUFA). Sebaliknya, terdapat perbezaan yang ketara antara sampel karang yang tededah dengan kepekatan berbeza Irgarol (20, 100 and 500 µg/L) dimana komposisi SAFA dan PUFA lebih rendah berbanding sampel segar dan kawalan, terutamanya pada sampel yang terdedah pada kepekatan Irgarol 1051 yang tinggi. SAFA seperti 16:0 dan asid lemak tidak tepu dari kumpulan ω3 dan ω6 adalah antara asid lemak yang sangat terkesan terhadap pendedahan pada bahan kimia ini. Dapatan kajian juga menunjukkan, Irgarol 1051 sangat mempengaruhi kesihatan karang walaupun hanya terdedah pada dos yang rendah. Ini menunjukkan bahawa terdapat implikasi pada metabolisma karang apabila terdedah kepada bahan kimia ini.</w:t>
      </w:r>
    </w:p>
    <w:p w14:paraId="61C4CEB6" w14:textId="77777777" w:rsidR="00DE049A" w:rsidRPr="00DE049A" w:rsidRDefault="00DE049A" w:rsidP="00163E65">
      <w:pPr>
        <w:spacing w:after="0"/>
        <w:jc w:val="both"/>
        <w:rPr>
          <w:rFonts w:ascii="Times New Roman" w:eastAsia="Calibri" w:hAnsi="Times New Roman"/>
          <w:noProof/>
          <w:sz w:val="18"/>
          <w:szCs w:val="18"/>
          <w:lang w:val="ms-MY" w:bidi="ar-SA"/>
        </w:rPr>
      </w:pPr>
    </w:p>
    <w:p w14:paraId="563B1606" w14:textId="615E98BC" w:rsidR="00DE049A" w:rsidRPr="00DE049A" w:rsidRDefault="00DE049A" w:rsidP="00163E65">
      <w:pPr>
        <w:spacing w:after="0"/>
        <w:jc w:val="both"/>
        <w:rPr>
          <w:rFonts w:ascii="Times New Roman" w:eastAsia="Calibri" w:hAnsi="Times New Roman"/>
          <w:bCs/>
          <w:noProof/>
          <w:sz w:val="18"/>
          <w:szCs w:val="18"/>
          <w:lang w:val="ms-MY" w:bidi="ar-SA"/>
        </w:rPr>
      </w:pPr>
      <w:r w:rsidRPr="00DE049A">
        <w:rPr>
          <w:rFonts w:ascii="Times New Roman" w:eastAsia="Calibri" w:hAnsi="Times New Roman"/>
          <w:b/>
          <w:noProof/>
          <w:sz w:val="18"/>
          <w:szCs w:val="18"/>
          <w:lang w:val="ms-MY" w:bidi="ar-SA"/>
        </w:rPr>
        <w:t xml:space="preserve">Kata kunci: </w:t>
      </w:r>
      <w:r w:rsidR="00FB1ED6">
        <w:rPr>
          <w:rFonts w:ascii="Times New Roman" w:eastAsia="Calibri" w:hAnsi="Times New Roman"/>
          <w:b/>
          <w:noProof/>
          <w:sz w:val="18"/>
          <w:szCs w:val="18"/>
          <w:lang w:val="ms-MY" w:bidi="ar-SA"/>
        </w:rPr>
        <w:t xml:space="preserve"> </w:t>
      </w:r>
      <w:r w:rsidRPr="00DE049A">
        <w:rPr>
          <w:rFonts w:ascii="Times New Roman" w:eastAsia="Calibri" w:hAnsi="Times New Roman"/>
          <w:bCs/>
          <w:noProof/>
          <w:sz w:val="18"/>
          <w:szCs w:val="18"/>
          <w:lang w:val="ms-MY" w:bidi="ar-SA"/>
        </w:rPr>
        <w:t>biosid penggalak, bahan kimia anti-kotoran, asid lemak, karang keras, terumbu karang</w:t>
      </w:r>
    </w:p>
    <w:p w14:paraId="33C8D253" w14:textId="77777777" w:rsidR="00DE049A" w:rsidRPr="00DE049A" w:rsidRDefault="00DE049A" w:rsidP="00163E65">
      <w:pPr>
        <w:spacing w:after="0"/>
        <w:jc w:val="both"/>
        <w:rPr>
          <w:rFonts w:ascii="Times New Roman" w:eastAsia="Calibri" w:hAnsi="Times New Roman"/>
          <w:sz w:val="18"/>
          <w:szCs w:val="18"/>
          <w:lang w:val="en-MY" w:bidi="ar-SA"/>
        </w:rPr>
      </w:pPr>
    </w:p>
    <w:p w14:paraId="4CD05AF4" w14:textId="77777777" w:rsidR="00DE049A" w:rsidRDefault="00DE049A" w:rsidP="00163E65">
      <w:pPr>
        <w:widowControl w:val="0"/>
        <w:spacing w:after="0"/>
        <w:jc w:val="center"/>
        <w:outlineLvl w:val="0"/>
        <w:rPr>
          <w:rFonts w:ascii="Times New Roman" w:hAnsi="Times New Roman"/>
          <w:b/>
          <w:kern w:val="36"/>
          <w:sz w:val="20"/>
          <w:szCs w:val="48"/>
          <w:lang w:bidi="ar-SA"/>
        </w:rPr>
        <w:sectPr w:rsidR="00DE049A" w:rsidSect="00C13E38">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3A399471" w14:textId="77777777"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Introduction</w:t>
      </w:r>
    </w:p>
    <w:p w14:paraId="4E00882B"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Booster biocide such as Irgarol 1051 is categorized as priority hazardous substance by the European commission [1] but is used in worldwide as a means to control the fouling on boats and ships. The research to date has tended to report a contamination by alternative biocides Irgarol 1051 in coastal water of Malaysian peninsular [2] as well as in sediments and mussels around Malaysian coast [3]. Despite their increased use worldwide, far too little attention has been paid to the fate, toxicity and persistence of this booster biocide Irgarol as well as their potential risks on marine ecosystems [4]. The toxicity of this booster biocide on marine organisms, especially those from tropical and subtropical regions are still largely unknown, as most available and relevant toxicity data were generated with temperate species </w:t>
      </w:r>
      <w:r w:rsidRPr="00DE049A">
        <w:rPr>
          <w:rFonts w:ascii="Times New Roman" w:eastAsia="Calibri" w:hAnsi="Times New Roman"/>
          <w:sz w:val="20"/>
          <w:lang w:val="en-MY" w:bidi="ar-SA"/>
        </w:rPr>
        <w:fldChar w:fldCharType="begin" w:fldLock="1"/>
      </w:r>
      <w:r w:rsidRPr="00DE049A">
        <w:rPr>
          <w:rFonts w:ascii="Times New Roman" w:eastAsia="Calibri" w:hAnsi="Times New Roman"/>
          <w:sz w:val="20"/>
          <w:lang w:val="en-MY" w:bidi="ar-SA"/>
        </w:rPr>
        <w:instrText>ADDIN CSL_CITATION { "citationItems" : [ { "id" : "ITEM-1", "itemData" : { "PMID" : "21420693", "abstract" : "Since 1990s, various booster biocides have been increasingly used as substitutes of organotins. However, knowledge about their toxicities on tropical/sub-tropical marine species is significantly lacking. This study comprehensively investigated the acute toxicities of copper, tributyltin (TBT), and five commonly used booster biocides including Irgarol, diuron, zinc pyrithione (ZnPT), copper pyrithione (CuPT) and chlorothalonil on the growth or survival of 12 marine species in which eight of them are native species of subtropical Hong Kong. We found that Irgarol was more toxic than TBT on the growth of autotrophic species. The toxicity of CuPT was comparable to that of TBT on almost all test species, while it showed higher toxicity than TBT on medaka fish larvae. As the usage of these biocides is expected to further increase worldwide, accurate assessments of their ecological risks are required for better informed decision on their management. This study provided useful datasets for such purposes. ?? 2011 Elsevier Ltd.", "author" : [ { "dropping-particle" : "", "family" : "Bao", "given" : "Vivien W W", "non-dropping-particle" : "", "parse-names" : false, "suffix" : "" }, { "dropping-particle" : "", "family" : "Leung", "given" : "Kenneth M Y", "non-dropping-particle" : "", "parse-names" : false, "suffix" : "" }, { "dropping-particle" : "", "family" : "Qiu", "given" : "Jian Wen", "non-dropping-particle" : "", "parse-names" : false, "suffix" : "" }, { "dropping-particle" : "", "family" : "Lam", "given" : "Michael H W", "non-dropping-particle" : "", "parse-names" : false, "suffix" : "" } ], "container-title" : "Marine Pollution Bulletin", "id" : "ITEM-1", "issue" : "5", "issued" : { "date-parts" : [ [ "2011" ] ] }, "page" : "1147-1151", "title" : "Acute toxicities of five commonly used antifouling booster biocides to selected subtropical and cosmopolitan marine species", "type" : "article-journal", "volume" : "62" }, "uris" : [ "http://www.mendeley.com/documents/?uuid=550bb64a-5b07-476c-8863-9a3a500c0846" ] } ], "mendeley" : { "formattedCitation" : "(Bao, Leung, Qiu, &amp; Lam, 2011)", "manualFormatting" : "(Bao et al., 2011)", "plainTextFormattedCitation" : "(Bao, Leung, Qiu, &amp; Lam, 2011)", "previouslyFormattedCitation" : "(Bao, Leung, Qiu, &amp; Lam, 2011)" }, "properties" : { "noteIndex" : 0 }, "schema" : "https://github.com/citation-style-language/schema/raw/master/csl-citation.json" }</w:instrText>
      </w:r>
      <w:r w:rsidRPr="00DE049A">
        <w:rPr>
          <w:rFonts w:ascii="Times New Roman" w:eastAsia="Calibri" w:hAnsi="Times New Roman"/>
          <w:sz w:val="20"/>
          <w:lang w:val="en-MY" w:bidi="ar-SA"/>
        </w:rPr>
        <w:fldChar w:fldCharType="separate"/>
      </w:r>
      <w:r w:rsidRPr="00DE049A">
        <w:rPr>
          <w:rFonts w:ascii="Times New Roman" w:eastAsia="Calibri" w:hAnsi="Times New Roman"/>
          <w:noProof/>
          <w:sz w:val="20"/>
          <w:lang w:val="en-MY" w:bidi="ar-SA"/>
        </w:rPr>
        <w:t>[5]</w:t>
      </w:r>
      <w:r w:rsidRPr="00DE049A">
        <w:rPr>
          <w:rFonts w:ascii="Times New Roman" w:eastAsia="Calibri" w:hAnsi="Times New Roman"/>
          <w:sz w:val="20"/>
          <w:lang w:val="en-MY" w:bidi="ar-SA"/>
        </w:rPr>
        <w:fldChar w:fldCharType="end"/>
      </w:r>
      <w:r w:rsidRPr="00DE049A">
        <w:rPr>
          <w:rFonts w:ascii="Times New Roman" w:eastAsia="Calibri" w:hAnsi="Times New Roman"/>
          <w:sz w:val="20"/>
          <w:lang w:val="en-MY" w:bidi="ar-SA"/>
        </w:rPr>
        <w:t xml:space="preserve">. As a consequence, coral reefs around the world are facing a number of threats of the toxic chemical’s inputs from terrestrial such as domestic activities, agricultural, and industrial [6, 7]. For example, in Japan, it was reported that, development activities such as road building, farming, and modification of drainage systems have increased runoff of red soil in coral reefs which have negative impact to coral reef ecosystems [4, 8]. </w:t>
      </w:r>
      <w:r w:rsidRPr="00DE049A">
        <w:rPr>
          <w:rFonts w:ascii="Times New Roman" w:eastAsia="AdvEPSTIM" w:hAnsi="Times New Roman"/>
          <w:sz w:val="20"/>
          <w:lang w:val="en-MY" w:bidi="ar-SA"/>
        </w:rPr>
        <w:t>Toxic chemical substances are contributing to the destruction of coral reef ecosystems. Research by Knutson et al. [9] revealed a potential effect of Irgarol 1051 on coral larvae which significantly reduce the larvae settlement even at low dose of Irgarol 1051 (100ng/l). However, in Malaysia most of the pollutant’s studies have been focused on heavy metals either in ports, marinas and islands; but attention has not been paid to the distribution and impacts of antifouling chemicals (</w:t>
      </w:r>
      <w:r w:rsidRPr="00DE049A">
        <w:rPr>
          <w:rFonts w:ascii="Times New Roman" w:eastAsia="AdvEPSTIM" w:hAnsi="Times New Roman"/>
          <w:i/>
          <w:sz w:val="20"/>
          <w:lang w:val="en-MY" w:bidi="ar-SA"/>
        </w:rPr>
        <w:t xml:space="preserve">e.g., </w:t>
      </w:r>
      <w:r w:rsidRPr="00DE049A">
        <w:rPr>
          <w:rFonts w:ascii="Times New Roman" w:eastAsia="AdvEPSTIM" w:hAnsi="Times New Roman"/>
          <w:sz w:val="20"/>
          <w:lang w:val="en-MY" w:bidi="ar-SA"/>
        </w:rPr>
        <w:t xml:space="preserve">Irgarol) in this </w:t>
      </w:r>
      <w:r w:rsidRPr="00DE049A">
        <w:rPr>
          <w:rFonts w:ascii="Times New Roman" w:eastAsia="AdvEPSTIM" w:hAnsi="Times New Roman"/>
          <w:sz w:val="20"/>
          <w:lang w:val="en-MY" w:bidi="ar-SA"/>
        </w:rPr>
        <w:t xml:space="preserve">region. </w:t>
      </w:r>
      <w:r w:rsidRPr="00DE049A">
        <w:rPr>
          <w:rFonts w:ascii="Times New Roman" w:eastAsia="Calibri" w:hAnsi="Times New Roman"/>
          <w:sz w:val="20"/>
          <w:lang w:val="en-MY" w:bidi="ar-SA"/>
        </w:rPr>
        <w:t xml:space="preserve">Recently, we reported the effects of Irgarol on fatty acid of Asian sea-bass, </w:t>
      </w:r>
      <w:r w:rsidRPr="00DE049A">
        <w:rPr>
          <w:rFonts w:ascii="Times New Roman" w:eastAsia="Calibri" w:hAnsi="Times New Roman"/>
          <w:i/>
          <w:sz w:val="20"/>
          <w:lang w:val="en-MY" w:bidi="ar-SA"/>
        </w:rPr>
        <w:t>Lates calcarifer</w:t>
      </w:r>
      <w:r w:rsidRPr="00DE049A">
        <w:rPr>
          <w:rFonts w:ascii="Times New Roman" w:eastAsia="Calibri" w:hAnsi="Times New Roman"/>
          <w:sz w:val="20"/>
          <w:lang w:val="en-MY" w:bidi="ar-SA"/>
        </w:rPr>
        <w:t xml:space="preserve"> in Malaysia [10] but still there is a significant gap on research information regarding to the toxicity of new antifouling chemicals such as Irgarol in relation with the health of coral reef organisms worldwide.</w:t>
      </w:r>
    </w:p>
    <w:p w14:paraId="0574C0A7" w14:textId="23E9CD5A" w:rsidR="00DE049A" w:rsidRDefault="00DE049A" w:rsidP="00163E65">
      <w:pPr>
        <w:spacing w:after="0"/>
        <w:jc w:val="both"/>
        <w:rPr>
          <w:rFonts w:ascii="Times New Roman" w:eastAsia="AdvEPSTIM" w:hAnsi="Times New Roman"/>
          <w:sz w:val="20"/>
          <w:lang w:val="en-MY" w:bidi="ar-SA"/>
        </w:rPr>
      </w:pPr>
      <w:r w:rsidRPr="00DE049A">
        <w:rPr>
          <w:rFonts w:ascii="Times New Roman" w:eastAsia="Calibri" w:hAnsi="Times New Roman"/>
          <w:sz w:val="20"/>
          <w:lang w:val="en-MY" w:bidi="ar-SA"/>
        </w:rPr>
        <w:t>Comparatively few studies have dealt with the effects of new antifouling Irgarol in particular on different coral reef organism in aquatic systems. Furthermore, the studies that have dealt with the effects of Irgarol on lake or river bacteria, have seldom examined these effects on the composition of these communities [11] or have analysed the whole microbial communities or the whole plankton [12] without testing the direct effects of these pollutants on marine organisms using fatty acid as an indicator. Hence, the direct effects of Irgarol and many other pesticides on natural aquatic organisms are poorly known. Understanding the effects of Irgarol and other pesticides on coral reef is of interest, given that the alteration of marine communities might affect their ecosystem function. Therefore, t</w:t>
      </w:r>
      <w:r w:rsidRPr="00DE049A">
        <w:rPr>
          <w:rFonts w:ascii="Times New Roman" w:eastAsia="AdvEPSTIM" w:hAnsi="Times New Roman"/>
          <w:sz w:val="20"/>
          <w:lang w:val="en-MY" w:bidi="ar-SA"/>
        </w:rPr>
        <w:t xml:space="preserve">his study was carried out to determine the fatty acid profile of fresh sample (control) and compared with those short term exposed </w:t>
      </w:r>
      <w:r w:rsidRPr="00DE049A">
        <w:rPr>
          <w:rFonts w:ascii="Times New Roman" w:eastAsia="AdvEPSTIM" w:hAnsi="Times New Roman"/>
          <w:i/>
          <w:sz w:val="20"/>
          <w:lang w:val="en-MY" w:bidi="ar-SA"/>
        </w:rPr>
        <w:t>Galaxea fascicularis</w:t>
      </w:r>
      <w:r w:rsidRPr="00DE049A">
        <w:rPr>
          <w:rFonts w:ascii="Times New Roman" w:eastAsia="AdvEPSTIM" w:hAnsi="Times New Roman"/>
          <w:sz w:val="20"/>
          <w:lang w:val="en-MY" w:bidi="ar-SA"/>
        </w:rPr>
        <w:t xml:space="preserve"> in different doses of Irgarol to realize environmental causing damages to these vital marine natural resources.</w:t>
      </w:r>
    </w:p>
    <w:p w14:paraId="5B77C81D" w14:textId="77777777" w:rsidR="00A61873" w:rsidRPr="00DE049A" w:rsidRDefault="00A61873" w:rsidP="00163E65">
      <w:pPr>
        <w:spacing w:after="0"/>
        <w:jc w:val="both"/>
        <w:rPr>
          <w:rFonts w:ascii="Times New Roman" w:eastAsia="AdvEPSTIM" w:hAnsi="Times New Roman"/>
          <w:sz w:val="20"/>
          <w:lang w:val="en-MY" w:bidi="ar-SA"/>
        </w:rPr>
      </w:pPr>
    </w:p>
    <w:p w14:paraId="6B0F70C6" w14:textId="77777777" w:rsidR="00DE049A" w:rsidRPr="00DE049A" w:rsidRDefault="00DE049A" w:rsidP="00163E65">
      <w:pPr>
        <w:widowControl w:val="0"/>
        <w:spacing w:after="0"/>
        <w:jc w:val="center"/>
        <w:outlineLvl w:val="0"/>
        <w:rPr>
          <w:rFonts w:ascii="Times New Roman" w:eastAsia="AdvEPSTIM" w:hAnsi="Times New Roman"/>
          <w:b/>
          <w:kern w:val="36"/>
          <w:sz w:val="20"/>
          <w:szCs w:val="48"/>
          <w:lang w:bidi="ar-SA"/>
        </w:rPr>
      </w:pPr>
      <w:r w:rsidRPr="00DE049A">
        <w:rPr>
          <w:rFonts w:ascii="Times New Roman" w:eastAsia="AdvEPSTIM" w:hAnsi="Times New Roman"/>
          <w:b/>
          <w:kern w:val="36"/>
          <w:sz w:val="20"/>
          <w:szCs w:val="48"/>
          <w:lang w:bidi="ar-SA"/>
        </w:rPr>
        <w:t>Materials and Methods</w:t>
      </w:r>
    </w:p>
    <w:p w14:paraId="4A665F47" w14:textId="77777777" w:rsidR="00DE049A" w:rsidRPr="00DE049A" w:rsidRDefault="00DE049A" w:rsidP="00163E65">
      <w:pPr>
        <w:keepNext/>
        <w:keepLines/>
        <w:spacing w:after="0"/>
        <w:jc w:val="both"/>
        <w:outlineLvl w:val="1"/>
        <w:rPr>
          <w:rFonts w:ascii="Times New Roman" w:eastAsia="AdvEPSTIM" w:hAnsi="Times New Roman"/>
          <w:b/>
          <w:sz w:val="20"/>
          <w:szCs w:val="26"/>
          <w:lang w:val="en-MY" w:bidi="ar-SA"/>
        </w:rPr>
      </w:pPr>
      <w:r w:rsidRPr="00DE049A">
        <w:rPr>
          <w:rFonts w:ascii="Times New Roman" w:hAnsi="Times New Roman"/>
          <w:b/>
          <w:sz w:val="20"/>
          <w:szCs w:val="26"/>
          <w:lang w:val="en-MY" w:bidi="ar-SA"/>
        </w:rPr>
        <w:t>Experimental</w:t>
      </w:r>
      <w:r w:rsidRPr="00DE049A">
        <w:rPr>
          <w:rFonts w:ascii="Times New Roman" w:eastAsia="AdvEPSTIM" w:hAnsi="Times New Roman"/>
          <w:b/>
          <w:sz w:val="20"/>
          <w:szCs w:val="26"/>
          <w:lang w:val="en-MY" w:bidi="ar-SA"/>
        </w:rPr>
        <w:t xml:space="preserve"> design</w:t>
      </w:r>
    </w:p>
    <w:p w14:paraId="546210AA" w14:textId="77777777" w:rsidR="00DE049A" w:rsidRPr="00DE049A" w:rsidRDefault="00DE049A" w:rsidP="00163E65">
      <w:pPr>
        <w:spacing w:after="0"/>
        <w:jc w:val="both"/>
        <w:rPr>
          <w:rFonts w:ascii="Times New Roman" w:hAnsi="Times New Roman"/>
          <w:sz w:val="20"/>
          <w:lang w:val="en-MY" w:bidi="ar-SA"/>
        </w:rPr>
      </w:pPr>
      <w:r w:rsidRPr="00DE049A">
        <w:rPr>
          <w:rFonts w:ascii="Times New Roman" w:eastAsia="Calibri" w:hAnsi="Times New Roman"/>
          <w:sz w:val="20"/>
          <w:lang w:val="en-MY" w:bidi="ar-SA"/>
        </w:rPr>
        <w:t>Fresh corals (</w:t>
      </w:r>
      <w:r w:rsidRPr="00DE049A">
        <w:rPr>
          <w:rFonts w:ascii="Times New Roman" w:eastAsia="Calibri" w:hAnsi="Times New Roman"/>
          <w:i/>
          <w:sz w:val="20"/>
          <w:lang w:val="en-MY" w:bidi="ar-SA"/>
        </w:rPr>
        <w:t>Galaxea fascicularis</w:t>
      </w:r>
      <w:r w:rsidRPr="00DE049A">
        <w:rPr>
          <w:rFonts w:ascii="Times New Roman" w:eastAsia="Calibri" w:hAnsi="Times New Roman"/>
          <w:sz w:val="20"/>
          <w:lang w:val="en-MY" w:bidi="ar-SA"/>
        </w:rPr>
        <w:t>) were taken from Pulau Bidong, Terengganu, Malaysi</w:t>
      </w:r>
      <w:r w:rsidRPr="00DE049A">
        <w:rPr>
          <w:rFonts w:ascii="Times New Roman" w:eastAsia="Calibri" w:hAnsi="Times New Roman"/>
          <w:color w:val="000000"/>
          <w:sz w:val="20"/>
          <w:lang w:val="en-MY" w:bidi="ar-SA"/>
        </w:rPr>
        <w:t>a (5°37′N</w:t>
      </w:r>
      <w:r w:rsidRPr="00DE049A">
        <w:rPr>
          <w:rFonts w:ascii="Times New Roman" w:hAnsi="Times New Roman"/>
          <w:color w:val="000000"/>
          <w:sz w:val="20"/>
          <w:lang w:val="en-MY" w:bidi="ar-SA"/>
        </w:rPr>
        <w:t> 103°4′E)</w:t>
      </w:r>
      <w:r w:rsidRPr="00DE049A">
        <w:rPr>
          <w:rFonts w:ascii="Times New Roman" w:eastAsia="Calibri" w:hAnsi="Times New Roman"/>
          <w:sz w:val="20"/>
          <w:lang w:val="en-MY" w:bidi="ar-SA"/>
        </w:rPr>
        <w:t xml:space="preserve">. The corals were acclimatized for 2 weeks in well aerated holding polyethylene tanks (500 L), containing natural seawater with a salinity of 30 ppt, under a natural </w:t>
      </w:r>
      <w:r w:rsidRPr="00DE049A">
        <w:rPr>
          <w:rFonts w:ascii="Times New Roman" w:eastAsia="Calibri" w:hAnsi="Times New Roman"/>
          <w:sz w:val="20"/>
          <w:lang w:val="en-MY" w:bidi="ar-SA"/>
        </w:rPr>
        <w:lastRenderedPageBreak/>
        <w:t xml:space="preserve">photoperiod 12 h:12 h (light: dark) cycle. The water in the tank was passed through a 1-mm filter, treated with UV-sterilized and refilled daily. For the purpose of the experiment, the coral was not fed at all. </w:t>
      </w:r>
    </w:p>
    <w:p w14:paraId="51263CD9" w14:textId="77777777" w:rsidR="00DE049A" w:rsidRPr="00DE049A" w:rsidRDefault="00DE049A" w:rsidP="00163E65">
      <w:pPr>
        <w:spacing w:after="0"/>
        <w:jc w:val="both"/>
        <w:rPr>
          <w:rFonts w:ascii="Times New Roman" w:eastAsia="Calibri" w:hAnsi="Times New Roman"/>
          <w:sz w:val="20"/>
          <w:lang w:val="en-MY" w:bidi="ar-SA"/>
        </w:rPr>
      </w:pPr>
    </w:p>
    <w:p w14:paraId="42F92AAC" w14:textId="77777777" w:rsidR="00DE049A" w:rsidRPr="00DE049A" w:rsidRDefault="00DE049A" w:rsidP="00163E65">
      <w:pPr>
        <w:spacing w:after="0"/>
        <w:jc w:val="both"/>
        <w:rPr>
          <w:rFonts w:ascii="Times New Roman" w:hAnsi="Times New Roman"/>
          <w:sz w:val="20"/>
          <w:lang w:val="en-MY" w:bidi="ar-SA"/>
        </w:rPr>
      </w:pPr>
      <w:r w:rsidRPr="00DE049A">
        <w:rPr>
          <w:rFonts w:ascii="Times New Roman" w:eastAsia="Calibri" w:hAnsi="Times New Roman"/>
          <w:sz w:val="20"/>
          <w:lang w:val="en-MY" w:bidi="ar-SA"/>
        </w:rPr>
        <w:t>A stock solution of 1000 mg/l Irgarol (Sigma-Aldrich) was prepared by using acetone and the working concentrations were made up by spiking the required concentrations to the sea water (volume= 3000 mL).</w:t>
      </w:r>
      <w:r w:rsidRPr="00DE049A">
        <w:rPr>
          <w:rFonts w:ascii="Times New Roman" w:eastAsia="Calibri" w:hAnsi="Times New Roman"/>
          <w:i/>
          <w:sz w:val="20"/>
          <w:lang w:val="en-MY" w:bidi="ar-SA"/>
        </w:rPr>
        <w:t xml:space="preserve"> Galaxea fascicularis</w:t>
      </w:r>
      <w:r w:rsidRPr="00DE049A">
        <w:rPr>
          <w:rFonts w:ascii="Times New Roman" w:eastAsia="Calibri" w:hAnsi="Times New Roman"/>
          <w:sz w:val="20"/>
          <w:lang w:val="en-MY" w:bidi="ar-SA"/>
        </w:rPr>
        <w:t xml:space="preserve"> were acclimatized for two weeks in the laboratory before the acute exposure tests to Irgarol for 96 hrs [13] as shown in Figure 1. Water quality characteristics were measured daily: dissolved </w:t>
      </w:r>
      <w:r w:rsidRPr="00DE049A">
        <w:rPr>
          <w:rFonts w:ascii="Times New Roman" w:eastAsia="Calibri" w:hAnsi="Times New Roman"/>
          <w:sz w:val="20"/>
          <w:lang w:val="en-MY" w:bidi="ar-SA"/>
        </w:rPr>
        <w:t xml:space="preserve">oxygen (DO) 7.2±0.5 mg/L, and pH 7.69±0.2, but the temperature was automatically controlled to 27 </w:t>
      </w:r>
      <w:r w:rsidRPr="00DE049A">
        <w:rPr>
          <w:rFonts w:ascii="Times New Roman" w:eastAsia="Calibri" w:hAnsi="Times New Roman"/>
          <w:sz w:val="20"/>
          <w:vertAlign w:val="superscript"/>
          <w:lang w:val="en-MY" w:bidi="ar-SA"/>
        </w:rPr>
        <w:t>0</w:t>
      </w:r>
      <w:r w:rsidRPr="00DE049A">
        <w:rPr>
          <w:rFonts w:ascii="Times New Roman" w:eastAsia="Calibri" w:hAnsi="Times New Roman"/>
          <w:sz w:val="20"/>
          <w:lang w:val="en-MY" w:bidi="ar-SA"/>
        </w:rPr>
        <w:t xml:space="preserve">C using cooling chiller throughout the whole experiment duration. After the two weeks acclimatization period, corals were transferred into different experimental tanks containing three litres of water and exposed to test concentrations of 0 (T1), 20 </w:t>
      </w:r>
      <w:r w:rsidRPr="00DE049A">
        <w:rPr>
          <w:rFonts w:ascii="Times New Roman" w:hAnsi="Times New Roman"/>
          <w:sz w:val="20"/>
          <w:lang w:val="en-MY" w:bidi="ar-SA"/>
        </w:rPr>
        <w:t>µg/L</w:t>
      </w:r>
      <w:r w:rsidRPr="00DE049A">
        <w:rPr>
          <w:rFonts w:ascii="Times New Roman" w:eastAsia="Calibri" w:hAnsi="Times New Roman"/>
          <w:sz w:val="20"/>
          <w:lang w:val="en-MY" w:bidi="ar-SA"/>
        </w:rPr>
        <w:t xml:space="preserve"> (T2), 100 </w:t>
      </w:r>
      <w:r w:rsidRPr="00DE049A">
        <w:rPr>
          <w:rFonts w:ascii="Times New Roman" w:hAnsi="Times New Roman"/>
          <w:sz w:val="20"/>
          <w:lang w:val="en-MY" w:bidi="ar-SA"/>
        </w:rPr>
        <w:t>µg/L</w:t>
      </w:r>
      <w:r w:rsidRPr="00DE049A">
        <w:rPr>
          <w:rFonts w:ascii="Times New Roman" w:eastAsia="Calibri" w:hAnsi="Times New Roman"/>
          <w:sz w:val="20"/>
          <w:lang w:val="en-MY" w:bidi="ar-SA"/>
        </w:rPr>
        <w:t xml:space="preserve"> (T3), and 500 </w:t>
      </w:r>
      <w:r w:rsidRPr="00DE049A">
        <w:rPr>
          <w:rFonts w:ascii="Times New Roman" w:hAnsi="Times New Roman"/>
          <w:sz w:val="20"/>
          <w:lang w:val="en-MY" w:bidi="ar-SA"/>
        </w:rPr>
        <w:t>µg/L (T4) of Irgarol in three replicates for 96h. Samples in control the control tank was kept for the sake of comparison. After four days (96hrs), the tissue of the coral was removed by using water pick and taken to the laboratory for fatty acid analysis.</w:t>
      </w:r>
    </w:p>
    <w:p w14:paraId="703E21A6" w14:textId="77777777" w:rsidR="00DE049A" w:rsidRDefault="00DE049A" w:rsidP="00163E65">
      <w:pPr>
        <w:spacing w:after="0"/>
        <w:jc w:val="both"/>
        <w:rPr>
          <w:rFonts w:ascii="Times New Roman" w:hAnsi="Times New Roman"/>
          <w:sz w:val="20"/>
          <w:lang w:val="en-MY" w:bidi="ar-SA"/>
        </w:rPr>
        <w:sectPr w:rsidR="00DE049A" w:rsidSect="00DE049A">
          <w:headerReference w:type="even" r:id="rId15"/>
          <w:headerReference w:type="default" r:id="rId16"/>
          <w:footerReference w:type="even" r:id="rId17"/>
          <w:headerReference w:type="first" r:id="rId18"/>
          <w:type w:val="continuous"/>
          <w:pgSz w:w="12240" w:h="15840" w:code="1"/>
          <w:pgMar w:top="1800" w:right="1469" w:bottom="1699" w:left="1440" w:header="706" w:footer="706" w:gutter="0"/>
          <w:pgNumType w:start="0"/>
          <w:cols w:num="2" w:space="403"/>
          <w:docGrid w:linePitch="360"/>
        </w:sectPr>
      </w:pPr>
    </w:p>
    <w:p w14:paraId="6BE6DA27" w14:textId="77777777" w:rsidR="00DE049A" w:rsidRPr="00DE049A" w:rsidRDefault="00DE049A" w:rsidP="00163E65">
      <w:pPr>
        <w:spacing w:after="0"/>
        <w:jc w:val="both"/>
        <w:rPr>
          <w:rFonts w:ascii="Times New Roman" w:hAnsi="Times New Roman"/>
          <w:sz w:val="20"/>
          <w:lang w:val="en-MY" w:bidi="ar-SA"/>
        </w:rPr>
      </w:pPr>
    </w:p>
    <w:p w14:paraId="124C09EC" w14:textId="77777777" w:rsidR="00DE049A" w:rsidRPr="00DE049A" w:rsidRDefault="00DE049A" w:rsidP="00327301">
      <w:pPr>
        <w:spacing w:after="120"/>
        <w:jc w:val="center"/>
        <w:rPr>
          <w:rFonts w:ascii="Times New Roman" w:eastAsia="Calibri" w:hAnsi="Times New Roman"/>
          <w:sz w:val="20"/>
          <w:lang w:val="en-MY" w:bidi="ar-SA"/>
        </w:rPr>
      </w:pPr>
      <w:r w:rsidRPr="00DE049A">
        <w:rPr>
          <w:rFonts w:ascii="Times New Roman" w:eastAsia="Calibri" w:hAnsi="Times New Roman"/>
          <w:noProof/>
          <w:sz w:val="20"/>
          <w:lang w:val="en-MY" w:eastAsia="en-MY" w:bidi="ar-SA"/>
        </w:rPr>
        <w:drawing>
          <wp:inline distT="0" distB="0" distL="0" distR="0" wp14:anchorId="3FA3B6F5" wp14:editId="06AEB61D">
            <wp:extent cx="2942217" cy="2961405"/>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6830" cy="2976113"/>
                    </a:xfrm>
                    <a:prstGeom prst="rect">
                      <a:avLst/>
                    </a:prstGeom>
                    <a:noFill/>
                  </pic:spPr>
                </pic:pic>
              </a:graphicData>
            </a:graphic>
          </wp:inline>
        </w:drawing>
      </w:r>
    </w:p>
    <w:p w14:paraId="0A25710A" w14:textId="4498460D" w:rsidR="00DE049A" w:rsidRPr="00DE049A" w:rsidRDefault="00DE049A" w:rsidP="00327301">
      <w:pPr>
        <w:spacing w:after="0"/>
        <w:ind w:left="810" w:hanging="810"/>
        <w:jc w:val="both"/>
        <w:rPr>
          <w:rFonts w:ascii="Times New Roman" w:eastAsia="Calibri" w:hAnsi="Times New Roman"/>
          <w:iCs/>
          <w:sz w:val="20"/>
          <w:szCs w:val="18"/>
          <w:lang w:val="en-MY" w:bidi="ar-SA"/>
        </w:rPr>
      </w:pPr>
      <w:r w:rsidRPr="00DE049A">
        <w:rPr>
          <w:rFonts w:ascii="Times New Roman" w:eastAsia="Calibri" w:hAnsi="Times New Roman"/>
          <w:iCs/>
          <w:sz w:val="20"/>
          <w:szCs w:val="18"/>
          <w:lang w:val="en-MY" w:bidi="ar-SA"/>
        </w:rPr>
        <w:t xml:space="preserve">Figure 1. </w:t>
      </w:r>
      <w:r w:rsidR="00327301">
        <w:rPr>
          <w:rFonts w:ascii="Times New Roman" w:eastAsia="Calibri" w:hAnsi="Times New Roman"/>
          <w:iCs/>
          <w:sz w:val="20"/>
          <w:szCs w:val="18"/>
          <w:lang w:val="en-MY" w:bidi="ar-SA"/>
        </w:rPr>
        <w:tab/>
      </w:r>
      <w:r w:rsidRPr="00DE049A">
        <w:rPr>
          <w:rFonts w:ascii="Times New Roman" w:eastAsia="Calibri" w:hAnsi="Times New Roman"/>
          <w:iCs/>
          <w:sz w:val="20"/>
          <w:szCs w:val="18"/>
          <w:lang w:val="en-MY" w:bidi="ar-SA"/>
        </w:rPr>
        <w:t xml:space="preserve">Schematic diagram of acclimation tank (top) and experiment tanks (bottom) during exposure experiment of Irgarol on the corals </w:t>
      </w:r>
      <w:r w:rsidRPr="00DE049A">
        <w:rPr>
          <w:rFonts w:ascii="Times New Roman" w:eastAsia="Calibri" w:hAnsi="Times New Roman"/>
          <w:i/>
          <w:sz w:val="20"/>
          <w:szCs w:val="18"/>
          <w:lang w:val="en-MY" w:bidi="ar-SA"/>
        </w:rPr>
        <w:t>Galaxea fascicularis</w:t>
      </w:r>
      <w:r w:rsidRPr="00DE049A">
        <w:rPr>
          <w:rFonts w:ascii="Times New Roman" w:eastAsia="Calibri" w:hAnsi="Times New Roman"/>
          <w:iCs/>
          <w:sz w:val="20"/>
          <w:szCs w:val="18"/>
          <w:lang w:val="en-MY" w:bidi="ar-SA"/>
        </w:rPr>
        <w:t>. A, power supply; B, aeration compressor; C, lamp; D, water chiller; E, outflow water; F, inflow and outflow chiller water; G, aeration tubes; H, filter; I, water pump. T1 to T3 are Irgarol test concentrations of 20 µg/L, 100 µg/L, and 500 µg/L, respectively while TC as control.</w:t>
      </w:r>
    </w:p>
    <w:p w14:paraId="2AF92697" w14:textId="77777777" w:rsidR="00346A8D" w:rsidRDefault="00346A8D" w:rsidP="00163E65">
      <w:pPr>
        <w:keepNext/>
        <w:keepLines/>
        <w:spacing w:after="0"/>
        <w:jc w:val="both"/>
        <w:outlineLvl w:val="1"/>
        <w:rPr>
          <w:rFonts w:ascii="Times New Roman" w:hAnsi="Times New Roman"/>
          <w:b/>
          <w:iCs/>
          <w:sz w:val="20"/>
          <w:szCs w:val="26"/>
          <w:lang w:val="en-MY" w:bidi="ar-SA"/>
        </w:rPr>
      </w:pPr>
    </w:p>
    <w:p w14:paraId="28F59023" w14:textId="66642555" w:rsidR="005F43DE" w:rsidRDefault="005F43DE" w:rsidP="00163E65">
      <w:pPr>
        <w:keepNext/>
        <w:keepLines/>
        <w:spacing w:after="0"/>
        <w:jc w:val="both"/>
        <w:outlineLvl w:val="1"/>
        <w:rPr>
          <w:rFonts w:ascii="Times New Roman" w:hAnsi="Times New Roman"/>
          <w:b/>
          <w:iCs/>
          <w:sz w:val="20"/>
          <w:szCs w:val="26"/>
          <w:lang w:val="en-MY" w:bidi="ar-SA"/>
        </w:rPr>
        <w:sectPr w:rsidR="005F43DE" w:rsidSect="00DE049A">
          <w:type w:val="continuous"/>
          <w:pgSz w:w="12240" w:h="15840" w:code="1"/>
          <w:pgMar w:top="1800" w:right="1469" w:bottom="1699" w:left="1440" w:header="706" w:footer="706" w:gutter="0"/>
          <w:pgNumType w:start="0"/>
          <w:cols w:space="708"/>
          <w:docGrid w:linePitch="360"/>
        </w:sectPr>
      </w:pPr>
    </w:p>
    <w:p w14:paraId="5814AC96" w14:textId="77777777" w:rsidR="005E6789"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Sample preparation</w:t>
      </w:r>
    </w:p>
    <w:p w14:paraId="596E38FD" w14:textId="5CAC4660" w:rsidR="00DE049A" w:rsidRPr="005E6789" w:rsidRDefault="00DE049A" w:rsidP="00163E65">
      <w:pPr>
        <w:keepNext/>
        <w:keepLines/>
        <w:spacing w:after="0"/>
        <w:jc w:val="both"/>
        <w:outlineLvl w:val="1"/>
        <w:rPr>
          <w:rFonts w:ascii="Times New Roman" w:hAnsi="Times New Roman"/>
          <w:b/>
          <w:i/>
          <w:sz w:val="20"/>
          <w:szCs w:val="26"/>
          <w:lang w:val="en-MY" w:bidi="ar-SA"/>
        </w:rPr>
      </w:pPr>
      <w:r w:rsidRPr="005E6789">
        <w:rPr>
          <w:rFonts w:ascii="Times New Roman" w:hAnsi="Times New Roman"/>
          <w:b/>
          <w:i/>
          <w:sz w:val="20"/>
          <w:szCs w:val="26"/>
          <w:lang w:val="en-MY" w:bidi="ar-SA"/>
        </w:rPr>
        <w:t>Fatty acid methyl ester extraction</w:t>
      </w:r>
    </w:p>
    <w:p w14:paraId="748D3020"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Tissues of </w:t>
      </w:r>
      <w:r w:rsidRPr="00DE049A">
        <w:rPr>
          <w:rFonts w:ascii="Times New Roman" w:hAnsi="Times New Roman"/>
          <w:i/>
          <w:sz w:val="20"/>
          <w:lang w:val="en-MY" w:bidi="ar-SA"/>
        </w:rPr>
        <w:t xml:space="preserve">Galaxea fascicularis </w:t>
      </w:r>
      <w:r w:rsidRPr="00DE049A">
        <w:rPr>
          <w:rFonts w:ascii="Times New Roman" w:eastAsia="Calibri" w:hAnsi="Times New Roman"/>
          <w:sz w:val="20"/>
          <w:lang w:val="en-MY" w:bidi="ar-SA"/>
        </w:rPr>
        <w:t>were taken as samples for fatty acid composition analysis. The one step method [14] was used in this experiment to combine extraction and esterification processes in a single tube. Three replicates of each tissue samples (200</w:t>
      </w:r>
      <w:r w:rsidRPr="00DE049A">
        <w:rPr>
          <w:rFonts w:ascii="Times New Roman" w:eastAsia="AdvTT6120e2aa+20" w:hAnsi="Times New Roman"/>
          <w:sz w:val="20"/>
          <w:lang w:val="en-MY" w:bidi="ar-SA"/>
        </w:rPr>
        <w:t>-</w:t>
      </w:r>
      <w:r w:rsidRPr="00DE049A">
        <w:rPr>
          <w:rFonts w:ascii="Times New Roman" w:eastAsia="Calibri" w:hAnsi="Times New Roman"/>
          <w:sz w:val="20"/>
          <w:lang w:val="en-MY" w:bidi="ar-SA"/>
        </w:rPr>
        <w:t xml:space="preserve">300 mg) were mixed with 4 mL of hexane and 1 mL (1 mg/mL) of internal standard (analytical standard of nonadecanoic </w:t>
      </w:r>
      <w:r w:rsidRPr="00DE049A">
        <w:rPr>
          <w:rFonts w:ascii="Times New Roman" w:eastAsia="Calibri" w:hAnsi="Times New Roman"/>
          <w:sz w:val="20"/>
          <w:lang w:val="en-MY" w:bidi="ar-SA"/>
        </w:rPr>
        <w:t>acid, C19:0, Sigma-Aldrich) solution in a 50 mL centrifuge tube. After adding 2 mL of 14% BF</w:t>
      </w:r>
      <w:r w:rsidRPr="00DE049A">
        <w:rPr>
          <w:rFonts w:ascii="Times New Roman" w:eastAsia="Calibri" w:hAnsi="Times New Roman"/>
          <w:sz w:val="20"/>
          <w:vertAlign w:val="subscript"/>
          <w:lang w:val="en-MY" w:bidi="ar-SA"/>
        </w:rPr>
        <w:t>3</w:t>
      </w:r>
      <w:r w:rsidRPr="00DE049A">
        <w:rPr>
          <w:rFonts w:ascii="Times New Roman" w:eastAsia="Calibri" w:hAnsi="Times New Roman"/>
          <w:sz w:val="20"/>
          <w:lang w:val="en-MY" w:bidi="ar-SA"/>
        </w:rPr>
        <w:t xml:space="preserve"> in methanol and a magnetic stirring bar, the head space of tube was flushed with nitrogen gas and then closed tightly with a Teflon-lined screw-cap. The capped tube was heated on a hot plate at 100 °C for 120 min under continuous stirring. After cooling to room temperature, 1 mL of hexane was added followed by 2 mL of distilled water. The tube was then shaken vigorously for 1 min </w:t>
      </w:r>
      <w:r w:rsidRPr="00DE049A">
        <w:rPr>
          <w:rFonts w:ascii="Times New Roman" w:eastAsia="Calibri" w:hAnsi="Times New Roman"/>
          <w:sz w:val="20"/>
          <w:lang w:val="en-MY" w:bidi="ar-SA"/>
        </w:rPr>
        <w:lastRenderedPageBreak/>
        <w:t xml:space="preserve">and centrifuged for 3 min at 2500 rpm. Of the two phases which formed, the upper phase was hexane layer containing the FAMEs. Finally, </w:t>
      </w:r>
      <w:r w:rsidRPr="00DE049A">
        <w:rPr>
          <w:rFonts w:ascii="Cambria Math" w:eastAsia="MS Mincho" w:hAnsi="Cambria Math" w:cs="Cambria Math"/>
          <w:sz w:val="20"/>
          <w:lang w:val="en-MY" w:bidi="ar-SA"/>
        </w:rPr>
        <w:t>∼</w:t>
      </w:r>
      <w:r w:rsidRPr="00DE049A">
        <w:rPr>
          <w:rFonts w:ascii="Times New Roman" w:eastAsia="Calibri" w:hAnsi="Times New Roman"/>
          <w:sz w:val="20"/>
          <w:lang w:val="en-MY" w:bidi="ar-SA"/>
        </w:rPr>
        <w:t>1</w:t>
      </w:r>
      <w:r w:rsidRPr="00DE049A">
        <w:rPr>
          <w:rFonts w:ascii="Times New Roman" w:eastAsia="AdvTT6120e2aa+20" w:hAnsi="Times New Roman"/>
          <w:sz w:val="20"/>
          <w:lang w:val="en-MY" w:bidi="ar-SA"/>
        </w:rPr>
        <w:t>–</w:t>
      </w:r>
      <w:r w:rsidRPr="00DE049A">
        <w:rPr>
          <w:rFonts w:ascii="Times New Roman" w:eastAsia="Calibri" w:hAnsi="Times New Roman"/>
          <w:sz w:val="20"/>
          <w:lang w:val="en-MY" w:bidi="ar-SA"/>
        </w:rPr>
        <w:t>2 ml of the hexane layer was transferred using a Pasteur pipette into a clean sample vial prior to for injection for the GC-FID FAME analysis. Fatty acid concentrations (CFA, mg/g of dry sample) were calculated by comparing the peak area of fatty acid in the sample with the peak area of internal standard as follows:</w:t>
      </w:r>
    </w:p>
    <w:p w14:paraId="677C433E" w14:textId="77777777" w:rsidR="00DE049A" w:rsidRPr="00DE049A" w:rsidRDefault="00DE049A" w:rsidP="00163E65">
      <w:pPr>
        <w:spacing w:after="0"/>
        <w:ind w:firstLine="720"/>
        <w:jc w:val="both"/>
        <w:rPr>
          <w:rFonts w:ascii="Times New Roman" w:eastAsia="Calibri" w:hAnsi="Times New Roman"/>
          <w:sz w:val="20"/>
          <w:lang w:val="en-MY" w:bidi="ar-SA"/>
        </w:rPr>
      </w:pPr>
    </w:p>
    <w:p w14:paraId="252C9909" w14:textId="6D0F4D33" w:rsidR="00DE049A" w:rsidRDefault="005E6789" w:rsidP="00163E65">
      <w:pPr>
        <w:autoSpaceDE w:val="0"/>
        <w:autoSpaceDN w:val="0"/>
        <w:adjustRightInd w:val="0"/>
        <w:spacing w:after="0"/>
        <w:ind w:right="-45"/>
        <w:jc w:val="both"/>
        <w:rPr>
          <w:rFonts w:ascii="Times New Roman" w:eastAsia="Calibri" w:hAnsi="Times New Roman"/>
          <w:sz w:val="20"/>
          <w:lang w:val="en-MY" w:bidi="ar-SA"/>
        </w:rPr>
      </w:pPr>
      <m:oMath>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C</m:t>
            </m:r>
          </m:e>
          <m:sub>
            <m:r>
              <w:rPr>
                <w:rFonts w:ascii="Cambria Math" w:eastAsia="Calibri" w:hAnsi="Cambria Math" w:cs="Arial"/>
                <w:sz w:val="20"/>
                <w:lang w:val="en-MY" w:bidi="ar-SA"/>
              </w:rPr>
              <m:t>FA</m:t>
            </m:r>
          </m:sub>
        </m:sSub>
        <m:r>
          <w:rPr>
            <w:rFonts w:ascii="Cambria Math" w:eastAsia="Calibri" w:hAnsi="Cambria Math" w:cs="Arial"/>
            <w:sz w:val="20"/>
            <w:lang w:val="en-MY" w:bidi="ar-SA"/>
          </w:rPr>
          <m:t>=</m:t>
        </m:r>
        <m:f>
          <m:fPr>
            <m:type m:val="skw"/>
            <m:ctrlPr>
              <w:rPr>
                <w:rFonts w:ascii="Cambria Math" w:eastAsia="Calibri" w:hAnsi="Cambria Math" w:cs="Arial"/>
                <w:i/>
                <w:sz w:val="20"/>
                <w:lang w:val="en-MY" w:bidi="ar-SA"/>
              </w:rPr>
            </m:ctrlPr>
          </m:fPr>
          <m:num>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A</m:t>
                </m:r>
              </m:e>
              <m:sub>
                <m:r>
                  <w:rPr>
                    <w:rFonts w:ascii="Cambria Math" w:eastAsia="Calibri" w:hAnsi="Cambria Math" w:cs="Arial"/>
                    <w:sz w:val="20"/>
                    <w:lang w:val="en-MY" w:bidi="ar-SA"/>
                  </w:rPr>
                  <m:t>S</m:t>
                </m:r>
              </m:sub>
            </m:sSub>
          </m:num>
          <m:den>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A</m:t>
                </m:r>
              </m:e>
              <m:sub>
                <m:r>
                  <w:rPr>
                    <w:rFonts w:ascii="Cambria Math" w:eastAsia="Calibri" w:hAnsi="Cambria Math" w:cs="Arial"/>
                    <w:sz w:val="20"/>
                    <w:lang w:val="en-MY" w:bidi="ar-SA"/>
                  </w:rPr>
                  <m:t>IS</m:t>
                </m:r>
              </m:sub>
            </m:sSub>
          </m:den>
        </m:f>
        <m:r>
          <w:rPr>
            <w:rFonts w:ascii="Cambria Math" w:eastAsia="Calibri" w:hAnsi="Cambria Math" w:cs="Arial" w:hint="eastAsia"/>
            <w:sz w:val="20"/>
            <w:lang w:val="en-MY" w:bidi="ar-SA"/>
          </w:rPr>
          <m:t>×</m:t>
        </m:r>
        <m:f>
          <m:fPr>
            <m:type m:val="skw"/>
            <m:ctrlPr>
              <w:rPr>
                <w:rFonts w:ascii="Cambria Math" w:eastAsia="Calibri" w:hAnsi="Cambria Math" w:cs="Arial"/>
                <w:i/>
                <w:sz w:val="20"/>
                <w:lang w:val="en-MY" w:bidi="ar-SA"/>
              </w:rPr>
            </m:ctrlPr>
          </m:fPr>
          <m:num>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C</m:t>
                </m:r>
              </m:e>
              <m:sub>
                <m:r>
                  <w:rPr>
                    <w:rFonts w:ascii="Cambria Math" w:eastAsia="Calibri" w:hAnsi="Cambria Math" w:cs="Arial"/>
                    <w:sz w:val="20"/>
                    <w:lang w:val="en-MY" w:bidi="ar-SA"/>
                  </w:rPr>
                  <m:t>IS</m:t>
                </m:r>
              </m:sub>
            </m:sSub>
          </m:num>
          <m:den>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W</m:t>
                </m:r>
              </m:e>
              <m:sub>
                <m:r>
                  <w:rPr>
                    <w:rFonts w:ascii="Cambria Math" w:eastAsia="Calibri" w:hAnsi="Cambria Math" w:cs="Arial"/>
                    <w:sz w:val="20"/>
                    <w:lang w:val="en-MY" w:bidi="ar-SA"/>
                  </w:rPr>
                  <m:t>S</m:t>
                </m:r>
              </m:sub>
            </m:sSub>
          </m:den>
        </m:f>
      </m:oMath>
      <w:r w:rsidR="00DE049A" w:rsidRPr="00DE049A">
        <w:rPr>
          <w:rFonts w:ascii="Arial" w:eastAsia="Calibri" w:hAnsi="Arial" w:cs="Arial"/>
          <w:sz w:val="20"/>
          <w:lang w:val="en-MY" w:bidi="ar-SA"/>
        </w:rPr>
        <w:tab/>
      </w:r>
      <w:r w:rsidR="00DE049A" w:rsidRPr="00DE049A">
        <w:rPr>
          <w:rFonts w:ascii="Arial" w:eastAsia="Calibri" w:hAnsi="Arial" w:cs="Arial"/>
          <w:sz w:val="20"/>
          <w:lang w:val="en-MY" w:bidi="ar-SA"/>
        </w:rPr>
        <w:tab/>
      </w:r>
      <w:r w:rsidR="00C453C2">
        <w:rPr>
          <w:rFonts w:ascii="Arial" w:eastAsia="Calibri" w:hAnsi="Arial" w:cs="Arial"/>
          <w:sz w:val="20"/>
          <w:lang w:val="en-MY" w:bidi="ar-SA"/>
        </w:rPr>
        <w:tab/>
        <w:t xml:space="preserve">            </w:t>
      </w:r>
      <w:r w:rsidR="00DE049A" w:rsidRPr="00DE049A">
        <w:rPr>
          <w:rFonts w:ascii="Times New Roman" w:eastAsia="Calibri" w:hAnsi="Times New Roman"/>
          <w:sz w:val="20"/>
          <w:lang w:val="en-MY" w:bidi="ar-SA"/>
        </w:rPr>
        <w:t>(1)</w:t>
      </w:r>
    </w:p>
    <w:p w14:paraId="7F119316" w14:textId="77777777" w:rsidR="00A61873" w:rsidRPr="00DE049A" w:rsidRDefault="00A61873" w:rsidP="00163E65">
      <w:pPr>
        <w:autoSpaceDE w:val="0"/>
        <w:autoSpaceDN w:val="0"/>
        <w:adjustRightInd w:val="0"/>
        <w:spacing w:after="0"/>
        <w:ind w:right="-45"/>
        <w:jc w:val="both"/>
        <w:rPr>
          <w:rFonts w:ascii="Times New Roman" w:eastAsia="Calibri" w:hAnsi="Times New Roman"/>
          <w:sz w:val="20"/>
          <w:lang w:val="en-MY" w:bidi="ar-SA"/>
        </w:rPr>
      </w:pPr>
    </w:p>
    <w:p w14:paraId="3AF7BD3F"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where;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A</m:t>
            </m:r>
          </m:e>
          <m:sub>
            <m:r>
              <w:rPr>
                <w:rFonts w:ascii="Cambria Math" w:eastAsia="Calibri" w:hAnsi="Cambria Math"/>
                <w:sz w:val="20"/>
                <w:lang w:val="en-MY" w:bidi="ar-SA"/>
              </w:rPr>
              <m:t>S</m:t>
            </m:r>
          </m:sub>
        </m:sSub>
      </m:oMath>
      <w:r w:rsidRPr="00DE049A">
        <w:rPr>
          <w:rFonts w:ascii="Times New Roman" w:eastAsia="Calibri" w:hAnsi="Times New Roman"/>
          <w:sz w:val="20"/>
          <w:lang w:val="en-MY" w:bidi="ar-SA"/>
        </w:rPr>
        <w:t xml:space="preserve"> = peak area of fatty acid in the sample in chromatogram,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A</m:t>
            </m:r>
          </m:e>
          <m:sub>
            <m:r>
              <w:rPr>
                <w:rFonts w:ascii="Cambria Math" w:eastAsia="Calibri" w:hAnsi="Cambria Math"/>
                <w:sz w:val="20"/>
                <w:lang w:val="en-MY" w:bidi="ar-SA"/>
              </w:rPr>
              <m:t>IS</m:t>
            </m:r>
          </m:sub>
        </m:sSub>
      </m:oMath>
      <w:r w:rsidRPr="00DE049A">
        <w:rPr>
          <w:rFonts w:ascii="Times New Roman" w:eastAsia="Calibri" w:hAnsi="Times New Roman"/>
          <w:sz w:val="20"/>
          <w:lang w:val="en-MY" w:bidi="ar-SA"/>
        </w:rPr>
        <w:t xml:space="preserve">= peak area of internal standard in chromatogram,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C</m:t>
            </m:r>
          </m:e>
          <m:sub>
            <m:r>
              <w:rPr>
                <w:rFonts w:ascii="Cambria Math" w:eastAsia="Calibri" w:hAnsi="Cambria Math"/>
                <w:sz w:val="20"/>
                <w:lang w:val="en-MY" w:bidi="ar-SA"/>
              </w:rPr>
              <m:t>IS</m:t>
            </m:r>
          </m:sub>
        </m:sSub>
      </m:oMath>
      <w:r w:rsidRPr="00DE049A">
        <w:rPr>
          <w:rFonts w:ascii="Times New Roman" w:eastAsia="Calibri" w:hAnsi="Times New Roman"/>
          <w:sz w:val="20"/>
          <w:lang w:val="en-MY" w:bidi="ar-SA"/>
        </w:rPr>
        <w:t xml:space="preserve"> = concentration of internal standard (mg), and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W</m:t>
            </m:r>
          </m:e>
          <m:sub>
            <m:r>
              <w:rPr>
                <w:rFonts w:ascii="Cambria Math" w:eastAsia="Calibri" w:hAnsi="Cambria Math"/>
                <w:sz w:val="20"/>
                <w:lang w:val="en-MY" w:bidi="ar-SA"/>
              </w:rPr>
              <m:t>S</m:t>
            </m:r>
          </m:sub>
        </m:sSub>
      </m:oMath>
      <w:r w:rsidRPr="00DE049A">
        <w:rPr>
          <w:rFonts w:ascii="Times New Roman" w:eastAsia="Calibri" w:hAnsi="Times New Roman"/>
          <w:sz w:val="20"/>
          <w:lang w:val="en-MY" w:bidi="ar-SA"/>
        </w:rPr>
        <w:t xml:space="preserve"> = weight of sample (g).</w:t>
      </w:r>
    </w:p>
    <w:p w14:paraId="4D23DE98" w14:textId="77777777" w:rsidR="00DE049A" w:rsidRPr="00DE049A" w:rsidRDefault="00DE049A" w:rsidP="00163E65">
      <w:pPr>
        <w:spacing w:after="0"/>
        <w:jc w:val="both"/>
        <w:rPr>
          <w:rFonts w:ascii="Times New Roman" w:eastAsia="Calibri" w:hAnsi="Times New Roman"/>
          <w:sz w:val="20"/>
          <w:lang w:val="en-MY" w:bidi="ar-SA"/>
        </w:rPr>
      </w:pPr>
    </w:p>
    <w:p w14:paraId="741F5CB6" w14:textId="41A8DF4C" w:rsid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Qualitatively (as a percentage), composition of individual fatty acids was calculated by comparing the peak area of each fatty acid with the total peak area of all fatty acids in the sample.</w:t>
      </w:r>
    </w:p>
    <w:p w14:paraId="068B35BD" w14:textId="77777777" w:rsidR="005F43DE" w:rsidRPr="00DE049A" w:rsidRDefault="005F43DE" w:rsidP="00163E65">
      <w:pPr>
        <w:spacing w:after="0"/>
        <w:jc w:val="both"/>
        <w:rPr>
          <w:rFonts w:ascii="Times New Roman" w:eastAsia="Calibri" w:hAnsi="Times New Roman"/>
          <w:sz w:val="20"/>
          <w:lang w:val="en-MY" w:bidi="ar-SA"/>
        </w:rPr>
      </w:pPr>
    </w:p>
    <w:p w14:paraId="6687F520" w14:textId="77777777"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Gas chromatography conditions</w:t>
      </w:r>
    </w:p>
    <w:p w14:paraId="08D3C171"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The FAMEs were separated and quantified using a gas chromatography equipped with flame ionization detector, GC-FID (GC = Agilent Technologies 6890N, FID = Agilent 5973 MSD). Separation was performed with an FFAP-polar capillary column (30 m×0.32 mm internal diameter, 0.25 μm film thickness) in split-less mode. Hydrogen was used as a carrier gas. The inlet temperature is 250 °C. After injection at 60 °C, the oven temperature was raised to 150 °C at a rate 40 °C min</w:t>
      </w:r>
      <w:r w:rsidRPr="00DE049A">
        <w:rPr>
          <w:rFonts w:ascii="Times New Roman" w:eastAsia="AdvTT6120e2aa+22" w:hAnsi="Times New Roman"/>
          <w:sz w:val="20"/>
          <w:vertAlign w:val="superscript"/>
          <w:lang w:val="en-MY" w:bidi="ar-SA"/>
        </w:rPr>
        <w:t>−</w:t>
      </w:r>
      <w:r w:rsidRPr="00DE049A">
        <w:rPr>
          <w:rFonts w:ascii="Times New Roman" w:eastAsia="Calibri" w:hAnsi="Times New Roman"/>
          <w:sz w:val="20"/>
          <w:vertAlign w:val="superscript"/>
          <w:lang w:val="en-MY" w:bidi="ar-SA"/>
        </w:rPr>
        <w:t>1</w:t>
      </w:r>
      <w:r w:rsidRPr="00DE049A">
        <w:rPr>
          <w:rFonts w:ascii="Times New Roman" w:eastAsia="Calibri" w:hAnsi="Times New Roman"/>
          <w:sz w:val="20"/>
          <w:lang w:val="en-MY" w:bidi="ar-SA"/>
        </w:rPr>
        <w:t>, then to 230 °C at 3 °C min</w:t>
      </w:r>
      <w:r w:rsidRPr="00DE049A">
        <w:rPr>
          <w:rFonts w:ascii="Times New Roman" w:eastAsia="AdvTT6120e2aa+22" w:hAnsi="Times New Roman"/>
          <w:sz w:val="20"/>
          <w:vertAlign w:val="superscript"/>
          <w:lang w:val="en-MY" w:bidi="ar-SA"/>
        </w:rPr>
        <w:t>−</w:t>
      </w:r>
      <w:r w:rsidRPr="00DE049A">
        <w:rPr>
          <w:rFonts w:ascii="Times New Roman" w:eastAsia="Calibri" w:hAnsi="Times New Roman"/>
          <w:sz w:val="20"/>
          <w:vertAlign w:val="superscript"/>
          <w:lang w:val="en-MY" w:bidi="ar-SA"/>
        </w:rPr>
        <w:t>1</w:t>
      </w:r>
      <w:r w:rsidRPr="00DE049A">
        <w:rPr>
          <w:rFonts w:ascii="Times New Roman" w:eastAsia="Calibri" w:hAnsi="Times New Roman"/>
          <w:sz w:val="20"/>
          <w:lang w:val="en-MY" w:bidi="ar-SA"/>
        </w:rPr>
        <w:t xml:space="preserve">, and finally held constant for 30 min. The flame ionization was held at 240 °C. FAME peaks were identified by comparing their retention times with those of authentic standards (Supelco Inc.). Fatty acids were designated as an n:pωx, where n is the number of carbon atoms in the aliphatic chain, p is the number of double bonds and x is the position of the first double bond from the terminal </w:t>
      </w:r>
      <w:r w:rsidRPr="00DE049A">
        <w:rPr>
          <w:rFonts w:ascii="Times New Roman" w:eastAsia="Calibri" w:hAnsi="Times New Roman"/>
          <w:sz w:val="20"/>
          <w:lang w:val="en-MY" w:bidi="ar-SA"/>
        </w:rPr>
        <w:t>methyl group. The analytical precision for samples was generally &lt;5% for total amounts and major components of FAMEs.</w:t>
      </w:r>
    </w:p>
    <w:p w14:paraId="3EB0C658" w14:textId="77777777" w:rsidR="00DE049A" w:rsidRPr="00DE049A" w:rsidRDefault="00DE049A" w:rsidP="00163E65">
      <w:pPr>
        <w:spacing w:after="0"/>
        <w:ind w:firstLine="72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 </w:t>
      </w:r>
    </w:p>
    <w:p w14:paraId="1EB603F3" w14:textId="77777777"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Statistical analysis</w:t>
      </w:r>
    </w:p>
    <w:p w14:paraId="47C23CEC"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Differences among the mean value of fatty acid compositions (ƩSAFA, ƩMUFA, ƩPUFA and fatty acid components) were examined by Generalize Linear Model (GLM) which involves the Multivariate Analysis of Variance (MANOVA). The null hypotheses of ‘no difference between treatments’ were tested and significant levels less than 0.05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&lt;0.05) indicated significant differences for the test treatment. Any significance differences between the treatment samples were further tested via multiple comparison using Bonferroni post-hoc test. Prior to the analysis, data were tested for homogeneity of variances (Leven’s test) and the normality of the data (Shapiro–Wilk’s test). Statistical analysis was performed using IBM SPSS statistic software.</w:t>
      </w:r>
    </w:p>
    <w:p w14:paraId="01A7F3B1" w14:textId="77777777" w:rsidR="00DE049A" w:rsidRPr="00DE049A" w:rsidRDefault="00DE049A" w:rsidP="00163E65">
      <w:pPr>
        <w:spacing w:after="0"/>
        <w:jc w:val="both"/>
        <w:rPr>
          <w:rFonts w:ascii="Times New Roman" w:eastAsia="Calibri" w:hAnsi="Times New Roman"/>
          <w:sz w:val="20"/>
          <w:lang w:val="en-MY" w:bidi="ar-SA"/>
        </w:rPr>
      </w:pPr>
    </w:p>
    <w:p w14:paraId="233C8B7E" w14:textId="77777777"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Results and Discussion</w:t>
      </w:r>
    </w:p>
    <w:p w14:paraId="64C03178" w14:textId="77777777"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Major fatty acid composition</w:t>
      </w:r>
    </w:p>
    <w:p w14:paraId="3C36C5FD"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There was a significant different on the composition of ƩSAFA [F (4,10) = 39.965, p &lt; 0.001], ƩMUFA [F (4,10) = 81.811, p &lt; 0.001] and ƩPUFA [F (4,10) = 30.449, p &lt; 0.001] among the treatment samples. As shown in Figure 2, lower composition of ƩSAFA, ƩMUFA and ƩPUFA were found in the samples exposed with Irgarol 1051. Pairwise test revealed no clear different (p &gt; 0.05) between fresh, control and T1 in ƩSAFA composition but significantly different (</w:t>
      </w:r>
      <w:r w:rsidRPr="00DE049A">
        <w:rPr>
          <w:rFonts w:ascii="Times New Roman" w:eastAsia="Calibri" w:hAnsi="Times New Roman"/>
          <w:i/>
          <w:iCs/>
          <w:sz w:val="20"/>
          <w:lang w:val="en-MY" w:bidi="ar-SA"/>
        </w:rPr>
        <w:t xml:space="preserve">p </w:t>
      </w:r>
      <w:r w:rsidRPr="00DE049A">
        <w:rPr>
          <w:rFonts w:ascii="Times New Roman" w:eastAsia="Calibri" w:hAnsi="Times New Roman"/>
          <w:sz w:val="20"/>
          <w:lang w:val="en-MY" w:bidi="ar-SA"/>
        </w:rPr>
        <w:t>&lt;0.05) with the samples exposed to 100 µg/L (T2) and 500 µg/L (T3) Irgarol 1051. Both ƩMUFA and ƩPUFA were not significantly differ (p &gt; 0.05) between fresh and control but the composition in the samples exposed to Irgarol 1051 do not follow the trend. Higher composition of ƩMUFA was found in T1 and T2 with palmitoleic acid (16:1) highly contribute to the MUFA composition while ƩPUFA significantly lowered as compared to fresh and control samples.</w:t>
      </w:r>
    </w:p>
    <w:p w14:paraId="6FA74A94" w14:textId="77777777" w:rsidR="00346A8D" w:rsidRDefault="00346A8D" w:rsidP="00163E65">
      <w:pPr>
        <w:spacing w:after="0"/>
        <w:jc w:val="both"/>
        <w:rPr>
          <w:rFonts w:ascii="Times New Roman" w:eastAsia="Calibri" w:hAnsi="Times New Roman"/>
          <w:sz w:val="20"/>
          <w:lang w:val="en-MY" w:bidi="ar-SA"/>
        </w:rPr>
        <w:sectPr w:rsidR="00346A8D" w:rsidSect="00346A8D">
          <w:headerReference w:type="even" r:id="rId20"/>
          <w:headerReference w:type="default" r:id="rId21"/>
          <w:footerReference w:type="default" r:id="rId22"/>
          <w:headerReference w:type="first" r:id="rId23"/>
          <w:type w:val="continuous"/>
          <w:pgSz w:w="12240" w:h="15840" w:code="1"/>
          <w:pgMar w:top="1800" w:right="1469" w:bottom="1699" w:left="1440" w:header="706" w:footer="706" w:gutter="0"/>
          <w:pgNumType w:start="0"/>
          <w:cols w:num="2" w:space="403"/>
          <w:docGrid w:linePitch="360"/>
        </w:sectPr>
      </w:pPr>
    </w:p>
    <w:p w14:paraId="1C564099" w14:textId="77777777" w:rsidR="00DE049A" w:rsidRPr="00DE049A" w:rsidRDefault="00DE049A" w:rsidP="00163E65">
      <w:pPr>
        <w:spacing w:after="0"/>
        <w:jc w:val="both"/>
        <w:rPr>
          <w:rFonts w:ascii="Times New Roman" w:eastAsia="Calibri" w:hAnsi="Times New Roman"/>
          <w:sz w:val="20"/>
          <w:lang w:val="en-MY" w:bidi="ar-SA"/>
        </w:rPr>
      </w:pPr>
    </w:p>
    <w:p w14:paraId="1DD51745" w14:textId="77777777" w:rsidR="00CA5CF7" w:rsidRDefault="00CA5CF7" w:rsidP="00163E65">
      <w:pPr>
        <w:spacing w:after="0"/>
        <w:jc w:val="center"/>
        <w:rPr>
          <w:rFonts w:ascii="Times New Roman" w:eastAsia="Calibri" w:hAnsi="Times New Roman"/>
          <w:sz w:val="20"/>
          <w:lang w:val="en-MY" w:bidi="ar-SA"/>
        </w:rPr>
        <w:sectPr w:rsidR="00CA5CF7" w:rsidSect="00346A8D">
          <w:type w:val="continuous"/>
          <w:pgSz w:w="12240" w:h="15840" w:code="1"/>
          <w:pgMar w:top="1800" w:right="1469" w:bottom="1699" w:left="1440" w:header="706" w:footer="706" w:gutter="0"/>
          <w:pgNumType w:start="0"/>
          <w:cols w:num="2" w:space="403"/>
          <w:docGrid w:linePitch="360"/>
        </w:sectPr>
      </w:pPr>
    </w:p>
    <w:p w14:paraId="4695972B" w14:textId="2232C18E" w:rsidR="00A61873" w:rsidRPr="00327301" w:rsidRDefault="00DE049A" w:rsidP="00327301">
      <w:pPr>
        <w:spacing w:after="120"/>
        <w:jc w:val="center"/>
        <w:rPr>
          <w:rFonts w:ascii="Times New Roman" w:eastAsia="Calibri" w:hAnsi="Times New Roman"/>
          <w:sz w:val="20"/>
          <w:lang w:val="en-MY" w:bidi="ar-SA"/>
        </w:rPr>
      </w:pPr>
      <w:r w:rsidRPr="00DE049A">
        <w:rPr>
          <w:rFonts w:ascii="Times New Roman" w:eastAsia="Calibri" w:hAnsi="Times New Roman"/>
          <w:noProof/>
          <w:sz w:val="20"/>
          <w:lang w:val="en-MY" w:bidi="ar-SA"/>
        </w:rPr>
        <w:lastRenderedPageBreak/>
        <w:drawing>
          <wp:inline distT="0" distB="0" distL="0" distR="0" wp14:anchorId="778D3998" wp14:editId="3037C48B">
            <wp:extent cx="3990109" cy="2443942"/>
            <wp:effectExtent l="0" t="0" r="10795" b="13970"/>
            <wp:docPr id="1" name="Chart 1">
              <a:extLst xmlns:a="http://schemas.openxmlformats.org/drawingml/2006/main">
                <a:ext uri="{FF2B5EF4-FFF2-40B4-BE49-F238E27FC236}">
                  <a16:creationId xmlns:a16="http://schemas.microsoft.com/office/drawing/2014/main" id="{04B661FA-F295-4E39-9918-2C8B6A96F5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D719308" w14:textId="20C43505" w:rsidR="00DE049A" w:rsidRPr="00DE049A" w:rsidRDefault="00DE049A" w:rsidP="00163E65">
      <w:pPr>
        <w:spacing w:after="0"/>
        <w:ind w:left="840" w:hanging="840"/>
        <w:jc w:val="both"/>
        <w:rPr>
          <w:rFonts w:ascii="Times New Roman" w:eastAsia="Calibri" w:hAnsi="Times New Roman"/>
          <w:iCs/>
          <w:sz w:val="20"/>
          <w:szCs w:val="18"/>
          <w:lang w:val="en-MY" w:bidi="ar-SA"/>
        </w:rPr>
      </w:pPr>
      <w:r w:rsidRPr="00DE049A">
        <w:rPr>
          <w:rFonts w:ascii="Times New Roman" w:eastAsia="Calibri" w:hAnsi="Times New Roman"/>
          <w:iCs/>
          <w:sz w:val="20"/>
          <w:szCs w:val="18"/>
          <w:lang w:val="en-MY" w:bidi="ar-SA"/>
        </w:rPr>
        <w:t xml:space="preserve">Figure 2. </w:t>
      </w:r>
      <w:r w:rsidR="00327301">
        <w:rPr>
          <w:rFonts w:ascii="Times New Roman" w:eastAsia="Calibri" w:hAnsi="Times New Roman"/>
          <w:iCs/>
          <w:sz w:val="20"/>
          <w:szCs w:val="18"/>
          <w:lang w:val="en-MY" w:bidi="ar-SA"/>
        </w:rPr>
        <w:tab/>
      </w:r>
      <w:r w:rsidRPr="00DE049A">
        <w:rPr>
          <w:rFonts w:ascii="Times New Roman" w:eastAsia="Calibri" w:hAnsi="Times New Roman"/>
          <w:iCs/>
          <w:sz w:val="20"/>
          <w:szCs w:val="18"/>
          <w:lang w:val="en-MY" w:bidi="ar-SA"/>
        </w:rPr>
        <w:t xml:space="preserve">Composition (mg/g) dry weight of SAFA, MUFA, PUFA and total fatty acid in tissue samples of </w:t>
      </w:r>
      <w:r w:rsidRPr="00DE049A">
        <w:rPr>
          <w:rFonts w:ascii="Times New Roman" w:eastAsia="Calibri" w:hAnsi="Times New Roman"/>
          <w:i/>
          <w:iCs/>
          <w:sz w:val="20"/>
          <w:szCs w:val="18"/>
          <w:lang w:val="en-MY" w:bidi="ar-SA"/>
        </w:rPr>
        <w:t>Galaxea fascicularis</w:t>
      </w:r>
      <w:r w:rsidRPr="00DE049A">
        <w:rPr>
          <w:rFonts w:ascii="Times New Roman" w:eastAsia="Calibri" w:hAnsi="Times New Roman"/>
          <w:iCs/>
          <w:sz w:val="20"/>
          <w:szCs w:val="18"/>
          <w:lang w:val="en-MY" w:bidi="ar-SA"/>
        </w:rPr>
        <w:t xml:space="preserve"> after 96hrs acute exposure test of Irgarol 1051. Values are means with standard deviation (n=3)</w:t>
      </w:r>
    </w:p>
    <w:p w14:paraId="12EA61E0" w14:textId="77777777" w:rsidR="00CA5CF7" w:rsidRDefault="00CA5CF7" w:rsidP="00163E65">
      <w:pPr>
        <w:keepNext/>
        <w:keepLines/>
        <w:spacing w:after="0"/>
        <w:jc w:val="both"/>
        <w:outlineLvl w:val="1"/>
        <w:rPr>
          <w:rFonts w:ascii="Times New Roman" w:hAnsi="Times New Roman"/>
          <w:b/>
          <w:iCs/>
          <w:sz w:val="20"/>
          <w:szCs w:val="26"/>
          <w:lang w:val="en-MY" w:bidi="ar-SA"/>
        </w:rPr>
        <w:sectPr w:rsidR="00CA5CF7" w:rsidSect="00CA5CF7">
          <w:headerReference w:type="even" r:id="rId25"/>
          <w:headerReference w:type="default" r:id="rId26"/>
          <w:footerReference w:type="even" r:id="rId27"/>
          <w:headerReference w:type="first" r:id="rId28"/>
          <w:type w:val="continuous"/>
          <w:pgSz w:w="12240" w:h="15840" w:code="1"/>
          <w:pgMar w:top="1800" w:right="1469" w:bottom="1699" w:left="1440" w:header="706" w:footer="706" w:gutter="0"/>
          <w:pgNumType w:start="0"/>
          <w:cols w:space="403"/>
          <w:docGrid w:linePitch="360"/>
        </w:sectPr>
      </w:pPr>
    </w:p>
    <w:p w14:paraId="184B5A54" w14:textId="77777777" w:rsidR="00CA5CF7" w:rsidRDefault="00CA5CF7" w:rsidP="00163E65">
      <w:pPr>
        <w:keepNext/>
        <w:keepLines/>
        <w:spacing w:after="0"/>
        <w:jc w:val="both"/>
        <w:outlineLvl w:val="1"/>
        <w:rPr>
          <w:rFonts w:ascii="Times New Roman" w:hAnsi="Times New Roman"/>
          <w:b/>
          <w:iCs/>
          <w:sz w:val="20"/>
          <w:szCs w:val="26"/>
          <w:lang w:val="en-MY" w:bidi="ar-SA"/>
        </w:rPr>
      </w:pPr>
    </w:p>
    <w:p w14:paraId="1AA2E91A" w14:textId="77777777" w:rsidR="00CA5CF7" w:rsidRDefault="00CA5CF7" w:rsidP="00163E65">
      <w:pPr>
        <w:keepNext/>
        <w:keepLines/>
        <w:spacing w:after="0"/>
        <w:jc w:val="both"/>
        <w:outlineLvl w:val="1"/>
        <w:rPr>
          <w:rFonts w:ascii="Times New Roman" w:hAnsi="Times New Roman"/>
          <w:b/>
          <w:iCs/>
          <w:sz w:val="20"/>
          <w:szCs w:val="26"/>
          <w:lang w:val="en-MY" w:bidi="ar-SA"/>
        </w:rPr>
        <w:sectPr w:rsidR="00CA5CF7" w:rsidSect="00CA5CF7">
          <w:type w:val="continuous"/>
          <w:pgSz w:w="12240" w:h="15840" w:code="1"/>
          <w:pgMar w:top="1800" w:right="1469" w:bottom="1699" w:left="1440" w:header="706" w:footer="706" w:gutter="0"/>
          <w:pgNumType w:start="0"/>
          <w:cols w:space="403"/>
          <w:docGrid w:linePitch="360"/>
        </w:sectPr>
      </w:pPr>
    </w:p>
    <w:p w14:paraId="39229CCF" w14:textId="6B362C38"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Fatty acid components</w:t>
      </w:r>
    </w:p>
    <w:p w14:paraId="4A396593" w14:textId="0DF56004" w:rsidR="008D6A25" w:rsidRDefault="00DE049A" w:rsidP="008D6A2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There was a statistically significant difference in the composition of C14:0 [F (4,10) = 6.101, p = 0.009], C16:0 [F (4,10) = 34.282, </w:t>
      </w:r>
      <w:r w:rsidRPr="00DE049A">
        <w:rPr>
          <w:rFonts w:ascii="Times New Roman" w:eastAsia="Calibri" w:hAnsi="Times New Roman"/>
          <w:i/>
          <w:iCs/>
          <w:sz w:val="20"/>
          <w:lang w:val="en-MY" w:bidi="ar-SA"/>
        </w:rPr>
        <w:t xml:space="preserve">p </w:t>
      </w:r>
      <w:r w:rsidRPr="00DE049A">
        <w:rPr>
          <w:rFonts w:ascii="Times New Roman" w:eastAsia="Calibri" w:hAnsi="Times New Roman"/>
          <w:sz w:val="20"/>
          <w:lang w:val="en-MY" w:bidi="ar-SA"/>
        </w:rPr>
        <w:t xml:space="preserve">&lt;0.001] and other SAFA [F (4,10) = 46.661,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&lt;0.001] among the treatment samples. Based on post-hoc test, the composition of C16:0 was found significantly lower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&lt;0.05) in the samples expose to 20 µg/L,100 µg/L</w:t>
      </w:r>
      <w:r w:rsidRPr="00DE049A" w:rsidDel="00EC0278">
        <w:rPr>
          <w:rFonts w:ascii="Times New Roman" w:eastAsia="Calibri" w:hAnsi="Times New Roman"/>
          <w:sz w:val="20"/>
          <w:lang w:val="en-MY" w:bidi="ar-SA"/>
        </w:rPr>
        <w:t xml:space="preserve"> </w:t>
      </w:r>
      <w:r w:rsidRPr="00DE049A">
        <w:rPr>
          <w:rFonts w:ascii="Times New Roman" w:eastAsia="Calibri" w:hAnsi="Times New Roman"/>
          <w:sz w:val="20"/>
          <w:lang w:val="en-MY" w:bidi="ar-SA"/>
        </w:rPr>
        <w:t>and 500 µg/L</w:t>
      </w:r>
      <w:r w:rsidRPr="00DE049A" w:rsidDel="00EC0278">
        <w:rPr>
          <w:rFonts w:ascii="Times New Roman" w:eastAsia="Calibri" w:hAnsi="Times New Roman"/>
          <w:sz w:val="20"/>
          <w:lang w:val="en-MY" w:bidi="ar-SA"/>
        </w:rPr>
        <w:t xml:space="preserve"> </w:t>
      </w:r>
      <w:r w:rsidRPr="00DE049A">
        <w:rPr>
          <w:rFonts w:ascii="Times New Roman" w:eastAsia="Calibri" w:hAnsi="Times New Roman"/>
          <w:sz w:val="20"/>
          <w:lang w:val="en-MY" w:bidi="ar-SA"/>
        </w:rPr>
        <w:t>Irgarol as compared to fresh and control sample, whereby no clear differences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&gt; 0.05) were found between fresh and control. As shown in Figure 3, the fatty acid compositions of 16:0 was largely affected when the samples were exposed to100 µ/g and 500 µ/g Irgarol. No clear trend was found in the composition of 14:0 and </w:t>
      </w:r>
      <w:r w:rsidR="008D6A25">
        <w:rPr>
          <w:rFonts w:ascii="Times New Roman" w:eastAsia="Calibri" w:hAnsi="Times New Roman"/>
          <w:sz w:val="20"/>
          <w:lang w:val="en-MY" w:bidi="ar-SA"/>
        </w:rPr>
        <w:t xml:space="preserve"> </w:t>
      </w:r>
      <w:r w:rsidR="008D6A25" w:rsidRPr="00DE049A">
        <w:rPr>
          <w:rFonts w:ascii="Times New Roman" w:eastAsia="Calibri" w:hAnsi="Times New Roman"/>
          <w:sz w:val="20"/>
          <w:lang w:val="en-MY" w:bidi="ar-SA"/>
        </w:rPr>
        <w:t xml:space="preserve">In this study, four PUFA components comprised of omega-6 and omega-3 fatty acids namely γ-Linolenic acid (18:3ω6), α-linolenic acid (18:3ω3 or ALA), eicosatrienoic acid (20:3n3) and eicosapentaenoic acid (20:5ω3 or EPA) were examined. The composition of 18:3ω6 [F (4,10) = 89.997, p &lt; 0.001], 18:3ω3 [F (4,10) = 19.808, </w:t>
      </w:r>
      <w:r w:rsidR="008D6A25" w:rsidRPr="00DE049A">
        <w:rPr>
          <w:rFonts w:ascii="Times New Roman" w:eastAsia="Calibri" w:hAnsi="Times New Roman"/>
          <w:i/>
          <w:iCs/>
          <w:sz w:val="20"/>
          <w:lang w:val="en-MY" w:bidi="ar-SA"/>
        </w:rPr>
        <w:t>p</w:t>
      </w:r>
      <w:r w:rsidR="008D6A25" w:rsidRPr="00DE049A">
        <w:rPr>
          <w:rFonts w:ascii="Times New Roman" w:eastAsia="Calibri" w:hAnsi="Times New Roman"/>
          <w:sz w:val="20"/>
          <w:lang w:val="en-MY" w:bidi="ar-SA"/>
        </w:rPr>
        <w:t xml:space="preserve"> &lt;0.001], 20:3n3 [F (4,10) = 17.364, </w:t>
      </w:r>
      <w:r w:rsidR="008D6A25" w:rsidRPr="00DE049A">
        <w:rPr>
          <w:rFonts w:ascii="Times New Roman" w:eastAsia="Calibri" w:hAnsi="Times New Roman"/>
          <w:i/>
          <w:iCs/>
          <w:sz w:val="20"/>
          <w:lang w:val="en-MY" w:bidi="ar-SA"/>
        </w:rPr>
        <w:t>p</w:t>
      </w:r>
      <w:r w:rsidR="008D6A25" w:rsidRPr="00DE049A">
        <w:rPr>
          <w:rFonts w:ascii="Times New Roman" w:eastAsia="Calibri" w:hAnsi="Times New Roman"/>
          <w:sz w:val="20"/>
          <w:lang w:val="en-MY" w:bidi="ar-SA"/>
        </w:rPr>
        <w:t xml:space="preserve"> &lt;0.001] and 20:5ω3 [F (4,10) = 56.966, </w:t>
      </w:r>
      <w:r w:rsidR="008D6A25" w:rsidRPr="00DE049A">
        <w:rPr>
          <w:rFonts w:ascii="Times New Roman" w:eastAsia="Calibri" w:hAnsi="Times New Roman"/>
          <w:i/>
          <w:iCs/>
          <w:sz w:val="20"/>
          <w:lang w:val="en-MY" w:bidi="ar-SA"/>
        </w:rPr>
        <w:t>p</w:t>
      </w:r>
      <w:r w:rsidR="008D6A25" w:rsidRPr="00DE049A">
        <w:rPr>
          <w:rFonts w:ascii="Times New Roman" w:eastAsia="Calibri" w:hAnsi="Times New Roman"/>
          <w:sz w:val="20"/>
          <w:lang w:val="en-MY" w:bidi="ar-SA"/>
        </w:rPr>
        <w:t xml:space="preserve"> &lt;0.001] were significantly different among the treatment samples. No clear differences (</w:t>
      </w:r>
      <w:r w:rsidR="008D6A25" w:rsidRPr="00DE049A">
        <w:rPr>
          <w:rFonts w:ascii="Times New Roman" w:eastAsia="Calibri" w:hAnsi="Times New Roman"/>
          <w:i/>
          <w:iCs/>
          <w:sz w:val="20"/>
          <w:lang w:val="en-MY" w:bidi="ar-SA"/>
        </w:rPr>
        <w:t>p</w:t>
      </w:r>
      <w:r w:rsidR="008D6A25" w:rsidRPr="00DE049A">
        <w:rPr>
          <w:rFonts w:ascii="Times New Roman" w:eastAsia="Calibri" w:hAnsi="Times New Roman"/>
          <w:sz w:val="20"/>
          <w:lang w:val="en-MY" w:bidi="ar-SA"/>
        </w:rPr>
        <w:t xml:space="preserve"> &gt; 0.05) were found between fresh, and control as indicated by pairwise test but significantly lowered in the samples exposed to 20 µg/L/g ,100 µg/L and 500 µg/L Irgarol (Figure 4).</w:t>
      </w:r>
    </w:p>
    <w:p w14:paraId="19713360" w14:textId="77777777" w:rsidR="008D6A25" w:rsidRDefault="008D6A25" w:rsidP="008D6A25">
      <w:pPr>
        <w:spacing w:after="0"/>
        <w:jc w:val="both"/>
        <w:rPr>
          <w:rFonts w:ascii="Times New Roman" w:eastAsia="Calibri" w:hAnsi="Times New Roman"/>
          <w:sz w:val="20"/>
          <w:lang w:val="en-MY" w:bidi="ar-SA"/>
        </w:rPr>
      </w:pPr>
    </w:p>
    <w:p w14:paraId="2DFAEA25" w14:textId="523FCF4B" w:rsidR="008D6A25" w:rsidRDefault="008D6A25" w:rsidP="008D6A2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This study revealed the effect of different concentrations of Irgarol on fatty acid composition in the tissue of </w:t>
      </w:r>
      <w:r w:rsidRPr="00DE049A">
        <w:rPr>
          <w:rFonts w:ascii="Times New Roman" w:eastAsia="Calibri" w:hAnsi="Times New Roman"/>
          <w:i/>
          <w:iCs/>
          <w:sz w:val="20"/>
          <w:lang w:val="en-MY" w:bidi="ar-SA"/>
        </w:rPr>
        <w:t>G. fascicularis</w:t>
      </w:r>
      <w:r w:rsidRPr="00DE049A">
        <w:rPr>
          <w:rFonts w:ascii="Times New Roman" w:eastAsia="Calibri" w:hAnsi="Times New Roman"/>
          <w:sz w:val="20"/>
          <w:lang w:val="en-MY" w:bidi="ar-SA"/>
        </w:rPr>
        <w:t xml:space="preserve">. The present findings demonstrate that Irgarol 1051 affecting the health of corals due to changes of fatty acids composition of </w:t>
      </w:r>
      <w:r w:rsidRPr="00DE049A">
        <w:rPr>
          <w:rFonts w:ascii="Times New Roman" w:eastAsia="Calibri" w:hAnsi="Times New Roman"/>
          <w:i/>
          <w:sz w:val="20"/>
          <w:lang w:val="en-MY" w:bidi="ar-SA"/>
        </w:rPr>
        <w:t>G. fascicularis</w:t>
      </w:r>
      <w:r w:rsidRPr="00DE049A">
        <w:rPr>
          <w:rFonts w:ascii="Times New Roman" w:eastAsia="Calibri" w:hAnsi="Times New Roman"/>
          <w:sz w:val="20"/>
          <w:lang w:val="en-MY" w:bidi="ar-SA"/>
        </w:rPr>
        <w:t xml:space="preserve"> and may have implications on metabolisms of the corals. Lower fatty acid composition of ƩSAFA and ƩPUFA was observed in the tissue of </w:t>
      </w:r>
      <w:r w:rsidRPr="00DE049A">
        <w:rPr>
          <w:rFonts w:ascii="Times New Roman" w:eastAsia="Calibri" w:hAnsi="Times New Roman"/>
          <w:i/>
          <w:sz w:val="20"/>
          <w:lang w:val="en-MY" w:bidi="ar-SA"/>
        </w:rPr>
        <w:t>G. fascicularis</w:t>
      </w:r>
      <w:r w:rsidRPr="00DE049A">
        <w:rPr>
          <w:rFonts w:ascii="Times New Roman" w:eastAsia="Calibri" w:hAnsi="Times New Roman"/>
          <w:sz w:val="20"/>
          <w:lang w:val="en-MY" w:bidi="ar-SA"/>
        </w:rPr>
        <w:t xml:space="preserve"> especially when exposed to high concentration (100 µg/L and 500 µg/L) of Irgarol. Previously, similar trend was also found in a study using Asian sea-bass </w:t>
      </w:r>
      <w:r w:rsidRPr="00DE049A">
        <w:rPr>
          <w:rFonts w:ascii="Times New Roman" w:eastAsia="Calibri" w:hAnsi="Times New Roman"/>
          <w:i/>
          <w:iCs/>
          <w:sz w:val="20"/>
          <w:lang w:val="en-MY" w:bidi="ar-SA"/>
        </w:rPr>
        <w:t>Lates calcarifer</w:t>
      </w:r>
      <w:r w:rsidRPr="00DE049A">
        <w:rPr>
          <w:rFonts w:ascii="Times New Roman" w:eastAsia="Calibri" w:hAnsi="Times New Roman"/>
          <w:sz w:val="20"/>
          <w:lang w:val="en-MY" w:bidi="ar-SA"/>
        </w:rPr>
        <w:t xml:space="preserve"> where lower ƩSAFA and ƩPUFA was found in the samples exposed to 10%, 30% and 50% of the 96 hrs LC50 = 0.535 mg/ml of triazine herbicides Irgarol 1051 as compared to fresh and control [10]. In contrast, toxicity test of Irgarol 1051 to hard coral </w:t>
      </w:r>
      <w:r w:rsidRPr="00DE049A">
        <w:rPr>
          <w:rFonts w:ascii="Times New Roman" w:eastAsia="Calibri" w:hAnsi="Times New Roman"/>
          <w:i/>
          <w:iCs/>
          <w:sz w:val="20"/>
          <w:lang w:val="en-MY" w:bidi="ar-SA"/>
        </w:rPr>
        <w:t>Fungia fungites</w:t>
      </w:r>
      <w:r w:rsidRPr="00DE049A">
        <w:rPr>
          <w:rFonts w:ascii="Times New Roman" w:eastAsia="Calibri" w:hAnsi="Times New Roman"/>
          <w:sz w:val="20"/>
          <w:lang w:val="en-MY" w:bidi="ar-SA"/>
        </w:rPr>
        <w:t xml:space="preserve"> revealed that ƩSAFA, ƩPUFA and ƩMUFA were reduced in a as the dose of Irgarol 1051 increased [15]. The inconsistency of fatty acid composition between different species of hard corals can be related to their species-specific and dietary of the species [16, 17]. </w:t>
      </w:r>
    </w:p>
    <w:p w14:paraId="750058C5" w14:textId="77777777" w:rsidR="008D6A25" w:rsidRDefault="008D6A25" w:rsidP="008D6A25">
      <w:pPr>
        <w:spacing w:after="0"/>
        <w:jc w:val="both"/>
        <w:rPr>
          <w:rFonts w:ascii="Times New Roman" w:eastAsia="Calibri" w:hAnsi="Times New Roman"/>
          <w:sz w:val="20"/>
          <w:lang w:val="en-MY" w:bidi="ar-SA"/>
        </w:rPr>
      </w:pPr>
    </w:p>
    <w:p w14:paraId="0D9618BD" w14:textId="11E65FD8" w:rsidR="008D6A25" w:rsidRDefault="008D6A25" w:rsidP="008D6A2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Lower ƩSAFA is largely associated with the lower composition of palmitic acid (16:0) when the samples exposed to Irgarol 1051 especially at higher doses (100 µ/g and 500 µ/g). Generally, the high content of palmitic acid is commonly found in healthy corals and can reach 50% of the total FA composition [15-17]. Toxicity test </w:t>
      </w:r>
      <w:r w:rsidRPr="00DE049A">
        <w:rPr>
          <w:rFonts w:ascii="Times New Roman" w:eastAsia="Calibri" w:hAnsi="Times New Roman"/>
          <w:sz w:val="20"/>
          <w:lang w:val="en-MY" w:bidi="ar-SA"/>
        </w:rPr>
        <w:lastRenderedPageBreak/>
        <w:t xml:space="preserve">of metal cadmium to marine macroalgae, </w:t>
      </w:r>
      <w:r w:rsidRPr="00DE049A">
        <w:rPr>
          <w:rFonts w:ascii="Times New Roman" w:eastAsia="Calibri" w:hAnsi="Times New Roman"/>
          <w:i/>
          <w:iCs/>
          <w:sz w:val="20"/>
          <w:lang w:val="en-MY" w:bidi="ar-SA"/>
        </w:rPr>
        <w:t>Ulva lactuca</w:t>
      </w:r>
      <w:r w:rsidRPr="00DE049A">
        <w:rPr>
          <w:rFonts w:ascii="Times New Roman" w:eastAsia="Calibri" w:hAnsi="Times New Roman"/>
          <w:sz w:val="20"/>
          <w:lang w:val="en-MY" w:bidi="ar-SA"/>
        </w:rPr>
        <w:t xml:space="preserve"> revealed that reduction in palmitic acid can be due to an active desaturation process of fatty acid for the production of unsaturated fatty acid such as linoleic (18:2ω6) and linolenic acid (18:3ω6) [18]. However, in the present study, there was no evidence to support the biosynthesis process because some of the PUFAs such as linolenic acid was below the detectable limit. </w:t>
      </w:r>
    </w:p>
    <w:p w14:paraId="4DF7AD25" w14:textId="77777777" w:rsidR="008D6A25" w:rsidRDefault="008D6A25" w:rsidP="008D6A25">
      <w:pPr>
        <w:spacing w:after="0"/>
        <w:jc w:val="both"/>
        <w:rPr>
          <w:rFonts w:ascii="Times New Roman" w:eastAsia="Calibri" w:hAnsi="Times New Roman"/>
          <w:sz w:val="20"/>
          <w:lang w:val="en-MY" w:bidi="ar-SA"/>
        </w:rPr>
      </w:pPr>
    </w:p>
    <w:p w14:paraId="4AE08D84" w14:textId="31BA4FD1" w:rsidR="008D6A25" w:rsidRDefault="008D6A25" w:rsidP="008D6A2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Among the unsaturated fatty acid, ƩPUFA are largely affected by Irgarol 1051 as compared to ƩMUFA which significantly higher in control and fresh samples. ƩMUFA shows inconsistent trend as compared to fresh and control samples. Perhaps, the MUFA is the intermediate fatty acid in biosynthesis of fatty acid pathway for the conversion from SAFA to PUFA following the contemporary concept [16]. Hence, extensive change in both SAFA and PUFA possibly affecting the inconsistent of ƩMUFA composition. The ƩMUFA having the least composition in fresh and control samples, which is commonly observed in a healthy coral and could remain the low in the samples under stress condition by Irgarol 1051 [10, 15]. In contrast, high composition of ƩMUFA was found in the samples exposed to 100 µ/g of Irgarol 1051 where only palmitoleic acid (16:1) was detected in the GC-FID where the rest of MUFA components were below the detectable limit. High level of ƩMUFA than ƩSAFA possibly due to the active conversion of SAFA to unsaturated fatty acid which leading to high content of ƩMUFA and ƩPUFA in T2 samples [17]. </w:t>
      </w:r>
    </w:p>
    <w:p w14:paraId="5394C391" w14:textId="77777777" w:rsidR="008D6A25" w:rsidRPr="00DE049A" w:rsidRDefault="008D6A25" w:rsidP="008D6A25">
      <w:pPr>
        <w:spacing w:after="0"/>
        <w:jc w:val="both"/>
        <w:rPr>
          <w:rFonts w:ascii="Times New Roman" w:eastAsia="Calibri" w:hAnsi="Times New Roman"/>
          <w:sz w:val="20"/>
          <w:lang w:val="en-MY" w:bidi="ar-SA"/>
        </w:rPr>
      </w:pPr>
    </w:p>
    <w:p w14:paraId="23A1D147" w14:textId="77777777" w:rsidR="008D6A25" w:rsidRPr="00DE049A" w:rsidRDefault="008D6A25" w:rsidP="008D6A2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Presently, ƩPUFA was largely affected and significantly lower in all tested samples as compared to fresh and control samples even at lower dosage of Irgarol 1051. It is known that unsaturated fatty acid such as PUFA is highly susceptible to oxidative stress [20]. There is an increasing interest in oxidative stress in the context of chemical stress in marine organisms [21-23]. In corals, cellular mechanism underlying the bleaching is tightly coupled with the accumulation of toxic reactive oxygen species (ROS) which is naturally counterbalance with </w:t>
      </w:r>
      <w:r w:rsidRPr="00DE049A">
        <w:rPr>
          <w:rFonts w:ascii="Times New Roman" w:eastAsia="Calibri" w:hAnsi="Times New Roman"/>
          <w:sz w:val="20"/>
          <w:lang w:val="en-MY" w:bidi="ar-SA"/>
        </w:rPr>
        <w:t xml:space="preserve">antioxidant enzymes [24]. A study on acute exposure of Irgarol 1051 on branching coral </w:t>
      </w:r>
      <w:r w:rsidRPr="00DE049A">
        <w:rPr>
          <w:rFonts w:ascii="Times New Roman" w:eastAsia="Calibri" w:hAnsi="Times New Roman"/>
          <w:i/>
          <w:iCs/>
          <w:sz w:val="20"/>
          <w:lang w:val="en-MY" w:bidi="ar-SA"/>
        </w:rPr>
        <w:t>Madracis mirabilis</w:t>
      </w:r>
      <w:r w:rsidRPr="00DE049A">
        <w:rPr>
          <w:rFonts w:ascii="Times New Roman" w:eastAsia="Calibri" w:hAnsi="Times New Roman"/>
          <w:sz w:val="20"/>
          <w:lang w:val="en-MY" w:bidi="ar-SA"/>
        </w:rPr>
        <w:t xml:space="preserve"> proven that the chemical toxicity greatly enhances the intracellular formation of toxic ROS which compromise by oxidative defence capacity [23]. However, under certain condition, coral will utilize their energy reserve as a barrier or as a repair system against the oxidative stress when the antioxidant enzymes cannot cope with excessive production of ROS [20]. It is well proven that the depletion of PUFA composition after the loss of symbiont can be associated with oxidative stress [20, 25, 26]. Additionally, all PUFA components from the n-3 (18:3ω3, 20:3ω3 and 20:5n3) and n-6 (18:3ω6) were significantly affected by Irgarol 1051. According to Okuyama et al. [27], the long-chain n-3 series such as the EPA (20:5ω3) which has an antioxidative effect are likely to function as a primary protective barrier against the oxidative stress caused by the accumulation of ROS. Among the PUFAs, the 18:3ω6 and 20:5ω3 are known as a fatty acid biomarker for the symbiotic algae [10, 16, 28]. Irgarol is highly toxic and powerful inhibitor to the symbiotic algae in coral because this antifouling chemical is used to prevent the growth of algae [30]. Symbiotic algae provide up to 90% of photosynthetically fixed carbon to corals including fatty acids which is an important nutrient for daily energy requirement of their host [28, 30]. Study on </w:t>
      </w:r>
      <w:r w:rsidRPr="00DE049A">
        <w:rPr>
          <w:rFonts w:ascii="Times New Roman" w:eastAsia="Calibri" w:hAnsi="Times New Roman"/>
          <w:i/>
          <w:iCs/>
          <w:sz w:val="20"/>
          <w:lang w:val="en-MY" w:bidi="ar-SA"/>
        </w:rPr>
        <w:t>Seriatopora histrix</w:t>
      </w:r>
      <w:r w:rsidRPr="00DE049A">
        <w:rPr>
          <w:rFonts w:ascii="Times New Roman" w:eastAsia="Calibri" w:hAnsi="Times New Roman"/>
          <w:sz w:val="20"/>
          <w:lang w:val="en-MY" w:bidi="ar-SA"/>
        </w:rPr>
        <w:t xml:space="preserve"> [29] and </w:t>
      </w:r>
      <w:r w:rsidRPr="00DE049A">
        <w:rPr>
          <w:rFonts w:ascii="Times New Roman" w:eastAsia="Calibri" w:hAnsi="Times New Roman"/>
          <w:i/>
          <w:iCs/>
          <w:sz w:val="20"/>
          <w:lang w:val="en-MY" w:bidi="ar-SA"/>
        </w:rPr>
        <w:t>Acropora tenuis</w:t>
      </w:r>
      <w:r w:rsidRPr="00DE049A">
        <w:rPr>
          <w:rFonts w:ascii="Times New Roman" w:eastAsia="Calibri" w:hAnsi="Times New Roman"/>
          <w:sz w:val="20"/>
          <w:lang w:val="en-MY" w:bidi="ar-SA"/>
        </w:rPr>
        <w:t xml:space="preserve"> [31] exposed to Irgarol 1051 revealed that the Irgarol 1051 able to inhibit the PSII that involve with the photosynthesis process in the symbiotic algae. Moreover, it is known that some of the fatty acids especially PUFA were translocated from symbiotic algae to coral [20, 26, 17], hence, lower composition of PUFA in the present samples exposed by Irgarol 1051 is partly associated with the disruption of the photosynthetically fixed carbon production by the symbiotic algae.</w:t>
      </w:r>
    </w:p>
    <w:p w14:paraId="0C1408DF" w14:textId="77777777" w:rsidR="008D6A25" w:rsidRDefault="008D6A25" w:rsidP="008D6A25">
      <w:pPr>
        <w:spacing w:after="0"/>
        <w:jc w:val="both"/>
        <w:rPr>
          <w:rFonts w:ascii="Times New Roman" w:eastAsia="Calibri" w:hAnsi="Times New Roman"/>
          <w:sz w:val="20"/>
          <w:lang w:val="en-MY" w:bidi="ar-SA"/>
        </w:rPr>
      </w:pPr>
    </w:p>
    <w:p w14:paraId="15161C57" w14:textId="77777777" w:rsidR="008D6A25" w:rsidRDefault="008D6A25" w:rsidP="008D6A25">
      <w:pPr>
        <w:spacing w:after="0"/>
        <w:jc w:val="both"/>
        <w:rPr>
          <w:rFonts w:ascii="Times New Roman" w:eastAsia="Calibri" w:hAnsi="Times New Roman"/>
          <w:sz w:val="20"/>
          <w:lang w:val="en-MY" w:bidi="ar-SA"/>
        </w:rPr>
      </w:pPr>
    </w:p>
    <w:p w14:paraId="2AADBE67" w14:textId="77777777" w:rsidR="008D6A25" w:rsidRPr="00DE049A" w:rsidRDefault="008D6A25" w:rsidP="008D6A25">
      <w:pPr>
        <w:spacing w:after="0"/>
        <w:jc w:val="both"/>
        <w:rPr>
          <w:rFonts w:ascii="Times New Roman" w:eastAsia="Calibri" w:hAnsi="Times New Roman"/>
          <w:sz w:val="20"/>
          <w:lang w:val="en-MY" w:bidi="ar-SA"/>
        </w:rPr>
      </w:pPr>
    </w:p>
    <w:p w14:paraId="51DA2BF0" w14:textId="77777777" w:rsidR="00CA5CF7" w:rsidRDefault="00CA5CF7" w:rsidP="00CA5CF7">
      <w:pPr>
        <w:spacing w:after="0"/>
        <w:jc w:val="both"/>
        <w:rPr>
          <w:rFonts w:ascii="Times New Roman" w:eastAsia="Calibri" w:hAnsi="Times New Roman"/>
          <w:sz w:val="20"/>
          <w:lang w:val="en-MY" w:bidi="ar-SA"/>
        </w:rPr>
      </w:pPr>
    </w:p>
    <w:p w14:paraId="76D53C45" w14:textId="46CA16D1" w:rsidR="008D6A25" w:rsidRDefault="008D6A25" w:rsidP="00CA5CF7">
      <w:pPr>
        <w:spacing w:after="0"/>
        <w:jc w:val="both"/>
        <w:rPr>
          <w:rFonts w:ascii="Times New Roman" w:eastAsia="Calibri" w:hAnsi="Times New Roman"/>
          <w:sz w:val="20"/>
          <w:lang w:val="en-MY" w:bidi="ar-SA"/>
        </w:rPr>
        <w:sectPr w:rsidR="008D6A25" w:rsidSect="0062283D">
          <w:headerReference w:type="even" r:id="rId29"/>
          <w:headerReference w:type="default" r:id="rId30"/>
          <w:footerReference w:type="default" r:id="rId31"/>
          <w:headerReference w:type="first" r:id="rId32"/>
          <w:type w:val="continuous"/>
          <w:pgSz w:w="12240" w:h="15840" w:code="1"/>
          <w:pgMar w:top="1800" w:right="1469" w:bottom="1699" w:left="1440" w:header="706" w:footer="706" w:gutter="0"/>
          <w:pgNumType w:start="0"/>
          <w:cols w:num="2" w:space="403"/>
          <w:docGrid w:linePitch="360"/>
        </w:sectPr>
      </w:pPr>
    </w:p>
    <w:p w14:paraId="055DA542" w14:textId="32062E20" w:rsidR="00346A8D" w:rsidRDefault="00DE049A" w:rsidP="00CA5CF7">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other SAFA as indicated by the post-hoc test (Figure 3).</w:t>
      </w:r>
    </w:p>
    <w:p w14:paraId="32244270" w14:textId="77777777" w:rsidR="00CA5CF7" w:rsidRDefault="00CA5CF7" w:rsidP="00CA5CF7">
      <w:pPr>
        <w:spacing w:after="0"/>
        <w:jc w:val="both"/>
        <w:rPr>
          <w:rFonts w:ascii="Times New Roman" w:eastAsia="Calibri" w:hAnsi="Times New Roman"/>
          <w:sz w:val="20"/>
          <w:lang w:val="en-MY" w:bidi="ar-SA"/>
        </w:rPr>
      </w:pPr>
    </w:p>
    <w:p w14:paraId="2763D30B" w14:textId="77777777" w:rsidR="0062283D" w:rsidRDefault="0062283D" w:rsidP="00163E65">
      <w:pPr>
        <w:spacing w:after="0"/>
        <w:jc w:val="center"/>
        <w:rPr>
          <w:rFonts w:ascii="Times New Roman" w:eastAsia="Calibri" w:hAnsi="Times New Roman"/>
          <w:sz w:val="20"/>
          <w:lang w:val="en-MY" w:bidi="ar-SA"/>
        </w:rPr>
        <w:sectPr w:rsidR="0062283D" w:rsidSect="0062283D">
          <w:type w:val="continuous"/>
          <w:pgSz w:w="12240" w:h="15840" w:code="1"/>
          <w:pgMar w:top="1800" w:right="1469" w:bottom="1699" w:left="1440" w:header="706" w:footer="706" w:gutter="0"/>
          <w:pgNumType w:start="0"/>
          <w:cols w:num="2" w:space="403"/>
          <w:docGrid w:linePitch="360"/>
        </w:sectPr>
      </w:pPr>
    </w:p>
    <w:p w14:paraId="4393948F" w14:textId="77777777" w:rsidR="0062283D" w:rsidRDefault="0062283D" w:rsidP="00163E65">
      <w:pPr>
        <w:spacing w:after="0"/>
        <w:jc w:val="center"/>
        <w:rPr>
          <w:rFonts w:ascii="Times New Roman" w:eastAsia="Calibri" w:hAnsi="Times New Roman"/>
          <w:sz w:val="20"/>
          <w:lang w:val="en-MY" w:bidi="ar-SA"/>
        </w:rPr>
      </w:pPr>
    </w:p>
    <w:p w14:paraId="3BA4270F" w14:textId="439EF115" w:rsidR="0062283D" w:rsidRDefault="00DE049A" w:rsidP="00163E65">
      <w:pPr>
        <w:spacing w:after="0"/>
        <w:jc w:val="center"/>
        <w:rPr>
          <w:rFonts w:ascii="Times New Roman" w:eastAsia="Calibri" w:hAnsi="Times New Roman"/>
          <w:sz w:val="20"/>
          <w:lang w:val="en-MY" w:bidi="ar-SA"/>
        </w:rPr>
        <w:sectPr w:rsidR="0062283D" w:rsidSect="0062283D">
          <w:headerReference w:type="even" r:id="rId33"/>
          <w:headerReference w:type="default" r:id="rId34"/>
          <w:footerReference w:type="even" r:id="rId35"/>
          <w:headerReference w:type="first" r:id="rId36"/>
          <w:type w:val="continuous"/>
          <w:pgSz w:w="12240" w:h="15840" w:code="1"/>
          <w:pgMar w:top="1800" w:right="1469" w:bottom="1699" w:left="1440" w:header="706" w:footer="706" w:gutter="0"/>
          <w:pgNumType w:start="0"/>
          <w:cols w:space="403"/>
          <w:docGrid w:linePitch="360"/>
        </w:sectPr>
      </w:pPr>
      <w:r w:rsidRPr="00DE049A">
        <w:rPr>
          <w:rFonts w:ascii="Times New Roman" w:eastAsia="Calibri" w:hAnsi="Times New Roman"/>
          <w:noProof/>
          <w:sz w:val="20"/>
          <w:lang w:val="en-MY" w:bidi="ar-SA"/>
        </w:rPr>
        <w:lastRenderedPageBreak/>
        <w:drawing>
          <wp:inline distT="0" distB="0" distL="0" distR="0" wp14:anchorId="6C21C9A2" wp14:editId="104B0E91">
            <wp:extent cx="4089862" cy="2460567"/>
            <wp:effectExtent l="0" t="0" r="6350" b="16510"/>
            <wp:docPr id="4" name="Chart 4">
              <a:extLst xmlns:a="http://schemas.openxmlformats.org/drawingml/2006/main">
                <a:ext uri="{FF2B5EF4-FFF2-40B4-BE49-F238E27FC236}">
                  <a16:creationId xmlns:a16="http://schemas.microsoft.com/office/drawing/2014/main" id="{49B660CB-9C1E-422B-A7D5-48C4287769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7EBFEE8" w14:textId="77777777" w:rsidR="0062283D" w:rsidRDefault="0062283D" w:rsidP="00327301">
      <w:pPr>
        <w:spacing w:after="0"/>
        <w:jc w:val="both"/>
        <w:rPr>
          <w:rFonts w:ascii="Times New Roman" w:eastAsia="Calibri" w:hAnsi="Times New Roman"/>
          <w:iCs/>
          <w:sz w:val="20"/>
          <w:szCs w:val="18"/>
          <w:lang w:val="en-MY" w:bidi="ar-SA"/>
        </w:rPr>
      </w:pPr>
    </w:p>
    <w:p w14:paraId="23899D46" w14:textId="58DEF97D" w:rsidR="008D6A25" w:rsidRPr="008D6A25" w:rsidRDefault="00DE049A" w:rsidP="008D6A25">
      <w:pPr>
        <w:spacing w:after="0"/>
        <w:ind w:left="810" w:hanging="810"/>
        <w:jc w:val="both"/>
        <w:rPr>
          <w:rFonts w:ascii="Times New Roman" w:eastAsia="Calibri" w:hAnsi="Times New Roman"/>
          <w:iCs/>
          <w:sz w:val="20"/>
          <w:szCs w:val="18"/>
          <w:lang w:val="en-MY" w:bidi="ar-SA"/>
        </w:rPr>
      </w:pPr>
      <w:r w:rsidRPr="00DE049A">
        <w:rPr>
          <w:rFonts w:ascii="Times New Roman" w:eastAsia="Calibri" w:hAnsi="Times New Roman"/>
          <w:iCs/>
          <w:sz w:val="20"/>
          <w:szCs w:val="18"/>
          <w:lang w:val="en-MY" w:bidi="ar-SA"/>
        </w:rPr>
        <w:t xml:space="preserve">Figure 3. </w:t>
      </w:r>
      <w:r w:rsidR="00327301">
        <w:rPr>
          <w:rFonts w:ascii="Times New Roman" w:eastAsia="Calibri" w:hAnsi="Times New Roman"/>
          <w:iCs/>
          <w:sz w:val="20"/>
          <w:szCs w:val="18"/>
          <w:lang w:val="en-MY" w:bidi="ar-SA"/>
        </w:rPr>
        <w:tab/>
      </w:r>
      <w:r w:rsidRPr="00DE049A">
        <w:rPr>
          <w:rFonts w:ascii="Times New Roman" w:eastAsia="Calibri" w:hAnsi="Times New Roman"/>
          <w:iCs/>
          <w:sz w:val="20"/>
          <w:szCs w:val="18"/>
          <w:lang w:val="en-MY" w:bidi="ar-SA"/>
        </w:rPr>
        <w:t xml:space="preserve">Composition (mg/g) dry weight of SAFA components namely myristic acid (14:0), palmitic acid (16:0) and other components of SAFA (total) in tissue samples of </w:t>
      </w:r>
      <w:r w:rsidRPr="00DE049A">
        <w:rPr>
          <w:rFonts w:ascii="Times New Roman" w:eastAsia="Calibri" w:hAnsi="Times New Roman"/>
          <w:i/>
          <w:iCs/>
          <w:sz w:val="20"/>
          <w:szCs w:val="18"/>
          <w:lang w:val="en-MY" w:bidi="ar-SA"/>
        </w:rPr>
        <w:t>Galaxea fascicularis</w:t>
      </w:r>
      <w:r w:rsidRPr="00DE049A">
        <w:rPr>
          <w:rFonts w:ascii="Times New Roman" w:eastAsia="Calibri" w:hAnsi="Times New Roman"/>
          <w:iCs/>
          <w:sz w:val="20"/>
          <w:szCs w:val="18"/>
          <w:lang w:val="en-MY" w:bidi="ar-SA"/>
        </w:rPr>
        <w:t xml:space="preserve"> after 96hrs acute exposure test of Irgarol. Values are means with standard deviation (n=3)</w:t>
      </w:r>
    </w:p>
    <w:p w14:paraId="71634AFD" w14:textId="77777777" w:rsidR="008D6A25" w:rsidRDefault="008D6A25" w:rsidP="00811289">
      <w:pPr>
        <w:spacing w:after="120"/>
        <w:jc w:val="center"/>
        <w:rPr>
          <w:rFonts w:ascii="Times New Roman" w:eastAsia="Calibri" w:hAnsi="Times New Roman"/>
          <w:sz w:val="20"/>
          <w:lang w:val="en-MY" w:bidi="ar-SA"/>
        </w:rPr>
      </w:pPr>
    </w:p>
    <w:p w14:paraId="0940AD78" w14:textId="77777777" w:rsidR="008D6A25" w:rsidRPr="00DE049A" w:rsidRDefault="008D6A25" w:rsidP="008D6A25">
      <w:pPr>
        <w:spacing w:after="0"/>
        <w:jc w:val="center"/>
        <w:rPr>
          <w:rFonts w:ascii="Times New Roman" w:eastAsia="Calibri" w:hAnsi="Times New Roman"/>
          <w:sz w:val="20"/>
          <w:lang w:val="en-MY" w:bidi="ar-SA"/>
        </w:rPr>
      </w:pPr>
      <w:r w:rsidRPr="00DE049A">
        <w:rPr>
          <w:rFonts w:ascii="Times New Roman" w:eastAsia="Calibri" w:hAnsi="Times New Roman"/>
          <w:noProof/>
          <w:sz w:val="20"/>
          <w:lang w:val="en-MY" w:bidi="ar-SA"/>
        </w:rPr>
        <w:drawing>
          <wp:inline distT="0" distB="0" distL="0" distR="0" wp14:anchorId="536F9104" wp14:editId="7A1B27DB">
            <wp:extent cx="3674226" cy="2593571"/>
            <wp:effectExtent l="0" t="0" r="2540" b="16510"/>
            <wp:docPr id="5" name="Chart 5">
              <a:extLst xmlns:a="http://schemas.openxmlformats.org/drawingml/2006/main">
                <a:ext uri="{FF2B5EF4-FFF2-40B4-BE49-F238E27FC236}">
                  <a16:creationId xmlns:a16="http://schemas.microsoft.com/office/drawing/2014/main" id="{D5E07A43-FAE6-46B1-8BBA-5E9EA08F95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14B9B41" w14:textId="77777777" w:rsidR="008D6A25" w:rsidRDefault="008D6A25" w:rsidP="008D6A25">
      <w:pPr>
        <w:spacing w:after="0"/>
        <w:ind w:left="798" w:hanging="798"/>
        <w:jc w:val="both"/>
        <w:rPr>
          <w:rFonts w:ascii="Times New Roman" w:eastAsia="Calibri" w:hAnsi="Times New Roman"/>
          <w:iCs/>
          <w:sz w:val="20"/>
          <w:szCs w:val="18"/>
          <w:lang w:val="en-MY" w:bidi="ar-SA"/>
        </w:rPr>
      </w:pPr>
    </w:p>
    <w:p w14:paraId="19393146" w14:textId="1A9C058D" w:rsidR="008D6A25" w:rsidRPr="00811289" w:rsidRDefault="008D6A25" w:rsidP="00811289">
      <w:pPr>
        <w:spacing w:after="0"/>
        <w:ind w:left="798" w:hanging="798"/>
        <w:jc w:val="both"/>
        <w:rPr>
          <w:rFonts w:ascii="Times New Roman" w:eastAsia="Calibri" w:hAnsi="Times New Roman"/>
          <w:iCs/>
          <w:sz w:val="20"/>
          <w:szCs w:val="18"/>
          <w:lang w:val="en-MY" w:bidi="ar-SA"/>
        </w:rPr>
        <w:sectPr w:rsidR="008D6A25" w:rsidRPr="00811289" w:rsidSect="00081B45">
          <w:type w:val="continuous"/>
          <w:pgSz w:w="12240" w:h="15840" w:code="1"/>
          <w:pgMar w:top="1800" w:right="1469" w:bottom="1699" w:left="1440" w:header="706" w:footer="706" w:gutter="0"/>
          <w:pgNumType w:start="0"/>
          <w:cols w:space="403"/>
          <w:docGrid w:linePitch="360"/>
        </w:sectPr>
      </w:pPr>
      <w:r w:rsidRPr="00DE049A">
        <w:rPr>
          <w:rFonts w:ascii="Times New Roman" w:eastAsia="Calibri" w:hAnsi="Times New Roman"/>
          <w:iCs/>
          <w:sz w:val="20"/>
          <w:szCs w:val="18"/>
          <w:lang w:val="en-MY" w:bidi="ar-SA"/>
        </w:rPr>
        <w:t xml:space="preserve">Figure 4. Composition (mg/g) dry weight of PUFA components namely γ-linolenic acid (18:3ω6), α-linolenic acid (18:3ω3), eicosatrienoic acid (20:3n3) and eicosapentaenoic acid (20:5ω3) in tissue samples of </w:t>
      </w:r>
      <w:r w:rsidRPr="00DE049A">
        <w:rPr>
          <w:rFonts w:ascii="Times New Roman" w:eastAsia="Calibri" w:hAnsi="Times New Roman"/>
          <w:i/>
          <w:iCs/>
          <w:sz w:val="20"/>
          <w:szCs w:val="18"/>
          <w:lang w:val="en-MY" w:bidi="ar-SA"/>
        </w:rPr>
        <w:t>Galaxea fascicularis</w:t>
      </w:r>
      <w:r w:rsidRPr="00DE049A">
        <w:rPr>
          <w:rFonts w:ascii="Times New Roman" w:eastAsia="Calibri" w:hAnsi="Times New Roman"/>
          <w:iCs/>
          <w:sz w:val="20"/>
          <w:szCs w:val="18"/>
          <w:lang w:val="en-MY" w:bidi="ar-SA"/>
        </w:rPr>
        <w:t xml:space="preserve"> after 96hrs acute exposure test of Irgarol. Values are means with standard deviation (n=3)</w:t>
      </w:r>
    </w:p>
    <w:p w14:paraId="11A0B8D3" w14:textId="77777777" w:rsidR="002D4A11" w:rsidRDefault="002D4A11" w:rsidP="00163E65">
      <w:pPr>
        <w:spacing w:after="0"/>
        <w:jc w:val="both"/>
        <w:rPr>
          <w:rFonts w:ascii="Times New Roman" w:eastAsia="Calibri" w:hAnsi="Times New Roman"/>
          <w:sz w:val="20"/>
          <w:lang w:val="en-MY" w:bidi="ar-SA"/>
        </w:rPr>
        <w:sectPr w:rsidR="002D4A11" w:rsidSect="00346A8D">
          <w:type w:val="continuous"/>
          <w:pgSz w:w="12240" w:h="15840" w:code="1"/>
          <w:pgMar w:top="1800" w:right="1469" w:bottom="1699" w:left="1440" w:header="706" w:footer="706" w:gutter="0"/>
          <w:pgNumType w:start="0"/>
          <w:cols w:num="2" w:space="403"/>
          <w:docGrid w:linePitch="360"/>
        </w:sectPr>
      </w:pPr>
    </w:p>
    <w:p w14:paraId="422419DB" w14:textId="77777777" w:rsidR="00081B45" w:rsidRDefault="00081B45" w:rsidP="00811289">
      <w:pPr>
        <w:spacing w:after="0"/>
        <w:rPr>
          <w:rFonts w:ascii="Times New Roman" w:eastAsia="Calibri" w:hAnsi="Times New Roman"/>
          <w:sz w:val="20"/>
          <w:lang w:val="en-MY" w:bidi="ar-SA"/>
        </w:rPr>
        <w:sectPr w:rsidR="00081B45" w:rsidSect="002D4A11">
          <w:headerReference w:type="even" r:id="rId39"/>
          <w:headerReference w:type="default" r:id="rId40"/>
          <w:footerReference w:type="default" r:id="rId41"/>
          <w:headerReference w:type="first" r:id="rId42"/>
          <w:type w:val="oddPage"/>
          <w:pgSz w:w="12240" w:h="15840" w:code="1"/>
          <w:pgMar w:top="1800" w:right="1469" w:bottom="1699" w:left="1440" w:header="706" w:footer="706" w:gutter="0"/>
          <w:pgNumType w:start="0"/>
          <w:cols w:num="2" w:space="403"/>
          <w:docGrid w:linePitch="360"/>
        </w:sectPr>
      </w:pPr>
    </w:p>
    <w:p w14:paraId="7E00AEB6" w14:textId="77777777" w:rsidR="00081B45" w:rsidRDefault="00081B45" w:rsidP="00163E65">
      <w:pPr>
        <w:spacing w:after="0"/>
        <w:jc w:val="both"/>
        <w:rPr>
          <w:rFonts w:ascii="Times New Roman" w:eastAsia="Calibri" w:hAnsi="Times New Roman"/>
          <w:sz w:val="20"/>
          <w:lang w:val="en-MY" w:bidi="ar-SA"/>
        </w:rPr>
        <w:sectPr w:rsidR="00081B45" w:rsidSect="00081B45">
          <w:type w:val="continuous"/>
          <w:pgSz w:w="12240" w:h="15840" w:code="1"/>
          <w:pgMar w:top="1800" w:right="1469" w:bottom="1699" w:left="1440" w:header="706" w:footer="706" w:gutter="0"/>
          <w:pgNumType w:start="0"/>
          <w:cols w:space="403"/>
          <w:docGrid w:linePitch="360"/>
        </w:sectPr>
      </w:pPr>
    </w:p>
    <w:p w14:paraId="7D39E72F" w14:textId="02F44817" w:rsidR="00DE049A" w:rsidRPr="00DE049A" w:rsidRDefault="00DE049A" w:rsidP="00811289">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Conclusion</w:t>
      </w:r>
    </w:p>
    <w:p w14:paraId="3166FB26"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This paper explains the toxicological responses of </w:t>
      </w:r>
      <w:r w:rsidRPr="00DE049A">
        <w:rPr>
          <w:rFonts w:ascii="Times New Roman" w:eastAsia="Calibri" w:hAnsi="Times New Roman"/>
          <w:i/>
          <w:iCs/>
          <w:sz w:val="20"/>
          <w:lang w:val="en-MY" w:bidi="ar-SA"/>
        </w:rPr>
        <w:t>Galaxea fascicularis</w:t>
      </w:r>
      <w:r w:rsidRPr="00DE049A">
        <w:rPr>
          <w:rFonts w:ascii="Times New Roman" w:eastAsia="Calibri" w:hAnsi="Times New Roman"/>
          <w:sz w:val="20"/>
          <w:lang w:val="en-MY" w:bidi="ar-SA"/>
        </w:rPr>
        <w:t xml:space="preserve"> upon acute exposure to different concentrations of Irgarol in laboratory experiments. It can be concluded that; acute exposure to </w:t>
      </w:r>
      <w:r w:rsidRPr="00DE049A">
        <w:rPr>
          <w:rFonts w:ascii="Times New Roman" w:eastAsia="Calibri" w:hAnsi="Times New Roman"/>
          <w:i/>
          <w:iCs/>
          <w:sz w:val="20"/>
          <w:lang w:val="en-MY" w:bidi="ar-SA"/>
        </w:rPr>
        <w:t>Galaxea fascicularis</w:t>
      </w:r>
      <w:r w:rsidRPr="00DE049A">
        <w:rPr>
          <w:rFonts w:ascii="Times New Roman" w:eastAsia="Calibri" w:hAnsi="Times New Roman"/>
          <w:sz w:val="20"/>
          <w:lang w:val="en-MY" w:bidi="ar-SA"/>
        </w:rPr>
        <w:t xml:space="preserve"> (96 hours) to different concentrations of Irgarol 1051 had shown significant impact to the fatty acid compositions of this organism. Moreover, fresh and control samples of </w:t>
      </w:r>
      <w:r w:rsidRPr="00DE049A">
        <w:rPr>
          <w:rFonts w:ascii="Times New Roman" w:eastAsia="Calibri" w:hAnsi="Times New Roman"/>
          <w:i/>
          <w:iCs/>
          <w:sz w:val="20"/>
          <w:lang w:val="en-MY" w:bidi="ar-SA"/>
        </w:rPr>
        <w:t>Galaxea fascicularis</w:t>
      </w:r>
      <w:r w:rsidRPr="00DE049A">
        <w:rPr>
          <w:rFonts w:ascii="Times New Roman" w:eastAsia="Calibri" w:hAnsi="Times New Roman"/>
          <w:sz w:val="20"/>
          <w:lang w:val="en-MY" w:bidi="ar-SA"/>
        </w:rPr>
        <w:t xml:space="preserve"> were dominated by PUFA followed by SAFA and then MUFA which significantly different trend with the treated samples. It is proven that the Irgarol have affecting the fatty acids composition of the reef-building coral even exposed at the low levels of this biocide. As hard corals are the main reef-builder, further research is required to understand the ecotoxicological effect of Irgarol to their metabolism to comprehend the consequences of this antifouling chemicals to the health of coral reefs ecosystem.</w:t>
      </w:r>
    </w:p>
    <w:p w14:paraId="56BDAB0F" w14:textId="77777777" w:rsidR="00DE049A" w:rsidRPr="00DE049A" w:rsidRDefault="00DE049A" w:rsidP="00163E65">
      <w:pPr>
        <w:spacing w:after="0"/>
        <w:jc w:val="both"/>
        <w:rPr>
          <w:rFonts w:ascii="Times New Roman" w:eastAsia="Calibri" w:hAnsi="Times New Roman"/>
          <w:sz w:val="20"/>
          <w:lang w:val="en-MY" w:bidi="ar-SA"/>
        </w:rPr>
      </w:pPr>
    </w:p>
    <w:p w14:paraId="45583883" w14:textId="77777777"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Acknowledgement</w:t>
      </w:r>
    </w:p>
    <w:p w14:paraId="647CE02A" w14:textId="2C2DDCEC"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We sincerely acknowledge the Ministry of Higher Education of Malaysia (MoHE) for providing fund to support conducting this study using Fundamental Research Grant Scheme (FRGS/1/2011/STWN/</w:t>
      </w:r>
      <w:r w:rsidR="005E6789">
        <w:rPr>
          <w:rFonts w:ascii="Times New Roman" w:eastAsia="Calibri" w:hAnsi="Times New Roman"/>
          <w:sz w:val="20"/>
          <w:lang w:val="en-MY" w:bidi="ar-SA"/>
        </w:rPr>
        <w:t xml:space="preserve"> </w:t>
      </w:r>
      <w:r w:rsidRPr="00DE049A">
        <w:rPr>
          <w:rFonts w:ascii="Times New Roman" w:eastAsia="Calibri" w:hAnsi="Times New Roman"/>
          <w:sz w:val="20"/>
          <w:lang w:val="en-MY" w:bidi="ar-SA"/>
        </w:rPr>
        <w:t>UMT/02/3) and Higher Institution Centers of Excellence (HICoE, 66928) program. We also acknowledge University of Malaysia Terengganu (UMT) special Institute of Oceanography and Environment (INOS), School of Marine and Environmental Sciences (FSSM), and The State University of Zanzibar (SUZA) for their support in conducting this research.</w:t>
      </w:r>
    </w:p>
    <w:p w14:paraId="13103F5A" w14:textId="77777777" w:rsidR="00081B45" w:rsidRDefault="00081B45" w:rsidP="00163E65">
      <w:pPr>
        <w:widowControl w:val="0"/>
        <w:spacing w:after="0"/>
        <w:jc w:val="center"/>
        <w:outlineLvl w:val="0"/>
        <w:rPr>
          <w:rFonts w:ascii="Times New Roman" w:hAnsi="Times New Roman"/>
          <w:b/>
          <w:kern w:val="36"/>
          <w:sz w:val="20"/>
          <w:szCs w:val="48"/>
          <w:lang w:bidi="ar-SA"/>
        </w:rPr>
      </w:pPr>
    </w:p>
    <w:p w14:paraId="25B09EA6" w14:textId="3258C87D"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References</w:t>
      </w:r>
    </w:p>
    <w:p w14:paraId="6E228F37"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Malato, S., Blanco, J., Cáceres, J., Fernández-Alba, A. R., Agüera, A. and Rodríguez, A. (2002). Photocatalytic treatment of water-soluble pesticides by photo-Fenton and TiO</w:t>
      </w:r>
      <w:r w:rsidRPr="00DE049A">
        <w:rPr>
          <w:rFonts w:ascii="Times New Roman" w:eastAsia="Calibri" w:hAnsi="Times New Roman"/>
          <w:sz w:val="20"/>
          <w:vertAlign w:val="subscript"/>
          <w:lang w:val="en-MY" w:bidi="ar-SA"/>
        </w:rPr>
        <w:t>2</w:t>
      </w:r>
      <w:r w:rsidRPr="00DE049A">
        <w:rPr>
          <w:rFonts w:ascii="Times New Roman" w:eastAsia="Calibri" w:hAnsi="Times New Roman"/>
          <w:sz w:val="20"/>
          <w:lang w:val="en-MY" w:bidi="ar-SA"/>
        </w:rPr>
        <w:t xml:space="preserve"> using solar energy. </w:t>
      </w:r>
      <w:r w:rsidRPr="00DE049A">
        <w:rPr>
          <w:rFonts w:ascii="Times New Roman" w:eastAsia="Calibri" w:hAnsi="Times New Roman"/>
          <w:i/>
          <w:iCs/>
          <w:sz w:val="20"/>
          <w:lang w:val="en-MY" w:bidi="ar-SA"/>
        </w:rPr>
        <w:t>Catalysis Today,</w:t>
      </w:r>
      <w:r w:rsidRPr="00DE049A">
        <w:rPr>
          <w:rFonts w:ascii="Times New Roman" w:eastAsia="Calibri" w:hAnsi="Times New Roman"/>
          <w:sz w:val="20"/>
          <w:lang w:val="en-MY" w:bidi="ar-SA"/>
        </w:rPr>
        <w:t xml:space="preserve"> 76(2-4): 209-220.</w:t>
      </w:r>
    </w:p>
    <w:p w14:paraId="3EDD323B"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Ali, H. R., Arifin, M. M., Sheikh, M. A., Mohamed Shazili, N. A. and Bachok, Z. (2013). Occurrence and distribution of antifouling biocide Irgarol-1051 in coastal waters of Peninsular Malaysia. </w:t>
      </w:r>
      <w:r w:rsidRPr="00DE049A">
        <w:rPr>
          <w:rFonts w:ascii="Times New Roman" w:eastAsia="Calibri" w:hAnsi="Times New Roman"/>
          <w:i/>
          <w:iCs/>
          <w:sz w:val="20"/>
          <w:lang w:val="en-MY" w:bidi="ar-SA"/>
        </w:rPr>
        <w:t>Marine Pollution Bulletin,</w:t>
      </w:r>
      <w:r w:rsidRPr="00DE049A">
        <w:rPr>
          <w:rFonts w:ascii="Times New Roman" w:eastAsia="Calibri" w:hAnsi="Times New Roman"/>
          <w:sz w:val="20"/>
          <w:lang w:val="en-MY" w:bidi="ar-SA"/>
        </w:rPr>
        <w:t xml:space="preserve"> 70(1-2): 253-257.</w:t>
      </w:r>
    </w:p>
    <w:p w14:paraId="46DCE803"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Harino, H., Arai, T., Ohji, M., Ismail, A. and Miyazaki, N. (2009). Contamination profiles of antifouling biocides in selected coastal regions of Malaysia. </w:t>
      </w:r>
      <w:r w:rsidRPr="00DE049A">
        <w:rPr>
          <w:rFonts w:ascii="Times New Roman" w:eastAsia="Calibri" w:hAnsi="Times New Roman"/>
          <w:i/>
          <w:iCs/>
          <w:sz w:val="20"/>
          <w:lang w:val="en-MY" w:bidi="ar-SA"/>
        </w:rPr>
        <w:t>Archives of Environmental Contamination and Toxicology,</w:t>
      </w:r>
      <w:r w:rsidRPr="00DE049A">
        <w:rPr>
          <w:rFonts w:ascii="Times New Roman" w:eastAsia="Calibri" w:hAnsi="Times New Roman"/>
          <w:sz w:val="20"/>
          <w:lang w:val="en-MY" w:bidi="ar-SA"/>
        </w:rPr>
        <w:t xml:space="preserve"> 56(3): 468-478. </w:t>
      </w:r>
    </w:p>
    <w:p w14:paraId="23BD881E"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Sheikh, M. A., Higuchi, T., Fujimura, H., Imo, T. S., Miyagi, T. and Oomori, T. (2009). Contamination and impacts of new antifouling biocide Irgarol-1051 on subtropical coral reef waters. </w:t>
      </w:r>
      <w:r w:rsidRPr="00DE049A">
        <w:rPr>
          <w:rFonts w:ascii="Times New Roman" w:eastAsia="Calibri" w:hAnsi="Times New Roman"/>
          <w:i/>
          <w:iCs/>
          <w:sz w:val="20"/>
          <w:lang w:val="en-MY" w:bidi="ar-SA"/>
        </w:rPr>
        <w:t>International Journal of Environmental Science and Technology,</w:t>
      </w:r>
      <w:r w:rsidRPr="00DE049A">
        <w:rPr>
          <w:rFonts w:ascii="Times New Roman" w:eastAsia="Calibri" w:hAnsi="Times New Roman"/>
          <w:sz w:val="20"/>
          <w:lang w:val="en-MY" w:bidi="ar-SA"/>
        </w:rPr>
        <w:t xml:space="preserve"> 6(3): 353-358.</w:t>
      </w:r>
    </w:p>
    <w:p w14:paraId="391BB640"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Bao, V. W. W., Leung, K. M. Y., Qiu, J. W. and Lam, M. H. W. (2011). Acute toxicities of five commonly used antifouling booster biocides to selected subtropical and cosmopolitan marine species. </w:t>
      </w:r>
      <w:r w:rsidRPr="00DE049A">
        <w:rPr>
          <w:rFonts w:ascii="Times New Roman" w:eastAsia="Calibri" w:hAnsi="Times New Roman"/>
          <w:i/>
          <w:iCs/>
          <w:sz w:val="20"/>
          <w:lang w:val="en-MY" w:bidi="ar-SA"/>
        </w:rPr>
        <w:t>Marine Pollution Bulletin,</w:t>
      </w:r>
      <w:r w:rsidRPr="00DE049A">
        <w:rPr>
          <w:rFonts w:ascii="Times New Roman" w:eastAsia="Calibri" w:hAnsi="Times New Roman"/>
          <w:sz w:val="20"/>
          <w:lang w:val="en-MY" w:bidi="ar-SA"/>
        </w:rPr>
        <w:t xml:space="preserve"> 62(5): 1147-1151.</w:t>
      </w:r>
    </w:p>
    <w:p w14:paraId="772B766F"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West, K. and Van Woesik, R. (2001). Spatial and temporal variance of river discharge on Okinawa (Japan): Inferring the temporal impact on adjacent coral reefs. </w:t>
      </w:r>
      <w:r w:rsidRPr="00DE049A">
        <w:rPr>
          <w:rFonts w:ascii="Times New Roman" w:eastAsia="Calibri" w:hAnsi="Times New Roman"/>
          <w:i/>
          <w:sz w:val="20"/>
          <w:lang w:val="en-MY" w:bidi="ar-SA"/>
        </w:rPr>
        <w:t>Marine Pollution Bulletin,</w:t>
      </w:r>
      <w:r w:rsidRPr="00DE049A">
        <w:rPr>
          <w:rFonts w:ascii="Times New Roman" w:eastAsia="Calibri" w:hAnsi="Times New Roman"/>
          <w:sz w:val="20"/>
          <w:lang w:val="en-MY" w:bidi="ar-SA"/>
        </w:rPr>
        <w:t xml:space="preserve"> 42(10): 864-872.</w:t>
      </w:r>
      <w:r w:rsidRPr="00DE049A">
        <w:rPr>
          <w:rFonts w:ascii="Helvetica" w:eastAsia="Calibri" w:hAnsi="Helvetica" w:cs="Helvetica"/>
          <w:color w:val="3A3A3A"/>
          <w:sz w:val="23"/>
          <w:szCs w:val="23"/>
          <w:shd w:val="clear" w:color="auto" w:fill="FFFFFF"/>
          <w:lang w:val="en-MY" w:bidi="ar-SA"/>
        </w:rPr>
        <w:t xml:space="preserve"> </w:t>
      </w:r>
    </w:p>
    <w:p w14:paraId="596B8193"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Kitada, Y., Kawahata, H., Suzuki, A. and Oomori, T. (2008). Distribution of pesticides and bisphenol a in sediments collected from rivers adjacent to coral reefs. </w:t>
      </w:r>
      <w:r w:rsidRPr="00DE049A">
        <w:rPr>
          <w:rFonts w:ascii="Times New Roman" w:eastAsia="Calibri" w:hAnsi="Times New Roman"/>
          <w:i/>
          <w:sz w:val="20"/>
          <w:lang w:val="en-MY" w:bidi="ar-SA"/>
        </w:rPr>
        <w:t>Applied Catalysis B: Environmental,</w:t>
      </w:r>
      <w:r w:rsidRPr="00DE049A">
        <w:rPr>
          <w:rFonts w:ascii="Times New Roman" w:eastAsia="Calibri" w:hAnsi="Times New Roman"/>
          <w:sz w:val="20"/>
          <w:lang w:val="en-MY" w:bidi="ar-SA"/>
        </w:rPr>
        <w:t xml:space="preserve"> 82(3-4): 163-168.</w:t>
      </w:r>
    </w:p>
    <w:p w14:paraId="0C56CAFC"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Omija, T. (2004). Corals and Coral Reefs, In Coral Reefs of Japan. Ministry of Environment and Japanese Coral Reef Society, Tokyo, pp. 64–68.</w:t>
      </w:r>
    </w:p>
    <w:p w14:paraId="78B5CC35"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Knutson, S., Downs, C. A. and Richmond, R. H. (2012). Concentrations of Irgarol in selected marinas of Oahu, Hawaii and effects on settlement of coral larval. </w:t>
      </w:r>
      <w:r w:rsidRPr="00DE049A">
        <w:rPr>
          <w:rFonts w:ascii="Times New Roman" w:eastAsia="Calibri" w:hAnsi="Times New Roman"/>
          <w:i/>
          <w:sz w:val="20"/>
          <w:lang w:val="en-MY" w:bidi="ar-SA"/>
        </w:rPr>
        <w:t>Ecotoxicology,</w:t>
      </w:r>
      <w:r w:rsidRPr="00DE049A">
        <w:rPr>
          <w:rFonts w:ascii="Times New Roman" w:eastAsia="Calibri" w:hAnsi="Times New Roman"/>
          <w:sz w:val="20"/>
          <w:lang w:val="en-MY" w:bidi="ar-SA"/>
        </w:rPr>
        <w:t xml:space="preserve"> 21(1): 1-8.</w:t>
      </w:r>
    </w:p>
    <w:p w14:paraId="716802F7"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Ali, H. R., Arifin, M. M., Sheikh, M. A., Mohamed Shazili, N. A. and Bachok, Z. (2015). Toxicological studies of Irgarol-1051 and its effects on fatty acid composition of Asian sea-bass, </w:t>
      </w:r>
      <w:r w:rsidRPr="00DE049A">
        <w:rPr>
          <w:rFonts w:ascii="Times New Roman" w:eastAsia="Calibri" w:hAnsi="Times New Roman"/>
          <w:i/>
          <w:sz w:val="20"/>
          <w:lang w:val="en-MY" w:bidi="ar-SA"/>
        </w:rPr>
        <w:t>Lates calcarifer.</w:t>
      </w:r>
      <w:r w:rsidRPr="00DE049A">
        <w:rPr>
          <w:rFonts w:ascii="Times New Roman" w:eastAsia="Calibri" w:hAnsi="Times New Roman"/>
          <w:sz w:val="20"/>
          <w:lang w:val="en-MY" w:bidi="ar-SA"/>
        </w:rPr>
        <w:t xml:space="preserve"> </w:t>
      </w:r>
      <w:r w:rsidRPr="00DE049A">
        <w:rPr>
          <w:rFonts w:ascii="Times New Roman" w:eastAsia="Calibri" w:hAnsi="Times New Roman"/>
          <w:i/>
          <w:sz w:val="20"/>
          <w:lang w:val="en-MY" w:bidi="ar-SA"/>
        </w:rPr>
        <w:t>Regional Studies in Marine Science,</w:t>
      </w:r>
      <w:r w:rsidRPr="00DE049A">
        <w:rPr>
          <w:rFonts w:ascii="Times New Roman" w:eastAsia="Calibri" w:hAnsi="Times New Roman"/>
          <w:sz w:val="20"/>
          <w:lang w:val="en-MY" w:bidi="ar-SA"/>
        </w:rPr>
        <w:t xml:space="preserve"> 2: 171-176. </w:t>
      </w:r>
    </w:p>
    <w:p w14:paraId="3E46A55B"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Cragg, B. A. and Fry, J. C. (1984). The use of microcosms to simulate field experiments to determine the effects of herbicides on aquatic bacteria. </w:t>
      </w:r>
      <w:r w:rsidRPr="00DE049A">
        <w:rPr>
          <w:rFonts w:ascii="Times New Roman" w:eastAsia="Calibri" w:hAnsi="Times New Roman"/>
          <w:i/>
          <w:sz w:val="20"/>
          <w:lang w:val="en-MY" w:bidi="ar-SA"/>
        </w:rPr>
        <w:t>Journal General Microbiology,</w:t>
      </w:r>
      <w:r w:rsidRPr="00DE049A">
        <w:rPr>
          <w:rFonts w:ascii="Times New Roman" w:eastAsia="Calibri" w:hAnsi="Times New Roman"/>
          <w:sz w:val="20"/>
          <w:lang w:val="en-MY" w:bidi="ar-SA"/>
        </w:rPr>
        <w:t xml:space="preserve"> 130: 2309-2316.</w:t>
      </w:r>
    </w:p>
    <w:p w14:paraId="374275FE"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lastRenderedPageBreak/>
        <w:t xml:space="preserve">Sumpono Perotti, P., Belan, A., Forestier, C., Lavedrine, B. and Bohatier, J. (2003). Effect of diuron on aquatic bacteria in laboratory-scale wastewater treatment ponds with special reference to Aeromonas species studied by colony hybridization. </w:t>
      </w:r>
      <w:r w:rsidRPr="00DE049A">
        <w:rPr>
          <w:rFonts w:ascii="Times New Roman" w:eastAsia="Calibri" w:hAnsi="Times New Roman"/>
          <w:i/>
          <w:sz w:val="20"/>
          <w:lang w:val="en-MY" w:bidi="ar-SA"/>
        </w:rPr>
        <w:t>Chemosphere,</w:t>
      </w:r>
      <w:r w:rsidRPr="00DE049A">
        <w:rPr>
          <w:rFonts w:ascii="Times New Roman" w:eastAsia="Calibri" w:hAnsi="Times New Roman"/>
          <w:sz w:val="20"/>
          <w:lang w:val="en-MY" w:bidi="ar-SA"/>
        </w:rPr>
        <w:t xml:space="preserve"> 50: 445-455. </w:t>
      </w:r>
    </w:p>
    <w:p w14:paraId="0BB55443"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American Public Health Association (1995). Standard method for the examination of water and wastewater, nineteenth edition. Washington, DC.</w:t>
      </w:r>
    </w:p>
    <w:p w14:paraId="466E50A7"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Abdulkadir, S. and Tsuchiya, M. (2008). One-step method for quantitative and qualitative analysis of fatty acids in marine animal samples. </w:t>
      </w:r>
      <w:r w:rsidRPr="00DE049A">
        <w:rPr>
          <w:rFonts w:ascii="Times New Roman" w:eastAsia="Calibri" w:hAnsi="Times New Roman"/>
          <w:i/>
          <w:sz w:val="20"/>
          <w:lang w:val="en-MY" w:bidi="ar-SA"/>
        </w:rPr>
        <w:t xml:space="preserve">Journal of Experimental Marine Biology and Ecology, </w:t>
      </w:r>
      <w:r w:rsidRPr="00DE049A">
        <w:rPr>
          <w:rFonts w:ascii="Times New Roman" w:eastAsia="Calibri" w:hAnsi="Times New Roman"/>
          <w:sz w:val="20"/>
          <w:lang w:val="en-MY" w:bidi="ar-SA"/>
        </w:rPr>
        <w:t xml:space="preserve">354(1): 1-8. </w:t>
      </w:r>
    </w:p>
    <w:p w14:paraId="1118E6FF"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Bachok, Z., Arifin, M. M., Sheikh, M. A., Mohamed Shazili, N. A. and Ali, H. R. (2016). Effects of Irgarol -1051 on fatty acid profile of solitary corals, </w:t>
      </w:r>
      <w:r w:rsidRPr="00DE049A">
        <w:rPr>
          <w:rFonts w:ascii="Times New Roman" w:eastAsia="Calibri" w:hAnsi="Times New Roman"/>
          <w:i/>
          <w:sz w:val="20"/>
          <w:lang w:val="en-MY" w:bidi="ar-SA"/>
        </w:rPr>
        <w:t>Fungia fungites</w:t>
      </w:r>
      <w:r w:rsidRPr="00DE049A">
        <w:rPr>
          <w:rFonts w:ascii="Times New Roman" w:eastAsia="Calibri" w:hAnsi="Times New Roman"/>
          <w:sz w:val="20"/>
          <w:lang w:val="en-MY" w:bidi="ar-SA"/>
        </w:rPr>
        <w:t xml:space="preserve"> after acute exposure. </w:t>
      </w:r>
      <w:r w:rsidRPr="00DE049A">
        <w:rPr>
          <w:rFonts w:ascii="Times New Roman" w:eastAsia="Calibri" w:hAnsi="Times New Roman"/>
          <w:i/>
          <w:sz w:val="20"/>
          <w:lang w:val="en-MY" w:bidi="ar-SA"/>
        </w:rPr>
        <w:t xml:space="preserve">Malaysian Journal of Analytical Sciences, </w:t>
      </w:r>
      <w:r w:rsidRPr="00DE049A">
        <w:rPr>
          <w:rFonts w:ascii="Times New Roman" w:eastAsia="Calibri" w:hAnsi="Times New Roman"/>
          <w:sz w:val="20"/>
          <w:lang w:val="en-MY" w:bidi="ar-SA"/>
        </w:rPr>
        <w:t xml:space="preserve">20(4): 697-703. </w:t>
      </w:r>
    </w:p>
    <w:p w14:paraId="4C55578A" w14:textId="4F1C785C" w:rsidR="00A751E2"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Imbs, A. B., Demidkova, D. A., Latypov, Y. Y. and Pham, L. Q. (2007). Application of fatty acids for chemotaxonomy of reef-building corals. </w:t>
      </w:r>
      <w:r w:rsidRPr="00DE049A">
        <w:rPr>
          <w:rFonts w:ascii="Times New Roman" w:eastAsia="Calibri" w:hAnsi="Times New Roman"/>
          <w:i/>
          <w:sz w:val="20"/>
          <w:lang w:val="en-MY" w:bidi="ar-SA"/>
        </w:rPr>
        <w:t>Lipids,</w:t>
      </w:r>
      <w:r w:rsidRPr="00DE049A">
        <w:rPr>
          <w:rFonts w:ascii="Times New Roman" w:eastAsia="Calibri" w:hAnsi="Times New Roman"/>
          <w:sz w:val="20"/>
          <w:lang w:val="en-MY" w:bidi="ar-SA"/>
        </w:rPr>
        <w:t xml:space="preserve"> 42: 1035-1046. </w:t>
      </w:r>
    </w:p>
    <w:p w14:paraId="11920EE5"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Imbs, A. B., Yakovleva, I. M., Latyshev, N. A. and Pham, L. Q. (2010). Biosynthesis of polyunsaturated fatty acids in zooxanthellae and polyps of corals. </w:t>
      </w:r>
      <w:r w:rsidRPr="00DE049A">
        <w:rPr>
          <w:rFonts w:ascii="Times New Roman" w:eastAsia="Calibri" w:hAnsi="Times New Roman"/>
          <w:i/>
          <w:sz w:val="20"/>
          <w:lang w:val="en-MY" w:bidi="ar-SA"/>
        </w:rPr>
        <w:t>Russian Journal of Marine Biology,</w:t>
      </w:r>
      <w:r w:rsidRPr="00DE049A">
        <w:rPr>
          <w:rFonts w:ascii="Times New Roman" w:eastAsia="Calibri" w:hAnsi="Times New Roman"/>
          <w:sz w:val="20"/>
          <w:lang w:val="en-MY" w:bidi="ar-SA"/>
        </w:rPr>
        <w:t xml:space="preserve"> 36(6): 452-457. </w:t>
      </w:r>
    </w:p>
    <w:p w14:paraId="2B5222C3"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Harland, A. D., Navarro, J. C., Spencer Davies, P. and Fixter, L.M. (1993). Lipids of some Caribbean and Red Sea corals: total lipid, wax esters, triglycerides and fatty acids. </w:t>
      </w:r>
      <w:r w:rsidRPr="00DE049A">
        <w:rPr>
          <w:rFonts w:ascii="Times New Roman" w:eastAsia="Calibri" w:hAnsi="Times New Roman"/>
          <w:i/>
          <w:sz w:val="20"/>
          <w:lang w:val="en-MY" w:bidi="ar-SA"/>
        </w:rPr>
        <w:t>Marine Biology,</w:t>
      </w:r>
      <w:r w:rsidRPr="00DE049A">
        <w:rPr>
          <w:rFonts w:ascii="Times New Roman" w:eastAsia="Calibri" w:hAnsi="Times New Roman"/>
          <w:sz w:val="20"/>
          <w:lang w:val="en-MY" w:bidi="ar-SA"/>
        </w:rPr>
        <w:t xml:space="preserve"> 117: 113-117. </w:t>
      </w:r>
    </w:p>
    <w:p w14:paraId="090C55D4"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Kumar, M., Kumari, P., Gupta, V., Anisha, P. A., Reddy, C. R. K. and Jha, B. (2010). Differential responses to cadmium induced oxidative stress in marine macroalga </w:t>
      </w:r>
      <w:r w:rsidRPr="00DE049A">
        <w:rPr>
          <w:rFonts w:ascii="Times New Roman" w:eastAsia="Calibri" w:hAnsi="Times New Roman"/>
          <w:i/>
          <w:iCs/>
          <w:sz w:val="20"/>
          <w:lang w:val="en-MY" w:bidi="ar-SA"/>
        </w:rPr>
        <w:t>Ulva lactuca</w:t>
      </w:r>
      <w:r w:rsidRPr="00DE049A">
        <w:rPr>
          <w:rFonts w:ascii="Times New Roman" w:eastAsia="Calibri" w:hAnsi="Times New Roman"/>
          <w:sz w:val="20"/>
          <w:lang w:val="en-MY" w:bidi="ar-SA"/>
        </w:rPr>
        <w:t xml:space="preserve"> (Ulvales, Chlorophyta). </w:t>
      </w:r>
      <w:r w:rsidRPr="00DE049A">
        <w:rPr>
          <w:rFonts w:ascii="Times New Roman" w:eastAsia="Calibri" w:hAnsi="Times New Roman"/>
          <w:i/>
          <w:sz w:val="20"/>
          <w:lang w:val="en-MY" w:bidi="ar-SA"/>
        </w:rPr>
        <w:t xml:space="preserve">Biometals </w:t>
      </w:r>
      <w:r w:rsidRPr="00DE049A">
        <w:rPr>
          <w:rFonts w:ascii="Times New Roman" w:eastAsia="Calibri" w:hAnsi="Times New Roman"/>
          <w:sz w:val="20"/>
          <w:lang w:val="en-MY" w:bidi="ar-SA"/>
        </w:rPr>
        <w:t>23: 315-325.</w:t>
      </w:r>
    </w:p>
    <w:p w14:paraId="39456854"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Mohd Safuan, C. D., Samshuri, M. A., Jaafar, S. N. T., Tan, H. C. and Bachok, Z. (2021). Physiological response of shallow-water hard coral </w:t>
      </w:r>
      <w:r w:rsidRPr="00DE049A">
        <w:rPr>
          <w:rFonts w:ascii="Times New Roman" w:eastAsia="Calibri" w:hAnsi="Times New Roman"/>
          <w:i/>
          <w:sz w:val="20"/>
          <w:lang w:val="en-MY" w:bidi="ar-SA"/>
        </w:rPr>
        <w:t>Acropora digitifera</w:t>
      </w:r>
      <w:r w:rsidRPr="00DE049A">
        <w:rPr>
          <w:rFonts w:ascii="Times New Roman" w:eastAsia="Calibri" w:hAnsi="Times New Roman"/>
          <w:sz w:val="20"/>
          <w:lang w:val="en-MY" w:bidi="ar-SA"/>
        </w:rPr>
        <w:t xml:space="preserve"> to heat stress via fatty acid composition. </w:t>
      </w:r>
      <w:r w:rsidRPr="00DE049A">
        <w:rPr>
          <w:rFonts w:ascii="Times New Roman" w:eastAsia="Calibri" w:hAnsi="Times New Roman"/>
          <w:i/>
          <w:sz w:val="20"/>
          <w:lang w:val="en-MY" w:bidi="ar-SA"/>
        </w:rPr>
        <w:t>Frontiers in Marine Science,</w:t>
      </w:r>
      <w:r w:rsidRPr="00DE049A">
        <w:rPr>
          <w:rFonts w:ascii="Times New Roman" w:eastAsia="Calibri" w:hAnsi="Times New Roman"/>
          <w:sz w:val="20"/>
          <w:lang w:val="en-MY" w:bidi="ar-SA"/>
        </w:rPr>
        <w:t xml:space="preserve"> 2021: 1187. </w:t>
      </w:r>
    </w:p>
    <w:p w14:paraId="36C02ED7"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Filimonova, V., Goncalves, F., Marques, J. C., De Troch, M. and Goncalves, A. M. (2016). Fatty acid </w:t>
      </w:r>
      <w:r w:rsidRPr="00DE049A">
        <w:rPr>
          <w:rFonts w:ascii="Times New Roman" w:eastAsia="Calibri" w:hAnsi="Times New Roman"/>
          <w:sz w:val="20"/>
          <w:lang w:val="en-MY" w:bidi="ar-SA"/>
        </w:rPr>
        <w:t xml:space="preserve">profiling as bioindicator of chemical stress in marine organisms: a review. </w:t>
      </w:r>
      <w:r w:rsidRPr="00DE049A">
        <w:rPr>
          <w:rFonts w:ascii="Times New Roman" w:eastAsia="Calibri" w:hAnsi="Times New Roman"/>
          <w:i/>
          <w:sz w:val="20"/>
          <w:lang w:val="en-MY" w:bidi="ar-SA"/>
        </w:rPr>
        <w:t>Ecological Indicators,</w:t>
      </w:r>
      <w:r w:rsidRPr="00DE049A">
        <w:rPr>
          <w:rFonts w:ascii="Times New Roman" w:eastAsia="Calibri" w:hAnsi="Times New Roman"/>
          <w:sz w:val="20"/>
          <w:lang w:val="en-MY" w:bidi="ar-SA"/>
        </w:rPr>
        <w:t xml:space="preserve"> 67: 657-672.</w:t>
      </w:r>
    </w:p>
    <w:p w14:paraId="05D1BD29"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Regoli, F. and Giuliani, M. E. (2014). Oxidative pathways of chemical toxicity and oxidative stress biomarkers in marine organisms. </w:t>
      </w:r>
      <w:r w:rsidRPr="00DE049A">
        <w:rPr>
          <w:rFonts w:ascii="Times New Roman" w:eastAsia="Calibri" w:hAnsi="Times New Roman"/>
          <w:i/>
          <w:sz w:val="20"/>
          <w:lang w:val="en-MY" w:bidi="ar-SA"/>
        </w:rPr>
        <w:t>Marine Environmental Research,</w:t>
      </w:r>
      <w:r w:rsidRPr="00DE049A">
        <w:rPr>
          <w:rFonts w:ascii="Times New Roman" w:eastAsia="Calibri" w:hAnsi="Times New Roman"/>
          <w:sz w:val="20"/>
          <w:lang w:val="en-MY" w:bidi="ar-SA"/>
        </w:rPr>
        <w:t xml:space="preserve"> 93: 106-117. </w:t>
      </w:r>
    </w:p>
    <w:p w14:paraId="5A527335"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Downs, C. and Downs, A. (2007). Preliminary examination of short-term cellular toxicological responses of the coral </w:t>
      </w:r>
      <w:r w:rsidRPr="00DE049A">
        <w:rPr>
          <w:rFonts w:ascii="Times New Roman" w:eastAsia="Calibri" w:hAnsi="Times New Roman"/>
          <w:i/>
          <w:sz w:val="20"/>
          <w:lang w:val="en-MY" w:bidi="ar-SA"/>
        </w:rPr>
        <w:t>Madracis mirabilis</w:t>
      </w:r>
      <w:r w:rsidRPr="00DE049A">
        <w:rPr>
          <w:rFonts w:ascii="Times New Roman" w:eastAsia="Calibri" w:hAnsi="Times New Roman"/>
          <w:sz w:val="20"/>
          <w:lang w:val="en-MY" w:bidi="ar-SA"/>
        </w:rPr>
        <w:t xml:space="preserve"> to acute Irgarol 1051 exposure. </w:t>
      </w:r>
      <w:r w:rsidRPr="00DE049A">
        <w:rPr>
          <w:rFonts w:ascii="Times New Roman" w:eastAsia="Calibri" w:hAnsi="Times New Roman"/>
          <w:i/>
          <w:sz w:val="20"/>
          <w:lang w:val="en-MY" w:bidi="ar-SA"/>
        </w:rPr>
        <w:t>Archives of Environmental Contamination and Toxicology</w:t>
      </w:r>
      <w:r w:rsidRPr="00DE049A">
        <w:rPr>
          <w:rFonts w:ascii="Times New Roman" w:eastAsia="Calibri" w:hAnsi="Times New Roman"/>
          <w:sz w:val="20"/>
          <w:lang w:val="en-MY" w:bidi="ar-SA"/>
        </w:rPr>
        <w:t xml:space="preserve">, 52(1): 47-57. </w:t>
      </w:r>
    </w:p>
    <w:p w14:paraId="281AA3A1"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Baird, A. H., Bhagooli, R., Ralph, P. J. and Takahashi, S. (2008). Coral bleaching: the role of the host. </w:t>
      </w:r>
      <w:r w:rsidRPr="00DE049A">
        <w:rPr>
          <w:rFonts w:ascii="Times New Roman" w:eastAsia="Calibri" w:hAnsi="Times New Roman"/>
          <w:i/>
          <w:sz w:val="20"/>
          <w:lang w:val="en-MY" w:bidi="ar-SA"/>
        </w:rPr>
        <w:t>Trends in Ecology &amp; Evolution,</w:t>
      </w:r>
      <w:r w:rsidRPr="00DE049A">
        <w:rPr>
          <w:rFonts w:ascii="Times New Roman" w:eastAsia="Calibri" w:hAnsi="Times New Roman"/>
          <w:sz w:val="20"/>
          <w:lang w:val="en-MY" w:bidi="ar-SA"/>
        </w:rPr>
        <w:t xml:space="preserve"> 24(1): 16-20.</w:t>
      </w:r>
    </w:p>
    <w:p w14:paraId="21041621"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Rodríguez</w:t>
      </w:r>
      <w:r w:rsidRPr="00DE049A">
        <w:rPr>
          <w:rFonts w:ascii="Cambria Math" w:eastAsia="Calibri" w:hAnsi="Cambria Math" w:cs="Cambria Math"/>
          <w:sz w:val="20"/>
          <w:lang w:val="en-MY" w:bidi="ar-SA"/>
        </w:rPr>
        <w:t>‐</w:t>
      </w:r>
      <w:r w:rsidRPr="00DE049A">
        <w:rPr>
          <w:rFonts w:ascii="Times New Roman" w:eastAsia="Calibri" w:hAnsi="Times New Roman"/>
          <w:sz w:val="20"/>
          <w:lang w:val="en-MY" w:bidi="ar-SA"/>
        </w:rPr>
        <w:t>Troncoso, A. P., Carpizo</w:t>
      </w:r>
      <w:r w:rsidRPr="00DE049A">
        <w:rPr>
          <w:rFonts w:ascii="Cambria Math" w:eastAsia="Calibri" w:hAnsi="Cambria Math" w:cs="Cambria Math"/>
          <w:sz w:val="20"/>
          <w:lang w:val="en-MY" w:bidi="ar-SA"/>
        </w:rPr>
        <w:t>‐</w:t>
      </w:r>
      <w:r w:rsidRPr="00DE049A">
        <w:rPr>
          <w:rFonts w:ascii="Times New Roman" w:eastAsia="Calibri" w:hAnsi="Times New Roman"/>
          <w:sz w:val="20"/>
          <w:lang w:val="en-MY" w:bidi="ar-SA"/>
        </w:rPr>
        <w:t>Ituarte, E. and Cupul</w:t>
      </w:r>
      <w:r w:rsidRPr="00DE049A">
        <w:rPr>
          <w:rFonts w:ascii="Cambria Math" w:eastAsia="Calibri" w:hAnsi="Cambria Math" w:cs="Cambria Math"/>
          <w:sz w:val="20"/>
          <w:lang w:val="en-MY" w:bidi="ar-SA"/>
        </w:rPr>
        <w:t>‐</w:t>
      </w:r>
      <w:r w:rsidRPr="00DE049A">
        <w:rPr>
          <w:rFonts w:ascii="Times New Roman" w:eastAsia="Calibri" w:hAnsi="Times New Roman"/>
          <w:sz w:val="20"/>
          <w:lang w:val="en-MY" w:bidi="ar-SA"/>
        </w:rPr>
        <w:t xml:space="preserve">Magaña, A. L. (2016). Physiological response to high temperature in the Tropical Eastern Pacific coral </w:t>
      </w:r>
      <w:r w:rsidRPr="00DE049A">
        <w:rPr>
          <w:rFonts w:ascii="Times New Roman" w:eastAsia="Calibri" w:hAnsi="Times New Roman"/>
          <w:i/>
          <w:sz w:val="20"/>
          <w:lang w:val="en-MY" w:bidi="ar-SA"/>
        </w:rPr>
        <w:t>Pocillopora verrucosa</w:t>
      </w:r>
      <w:r w:rsidRPr="00DE049A">
        <w:rPr>
          <w:rFonts w:ascii="Times New Roman" w:eastAsia="Calibri" w:hAnsi="Times New Roman"/>
          <w:sz w:val="20"/>
          <w:lang w:val="en-MY" w:bidi="ar-SA"/>
        </w:rPr>
        <w:t xml:space="preserve">. </w:t>
      </w:r>
      <w:r w:rsidRPr="00DE049A">
        <w:rPr>
          <w:rFonts w:ascii="Times New Roman" w:eastAsia="Calibri" w:hAnsi="Times New Roman"/>
          <w:i/>
          <w:sz w:val="20"/>
          <w:lang w:val="en-MY" w:bidi="ar-SA"/>
        </w:rPr>
        <w:t>Marine Ecology,</w:t>
      </w:r>
      <w:r w:rsidRPr="00DE049A">
        <w:rPr>
          <w:rFonts w:ascii="Times New Roman" w:eastAsia="Calibri" w:hAnsi="Times New Roman"/>
          <w:sz w:val="20"/>
          <w:lang w:val="en-MY" w:bidi="ar-SA"/>
        </w:rPr>
        <w:t xml:space="preserve"> 37(5): 1168-1175. </w:t>
      </w:r>
    </w:p>
    <w:p w14:paraId="34D1C422"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Imbs, A. B. and Yakovleva, I. M. (2012). Dynamics of lipid and fatty acid composition of shallow-water corals under thermal stress: an experimental approach. </w:t>
      </w:r>
      <w:r w:rsidRPr="00DE049A">
        <w:rPr>
          <w:rFonts w:ascii="Times New Roman" w:eastAsia="Calibri" w:hAnsi="Times New Roman"/>
          <w:i/>
          <w:sz w:val="20"/>
          <w:lang w:val="en-MY" w:bidi="ar-SA"/>
        </w:rPr>
        <w:t>Coral Reefs,</w:t>
      </w:r>
      <w:r w:rsidRPr="00DE049A">
        <w:rPr>
          <w:rFonts w:ascii="Times New Roman" w:eastAsia="Calibri" w:hAnsi="Times New Roman"/>
          <w:sz w:val="20"/>
          <w:lang w:val="en-MY" w:bidi="ar-SA"/>
        </w:rPr>
        <w:t xml:space="preserve"> 31(1): 41-53.</w:t>
      </w:r>
    </w:p>
    <w:p w14:paraId="6E5E2584"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Okuyama, H., Orikasa, Y. and Nishida, T. (2008). Significance of antioxidative functions of eicosapentaenoic and docosahexaenoic acids in marine microorganisms. </w:t>
      </w:r>
      <w:r w:rsidRPr="00DE049A">
        <w:rPr>
          <w:rFonts w:ascii="Times New Roman" w:eastAsia="Calibri" w:hAnsi="Times New Roman"/>
          <w:i/>
          <w:sz w:val="20"/>
          <w:lang w:val="en-MY" w:bidi="ar-SA"/>
        </w:rPr>
        <w:t>Applied and Environmental Microbiology,</w:t>
      </w:r>
      <w:r w:rsidRPr="00DE049A">
        <w:rPr>
          <w:rFonts w:ascii="Times New Roman" w:eastAsia="Calibri" w:hAnsi="Times New Roman"/>
          <w:sz w:val="20"/>
          <w:lang w:val="en-MY" w:bidi="ar-SA"/>
        </w:rPr>
        <w:t xml:space="preserve"> 74(3): 570-574. </w:t>
      </w:r>
    </w:p>
    <w:p w14:paraId="2CD218A3"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Papina, M., Meziane, T. and Van Woesik, R. (2003). Symbiotic zooxanthellae provide the host-coral Montipora digitata with polyunsaturated fatty acids. </w:t>
      </w:r>
      <w:r w:rsidRPr="00DE049A">
        <w:rPr>
          <w:rFonts w:ascii="Times New Roman" w:eastAsia="Calibri" w:hAnsi="Times New Roman"/>
          <w:i/>
          <w:sz w:val="20"/>
          <w:lang w:val="en-MY" w:bidi="ar-SA"/>
        </w:rPr>
        <w:t xml:space="preserve">Comparative Biochemistry and Physiology Part B: Biochemistry and Molecular Biology, </w:t>
      </w:r>
      <w:r w:rsidRPr="00DE049A">
        <w:rPr>
          <w:rFonts w:ascii="Times New Roman" w:eastAsia="Calibri" w:hAnsi="Times New Roman"/>
          <w:sz w:val="20"/>
          <w:lang w:val="en-MY" w:bidi="ar-SA"/>
        </w:rPr>
        <w:t>135(3): 533-537.</w:t>
      </w:r>
    </w:p>
    <w:p w14:paraId="1307FD69"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Jones, R. J. and Kerswell, A. P. (2003). Phytotoxicity of Photosystem II (PSII) herbicides to coral. </w:t>
      </w:r>
      <w:r w:rsidRPr="00DE049A">
        <w:rPr>
          <w:rFonts w:ascii="Times New Roman" w:eastAsia="Calibri" w:hAnsi="Times New Roman"/>
          <w:i/>
          <w:sz w:val="20"/>
          <w:lang w:val="en-MY" w:bidi="ar-SA"/>
        </w:rPr>
        <w:t>Marine Ecology Progress Series,</w:t>
      </w:r>
      <w:r w:rsidRPr="00DE049A">
        <w:rPr>
          <w:rFonts w:ascii="Times New Roman" w:eastAsia="Calibri" w:hAnsi="Times New Roman"/>
          <w:sz w:val="20"/>
          <w:lang w:val="en-MY" w:bidi="ar-SA"/>
        </w:rPr>
        <w:t xml:space="preserve"> 261: 149-159.</w:t>
      </w:r>
    </w:p>
    <w:p w14:paraId="3491509B" w14:textId="77777777" w:rsidR="00811289" w:rsidRPr="00DE049A" w:rsidRDefault="00811289" w:rsidP="00811289">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Teece, M. A., Estes, B., Gelsleichter, and E., Lirman, D. (2011). Heterotrophic and autotrophic assimilation of fatty acids by two scleractinian corals, </w:t>
      </w:r>
      <w:r w:rsidRPr="00DE049A">
        <w:rPr>
          <w:rFonts w:ascii="Times New Roman" w:eastAsia="Calibri" w:hAnsi="Times New Roman"/>
          <w:i/>
          <w:sz w:val="20"/>
          <w:lang w:val="en-MY" w:bidi="ar-SA"/>
        </w:rPr>
        <w:t>Montastraea faveolata</w:t>
      </w:r>
      <w:r w:rsidRPr="00DE049A">
        <w:rPr>
          <w:rFonts w:ascii="Times New Roman" w:eastAsia="Calibri" w:hAnsi="Times New Roman"/>
          <w:sz w:val="20"/>
          <w:lang w:val="en-MY" w:bidi="ar-SA"/>
        </w:rPr>
        <w:t xml:space="preserve"> and </w:t>
      </w:r>
      <w:r w:rsidRPr="00DE049A">
        <w:rPr>
          <w:rFonts w:ascii="Times New Roman" w:eastAsia="Calibri" w:hAnsi="Times New Roman"/>
          <w:i/>
          <w:sz w:val="20"/>
          <w:lang w:val="en-MY" w:bidi="ar-SA"/>
        </w:rPr>
        <w:t>Porites astreoides</w:t>
      </w:r>
      <w:r w:rsidRPr="00DE049A">
        <w:rPr>
          <w:rFonts w:ascii="Times New Roman" w:eastAsia="Calibri" w:hAnsi="Times New Roman"/>
          <w:sz w:val="20"/>
          <w:lang w:val="en-MY" w:bidi="ar-SA"/>
        </w:rPr>
        <w:t xml:space="preserve">. </w:t>
      </w:r>
      <w:r w:rsidRPr="00DE049A">
        <w:rPr>
          <w:rFonts w:ascii="Times New Roman" w:eastAsia="Calibri" w:hAnsi="Times New Roman"/>
          <w:i/>
          <w:sz w:val="20"/>
          <w:lang w:val="en-MY" w:bidi="ar-SA"/>
        </w:rPr>
        <w:t xml:space="preserve">Limnology and Oceanography, </w:t>
      </w:r>
      <w:r w:rsidRPr="00DE049A">
        <w:rPr>
          <w:rFonts w:ascii="Times New Roman" w:eastAsia="Calibri" w:hAnsi="Times New Roman"/>
          <w:sz w:val="20"/>
          <w:lang w:val="en-MY" w:bidi="ar-SA"/>
        </w:rPr>
        <w:t>56(4): 1285-1296.</w:t>
      </w:r>
    </w:p>
    <w:p w14:paraId="45CE0B45" w14:textId="77777777" w:rsidR="00811289" w:rsidRDefault="00811289" w:rsidP="00811289">
      <w:pPr>
        <w:numPr>
          <w:ilvl w:val="0"/>
          <w:numId w:val="11"/>
        </w:numPr>
        <w:spacing w:after="0"/>
        <w:ind w:left="360"/>
        <w:contextualSpacing/>
        <w:jc w:val="both"/>
        <w:rPr>
          <w:rFonts w:ascii="Times New Roman" w:eastAsia="Calibri" w:hAnsi="Times New Roman"/>
          <w:sz w:val="20"/>
          <w:lang w:val="en-MY" w:bidi="ar-SA"/>
        </w:rPr>
        <w:sectPr w:rsidR="00811289" w:rsidSect="00811289">
          <w:headerReference w:type="even" r:id="rId43"/>
          <w:headerReference w:type="default" r:id="rId44"/>
          <w:footerReference w:type="even" r:id="rId45"/>
          <w:footerReference w:type="default" r:id="rId46"/>
          <w:headerReference w:type="first" r:id="rId47"/>
          <w:type w:val="continuous"/>
          <w:pgSz w:w="12240" w:h="15840" w:code="1"/>
          <w:pgMar w:top="1800" w:right="1469" w:bottom="1699" w:left="1440" w:header="706" w:footer="706" w:gutter="0"/>
          <w:pgNumType w:start="0"/>
          <w:cols w:num="2" w:space="403"/>
          <w:docGrid w:linePitch="360"/>
        </w:sectPr>
      </w:pPr>
      <w:r w:rsidRPr="00DE049A">
        <w:rPr>
          <w:rFonts w:ascii="Times New Roman" w:eastAsia="Calibri" w:hAnsi="Times New Roman"/>
          <w:sz w:val="20"/>
          <w:lang w:val="en-MY" w:bidi="ar-SA"/>
        </w:rPr>
        <w:lastRenderedPageBreak/>
        <w:t xml:space="preserve">Kamei, M., Takayama, K., Ishibashi, H., Takeuchi, I. (2020). Effects of ecologically relevant concentrations of Irgarol 1051 in tropical to </w:t>
      </w:r>
      <w:r w:rsidRPr="00DE049A">
        <w:rPr>
          <w:rFonts w:ascii="Times New Roman" w:eastAsia="Calibri" w:hAnsi="Times New Roman"/>
          <w:sz w:val="20"/>
          <w:lang w:val="en-MY" w:bidi="ar-SA"/>
        </w:rPr>
        <w:t xml:space="preserve">subtropical coastal seawater on hermatypic coral </w:t>
      </w:r>
      <w:r w:rsidRPr="00DE049A">
        <w:rPr>
          <w:rFonts w:ascii="Times New Roman" w:eastAsia="Calibri" w:hAnsi="Times New Roman"/>
          <w:i/>
          <w:sz w:val="20"/>
          <w:lang w:val="en-MY" w:bidi="ar-SA"/>
        </w:rPr>
        <w:t>Acropora tenuis</w:t>
      </w:r>
      <w:r w:rsidRPr="00DE049A">
        <w:rPr>
          <w:rFonts w:ascii="Times New Roman" w:eastAsia="Calibri" w:hAnsi="Times New Roman"/>
          <w:sz w:val="20"/>
          <w:lang w:val="en-MY" w:bidi="ar-SA"/>
        </w:rPr>
        <w:t xml:space="preserve"> and its symbiotic dinoflagellates. </w:t>
      </w:r>
      <w:r w:rsidRPr="00DE049A">
        <w:rPr>
          <w:rFonts w:ascii="Times New Roman" w:eastAsia="Calibri" w:hAnsi="Times New Roman"/>
          <w:i/>
          <w:sz w:val="20"/>
          <w:lang w:val="en-MY" w:bidi="ar-SA"/>
        </w:rPr>
        <w:t>Marine Pollution Bulletin</w:t>
      </w:r>
      <w:r w:rsidRPr="00DE049A">
        <w:rPr>
          <w:rFonts w:ascii="Times New Roman" w:eastAsia="Calibri" w:hAnsi="Times New Roman"/>
          <w:sz w:val="20"/>
          <w:lang w:val="en-MY" w:bidi="ar-SA"/>
        </w:rPr>
        <w:t>, 150: 110734.</w:t>
      </w:r>
    </w:p>
    <w:p w14:paraId="0C93426B" w14:textId="77777777" w:rsidR="00811289" w:rsidRPr="00DE049A" w:rsidRDefault="00811289" w:rsidP="00811289">
      <w:pPr>
        <w:spacing w:after="0"/>
        <w:contextualSpacing/>
        <w:jc w:val="both"/>
        <w:rPr>
          <w:rFonts w:ascii="Times New Roman" w:eastAsia="Calibri" w:hAnsi="Times New Roman"/>
          <w:sz w:val="20"/>
          <w:lang w:val="en-MY" w:bidi="ar-SA"/>
        </w:rPr>
      </w:pPr>
    </w:p>
    <w:p w14:paraId="12423904" w14:textId="77777777" w:rsidR="00811289" w:rsidRDefault="00811289" w:rsidP="00811289">
      <w:pPr>
        <w:spacing w:after="0"/>
        <w:contextualSpacing/>
        <w:jc w:val="both"/>
        <w:rPr>
          <w:rFonts w:ascii="Times New Roman" w:eastAsia="Calibri" w:hAnsi="Times New Roman"/>
          <w:sz w:val="20"/>
          <w:lang w:val="en-MY" w:bidi="ar-SA"/>
        </w:rPr>
      </w:pPr>
    </w:p>
    <w:p w14:paraId="48140E3C" w14:textId="77777777" w:rsidR="00811289" w:rsidRDefault="00811289" w:rsidP="00811289">
      <w:pPr>
        <w:spacing w:after="0"/>
        <w:contextualSpacing/>
        <w:jc w:val="both"/>
        <w:rPr>
          <w:rFonts w:ascii="Times New Roman" w:eastAsia="Calibri" w:hAnsi="Times New Roman"/>
          <w:sz w:val="20"/>
          <w:lang w:val="en-MY" w:bidi="ar-SA"/>
        </w:rPr>
      </w:pPr>
    </w:p>
    <w:p w14:paraId="19515F90" w14:textId="010C187C" w:rsidR="00811289" w:rsidRDefault="00811289" w:rsidP="00811289">
      <w:pPr>
        <w:spacing w:after="0"/>
        <w:contextualSpacing/>
        <w:jc w:val="both"/>
        <w:rPr>
          <w:rFonts w:ascii="Times New Roman" w:eastAsia="Calibri" w:hAnsi="Times New Roman"/>
          <w:sz w:val="20"/>
          <w:lang w:val="en-MY" w:bidi="ar-SA"/>
        </w:rPr>
        <w:sectPr w:rsidR="00811289" w:rsidSect="00346A8D">
          <w:type w:val="continuous"/>
          <w:pgSz w:w="12240" w:h="15840" w:code="1"/>
          <w:pgMar w:top="1800" w:right="1469" w:bottom="1699" w:left="1440" w:header="706" w:footer="706" w:gutter="0"/>
          <w:pgNumType w:start="0"/>
          <w:cols w:num="2" w:space="403"/>
          <w:docGrid w:linePitch="360"/>
        </w:sectPr>
      </w:pPr>
    </w:p>
    <w:p w14:paraId="7D335EFA" w14:textId="77777777" w:rsidR="00DE049A" w:rsidRPr="00DE049A" w:rsidRDefault="00DE049A" w:rsidP="00163E65">
      <w:pPr>
        <w:spacing w:after="0"/>
        <w:jc w:val="center"/>
        <w:rPr>
          <w:rFonts w:ascii="Times New Roman" w:hAnsi="Times New Roman"/>
          <w:b/>
          <w:noProof/>
          <w:sz w:val="18"/>
          <w:szCs w:val="18"/>
          <w:lang w:bidi="ar-SA"/>
        </w:rPr>
      </w:pPr>
    </w:p>
    <w:sectPr w:rsidR="00DE049A" w:rsidRPr="00DE049A" w:rsidSect="00346A8D">
      <w:type w:val="continuous"/>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2D0A6" w14:textId="77777777" w:rsidR="00AF33D1" w:rsidRDefault="00AF33D1" w:rsidP="00FB4C59">
      <w:pPr>
        <w:spacing w:after="0" w:line="240" w:lineRule="auto"/>
      </w:pPr>
      <w:r>
        <w:separator/>
      </w:r>
    </w:p>
  </w:endnote>
  <w:endnote w:type="continuationSeparator" w:id="0">
    <w:p w14:paraId="3F238ED6" w14:textId="77777777" w:rsidR="00AF33D1" w:rsidRDefault="00AF33D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AdvEPSTIM">
    <w:altName w:val="MS Mincho"/>
    <w:panose1 w:val="00000000000000000000"/>
    <w:charset w:val="80"/>
    <w:family w:val="auto"/>
    <w:notTrueType/>
    <w:pitch w:val="default"/>
    <w:sig w:usb0="00000000" w:usb1="08070000" w:usb2="00000010" w:usb3="00000000" w:csb0="00020000" w:csb1="00000000"/>
  </w:font>
  <w:font w:name="AdvTT6120e2aa+20">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dvTT6120e2aa+22">
    <w:altName w:val="Arial Unicode MS"/>
    <w:panose1 w:val="00000000000000000000"/>
    <w:charset w:val="86"/>
    <w:family w:val="auto"/>
    <w:notTrueType/>
    <w:pitch w:val="default"/>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0D7ED70D" w:rsidR="00A14DB9" w:rsidRPr="00455D43" w:rsidRDefault="00455D43" w:rsidP="00455D43">
    <w:pPr>
      <w:pStyle w:val="Footer"/>
      <w:ind w:left="3600"/>
      <w:rPr>
        <w:lang w:val="en-MY"/>
      </w:rPr>
    </w:pPr>
    <w:r>
      <w:rPr>
        <w:rFonts w:ascii="Times New Roman" w:hAnsi="Times New Roman"/>
      </w:rPr>
      <w:tab/>
    </w:r>
    <w:r w:rsidR="0069547D" w:rsidRPr="0069547D">
      <w:rPr>
        <w:rFonts w:ascii="Times New Roman" w:hAnsi="Times New Roman"/>
      </w:rPr>
      <w:ptab w:relativeTo="margin" w:alignment="center" w:leader="none"/>
    </w:r>
    <w:r w:rsidR="0069547D" w:rsidRPr="0069547D">
      <w:rPr>
        <w:rFonts w:ascii="Times New Roman" w:hAnsi="Times New Roman"/>
      </w:rPr>
      <w:ptab w:relativeTo="margin" w:alignment="right" w:leader="none"/>
    </w:r>
    <w:r w:rsidR="00F815A6">
      <w:rPr>
        <w:rFonts w:ascii="Times New Roman" w:hAnsi="Times New Roman"/>
        <w:lang w:val="en-MY"/>
      </w:rPr>
      <w:t>914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5060" w14:textId="6F3149B1" w:rsidR="00455D43" w:rsidRPr="00455D43" w:rsidRDefault="00455D43" w:rsidP="00455D43">
    <w:pPr>
      <w:pStyle w:val="Footer"/>
      <w:ind w:left="3600"/>
      <w:rPr>
        <w:lang w:val="en-MY"/>
      </w:rPr>
    </w:pPr>
    <w:r>
      <w:rPr>
        <w:rFonts w:ascii="Times New Roman" w:hAnsi="Times New Roman"/>
      </w:rPr>
      <w:tab/>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9</w:t>
    </w:r>
    <w:r w:rsidR="00F815A6">
      <w:rPr>
        <w:rFonts w:ascii="Times New Roman" w:hAnsi="Times New Roman"/>
        <w:lang w:val="en-MY"/>
      </w:rPr>
      <w:t>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99FF" w14:textId="269ED886" w:rsidR="00455D43" w:rsidRPr="004B43FF" w:rsidRDefault="00F815A6">
    <w:pPr>
      <w:pStyle w:val="Footer"/>
      <w:rPr>
        <w:rFonts w:ascii="Times New Roman" w:hAnsi="Times New Roman"/>
        <w:lang w:val="en-US"/>
      </w:rPr>
    </w:pPr>
    <w:r>
      <w:rPr>
        <w:rFonts w:ascii="Times New Roman" w:hAnsi="Times New Roman"/>
        <w:noProof/>
        <w:lang w:val="en-US"/>
      </w:rPr>
      <w:t>923</w:t>
    </w:r>
    <w:r w:rsidR="00455D43" w:rsidRPr="0069547D">
      <w:rPr>
        <w:rFonts w:ascii="Times New Roman" w:hAnsi="Times New Roman"/>
        <w:noProof/>
        <w:lang w:val="en-US"/>
      </w:rPr>
      <w:ptab w:relativeTo="margin" w:alignment="center" w:leader="none"/>
    </w:r>
    <w:r w:rsidR="00455D43"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2B77C222" w:rsidR="00D75B35" w:rsidRPr="004B43FF" w:rsidRDefault="00F815A6">
    <w:pPr>
      <w:pStyle w:val="Footer"/>
      <w:rPr>
        <w:rFonts w:ascii="Times New Roman" w:hAnsi="Times New Roman"/>
        <w:lang w:val="en-US"/>
      </w:rPr>
    </w:pPr>
    <w:r>
      <w:rPr>
        <w:rFonts w:ascii="Times New Roman" w:hAnsi="Times New Roman"/>
        <w:noProof/>
        <w:lang w:val="en-US"/>
      </w:rPr>
      <w:t>915</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8AE7" w14:textId="77777777" w:rsidR="006B330F" w:rsidRDefault="006B33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8EA9" w14:textId="17837F4A" w:rsidR="00455D43" w:rsidRPr="00455D43" w:rsidRDefault="00455D43" w:rsidP="00455D43">
    <w:pPr>
      <w:pStyle w:val="Footer"/>
      <w:ind w:left="3600"/>
      <w:rPr>
        <w:lang w:val="en-MY"/>
      </w:rPr>
    </w:pPr>
    <w:r>
      <w:rPr>
        <w:rFonts w:ascii="Times New Roman" w:hAnsi="Times New Roman"/>
      </w:rPr>
      <w:tab/>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815A6">
      <w:rPr>
        <w:rFonts w:ascii="Times New Roman" w:hAnsi="Times New Roman"/>
        <w:lang w:val="en-MY"/>
      </w:rPr>
      <w:t>916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B1F" w14:textId="21C6081D" w:rsidR="00455D43" w:rsidRPr="004B43FF" w:rsidRDefault="00F815A6">
    <w:pPr>
      <w:pStyle w:val="Footer"/>
      <w:rPr>
        <w:rFonts w:ascii="Times New Roman" w:hAnsi="Times New Roman"/>
        <w:lang w:val="en-US"/>
      </w:rPr>
    </w:pPr>
    <w:r>
      <w:rPr>
        <w:rFonts w:ascii="Times New Roman" w:hAnsi="Times New Roman"/>
        <w:noProof/>
        <w:lang w:val="en-US"/>
      </w:rPr>
      <w:t>917</w:t>
    </w:r>
    <w:r w:rsidR="00455D43" w:rsidRPr="0069547D">
      <w:rPr>
        <w:rFonts w:ascii="Times New Roman" w:hAnsi="Times New Roman"/>
        <w:noProof/>
        <w:lang w:val="en-US"/>
      </w:rPr>
      <w:ptab w:relativeTo="margin" w:alignment="center" w:leader="none"/>
    </w:r>
    <w:r w:rsidR="00455D43"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7675" w14:textId="2497698B" w:rsidR="00455D43" w:rsidRPr="00455D43" w:rsidRDefault="00455D43" w:rsidP="00455D43">
    <w:pPr>
      <w:pStyle w:val="Footer"/>
      <w:ind w:left="3600"/>
      <w:rPr>
        <w:lang w:val="en-MY"/>
      </w:rPr>
    </w:pPr>
    <w:r>
      <w:rPr>
        <w:rFonts w:ascii="Times New Roman" w:hAnsi="Times New Roman"/>
      </w:rPr>
      <w:tab/>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815A6">
      <w:rPr>
        <w:rFonts w:ascii="Times New Roman" w:hAnsi="Times New Roman"/>
        <w:lang w:val="en-MY"/>
      </w:rPr>
      <w:t>918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5262" w14:textId="0EE649BD" w:rsidR="00455D43" w:rsidRPr="004B43FF" w:rsidRDefault="00F815A6">
    <w:pPr>
      <w:pStyle w:val="Footer"/>
      <w:rPr>
        <w:rFonts w:ascii="Times New Roman" w:hAnsi="Times New Roman"/>
        <w:lang w:val="en-US"/>
      </w:rPr>
    </w:pPr>
    <w:r>
      <w:rPr>
        <w:rFonts w:ascii="Times New Roman" w:hAnsi="Times New Roman"/>
        <w:noProof/>
        <w:lang w:val="en-US"/>
      </w:rPr>
      <w:t>919</w:t>
    </w:r>
    <w:r w:rsidR="00455D43" w:rsidRPr="0069547D">
      <w:rPr>
        <w:rFonts w:ascii="Times New Roman" w:hAnsi="Times New Roman"/>
        <w:noProof/>
        <w:lang w:val="en-US"/>
      </w:rPr>
      <w:ptab w:relativeTo="margin" w:alignment="center" w:leader="none"/>
    </w:r>
    <w:r w:rsidR="00455D43"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A0DD" w14:textId="3527653D" w:rsidR="00455D43" w:rsidRPr="00455D43" w:rsidRDefault="00455D43" w:rsidP="00455D43">
    <w:pPr>
      <w:pStyle w:val="Footer"/>
      <w:ind w:left="3600"/>
      <w:rPr>
        <w:lang w:val="en-MY"/>
      </w:rPr>
    </w:pPr>
    <w:r>
      <w:rPr>
        <w:rFonts w:ascii="Times New Roman" w:hAnsi="Times New Roman"/>
      </w:rPr>
      <w:tab/>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815A6">
      <w:rPr>
        <w:rFonts w:ascii="Times New Roman" w:hAnsi="Times New Roman"/>
        <w:lang w:val="en-MY"/>
      </w:rPr>
      <w:t>920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F1C3" w14:textId="7EF4DA6E" w:rsidR="00455D43" w:rsidRPr="004B43FF" w:rsidRDefault="00F815A6">
    <w:pPr>
      <w:pStyle w:val="Footer"/>
      <w:rPr>
        <w:rFonts w:ascii="Times New Roman" w:hAnsi="Times New Roman"/>
        <w:lang w:val="en-US"/>
      </w:rPr>
    </w:pPr>
    <w:r>
      <w:rPr>
        <w:rFonts w:ascii="Times New Roman" w:hAnsi="Times New Roman"/>
        <w:noProof/>
        <w:lang w:val="en-US"/>
      </w:rPr>
      <w:t>921</w:t>
    </w:r>
    <w:r w:rsidR="00455D43" w:rsidRPr="0069547D">
      <w:rPr>
        <w:rFonts w:ascii="Times New Roman" w:hAnsi="Times New Roman"/>
        <w:noProof/>
        <w:lang w:val="en-US"/>
      </w:rPr>
      <w:ptab w:relativeTo="margin" w:alignment="center" w:leader="none"/>
    </w:r>
    <w:r w:rsidR="00455D43"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ECA9B" w14:textId="77777777" w:rsidR="00AF33D1" w:rsidRDefault="00AF33D1" w:rsidP="00FB4C59">
      <w:pPr>
        <w:spacing w:after="0" w:line="240" w:lineRule="auto"/>
      </w:pPr>
      <w:r>
        <w:separator/>
      </w:r>
    </w:p>
  </w:footnote>
  <w:footnote w:type="continuationSeparator" w:id="0">
    <w:p w14:paraId="515C4FBF" w14:textId="77777777" w:rsidR="00AF33D1" w:rsidRDefault="00AF33D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7DAE48BB"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F815A6">
      <w:rPr>
        <w:rFonts w:ascii="Times New Roman" w:hAnsi="Times New Roman"/>
        <w:i/>
        <w:lang w:val="en-US"/>
      </w:rPr>
      <w:t>914</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F815A6">
      <w:rPr>
        <w:rFonts w:ascii="Times New Roman" w:hAnsi="Times New Roman"/>
        <w:i/>
        <w:lang w:val="en-US"/>
      </w:rPr>
      <w:t>923</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CB13" w14:textId="15FA77DC" w:rsidR="006B330F" w:rsidRDefault="006B330F" w:rsidP="006B330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F815A6">
      <w:rPr>
        <w:rFonts w:ascii="Times New Roman" w:hAnsi="Times New Roman"/>
        <w:i/>
        <w:lang w:val="en-US"/>
      </w:rPr>
      <w:t>914 - 923</w:t>
    </w:r>
  </w:p>
  <w:p w14:paraId="31CBB966" w14:textId="351FC408" w:rsidR="006B330F" w:rsidRDefault="006B330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918F" w14:textId="1EB0483E" w:rsidR="006B330F" w:rsidRDefault="006B330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0010" w14:textId="35952100" w:rsidR="006B330F" w:rsidRDefault="006B330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CD2D" w14:textId="2B06C2E8" w:rsidR="006B330F" w:rsidRDefault="006B330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011E" w14:textId="77777777" w:rsidR="006B330F" w:rsidRPr="00B75BF6" w:rsidRDefault="006B330F" w:rsidP="006B330F">
    <w:pPr>
      <w:pStyle w:val="Header"/>
      <w:ind w:left="1170" w:hanging="1170"/>
      <w:rPr>
        <w:rFonts w:ascii="Times New Roman" w:hAnsi="Times New Roman"/>
        <w:lang w:val="en-US"/>
      </w:rPr>
    </w:pPr>
    <w:r>
      <w:rPr>
        <w:rFonts w:ascii="Times New Roman" w:hAnsi="Times New Roman"/>
        <w:lang w:val="en-US"/>
      </w:rPr>
      <w:t xml:space="preserve">Hassan et al:  </w:t>
    </w:r>
    <w:r>
      <w:rPr>
        <w:rFonts w:ascii="Times New Roman" w:hAnsi="Times New Roman"/>
        <w:lang w:val="en-US"/>
      </w:rPr>
      <w:tab/>
    </w:r>
    <w:r w:rsidRPr="00346A8D">
      <w:rPr>
        <w:rFonts w:ascii="Times New Roman" w:hAnsi="Times New Roman"/>
        <w:lang w:val="en-US"/>
      </w:rPr>
      <w:t xml:space="preserve">CHANGES OF FATTY ACID COMPOSITION IN SCLERACTINIAN CORAL, </w:t>
    </w:r>
    <w:r w:rsidRPr="00346A8D">
      <w:rPr>
        <w:rFonts w:ascii="Times New Roman" w:hAnsi="Times New Roman"/>
        <w:i/>
        <w:iCs/>
        <w:lang w:val="en-US"/>
      </w:rPr>
      <w:t>Galaxea fascicularis</w:t>
    </w:r>
    <w:r w:rsidRPr="00346A8D">
      <w:rPr>
        <w:rFonts w:ascii="Times New Roman" w:hAnsi="Times New Roman"/>
        <w:lang w:val="en-US"/>
      </w:rPr>
      <w:t xml:space="preserve"> (LINNAEUS, 1767) BY ACUTE EXPOSURE OF IRGAROL-1051</w:t>
    </w:r>
  </w:p>
  <w:p w14:paraId="1A126327" w14:textId="3D700BAF" w:rsidR="006B330F" w:rsidRDefault="006B330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B933" w14:textId="6BD02420" w:rsidR="006B330F" w:rsidRDefault="006B330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4504" w14:textId="2925B746" w:rsidR="006B330F" w:rsidRDefault="006B330F" w:rsidP="006B330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F815A6">
      <w:rPr>
        <w:rFonts w:ascii="Times New Roman" w:hAnsi="Times New Roman"/>
        <w:i/>
        <w:lang w:val="en-US"/>
      </w:rPr>
      <w:t>914 - 923</w:t>
    </w:r>
  </w:p>
  <w:p w14:paraId="51C97BA2" w14:textId="6D1EB65C" w:rsidR="006B330F" w:rsidRDefault="006B330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8765" w14:textId="4E46EA8C" w:rsidR="006B330F" w:rsidRDefault="006B330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3D58" w14:textId="0E7D0468" w:rsidR="006B330F" w:rsidRDefault="006B330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4E7F" w14:textId="61A16AF9" w:rsidR="006B330F" w:rsidRDefault="006B3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79933803" w:rsidR="00D75B35" w:rsidRPr="00B75BF6" w:rsidRDefault="00346A8D" w:rsidP="00346A8D">
    <w:pPr>
      <w:pStyle w:val="Header"/>
      <w:ind w:left="1170" w:hanging="1170"/>
      <w:rPr>
        <w:rFonts w:ascii="Times New Roman" w:hAnsi="Times New Roman"/>
        <w:lang w:val="en-US"/>
      </w:rPr>
    </w:pPr>
    <w:r>
      <w:rPr>
        <w:rFonts w:ascii="Times New Roman" w:hAnsi="Times New Roman"/>
        <w:lang w:val="en-US"/>
      </w:rPr>
      <w:t>Hassan et al</w:t>
    </w:r>
    <w:r w:rsidR="00A37A74">
      <w:rPr>
        <w:rFonts w:ascii="Times New Roman" w:hAnsi="Times New Roman"/>
        <w:lang w:val="en-US"/>
      </w:rPr>
      <w:t xml:space="preserve">:  </w:t>
    </w:r>
    <w:r w:rsidR="006B330F">
      <w:rPr>
        <w:rFonts w:ascii="Times New Roman" w:hAnsi="Times New Roman"/>
        <w:lang w:val="en-US"/>
      </w:rPr>
      <w:tab/>
    </w:r>
    <w:r w:rsidRPr="00346A8D">
      <w:rPr>
        <w:rFonts w:ascii="Times New Roman" w:hAnsi="Times New Roman"/>
        <w:lang w:val="en-US"/>
      </w:rPr>
      <w:t xml:space="preserve">CHANGES OF FATTY ACID COMPOSITION IN SCLERACTINIAN CORAL, </w:t>
    </w:r>
    <w:r w:rsidRPr="00346A8D">
      <w:rPr>
        <w:rFonts w:ascii="Times New Roman" w:hAnsi="Times New Roman"/>
        <w:i/>
        <w:iCs/>
        <w:lang w:val="en-US"/>
      </w:rPr>
      <w:t>Galaxea fascicularis</w:t>
    </w:r>
    <w:r w:rsidRPr="00346A8D">
      <w:rPr>
        <w:rFonts w:ascii="Times New Roman" w:hAnsi="Times New Roman"/>
        <w:lang w:val="en-US"/>
      </w:rPr>
      <w:t xml:space="preserve"> (LINNAEUS, 1767) BY ACUTE EXPOSURE OF IRGAROL-1051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CE3E" w14:textId="77777777" w:rsidR="006B330F" w:rsidRPr="00B75BF6" w:rsidRDefault="006B330F" w:rsidP="006B330F">
    <w:pPr>
      <w:pStyle w:val="Header"/>
      <w:ind w:left="1170" w:hanging="1170"/>
      <w:rPr>
        <w:rFonts w:ascii="Times New Roman" w:hAnsi="Times New Roman"/>
        <w:lang w:val="en-US"/>
      </w:rPr>
    </w:pPr>
    <w:r>
      <w:rPr>
        <w:rFonts w:ascii="Times New Roman" w:hAnsi="Times New Roman"/>
        <w:lang w:val="en-US"/>
      </w:rPr>
      <w:t xml:space="preserve">Hassan et al:  </w:t>
    </w:r>
    <w:r>
      <w:rPr>
        <w:rFonts w:ascii="Times New Roman" w:hAnsi="Times New Roman"/>
        <w:lang w:val="en-US"/>
      </w:rPr>
      <w:tab/>
    </w:r>
    <w:r w:rsidRPr="00346A8D">
      <w:rPr>
        <w:rFonts w:ascii="Times New Roman" w:hAnsi="Times New Roman"/>
        <w:lang w:val="en-US"/>
      </w:rPr>
      <w:t xml:space="preserve">CHANGES OF FATTY ACID COMPOSITION IN SCLERACTINIAN CORAL, </w:t>
    </w:r>
    <w:r w:rsidRPr="00346A8D">
      <w:rPr>
        <w:rFonts w:ascii="Times New Roman" w:hAnsi="Times New Roman"/>
        <w:i/>
        <w:iCs/>
        <w:lang w:val="en-US"/>
      </w:rPr>
      <w:t>Galaxea fascicularis</w:t>
    </w:r>
    <w:r w:rsidRPr="00346A8D">
      <w:rPr>
        <w:rFonts w:ascii="Times New Roman" w:hAnsi="Times New Roman"/>
        <w:lang w:val="en-US"/>
      </w:rPr>
      <w:t xml:space="preserve"> (LINNAEUS, 1767) BY ACUTE EXPOSURE OF IRGAROL-1051</w:t>
    </w:r>
  </w:p>
  <w:p w14:paraId="0F20E88B" w14:textId="0891CD6B" w:rsidR="006B330F" w:rsidRDefault="006B330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CAA0" w14:textId="11A0D1E8" w:rsidR="006B330F" w:rsidRDefault="006B330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9F6D" w14:textId="535B8FB4" w:rsidR="006B330F" w:rsidRDefault="006B330F" w:rsidP="006B330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F815A6">
      <w:rPr>
        <w:rFonts w:ascii="Times New Roman" w:hAnsi="Times New Roman"/>
        <w:i/>
        <w:lang w:val="en-US"/>
      </w:rPr>
      <w:t>914 - 923</w:t>
    </w:r>
  </w:p>
  <w:p w14:paraId="1E59C587" w14:textId="0AAFC439" w:rsidR="006B330F" w:rsidRDefault="006B330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DB32" w14:textId="77777777" w:rsidR="006B330F" w:rsidRPr="00B75BF6" w:rsidRDefault="006B330F" w:rsidP="006B330F">
    <w:pPr>
      <w:pStyle w:val="Header"/>
      <w:ind w:left="1170" w:hanging="1170"/>
      <w:rPr>
        <w:rFonts w:ascii="Times New Roman" w:hAnsi="Times New Roman"/>
        <w:lang w:val="en-US"/>
      </w:rPr>
    </w:pPr>
    <w:r>
      <w:rPr>
        <w:rFonts w:ascii="Times New Roman" w:hAnsi="Times New Roman"/>
        <w:lang w:val="en-US"/>
      </w:rPr>
      <w:t xml:space="preserve">Hassan et al:  </w:t>
    </w:r>
    <w:r>
      <w:rPr>
        <w:rFonts w:ascii="Times New Roman" w:hAnsi="Times New Roman"/>
        <w:lang w:val="en-US"/>
      </w:rPr>
      <w:tab/>
    </w:r>
    <w:r w:rsidRPr="00346A8D">
      <w:rPr>
        <w:rFonts w:ascii="Times New Roman" w:hAnsi="Times New Roman"/>
        <w:lang w:val="en-US"/>
      </w:rPr>
      <w:t xml:space="preserve">CHANGES OF FATTY ACID COMPOSITION IN SCLERACTINIAN CORAL, </w:t>
    </w:r>
    <w:r w:rsidRPr="00346A8D">
      <w:rPr>
        <w:rFonts w:ascii="Times New Roman" w:hAnsi="Times New Roman"/>
        <w:i/>
        <w:iCs/>
        <w:lang w:val="en-US"/>
      </w:rPr>
      <w:t>Galaxea fascicularis</w:t>
    </w:r>
    <w:r w:rsidRPr="00346A8D">
      <w:rPr>
        <w:rFonts w:ascii="Times New Roman" w:hAnsi="Times New Roman"/>
        <w:lang w:val="en-US"/>
      </w:rPr>
      <w:t xml:space="preserve"> (LINNAEUS, 1767) BY ACUTE EXPOSURE OF IRGAROL-1051</w:t>
    </w:r>
  </w:p>
  <w:p w14:paraId="77312F2F" w14:textId="140772B6" w:rsidR="006B330F" w:rsidRDefault="006B330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C654" w14:textId="5C82381E" w:rsidR="006B330F" w:rsidRDefault="006B3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B536" w14:textId="741B9257" w:rsidR="006B330F" w:rsidRDefault="006B3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261F" w14:textId="358C54C1" w:rsidR="006B330F" w:rsidRDefault="006B330F" w:rsidP="006B330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F815A6">
      <w:rPr>
        <w:rFonts w:ascii="Times New Roman" w:hAnsi="Times New Roman"/>
        <w:i/>
        <w:lang w:val="en-US"/>
      </w:rPr>
      <w:t>914 - 923</w:t>
    </w:r>
  </w:p>
  <w:p w14:paraId="35D6F7D8" w14:textId="2DC3DE3F" w:rsidR="006B330F" w:rsidRDefault="006B3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788F" w14:textId="42BD2580" w:rsidR="006B330F" w:rsidRDefault="006B3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CCC6" w14:textId="60CA0F63" w:rsidR="006B330F" w:rsidRDefault="006B33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FEDF" w14:textId="5E9FDAAE" w:rsidR="006B330F" w:rsidRDefault="006B33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38F6" w14:textId="77777777" w:rsidR="006B330F" w:rsidRPr="00B75BF6" w:rsidRDefault="006B330F" w:rsidP="006B330F">
    <w:pPr>
      <w:pStyle w:val="Header"/>
      <w:ind w:left="1170" w:hanging="1170"/>
      <w:rPr>
        <w:rFonts w:ascii="Times New Roman" w:hAnsi="Times New Roman"/>
        <w:lang w:val="en-US"/>
      </w:rPr>
    </w:pPr>
    <w:r>
      <w:rPr>
        <w:rFonts w:ascii="Times New Roman" w:hAnsi="Times New Roman"/>
        <w:lang w:val="en-US"/>
      </w:rPr>
      <w:t xml:space="preserve">Hassan et al:  </w:t>
    </w:r>
    <w:r>
      <w:rPr>
        <w:rFonts w:ascii="Times New Roman" w:hAnsi="Times New Roman"/>
        <w:lang w:val="en-US"/>
      </w:rPr>
      <w:tab/>
    </w:r>
    <w:r w:rsidRPr="00346A8D">
      <w:rPr>
        <w:rFonts w:ascii="Times New Roman" w:hAnsi="Times New Roman"/>
        <w:lang w:val="en-US"/>
      </w:rPr>
      <w:t xml:space="preserve">CHANGES OF FATTY ACID COMPOSITION IN SCLERACTINIAN CORAL, </w:t>
    </w:r>
    <w:r w:rsidRPr="00346A8D">
      <w:rPr>
        <w:rFonts w:ascii="Times New Roman" w:hAnsi="Times New Roman"/>
        <w:i/>
        <w:iCs/>
        <w:lang w:val="en-US"/>
      </w:rPr>
      <w:t>Galaxea fascicularis</w:t>
    </w:r>
    <w:r w:rsidRPr="00346A8D">
      <w:rPr>
        <w:rFonts w:ascii="Times New Roman" w:hAnsi="Times New Roman"/>
        <w:lang w:val="en-US"/>
      </w:rPr>
      <w:t xml:space="preserve"> (LINNAEUS, 1767) BY ACUTE EXPOSURE OF IRGAROL-1051</w:t>
    </w:r>
  </w:p>
  <w:p w14:paraId="5487389B" w14:textId="1EA4A7BE" w:rsidR="006B330F" w:rsidRDefault="006B33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0962" w14:textId="6D5485D9" w:rsidR="006B330F" w:rsidRDefault="006B3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B66"/>
    <w:multiLevelType w:val="hybridMultilevel"/>
    <w:tmpl w:val="62968E4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4846CFE"/>
    <w:multiLevelType w:val="hybridMultilevel"/>
    <w:tmpl w:val="E682BD78"/>
    <w:lvl w:ilvl="0" w:tplc="3420105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5663722"/>
    <w:multiLevelType w:val="multilevel"/>
    <w:tmpl w:val="1602D3BC"/>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val="0"/>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8F41D5F"/>
    <w:multiLevelType w:val="hybridMultilevel"/>
    <w:tmpl w:val="F5CC3F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07A4550"/>
    <w:multiLevelType w:val="multilevel"/>
    <w:tmpl w:val="942E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02966"/>
    <w:multiLevelType w:val="multilevel"/>
    <w:tmpl w:val="B370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44A9D"/>
    <w:multiLevelType w:val="hybridMultilevel"/>
    <w:tmpl w:val="552CF5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B272AED"/>
    <w:multiLevelType w:val="multilevel"/>
    <w:tmpl w:val="1EFC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4496D"/>
    <w:multiLevelType w:val="multilevel"/>
    <w:tmpl w:val="306A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F2522C2"/>
    <w:multiLevelType w:val="multilevel"/>
    <w:tmpl w:val="2C6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D91024"/>
    <w:multiLevelType w:val="hybridMultilevel"/>
    <w:tmpl w:val="57ACBC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23E5DC7"/>
    <w:multiLevelType w:val="hybridMultilevel"/>
    <w:tmpl w:val="FCCCE91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4E10558"/>
    <w:multiLevelType w:val="hybridMultilevel"/>
    <w:tmpl w:val="764E2DE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6A05513"/>
    <w:multiLevelType w:val="multilevel"/>
    <w:tmpl w:val="281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20E0C"/>
    <w:multiLevelType w:val="multilevel"/>
    <w:tmpl w:val="3D52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63471"/>
    <w:multiLevelType w:val="multilevel"/>
    <w:tmpl w:val="3E58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9" w15:restartNumberingAfterBreak="0">
    <w:nsid w:val="7F070130"/>
    <w:multiLevelType w:val="multilevel"/>
    <w:tmpl w:val="79A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634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7"/>
  </w:num>
  <w:num w:numId="3" w16cid:durableId="2070222787">
    <w:abstractNumId w:val="18"/>
  </w:num>
  <w:num w:numId="4" w16cid:durableId="1122459134">
    <w:abstractNumId w:val="2"/>
  </w:num>
  <w:num w:numId="5" w16cid:durableId="688414275">
    <w:abstractNumId w:val="1"/>
  </w:num>
  <w:num w:numId="6" w16cid:durableId="40638355">
    <w:abstractNumId w:val="13"/>
  </w:num>
  <w:num w:numId="7" w16cid:durableId="149059957">
    <w:abstractNumId w:val="12"/>
  </w:num>
  <w:num w:numId="8" w16cid:durableId="1359157764">
    <w:abstractNumId w:val="14"/>
  </w:num>
  <w:num w:numId="9" w16cid:durableId="912204027">
    <w:abstractNumId w:val="6"/>
  </w:num>
  <w:num w:numId="10" w16cid:durableId="1989624456">
    <w:abstractNumId w:val="0"/>
  </w:num>
  <w:num w:numId="11" w16cid:durableId="451556838">
    <w:abstractNumId w:val="3"/>
  </w:num>
  <w:num w:numId="12" w16cid:durableId="108476707">
    <w:abstractNumId w:val="8"/>
  </w:num>
  <w:num w:numId="13" w16cid:durableId="1017080091">
    <w:abstractNumId w:val="15"/>
  </w:num>
  <w:num w:numId="14" w16cid:durableId="1961915480">
    <w:abstractNumId w:val="5"/>
  </w:num>
  <w:num w:numId="15" w16cid:durableId="359862558">
    <w:abstractNumId w:val="4"/>
  </w:num>
  <w:num w:numId="16" w16cid:durableId="1597906759">
    <w:abstractNumId w:val="11"/>
  </w:num>
  <w:num w:numId="17" w16cid:durableId="553321301">
    <w:abstractNumId w:val="16"/>
  </w:num>
  <w:num w:numId="18" w16cid:durableId="1951274083">
    <w:abstractNumId w:val="9"/>
  </w:num>
  <w:num w:numId="19" w16cid:durableId="1599603843">
    <w:abstractNumId w:val="19"/>
  </w:num>
  <w:num w:numId="20" w16cid:durableId="13154052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113F"/>
    <w:rsid w:val="00022C54"/>
    <w:rsid w:val="00037734"/>
    <w:rsid w:val="000566DF"/>
    <w:rsid w:val="00070690"/>
    <w:rsid w:val="00081B45"/>
    <w:rsid w:val="00084936"/>
    <w:rsid w:val="00090FD4"/>
    <w:rsid w:val="000944A8"/>
    <w:rsid w:val="000C49FF"/>
    <w:rsid w:val="000C5261"/>
    <w:rsid w:val="000E5AF1"/>
    <w:rsid w:val="000F77DA"/>
    <w:rsid w:val="001068E8"/>
    <w:rsid w:val="00117BCD"/>
    <w:rsid w:val="00163E65"/>
    <w:rsid w:val="001B0F9D"/>
    <w:rsid w:val="001D035A"/>
    <w:rsid w:val="001D3855"/>
    <w:rsid w:val="001D6F2C"/>
    <w:rsid w:val="001F72B9"/>
    <w:rsid w:val="002004F5"/>
    <w:rsid w:val="00221D39"/>
    <w:rsid w:val="002752F0"/>
    <w:rsid w:val="002867F0"/>
    <w:rsid w:val="0029079C"/>
    <w:rsid w:val="00292D71"/>
    <w:rsid w:val="002B188F"/>
    <w:rsid w:val="002B3BD8"/>
    <w:rsid w:val="002D4A11"/>
    <w:rsid w:val="002F0EDB"/>
    <w:rsid w:val="002F3F91"/>
    <w:rsid w:val="00304767"/>
    <w:rsid w:val="00304B34"/>
    <w:rsid w:val="00312C0E"/>
    <w:rsid w:val="00327301"/>
    <w:rsid w:val="00345738"/>
    <w:rsid w:val="00346A8D"/>
    <w:rsid w:val="00361BAF"/>
    <w:rsid w:val="0036379A"/>
    <w:rsid w:val="00367D1F"/>
    <w:rsid w:val="00373A9B"/>
    <w:rsid w:val="0038323C"/>
    <w:rsid w:val="00383C16"/>
    <w:rsid w:val="00383F26"/>
    <w:rsid w:val="0039005B"/>
    <w:rsid w:val="003B0AC0"/>
    <w:rsid w:val="003C1DC8"/>
    <w:rsid w:val="003D585B"/>
    <w:rsid w:val="003E7DA6"/>
    <w:rsid w:val="003F12FF"/>
    <w:rsid w:val="00420074"/>
    <w:rsid w:val="00455D43"/>
    <w:rsid w:val="004760D4"/>
    <w:rsid w:val="00494C46"/>
    <w:rsid w:val="004A1191"/>
    <w:rsid w:val="004A12DD"/>
    <w:rsid w:val="004B43FF"/>
    <w:rsid w:val="004D546E"/>
    <w:rsid w:val="004E1231"/>
    <w:rsid w:val="00502641"/>
    <w:rsid w:val="00510BA6"/>
    <w:rsid w:val="00534441"/>
    <w:rsid w:val="00542CFC"/>
    <w:rsid w:val="00545363"/>
    <w:rsid w:val="0055400A"/>
    <w:rsid w:val="00567D9E"/>
    <w:rsid w:val="00583C85"/>
    <w:rsid w:val="00584156"/>
    <w:rsid w:val="00590E9D"/>
    <w:rsid w:val="005C6768"/>
    <w:rsid w:val="005D3BF9"/>
    <w:rsid w:val="005E6789"/>
    <w:rsid w:val="005F43DE"/>
    <w:rsid w:val="0062283D"/>
    <w:rsid w:val="00624C7C"/>
    <w:rsid w:val="0063144D"/>
    <w:rsid w:val="0063361E"/>
    <w:rsid w:val="00634C25"/>
    <w:rsid w:val="006416AB"/>
    <w:rsid w:val="00652AB0"/>
    <w:rsid w:val="00672075"/>
    <w:rsid w:val="006768E9"/>
    <w:rsid w:val="00687982"/>
    <w:rsid w:val="0069547D"/>
    <w:rsid w:val="00695D0E"/>
    <w:rsid w:val="00696232"/>
    <w:rsid w:val="006A3A0F"/>
    <w:rsid w:val="006B330F"/>
    <w:rsid w:val="006B3EC8"/>
    <w:rsid w:val="006C412F"/>
    <w:rsid w:val="006D695E"/>
    <w:rsid w:val="00725A6A"/>
    <w:rsid w:val="00730CB3"/>
    <w:rsid w:val="00735444"/>
    <w:rsid w:val="00752360"/>
    <w:rsid w:val="007703FE"/>
    <w:rsid w:val="007859BE"/>
    <w:rsid w:val="007943F3"/>
    <w:rsid w:val="007A738C"/>
    <w:rsid w:val="007B1349"/>
    <w:rsid w:val="007C7480"/>
    <w:rsid w:val="007E25BD"/>
    <w:rsid w:val="007F4ECC"/>
    <w:rsid w:val="00801E18"/>
    <w:rsid w:val="00802C35"/>
    <w:rsid w:val="00811289"/>
    <w:rsid w:val="00816289"/>
    <w:rsid w:val="0082181A"/>
    <w:rsid w:val="0086622B"/>
    <w:rsid w:val="008B02C7"/>
    <w:rsid w:val="008B470E"/>
    <w:rsid w:val="008C14D6"/>
    <w:rsid w:val="008D6A25"/>
    <w:rsid w:val="008E1211"/>
    <w:rsid w:val="008E5BBF"/>
    <w:rsid w:val="008E6968"/>
    <w:rsid w:val="008F2DC2"/>
    <w:rsid w:val="009110FB"/>
    <w:rsid w:val="00917637"/>
    <w:rsid w:val="00917A23"/>
    <w:rsid w:val="00975FE1"/>
    <w:rsid w:val="00992776"/>
    <w:rsid w:val="009A1F18"/>
    <w:rsid w:val="00A14DB9"/>
    <w:rsid w:val="00A37A74"/>
    <w:rsid w:val="00A4762A"/>
    <w:rsid w:val="00A61873"/>
    <w:rsid w:val="00A74A7E"/>
    <w:rsid w:val="00A751E2"/>
    <w:rsid w:val="00A763AC"/>
    <w:rsid w:val="00A87399"/>
    <w:rsid w:val="00AA7D6B"/>
    <w:rsid w:val="00AD07B5"/>
    <w:rsid w:val="00AD1B8A"/>
    <w:rsid w:val="00AD76AF"/>
    <w:rsid w:val="00AE713F"/>
    <w:rsid w:val="00AF33D1"/>
    <w:rsid w:val="00B1121C"/>
    <w:rsid w:val="00B138FC"/>
    <w:rsid w:val="00B21436"/>
    <w:rsid w:val="00B25B65"/>
    <w:rsid w:val="00B2770A"/>
    <w:rsid w:val="00B314AD"/>
    <w:rsid w:val="00B36193"/>
    <w:rsid w:val="00B404C4"/>
    <w:rsid w:val="00B7255A"/>
    <w:rsid w:val="00B75BF6"/>
    <w:rsid w:val="00B95E42"/>
    <w:rsid w:val="00BA1F7B"/>
    <w:rsid w:val="00BB223B"/>
    <w:rsid w:val="00BB58AF"/>
    <w:rsid w:val="00BD2480"/>
    <w:rsid w:val="00BE2D36"/>
    <w:rsid w:val="00BE7C30"/>
    <w:rsid w:val="00C055BF"/>
    <w:rsid w:val="00C0756D"/>
    <w:rsid w:val="00C13E38"/>
    <w:rsid w:val="00C141CE"/>
    <w:rsid w:val="00C2226A"/>
    <w:rsid w:val="00C42066"/>
    <w:rsid w:val="00C453C2"/>
    <w:rsid w:val="00C80273"/>
    <w:rsid w:val="00C943DD"/>
    <w:rsid w:val="00C94D92"/>
    <w:rsid w:val="00C97340"/>
    <w:rsid w:val="00CA2E2F"/>
    <w:rsid w:val="00CA513F"/>
    <w:rsid w:val="00CA5CF7"/>
    <w:rsid w:val="00CB59E0"/>
    <w:rsid w:val="00CC6D67"/>
    <w:rsid w:val="00CD41CA"/>
    <w:rsid w:val="00CF05FF"/>
    <w:rsid w:val="00D33D1A"/>
    <w:rsid w:val="00D340BB"/>
    <w:rsid w:val="00D348AF"/>
    <w:rsid w:val="00D462E8"/>
    <w:rsid w:val="00D505D5"/>
    <w:rsid w:val="00D63C28"/>
    <w:rsid w:val="00D75B35"/>
    <w:rsid w:val="00D76E09"/>
    <w:rsid w:val="00D9736F"/>
    <w:rsid w:val="00D97773"/>
    <w:rsid w:val="00D9792A"/>
    <w:rsid w:val="00DD377F"/>
    <w:rsid w:val="00DE049A"/>
    <w:rsid w:val="00E156A2"/>
    <w:rsid w:val="00E17493"/>
    <w:rsid w:val="00E229C4"/>
    <w:rsid w:val="00E25547"/>
    <w:rsid w:val="00E2773B"/>
    <w:rsid w:val="00E3287E"/>
    <w:rsid w:val="00E429D7"/>
    <w:rsid w:val="00E66197"/>
    <w:rsid w:val="00E95DB4"/>
    <w:rsid w:val="00E9669B"/>
    <w:rsid w:val="00EB5BA5"/>
    <w:rsid w:val="00EF4195"/>
    <w:rsid w:val="00F202C3"/>
    <w:rsid w:val="00F23D94"/>
    <w:rsid w:val="00F307D5"/>
    <w:rsid w:val="00F31093"/>
    <w:rsid w:val="00F412AF"/>
    <w:rsid w:val="00F43667"/>
    <w:rsid w:val="00F447A7"/>
    <w:rsid w:val="00F467A2"/>
    <w:rsid w:val="00F567E6"/>
    <w:rsid w:val="00F62342"/>
    <w:rsid w:val="00F7357E"/>
    <w:rsid w:val="00F743E1"/>
    <w:rsid w:val="00F76CC4"/>
    <w:rsid w:val="00F815A6"/>
    <w:rsid w:val="00FB1ED6"/>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numbering" w:customStyle="1" w:styleId="NoList1">
    <w:name w:val="No List1"/>
    <w:next w:val="NoList"/>
    <w:uiPriority w:val="99"/>
    <w:semiHidden/>
    <w:unhideWhenUsed/>
    <w:rsid w:val="00DE049A"/>
  </w:style>
  <w:style w:type="character" w:customStyle="1" w:styleId="apple-converted-space">
    <w:name w:val="apple-converted-space"/>
    <w:basedOn w:val="DefaultParagraphFont"/>
    <w:rsid w:val="00DE049A"/>
  </w:style>
  <w:style w:type="character" w:customStyle="1" w:styleId="latitude">
    <w:name w:val="latitude"/>
    <w:basedOn w:val="DefaultParagraphFont"/>
    <w:rsid w:val="00DE049A"/>
  </w:style>
  <w:style w:type="character" w:customStyle="1" w:styleId="longitude">
    <w:name w:val="longitude"/>
    <w:basedOn w:val="DefaultParagraphFont"/>
    <w:rsid w:val="00DE049A"/>
  </w:style>
  <w:style w:type="paragraph" w:styleId="Caption">
    <w:name w:val="caption"/>
    <w:basedOn w:val="Normal"/>
    <w:next w:val="Normal"/>
    <w:uiPriority w:val="35"/>
    <w:unhideWhenUsed/>
    <w:qFormat/>
    <w:rsid w:val="00DE049A"/>
    <w:pPr>
      <w:spacing w:line="240" w:lineRule="auto"/>
      <w:jc w:val="center"/>
    </w:pPr>
    <w:rPr>
      <w:rFonts w:ascii="Times New Roman" w:eastAsia="Calibri" w:hAnsi="Times New Roman"/>
      <w:iCs/>
      <w:sz w:val="20"/>
      <w:szCs w:val="18"/>
      <w:lang w:val="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9.xml"/><Relationship Id="rId21" Type="http://schemas.openxmlformats.org/officeDocument/2006/relationships/header" Target="header8.xml"/><Relationship Id="rId34" Type="http://schemas.openxmlformats.org/officeDocument/2006/relationships/header" Target="header17.xml"/><Relationship Id="rId42" Type="http://schemas.openxmlformats.org/officeDocument/2006/relationships/header" Target="header21.xml"/><Relationship Id="rId47"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3.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header" Target="header15.xml"/><Relationship Id="rId37" Type="http://schemas.openxmlformats.org/officeDocument/2006/relationships/chart" Target="charts/chart2.xml"/><Relationship Id="rId40" Type="http://schemas.openxmlformats.org/officeDocument/2006/relationships/header" Target="header20.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footer" Target="footer7.xml"/><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footer" Target="footer8.xml"/><Relationship Id="rId43" Type="http://schemas.openxmlformats.org/officeDocument/2006/relationships/header" Target="header2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chart" Target="charts/chart3.xml"/><Relationship Id="rId46" Type="http://schemas.openxmlformats.org/officeDocument/2006/relationships/footer" Target="footer11.xml"/><Relationship Id="rId20" Type="http://schemas.openxmlformats.org/officeDocument/2006/relationships/header" Target="header7.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scd8\Desktop\KPI%20PAPER%20OCT2021-OCT2022\PAPER%202022\SUBMIT_REVIEW\MJAS2022\PAPER%20HASSAN_safuan_edi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scd8\Desktop\KPI%20PAPER%20OCT2021-OCT2022\PAPER%202022\SUBMIT_REVIEW\MJAS2022\PAPER%20HASSAN_safuan_edi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scd8\Desktop\KPI%20PAPER%20OCT2021-OCT2022\PAPER%202022\SUBMIT_REVIEW\MJAS2022\PAPER%20HASSAN_safuan_ed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45700559993178E-2"/>
          <c:y val="3.7376826367652057E-2"/>
          <c:w val="0.89923287567393428"/>
          <c:h val="0.7493317922415661"/>
        </c:manualLayout>
      </c:layout>
      <c:barChart>
        <c:barDir val="col"/>
        <c:grouping val="clustered"/>
        <c:varyColors val="0"/>
        <c:ser>
          <c:idx val="0"/>
          <c:order val="0"/>
          <c:tx>
            <c:strRef>
              <c:f>Sheet1!$A$3</c:f>
              <c:strCache>
                <c:ptCount val="1"/>
                <c:pt idx="0">
                  <c:v> ΣSAFA</c:v>
                </c:pt>
              </c:strCache>
            </c:strRef>
          </c:tx>
          <c:spPr>
            <a:solidFill>
              <a:schemeClr val="accent1"/>
            </a:solidFill>
            <a:ln w="9525">
              <a:solidFill>
                <a:schemeClr val="tx1"/>
              </a:solidFill>
              <a:prstDash val="solid"/>
            </a:ln>
            <a:effectLst/>
          </c:spPr>
          <c:invertIfNegative val="0"/>
          <c:errBars>
            <c:errBarType val="both"/>
            <c:errValType val="cust"/>
            <c:noEndCap val="0"/>
            <c:plus>
              <c:numRef>
                <c:f>(Sheet1!$B$10,Sheet1!$D$10:$G$10)</c:f>
                <c:numCache>
                  <c:formatCode>General</c:formatCode>
                  <c:ptCount val="5"/>
                  <c:pt idx="0">
                    <c:v>3.2</c:v>
                  </c:pt>
                  <c:pt idx="1">
                    <c:v>4</c:v>
                  </c:pt>
                  <c:pt idx="2">
                    <c:v>3.37</c:v>
                  </c:pt>
                  <c:pt idx="3">
                    <c:v>0.84</c:v>
                  </c:pt>
                  <c:pt idx="4">
                    <c:v>1.25</c:v>
                  </c:pt>
                </c:numCache>
                <c:extLst/>
              </c:numRef>
            </c:plus>
            <c:minus>
              <c:numRef>
                <c:f>(Sheet1!$B$10,Sheet1!$D$10:$G$10)</c:f>
                <c:numCache>
                  <c:formatCode>General</c:formatCode>
                  <c:ptCount val="5"/>
                  <c:pt idx="0">
                    <c:v>3.2</c:v>
                  </c:pt>
                  <c:pt idx="1">
                    <c:v>4</c:v>
                  </c:pt>
                  <c:pt idx="2">
                    <c:v>3.37</c:v>
                  </c:pt>
                  <c:pt idx="3">
                    <c:v>0.84</c:v>
                  </c:pt>
                  <c:pt idx="4">
                    <c:v>1.25</c:v>
                  </c:pt>
                </c:numCache>
                <c:extLst/>
              </c:numRef>
            </c:minus>
            <c:spPr>
              <a:noFill/>
              <a:ln w="9525" cap="flat" cmpd="sng" algn="ctr">
                <a:solidFill>
                  <a:schemeClr val="tx1"/>
                </a:solidFill>
                <a:round/>
              </a:ln>
              <a:effectLst/>
            </c:spPr>
          </c:errBars>
          <c:cat>
            <c:multiLvlStrRef>
              <c:f>(Sheet1!$B$1:$B$2,Sheet1!$D$1:$G$2)</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(Sheet1!$B$3,Sheet1!$D$3:$G$3)</c:f>
              <c:numCache>
                <c:formatCode>General</c:formatCode>
                <c:ptCount val="5"/>
                <c:pt idx="0">
                  <c:v>12.9</c:v>
                </c:pt>
                <c:pt idx="1">
                  <c:v>12.8</c:v>
                </c:pt>
                <c:pt idx="2">
                  <c:v>14.3</c:v>
                </c:pt>
                <c:pt idx="3">
                  <c:v>4.6100000000000003</c:v>
                </c:pt>
                <c:pt idx="4">
                  <c:v>4.16</c:v>
                </c:pt>
              </c:numCache>
              <c:extLst/>
            </c:numRef>
          </c:val>
          <c:extLst>
            <c:ext xmlns:c16="http://schemas.microsoft.com/office/drawing/2014/chart" uri="{C3380CC4-5D6E-409C-BE32-E72D297353CC}">
              <c16:uniqueId val="{00000000-3E7C-492B-B597-784CFA194D95}"/>
            </c:ext>
          </c:extLst>
        </c:ser>
        <c:ser>
          <c:idx val="1"/>
          <c:order val="1"/>
          <c:tx>
            <c:strRef>
              <c:f>Sheet1!$A$4</c:f>
              <c:strCache>
                <c:ptCount val="1"/>
                <c:pt idx="0">
                  <c:v> ΣMUFA</c:v>
                </c:pt>
              </c:strCache>
            </c:strRef>
          </c:tx>
          <c:spPr>
            <a:solidFill>
              <a:schemeClr val="accent2"/>
            </a:solidFill>
            <a:ln w="9525">
              <a:solidFill>
                <a:schemeClr val="tx1"/>
              </a:solidFill>
              <a:prstDash val="solid"/>
            </a:ln>
            <a:effectLst/>
          </c:spPr>
          <c:invertIfNegative val="0"/>
          <c:errBars>
            <c:errBarType val="both"/>
            <c:errValType val="cust"/>
            <c:noEndCap val="0"/>
            <c:plus>
              <c:numRef>
                <c:f>(Sheet1!$B$11,Sheet1!$D$11:$G$11)</c:f>
                <c:numCache>
                  <c:formatCode>General</c:formatCode>
                  <c:ptCount val="5"/>
                  <c:pt idx="0">
                    <c:v>0.7</c:v>
                  </c:pt>
                  <c:pt idx="1">
                    <c:v>0.28999999999999998</c:v>
                  </c:pt>
                  <c:pt idx="2">
                    <c:v>1.21</c:v>
                  </c:pt>
                  <c:pt idx="3">
                    <c:v>2.4700000000000002</c:v>
                  </c:pt>
                  <c:pt idx="4">
                    <c:v>0.46</c:v>
                  </c:pt>
                </c:numCache>
                <c:extLst/>
              </c:numRef>
            </c:plus>
            <c:minus>
              <c:numRef>
                <c:f>(Sheet1!$B$11,Sheet1!$D$11:$G$11)</c:f>
                <c:numCache>
                  <c:formatCode>General</c:formatCode>
                  <c:ptCount val="5"/>
                  <c:pt idx="0">
                    <c:v>0.7</c:v>
                  </c:pt>
                  <c:pt idx="1">
                    <c:v>0.28999999999999998</c:v>
                  </c:pt>
                  <c:pt idx="2">
                    <c:v>1.21</c:v>
                  </c:pt>
                  <c:pt idx="3">
                    <c:v>2.4700000000000002</c:v>
                  </c:pt>
                  <c:pt idx="4">
                    <c:v>0.46</c:v>
                  </c:pt>
                </c:numCache>
                <c:extLst/>
              </c:numRef>
            </c:minus>
            <c:spPr>
              <a:noFill/>
              <a:ln w="9525" cap="flat" cmpd="sng" algn="ctr">
                <a:solidFill>
                  <a:schemeClr val="tx1"/>
                </a:solidFill>
                <a:round/>
              </a:ln>
              <a:effectLst/>
            </c:spPr>
          </c:errBars>
          <c:cat>
            <c:multiLvlStrRef>
              <c:f>(Sheet1!$B$1:$B$2,Sheet1!$D$1:$G$2)</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(Sheet1!$B$4,Sheet1!$D$4:$G$4)</c:f>
              <c:numCache>
                <c:formatCode>General</c:formatCode>
                <c:ptCount val="5"/>
                <c:pt idx="0">
                  <c:v>1.73</c:v>
                </c:pt>
                <c:pt idx="1">
                  <c:v>0.65</c:v>
                </c:pt>
                <c:pt idx="2">
                  <c:v>2.7</c:v>
                </c:pt>
                <c:pt idx="3">
                  <c:v>5.51</c:v>
                </c:pt>
                <c:pt idx="4">
                  <c:v>1.03</c:v>
                </c:pt>
              </c:numCache>
              <c:extLst/>
            </c:numRef>
          </c:val>
          <c:extLst>
            <c:ext xmlns:c16="http://schemas.microsoft.com/office/drawing/2014/chart" uri="{C3380CC4-5D6E-409C-BE32-E72D297353CC}">
              <c16:uniqueId val="{00000001-3E7C-492B-B597-784CFA194D95}"/>
            </c:ext>
          </c:extLst>
        </c:ser>
        <c:ser>
          <c:idx val="2"/>
          <c:order val="2"/>
          <c:tx>
            <c:strRef>
              <c:f>Sheet1!$A$5</c:f>
              <c:strCache>
                <c:ptCount val="1"/>
                <c:pt idx="0">
                  <c:v> ΣPUFA</c:v>
                </c:pt>
              </c:strCache>
            </c:strRef>
          </c:tx>
          <c:spPr>
            <a:solidFill>
              <a:schemeClr val="accent3"/>
            </a:solidFill>
            <a:ln w="9525">
              <a:solidFill>
                <a:schemeClr val="tx1"/>
              </a:solidFill>
            </a:ln>
            <a:effectLst/>
          </c:spPr>
          <c:invertIfNegative val="0"/>
          <c:errBars>
            <c:errBarType val="both"/>
            <c:errValType val="cust"/>
            <c:noEndCap val="0"/>
            <c:plus>
              <c:numRef>
                <c:f>(Sheet1!$B$12,Sheet1!$D$12:$G$12)</c:f>
                <c:numCache>
                  <c:formatCode>General</c:formatCode>
                  <c:ptCount val="5"/>
                  <c:pt idx="0">
                    <c:v>4.3</c:v>
                  </c:pt>
                  <c:pt idx="1">
                    <c:v>3.69</c:v>
                  </c:pt>
                  <c:pt idx="2">
                    <c:v>1.83</c:v>
                  </c:pt>
                  <c:pt idx="3">
                    <c:v>2.04</c:v>
                  </c:pt>
                  <c:pt idx="4">
                    <c:v>2.5299999999999998</c:v>
                  </c:pt>
                </c:numCache>
                <c:extLst/>
              </c:numRef>
            </c:plus>
            <c:minus>
              <c:numRef>
                <c:f>(Sheet1!$B$12,Sheet1!$D$12:$G$12)</c:f>
                <c:numCache>
                  <c:formatCode>General</c:formatCode>
                  <c:ptCount val="5"/>
                  <c:pt idx="0">
                    <c:v>4.3</c:v>
                  </c:pt>
                  <c:pt idx="1">
                    <c:v>3.69</c:v>
                  </c:pt>
                  <c:pt idx="2">
                    <c:v>1.83</c:v>
                  </c:pt>
                  <c:pt idx="3">
                    <c:v>2.04</c:v>
                  </c:pt>
                  <c:pt idx="4">
                    <c:v>2.5299999999999998</c:v>
                  </c:pt>
                </c:numCache>
                <c:extLst/>
              </c:numRef>
            </c:minus>
            <c:spPr>
              <a:noFill/>
              <a:ln w="9525" cap="flat" cmpd="sng" algn="ctr">
                <a:solidFill>
                  <a:schemeClr val="tx1"/>
                </a:solidFill>
                <a:round/>
              </a:ln>
              <a:effectLst/>
            </c:spPr>
          </c:errBars>
          <c:cat>
            <c:multiLvlStrRef>
              <c:f>(Sheet1!$B$1:$B$2,Sheet1!$D$1:$G$2)</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(Sheet1!$B$5,Sheet1!$D$5:$G$5)</c:f>
              <c:numCache>
                <c:formatCode>General</c:formatCode>
                <c:ptCount val="5"/>
                <c:pt idx="0">
                  <c:v>19.7</c:v>
                </c:pt>
                <c:pt idx="1">
                  <c:v>14.8</c:v>
                </c:pt>
                <c:pt idx="2">
                  <c:v>4.0999999999999996</c:v>
                </c:pt>
                <c:pt idx="3">
                  <c:v>6.8</c:v>
                </c:pt>
                <c:pt idx="4">
                  <c:v>7.6</c:v>
                </c:pt>
              </c:numCache>
              <c:extLst/>
            </c:numRef>
          </c:val>
          <c:extLst>
            <c:ext xmlns:c16="http://schemas.microsoft.com/office/drawing/2014/chart" uri="{C3380CC4-5D6E-409C-BE32-E72D297353CC}">
              <c16:uniqueId val="{00000002-3E7C-492B-B597-784CFA194D95}"/>
            </c:ext>
          </c:extLst>
        </c:ser>
        <c:dLbls>
          <c:showLegendKey val="0"/>
          <c:showVal val="0"/>
          <c:showCatName val="0"/>
          <c:showSerName val="0"/>
          <c:showPercent val="0"/>
          <c:showBubbleSize val="0"/>
        </c:dLbls>
        <c:gapWidth val="150"/>
        <c:axId val="2111633392"/>
        <c:axId val="2023895952"/>
        <c:extLst>
          <c:ext xmlns:c15="http://schemas.microsoft.com/office/drawing/2012/chart" uri="{02D57815-91ED-43cb-92C2-25804820EDAC}">
            <c15:filteredBarSeries>
              <c15:ser>
                <c:idx val="3"/>
                <c:order val="3"/>
                <c:tx>
                  <c:strRef>
                    <c:extLst>
                      <c:ext uri="{02D57815-91ED-43cb-92C2-25804820EDAC}">
                        <c15:formulaRef>
                          <c15:sqref>Sheet1!$A$6</c15:sqref>
                        </c15:formulaRef>
                      </c:ext>
                    </c:extLst>
                    <c:strCache>
                      <c:ptCount val="1"/>
                      <c:pt idx="0">
                        <c:v> ΣFA</c:v>
                      </c:pt>
                    </c:strCache>
                  </c:strRef>
                </c:tx>
                <c:spPr>
                  <a:solidFill>
                    <a:schemeClr val="accent4"/>
                  </a:solidFill>
                  <a:ln w="12700">
                    <a:solidFill>
                      <a:schemeClr val="tx1"/>
                    </a:solidFill>
                    <a:prstDash val="solid"/>
                  </a:ln>
                  <a:effectLst/>
                </c:spPr>
                <c:invertIfNegative val="0"/>
                <c:errBars>
                  <c:errBarType val="both"/>
                  <c:errValType val="cust"/>
                  <c:noEndCap val="0"/>
                  <c:plus>
                    <c:numRef>
                      <c:extLst>
                        <c:ext uri="{02D57815-91ED-43cb-92C2-25804820EDAC}">
                          <c15:formulaRef>
                            <c15:sqref>(Sheet1!$B$13,Sheet1!$D$13:$G$13)</c15:sqref>
                          </c15:formulaRef>
                        </c:ext>
                      </c:extLst>
                      <c:numCache>
                        <c:formatCode>General</c:formatCode>
                        <c:ptCount val="5"/>
                        <c:pt idx="0">
                          <c:v>3.3</c:v>
                        </c:pt>
                        <c:pt idx="1">
                          <c:v>3.18</c:v>
                        </c:pt>
                        <c:pt idx="2">
                          <c:v>2.4500000000000002</c:v>
                        </c:pt>
                        <c:pt idx="3">
                          <c:v>2.2200000000000002</c:v>
                        </c:pt>
                        <c:pt idx="4">
                          <c:v>1.66</c:v>
                        </c:pt>
                      </c:numCache>
                    </c:numRef>
                  </c:plus>
                  <c:minus>
                    <c:numRef>
                      <c:extLst>
                        <c:ext uri="{02D57815-91ED-43cb-92C2-25804820EDAC}">
                          <c15:formulaRef>
                            <c15:sqref>(Sheet1!$B$13,Sheet1!$D$13:$G$13)</c15:sqref>
                          </c15:formulaRef>
                        </c:ext>
                      </c:extLst>
                      <c:numCache>
                        <c:formatCode>General</c:formatCode>
                        <c:ptCount val="5"/>
                        <c:pt idx="0">
                          <c:v>3.3</c:v>
                        </c:pt>
                        <c:pt idx="1">
                          <c:v>3.18</c:v>
                        </c:pt>
                        <c:pt idx="2">
                          <c:v>2.4500000000000002</c:v>
                        </c:pt>
                        <c:pt idx="3">
                          <c:v>2.2200000000000002</c:v>
                        </c:pt>
                        <c:pt idx="4">
                          <c:v>1.66</c:v>
                        </c:pt>
                      </c:numCache>
                    </c:numRef>
                  </c:minus>
                  <c:spPr>
                    <a:noFill/>
                    <a:ln w="12700" cap="flat" cmpd="sng" algn="ctr">
                      <a:solidFill>
                        <a:schemeClr val="tx1"/>
                      </a:solidFill>
                      <a:round/>
                    </a:ln>
                    <a:effectLst/>
                  </c:spPr>
                </c:errBars>
                <c:cat>
                  <c:multiLvlStrRef>
                    <c:extLst>
                      <c:ext uri="{02D57815-91ED-43cb-92C2-25804820EDAC}">
                        <c15:formulaRef>
                          <c15:sqref>(Sheet1!$B$1:$B$2,Sheet1!$D$1:$G$2)</c15:sqref>
                        </c15:formulaRef>
                      </c:ext>
                    </c:extLst>
                    <c:multiLvlStrCache>
                      <c:ptCount val="5"/>
                      <c:lvl>
                        <c:pt idx="2">
                          <c:v>T1</c:v>
                        </c:pt>
                        <c:pt idx="3">
                          <c:v>T2</c:v>
                        </c:pt>
                        <c:pt idx="4">
                          <c:v>T3</c:v>
                        </c:pt>
                      </c:lvl>
                      <c:lvl>
                        <c:pt idx="0">
                          <c:v>Fresh</c:v>
                        </c:pt>
                        <c:pt idx="1">
                          <c:v>Control</c:v>
                        </c:pt>
                        <c:pt idx="2">
                          <c:v>20 µg/L</c:v>
                        </c:pt>
                        <c:pt idx="3">
                          <c:v>100 µg/L</c:v>
                        </c:pt>
                        <c:pt idx="4">
                          <c:v>500 µg/L</c:v>
                        </c:pt>
                      </c:lvl>
                    </c:multiLvlStrCache>
                  </c:multiLvlStrRef>
                </c:cat>
                <c:val>
                  <c:numRef>
                    <c:extLst>
                      <c:ext uri="{02D57815-91ED-43cb-92C2-25804820EDAC}">
                        <c15:formulaRef>
                          <c15:sqref>(Sheet1!$B$6,Sheet1!$D$6:$G$6)</c15:sqref>
                        </c15:formulaRef>
                      </c:ext>
                    </c:extLst>
                    <c:numCache>
                      <c:formatCode>General</c:formatCode>
                      <c:ptCount val="5"/>
                      <c:pt idx="0">
                        <c:v>34.4</c:v>
                      </c:pt>
                      <c:pt idx="1">
                        <c:v>26.1</c:v>
                      </c:pt>
                      <c:pt idx="2">
                        <c:v>21</c:v>
                      </c:pt>
                      <c:pt idx="3">
                        <c:v>16.899999999999999</c:v>
                      </c:pt>
                      <c:pt idx="4">
                        <c:v>12.8</c:v>
                      </c:pt>
                    </c:numCache>
                  </c:numRef>
                </c:val>
                <c:extLst>
                  <c:ext xmlns:c16="http://schemas.microsoft.com/office/drawing/2014/chart" uri="{C3380CC4-5D6E-409C-BE32-E72D297353CC}">
                    <c16:uniqueId val="{00000003-3E7C-492B-B597-784CFA194D95}"/>
                  </c:ext>
                </c:extLst>
              </c15:ser>
            </c15:filteredBarSeries>
          </c:ext>
        </c:extLst>
      </c:barChart>
      <c:catAx>
        <c:axId val="2111633392"/>
        <c:scaling>
          <c:orientation val="minMax"/>
        </c:scaling>
        <c:delete val="0"/>
        <c:axPos val="b"/>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3895952"/>
        <c:crosses val="autoZero"/>
        <c:auto val="1"/>
        <c:lblAlgn val="ctr"/>
        <c:lblOffset val="100"/>
        <c:noMultiLvlLbl val="0"/>
      </c:catAx>
      <c:valAx>
        <c:axId val="202389595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t>Fatty Acid Composition, mg/g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11633392"/>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SAFA!$A$11</c:f>
              <c:strCache>
                <c:ptCount val="1"/>
                <c:pt idx="0">
                  <c:v>C14:0</c:v>
                </c:pt>
              </c:strCache>
            </c:strRef>
          </c:tx>
          <c:spPr>
            <a:solidFill>
              <a:schemeClr val="accent1"/>
            </a:solidFill>
            <a:ln>
              <a:solidFill>
                <a:schemeClr val="tx1"/>
              </a:solidFill>
            </a:ln>
            <a:effectLst/>
          </c:spPr>
          <c:invertIfNegative val="0"/>
          <c:errBars>
            <c:errBarType val="both"/>
            <c:errValType val="cust"/>
            <c:noEndCap val="0"/>
            <c:plus>
              <c:numRef>
                <c:f>(SAFA!$J$11,SAFA!$L$11:$O$11)</c:f>
                <c:numCache>
                  <c:formatCode>General</c:formatCode>
                  <c:ptCount val="5"/>
                  <c:pt idx="0">
                    <c:v>0.43189504897988235</c:v>
                  </c:pt>
                  <c:pt idx="1">
                    <c:v>0.27513632984395103</c:v>
                  </c:pt>
                  <c:pt idx="2">
                    <c:v>0.38935844667863534</c:v>
                  </c:pt>
                  <c:pt idx="3">
                    <c:v>0.2003330560175563</c:v>
                  </c:pt>
                  <c:pt idx="4">
                    <c:v>0.13453624047073709</c:v>
                  </c:pt>
                </c:numCache>
                <c:extLst/>
              </c:numRef>
            </c:plus>
            <c:minus>
              <c:numRef>
                <c:f>(SAFA!$J$11,SAFA!$L$11:$O$11)</c:f>
                <c:numCache>
                  <c:formatCode>General</c:formatCode>
                  <c:ptCount val="5"/>
                  <c:pt idx="0">
                    <c:v>0.43189504897988235</c:v>
                  </c:pt>
                  <c:pt idx="1">
                    <c:v>0.27513632984395103</c:v>
                  </c:pt>
                  <c:pt idx="2">
                    <c:v>0.38935844667863534</c:v>
                  </c:pt>
                  <c:pt idx="3">
                    <c:v>0.2003330560175563</c:v>
                  </c:pt>
                  <c:pt idx="4">
                    <c:v>0.13453624047073709</c:v>
                  </c:pt>
                </c:numCache>
                <c:extLst/>
              </c:numRef>
            </c:minus>
            <c:spPr>
              <a:noFill/>
              <a:ln w="9525" cap="flat" cmpd="sng" algn="ctr">
                <a:solidFill>
                  <a:schemeClr val="tx1"/>
                </a:solidFill>
                <a:round/>
              </a:ln>
              <a:effectLst/>
            </c:spPr>
          </c:errBars>
          <c:cat>
            <c:multiLvlStrRef>
              <c:f>(SAFA!$B$9:$B$10,SAFA!$D$9:$G$10)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(SAFA!$B$11,SAFA!$D$11:$G$11)</c:f>
              <c:numCache>
                <c:formatCode>0.00</c:formatCode>
                <c:ptCount val="5"/>
                <c:pt idx="0">
                  <c:v>2.4833333333333329</c:v>
                </c:pt>
                <c:pt idx="1">
                  <c:v>2.23</c:v>
                </c:pt>
                <c:pt idx="2">
                  <c:v>1.4800000000000002</c:v>
                </c:pt>
                <c:pt idx="3">
                  <c:v>1.6166666666666665</c:v>
                </c:pt>
                <c:pt idx="4">
                  <c:v>1.6500000000000001</c:v>
                </c:pt>
              </c:numCache>
              <c:extLst/>
            </c:numRef>
          </c:val>
          <c:extLst>
            <c:ext xmlns:c16="http://schemas.microsoft.com/office/drawing/2014/chart" uri="{C3380CC4-5D6E-409C-BE32-E72D297353CC}">
              <c16:uniqueId val="{00000000-5D10-4F25-ACFB-3945A218DAFE}"/>
            </c:ext>
          </c:extLst>
        </c:ser>
        <c:ser>
          <c:idx val="1"/>
          <c:order val="1"/>
          <c:tx>
            <c:strRef>
              <c:f>SAFA!$A$12</c:f>
              <c:strCache>
                <c:ptCount val="1"/>
                <c:pt idx="0">
                  <c:v>C16:0</c:v>
                </c:pt>
              </c:strCache>
            </c:strRef>
          </c:tx>
          <c:spPr>
            <a:solidFill>
              <a:schemeClr val="accent2"/>
            </a:solidFill>
            <a:ln>
              <a:solidFill>
                <a:schemeClr val="tx1"/>
              </a:solidFill>
            </a:ln>
            <a:effectLst/>
          </c:spPr>
          <c:invertIfNegative val="0"/>
          <c:errBars>
            <c:errBarType val="both"/>
            <c:errValType val="cust"/>
            <c:noEndCap val="0"/>
            <c:plus>
              <c:numRef>
                <c:f>(SAFA!$J$12,SAFA!$L$12:$O$12)</c:f>
                <c:numCache>
                  <c:formatCode>General</c:formatCode>
                  <c:ptCount val="5"/>
                  <c:pt idx="0">
                    <c:v>1.1127593330695342</c:v>
                  </c:pt>
                  <c:pt idx="1">
                    <c:v>1.8499819818942336</c:v>
                  </c:pt>
                  <c:pt idx="2">
                    <c:v>0.73999999999999977</c:v>
                  </c:pt>
                  <c:pt idx="3">
                    <c:v>0.12529964086141668</c:v>
                  </c:pt>
                  <c:pt idx="4">
                    <c:v>0.18876793513023696</c:v>
                  </c:pt>
                </c:numCache>
                <c:extLst/>
              </c:numRef>
            </c:plus>
            <c:minus>
              <c:numRef>
                <c:f>(SAFA!$J$12,SAFA!$L$12:$O$12)</c:f>
                <c:numCache>
                  <c:formatCode>General</c:formatCode>
                  <c:ptCount val="5"/>
                  <c:pt idx="0">
                    <c:v>1.1127593330695342</c:v>
                  </c:pt>
                  <c:pt idx="1">
                    <c:v>1.8499819818942336</c:v>
                  </c:pt>
                  <c:pt idx="2">
                    <c:v>0.73999999999999977</c:v>
                  </c:pt>
                  <c:pt idx="3">
                    <c:v>0.12529964086141668</c:v>
                  </c:pt>
                  <c:pt idx="4">
                    <c:v>0.18876793513023696</c:v>
                  </c:pt>
                </c:numCache>
                <c:extLst/>
              </c:numRef>
            </c:minus>
            <c:spPr>
              <a:noFill/>
              <a:ln w="9525" cap="flat" cmpd="sng" algn="ctr">
                <a:solidFill>
                  <a:schemeClr val="tx1"/>
                </a:solidFill>
                <a:round/>
              </a:ln>
              <a:effectLst/>
            </c:spPr>
          </c:errBars>
          <c:cat>
            <c:multiLvlStrRef>
              <c:f>(SAFA!$B$9:$B$10,SAFA!$D$9:$G$10)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(SAFA!$B$12,SAFA!$D$12:$G$12)</c:f>
              <c:numCache>
                <c:formatCode>0.00</c:formatCode>
                <c:ptCount val="5"/>
                <c:pt idx="0">
                  <c:v>7.626666666666666</c:v>
                </c:pt>
                <c:pt idx="1">
                  <c:v>9.0333333333333332</c:v>
                </c:pt>
                <c:pt idx="2">
                  <c:v>7.11</c:v>
                </c:pt>
                <c:pt idx="3">
                  <c:v>1.0900000000000001</c:v>
                </c:pt>
                <c:pt idx="4">
                  <c:v>2.4933333333333336</c:v>
                </c:pt>
              </c:numCache>
              <c:extLst/>
            </c:numRef>
          </c:val>
          <c:extLst>
            <c:ext xmlns:c16="http://schemas.microsoft.com/office/drawing/2014/chart" uri="{C3380CC4-5D6E-409C-BE32-E72D297353CC}">
              <c16:uniqueId val="{00000001-5D10-4F25-ACFB-3945A218DAFE}"/>
            </c:ext>
          </c:extLst>
        </c:ser>
        <c:ser>
          <c:idx val="4"/>
          <c:order val="4"/>
          <c:tx>
            <c:strRef>
              <c:f>SAFA!$A$15</c:f>
              <c:strCache>
                <c:ptCount val="1"/>
                <c:pt idx="0">
                  <c:v>OTHERS</c:v>
                </c:pt>
              </c:strCache>
            </c:strRef>
          </c:tx>
          <c:spPr>
            <a:solidFill>
              <a:schemeClr val="accent5"/>
            </a:solidFill>
            <a:ln>
              <a:solidFill>
                <a:schemeClr val="tx1"/>
              </a:solidFill>
            </a:ln>
            <a:effectLst/>
          </c:spPr>
          <c:invertIfNegative val="0"/>
          <c:errBars>
            <c:errBarType val="both"/>
            <c:errValType val="fixedVal"/>
            <c:noEndCap val="0"/>
            <c:val val="2"/>
            <c:spPr>
              <a:noFill/>
              <a:ln w="9525" cap="flat" cmpd="sng" algn="ctr">
                <a:solidFill>
                  <a:schemeClr val="tx1"/>
                </a:solidFill>
                <a:round/>
              </a:ln>
              <a:effectLst/>
            </c:spPr>
          </c:errBars>
          <c:cat>
            <c:multiLvlStrRef>
              <c:f>(SAFA!$B$9:$B$10,SAFA!$D$9:$G$10)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(SAFA!$B$15,SAFA!$D$15:$G$15)</c:f>
              <c:numCache>
                <c:formatCode>0.00</c:formatCode>
                <c:ptCount val="5"/>
                <c:pt idx="0">
                  <c:v>1.4166666666666667</c:v>
                </c:pt>
                <c:pt idx="1">
                  <c:v>0.77333333333333343</c:v>
                </c:pt>
                <c:pt idx="2">
                  <c:v>2.83</c:v>
                </c:pt>
                <c:pt idx="3">
                  <c:v>0.95000000000000007</c:v>
                </c:pt>
                <c:pt idx="4">
                  <c:v>0.95000000000000007</c:v>
                </c:pt>
              </c:numCache>
              <c:extLst/>
            </c:numRef>
          </c:val>
          <c:extLst>
            <c:ext xmlns:c16="http://schemas.microsoft.com/office/drawing/2014/chart" uri="{C3380CC4-5D6E-409C-BE32-E72D297353CC}">
              <c16:uniqueId val="{00000002-5D10-4F25-ACFB-3945A218DAFE}"/>
            </c:ext>
          </c:extLst>
        </c:ser>
        <c:dLbls>
          <c:showLegendKey val="0"/>
          <c:showVal val="0"/>
          <c:showCatName val="0"/>
          <c:showSerName val="0"/>
          <c:showPercent val="0"/>
          <c:showBubbleSize val="0"/>
        </c:dLbls>
        <c:gapWidth val="219"/>
        <c:overlap val="-27"/>
        <c:axId val="440352264"/>
        <c:axId val="440350624"/>
        <c:extLst>
          <c:ext xmlns:c15="http://schemas.microsoft.com/office/drawing/2012/chart" uri="{02D57815-91ED-43cb-92C2-25804820EDAC}">
            <c15:filteredBarSeries>
              <c15:ser>
                <c:idx val="2"/>
                <c:order val="2"/>
                <c:tx>
                  <c:strRef>
                    <c:extLst>
                      <c:ext uri="{02D57815-91ED-43cb-92C2-25804820EDAC}">
                        <c15:formulaRef>
                          <c15:sqref>SAFA!$A$13</c15:sqref>
                        </c15:formulaRef>
                      </c:ext>
                    </c:extLst>
                    <c:strCache>
                      <c:ptCount val="1"/>
                      <c:pt idx="0">
                        <c:v>C18:0</c:v>
                      </c:pt>
                    </c:strCache>
                  </c:strRef>
                </c:tx>
                <c:spPr>
                  <a:solidFill>
                    <a:schemeClr val="accent3"/>
                  </a:solidFill>
                  <a:ln>
                    <a:solidFill>
                      <a:schemeClr val="tx1"/>
                    </a:solidFill>
                  </a:ln>
                  <a:effectLst/>
                </c:spPr>
                <c:invertIfNegative val="0"/>
                <c:cat>
                  <c:multiLvlStrRef>
                    <c:extLst>
                      <c:ext uri="{02D57815-91ED-43cb-92C2-25804820EDAC}">
                        <c15:formulaRef>
                          <c15:sqref>(SAFA!$B$9:$B$10,SAFA!$D$9:$G$10)</c15:sqref>
                        </c15:formulaRef>
                      </c:ext>
                    </c:extLst>
                    <c:multiLvlStrCache>
                      <c:ptCount val="5"/>
                      <c:lvl>
                        <c:pt idx="2">
                          <c:v>T1</c:v>
                        </c:pt>
                        <c:pt idx="3">
                          <c:v>T2</c:v>
                        </c:pt>
                        <c:pt idx="4">
                          <c:v>T3</c:v>
                        </c:pt>
                      </c:lvl>
                      <c:lvl>
                        <c:pt idx="0">
                          <c:v>Fresh</c:v>
                        </c:pt>
                        <c:pt idx="1">
                          <c:v>Control</c:v>
                        </c:pt>
                        <c:pt idx="2">
                          <c:v>20 µg/L</c:v>
                        </c:pt>
                        <c:pt idx="3">
                          <c:v>100 µg/L</c:v>
                        </c:pt>
                        <c:pt idx="4">
                          <c:v>500 µg/L</c:v>
                        </c:pt>
                      </c:lvl>
                    </c:multiLvlStrCache>
                  </c:multiLvlStrRef>
                </c:cat>
                <c:val>
                  <c:numRef>
                    <c:extLst>
                      <c:ext uri="{02D57815-91ED-43cb-92C2-25804820EDAC}">
                        <c15:formulaRef>
                          <c15:sqref>(SAFA!$B$13,SAFA!$D$13:$G$13)</c15:sqref>
                        </c15:formulaRef>
                      </c:ext>
                    </c:extLst>
                    <c:numCache>
                      <c:formatCode>0.00</c:formatCode>
                      <c:ptCount val="5"/>
                      <c:pt idx="0">
                        <c:v>0</c:v>
                      </c:pt>
                      <c:pt idx="1">
                        <c:v>0</c:v>
                      </c:pt>
                      <c:pt idx="2">
                        <c:v>5.66</c:v>
                      </c:pt>
                      <c:pt idx="3">
                        <c:v>1.9000000000000001</c:v>
                      </c:pt>
                      <c:pt idx="4">
                        <c:v>0</c:v>
                      </c:pt>
                    </c:numCache>
                  </c:numRef>
                </c:val>
                <c:extLst>
                  <c:ext xmlns:c16="http://schemas.microsoft.com/office/drawing/2014/chart" uri="{C3380CC4-5D6E-409C-BE32-E72D297353CC}">
                    <c16:uniqueId val="{00000003-5D10-4F25-ACFB-3945A218DAFE}"/>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SAFA!$A$14</c15:sqref>
                        </c15:formulaRef>
                      </c:ext>
                    </c:extLst>
                    <c:strCache>
                      <c:ptCount val="1"/>
                      <c:pt idx="0">
                        <c:v>C20:0</c:v>
                      </c:pt>
                    </c:strCache>
                  </c:strRef>
                </c:tx>
                <c:spPr>
                  <a:solidFill>
                    <a:schemeClr val="accent4"/>
                  </a:solidFill>
                  <a:ln>
                    <a:solidFill>
                      <a:schemeClr val="tx1"/>
                    </a:solidFill>
                  </a:ln>
                  <a:effectLst/>
                </c:spPr>
                <c:invertIfNegative val="0"/>
                <c:cat>
                  <c:multiLvlStrRef>
                    <c:extLst xmlns:c15="http://schemas.microsoft.com/office/drawing/2012/chart">
                      <c:ext xmlns:c15="http://schemas.microsoft.com/office/drawing/2012/chart" uri="{02D57815-91ED-43cb-92C2-25804820EDAC}">
                        <c15:formulaRef>
                          <c15:sqref>(SAFA!$B$9:$B$10,SAFA!$D$9:$G$10)</c15:sqref>
                        </c15:formulaRef>
                      </c:ext>
                    </c:extLst>
                    <c:multiLvlStrCache>
                      <c:ptCount val="5"/>
                      <c:lvl>
                        <c:pt idx="2">
                          <c:v>T1</c:v>
                        </c:pt>
                        <c:pt idx="3">
                          <c:v>T2</c:v>
                        </c:pt>
                        <c:pt idx="4">
                          <c:v>T3</c:v>
                        </c:pt>
                      </c:lvl>
                      <c:lvl>
                        <c:pt idx="0">
                          <c:v>Fresh</c:v>
                        </c:pt>
                        <c:pt idx="1">
                          <c:v>Control</c:v>
                        </c:pt>
                        <c:pt idx="2">
                          <c:v>20 µg/L</c:v>
                        </c:pt>
                        <c:pt idx="3">
                          <c:v>100 µg/L</c:v>
                        </c:pt>
                        <c:pt idx="4">
                          <c:v>500 µg/L</c:v>
                        </c:pt>
                      </c:lvl>
                    </c:multiLvlStrCache>
                  </c:multiLvlStrRef>
                </c:cat>
                <c:val>
                  <c:numRef>
                    <c:extLst xmlns:c15="http://schemas.microsoft.com/office/drawing/2012/chart">
                      <c:ext xmlns:c15="http://schemas.microsoft.com/office/drawing/2012/chart" uri="{02D57815-91ED-43cb-92C2-25804820EDAC}">
                        <c15:formulaRef>
                          <c15:sqref>(SAFA!$B$14,SAFA!$D$14:$G$14)</c15:sqref>
                        </c15:formulaRef>
                      </c:ext>
                    </c:extLst>
                    <c:numCache>
                      <c:formatCode>0.00</c:formatCode>
                      <c:ptCount val="5"/>
                      <c:pt idx="0">
                        <c:v>2.8333333333333335</c:v>
                      </c:pt>
                      <c:pt idx="1">
                        <c:v>1.5466666666666669</c:v>
                      </c:pt>
                      <c:pt idx="2">
                        <c:v>0</c:v>
                      </c:pt>
                      <c:pt idx="3">
                        <c:v>0</c:v>
                      </c:pt>
                      <c:pt idx="4">
                        <c:v>0</c:v>
                      </c:pt>
                    </c:numCache>
                  </c:numRef>
                </c:val>
                <c:extLst xmlns:c15="http://schemas.microsoft.com/office/drawing/2012/chart">
                  <c:ext xmlns:c16="http://schemas.microsoft.com/office/drawing/2014/chart" uri="{C3380CC4-5D6E-409C-BE32-E72D297353CC}">
                    <c16:uniqueId val="{00000004-5D10-4F25-ACFB-3945A218DAFE}"/>
                  </c:ext>
                </c:extLst>
              </c15:ser>
            </c15:filteredBarSeries>
          </c:ext>
        </c:extLst>
      </c:barChart>
      <c:catAx>
        <c:axId val="440352264"/>
        <c:scaling>
          <c:orientation val="minMax"/>
        </c:scaling>
        <c:delete val="0"/>
        <c:axPos val="b"/>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350624"/>
        <c:crosses val="autoZero"/>
        <c:auto val="1"/>
        <c:lblAlgn val="ctr"/>
        <c:lblOffset val="100"/>
        <c:noMultiLvlLbl val="0"/>
      </c:catAx>
      <c:valAx>
        <c:axId val="44035062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t>Fatty Acid Composition, mg/g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352264"/>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77262585837189E-2"/>
          <c:y val="3.3912219305920095E-2"/>
          <c:w val="0.87697158582850798"/>
          <c:h val="0.74600867599883336"/>
        </c:manualLayout>
      </c:layout>
      <c:barChart>
        <c:barDir val="col"/>
        <c:grouping val="clustered"/>
        <c:varyColors val="0"/>
        <c:ser>
          <c:idx val="0"/>
          <c:order val="0"/>
          <c:tx>
            <c:strRef>
              <c:f>PUFA!$A$11</c:f>
              <c:strCache>
                <c:ptCount val="1"/>
                <c:pt idx="0">
                  <c:v>18:3ω6</c:v>
                </c:pt>
              </c:strCache>
            </c:strRef>
          </c:tx>
          <c:spPr>
            <a:solidFill>
              <a:schemeClr val="accent1"/>
            </a:solidFill>
            <a:ln>
              <a:solidFill>
                <a:schemeClr val="tx1"/>
              </a:solidFill>
            </a:ln>
            <a:effectLst/>
          </c:spPr>
          <c:invertIfNegative val="0"/>
          <c:errBars>
            <c:errBarType val="plus"/>
            <c:errValType val="cust"/>
            <c:noEndCap val="0"/>
            <c:plus>
              <c:numRef>
                <c:f>(PUFA!$J$11,PUFA!$L$11:$O$11)</c:f>
                <c:numCache>
                  <c:formatCode>General</c:formatCode>
                  <c:ptCount val="5"/>
                  <c:pt idx="0">
                    <c:v>0.35557465226494367</c:v>
                  </c:pt>
                  <c:pt idx="1">
                    <c:v>0.29955522584881128</c:v>
                  </c:pt>
                  <c:pt idx="2">
                    <c:v>0</c:v>
                  </c:pt>
                  <c:pt idx="3">
                    <c:v>0</c:v>
                  </c:pt>
                  <c:pt idx="4">
                    <c:v>0</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(PUFA!$B$11,PUFA!$D$11:$G$11)</c:f>
              <c:numCache>
                <c:formatCode>0.00</c:formatCode>
                <c:ptCount val="5"/>
                <c:pt idx="0">
                  <c:v>2.1566666666666667</c:v>
                </c:pt>
                <c:pt idx="1">
                  <c:v>1.9966666666666668</c:v>
                </c:pt>
                <c:pt idx="2">
                  <c:v>0</c:v>
                </c:pt>
                <c:pt idx="3">
                  <c:v>0</c:v>
                </c:pt>
                <c:pt idx="4">
                  <c:v>0</c:v>
                </c:pt>
              </c:numCache>
              <c:extLst/>
            </c:numRef>
          </c:val>
          <c:extLst>
            <c:ext xmlns:c16="http://schemas.microsoft.com/office/drawing/2014/chart" uri="{C3380CC4-5D6E-409C-BE32-E72D297353CC}">
              <c16:uniqueId val="{00000000-01B2-4068-AC5D-A5E5A09EF963}"/>
            </c:ext>
          </c:extLst>
        </c:ser>
        <c:ser>
          <c:idx val="1"/>
          <c:order val="1"/>
          <c:tx>
            <c:strRef>
              <c:f>PUFA!$A$12</c:f>
              <c:strCache>
                <c:ptCount val="1"/>
                <c:pt idx="0">
                  <c:v>18:3ω3</c:v>
                </c:pt>
              </c:strCache>
            </c:strRef>
          </c:tx>
          <c:spPr>
            <a:solidFill>
              <a:schemeClr val="accent2"/>
            </a:solidFill>
            <a:ln>
              <a:solidFill>
                <a:schemeClr val="tx1"/>
              </a:solidFill>
            </a:ln>
            <a:effectLst/>
          </c:spPr>
          <c:invertIfNegative val="0"/>
          <c:errBars>
            <c:errBarType val="plus"/>
            <c:errValType val="cust"/>
            <c:noEndCap val="0"/>
            <c:plus>
              <c:numRef>
                <c:f>(PUFA!$J$12,PUFA!$L$12:$O$12)</c:f>
                <c:numCache>
                  <c:formatCode>General</c:formatCode>
                  <c:ptCount val="5"/>
                  <c:pt idx="0">
                    <c:v>2.7212007153705806</c:v>
                  </c:pt>
                  <c:pt idx="1">
                    <c:v>0.22501851775650281</c:v>
                  </c:pt>
                  <c:pt idx="2">
                    <c:v>0.10148891565092226</c:v>
                  </c:pt>
                  <c:pt idx="3">
                    <c:v>3.0550504633039155E-2</c:v>
                  </c:pt>
                  <c:pt idx="4">
                    <c:v>0.24269322199023216</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(PUFA!$B$12,PUFA!$D$12:$G$12)</c:f>
              <c:numCache>
                <c:formatCode>0.00</c:formatCode>
                <c:ptCount val="5"/>
                <c:pt idx="0">
                  <c:v>11.406666666666666</c:v>
                </c:pt>
                <c:pt idx="1">
                  <c:v>9.4066666666666663</c:v>
                </c:pt>
                <c:pt idx="2">
                  <c:v>4.1000000000000005</c:v>
                </c:pt>
                <c:pt idx="3">
                  <c:v>6.8033333333333319</c:v>
                </c:pt>
                <c:pt idx="4">
                  <c:v>5.8299999999999992</c:v>
                </c:pt>
              </c:numCache>
              <c:extLst/>
            </c:numRef>
          </c:val>
          <c:extLst>
            <c:ext xmlns:c16="http://schemas.microsoft.com/office/drawing/2014/chart" uri="{C3380CC4-5D6E-409C-BE32-E72D297353CC}">
              <c16:uniqueId val="{00000001-01B2-4068-AC5D-A5E5A09EF963}"/>
            </c:ext>
          </c:extLst>
        </c:ser>
        <c:ser>
          <c:idx val="2"/>
          <c:order val="2"/>
          <c:tx>
            <c:strRef>
              <c:f>PUFA!$A$13</c:f>
              <c:strCache>
                <c:ptCount val="1"/>
                <c:pt idx="0">
                  <c:v>20:3ω3</c:v>
                </c:pt>
              </c:strCache>
            </c:strRef>
          </c:tx>
          <c:spPr>
            <a:solidFill>
              <a:schemeClr val="accent3"/>
            </a:solidFill>
            <a:ln>
              <a:solidFill>
                <a:schemeClr val="tx1"/>
              </a:solidFill>
            </a:ln>
            <a:effectLst/>
          </c:spPr>
          <c:invertIfNegative val="0"/>
          <c:errBars>
            <c:errBarType val="plus"/>
            <c:errValType val="cust"/>
            <c:noEndCap val="0"/>
            <c:plus>
              <c:numRef>
                <c:f>(PUFA!$J$13,PUFA!$L$13:$O$13)</c:f>
                <c:numCache>
                  <c:formatCode>General</c:formatCode>
                  <c:ptCount val="5"/>
                  <c:pt idx="0">
                    <c:v>1.0813109327724995</c:v>
                  </c:pt>
                  <c:pt idx="1">
                    <c:v>0.1374772708486752</c:v>
                  </c:pt>
                  <c:pt idx="2">
                    <c:v>0</c:v>
                  </c:pt>
                  <c:pt idx="3">
                    <c:v>0</c:v>
                  </c:pt>
                  <c:pt idx="4">
                    <c:v>5.5075705472861072E-2</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(PUFA!$B$13,PUFA!$D$13:$G$13)</c:f>
              <c:numCache>
                <c:formatCode>0.00</c:formatCode>
                <c:ptCount val="5"/>
                <c:pt idx="0">
                  <c:v>2.686666666666667</c:v>
                </c:pt>
                <c:pt idx="1">
                  <c:v>1.54</c:v>
                </c:pt>
                <c:pt idx="2">
                  <c:v>0</c:v>
                </c:pt>
                <c:pt idx="3">
                  <c:v>0</c:v>
                </c:pt>
                <c:pt idx="4">
                  <c:v>1.7566666666666668</c:v>
                </c:pt>
              </c:numCache>
              <c:extLst/>
            </c:numRef>
          </c:val>
          <c:extLst>
            <c:ext xmlns:c16="http://schemas.microsoft.com/office/drawing/2014/chart" uri="{C3380CC4-5D6E-409C-BE32-E72D297353CC}">
              <c16:uniqueId val="{00000002-01B2-4068-AC5D-A5E5A09EF963}"/>
            </c:ext>
          </c:extLst>
        </c:ser>
        <c:ser>
          <c:idx val="3"/>
          <c:order val="3"/>
          <c:tx>
            <c:strRef>
              <c:f>PUFA!$A$14</c:f>
              <c:strCache>
                <c:ptCount val="1"/>
                <c:pt idx="0">
                  <c:v>20:5ω3</c:v>
                </c:pt>
              </c:strCache>
            </c:strRef>
          </c:tx>
          <c:spPr>
            <a:solidFill>
              <a:schemeClr val="accent4"/>
            </a:solidFill>
            <a:ln>
              <a:solidFill>
                <a:schemeClr val="tx1"/>
              </a:solidFill>
            </a:ln>
            <a:effectLst/>
          </c:spPr>
          <c:invertIfNegative val="0"/>
          <c:errBars>
            <c:errBarType val="plus"/>
            <c:errValType val="cust"/>
            <c:noEndCap val="0"/>
            <c:plus>
              <c:numRef>
                <c:f>(PUFA!$J$14,PUFA!$L$14:$O$14)</c:f>
                <c:numCache>
                  <c:formatCode>General</c:formatCode>
                  <c:ptCount val="5"/>
                  <c:pt idx="0">
                    <c:v>0.79349438141258088</c:v>
                  </c:pt>
                  <c:pt idx="1">
                    <c:v>9.1651513899116757E-2</c:v>
                  </c:pt>
                  <c:pt idx="2">
                    <c:v>0</c:v>
                  </c:pt>
                  <c:pt idx="3">
                    <c:v>0</c:v>
                  </c:pt>
                  <c:pt idx="4">
                    <c:v>0</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(PUFA!$B$14,PUFA!$D$14:$G$14)</c:f>
              <c:numCache>
                <c:formatCode>0.00</c:formatCode>
                <c:ptCount val="5"/>
                <c:pt idx="0">
                  <c:v>3.4333333333333336</c:v>
                </c:pt>
                <c:pt idx="1">
                  <c:v>1.89</c:v>
                </c:pt>
                <c:pt idx="2">
                  <c:v>0</c:v>
                </c:pt>
                <c:pt idx="3">
                  <c:v>0</c:v>
                </c:pt>
                <c:pt idx="4">
                  <c:v>0</c:v>
                </c:pt>
              </c:numCache>
              <c:extLst/>
            </c:numRef>
          </c:val>
          <c:extLst>
            <c:ext xmlns:c16="http://schemas.microsoft.com/office/drawing/2014/chart" uri="{C3380CC4-5D6E-409C-BE32-E72D297353CC}">
              <c16:uniqueId val="{00000003-01B2-4068-AC5D-A5E5A09EF963}"/>
            </c:ext>
          </c:extLst>
        </c:ser>
        <c:dLbls>
          <c:showLegendKey val="0"/>
          <c:showVal val="0"/>
          <c:showCatName val="0"/>
          <c:showSerName val="0"/>
          <c:showPercent val="0"/>
          <c:showBubbleSize val="0"/>
        </c:dLbls>
        <c:gapWidth val="219"/>
        <c:overlap val="-27"/>
        <c:axId val="518282184"/>
        <c:axId val="518282840"/>
      </c:barChart>
      <c:catAx>
        <c:axId val="518282184"/>
        <c:scaling>
          <c:orientation val="minMax"/>
        </c:scaling>
        <c:delete val="0"/>
        <c:axPos val="b"/>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82840"/>
        <c:crosses val="autoZero"/>
        <c:auto val="1"/>
        <c:lblAlgn val="ctr"/>
        <c:lblOffset val="100"/>
        <c:noMultiLvlLbl val="0"/>
      </c:catAx>
      <c:valAx>
        <c:axId val="51828284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t>Fatty Acid Composition, mg/g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82184"/>
        <c:crosses val="autoZero"/>
        <c:crossBetween val="between"/>
        <c:majorUnit val="4"/>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4866</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7</cp:revision>
  <dcterms:created xsi:type="dcterms:W3CDTF">2022-08-12T03:45:00Z</dcterms:created>
  <dcterms:modified xsi:type="dcterms:W3CDTF">2022-08-18T08:10:00Z</dcterms:modified>
</cp:coreProperties>
</file>