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350C4" w14:textId="77777777" w:rsidR="00A03BCE" w:rsidRPr="00A03BCE" w:rsidRDefault="00A03BCE" w:rsidP="00A03BCE">
      <w:pPr>
        <w:pStyle w:val="Title"/>
        <w:spacing w:line="276" w:lineRule="auto"/>
        <w:contextualSpacing w:val="0"/>
        <w:rPr>
          <w:b/>
          <w:bCs/>
          <w:color w:val="000000" w:themeColor="text1"/>
          <w:szCs w:val="20"/>
        </w:rPr>
      </w:pPr>
      <w:bookmarkStart w:id="0" w:name="title"/>
      <w:r w:rsidRPr="00A03BCE">
        <w:rPr>
          <w:color w:val="000000" w:themeColor="text1"/>
          <w:szCs w:val="20"/>
        </w:rPr>
        <w:t>IMPROVING THE MORPHOLOGICAL, THERMAL, AND ACOUSTICS PROPERTIES OF POLYURETHANE-UREA BIOFOAM USING INDUSTRIAL PLYWOOD SAWDUST WASTE</w:t>
      </w:r>
    </w:p>
    <w:bookmarkEnd w:id="0"/>
    <w:p w14:paraId="796E24B3" w14:textId="77777777" w:rsidR="00A03BCE" w:rsidRPr="00DC34C3" w:rsidRDefault="00A03BCE" w:rsidP="00A03BCE">
      <w:pPr>
        <w:spacing w:after="0"/>
        <w:jc w:val="center"/>
        <w:outlineLvl w:val="0"/>
        <w:rPr>
          <w:rFonts w:ascii="Times New Roman" w:hAnsi="Times New Roman"/>
          <w:sz w:val="24"/>
          <w:szCs w:val="24"/>
        </w:rPr>
      </w:pPr>
      <w:r w:rsidRPr="00A03BCE">
        <w:rPr>
          <w:rFonts w:ascii="Times New Roman" w:hAnsi="Times New Roman"/>
          <w:sz w:val="28"/>
        </w:rPr>
        <w:t xml:space="preserve"> </w:t>
      </w:r>
    </w:p>
    <w:p w14:paraId="1182DB65" w14:textId="77777777" w:rsidR="00A03BCE" w:rsidRPr="00DC34C3" w:rsidRDefault="00A03BCE" w:rsidP="00A03BCE">
      <w:pPr>
        <w:spacing w:after="0"/>
        <w:jc w:val="center"/>
        <w:outlineLvl w:val="0"/>
        <w:rPr>
          <w:rFonts w:ascii="Times New Roman" w:hAnsi="Times New Roman"/>
          <w:noProof/>
          <w:sz w:val="24"/>
          <w:szCs w:val="24"/>
          <w:lang w:val="ms-MY"/>
        </w:rPr>
      </w:pPr>
      <w:r w:rsidRPr="00DC34C3">
        <w:rPr>
          <w:rFonts w:ascii="Times New Roman" w:hAnsi="Times New Roman"/>
          <w:noProof/>
          <w:sz w:val="24"/>
          <w:szCs w:val="24"/>
          <w:lang w:val="ms-MY"/>
        </w:rPr>
        <w:t>(Meningkatkan Morfologi, Termal dan Sifat Akustik Busa Poliuretan-Urea Menggunakan Sisa Habuk Papan Kayu Lapis)</w:t>
      </w:r>
    </w:p>
    <w:p w14:paraId="6427689D" w14:textId="77777777" w:rsidR="00A03BCE" w:rsidRPr="00A03BCE" w:rsidRDefault="00A03BCE" w:rsidP="00A03BCE">
      <w:pPr>
        <w:spacing w:after="0"/>
        <w:jc w:val="center"/>
        <w:outlineLvl w:val="0"/>
        <w:rPr>
          <w:rFonts w:ascii="Times New Roman" w:hAnsi="Times New Roman"/>
          <w:b/>
          <w:color w:val="548DD4" w:themeColor="text2" w:themeTint="99"/>
          <w:sz w:val="20"/>
          <w:szCs w:val="20"/>
        </w:rPr>
      </w:pPr>
    </w:p>
    <w:p w14:paraId="56E52E58" w14:textId="77777777" w:rsidR="00A03BCE" w:rsidRPr="00A03BCE" w:rsidRDefault="00A03BCE" w:rsidP="00A03BCE">
      <w:pPr>
        <w:spacing w:after="0"/>
        <w:jc w:val="center"/>
        <w:outlineLvl w:val="0"/>
        <w:rPr>
          <w:rFonts w:ascii="Times New Roman" w:hAnsi="Times New Roman"/>
          <w:bCs/>
          <w:noProof/>
          <w:color w:val="000000" w:themeColor="text1"/>
          <w:sz w:val="20"/>
          <w:szCs w:val="20"/>
          <w:lang w:val="ms-MY" w:bidi="th-TH"/>
        </w:rPr>
      </w:pPr>
      <w:bookmarkStart w:id="1" w:name="authors"/>
      <w:r w:rsidRPr="00A03BCE">
        <w:rPr>
          <w:rFonts w:ascii="Times New Roman" w:hAnsi="Times New Roman"/>
          <w:bCs/>
          <w:noProof/>
          <w:color w:val="000000" w:themeColor="text1"/>
          <w:sz w:val="20"/>
          <w:szCs w:val="20"/>
          <w:lang w:val="ms-MY" w:bidi="th-TH"/>
        </w:rPr>
        <w:t>Herlina Nofitasari</w:t>
      </w:r>
      <w:r w:rsidRPr="00A03BCE">
        <w:rPr>
          <w:rFonts w:ascii="Times New Roman" w:hAnsi="Times New Roman"/>
          <w:bCs/>
          <w:noProof/>
          <w:color w:val="000000" w:themeColor="text1"/>
          <w:sz w:val="20"/>
          <w:szCs w:val="20"/>
          <w:vertAlign w:val="superscript"/>
          <w:lang w:val="ms-MY" w:bidi="th-TH"/>
        </w:rPr>
        <w:t>1</w:t>
      </w:r>
      <w:r w:rsidRPr="00A03BCE">
        <w:rPr>
          <w:rFonts w:ascii="Times New Roman" w:hAnsi="Times New Roman"/>
          <w:bCs/>
          <w:noProof/>
          <w:color w:val="000000" w:themeColor="text1"/>
          <w:sz w:val="20"/>
          <w:szCs w:val="20"/>
          <w:lang w:val="ms-MY" w:bidi="th-TH"/>
        </w:rPr>
        <w:t>*, Ari Handono Ramelan</w:t>
      </w:r>
      <w:r w:rsidRPr="00A03BCE">
        <w:rPr>
          <w:rFonts w:ascii="Times New Roman" w:hAnsi="Times New Roman"/>
          <w:bCs/>
          <w:noProof/>
          <w:color w:val="000000" w:themeColor="text1"/>
          <w:sz w:val="20"/>
          <w:szCs w:val="20"/>
          <w:vertAlign w:val="superscript"/>
          <w:lang w:val="ms-MY" w:bidi="th-TH"/>
        </w:rPr>
        <w:t>2</w:t>
      </w:r>
      <w:r w:rsidRPr="00A03BCE">
        <w:rPr>
          <w:rFonts w:ascii="Times New Roman" w:hAnsi="Times New Roman"/>
          <w:bCs/>
          <w:noProof/>
          <w:color w:val="000000" w:themeColor="text1"/>
          <w:sz w:val="20"/>
          <w:szCs w:val="20"/>
          <w:lang w:val="ms-MY" w:bidi="th-TH"/>
        </w:rPr>
        <w:t>, Mohammad Masykuri</w:t>
      </w:r>
      <w:bookmarkEnd w:id="1"/>
      <w:r w:rsidRPr="00A03BCE">
        <w:rPr>
          <w:rFonts w:ascii="Times New Roman" w:hAnsi="Times New Roman"/>
          <w:bCs/>
          <w:noProof/>
          <w:color w:val="000000" w:themeColor="text1"/>
          <w:sz w:val="20"/>
          <w:szCs w:val="20"/>
          <w:vertAlign w:val="superscript"/>
          <w:lang w:val="ms-MY" w:bidi="th-TH"/>
        </w:rPr>
        <w:t xml:space="preserve">3    </w:t>
      </w:r>
    </w:p>
    <w:p w14:paraId="312FC19B" w14:textId="77777777" w:rsidR="00A03BCE" w:rsidRPr="00A03BCE" w:rsidRDefault="00A03BCE" w:rsidP="00A03BCE">
      <w:pPr>
        <w:spacing w:after="0"/>
        <w:jc w:val="center"/>
        <w:outlineLvl w:val="0"/>
        <w:rPr>
          <w:rFonts w:ascii="Times New Roman" w:hAnsi="Times New Roman"/>
          <w:noProof/>
          <w:sz w:val="18"/>
          <w:szCs w:val="18"/>
          <w:lang w:val="ms-MY"/>
        </w:rPr>
      </w:pPr>
    </w:p>
    <w:p w14:paraId="102336C5" w14:textId="621739B1" w:rsidR="00A03BCE" w:rsidRPr="00A03BCE" w:rsidRDefault="00A03BCE" w:rsidP="00A03BCE">
      <w:pPr>
        <w:spacing w:after="0"/>
        <w:ind w:left="360"/>
        <w:jc w:val="center"/>
        <w:rPr>
          <w:rFonts w:ascii="Times New Roman" w:hAnsi="Times New Roman"/>
          <w:i/>
          <w:noProof/>
          <w:color w:val="000000" w:themeColor="text1"/>
          <w:sz w:val="18"/>
          <w:szCs w:val="18"/>
          <w:lang w:val="ms-MY"/>
        </w:rPr>
      </w:pPr>
      <w:bookmarkStart w:id="2" w:name="affiliations"/>
      <w:r w:rsidRPr="00A03BCE">
        <w:rPr>
          <w:rFonts w:ascii="Times New Roman" w:hAnsi="Times New Roman"/>
          <w:i/>
          <w:noProof/>
          <w:color w:val="000000" w:themeColor="text1"/>
          <w:sz w:val="18"/>
          <w:szCs w:val="18"/>
          <w:vertAlign w:val="superscript"/>
          <w:lang w:val="ms-MY"/>
        </w:rPr>
        <w:t>1</w:t>
      </w:r>
      <w:r w:rsidRPr="00A03BCE">
        <w:rPr>
          <w:rFonts w:ascii="Times New Roman" w:hAnsi="Times New Roman"/>
          <w:i/>
          <w:noProof/>
          <w:color w:val="000000" w:themeColor="text1"/>
          <w:sz w:val="18"/>
          <w:szCs w:val="18"/>
          <w:lang w:val="ms-MY"/>
        </w:rPr>
        <w:t xml:space="preserve">Master’s Degree Program in Environmental Science </w:t>
      </w:r>
    </w:p>
    <w:p w14:paraId="31F8E6C7" w14:textId="057743A3"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vertAlign w:val="superscript"/>
          <w:lang w:val="ms-MY"/>
        </w:rPr>
        <w:t>2</w:t>
      </w:r>
      <w:r w:rsidRPr="00A03BCE">
        <w:rPr>
          <w:rFonts w:ascii="Times New Roman" w:hAnsi="Times New Roman"/>
          <w:i/>
          <w:noProof/>
          <w:color w:val="000000" w:themeColor="text1"/>
          <w:sz w:val="18"/>
          <w:szCs w:val="18"/>
          <w:lang w:val="ms-MY"/>
        </w:rPr>
        <w:t>Faculty of Mathematics and Natural Sciences</w:t>
      </w:r>
    </w:p>
    <w:p w14:paraId="34BA3783" w14:textId="4CC10705"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vertAlign w:val="superscript"/>
          <w:lang w:val="ms-MY"/>
        </w:rPr>
        <w:t>3</w:t>
      </w:r>
      <w:r w:rsidRPr="00A03BCE">
        <w:rPr>
          <w:rFonts w:ascii="Times New Roman" w:hAnsi="Times New Roman"/>
          <w:i/>
          <w:noProof/>
          <w:color w:val="000000" w:themeColor="text1"/>
          <w:sz w:val="18"/>
          <w:szCs w:val="18"/>
          <w:lang w:val="ms-MY"/>
        </w:rPr>
        <w:t>Faculty of Teacher Training and Education</w:t>
      </w:r>
    </w:p>
    <w:p w14:paraId="66F0608C" w14:textId="77777777"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lang w:val="ms-MY"/>
        </w:rPr>
        <w:t>Universitas Sebelas Maret, Surakarta 57126, Indonesia</w:t>
      </w:r>
      <w:bookmarkEnd w:id="2"/>
    </w:p>
    <w:p w14:paraId="2EB4D166" w14:textId="77777777" w:rsidR="00A03BCE" w:rsidRPr="00A03BCE" w:rsidRDefault="00A03BCE" w:rsidP="00A03BCE">
      <w:pPr>
        <w:spacing w:after="0"/>
        <w:jc w:val="center"/>
        <w:outlineLvl w:val="0"/>
        <w:rPr>
          <w:rFonts w:ascii="Times New Roman" w:hAnsi="Times New Roman"/>
          <w:b/>
          <w:color w:val="548DD4" w:themeColor="text2" w:themeTint="99"/>
          <w:sz w:val="18"/>
          <w:szCs w:val="18"/>
        </w:rPr>
      </w:pPr>
    </w:p>
    <w:p w14:paraId="69D1F72A" w14:textId="6BA5D701" w:rsidR="00A03BCE" w:rsidRPr="00A03BCE" w:rsidRDefault="00A03BCE" w:rsidP="00A03BCE">
      <w:pPr>
        <w:spacing w:after="0"/>
        <w:jc w:val="center"/>
        <w:outlineLvl w:val="0"/>
        <w:rPr>
          <w:rFonts w:ascii="Times New Roman" w:hAnsi="Times New Roman"/>
          <w:i/>
          <w:color w:val="548DD4" w:themeColor="text2" w:themeTint="99"/>
          <w:sz w:val="18"/>
          <w:szCs w:val="18"/>
        </w:rPr>
      </w:pPr>
      <w:r w:rsidRPr="00A03BCE">
        <w:rPr>
          <w:rFonts w:ascii="Times New Roman" w:hAnsi="Times New Roman"/>
          <w:i/>
          <w:sz w:val="18"/>
          <w:szCs w:val="18"/>
        </w:rPr>
        <w:t xml:space="preserve">*Corresponding author: </w:t>
      </w:r>
      <w:r>
        <w:rPr>
          <w:rFonts w:ascii="Times New Roman" w:hAnsi="Times New Roman"/>
          <w:i/>
          <w:sz w:val="18"/>
          <w:szCs w:val="18"/>
        </w:rPr>
        <w:t xml:space="preserve"> </w:t>
      </w:r>
      <w:r w:rsidRPr="00A03BCE">
        <w:rPr>
          <w:rFonts w:ascii="Times New Roman" w:hAnsi="Times New Roman"/>
          <w:i/>
          <w:sz w:val="18"/>
          <w:szCs w:val="18"/>
          <w:lang w:val="en-GB"/>
        </w:rPr>
        <w:t>henosa25</w:t>
      </w:r>
      <w:r w:rsidRPr="00A03BCE">
        <w:rPr>
          <w:rFonts w:ascii="Times New Roman" w:hAnsi="Times New Roman"/>
          <w:i/>
          <w:sz w:val="18"/>
          <w:szCs w:val="18"/>
        </w:rPr>
        <w:t>@gmail.com</w:t>
      </w:r>
      <w:r w:rsidRPr="00A03BCE">
        <w:rPr>
          <w:rFonts w:ascii="Times New Roman" w:hAnsi="Times New Roman"/>
          <w:b/>
          <w:i/>
          <w:sz w:val="18"/>
          <w:szCs w:val="18"/>
        </w:rPr>
        <w:t xml:space="preserve"> </w:t>
      </w:r>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64EA3D04"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52360">
        <w:rPr>
          <w:rFonts w:ascii="Times New Roman" w:hAnsi="Times New Roman"/>
          <w:noProof/>
          <w:sz w:val="18"/>
          <w:szCs w:val="18"/>
          <w:lang w:bidi="ar-SA"/>
        </w:rPr>
        <w:t xml:space="preserve"> </w:t>
      </w:r>
      <w:r w:rsidR="00060413">
        <w:rPr>
          <w:rFonts w:ascii="Times New Roman" w:hAnsi="Times New Roman"/>
          <w:noProof/>
          <w:sz w:val="18"/>
          <w:szCs w:val="18"/>
          <w:lang w:bidi="ar-SA"/>
        </w:rPr>
        <w:t>29 December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060413">
        <w:rPr>
          <w:rFonts w:ascii="Times New Roman" w:hAnsi="Times New Roman"/>
          <w:noProof/>
          <w:sz w:val="18"/>
          <w:szCs w:val="18"/>
          <w:lang w:bidi="ar-SA"/>
        </w:rPr>
        <w:t>27 February 2022</w:t>
      </w:r>
      <w:r>
        <w:rPr>
          <w:rFonts w:ascii="Times New Roman" w:hAnsi="Times New Roman"/>
          <w:noProof/>
          <w:sz w:val="18"/>
          <w:szCs w:val="18"/>
          <w:lang w:bidi="ar-SA"/>
        </w:rPr>
        <w:t xml:space="preserve">; Published:  </w:t>
      </w:r>
      <w:r w:rsidR="00417DC5">
        <w:rPr>
          <w:rFonts w:ascii="Times New Roman" w:hAnsi="Times New Roman"/>
          <w:noProof/>
          <w:sz w:val="18"/>
          <w:szCs w:val="18"/>
          <w:lang w:bidi="ar-SA"/>
        </w:rPr>
        <w:t>27</w:t>
      </w:r>
      <w:r>
        <w:rPr>
          <w:rFonts w:ascii="Times New Roman" w:hAnsi="Times New Roman"/>
          <w:noProof/>
          <w:sz w:val="18"/>
          <w:szCs w:val="18"/>
          <w:lang w:bidi="ar-SA"/>
        </w:rPr>
        <w:t xml:space="preserve"> </w:t>
      </w:r>
      <w:r w:rsidR="00060413">
        <w:rPr>
          <w:rFonts w:ascii="Times New Roman" w:hAnsi="Times New Roman"/>
          <w:noProof/>
          <w:sz w:val="18"/>
          <w:szCs w:val="18"/>
          <w:lang w:bidi="ar-SA"/>
        </w:rPr>
        <w:t>June</w:t>
      </w:r>
      <w:r>
        <w:rPr>
          <w:rFonts w:ascii="Times New Roman" w:hAnsi="Times New Roman"/>
          <w:noProof/>
          <w:sz w:val="18"/>
          <w:szCs w:val="18"/>
          <w:lang w:bidi="ar-SA"/>
        </w:rPr>
        <w:t xml:space="preserve">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01131512" w:rsidR="00C42066" w:rsidRPr="0050604E" w:rsidRDefault="006768E9" w:rsidP="0050604E">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424F0E3B" w14:textId="77777777" w:rsidR="0050604E" w:rsidRPr="00A60C53" w:rsidRDefault="0050604E" w:rsidP="0050604E">
      <w:pPr>
        <w:pStyle w:val="BodyText"/>
        <w:spacing w:line="276" w:lineRule="auto"/>
        <w:jc w:val="both"/>
        <w:rPr>
          <w:color w:val="000000" w:themeColor="text1"/>
          <w:sz w:val="18"/>
        </w:rPr>
      </w:pPr>
      <w:r w:rsidRPr="00A60C53">
        <w:rPr>
          <w:color w:val="000000" w:themeColor="text1"/>
          <w:sz w:val="18"/>
        </w:rPr>
        <w:t>Majority</w:t>
      </w:r>
      <w:r>
        <w:rPr>
          <w:color w:val="000000" w:themeColor="text1"/>
          <w:sz w:val="18"/>
        </w:rPr>
        <w:t xml:space="preserve"> </w:t>
      </w:r>
      <w:r w:rsidRPr="00A60C53">
        <w:rPr>
          <w:color w:val="000000" w:themeColor="text1"/>
          <w:sz w:val="18"/>
        </w:rPr>
        <w:t xml:space="preserve">of </w:t>
      </w:r>
      <w:r>
        <w:rPr>
          <w:color w:val="000000" w:themeColor="text1"/>
          <w:sz w:val="18"/>
        </w:rPr>
        <w:t xml:space="preserve">the </w:t>
      </w:r>
      <w:r w:rsidRPr="00A60C53">
        <w:rPr>
          <w:color w:val="000000" w:themeColor="text1"/>
          <w:sz w:val="18"/>
        </w:rPr>
        <w:t>polyurethane–urea</w:t>
      </w:r>
      <w:r>
        <w:rPr>
          <w:color w:val="000000" w:themeColor="text1"/>
          <w:sz w:val="18"/>
        </w:rPr>
        <w:t xml:space="preserve"> </w:t>
      </w:r>
      <w:r w:rsidRPr="00794BB0">
        <w:rPr>
          <w:sz w:val="18"/>
          <w:szCs w:val="24"/>
        </w:rPr>
        <w:t>(PUU)</w:t>
      </w:r>
      <w:r w:rsidRPr="00794BB0">
        <w:rPr>
          <w:color w:val="000000" w:themeColor="text1"/>
          <w:sz w:val="12"/>
        </w:rPr>
        <w:t xml:space="preserve"> </w:t>
      </w:r>
      <w:r w:rsidRPr="00A60C53">
        <w:rPr>
          <w:color w:val="000000" w:themeColor="text1"/>
          <w:sz w:val="18"/>
        </w:rPr>
        <w:t xml:space="preserve">foam is made from petroleum raw materials. Concerns regarding the loss of petroleum resources promote the environmentally sustainable manufacture of foam. The production of PUU foam synthesis from natural materials and waste composites was then developed. </w:t>
      </w:r>
      <w:r>
        <w:rPr>
          <w:color w:val="000000" w:themeColor="text1"/>
          <w:sz w:val="18"/>
        </w:rPr>
        <w:t xml:space="preserve">The </w:t>
      </w:r>
      <w:r w:rsidRPr="00A60C53">
        <w:rPr>
          <w:color w:val="000000" w:themeColor="text1"/>
          <w:sz w:val="18"/>
        </w:rPr>
        <w:t>PUU/</w:t>
      </w:r>
      <w:r>
        <w:rPr>
          <w:color w:val="000000" w:themeColor="text1"/>
          <w:sz w:val="18"/>
        </w:rPr>
        <w:t xml:space="preserve">industrial plywood sawdust waste (IPSW) </w:t>
      </w:r>
      <w:r w:rsidRPr="00A60C53">
        <w:rPr>
          <w:color w:val="000000" w:themeColor="text1"/>
          <w:sz w:val="18"/>
        </w:rPr>
        <w:t xml:space="preserve">biofoam was synthesized from a mixture of </w:t>
      </w:r>
      <w:r>
        <w:rPr>
          <w:color w:val="000000" w:themeColor="text1"/>
          <w:sz w:val="18"/>
        </w:rPr>
        <w:t>polyethylene glycol (</w:t>
      </w:r>
      <w:r w:rsidRPr="00A60C53">
        <w:rPr>
          <w:color w:val="000000" w:themeColor="text1"/>
          <w:sz w:val="18"/>
        </w:rPr>
        <w:t>PEG</w:t>
      </w:r>
      <w:r>
        <w:rPr>
          <w:color w:val="000000" w:themeColor="text1"/>
          <w:sz w:val="18"/>
        </w:rPr>
        <w:t>), methylene diisocyanate (</w:t>
      </w:r>
      <w:r w:rsidRPr="00A60C53">
        <w:rPr>
          <w:color w:val="000000" w:themeColor="text1"/>
          <w:sz w:val="18"/>
        </w:rPr>
        <w:t>MDI</w:t>
      </w:r>
      <w:r>
        <w:rPr>
          <w:color w:val="000000" w:themeColor="text1"/>
          <w:sz w:val="18"/>
        </w:rPr>
        <w:t>)</w:t>
      </w:r>
      <w:r w:rsidRPr="00A60C53">
        <w:rPr>
          <w:color w:val="000000" w:themeColor="text1"/>
          <w:sz w:val="18"/>
        </w:rPr>
        <w:t>,</w:t>
      </w:r>
      <w:r>
        <w:rPr>
          <w:color w:val="000000" w:themeColor="text1"/>
          <w:sz w:val="18"/>
        </w:rPr>
        <w:t xml:space="preserve"> ethylenediamine (</w:t>
      </w:r>
      <w:r w:rsidRPr="00A60C53">
        <w:rPr>
          <w:color w:val="000000" w:themeColor="text1"/>
          <w:sz w:val="18"/>
        </w:rPr>
        <w:t>EDA</w:t>
      </w:r>
      <w:r>
        <w:rPr>
          <w:color w:val="000000" w:themeColor="text1"/>
          <w:sz w:val="18"/>
        </w:rPr>
        <w:t>)</w:t>
      </w:r>
      <w:r w:rsidRPr="00A60C53">
        <w:rPr>
          <w:color w:val="000000" w:themeColor="text1"/>
          <w:sz w:val="18"/>
        </w:rPr>
        <w:t xml:space="preserve">, </w:t>
      </w:r>
      <w:r>
        <w:rPr>
          <w:color w:val="000000" w:themeColor="text1"/>
          <w:sz w:val="18"/>
        </w:rPr>
        <w:t>maleic anhydrate (</w:t>
      </w:r>
      <w:r w:rsidRPr="00A60C53">
        <w:rPr>
          <w:color w:val="000000" w:themeColor="text1"/>
          <w:sz w:val="18"/>
        </w:rPr>
        <w:t>MAH</w:t>
      </w:r>
      <w:r>
        <w:rPr>
          <w:color w:val="000000" w:themeColor="text1"/>
          <w:sz w:val="18"/>
        </w:rPr>
        <w:t>)</w:t>
      </w:r>
      <w:r w:rsidRPr="00A60C53">
        <w:rPr>
          <w:color w:val="000000" w:themeColor="text1"/>
          <w:sz w:val="18"/>
        </w:rPr>
        <w:t>, and</w:t>
      </w:r>
      <w:r>
        <w:rPr>
          <w:color w:val="000000" w:themeColor="text1"/>
          <w:sz w:val="18"/>
        </w:rPr>
        <w:t xml:space="preserve"> </w:t>
      </w:r>
      <w:r w:rsidRPr="00A60C53">
        <w:rPr>
          <w:color w:val="000000" w:themeColor="text1"/>
          <w:sz w:val="18"/>
        </w:rPr>
        <w:t xml:space="preserve">IPSW by using a one-shot method. 5% IPSW was applied to the composition of the synthesized biofoam and the MDI ratio was increased. Fourier Transform Infrared Spectroscopy (FTIR) was used to </w:t>
      </w:r>
      <w:r w:rsidRPr="00166541">
        <w:rPr>
          <w:sz w:val="18"/>
          <w:szCs w:val="24"/>
        </w:rPr>
        <w:t>identify functional groups</w:t>
      </w:r>
      <w:r w:rsidRPr="00B1101F">
        <w:rPr>
          <w:rFonts w:ascii="Cambria" w:hAnsi="Cambria"/>
          <w:sz w:val="24"/>
          <w:szCs w:val="24"/>
        </w:rPr>
        <w:t xml:space="preserve"> </w:t>
      </w:r>
      <w:r w:rsidRPr="00A60C53">
        <w:rPr>
          <w:color w:val="000000" w:themeColor="text1"/>
          <w:sz w:val="18"/>
        </w:rPr>
        <w:t xml:space="preserve">of biofoam. The pore morphology of the biofoam was observed </w:t>
      </w:r>
      <w:r>
        <w:rPr>
          <w:color w:val="000000" w:themeColor="text1"/>
          <w:sz w:val="18"/>
        </w:rPr>
        <w:t xml:space="preserve">with </w:t>
      </w:r>
      <w:r w:rsidRPr="00A60C53">
        <w:rPr>
          <w:color w:val="000000" w:themeColor="text1"/>
          <w:sz w:val="18"/>
        </w:rPr>
        <w:t xml:space="preserve">Microscope Camera and </w:t>
      </w:r>
      <w:r>
        <w:rPr>
          <w:color w:val="000000" w:themeColor="text1"/>
          <w:sz w:val="18"/>
        </w:rPr>
        <w:t>Scanning Electron Microscopy (</w:t>
      </w:r>
      <w:r w:rsidRPr="00A60C53">
        <w:rPr>
          <w:color w:val="000000" w:themeColor="text1"/>
          <w:sz w:val="18"/>
        </w:rPr>
        <w:t>SEM</w:t>
      </w:r>
      <w:r>
        <w:rPr>
          <w:color w:val="000000" w:themeColor="text1"/>
          <w:sz w:val="18"/>
        </w:rPr>
        <w:t>), the thermal</w:t>
      </w:r>
      <w:r w:rsidRPr="00A60C53">
        <w:rPr>
          <w:color w:val="000000" w:themeColor="text1"/>
          <w:sz w:val="18"/>
        </w:rPr>
        <w:t xml:space="preserve"> </w:t>
      </w:r>
      <w:r>
        <w:rPr>
          <w:color w:val="000000" w:themeColor="text1"/>
          <w:sz w:val="18"/>
        </w:rPr>
        <w:t>ability was measured with Thermogravimetric Analysis (</w:t>
      </w:r>
      <w:r w:rsidRPr="00A60C53">
        <w:rPr>
          <w:color w:val="000000" w:themeColor="text1"/>
          <w:sz w:val="18"/>
        </w:rPr>
        <w:t>TGA</w:t>
      </w:r>
      <w:r>
        <w:rPr>
          <w:color w:val="000000" w:themeColor="text1"/>
          <w:sz w:val="18"/>
        </w:rPr>
        <w:t xml:space="preserve">), </w:t>
      </w:r>
      <w:r w:rsidRPr="00A60C53">
        <w:rPr>
          <w:color w:val="000000" w:themeColor="text1"/>
          <w:sz w:val="18"/>
        </w:rPr>
        <w:t xml:space="preserve">and the </w:t>
      </w:r>
      <w:r>
        <w:rPr>
          <w:color w:val="000000" w:themeColor="text1"/>
          <w:sz w:val="18"/>
        </w:rPr>
        <w:t xml:space="preserve">sound absorption </w:t>
      </w:r>
      <w:r w:rsidRPr="00A60C53">
        <w:rPr>
          <w:color w:val="000000" w:themeColor="text1"/>
          <w:sz w:val="18"/>
        </w:rPr>
        <w:t xml:space="preserve">ability was measured </w:t>
      </w:r>
      <w:r>
        <w:rPr>
          <w:color w:val="000000" w:themeColor="text1"/>
          <w:sz w:val="18"/>
        </w:rPr>
        <w:t xml:space="preserve">by </w:t>
      </w:r>
      <w:r w:rsidRPr="00A60C53">
        <w:rPr>
          <w:color w:val="000000" w:themeColor="text1"/>
          <w:sz w:val="18"/>
        </w:rPr>
        <w:t xml:space="preserve">using a two-microphone impedance tube according to the ASTM E-1050 standard. Based on FTIR spectra identification, </w:t>
      </w:r>
      <w:r>
        <w:rPr>
          <w:color w:val="000000" w:themeColor="text1"/>
          <w:sz w:val="18"/>
        </w:rPr>
        <w:t xml:space="preserve">the </w:t>
      </w:r>
      <w:r w:rsidRPr="00A60C53">
        <w:rPr>
          <w:color w:val="000000" w:themeColor="text1"/>
          <w:sz w:val="18"/>
        </w:rPr>
        <w:t>biofoam contains OH, CH, CO</w:t>
      </w:r>
      <w:r>
        <w:rPr>
          <w:color w:val="000000" w:themeColor="text1"/>
          <w:sz w:val="18"/>
        </w:rPr>
        <w:t>,</w:t>
      </w:r>
      <w:r w:rsidRPr="00A60C53">
        <w:rPr>
          <w:color w:val="000000" w:themeColor="text1"/>
          <w:sz w:val="18"/>
        </w:rPr>
        <w:t xml:space="preserve"> and NH chemical groups. The results reveal that </w:t>
      </w:r>
      <w:r>
        <w:rPr>
          <w:color w:val="000000" w:themeColor="text1"/>
          <w:sz w:val="18"/>
        </w:rPr>
        <w:t xml:space="preserve">the </w:t>
      </w:r>
      <w:r w:rsidRPr="00A60C53">
        <w:rPr>
          <w:color w:val="000000" w:themeColor="text1"/>
          <w:sz w:val="18"/>
        </w:rPr>
        <w:t>PUU/IPSW biofoam ha</w:t>
      </w:r>
      <w:r>
        <w:rPr>
          <w:color w:val="000000" w:themeColor="text1"/>
          <w:sz w:val="18"/>
        </w:rPr>
        <w:t>d</w:t>
      </w:r>
      <w:r w:rsidRPr="00A60C53">
        <w:rPr>
          <w:color w:val="000000" w:themeColor="text1"/>
          <w:sz w:val="18"/>
        </w:rPr>
        <w:t xml:space="preserve"> intermediate macropore morphology (closed and open cells), thermal resistance above 120</w:t>
      </w:r>
      <w:r w:rsidRPr="00A60C53">
        <w:rPr>
          <w:color w:val="000000" w:themeColor="text1"/>
          <w:sz w:val="18"/>
          <w:vertAlign w:val="superscript"/>
        </w:rPr>
        <w:t>o</w:t>
      </w:r>
      <w:r w:rsidRPr="00A60C53">
        <w:rPr>
          <w:color w:val="000000" w:themeColor="text1"/>
          <w:sz w:val="18"/>
        </w:rPr>
        <w:t xml:space="preserve">C, and </w:t>
      </w:r>
      <w:r>
        <w:rPr>
          <w:color w:val="000000" w:themeColor="text1"/>
          <w:sz w:val="18"/>
        </w:rPr>
        <w:t>potential materials as sound-absorbing</w:t>
      </w:r>
      <w:r w:rsidRPr="00A60C53">
        <w:rPr>
          <w:color w:val="000000" w:themeColor="text1"/>
          <w:sz w:val="18"/>
        </w:rPr>
        <w:t>.</w:t>
      </w:r>
      <w:r>
        <w:rPr>
          <w:color w:val="000000" w:themeColor="text1"/>
          <w:sz w:val="18"/>
        </w:rPr>
        <w:t xml:space="preserve"> The improvement in the biofoam properties upon the addition of organic filler shows that the biofoam is promotable as renewable material. This study suggests better formulation design to enhance the biofoam property performance.</w:t>
      </w:r>
    </w:p>
    <w:p w14:paraId="6DE1B8BC" w14:textId="77777777" w:rsidR="0050604E" w:rsidRPr="009C4E07" w:rsidRDefault="0050604E" w:rsidP="0050604E">
      <w:pPr>
        <w:spacing w:after="0"/>
        <w:jc w:val="both"/>
        <w:outlineLvl w:val="0"/>
        <w:rPr>
          <w:rFonts w:ascii="Times New Roman" w:hAnsi="Times New Roman"/>
          <w:sz w:val="18"/>
          <w:szCs w:val="18"/>
        </w:rPr>
      </w:pPr>
    </w:p>
    <w:p w14:paraId="0778F332" w14:textId="77777777" w:rsidR="0050604E" w:rsidRPr="00001D81" w:rsidRDefault="0050604E" w:rsidP="0050604E">
      <w:pPr>
        <w:spacing w:after="0"/>
        <w:jc w:val="both"/>
        <w:outlineLvl w:val="0"/>
        <w:rPr>
          <w:rFonts w:ascii="Times New Roman" w:hAnsi="Times New Roman"/>
          <w:color w:val="548DD4" w:themeColor="text2" w:themeTint="99"/>
        </w:rPr>
      </w:pPr>
      <w:r w:rsidRPr="009C4E07">
        <w:rPr>
          <w:rFonts w:ascii="Times New Roman" w:hAnsi="Times New Roman"/>
          <w:b/>
          <w:sz w:val="18"/>
          <w:szCs w:val="18"/>
        </w:rPr>
        <w:t>Keywords</w:t>
      </w:r>
      <w:r w:rsidRPr="006B6D5F">
        <w:rPr>
          <w:rFonts w:ascii="Times New Roman" w:hAnsi="Times New Roman"/>
          <w:b/>
          <w:bCs/>
          <w:sz w:val="18"/>
          <w:szCs w:val="18"/>
        </w:rPr>
        <w:t>:</w:t>
      </w:r>
      <w:r>
        <w:rPr>
          <w:rFonts w:ascii="Times New Roman" w:hAnsi="Times New Roman"/>
        </w:rPr>
        <w:t xml:space="preserve">  </w:t>
      </w:r>
      <w:r w:rsidRPr="00012DCE">
        <w:rPr>
          <w:rFonts w:ascii="Times New Roman" w:hAnsi="Times New Roman"/>
          <w:color w:val="000000" w:themeColor="text1"/>
          <w:sz w:val="18"/>
          <w:szCs w:val="18"/>
        </w:rPr>
        <w:t>acoustics, polyurethane-urea foam, sawdust, s</w:t>
      </w:r>
      <w:r>
        <w:rPr>
          <w:rFonts w:ascii="Times New Roman" w:hAnsi="Times New Roman"/>
          <w:color w:val="000000" w:themeColor="text1"/>
          <w:sz w:val="18"/>
          <w:szCs w:val="18"/>
        </w:rPr>
        <w:t>canning electron microscopy</w:t>
      </w:r>
      <w:r w:rsidRPr="00012DCE">
        <w:rPr>
          <w:rFonts w:ascii="Times New Roman" w:hAnsi="Times New Roman"/>
          <w:color w:val="000000" w:themeColor="text1"/>
          <w:sz w:val="18"/>
          <w:szCs w:val="18"/>
        </w:rPr>
        <w:t>, t</w:t>
      </w:r>
      <w:r>
        <w:rPr>
          <w:rFonts w:ascii="Times New Roman" w:hAnsi="Times New Roman"/>
          <w:color w:val="000000" w:themeColor="text1"/>
          <w:sz w:val="18"/>
          <w:szCs w:val="18"/>
        </w:rPr>
        <w:t>hermogravimetric analysis</w:t>
      </w:r>
      <w:r w:rsidRPr="00001D81">
        <w:rPr>
          <w:rFonts w:ascii="Times New Roman" w:hAnsi="Times New Roman"/>
          <w:b/>
          <w:color w:val="548DD4" w:themeColor="text2" w:themeTint="99"/>
        </w:rPr>
        <w:t xml:space="preserve"> </w:t>
      </w:r>
    </w:p>
    <w:p w14:paraId="4616720C" w14:textId="77777777" w:rsidR="0050604E" w:rsidRPr="009C4E07" w:rsidRDefault="0050604E" w:rsidP="0050604E">
      <w:pPr>
        <w:spacing w:after="0"/>
        <w:jc w:val="center"/>
        <w:outlineLvl w:val="0"/>
        <w:rPr>
          <w:rFonts w:ascii="Times New Roman" w:hAnsi="Times New Roman"/>
          <w:b/>
          <w:color w:val="548DD4" w:themeColor="text2" w:themeTint="99"/>
          <w:sz w:val="18"/>
          <w:szCs w:val="18"/>
        </w:rPr>
      </w:pPr>
    </w:p>
    <w:p w14:paraId="662208A1" w14:textId="77777777" w:rsidR="0050604E" w:rsidRPr="006B6D5F" w:rsidRDefault="0050604E" w:rsidP="0050604E">
      <w:pPr>
        <w:spacing w:after="0"/>
        <w:jc w:val="center"/>
        <w:outlineLvl w:val="0"/>
        <w:rPr>
          <w:rFonts w:ascii="Times New Roman" w:hAnsi="Times New Roman"/>
          <w:b/>
          <w:noProof/>
          <w:sz w:val="18"/>
          <w:szCs w:val="18"/>
          <w:lang w:val="ms-MY"/>
        </w:rPr>
      </w:pPr>
      <w:r w:rsidRPr="006B6D5F">
        <w:rPr>
          <w:rFonts w:ascii="Times New Roman" w:hAnsi="Times New Roman"/>
          <w:b/>
          <w:noProof/>
          <w:sz w:val="18"/>
          <w:szCs w:val="18"/>
          <w:lang w:val="ms-MY"/>
        </w:rPr>
        <w:t>Abstrak</w:t>
      </w:r>
    </w:p>
    <w:p w14:paraId="42B1F343" w14:textId="77777777" w:rsidR="0050604E" w:rsidRPr="006B6D5F" w:rsidRDefault="0050604E" w:rsidP="0050604E">
      <w:pPr>
        <w:spacing w:after="0"/>
        <w:jc w:val="both"/>
        <w:outlineLvl w:val="0"/>
        <w:rPr>
          <w:rFonts w:ascii="Times New Roman" w:hAnsi="Times New Roman"/>
          <w:noProof/>
          <w:color w:val="000000" w:themeColor="text1"/>
          <w:sz w:val="18"/>
          <w:szCs w:val="18"/>
          <w:lang w:val="ms-MY"/>
        </w:rPr>
      </w:pPr>
      <w:r w:rsidRPr="006B6D5F">
        <w:rPr>
          <w:rFonts w:ascii="Times New Roman" w:hAnsi="Times New Roman"/>
          <w:noProof/>
          <w:sz w:val="18"/>
          <w:szCs w:val="18"/>
          <w:lang w:val="ms-MY"/>
        </w:rPr>
        <w:t>Kebanyakan busa poliuretan-urea (PUU)</w:t>
      </w:r>
      <w:r w:rsidRPr="006B6D5F">
        <w:rPr>
          <w:rFonts w:ascii="Times New Roman" w:hAnsi="Times New Roman"/>
          <w:noProof/>
          <w:color w:val="000000" w:themeColor="text1"/>
          <w:sz w:val="18"/>
          <w:szCs w:val="18"/>
          <w:lang w:val="ms-MY"/>
        </w:rPr>
        <w:t xml:space="preserve"> </w:t>
      </w:r>
      <w:r w:rsidRPr="006B6D5F">
        <w:rPr>
          <w:rFonts w:ascii="Times New Roman" w:hAnsi="Times New Roman"/>
          <w:noProof/>
          <w:sz w:val="18"/>
          <w:szCs w:val="18"/>
          <w:lang w:val="ms-MY"/>
        </w:rPr>
        <w:t xml:space="preserve">diperbuat daripada bahan mentah petroleum. Kebimbangan mengenai kehilangan sumber petroleum menggalakkan pembuatan busa yang mampan secara alam sekitar. Penghasilan sintesis busa PUU daripada bahan alam  dan komposit sisa telah dibangunkan. Busa PUU telah disintesis daripada campuran polietilen glikol </w:t>
      </w:r>
      <w:r w:rsidRPr="006B6D5F">
        <w:rPr>
          <w:rFonts w:ascii="Times New Roman" w:hAnsi="Times New Roman"/>
          <w:noProof/>
          <w:color w:val="000000" w:themeColor="text1"/>
          <w:sz w:val="18"/>
          <w:szCs w:val="18"/>
          <w:lang w:val="ms-MY"/>
        </w:rPr>
        <w:t xml:space="preserve">(PEG), metilen diisosianat (MDI),  </w:t>
      </w:r>
      <w:r w:rsidRPr="006B6D5F">
        <w:rPr>
          <w:rFonts w:ascii="Times New Roman" w:hAnsi="Times New Roman"/>
          <w:noProof/>
          <w:sz w:val="18"/>
          <w:szCs w:val="18"/>
          <w:lang w:val="ms-MY"/>
        </w:rPr>
        <w:t xml:space="preserve">etilen diamin </w:t>
      </w:r>
      <w:r w:rsidRPr="006B6D5F">
        <w:rPr>
          <w:rFonts w:ascii="Times New Roman" w:hAnsi="Times New Roman"/>
          <w:noProof/>
          <w:color w:val="000000" w:themeColor="text1"/>
          <w:sz w:val="18"/>
          <w:szCs w:val="18"/>
          <w:lang w:val="ms-MY"/>
        </w:rPr>
        <w:t xml:space="preserve">(EDA), </w:t>
      </w:r>
      <w:r w:rsidRPr="006B6D5F">
        <w:rPr>
          <w:rFonts w:ascii="Times New Roman" w:hAnsi="Times New Roman"/>
          <w:noProof/>
          <w:sz w:val="18"/>
          <w:szCs w:val="18"/>
          <w:lang w:val="ms-MY"/>
        </w:rPr>
        <w:t xml:space="preserve"> maleat anhidrat </w:t>
      </w:r>
      <w:r w:rsidRPr="006B6D5F">
        <w:rPr>
          <w:rFonts w:ascii="Times New Roman" w:hAnsi="Times New Roman"/>
          <w:noProof/>
          <w:color w:val="000000" w:themeColor="text1"/>
          <w:sz w:val="18"/>
          <w:szCs w:val="18"/>
          <w:lang w:val="ms-MY"/>
        </w:rPr>
        <w:t xml:space="preserve">(MAH), </w:t>
      </w:r>
      <w:r w:rsidRPr="006B6D5F">
        <w:rPr>
          <w:rFonts w:ascii="Times New Roman" w:hAnsi="Times New Roman"/>
          <w:noProof/>
          <w:sz w:val="18"/>
          <w:szCs w:val="18"/>
          <w:lang w:val="ms-MY"/>
        </w:rPr>
        <w:t xml:space="preserve">dan sisa habuk papan industri kayu lapis </w:t>
      </w:r>
      <w:r w:rsidRPr="006B6D5F">
        <w:rPr>
          <w:rFonts w:ascii="Times New Roman" w:hAnsi="Times New Roman"/>
          <w:noProof/>
          <w:color w:val="000000" w:themeColor="text1"/>
          <w:sz w:val="18"/>
          <w:szCs w:val="18"/>
          <w:lang w:val="ms-MY"/>
        </w:rPr>
        <w:t xml:space="preserve">(IPSW) </w:t>
      </w:r>
      <w:r w:rsidRPr="006B6D5F">
        <w:rPr>
          <w:rFonts w:ascii="Times New Roman" w:hAnsi="Times New Roman"/>
          <w:noProof/>
          <w:sz w:val="18"/>
          <w:szCs w:val="18"/>
          <w:lang w:val="ms-MY"/>
        </w:rPr>
        <w:t>dengan menggunakan kaedah satu pukulan. Lima per</w:t>
      </w:r>
      <w:r>
        <w:rPr>
          <w:rFonts w:ascii="Times New Roman" w:hAnsi="Times New Roman"/>
          <w:noProof/>
          <w:sz w:val="18"/>
          <w:szCs w:val="18"/>
          <w:lang w:val="ms-MY"/>
        </w:rPr>
        <w:t>atus</w:t>
      </w:r>
      <w:r w:rsidRPr="006B6D5F">
        <w:rPr>
          <w:rFonts w:ascii="Times New Roman" w:hAnsi="Times New Roman"/>
          <w:noProof/>
          <w:sz w:val="18"/>
          <w:szCs w:val="18"/>
          <w:lang w:val="ms-MY"/>
        </w:rPr>
        <w:t xml:space="preserve"> IPSW telah digunakan pada komposisi biofoam tersintesis dan nisbah MDI </w:t>
      </w:r>
      <w:r w:rsidRPr="006B6D5F">
        <w:rPr>
          <w:rFonts w:ascii="Times New Roman" w:hAnsi="Times New Roman"/>
          <w:noProof/>
          <w:sz w:val="18"/>
          <w:szCs w:val="18"/>
          <w:lang w:val="ms-MY"/>
        </w:rPr>
        <w:lastRenderedPageBreak/>
        <w:t xml:space="preserve">telah meningkat. Spektroskopi Infra-Merah Transformasi Fourier </w:t>
      </w:r>
      <w:r w:rsidRPr="006B6D5F">
        <w:rPr>
          <w:rFonts w:ascii="Times New Roman" w:hAnsi="Times New Roman"/>
          <w:noProof/>
          <w:color w:val="000000" w:themeColor="text1"/>
          <w:sz w:val="18"/>
          <w:szCs w:val="18"/>
          <w:lang w:val="ms-MY"/>
        </w:rPr>
        <w:t>(FTIR) digunakan untuk mengenal pasti struktur biofoam. Morfologi liang biofoam diperhatikan menggunakan mikroskop kamera dan SEM, TGA untuk pengukuran haba, dan keupayaan biofoam untuk menyerap bunyi diukur menggunakan tabung impedansi dua mikrofon mengikuti standar ASTM E-1050. Berdasarkan pengenalpastian spe</w:t>
      </w:r>
      <w:r>
        <w:rPr>
          <w:rFonts w:ascii="Times New Roman" w:hAnsi="Times New Roman"/>
          <w:noProof/>
          <w:color w:val="000000" w:themeColor="text1"/>
          <w:sz w:val="18"/>
          <w:szCs w:val="18"/>
          <w:lang w:val="ms-MY"/>
        </w:rPr>
        <w:t>k</w:t>
      </w:r>
      <w:r w:rsidRPr="006B6D5F">
        <w:rPr>
          <w:rFonts w:ascii="Times New Roman" w:hAnsi="Times New Roman"/>
          <w:noProof/>
          <w:color w:val="000000" w:themeColor="text1"/>
          <w:sz w:val="18"/>
          <w:szCs w:val="18"/>
          <w:lang w:val="ms-MY"/>
        </w:rPr>
        <w:t>trum FTIR, biofoam mengandungi kumpulan kimia OH, CH, CO, dan NH. Keputusan menunjukkan bah</w:t>
      </w:r>
      <w:r>
        <w:rPr>
          <w:rFonts w:ascii="Times New Roman" w:hAnsi="Times New Roman"/>
          <w:noProof/>
          <w:color w:val="000000" w:themeColor="text1"/>
          <w:sz w:val="18"/>
          <w:szCs w:val="18"/>
          <w:lang w:val="ms-MY"/>
        </w:rPr>
        <w:t>a</w:t>
      </w:r>
      <w:r w:rsidRPr="006B6D5F">
        <w:rPr>
          <w:rFonts w:ascii="Times New Roman" w:hAnsi="Times New Roman"/>
          <w:noProof/>
          <w:color w:val="000000" w:themeColor="text1"/>
          <w:sz w:val="18"/>
          <w:szCs w:val="18"/>
          <w:lang w:val="ms-MY"/>
        </w:rPr>
        <w:t>wa biofoam PUU/IPSW mempunyai morfologi makropori perantaraan (sel tertutup dan sel terbuka), rintangan haba melebihi 120</w:t>
      </w:r>
      <w:r w:rsidRPr="006B6D5F">
        <w:rPr>
          <w:rFonts w:ascii="Times New Roman" w:hAnsi="Times New Roman"/>
          <w:noProof/>
          <w:color w:val="000000" w:themeColor="text1"/>
          <w:sz w:val="18"/>
          <w:szCs w:val="18"/>
          <w:vertAlign w:val="superscript"/>
          <w:lang w:val="ms-MY"/>
        </w:rPr>
        <w:t xml:space="preserve"> o</w:t>
      </w:r>
      <w:r w:rsidRPr="006B6D5F">
        <w:rPr>
          <w:rFonts w:ascii="Times New Roman" w:hAnsi="Times New Roman"/>
          <w:noProof/>
          <w:color w:val="000000" w:themeColor="text1"/>
          <w:sz w:val="18"/>
          <w:szCs w:val="18"/>
          <w:lang w:val="ms-MY"/>
        </w:rPr>
        <w:t>C, dan berpotensi menjadi bahan penyerapan bunyi. Kemajuan kinerja ketika ditambahkan pengisi organik menunjukkan bah</w:t>
      </w:r>
      <w:r>
        <w:rPr>
          <w:rFonts w:ascii="Times New Roman" w:hAnsi="Times New Roman"/>
          <w:noProof/>
          <w:color w:val="000000" w:themeColor="text1"/>
          <w:sz w:val="18"/>
          <w:szCs w:val="18"/>
          <w:lang w:val="ms-MY"/>
        </w:rPr>
        <w:t>a</w:t>
      </w:r>
      <w:r w:rsidRPr="006B6D5F">
        <w:rPr>
          <w:rFonts w:ascii="Times New Roman" w:hAnsi="Times New Roman"/>
          <w:noProof/>
          <w:color w:val="000000" w:themeColor="text1"/>
          <w:sz w:val="18"/>
          <w:szCs w:val="18"/>
          <w:lang w:val="ms-MY"/>
        </w:rPr>
        <w:t xml:space="preserve">wa ini dapat dipromosikan sebagai bahan terbarukan. Studi ini menyarankan agar membuat formulasi yang lebih baik untuk meningkatkan </w:t>
      </w:r>
      <w:r>
        <w:rPr>
          <w:rFonts w:ascii="Times New Roman" w:hAnsi="Times New Roman"/>
          <w:noProof/>
          <w:color w:val="000000" w:themeColor="text1"/>
          <w:sz w:val="18"/>
          <w:szCs w:val="18"/>
          <w:lang w:val="ms-MY"/>
        </w:rPr>
        <w:t>prestasinya</w:t>
      </w:r>
      <w:r w:rsidRPr="006B6D5F">
        <w:rPr>
          <w:rFonts w:ascii="Times New Roman" w:hAnsi="Times New Roman"/>
          <w:noProof/>
          <w:color w:val="000000" w:themeColor="text1"/>
          <w:sz w:val="18"/>
          <w:szCs w:val="18"/>
          <w:lang w:val="ms-MY"/>
        </w:rPr>
        <w:t>.</w:t>
      </w:r>
    </w:p>
    <w:p w14:paraId="3FCE24F6" w14:textId="77777777" w:rsidR="0050604E" w:rsidRPr="006B6D5F" w:rsidRDefault="0050604E" w:rsidP="0050604E">
      <w:pPr>
        <w:spacing w:after="0"/>
        <w:jc w:val="both"/>
        <w:outlineLvl w:val="0"/>
        <w:rPr>
          <w:rFonts w:ascii="Times New Roman" w:hAnsi="Times New Roman"/>
          <w:noProof/>
          <w:sz w:val="18"/>
          <w:szCs w:val="18"/>
          <w:lang w:val="ms-MY"/>
        </w:rPr>
      </w:pPr>
    </w:p>
    <w:p w14:paraId="626CC01D" w14:textId="77777777" w:rsidR="0050604E" w:rsidRPr="006B6D5F" w:rsidRDefault="0050604E" w:rsidP="0050604E">
      <w:pPr>
        <w:spacing w:after="0"/>
        <w:jc w:val="both"/>
        <w:outlineLvl w:val="0"/>
        <w:rPr>
          <w:rFonts w:ascii="Times New Roman" w:hAnsi="Times New Roman"/>
          <w:b/>
          <w:noProof/>
          <w:color w:val="548DD4" w:themeColor="text2" w:themeTint="99"/>
          <w:sz w:val="18"/>
          <w:szCs w:val="18"/>
          <w:lang w:val="ms-MY"/>
        </w:rPr>
      </w:pPr>
      <w:r w:rsidRPr="006B6D5F">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6B6D5F">
        <w:rPr>
          <w:rFonts w:ascii="Times New Roman" w:hAnsi="Times New Roman"/>
          <w:noProof/>
          <w:sz w:val="18"/>
          <w:szCs w:val="18"/>
          <w:lang w:val="ms-MY"/>
        </w:rPr>
        <w:t xml:space="preserve">akustik, busa poliuretan-urea, habuk papan, </w:t>
      </w:r>
      <w:r>
        <w:rPr>
          <w:rFonts w:ascii="Times New Roman" w:hAnsi="Times New Roman"/>
          <w:noProof/>
          <w:sz w:val="18"/>
          <w:szCs w:val="18"/>
          <w:lang w:val="ms-MY"/>
        </w:rPr>
        <w:t>mikroskopi imbasan elektron, analisis termogravimetrik</w:t>
      </w:r>
      <w:r w:rsidRPr="006B6D5F">
        <w:rPr>
          <w:rFonts w:ascii="Times New Roman" w:hAnsi="Times New Roman"/>
          <w:b/>
          <w:noProof/>
          <w:color w:val="548DD4" w:themeColor="text2" w:themeTint="99"/>
          <w:sz w:val="18"/>
          <w:szCs w:val="18"/>
          <w:lang w:val="ms-MY"/>
        </w:rPr>
        <w:t xml:space="preserve"> </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6D76626F" w14:textId="77777777" w:rsidR="00F13162" w:rsidRDefault="00F13162" w:rsidP="00383C16">
      <w:pPr>
        <w:spacing w:after="0"/>
        <w:jc w:val="center"/>
        <w:rPr>
          <w:rFonts w:ascii="Times New Roman" w:hAnsi="Times New Roman"/>
          <w:b/>
          <w:noProof/>
          <w:sz w:val="20"/>
          <w:szCs w:val="20"/>
          <w:lang w:bidi="ar-SA"/>
        </w:rPr>
        <w:sectPr w:rsidR="00F13162" w:rsidSect="00C13E38">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4C842701"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Population growth and rapid transportation progress have led to environmental problems in the community, including noise pollution. The effects are severe for those who have been exposed, both physically and mentally. This condition can be regulated by using sound-absorbing materials. There are two types of sound-absorbing materials: resonant and porous sound-absorbing materials. The morphology of the latter is made up of channels, gaps, and holes that allow sound waves to pass through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absorption","type":"article","volume":"10"},"uris":["http://www.mendeley.com/documents/?uuid=d94bb9e0-8103-3a72-9b73-c6eacfa9f283"]},{"id":"ITEM-2","itemData":{"DOI":"10.3390/POLYM11020359","ISSN":"20734360","abstract":"In the European Union, the demand for polyurethane is continually growing. In 2017, the estimated value of polyurethane production was 700,400 Tn, of which 27.3% is taken to landfill, which causes an environmental problem. In this paper, the behaviour of various polyurethane foams from the waste of different types of industries will be analyzed with the aim of assessing their potential use in construction materials. To achieve this, the wastes were chemically tested by means of CHNS, TGA, and leaching tests. They were tested microstructurally by means of SEM. The processing parameters of the waste was calculated after identifying its granulometry and its physical properties i.e., density and water absorption capacity. In addition, the possibility of incorporating these wastes in plaster matrices was studied by determining their rendering in an operational context, finding out their mechanical resistance to flexion and compression at seven days, their reaction to fire as well as their weight per unit of area, and their thermal behaviour. The results show that in all cases, the waste is inert and does not undergo leaching. The generation process of the waste determines the foam's microstructure in addition to its physical-chemical properties, which directly affect building materials in which they are included, thus offering different ways in which they can be applied.","author":[{"dropping-particle":"","family":"Gómez-Rojo","given":"Raúl","non-dropping-particle":"","parse-names":false,"suffix":""},{"dropping-particle":"","family":"Alameda","given":"Lourdes","non-dropping-particle":"","parse-names":false,"suffix":""},{"dropping-particle":"","family":"Rodríguez","given":"Ángel","non-dropping-particle":"","parse-names":false,"suffix":""},{"dropping-particle":"","family":"Calderón","given":"Verónica","non-dropping-particle":"","parse-names":false,"suffix":""},{"dropping-particle":"","family":"Gutiérrez-González","given":"Sara","non-dropping-particle":"","parse-names":false,"suffix":""}],"container-title":"Polymers","id":"ITEM-2","issue":"2","issued":{"date-parts":[["2019"]]},"page":"1-16","title":"Characterization of polyurethane foam waste for reuse in eco-efficient building materials","type":"article-journal","volume":"11"},"uris":["http://www.mendeley.com/documents/?uuid=044a1203-52ad-41be-aa5c-95190f49360a"]}],"mendeley":{"formattedCitation":"[1], [2]","manualFormatting":"[1,2,13] ","plainTextFormattedCitation":"[1], [2]","previouslyFormattedCitation":"[1], [2]"},"properties":{"noteIndex":0},"schema":"https://github.com/citation-style-language/schema/raw/master/csl-citation.json"}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[1-3]</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04D91ED8" w14:textId="77777777" w:rsidR="0050604E" w:rsidRPr="0050604E" w:rsidRDefault="0050604E" w:rsidP="0050604E">
      <w:pPr>
        <w:spacing w:after="0"/>
        <w:jc w:val="both"/>
        <w:rPr>
          <w:rFonts w:ascii="Times New Roman" w:hAnsi="Times New Roman"/>
          <w:color w:val="000000" w:themeColor="text1"/>
          <w:sz w:val="20"/>
          <w:szCs w:val="20"/>
        </w:rPr>
      </w:pPr>
    </w:p>
    <w:p w14:paraId="1880F0E7" w14:textId="685958C3"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Foam is a porous material that can be used to absorb sound. The foam production is synthesized from diols and </w:t>
      </w:r>
      <w:r w:rsidR="003E6A4C">
        <w:rPr>
          <w:rFonts w:ascii="Times New Roman" w:hAnsi="Times New Roman"/>
          <w:color w:val="000000" w:themeColor="text1"/>
          <w:sz w:val="20"/>
          <w:szCs w:val="20"/>
        </w:rPr>
        <w:t xml:space="preserve"> </w:t>
      </w:r>
      <w:r w:rsidRPr="0050604E">
        <w:rPr>
          <w:rFonts w:ascii="Times New Roman" w:hAnsi="Times New Roman"/>
          <w:color w:val="000000" w:themeColor="text1"/>
          <w:sz w:val="20"/>
          <w:szCs w:val="20"/>
        </w:rPr>
        <w:t>polyols</w:t>
      </w:r>
      <w:r w:rsidR="003E6A4C">
        <w:rPr>
          <w:rFonts w:ascii="Times New Roman" w:hAnsi="Times New Roman"/>
          <w:color w:val="000000" w:themeColor="text1"/>
          <w:sz w:val="20"/>
          <w:szCs w:val="20"/>
        </w:rPr>
        <w:t xml:space="preserve"> </w:t>
      </w:r>
      <w:r w:rsidRPr="0050604E">
        <w:rPr>
          <w:rFonts w:ascii="Times New Roman" w:hAnsi="Times New Roman"/>
          <w:color w:val="000000" w:themeColor="text1"/>
          <w:sz w:val="20"/>
          <w:szCs w:val="20"/>
        </w:rPr>
        <w:t xml:space="preserve"> i.e. </w:t>
      </w:r>
      <w:r w:rsidR="003E6A4C">
        <w:rPr>
          <w:rFonts w:ascii="Times New Roman" w:hAnsi="Times New Roman"/>
          <w:color w:val="000000" w:themeColor="text1"/>
          <w:sz w:val="20"/>
          <w:szCs w:val="20"/>
        </w:rPr>
        <w:t xml:space="preserve"> </w:t>
      </w:r>
      <w:r w:rsidRPr="0050604E">
        <w:rPr>
          <w:rFonts w:ascii="Times New Roman" w:hAnsi="Times New Roman"/>
          <w:color w:val="000000" w:themeColor="text1"/>
          <w:sz w:val="20"/>
          <w:szCs w:val="20"/>
        </w:rPr>
        <w:t xml:space="preserve">polyurethane chemical compounds </w:t>
      </w:r>
      <w:r w:rsidR="003E6A4C">
        <w:rPr>
          <w:rFonts w:ascii="Times New Roman" w:hAnsi="Times New Roman"/>
          <w:color w:val="000000" w:themeColor="text1"/>
          <w:sz w:val="20"/>
          <w:szCs w:val="20"/>
        </w:rPr>
        <w:t xml:space="preserve">[2, 4]. </w:t>
      </w:r>
      <w:r w:rsidRPr="0050604E">
        <w:rPr>
          <w:rFonts w:ascii="Times New Roman" w:hAnsi="Times New Roman"/>
          <w:color w:val="000000" w:themeColor="text1"/>
          <w:sz w:val="20"/>
          <w:szCs w:val="20"/>
        </w:rPr>
        <w:t>Polyurethanes are widely used for other applications such as paints, jacket coatings, elastomers, insulators, elastic fibers, and leather equipment. Polyurethane production and demand projections rose through 2020</w:t>
      </w:r>
      <w:r w:rsidR="003E6A4C">
        <w:rPr>
          <w:rFonts w:ascii="Times New Roman" w:hAnsi="Times New Roman"/>
          <w:color w:val="000000" w:themeColor="text1"/>
          <w:sz w:val="20"/>
          <w:szCs w:val="20"/>
        </w:rPr>
        <w:t xml:space="preserve"> [5]</w:t>
      </w:r>
      <w:r w:rsidRPr="0050604E">
        <w:rPr>
          <w:rFonts w:ascii="Times New Roman" w:hAnsi="Times New Roman"/>
          <w:color w:val="000000" w:themeColor="text1"/>
          <w:sz w:val="20"/>
          <w:szCs w:val="20"/>
        </w:rPr>
        <w:t>. The production of polyurethane foam is incompatible with sustainable development because it uses petroleum as raw material. Therefore, it is necessary to find alternative raw materials that are less harmful to the environment.</w:t>
      </w:r>
    </w:p>
    <w:p w14:paraId="25A69CBF" w14:textId="77777777" w:rsidR="0050604E" w:rsidRPr="0050604E" w:rsidRDefault="0050604E" w:rsidP="0050604E">
      <w:pPr>
        <w:spacing w:after="0"/>
        <w:jc w:val="both"/>
        <w:rPr>
          <w:rFonts w:ascii="Times New Roman" w:hAnsi="Times New Roman"/>
          <w:color w:val="000000" w:themeColor="text1"/>
          <w:sz w:val="20"/>
          <w:szCs w:val="20"/>
        </w:rPr>
      </w:pPr>
    </w:p>
    <w:p w14:paraId="03D8022A"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Renewable polyol modification is developed in the production of polyurethane by using biomass as raw material through oxypropylation or acid liquefaction process. The production of bio-polyol using oxypropylation method includes the use of palm oil, </w:t>
      </w:r>
      <w:r w:rsidRPr="0050604E">
        <w:rPr>
          <w:rFonts w:ascii="Times New Roman" w:hAnsi="Times New Roman"/>
          <w:i/>
          <w:color w:val="000000" w:themeColor="text1"/>
          <w:sz w:val="20"/>
          <w:szCs w:val="20"/>
        </w:rPr>
        <w:t>Sapium sabiferum</w:t>
      </w:r>
      <w:r w:rsidRPr="0050604E">
        <w:rPr>
          <w:rFonts w:ascii="Times New Roman" w:hAnsi="Times New Roman"/>
          <w:color w:val="000000" w:themeColor="text1"/>
          <w:sz w:val="20"/>
          <w:szCs w:val="20"/>
        </w:rPr>
        <w:t xml:space="preserve"> oil, castor oil, soybean oil, grapeseed oil, sunflower oil, tung oil and canola oil. The current bio-polyol production process using liquefaction acid is derived from eucalyptus and pine woods, bamboo, Cellulose nanofibrils, Yaupon holly </w:t>
      </w:r>
      <w:r w:rsidRPr="0050604E">
        <w:rPr>
          <w:rFonts w:ascii="Times New Roman" w:hAnsi="Times New Roman"/>
          <w:color w:val="000000" w:themeColor="text1"/>
          <w:sz w:val="20"/>
          <w:szCs w:val="20"/>
        </w:rPr>
        <w:t>(</w:t>
      </w:r>
      <w:r w:rsidRPr="0050604E">
        <w:rPr>
          <w:rFonts w:ascii="Times New Roman" w:hAnsi="Times New Roman"/>
          <w:i/>
          <w:color w:val="000000" w:themeColor="text1"/>
          <w:sz w:val="20"/>
          <w:szCs w:val="20"/>
        </w:rPr>
        <w:t>Ilex vomitoria</w:t>
      </w:r>
      <w:r w:rsidRPr="0050604E">
        <w:rPr>
          <w:rFonts w:ascii="Times New Roman" w:hAnsi="Times New Roman"/>
          <w:color w:val="000000" w:themeColor="text1"/>
          <w:sz w:val="20"/>
          <w:szCs w:val="20"/>
        </w:rPr>
        <w:t xml:space="preserve">), sugar-cane bagasse, bagasse, and jute fiber. Both processes can produce environmentally friendly polyurethane foam raw materials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{"citationItems":[{"id":"ITEM-1","itemData":{"DOI":"10.1039/C6RA14525F","author":[{"dropping-particle":"","family":"Akindoyo","given":"John O","non-dropping-particle":"","parse-names":false,"suffix":""},{"dropping-particle":"","family":"Beg","given":"M D H","non-dropping-particle":"","parse-names":false,"suffix":""},{"dropping-particle":"","family":"Ghazali","given":"Suriati","non-dropping-particle":"","parse-names":false,"suffix":""},{"dropping-particle":"","family":"Islam","given":"M R","non-dropping-particle":"","parse-names":false,"suffix":""}],"container-title":"RSC Advances","id":"ITEM-1","issued":{"date-parts":[["2016"]]},"page":"114453-114482","publisher":"Royal Society of Chemistry","title":"RSC Advances","type":"article-journal","volume":"6"},"uris":["http://www.mendeley.com/documents/?uuid=09154b6f-73c1-46fe-88b8-733cfbcc410d"]},{"id":"ITEM-2","itemData":{"DOI":"10.3303/CET1972070","ISSN":"22839216","abstract":"A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Transactions","id":"ITEM-2","issue":"November 2018","issued":{"date-parts":[["2019"]]},"page":"415-420","title":"Morphologies and thermal properties of palm-oil based rigid polyurethane/halloysite nanocomposite foams","type":"article-journal","volume":"72"},"uris":["http://www.mendeley.com/documents/?uuid=3b6b3820-ebe2-4cfc-94a6-086a788bec41"]},{"id":"ITEM-3","itemData":{"author":[{"dropping-particle":"","family":"Bu","given":"Bunbun","non-dropping-particle":"","parse-names":false,"suffix":""}],"id":"ITEM-3","issued":{"date-parts":[["0"]]},"title":"9-ethox","type":"report"},"uris":["http://www.mendeley.com/documents/?uuid=32e58873-df3c-31e8-92b3-36fb5a009dfa"]},{"id":"ITEM-4","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-4","issue":"5","issued":{"date-parts":[["2020","3","1"]]},"publisher":"MDPI AG","title":"Bio-based polyurethane composite foams with improved mechanical, thermal, and antibacterial properties","type":"article-journal","volume":"13"},"uris":["http://www.mendeley.com/documents/?uuid=2cf9e879-a415-318d-b71a-65a5e10e35e7"]},{"id":"ITEM-5","itemData":{"DOI":"10.3390/ma11101841","ISSN":"19961944","abstract":"Polymeric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-5","issue":"10","issued":{"date-parts":[["2018"]]},"title":"Polyurethane foams: Past, present, and future","type":"article-journal","volume":"11"},"uris":["http://www.mendeley.com/documents/?uuid=c69cc3d7-dcfd-46fb-852f-00753cb60f7c"]}],"mendeley":{"formattedCitation":"[3]–[7]","manualFormatting":"[4]","plainTextFormattedCitation":"[3]–[7]","previouslyFormattedCitation":"[3]–[7]"},"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[4-8]</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10D7B045" w14:textId="77777777" w:rsidR="0050604E" w:rsidRPr="0050604E" w:rsidRDefault="0050604E" w:rsidP="0050604E">
      <w:pPr>
        <w:spacing w:after="0"/>
        <w:jc w:val="both"/>
        <w:rPr>
          <w:rFonts w:ascii="Times New Roman" w:hAnsi="Times New Roman"/>
          <w:color w:val="000000" w:themeColor="text1"/>
          <w:sz w:val="20"/>
          <w:szCs w:val="20"/>
        </w:rPr>
      </w:pPr>
    </w:p>
    <w:p w14:paraId="3D920495" w14:textId="04FDCD2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In addition to bio-polyols, the use of isocyanate alternatives such as Non-isocyanate polyurethane (NIPU), which is derived from mimose tannins</w:t>
      </w:r>
      <w:r w:rsidR="003E6A4C">
        <w:rPr>
          <w:rFonts w:ascii="Times New Roman" w:hAnsi="Times New Roman"/>
          <w:color w:val="000000" w:themeColor="text1"/>
          <w:sz w:val="20"/>
          <w:szCs w:val="20"/>
        </w:rPr>
        <w:t xml:space="preserve"> [9]</w:t>
      </w:r>
      <w:r w:rsidRPr="0050604E">
        <w:rPr>
          <w:rFonts w:ascii="Times New Roman" w:hAnsi="Times New Roman"/>
          <w:color w:val="000000" w:themeColor="text1"/>
          <w:sz w:val="20"/>
          <w:szCs w:val="20"/>
        </w:rPr>
        <w:t xml:space="preserve">, lysine, sorbitol, vegetable oils, and other sources, is another way to keep polyurethane foam production sustainable. </w:t>
      </w:r>
      <w:r w:rsidRPr="0050604E">
        <w:rPr>
          <w:rFonts w:ascii="Times New Roman" w:hAnsi="Times New Roman"/>
          <w:sz w:val="20"/>
          <w:szCs w:val="20"/>
        </w:rPr>
        <w:t>Recycling</w:t>
      </w:r>
      <w:r w:rsidRPr="0050604E">
        <w:rPr>
          <w:rFonts w:ascii="Times New Roman" w:hAnsi="Times New Roman"/>
          <w:color w:val="000000" w:themeColor="text1"/>
          <w:sz w:val="20"/>
          <w:szCs w:val="20"/>
        </w:rPr>
        <w:t xml:space="preserve"> polyurethane foam</w:t>
      </w:r>
      <w:r w:rsidR="003E6A4C">
        <w:rPr>
          <w:rFonts w:ascii="Times New Roman" w:hAnsi="Times New Roman"/>
          <w:color w:val="000000" w:themeColor="text1"/>
          <w:sz w:val="20"/>
          <w:szCs w:val="20"/>
        </w:rPr>
        <w:t xml:space="preserve"> [4]</w:t>
      </w:r>
      <w:r w:rsidRPr="0050604E">
        <w:rPr>
          <w:rFonts w:ascii="Times New Roman" w:hAnsi="Times New Roman"/>
          <w:color w:val="000000" w:themeColor="text1"/>
          <w:sz w:val="20"/>
          <w:szCs w:val="20"/>
        </w:rPr>
        <w:t xml:space="preserve"> and integrating natural waste materials into the production process are also green choices. Natural fiber blends of various concentrations and thicknesses in polyurethane foam composites have varied sound absorption capabilities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[9]","plainTextFormattedCitation":"[9]","previouslyFormattedCitation":"[9]"},"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[10]</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The addition of </w:t>
      </w:r>
      <w:r w:rsidRPr="0050604E">
        <w:rPr>
          <w:rFonts w:ascii="Times New Roman" w:hAnsi="Times New Roman"/>
          <w:i/>
          <w:color w:val="000000" w:themeColor="text1"/>
          <w:sz w:val="20"/>
          <w:szCs w:val="20"/>
        </w:rPr>
        <w:t>Shorea leprosa</w:t>
      </w:r>
      <w:r w:rsidRPr="0050604E">
        <w:rPr>
          <w:rFonts w:ascii="Times New Roman" w:hAnsi="Times New Roman"/>
          <w:color w:val="000000" w:themeColor="text1"/>
          <w:sz w:val="20"/>
          <w:szCs w:val="20"/>
        </w:rPr>
        <w:t xml:space="preserve"> wood fibers to the polyurethane foam affects its acoustic performance</w:t>
      </w:r>
      <w:r w:rsidR="003E6A4C">
        <w:rPr>
          <w:rFonts w:ascii="Times New Roman" w:hAnsi="Times New Roman"/>
          <w:color w:val="000000" w:themeColor="text1"/>
          <w:sz w:val="20"/>
          <w:szCs w:val="20"/>
        </w:rPr>
        <w:t xml:space="preserve"> [11]</w:t>
      </w:r>
      <w:r w:rsidRPr="0050604E">
        <w:rPr>
          <w:rFonts w:ascii="Times New Roman" w:hAnsi="Times New Roman"/>
          <w:color w:val="000000" w:themeColor="text1"/>
          <w:sz w:val="20"/>
          <w:szCs w:val="20"/>
        </w:rPr>
        <w:t xml:space="preserve">. Production of biofoam from polyurethane-urea blends with various concentration of industrial plywood sawdust has a good sound absorption coefficient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Sciences","id":"ITEM-1","issue":"6","issued":{"date-parts":[["2018"]]},"page":"1031-1039","title":"An acoustic study of Shorea leprosula wood fiber filled polyurethane composite foam","type":"article-journal","volume":"22"},"uris":["http://www.mendeley.com/documents/?uuid=c8cb8141-dbfe-46a5-af59-6a4ba688ff55"]}],"mendeley":{"formattedCitation":"[10]","manualFormatting":"[25]","plainTextFormattedCitation":"[10]","previouslyFormattedCitation":"[10]"},"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[12]</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25C6A6D7" w14:textId="77777777" w:rsidR="0050604E" w:rsidRPr="0050604E" w:rsidRDefault="0050604E" w:rsidP="0050604E">
      <w:pPr>
        <w:spacing w:after="0"/>
        <w:jc w:val="both"/>
        <w:rPr>
          <w:rFonts w:ascii="Times New Roman" w:hAnsi="Times New Roman"/>
          <w:color w:val="000000" w:themeColor="text1"/>
          <w:sz w:val="20"/>
          <w:szCs w:val="20"/>
        </w:rPr>
      </w:pPr>
    </w:p>
    <w:p w14:paraId="50FB505C" w14:textId="0AA438FC"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It was reported that polyurethane foam composites containing nanosilica and nanosilica solution at an optimum level of 2 wt.% had a negative impact on foam cell morphology, and the TGA test results for rigid polyurethane foam composites containing 1 wt.% nanosilica solution had poor thermal resistance</w:t>
      </w:r>
      <w:r w:rsidR="003E6A4C">
        <w:rPr>
          <w:rFonts w:ascii="Times New Roman" w:hAnsi="Times New Roman"/>
          <w:color w:val="000000" w:themeColor="text1"/>
          <w:sz w:val="20"/>
          <w:szCs w:val="20"/>
        </w:rPr>
        <w:t xml:space="preserve"> [13]</w:t>
      </w:r>
      <w:r w:rsidRPr="0050604E">
        <w:rPr>
          <w:rFonts w:ascii="Times New Roman" w:hAnsi="Times New Roman"/>
          <w:color w:val="000000" w:themeColor="text1"/>
          <w:sz w:val="20"/>
          <w:szCs w:val="20"/>
        </w:rPr>
        <w:t>. As compared to foams without the addition of halloysite nanocomposites, rigid polyurethane foam with palm oil as raw material and halloysite nanocomposite had stable thermal resistance, and SEM results showed a smooth cell surface structure and larger cell size</w:t>
      </w:r>
      <w:r w:rsidR="00BD29D0">
        <w:rPr>
          <w:rFonts w:ascii="Times New Roman" w:hAnsi="Times New Roman"/>
          <w:color w:val="000000" w:themeColor="text1"/>
          <w:sz w:val="20"/>
          <w:szCs w:val="20"/>
        </w:rPr>
        <w:t xml:space="preserve"> [2]</w:t>
      </w:r>
      <w:r w:rsidRPr="0050604E">
        <w:rPr>
          <w:rFonts w:ascii="Times New Roman" w:hAnsi="Times New Roman"/>
          <w:color w:val="000000" w:themeColor="text1"/>
          <w:sz w:val="20"/>
          <w:szCs w:val="20"/>
        </w:rPr>
        <w:t>. Polyurethane foam synthesized with clove composites (</w:t>
      </w:r>
      <w:r w:rsidRPr="0050604E">
        <w:rPr>
          <w:rFonts w:ascii="Times New Roman" w:hAnsi="Times New Roman"/>
          <w:i/>
          <w:color w:val="000000" w:themeColor="text1"/>
          <w:sz w:val="20"/>
          <w:szCs w:val="20"/>
        </w:rPr>
        <w:t>Syzygium aromaticum</w:t>
      </w:r>
      <w:r w:rsidRPr="0050604E">
        <w:rPr>
          <w:rFonts w:ascii="Times New Roman" w:hAnsi="Times New Roman"/>
          <w:color w:val="000000" w:themeColor="text1"/>
          <w:sz w:val="20"/>
          <w:szCs w:val="20"/>
        </w:rPr>
        <w:t xml:space="preserve">) at various concentrations had rheological behavior, cellular </w:t>
      </w:r>
      <w:r w:rsidRPr="0050604E">
        <w:rPr>
          <w:rFonts w:ascii="Times New Roman" w:hAnsi="Times New Roman"/>
          <w:color w:val="000000" w:themeColor="text1"/>
          <w:sz w:val="20"/>
          <w:szCs w:val="20"/>
        </w:rPr>
        <w:lastRenderedPageBreak/>
        <w:t>structure, and further mechanical &amp; thermal performance of the modified material</w:t>
      </w:r>
      <w:r w:rsidR="00BD29D0">
        <w:rPr>
          <w:rFonts w:ascii="Times New Roman" w:hAnsi="Times New Roman"/>
          <w:color w:val="000000" w:themeColor="text1"/>
          <w:sz w:val="20"/>
          <w:szCs w:val="20"/>
        </w:rPr>
        <w:t xml:space="preserve"> [8]</w:t>
      </w:r>
      <w:r w:rsidRPr="0050604E">
        <w:rPr>
          <w:rFonts w:ascii="Times New Roman" w:hAnsi="Times New Roman"/>
          <w:color w:val="000000" w:themeColor="text1"/>
          <w:sz w:val="20"/>
          <w:szCs w:val="20"/>
        </w:rPr>
        <w:t>.</w:t>
      </w:r>
    </w:p>
    <w:p w14:paraId="5446B37C" w14:textId="77777777" w:rsidR="0050604E" w:rsidRPr="0050604E" w:rsidRDefault="0050604E" w:rsidP="0050604E">
      <w:pPr>
        <w:spacing w:after="0"/>
        <w:jc w:val="both"/>
        <w:rPr>
          <w:rFonts w:ascii="Times New Roman" w:hAnsi="Times New Roman"/>
          <w:color w:val="000000" w:themeColor="text1"/>
          <w:sz w:val="20"/>
          <w:szCs w:val="20"/>
        </w:rPr>
      </w:pPr>
    </w:p>
    <w:p w14:paraId="376082A0" w14:textId="600D8468"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other research studied polyurethane foam with addition of diatomite and hydroxyapatite. The thermal degradation of diatomite porous polyurethane foam biocomposites was lower than that of hydroxyapatite porous polyurethane foam biocomposites. Diatomite and hydroxyapatite increase the surface area of the polyurethane foam and harden the pores</w:t>
      </w:r>
      <w:r w:rsidR="00887CB3">
        <w:rPr>
          <w:rFonts w:ascii="Times New Roman" w:hAnsi="Times New Roman"/>
          <w:color w:val="000000" w:themeColor="text1"/>
          <w:sz w:val="20"/>
          <w:szCs w:val="20"/>
        </w:rPr>
        <w:t xml:space="preserve"> [14]</w:t>
      </w:r>
      <w:r w:rsidRPr="0050604E">
        <w:rPr>
          <w:rFonts w:ascii="Times New Roman" w:hAnsi="Times New Roman"/>
          <w:color w:val="000000" w:themeColor="text1"/>
          <w:sz w:val="20"/>
          <w:szCs w:val="20"/>
        </w:rPr>
        <w:t xml:space="preserve">. Rigid foam made by combining non-isocyanate polyurethane (NIPU) tannins with addictive glutaraldehyde and citric acid had the same morphology, called Open-Cell, but the number of cell wall pores decreased as glutaraldehyde was added, while citric acid increased the number of foam cells. The thermal resistance of the NIPU foam in all compositions was the same except for the composition of 2 grams of hexamine and 6 grams of citric acid which was higher at a temperature of 790 </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C and a residue of 18.7%</w:t>
      </w:r>
      <w:r w:rsidR="00887CB3">
        <w:rPr>
          <w:rFonts w:ascii="Times New Roman" w:hAnsi="Times New Roman"/>
          <w:color w:val="000000" w:themeColor="text1"/>
          <w:sz w:val="20"/>
          <w:szCs w:val="20"/>
        </w:rPr>
        <w:t xml:space="preserve"> [9]</w:t>
      </w:r>
      <w:r w:rsidRPr="0050604E">
        <w:rPr>
          <w:rFonts w:ascii="Times New Roman" w:hAnsi="Times New Roman"/>
          <w:color w:val="000000" w:themeColor="text1"/>
          <w:sz w:val="20"/>
          <w:szCs w:val="20"/>
        </w:rPr>
        <w:t xml:space="preserve">. </w:t>
      </w:r>
    </w:p>
    <w:p w14:paraId="0C800128" w14:textId="77777777" w:rsidR="0050604E" w:rsidRPr="0050604E" w:rsidRDefault="0050604E" w:rsidP="0050604E">
      <w:pPr>
        <w:spacing w:after="0"/>
        <w:jc w:val="both"/>
        <w:rPr>
          <w:rFonts w:ascii="Times New Roman" w:hAnsi="Times New Roman"/>
          <w:color w:val="000000" w:themeColor="text1"/>
          <w:sz w:val="20"/>
          <w:szCs w:val="20"/>
        </w:rPr>
      </w:pPr>
    </w:p>
    <w:p w14:paraId="25B90485"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This research described the synthesis of polyurethane-urea (PUU) biofoam with industrial plywood sawdust waste composites (IPSW). The PUU/IPSW biofoam was synthesized by adding a chain extender in the form of ethylene diamine (EDA), coupling agent in the form of maleic anhydrate (MAH), and industrial plywood sawdust waste as filler. The chain extender is a low molecule containing an amine group at the end that plays a major role in polymer morphology. The addition of a chain extender and diisocyanate provided a wide range of hard segment characteristics and the </w:t>
      </w:r>
      <w:r w:rsidRPr="0050604E">
        <w:rPr>
          <w:rFonts w:ascii="Times New Roman" w:hAnsi="Times New Roman"/>
          <w:color w:val="000000" w:themeColor="text1"/>
          <w:sz w:val="20"/>
          <w:szCs w:val="20"/>
        </w:rPr>
        <w:t>physical performance of polyurethane. The morphological structures were characterized by SEM and Microscope Camera. Meanwhile, thermal ability was analyzed by TGA, and acoustics test was conducted through impedance tube.</w:t>
      </w:r>
    </w:p>
    <w:p w14:paraId="45EF2381" w14:textId="77777777" w:rsidR="0050604E" w:rsidRPr="0050604E" w:rsidRDefault="0050604E" w:rsidP="0050604E">
      <w:pPr>
        <w:spacing w:after="0"/>
        <w:jc w:val="center"/>
        <w:rPr>
          <w:rFonts w:ascii="Times New Roman" w:hAnsi="Times New Roman"/>
          <w:color w:val="000000" w:themeColor="text1"/>
          <w:sz w:val="20"/>
          <w:szCs w:val="20"/>
        </w:rPr>
      </w:pPr>
    </w:p>
    <w:p w14:paraId="0231E6C1" w14:textId="77777777" w:rsidR="0050604E" w:rsidRPr="0050604E" w:rsidRDefault="0050604E" w:rsidP="0050604E">
      <w:pPr>
        <w:spacing w:after="0"/>
        <w:jc w:val="center"/>
        <w:outlineLvl w:val="0"/>
        <w:rPr>
          <w:rFonts w:ascii="Times New Roman" w:hAnsi="Times New Roman"/>
          <w:b/>
          <w:sz w:val="20"/>
          <w:szCs w:val="20"/>
        </w:rPr>
      </w:pPr>
      <w:r w:rsidRPr="0050604E">
        <w:rPr>
          <w:rFonts w:ascii="Times New Roman" w:hAnsi="Times New Roman"/>
          <w:b/>
          <w:sz w:val="20"/>
          <w:szCs w:val="20"/>
        </w:rPr>
        <w:t>Materials and Methods</w:t>
      </w:r>
    </w:p>
    <w:p w14:paraId="4F6E3A40" w14:textId="77777777" w:rsidR="0050604E" w:rsidRPr="0050604E" w:rsidRDefault="0050604E" w:rsidP="0050604E">
      <w:pPr>
        <w:pStyle w:val="Heading2"/>
        <w:spacing w:before="0" w:line="276" w:lineRule="auto"/>
        <w:jc w:val="both"/>
        <w:rPr>
          <w:rFonts w:ascii="Times New Roman" w:hAnsi="Times New Roman"/>
          <w:b/>
          <w:smallCaps w:val="0"/>
          <w:color w:val="000000" w:themeColor="text1"/>
          <w:sz w:val="20"/>
          <w:szCs w:val="20"/>
        </w:rPr>
      </w:pPr>
      <w:bookmarkStart w:id="3" w:name="materials"/>
      <w:r w:rsidRPr="0050604E">
        <w:rPr>
          <w:rFonts w:ascii="Times New Roman" w:hAnsi="Times New Roman"/>
          <w:b/>
          <w:smallCaps w:val="0"/>
          <w:color w:val="000000" w:themeColor="text1"/>
          <w:sz w:val="20"/>
          <w:szCs w:val="20"/>
        </w:rPr>
        <w:t>Materials</w:t>
      </w:r>
    </w:p>
    <w:bookmarkEnd w:id="3"/>
    <w:p w14:paraId="52BD95AC" w14:textId="2F395580"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The materials used to synthesize the PUU/IPSW biofoam were chemical compounds and biomass. The chemical compounds included polyethylene glycol (PEG) 400 (Polyol), 4.4'-diphenylmethane diisocyanate (4.4'-MDI), ethylenediamine (EDA), and maleic anhydrate (MAH) while the biomass was in the form of industrial plywood sawdust waste (IPSW). The detail of various compositions of the PUU/IPSW biofoam are shown in </w:t>
      </w:r>
      <w:bookmarkStart w:id="4" w:name="preparationsample"/>
      <w:r w:rsidR="0038729A">
        <w:rPr>
          <w:rFonts w:ascii="Times New Roman" w:hAnsi="Times New Roman"/>
          <w:color w:val="000000" w:themeColor="text1"/>
          <w:sz w:val="20"/>
          <w:szCs w:val="20"/>
        </w:rPr>
        <w:t>Table 1.</w:t>
      </w:r>
    </w:p>
    <w:p w14:paraId="4E23D1F5" w14:textId="77777777" w:rsidR="0050604E" w:rsidRPr="0050604E" w:rsidRDefault="0050604E" w:rsidP="0050604E">
      <w:pPr>
        <w:spacing w:after="0"/>
        <w:jc w:val="both"/>
        <w:rPr>
          <w:rFonts w:ascii="Times New Roman" w:hAnsi="Times New Roman"/>
          <w:color w:val="000000" w:themeColor="text1"/>
          <w:sz w:val="20"/>
          <w:szCs w:val="20"/>
        </w:rPr>
      </w:pPr>
    </w:p>
    <w:p w14:paraId="4F3A821D"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b/>
          <w:color w:val="000000" w:themeColor="text1"/>
          <w:sz w:val="20"/>
          <w:szCs w:val="20"/>
        </w:rPr>
        <w:t>Sample preparation</w:t>
      </w:r>
      <w:bookmarkEnd w:id="4"/>
    </w:p>
    <w:p w14:paraId="129E71C6" w14:textId="59F039B0"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biofoam was synthesized by using a one-shot method. This method worked by combining all of the ingredients until they were fully homogeneous, as detailed in</w:t>
      </w:r>
      <w:r w:rsidR="0038729A">
        <w:rPr>
          <w:rFonts w:ascii="Times New Roman" w:hAnsi="Times New Roman"/>
          <w:color w:val="000000" w:themeColor="text1"/>
          <w:sz w:val="20"/>
          <w:szCs w:val="20"/>
        </w:rPr>
        <w:t xml:space="preserve"> Figure 1</w:t>
      </w:r>
      <w:r w:rsidRPr="0050604E">
        <w:rPr>
          <w:rFonts w:ascii="Times New Roman" w:hAnsi="Times New Roman"/>
          <w:color w:val="000000" w:themeColor="text1"/>
          <w:sz w:val="20"/>
          <w:szCs w:val="20"/>
        </w:rPr>
        <w:t xml:space="preserve">. First, the polyol and diisocyanate were mixed and stirred. Then, the chain extender (EDA), the coupling agent (MAH), and the IPSW filler were added. The composition of the ingredients was calculated by the mass ratio. The samples were coded as BP0, BP1, BP2, BP3, BP4, and BP5 for the PUU/IPSW biofoam with 0%, 1%, 2%, 3% , 4%, and 5% IPSW respectively with a ratio of PEG:MDI (1:1), and BP1.5 for the PUU/IPSW biofoam of 5% with a ratio of  PEG:MDI (1:1.5). </w:t>
      </w:r>
    </w:p>
    <w:p w14:paraId="71AB27C5" w14:textId="77777777" w:rsidR="00F13162" w:rsidRDefault="00F13162" w:rsidP="0050604E">
      <w:pPr>
        <w:spacing w:after="0"/>
        <w:jc w:val="both"/>
        <w:rPr>
          <w:rFonts w:ascii="Times New Roman" w:hAnsi="Times New Roman"/>
          <w:color w:val="000000" w:themeColor="text1"/>
          <w:sz w:val="20"/>
          <w:szCs w:val="20"/>
        </w:rPr>
        <w:sectPr w:rsidR="00F13162" w:rsidSect="00F13162">
          <w:footerReference w:type="even" r:id="rId13"/>
          <w:type w:val="continuous"/>
          <w:pgSz w:w="12240" w:h="15840" w:code="1"/>
          <w:pgMar w:top="1800" w:right="1469" w:bottom="1699" w:left="1440" w:header="706" w:footer="706" w:gutter="0"/>
          <w:pgNumType w:start="0"/>
          <w:cols w:num="2" w:space="403"/>
          <w:docGrid w:linePitch="360"/>
        </w:sectPr>
      </w:pPr>
    </w:p>
    <w:p w14:paraId="78A39401" w14:textId="77777777" w:rsidR="0050604E" w:rsidRPr="0050604E" w:rsidRDefault="0050604E" w:rsidP="0050604E">
      <w:pPr>
        <w:spacing w:after="0"/>
        <w:jc w:val="both"/>
        <w:rPr>
          <w:rFonts w:ascii="Times New Roman" w:hAnsi="Times New Roman"/>
          <w:color w:val="000000" w:themeColor="text1"/>
          <w:sz w:val="20"/>
          <w:szCs w:val="20"/>
        </w:rPr>
      </w:pPr>
    </w:p>
    <w:p w14:paraId="3886E813" w14:textId="0191F6B5" w:rsidR="0050604E" w:rsidRPr="0050604E" w:rsidRDefault="0050604E" w:rsidP="0050604E">
      <w:pPr>
        <w:pStyle w:val="Caption"/>
        <w:spacing w:after="120" w:line="276" w:lineRule="auto"/>
        <w:jc w:val="center"/>
        <w:rPr>
          <w:i w:val="0"/>
          <w:color w:val="000000" w:themeColor="text1"/>
          <w:sz w:val="20"/>
          <w:szCs w:val="20"/>
        </w:rPr>
      </w:pPr>
      <w:bookmarkStart w:id="5" w:name="_Ref87819924"/>
      <w:r w:rsidRPr="0050604E">
        <w:rPr>
          <w:i w:val="0"/>
          <w:color w:val="000000" w:themeColor="text1"/>
          <w:sz w:val="20"/>
          <w:szCs w:val="20"/>
        </w:rPr>
        <w:t xml:space="preserve">Table </w:t>
      </w:r>
      <w:r w:rsidRPr="0050604E">
        <w:rPr>
          <w:i w:val="0"/>
          <w:color w:val="000000" w:themeColor="text1"/>
          <w:sz w:val="20"/>
          <w:szCs w:val="20"/>
        </w:rPr>
        <w:fldChar w:fldCharType="begin"/>
      </w:r>
      <w:r w:rsidRPr="0050604E">
        <w:rPr>
          <w:i w:val="0"/>
          <w:color w:val="000000" w:themeColor="text1"/>
          <w:sz w:val="20"/>
          <w:szCs w:val="20"/>
        </w:rPr>
        <w:instrText xml:space="preserve"> SEQ Table \* ARABIC </w:instrText>
      </w:r>
      <w:r w:rsidRPr="0050604E">
        <w:rPr>
          <w:i w:val="0"/>
          <w:color w:val="000000" w:themeColor="text1"/>
          <w:sz w:val="20"/>
          <w:szCs w:val="20"/>
        </w:rPr>
        <w:fldChar w:fldCharType="separate"/>
      </w:r>
      <w:r w:rsidRPr="0050604E">
        <w:rPr>
          <w:i w:val="0"/>
          <w:noProof/>
          <w:color w:val="000000" w:themeColor="text1"/>
          <w:sz w:val="20"/>
          <w:szCs w:val="20"/>
        </w:rPr>
        <w:t>1</w:t>
      </w:r>
      <w:r w:rsidRPr="0050604E">
        <w:rPr>
          <w:i w:val="0"/>
          <w:color w:val="000000" w:themeColor="text1"/>
          <w:sz w:val="20"/>
          <w:szCs w:val="20"/>
        </w:rPr>
        <w:fldChar w:fldCharType="end"/>
      </w:r>
      <w:bookmarkEnd w:id="5"/>
      <w:r w:rsidRPr="0050604E">
        <w:rPr>
          <w:i w:val="0"/>
          <w:color w:val="000000" w:themeColor="text1"/>
          <w:sz w:val="20"/>
          <w:szCs w:val="20"/>
        </w:rPr>
        <w:t xml:space="preserve">. </w:t>
      </w:r>
      <w:r>
        <w:rPr>
          <w:i w:val="0"/>
          <w:color w:val="000000" w:themeColor="text1"/>
          <w:sz w:val="20"/>
          <w:szCs w:val="20"/>
        </w:rPr>
        <w:t xml:space="preserve"> </w:t>
      </w:r>
      <w:r w:rsidRPr="0050604E">
        <w:rPr>
          <w:i w:val="0"/>
          <w:color w:val="000000" w:themeColor="text1"/>
          <w:sz w:val="20"/>
          <w:szCs w:val="20"/>
        </w:rPr>
        <w:t>Variation of the PUU/IPSW biofoam composition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911"/>
        <w:gridCol w:w="911"/>
        <w:gridCol w:w="1422"/>
        <w:gridCol w:w="1588"/>
        <w:gridCol w:w="1283"/>
      </w:tblGrid>
      <w:tr w:rsidR="0050604E" w:rsidRPr="0050604E" w14:paraId="775B50B9" w14:textId="77777777" w:rsidTr="0050604E">
        <w:trPr>
          <w:trHeight w:val="390"/>
          <w:jc w:val="center"/>
        </w:trPr>
        <w:tc>
          <w:tcPr>
            <w:tcW w:w="0" w:type="auto"/>
            <w:tcBorders>
              <w:top w:val="single" w:sz="4" w:space="0" w:color="auto"/>
              <w:bottom w:val="single" w:sz="4" w:space="0" w:color="auto"/>
            </w:tcBorders>
            <w:shd w:val="clear" w:color="auto" w:fill="FFFFFF" w:themeFill="background1"/>
          </w:tcPr>
          <w:p w14:paraId="2A81FBA4"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Samples</w:t>
            </w:r>
          </w:p>
        </w:tc>
        <w:tc>
          <w:tcPr>
            <w:tcW w:w="0" w:type="auto"/>
            <w:tcBorders>
              <w:top w:val="single" w:sz="4" w:space="0" w:color="auto"/>
              <w:bottom w:val="single" w:sz="4" w:space="0" w:color="auto"/>
            </w:tcBorders>
            <w:shd w:val="clear" w:color="auto" w:fill="FFFFFF" w:themeFill="background1"/>
          </w:tcPr>
          <w:p w14:paraId="579F9B24"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PEG (g)</w:t>
            </w:r>
          </w:p>
        </w:tc>
        <w:tc>
          <w:tcPr>
            <w:tcW w:w="0" w:type="auto"/>
            <w:tcBorders>
              <w:top w:val="single" w:sz="4" w:space="0" w:color="auto"/>
              <w:bottom w:val="single" w:sz="4" w:space="0" w:color="auto"/>
            </w:tcBorders>
            <w:shd w:val="clear" w:color="auto" w:fill="FFFFFF" w:themeFill="background1"/>
          </w:tcPr>
          <w:p w14:paraId="210FA8BE"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MDI (g)</w:t>
            </w:r>
          </w:p>
        </w:tc>
        <w:tc>
          <w:tcPr>
            <w:tcW w:w="0" w:type="auto"/>
            <w:tcBorders>
              <w:top w:val="single" w:sz="4" w:space="0" w:color="auto"/>
              <w:bottom w:val="single" w:sz="4" w:space="0" w:color="auto"/>
            </w:tcBorders>
            <w:shd w:val="clear" w:color="auto" w:fill="FFFFFF" w:themeFill="background1"/>
          </w:tcPr>
          <w:p w14:paraId="70C953BE" w14:textId="77777777"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EDA 0.1% (g)</w:t>
            </w:r>
          </w:p>
          <w:p w14:paraId="769E8E3D" w14:textId="77777777" w:rsidR="0050604E" w:rsidRPr="0050604E" w:rsidRDefault="0050604E" w:rsidP="005C63AA">
            <w:pPr>
              <w:spacing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c>
          <w:tcPr>
            <w:tcW w:w="0" w:type="auto"/>
            <w:tcBorders>
              <w:top w:val="single" w:sz="4" w:space="0" w:color="auto"/>
              <w:bottom w:val="single" w:sz="4" w:space="0" w:color="auto"/>
            </w:tcBorders>
            <w:shd w:val="clear" w:color="auto" w:fill="FFFFFF" w:themeFill="background1"/>
          </w:tcPr>
          <w:p w14:paraId="3BC3C1DB" w14:textId="77777777"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MAH 0.01% (g)</w:t>
            </w:r>
          </w:p>
          <w:p w14:paraId="5FF0C699" w14:textId="77777777" w:rsidR="0050604E" w:rsidRPr="0050604E" w:rsidRDefault="0050604E" w:rsidP="005C63AA">
            <w:pPr>
              <w:spacing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c>
          <w:tcPr>
            <w:tcW w:w="0" w:type="auto"/>
            <w:tcBorders>
              <w:top w:val="single" w:sz="4" w:space="0" w:color="auto"/>
              <w:bottom w:val="single" w:sz="4" w:space="0" w:color="auto"/>
            </w:tcBorders>
            <w:shd w:val="clear" w:color="auto" w:fill="FFFFFF" w:themeFill="background1"/>
          </w:tcPr>
          <w:p w14:paraId="32FFC5D5" w14:textId="1FB249C8"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Waste % (g)</w:t>
            </w:r>
          </w:p>
          <w:p w14:paraId="19554596" w14:textId="77777777" w:rsidR="0050604E" w:rsidRPr="0050604E" w:rsidRDefault="0050604E" w:rsidP="005C63AA">
            <w:pPr>
              <w:spacing w:after="6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r>
      <w:tr w:rsidR="0050604E" w:rsidRPr="0050604E" w14:paraId="46C4396E" w14:textId="77777777" w:rsidTr="0050604E">
        <w:trPr>
          <w:trHeight w:val="60"/>
          <w:jc w:val="center"/>
        </w:trPr>
        <w:tc>
          <w:tcPr>
            <w:tcW w:w="0" w:type="auto"/>
            <w:tcBorders>
              <w:top w:val="single" w:sz="4" w:space="0" w:color="auto"/>
            </w:tcBorders>
          </w:tcPr>
          <w:p w14:paraId="0534C31F" w14:textId="15C54E95"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BP0</w:t>
            </w:r>
          </w:p>
        </w:tc>
        <w:tc>
          <w:tcPr>
            <w:tcW w:w="0" w:type="auto"/>
            <w:tcBorders>
              <w:top w:val="single" w:sz="4" w:space="0" w:color="auto"/>
            </w:tcBorders>
          </w:tcPr>
          <w:p w14:paraId="542E1DC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single" w:sz="4" w:space="0" w:color="auto"/>
            </w:tcBorders>
          </w:tcPr>
          <w:p w14:paraId="0838566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single" w:sz="4" w:space="0" w:color="auto"/>
            </w:tcBorders>
          </w:tcPr>
          <w:p w14:paraId="74564B8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top w:val="single" w:sz="4" w:space="0" w:color="auto"/>
            </w:tcBorders>
          </w:tcPr>
          <w:p w14:paraId="2D9BA1A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top w:val="single" w:sz="4" w:space="0" w:color="auto"/>
            </w:tcBorders>
          </w:tcPr>
          <w:p w14:paraId="46946A7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w:t>
            </w:r>
          </w:p>
        </w:tc>
      </w:tr>
      <w:tr w:rsidR="0050604E" w:rsidRPr="0050604E" w14:paraId="3C6F1EF5" w14:textId="77777777" w:rsidTr="001A6604">
        <w:trPr>
          <w:trHeight w:val="88"/>
          <w:jc w:val="center"/>
        </w:trPr>
        <w:tc>
          <w:tcPr>
            <w:tcW w:w="0" w:type="auto"/>
          </w:tcPr>
          <w:p w14:paraId="70DC1CA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BP1</w:t>
            </w:r>
          </w:p>
        </w:tc>
        <w:tc>
          <w:tcPr>
            <w:tcW w:w="0" w:type="auto"/>
          </w:tcPr>
          <w:p w14:paraId="47434D5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7BFBD2C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06D329D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6DF9D508"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246E7444"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0,31</w:t>
            </w:r>
          </w:p>
        </w:tc>
      </w:tr>
      <w:tr w:rsidR="0050604E" w:rsidRPr="0050604E" w14:paraId="2A35238C" w14:textId="77777777" w:rsidTr="001A6604">
        <w:trPr>
          <w:trHeight w:val="70"/>
          <w:jc w:val="center"/>
        </w:trPr>
        <w:tc>
          <w:tcPr>
            <w:tcW w:w="0" w:type="auto"/>
          </w:tcPr>
          <w:p w14:paraId="0E03771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BP2</w:t>
            </w:r>
          </w:p>
        </w:tc>
        <w:tc>
          <w:tcPr>
            <w:tcW w:w="0" w:type="auto"/>
          </w:tcPr>
          <w:p w14:paraId="35FBADC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1345922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F043E6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10DBC32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59DA63D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0,62</w:t>
            </w:r>
          </w:p>
        </w:tc>
      </w:tr>
      <w:tr w:rsidR="0050604E" w:rsidRPr="0050604E" w14:paraId="0315B32A" w14:textId="77777777" w:rsidTr="001A6604">
        <w:trPr>
          <w:trHeight w:val="70"/>
          <w:jc w:val="center"/>
        </w:trPr>
        <w:tc>
          <w:tcPr>
            <w:tcW w:w="0" w:type="auto"/>
          </w:tcPr>
          <w:p w14:paraId="53A16FA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BP3</w:t>
            </w:r>
          </w:p>
        </w:tc>
        <w:tc>
          <w:tcPr>
            <w:tcW w:w="0" w:type="auto"/>
          </w:tcPr>
          <w:p w14:paraId="7346141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27CB04F"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484A256"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4F549CB3"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7C0C6899"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0,94</w:t>
            </w:r>
          </w:p>
        </w:tc>
      </w:tr>
      <w:tr w:rsidR="0050604E" w:rsidRPr="0050604E" w14:paraId="19B2771C" w14:textId="77777777" w:rsidTr="001A6604">
        <w:trPr>
          <w:trHeight w:val="111"/>
          <w:jc w:val="center"/>
        </w:trPr>
        <w:tc>
          <w:tcPr>
            <w:tcW w:w="0" w:type="auto"/>
          </w:tcPr>
          <w:p w14:paraId="7287163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BP4</w:t>
            </w:r>
          </w:p>
        </w:tc>
        <w:tc>
          <w:tcPr>
            <w:tcW w:w="0" w:type="auto"/>
          </w:tcPr>
          <w:p w14:paraId="436C328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28DAF08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72497D0C"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084F1CB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5E0C51F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1,26</w:t>
            </w:r>
          </w:p>
        </w:tc>
      </w:tr>
      <w:tr w:rsidR="0050604E" w:rsidRPr="0050604E" w14:paraId="6518B3F3" w14:textId="77777777" w:rsidTr="005C63AA">
        <w:trPr>
          <w:trHeight w:val="73"/>
          <w:jc w:val="center"/>
        </w:trPr>
        <w:tc>
          <w:tcPr>
            <w:tcW w:w="0" w:type="auto"/>
            <w:tcBorders>
              <w:bottom w:val="nil"/>
            </w:tcBorders>
          </w:tcPr>
          <w:p w14:paraId="6E902DFB"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BP5</w:t>
            </w:r>
          </w:p>
        </w:tc>
        <w:tc>
          <w:tcPr>
            <w:tcW w:w="0" w:type="auto"/>
            <w:tcBorders>
              <w:bottom w:val="nil"/>
            </w:tcBorders>
          </w:tcPr>
          <w:p w14:paraId="2C40FAF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bottom w:val="nil"/>
            </w:tcBorders>
          </w:tcPr>
          <w:p w14:paraId="53E85DBF"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bottom w:val="nil"/>
            </w:tcBorders>
          </w:tcPr>
          <w:p w14:paraId="146152F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bottom w:val="nil"/>
            </w:tcBorders>
          </w:tcPr>
          <w:p w14:paraId="74B77FE6"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bottom w:val="nil"/>
            </w:tcBorders>
          </w:tcPr>
          <w:p w14:paraId="3EB29C08"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1,6</w:t>
            </w:r>
          </w:p>
        </w:tc>
      </w:tr>
      <w:tr w:rsidR="0050604E" w:rsidRPr="0050604E" w14:paraId="027C3293" w14:textId="77777777" w:rsidTr="005C63AA">
        <w:trPr>
          <w:trHeight w:val="70"/>
          <w:jc w:val="center"/>
        </w:trPr>
        <w:tc>
          <w:tcPr>
            <w:tcW w:w="0" w:type="auto"/>
            <w:tcBorders>
              <w:top w:val="nil"/>
              <w:bottom w:val="single" w:sz="4" w:space="0" w:color="auto"/>
            </w:tcBorders>
          </w:tcPr>
          <w:p w14:paraId="7FBC515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BP1,5</w:t>
            </w:r>
          </w:p>
        </w:tc>
        <w:tc>
          <w:tcPr>
            <w:tcW w:w="0" w:type="auto"/>
            <w:tcBorders>
              <w:top w:val="nil"/>
              <w:bottom w:val="single" w:sz="4" w:space="0" w:color="auto"/>
            </w:tcBorders>
          </w:tcPr>
          <w:p w14:paraId="768924D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nil"/>
              <w:bottom w:val="single" w:sz="4" w:space="0" w:color="auto"/>
            </w:tcBorders>
          </w:tcPr>
          <w:p w14:paraId="0657026F"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22,5</w:t>
            </w:r>
          </w:p>
        </w:tc>
        <w:tc>
          <w:tcPr>
            <w:tcW w:w="0" w:type="auto"/>
            <w:tcBorders>
              <w:top w:val="nil"/>
              <w:bottom w:val="single" w:sz="4" w:space="0" w:color="auto"/>
            </w:tcBorders>
          </w:tcPr>
          <w:p w14:paraId="530503F6"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top w:val="nil"/>
              <w:bottom w:val="single" w:sz="4" w:space="0" w:color="auto"/>
            </w:tcBorders>
          </w:tcPr>
          <w:p w14:paraId="0275D19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top w:val="nil"/>
              <w:bottom w:val="single" w:sz="4" w:space="0" w:color="auto"/>
            </w:tcBorders>
          </w:tcPr>
          <w:p w14:paraId="7CF5F31A"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1,6</w:t>
            </w:r>
          </w:p>
        </w:tc>
      </w:tr>
    </w:tbl>
    <w:p w14:paraId="19F22CDC" w14:textId="77777777" w:rsidR="005C63AA" w:rsidRPr="0050604E" w:rsidRDefault="005C63AA" w:rsidP="00F13162">
      <w:pPr>
        <w:spacing w:after="0"/>
        <w:rPr>
          <w:rFonts w:ascii="Times New Roman" w:hAnsi="Times New Roman"/>
          <w:color w:val="000000" w:themeColor="text1"/>
          <w:sz w:val="20"/>
          <w:szCs w:val="20"/>
        </w:rPr>
      </w:pPr>
      <w:bookmarkStart w:id="6" w:name="Figure1"/>
      <w:bookmarkStart w:id="7" w:name="_Ref88358385"/>
      <w:bookmarkEnd w:id="6"/>
    </w:p>
    <w:tbl>
      <w:tblPr>
        <w:tblStyle w:val="TableGrid"/>
        <w:tblW w:w="0" w:type="auto"/>
        <w:jc w:val="center"/>
        <w:tblLook w:val="04A0" w:firstRow="1" w:lastRow="0" w:firstColumn="1" w:lastColumn="0" w:noHBand="0" w:noVBand="1"/>
      </w:tblPr>
      <w:tblGrid>
        <w:gridCol w:w="8987"/>
      </w:tblGrid>
      <w:tr w:rsidR="0050604E" w:rsidRPr="0050604E" w14:paraId="56B88E4B" w14:textId="77777777" w:rsidTr="005C63AA">
        <w:trPr>
          <w:jc w:val="center"/>
        </w:trPr>
        <w:tc>
          <w:tcPr>
            <w:tcW w:w="8987" w:type="dxa"/>
          </w:tcPr>
          <w:p w14:paraId="0F542EBF" w14:textId="77777777" w:rsidR="0050604E" w:rsidRPr="0050604E" w:rsidRDefault="0050604E" w:rsidP="001A6604">
            <w:pPr>
              <w:spacing w:after="0"/>
              <w:jc w:val="both"/>
              <w:rPr>
                <w:rFonts w:ascii="Times New Roman" w:hAnsi="Times New Roman"/>
                <w:color w:val="000000" w:themeColor="text1"/>
                <w:sz w:val="20"/>
                <w:szCs w:val="20"/>
              </w:rPr>
            </w:pPr>
          </w:p>
          <w:p w14:paraId="2B920844" w14:textId="77777777" w:rsidR="0050604E" w:rsidRPr="0050604E" w:rsidRDefault="0050604E" w:rsidP="005C63AA">
            <w:pPr>
              <w:spacing w:after="0"/>
              <w:jc w:val="center"/>
              <w:rPr>
                <w:rFonts w:ascii="Times New Roman" w:hAnsi="Times New Roman"/>
                <w:color w:val="000000" w:themeColor="text1"/>
                <w:sz w:val="20"/>
                <w:szCs w:val="20"/>
              </w:rPr>
            </w:pPr>
            <w:r w:rsidRPr="0050604E">
              <w:rPr>
                <w:rFonts w:ascii="Times New Roman" w:hAnsi="Times New Roman"/>
                <w:noProof/>
                <w:color w:val="000000" w:themeColor="text1"/>
                <w:sz w:val="20"/>
                <w:szCs w:val="20"/>
              </w:rPr>
              <w:drawing>
                <wp:inline distT="0" distB="0" distL="0" distR="0" wp14:anchorId="11BD2C37" wp14:editId="2155EB10">
                  <wp:extent cx="5024176" cy="1532414"/>
                  <wp:effectExtent l="0" t="0" r="508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9781" t="32578" r="19963" b="34843"/>
                          <a:stretch>
                            <a:fillRect/>
                          </a:stretch>
                        </pic:blipFill>
                        <pic:spPr bwMode="auto">
                          <a:xfrm>
                            <a:off x="0" y="0"/>
                            <a:ext cx="5051654" cy="1540795"/>
                          </a:xfrm>
                          <a:prstGeom prst="rect">
                            <a:avLst/>
                          </a:prstGeom>
                          <a:noFill/>
                          <a:ln>
                            <a:noFill/>
                          </a:ln>
                        </pic:spPr>
                      </pic:pic>
                    </a:graphicData>
                  </a:graphic>
                </wp:inline>
              </w:drawing>
            </w:r>
          </w:p>
          <w:p w14:paraId="1C53D8FE" w14:textId="77777777" w:rsidR="0050604E" w:rsidRPr="0050604E" w:rsidRDefault="0050604E" w:rsidP="001A6604">
            <w:pPr>
              <w:spacing w:after="0"/>
              <w:jc w:val="both"/>
              <w:rPr>
                <w:rFonts w:ascii="Times New Roman" w:hAnsi="Times New Roman"/>
                <w:color w:val="000000" w:themeColor="text1"/>
                <w:sz w:val="20"/>
                <w:szCs w:val="20"/>
              </w:rPr>
            </w:pPr>
          </w:p>
          <w:p w14:paraId="57B85C44" w14:textId="77777777" w:rsidR="0050604E" w:rsidRPr="0050604E" w:rsidRDefault="0050604E" w:rsidP="001A6604">
            <w:pPr>
              <w:spacing w:after="0"/>
              <w:jc w:val="both"/>
              <w:rPr>
                <w:rFonts w:ascii="Times New Roman" w:hAnsi="Times New Roman"/>
                <w:color w:val="000000" w:themeColor="text1"/>
                <w:sz w:val="20"/>
                <w:szCs w:val="20"/>
              </w:rPr>
            </w:pPr>
          </w:p>
        </w:tc>
      </w:tr>
    </w:tbl>
    <w:p w14:paraId="52145E5A" w14:textId="688DF775" w:rsidR="0050604E" w:rsidRPr="0050604E" w:rsidRDefault="0050604E" w:rsidP="00F13162">
      <w:pPr>
        <w:pStyle w:val="Caption"/>
        <w:spacing w:before="120" w:after="0" w:line="276" w:lineRule="auto"/>
        <w:jc w:val="center"/>
        <w:rPr>
          <w:i w:val="0"/>
          <w:color w:val="000000" w:themeColor="text1"/>
          <w:sz w:val="20"/>
          <w:szCs w:val="20"/>
        </w:rPr>
      </w:pPr>
      <w:r w:rsidRPr="0050604E">
        <w:rPr>
          <w:i w:val="0"/>
          <w:color w:val="000000" w:themeColor="text1"/>
          <w:sz w:val="20"/>
          <w:szCs w:val="20"/>
        </w:rPr>
        <w:t xml:space="preserve">Figure </w:t>
      </w:r>
      <w:r w:rsidRPr="0050604E">
        <w:rPr>
          <w:i w:val="0"/>
          <w:color w:val="000000" w:themeColor="text1"/>
          <w:sz w:val="20"/>
          <w:szCs w:val="20"/>
        </w:rPr>
        <w:fldChar w:fldCharType="begin"/>
      </w:r>
      <w:r w:rsidRPr="0050604E">
        <w:rPr>
          <w:i w:val="0"/>
          <w:color w:val="000000" w:themeColor="text1"/>
          <w:sz w:val="20"/>
          <w:szCs w:val="20"/>
        </w:rPr>
        <w:instrText xml:space="preserve"> SEQ Figure \* ARABIC </w:instrText>
      </w:r>
      <w:r w:rsidRPr="0050604E">
        <w:rPr>
          <w:i w:val="0"/>
          <w:color w:val="000000" w:themeColor="text1"/>
          <w:sz w:val="20"/>
          <w:szCs w:val="20"/>
        </w:rPr>
        <w:fldChar w:fldCharType="separate"/>
      </w:r>
      <w:r w:rsidRPr="0050604E">
        <w:rPr>
          <w:i w:val="0"/>
          <w:noProof/>
          <w:color w:val="000000" w:themeColor="text1"/>
          <w:sz w:val="20"/>
          <w:szCs w:val="20"/>
        </w:rPr>
        <w:t>1</w:t>
      </w:r>
      <w:r w:rsidRPr="0050604E">
        <w:rPr>
          <w:i w:val="0"/>
          <w:color w:val="000000" w:themeColor="text1"/>
          <w:sz w:val="20"/>
          <w:szCs w:val="20"/>
        </w:rPr>
        <w:fldChar w:fldCharType="end"/>
      </w:r>
      <w:bookmarkEnd w:id="7"/>
      <w:r w:rsidRPr="0050604E">
        <w:rPr>
          <w:i w:val="0"/>
          <w:color w:val="000000" w:themeColor="text1"/>
          <w:sz w:val="20"/>
          <w:szCs w:val="20"/>
        </w:rPr>
        <w:t xml:space="preserve">. </w:t>
      </w:r>
      <w:r w:rsidR="005C63AA">
        <w:rPr>
          <w:i w:val="0"/>
          <w:color w:val="000000" w:themeColor="text1"/>
          <w:sz w:val="20"/>
          <w:szCs w:val="20"/>
        </w:rPr>
        <w:t xml:space="preserve"> </w:t>
      </w:r>
      <w:r w:rsidRPr="0050604E">
        <w:rPr>
          <w:i w:val="0"/>
          <w:color w:val="000000" w:themeColor="text1"/>
          <w:sz w:val="20"/>
          <w:szCs w:val="20"/>
        </w:rPr>
        <w:t>Procedural scheme for the PUU/IPSW biofoam synthesis</w:t>
      </w:r>
    </w:p>
    <w:p w14:paraId="2B1F2100" w14:textId="45129D8B" w:rsidR="005C63AA" w:rsidRDefault="005C63AA" w:rsidP="0050604E">
      <w:pPr>
        <w:spacing w:after="0"/>
        <w:jc w:val="both"/>
        <w:rPr>
          <w:rFonts w:ascii="Times New Roman" w:hAnsi="Times New Roman"/>
          <w:b/>
          <w:color w:val="000000" w:themeColor="text1"/>
          <w:sz w:val="20"/>
          <w:szCs w:val="20"/>
        </w:rPr>
      </w:pPr>
      <w:bookmarkStart w:id="8" w:name="microscopecamera"/>
    </w:p>
    <w:p w14:paraId="7632B383" w14:textId="77777777" w:rsidR="002A4B4B" w:rsidRDefault="002A4B4B" w:rsidP="0050604E">
      <w:pPr>
        <w:spacing w:after="0"/>
        <w:jc w:val="both"/>
        <w:rPr>
          <w:rFonts w:ascii="Times New Roman" w:hAnsi="Times New Roman"/>
          <w:b/>
          <w:color w:val="000000" w:themeColor="text1"/>
          <w:sz w:val="20"/>
          <w:szCs w:val="20"/>
        </w:rPr>
      </w:pPr>
    </w:p>
    <w:p w14:paraId="5282FCDB" w14:textId="77777777" w:rsidR="002A4B4B" w:rsidRDefault="002A4B4B" w:rsidP="0050604E">
      <w:pPr>
        <w:spacing w:after="0"/>
        <w:jc w:val="both"/>
        <w:rPr>
          <w:rFonts w:ascii="Times New Roman" w:hAnsi="Times New Roman"/>
          <w:b/>
          <w:color w:val="000000" w:themeColor="text1"/>
          <w:sz w:val="20"/>
          <w:szCs w:val="20"/>
        </w:rPr>
        <w:sectPr w:rsidR="002A4B4B" w:rsidSect="00F13162">
          <w:footerReference w:type="default" r:id="rId15"/>
          <w:type w:val="continuous"/>
          <w:pgSz w:w="12240" w:h="15840" w:code="1"/>
          <w:pgMar w:top="1800" w:right="1469" w:bottom="1699" w:left="1440" w:header="706" w:footer="706" w:gutter="0"/>
          <w:pgNumType w:start="0"/>
          <w:cols w:space="708"/>
          <w:docGrid w:linePitch="360"/>
        </w:sectPr>
      </w:pPr>
    </w:p>
    <w:p w14:paraId="72747497" w14:textId="79D4905B" w:rsidR="0050604E" w:rsidRPr="0050604E" w:rsidRDefault="0050604E" w:rsidP="0050604E">
      <w:pPr>
        <w:spacing w:after="0"/>
        <w:jc w:val="both"/>
        <w:rPr>
          <w:rFonts w:ascii="Times New Roman" w:hAnsi="Times New Roman"/>
          <w:b/>
          <w:color w:val="000000" w:themeColor="text1"/>
          <w:sz w:val="20"/>
          <w:szCs w:val="20"/>
        </w:rPr>
      </w:pPr>
      <w:r w:rsidRPr="0050604E">
        <w:rPr>
          <w:rFonts w:ascii="Times New Roman" w:hAnsi="Times New Roman"/>
          <w:b/>
          <w:color w:val="000000" w:themeColor="text1"/>
          <w:sz w:val="20"/>
          <w:szCs w:val="20"/>
        </w:rPr>
        <w:t>Microscope camera</w:t>
      </w:r>
    </w:p>
    <w:bookmarkEnd w:id="8"/>
    <w:p w14:paraId="78A9BE9C"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biofoam pore morphology in was observed by using a Nikon Eclipse 80i microscope camera for 10x magnification. The resulted pore distribution was calculated by using Image J software. The pore distribution data were analyzed by using OriginLab software.</w:t>
      </w:r>
      <w:bookmarkStart w:id="9" w:name="SEM"/>
    </w:p>
    <w:p w14:paraId="23026D52"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p>
    <w:p w14:paraId="2F28A600" w14:textId="77777777" w:rsidR="0050604E" w:rsidRPr="0050604E" w:rsidRDefault="0050604E" w:rsidP="0050604E">
      <w:pPr>
        <w:pStyle w:val="ListParagraph"/>
        <w:spacing w:after="0"/>
        <w:ind w:left="0"/>
        <w:contextualSpacing w:val="0"/>
        <w:jc w:val="both"/>
        <w:rPr>
          <w:rFonts w:ascii="Times New Roman" w:hAnsi="Times New Roman"/>
          <w:b/>
          <w:color w:val="000000" w:themeColor="text1"/>
          <w:sz w:val="20"/>
          <w:szCs w:val="20"/>
        </w:rPr>
      </w:pPr>
      <w:r w:rsidRPr="0050604E">
        <w:rPr>
          <w:rFonts w:ascii="Times New Roman" w:hAnsi="Times New Roman"/>
          <w:b/>
          <w:color w:val="000000" w:themeColor="text1"/>
          <w:sz w:val="20"/>
          <w:szCs w:val="20"/>
        </w:rPr>
        <w:t>Scanning Electron Microscopy</w:t>
      </w:r>
      <w:bookmarkEnd w:id="9"/>
    </w:p>
    <w:p w14:paraId="45752537"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morphological properties of biofoam cells were observed by using Scanning Electron Microscopy (SEM) Phenom ProX. the PUU/IPSW biofoam samples were ground into powders and then plated with gold and subjected to 10kV voltage. Prior to the test, the samples’ surfaces were gold-plated in order to have conductive properties and to be detectable by the SEM detector Phenom ProX secondary electron detector (SED).</w:t>
      </w:r>
    </w:p>
    <w:p w14:paraId="3A21994E"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p>
    <w:p w14:paraId="36031583" w14:textId="77777777" w:rsidR="0050604E" w:rsidRPr="0050604E" w:rsidRDefault="0050604E" w:rsidP="0050604E">
      <w:pPr>
        <w:spacing w:after="0"/>
        <w:jc w:val="both"/>
        <w:rPr>
          <w:rFonts w:ascii="Times New Roman" w:hAnsi="Times New Roman"/>
          <w:b/>
          <w:color w:val="000000" w:themeColor="text1"/>
          <w:sz w:val="20"/>
          <w:szCs w:val="20"/>
        </w:rPr>
      </w:pPr>
      <w:bookmarkStart w:id="10" w:name="FTIR"/>
      <w:r w:rsidRPr="0050604E">
        <w:rPr>
          <w:rFonts w:ascii="Times New Roman" w:hAnsi="Times New Roman"/>
          <w:b/>
          <w:color w:val="000000" w:themeColor="text1"/>
          <w:sz w:val="20"/>
          <w:szCs w:val="20"/>
        </w:rPr>
        <w:t>Fourier transform infrared spectroscopy</w:t>
      </w:r>
    </w:p>
    <w:bookmarkEnd w:id="10"/>
    <w:p w14:paraId="2F5D03B4" w14:textId="77777777" w:rsidR="0050604E" w:rsidRPr="0050604E" w:rsidRDefault="0050604E" w:rsidP="0050604E">
      <w:pPr>
        <w:pStyle w:val="ListParagraph"/>
        <w:spacing w:after="0"/>
        <w:ind w:left="0" w:hanging="11"/>
        <w:contextualSpacing w:val="0"/>
        <w:jc w:val="both"/>
        <w:rPr>
          <w:rFonts w:ascii="Times New Roman" w:hAnsi="Times New Roman"/>
          <w:color w:val="000000" w:themeColor="text1"/>
          <w:sz w:val="20"/>
          <w:szCs w:val="20"/>
        </w:rPr>
      </w:pPr>
      <w:r w:rsidRPr="0050604E">
        <w:rPr>
          <w:rFonts w:ascii="Times New Roman" w:hAnsi="Times New Roman"/>
          <w:b/>
          <w:color w:val="000000" w:themeColor="text1"/>
          <w:sz w:val="20"/>
          <w:szCs w:val="20"/>
        </w:rPr>
        <w:tab/>
      </w:r>
      <w:r w:rsidRPr="0050604E">
        <w:rPr>
          <w:rFonts w:ascii="Times New Roman" w:hAnsi="Times New Roman"/>
          <w:color w:val="000000" w:themeColor="text1"/>
          <w:sz w:val="20"/>
          <w:szCs w:val="20"/>
        </w:rPr>
        <w:t>The PUU/IPSW biofoam chemical structure was analyzed with FTIR spectroscopy by using KBr pellet technique with measurements at 3500-400 cm</w:t>
      </w:r>
      <w:r w:rsidRPr="0050604E">
        <w:rPr>
          <w:rFonts w:ascii="Times New Roman" w:hAnsi="Times New Roman"/>
          <w:color w:val="000000" w:themeColor="text1"/>
          <w:sz w:val="20"/>
          <w:szCs w:val="20"/>
          <w:vertAlign w:val="superscript"/>
        </w:rPr>
        <w:t>-1</w:t>
      </w:r>
      <w:r w:rsidRPr="0050604E">
        <w:rPr>
          <w:rFonts w:ascii="Times New Roman" w:hAnsi="Times New Roman"/>
          <w:color w:val="000000" w:themeColor="text1"/>
          <w:sz w:val="20"/>
          <w:szCs w:val="20"/>
        </w:rPr>
        <w:t xml:space="preserve"> wavenumber.</w:t>
      </w:r>
    </w:p>
    <w:p w14:paraId="1E63E450" w14:textId="77777777" w:rsidR="0050604E" w:rsidRPr="0050604E" w:rsidRDefault="0050604E" w:rsidP="0050604E">
      <w:pPr>
        <w:pStyle w:val="ListParagraph"/>
        <w:spacing w:after="0"/>
        <w:ind w:left="0" w:hanging="11"/>
        <w:contextualSpacing w:val="0"/>
        <w:jc w:val="both"/>
        <w:rPr>
          <w:rFonts w:ascii="Times New Roman" w:hAnsi="Times New Roman"/>
          <w:color w:val="000000" w:themeColor="text1"/>
          <w:sz w:val="20"/>
          <w:szCs w:val="20"/>
        </w:rPr>
      </w:pPr>
    </w:p>
    <w:p w14:paraId="793A9552" w14:textId="77777777" w:rsidR="0050604E" w:rsidRPr="0050604E" w:rsidRDefault="0050604E" w:rsidP="0050604E">
      <w:pPr>
        <w:spacing w:after="0"/>
        <w:jc w:val="both"/>
        <w:rPr>
          <w:rFonts w:ascii="Times New Roman" w:hAnsi="Times New Roman"/>
          <w:b/>
          <w:color w:val="000000" w:themeColor="text1"/>
          <w:sz w:val="20"/>
          <w:szCs w:val="20"/>
        </w:rPr>
      </w:pPr>
      <w:bookmarkStart w:id="11" w:name="TGA"/>
      <w:r w:rsidRPr="0050604E">
        <w:rPr>
          <w:rFonts w:ascii="Times New Roman" w:hAnsi="Times New Roman"/>
          <w:b/>
          <w:color w:val="000000" w:themeColor="text1"/>
          <w:sz w:val="20"/>
          <w:szCs w:val="20"/>
        </w:rPr>
        <w:t xml:space="preserve">Thermogravimetric analysis </w:t>
      </w:r>
    </w:p>
    <w:bookmarkEnd w:id="11"/>
    <w:p w14:paraId="577F56D6"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PUU/IPSW biofoam was subjected to TGA to obtain its thermal resistance with the TGA DSC 200 of Seiko SSC 5200H at a temperature of 25-600 (</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C) with a heating rate of 10</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C/minute.</w:t>
      </w:r>
    </w:p>
    <w:p w14:paraId="04678F76" w14:textId="643670F0" w:rsidR="0050604E" w:rsidRPr="002A4B4B" w:rsidRDefault="0050604E" w:rsidP="002A4B4B">
      <w:pPr>
        <w:spacing w:after="0"/>
        <w:jc w:val="both"/>
        <w:rPr>
          <w:rFonts w:ascii="Times New Roman" w:hAnsi="Times New Roman"/>
          <w:b/>
          <w:color w:val="000000" w:themeColor="text1"/>
          <w:sz w:val="20"/>
          <w:szCs w:val="20"/>
        </w:rPr>
      </w:pPr>
      <w:bookmarkStart w:id="12" w:name="Impadancetube"/>
      <w:r w:rsidRPr="002A4B4B">
        <w:rPr>
          <w:rFonts w:ascii="Times New Roman" w:hAnsi="Times New Roman"/>
          <w:b/>
          <w:color w:val="000000" w:themeColor="text1"/>
          <w:sz w:val="20"/>
          <w:szCs w:val="20"/>
        </w:rPr>
        <w:t xml:space="preserve">Impedance tube testing </w:t>
      </w:r>
      <w:bookmarkEnd w:id="12"/>
    </w:p>
    <w:p w14:paraId="59FAA28B" w14:textId="07A8E8C6" w:rsidR="002F0EDB" w:rsidRDefault="0050604E" w:rsidP="005C63AA">
      <w:pPr>
        <w:spacing w:after="0"/>
        <w:jc w:val="both"/>
        <w:rPr>
          <w:rFonts w:ascii="Times New Roman" w:hAnsi="Times New Roman"/>
          <w:b/>
          <w:noProof/>
          <w:sz w:val="20"/>
          <w:szCs w:val="20"/>
          <w:lang w:bidi="ar-SA"/>
        </w:rPr>
      </w:pPr>
      <w:r w:rsidRPr="0050604E">
        <w:rPr>
          <w:rFonts w:ascii="Times New Roman" w:hAnsi="Times New Roman"/>
          <w:color w:val="000000" w:themeColor="text1"/>
          <w:sz w:val="20"/>
          <w:szCs w:val="20"/>
        </w:rPr>
        <w:t>The PUU/IPSW biofoam sound-proofing ability was measured with an acoustic test that followed the ASTM E-1050 standard. The biofoam samples were shaped into a 28mm-diameter circle. Two microphone techniques and automated frequency analysis systems were used to quantify the effect of normal sound absorption coefficient and precise normal acoustic impedance comparisons of materials, with frequencies ranging from 0 to 6400 (Hz)</w:t>
      </w:r>
      <w:r w:rsidR="00887CB3">
        <w:rPr>
          <w:rFonts w:ascii="Times New Roman" w:hAnsi="Times New Roman"/>
          <w:color w:val="000000" w:themeColor="text1"/>
          <w:sz w:val="20"/>
          <w:szCs w:val="20"/>
        </w:rPr>
        <w:t xml:space="preserve"> [10, 11,15]</w:t>
      </w:r>
      <w:r w:rsidRPr="0050604E">
        <w:rPr>
          <w:rFonts w:ascii="Times New Roman" w:hAnsi="Times New Roman"/>
          <w:color w:val="000000" w:themeColor="text1"/>
          <w:sz w:val="20"/>
          <w:szCs w:val="20"/>
        </w:rPr>
        <w:t>.</w:t>
      </w:r>
    </w:p>
    <w:p w14:paraId="497B17FB" w14:textId="77777777" w:rsidR="002A4B4B" w:rsidRDefault="002A4B4B" w:rsidP="002A4B4B">
      <w:pPr>
        <w:spacing w:after="0"/>
        <w:rPr>
          <w:rFonts w:ascii="Times New Roman" w:hAnsi="Times New Roman"/>
          <w:b/>
          <w:noProof/>
          <w:sz w:val="20"/>
          <w:szCs w:val="20"/>
          <w:lang w:bidi="ar-SA"/>
        </w:rPr>
      </w:pPr>
    </w:p>
    <w:p w14:paraId="561999F9" w14:textId="77777777" w:rsidR="002A4B4B" w:rsidRPr="00383C16" w:rsidRDefault="002A4B4B" w:rsidP="002A4B4B">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2F34DA6C" w14:textId="77777777" w:rsidR="002A4B4B" w:rsidRPr="005C63AA" w:rsidRDefault="002A4B4B" w:rsidP="002A4B4B">
      <w:pPr>
        <w:spacing w:after="0"/>
        <w:jc w:val="both"/>
        <w:rPr>
          <w:rFonts w:ascii="Times New Roman" w:hAnsi="Times New Roman"/>
          <w:b/>
          <w:color w:val="000000" w:themeColor="text1"/>
          <w:sz w:val="20"/>
          <w:szCs w:val="20"/>
        </w:rPr>
      </w:pPr>
      <w:r w:rsidRPr="005C63AA">
        <w:rPr>
          <w:rFonts w:ascii="Times New Roman" w:hAnsi="Times New Roman"/>
          <w:b/>
          <w:color w:val="000000" w:themeColor="text1"/>
          <w:sz w:val="20"/>
          <w:szCs w:val="20"/>
        </w:rPr>
        <w:t xml:space="preserve">Cell morphology </w:t>
      </w:r>
    </w:p>
    <w:p w14:paraId="19AC2978" w14:textId="79F45729" w:rsidR="002A4B4B" w:rsidRPr="005C63AA" w:rsidRDefault="002A4B4B" w:rsidP="002A4B4B">
      <w:pPr>
        <w:spacing w:after="0"/>
        <w:jc w:val="both"/>
        <w:rPr>
          <w:rFonts w:ascii="Times New Roman" w:hAnsi="Times New Roman"/>
          <w:color w:val="000000" w:themeColor="text1"/>
          <w:sz w:val="20"/>
          <w:szCs w:val="20"/>
        </w:rPr>
      </w:pPr>
      <w:r w:rsidRPr="005C63AA">
        <w:rPr>
          <w:rFonts w:ascii="Times New Roman" w:hAnsi="Times New Roman"/>
          <w:color w:val="000000" w:themeColor="text1"/>
          <w:sz w:val="20"/>
          <w:szCs w:val="20"/>
        </w:rPr>
        <w:t xml:space="preserve">Two </w:t>
      </w:r>
      <w:r>
        <w:rPr>
          <w:rFonts w:ascii="Times New Roman" w:hAnsi="Times New Roman"/>
          <w:color w:val="000000" w:themeColor="text1"/>
          <w:sz w:val="20"/>
          <w:szCs w:val="20"/>
        </w:rPr>
        <w:t xml:space="preserve"> </w:t>
      </w:r>
      <w:r w:rsidRPr="005C63AA">
        <w:rPr>
          <w:rFonts w:ascii="Times New Roman" w:hAnsi="Times New Roman"/>
          <w:color w:val="000000" w:themeColor="text1"/>
          <w:sz w:val="20"/>
          <w:szCs w:val="20"/>
        </w:rPr>
        <w:t>microscopes, SEM for 500x magnification (</w:t>
      </w:r>
      <w:r w:rsidR="0038729A">
        <w:rPr>
          <w:rFonts w:ascii="Times New Roman" w:hAnsi="Times New Roman"/>
          <w:color w:val="000000" w:themeColor="text1"/>
          <w:sz w:val="20"/>
          <w:szCs w:val="20"/>
        </w:rPr>
        <w:t xml:space="preserve">Figure 2) </w:t>
      </w:r>
      <w:r w:rsidRPr="005C63AA">
        <w:rPr>
          <w:rFonts w:ascii="Times New Roman" w:hAnsi="Times New Roman"/>
          <w:color w:val="000000" w:themeColor="text1"/>
          <w:sz w:val="20"/>
          <w:szCs w:val="20"/>
        </w:rPr>
        <w:t>and Microscope Camera for 10x magnification (</w:t>
      </w:r>
      <w:r w:rsidR="0038729A">
        <w:rPr>
          <w:rFonts w:ascii="Times New Roman" w:hAnsi="Times New Roman"/>
          <w:color w:val="000000" w:themeColor="text1"/>
          <w:sz w:val="20"/>
          <w:szCs w:val="20"/>
        </w:rPr>
        <w:t>Figure 3)</w:t>
      </w:r>
      <w:r w:rsidRPr="005C63AA">
        <w:rPr>
          <w:rFonts w:ascii="Times New Roman" w:hAnsi="Times New Roman"/>
          <w:color w:val="000000" w:themeColor="text1"/>
          <w:sz w:val="20"/>
          <w:szCs w:val="20"/>
        </w:rPr>
        <w:t xml:space="preserve">, were used to examine the biofoam pore morphology. Three samples, namely BP0, BP5, and BP1.5 were observed on SEM as representative treatments. The results show that majority of the pores formed were macropores since the size was found to be more than 50µm. Three types of biofoam morphology were then determined: 1) open-celled, meaning that the biofoam pores were found to have interconnecting holes between each other; 2) closed-celled, meaning that the biofoam pores were found to not have interconnecting holes between each other; and 3) intermediate-celled, meaning that the biofoam pores were found in a combination of the two. BP0 was found to be closed-celled, with circular to oval shape when it expanded. BP5 was found to be </w:t>
      </w:r>
      <w:r w:rsidRPr="005C63AA">
        <w:rPr>
          <w:rFonts w:ascii="Times New Roman" w:hAnsi="Times New Roman"/>
          <w:color w:val="000000" w:themeColor="text1"/>
          <w:sz w:val="20"/>
          <w:szCs w:val="20"/>
        </w:rPr>
        <w:lastRenderedPageBreak/>
        <w:t>intermediate-celled with oval shape</w:t>
      </w:r>
      <w:r w:rsidR="00512D4F">
        <w:rPr>
          <w:rFonts w:ascii="Times New Roman" w:hAnsi="Times New Roman"/>
          <w:color w:val="000000" w:themeColor="text1"/>
          <w:sz w:val="20"/>
          <w:szCs w:val="20"/>
        </w:rPr>
        <w:t xml:space="preserve"> [3].</w:t>
      </w:r>
      <w:r w:rsidRPr="005C63AA">
        <w:rPr>
          <w:rFonts w:ascii="Times New Roman" w:hAnsi="Times New Roman"/>
          <w:color w:val="000000" w:themeColor="text1"/>
          <w:sz w:val="20"/>
          <w:szCs w:val="20"/>
        </w:rPr>
        <w:t xml:space="preserve"> Other microstructures were observed in PU layers. BP1.5 had closed-celled microstructure with polygonal shape. It had another microstructure, namely interconnecting hole. According the SEM images, filler addition influenced the biofoam morphology. It was observed that the filler could make a closed-celled sample to be an open-celled one, since it filled the biofoam matrices. Meanwhile, the effect of filler addition to MDI ratio enhancement was found to be not significant. The SEM image results were smooth, demonstrating MAH's ability to act as a coupling agent.  The smoothest the sample captured by SEM causes the role of MAH which can relate the filler and the biofoam matrices. Therefore, the surface of samples seemed smooth.</w:t>
      </w:r>
    </w:p>
    <w:p w14:paraId="3A43B221" w14:textId="77777777" w:rsidR="002A4B4B" w:rsidRDefault="002A4B4B" w:rsidP="002A4B4B">
      <w:pPr>
        <w:spacing w:after="0"/>
        <w:rPr>
          <w:rFonts w:ascii="Times New Roman" w:hAnsi="Times New Roman"/>
          <w:b/>
          <w:noProof/>
          <w:sz w:val="20"/>
          <w:szCs w:val="20"/>
          <w:lang w:bidi="ar-SA"/>
        </w:rPr>
      </w:pPr>
    </w:p>
    <w:p w14:paraId="521564AB" w14:textId="64AE26C7" w:rsidR="002A4B4B" w:rsidRPr="005C63AA" w:rsidRDefault="002A4B4B" w:rsidP="002A4B4B">
      <w:pPr>
        <w:spacing w:after="0"/>
        <w:jc w:val="both"/>
        <w:rPr>
          <w:rFonts w:ascii="Times New Roman" w:hAnsi="Times New Roman"/>
          <w:color w:val="000000" w:themeColor="text1"/>
          <w:sz w:val="20"/>
          <w:szCs w:val="20"/>
        </w:rPr>
      </w:pPr>
      <w:r w:rsidRPr="005C63AA">
        <w:rPr>
          <w:rFonts w:ascii="Times New Roman" w:hAnsi="Times New Roman"/>
          <w:color w:val="000000" w:themeColor="text1"/>
          <w:sz w:val="20"/>
          <w:szCs w:val="20"/>
        </w:rPr>
        <w:t xml:space="preserve">The structure of the cavities and pores created during the polymerization process and the cell size were determined by the gelling and blowing reactions. If the cavity pressure is greater than the wall strength, biofoam with an open-celled structure may be created. </w:t>
      </w:r>
      <w:r w:rsidRPr="005C63AA">
        <w:rPr>
          <w:rFonts w:ascii="Times New Roman" w:hAnsi="Times New Roman"/>
          <w:color w:val="000000" w:themeColor="text1"/>
          <w:sz w:val="20"/>
          <w:szCs w:val="20"/>
        </w:rPr>
        <w:t xml:space="preserve">At low channel flow rates, the cavity wall thickness retains hardness. However, if the hardening process is completed before the open pore formation, some open pores can form. Closed cells will remain if the cavity wall hardens completely before fracturing </w:t>
      </w:r>
      <w:r w:rsidRPr="005C63AA">
        <w:rPr>
          <w:rStyle w:val="FootnoteReference"/>
          <w:rFonts w:ascii="Times New Roman" w:hAnsi="Times New Roman"/>
          <w:color w:val="000000" w:themeColor="text1"/>
          <w:sz w:val="20"/>
          <w:szCs w:val="20"/>
        </w:rPr>
        <w:fldChar w:fldCharType="begin" w:fldLock="1"/>
      </w:r>
      <w:r w:rsidRPr="005C63AA">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10.17475/kastorman.626277","ISSN":"1303-2399","author":[{"dropping-particle":"","family":"Demirel","given":"Samet","non-dropping-particle":"","parse-names":false,"suffix":""},{"dropping-particle":"","family":"Ergun Tuna","given":"Busra","non-dropping-particle":"","parse-names":false,"suffix":""}],"container-title":"Kastamonu Üniversitesi Orman Fakültesi Dergisi","id":"ITEM-2","issue":"2","issued":{"date-parts":[["2019"]]},"page":"25-34","title":"Constant-Fatigue Performance of Different Polyurethane Foams for Sitting Purposes","type":"article-journal","volume":"19"},"uris":["http://www.mendeley.com/documents/?uuid=f0efbac2-e8fb-40f0-b67e-e0ba0facb7b6"]}],"mendeley":{"formattedCitation":"[1], [13]","manualFormatting":"[1,27]","plainTextFormattedCitation":"[1], [13]","previouslyFormattedCitation":"[1], [13]"},"properties":{"noteIndex":0},"schema":"https://github.com/citation-style-language/schema/raw/master/csl-citation.json"}</w:instrText>
      </w:r>
      <w:r w:rsidRPr="005C63AA">
        <w:rPr>
          <w:rStyle w:val="FootnoteReference"/>
          <w:rFonts w:ascii="Times New Roman" w:hAnsi="Times New Roman"/>
          <w:color w:val="000000" w:themeColor="text1"/>
          <w:sz w:val="20"/>
          <w:szCs w:val="20"/>
        </w:rPr>
        <w:fldChar w:fldCharType="separate"/>
      </w:r>
      <w:r w:rsidRPr="005C63AA">
        <w:rPr>
          <w:rFonts w:ascii="Times New Roman" w:hAnsi="Times New Roman"/>
          <w:noProof/>
          <w:color w:val="000000" w:themeColor="text1"/>
          <w:sz w:val="20"/>
          <w:szCs w:val="20"/>
        </w:rPr>
        <w:t>[2, 16, 17]</w:t>
      </w:r>
      <w:r w:rsidRPr="005C63AA">
        <w:rPr>
          <w:rStyle w:val="FootnoteReference"/>
          <w:rFonts w:ascii="Times New Roman" w:hAnsi="Times New Roman"/>
          <w:color w:val="000000" w:themeColor="text1"/>
          <w:sz w:val="20"/>
          <w:szCs w:val="20"/>
        </w:rPr>
        <w:fldChar w:fldCharType="end"/>
      </w:r>
      <w:r w:rsidRPr="005C63AA">
        <w:rPr>
          <w:rFonts w:ascii="Times New Roman" w:hAnsi="Times New Roman"/>
          <w:color w:val="000000" w:themeColor="text1"/>
          <w:sz w:val="20"/>
          <w:szCs w:val="20"/>
        </w:rPr>
        <w:t>. With the addition of filler, the pore distribution continued to reduce in size (</w:t>
      </w:r>
      <w:r w:rsidR="0038729A">
        <w:rPr>
          <w:rFonts w:ascii="Times New Roman" w:hAnsi="Times New Roman"/>
          <w:color w:val="000000" w:themeColor="text1"/>
          <w:sz w:val="20"/>
          <w:szCs w:val="20"/>
        </w:rPr>
        <w:t>Figure 3)</w:t>
      </w:r>
      <w:r w:rsidRPr="005C63AA">
        <w:rPr>
          <w:rFonts w:ascii="Times New Roman" w:hAnsi="Times New Roman"/>
          <w:color w:val="000000" w:themeColor="text1"/>
          <w:sz w:val="20"/>
          <w:szCs w:val="20"/>
        </w:rPr>
        <w:t>. It was identified that sample BP0 had the highest pore distribution with pore size in the range of 250-300 µm, while Samples BP1, BP3, BP4, BP5, and BP1.5 had pore sizes in the range of 100-150 µm. Meanwhile, Sample BP2 had pore distribution with pore size in the range of 150-200 µm. The factor which caused different sizes of pore distribution might occur when the minimum biofoam synthesis period and stirring velocity were not fulfilled. It was suggested that foaming under this kind of condition impacted the cell sizes of Sample BP2. This demonstrated that the presence of filler had a direct impact on the morphological properties and distribution. The biofoam mechanical and thermal efficiency depended on these factors</w:t>
      </w:r>
      <w:r w:rsidR="00512D4F">
        <w:rPr>
          <w:rFonts w:ascii="Times New Roman" w:hAnsi="Times New Roman"/>
          <w:color w:val="000000" w:themeColor="text1"/>
          <w:sz w:val="20"/>
          <w:szCs w:val="20"/>
        </w:rPr>
        <w:t xml:space="preserve"> [8]</w:t>
      </w:r>
      <w:r w:rsidRPr="005C63AA">
        <w:rPr>
          <w:rFonts w:ascii="Times New Roman" w:hAnsi="Times New Roman"/>
          <w:color w:val="000000" w:themeColor="text1"/>
          <w:sz w:val="20"/>
          <w:szCs w:val="20"/>
        </w:rPr>
        <w:t>.</w:t>
      </w:r>
    </w:p>
    <w:p w14:paraId="062B456A" w14:textId="19C3D54E" w:rsidR="002A4B4B" w:rsidRDefault="002A4B4B" w:rsidP="002A4B4B">
      <w:pPr>
        <w:spacing w:after="0"/>
        <w:rPr>
          <w:rFonts w:ascii="Times New Roman" w:hAnsi="Times New Roman"/>
          <w:b/>
          <w:noProof/>
          <w:sz w:val="20"/>
          <w:szCs w:val="20"/>
          <w:lang w:bidi="ar-SA"/>
        </w:rPr>
        <w:sectPr w:rsidR="002A4B4B" w:rsidSect="002A4B4B">
          <w:footerReference w:type="even" r:id="rId16"/>
          <w:type w:val="continuous"/>
          <w:pgSz w:w="12240" w:h="15840" w:code="1"/>
          <w:pgMar w:top="1800" w:right="1469" w:bottom="1699" w:left="1440" w:header="706" w:footer="706" w:gutter="0"/>
          <w:pgNumType w:start="0"/>
          <w:cols w:num="2" w:space="403"/>
          <w:docGrid w:linePitch="360"/>
        </w:sectPr>
      </w:pPr>
    </w:p>
    <w:p w14:paraId="0997EA30" w14:textId="77777777" w:rsidR="003335CD" w:rsidRPr="005C63AA" w:rsidRDefault="003335CD" w:rsidP="003335CD">
      <w:pPr>
        <w:spacing w:after="0"/>
        <w:jc w:val="both"/>
        <w:rPr>
          <w:rFonts w:ascii="Times New Roman" w:hAnsi="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56"/>
      </w:tblGrid>
      <w:tr w:rsidR="003335CD" w:rsidRPr="005C63AA" w14:paraId="17ABC0C7" w14:textId="77777777" w:rsidTr="003335CD">
        <w:trPr>
          <w:trHeight w:val="3168"/>
          <w:jc w:val="center"/>
        </w:trPr>
        <w:tc>
          <w:tcPr>
            <w:tcW w:w="4531" w:type="dxa"/>
          </w:tcPr>
          <w:p w14:paraId="0C94AE0A" w14:textId="77777777" w:rsidR="003335CD" w:rsidRPr="005C63AA" w:rsidRDefault="003335CD" w:rsidP="001A6604">
            <w:pPr>
              <w:spacing w:after="0"/>
              <w:jc w:val="both"/>
              <w:rPr>
                <w:rFonts w:ascii="Times New Roman" w:hAnsi="Times New Roman"/>
                <w:color w:val="000000" w:themeColor="text1"/>
                <w:sz w:val="20"/>
                <w:szCs w:val="20"/>
              </w:rPr>
            </w:pPr>
          </w:p>
          <w:p w14:paraId="3EE57792" w14:textId="77777777" w:rsidR="003335CD" w:rsidRPr="005C63AA" w:rsidRDefault="003335CD" w:rsidP="001A6604">
            <w:pPr>
              <w:spacing w:after="0"/>
              <w:jc w:val="both"/>
              <w:rPr>
                <w:rFonts w:ascii="Times New Roman" w:hAnsi="Times New Roman"/>
                <w:color w:val="000000" w:themeColor="text1"/>
                <w:sz w:val="20"/>
                <w:szCs w:val="20"/>
              </w:rPr>
            </w:pPr>
            <w:r w:rsidRPr="005C63AA">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4686EFFB" wp14:editId="41B14F1E">
                      <wp:simplePos x="0" y="0"/>
                      <wp:positionH relativeFrom="column">
                        <wp:posOffset>273326</wp:posOffset>
                      </wp:positionH>
                      <wp:positionV relativeFrom="paragraph">
                        <wp:posOffset>38542</wp:posOffset>
                      </wp:positionV>
                      <wp:extent cx="373711" cy="270344"/>
                      <wp:effectExtent l="0" t="0" r="26670" b="15875"/>
                      <wp:wrapNone/>
                      <wp:docPr id="1" name="Text Box 1"/>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1DC5DDA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6EFFB" id="_x0000_t202" coordsize="21600,21600" o:spt="202" path="m,l,21600r21600,l21600,xe">
                      <v:stroke joinstyle="miter"/>
                      <v:path gradientshapeok="t" o:connecttype="rect"/>
                    </v:shapetype>
                    <v:shape id="Text Box 1" o:spid="_x0000_s1026" type="#_x0000_t202" style="position:absolute;left:0;text-align:left;margin-left:21.5pt;margin-top:3.05pt;width:29.4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YcNwIAAHsEAAAOAAAAZHJzL2Uyb0RvYy54bWysVE1v2zAMvQ/YfxB0X+x8tOm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" fillcolor="white [3201]" strokeweight=".5pt">
                      <v:textbox>
                        <w:txbxContent>
                          <w:p w14:paraId="1DC5DDA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v:textbox>
                    </v:shape>
                  </w:pict>
                </mc:Fallback>
              </mc:AlternateContent>
            </w:r>
            <w:r w:rsidRPr="005C63AA">
              <w:rPr>
                <w:rFonts w:ascii="Times New Roman" w:hAnsi="Times New Roman"/>
                <w:noProof/>
                <w:sz w:val="20"/>
                <w:szCs w:val="20"/>
              </w:rPr>
              <w:drawing>
                <wp:inline distT="0" distB="0" distL="0" distR="0" wp14:anchorId="4A35110F" wp14:editId="70DC3A26">
                  <wp:extent cx="2511425" cy="19686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29" t="23897" r="48505" b="10304"/>
                          <a:stretch/>
                        </pic:blipFill>
                        <pic:spPr bwMode="auto">
                          <a:xfrm>
                            <a:off x="0" y="0"/>
                            <a:ext cx="2530903" cy="1983918"/>
                          </a:xfrm>
                          <a:prstGeom prst="rect">
                            <a:avLst/>
                          </a:prstGeom>
                          <a:ln>
                            <a:noFill/>
                          </a:ln>
                          <a:extLst>
                            <a:ext uri="{53640926-AAD7-44D8-BBD7-CCE9431645EC}">
                              <a14:shadowObscured xmlns:a14="http://schemas.microsoft.com/office/drawing/2010/main"/>
                            </a:ext>
                          </a:extLst>
                        </pic:spPr>
                      </pic:pic>
                    </a:graphicData>
                  </a:graphic>
                </wp:inline>
              </w:drawing>
            </w:r>
          </w:p>
        </w:tc>
        <w:tc>
          <w:tcPr>
            <w:tcW w:w="4456" w:type="dxa"/>
          </w:tcPr>
          <w:p w14:paraId="0428EFE3" w14:textId="77777777" w:rsidR="003335CD" w:rsidRPr="005C63AA" w:rsidRDefault="003335CD" w:rsidP="001A6604">
            <w:pPr>
              <w:spacing w:after="0"/>
              <w:jc w:val="both"/>
              <w:rPr>
                <w:rFonts w:ascii="Times New Roman" w:hAnsi="Times New Roman"/>
                <w:color w:val="000000" w:themeColor="text1"/>
                <w:sz w:val="20"/>
                <w:szCs w:val="20"/>
              </w:rPr>
            </w:pPr>
          </w:p>
          <w:p w14:paraId="318794C2" w14:textId="77777777" w:rsidR="003335CD" w:rsidRPr="005C63AA" w:rsidRDefault="003335CD" w:rsidP="001A6604">
            <w:pPr>
              <w:spacing w:after="0"/>
              <w:jc w:val="both"/>
              <w:rPr>
                <w:rFonts w:ascii="Times New Roman" w:hAnsi="Times New Roman"/>
                <w:color w:val="000000" w:themeColor="text1"/>
                <w:sz w:val="20"/>
                <w:szCs w:val="20"/>
              </w:rPr>
            </w:pPr>
            <w:r w:rsidRPr="005C63AA">
              <w:rPr>
                <w:rFonts w:ascii="Times New Roman" w:hAnsi="Times New Roman"/>
                <w:noProof/>
                <w:sz w:val="20"/>
                <w:szCs w:val="20"/>
              </w:rPr>
              <mc:AlternateContent>
                <mc:Choice Requires="wps">
                  <w:drawing>
                    <wp:anchor distT="0" distB="0" distL="114300" distR="114300" simplePos="0" relativeHeight="251666432" behindDoc="0" locked="0" layoutInCell="1" allowOverlap="1" wp14:anchorId="4BAFAB81" wp14:editId="2D535CB0">
                      <wp:simplePos x="0" y="0"/>
                      <wp:positionH relativeFrom="column">
                        <wp:posOffset>59828</wp:posOffset>
                      </wp:positionH>
                      <wp:positionV relativeFrom="paragraph">
                        <wp:posOffset>41220</wp:posOffset>
                      </wp:positionV>
                      <wp:extent cx="373711" cy="270344"/>
                      <wp:effectExtent l="0" t="0" r="26670" b="15875"/>
                      <wp:wrapNone/>
                      <wp:docPr id="6" name="Text Box 6"/>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4AD3F3D4"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AB81" id="Text Box 6" o:spid="_x0000_s1027" type="#_x0000_t202" style="position:absolute;left:0;text-align:left;margin-left:4.7pt;margin-top:3.25pt;width:29.4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" fillcolor="white [3201]" strokeweight=".5pt">
                      <v:textbox>
                        <w:txbxContent>
                          <w:p w14:paraId="4AD3F3D4"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v:textbox>
                    </v:shape>
                  </w:pict>
                </mc:Fallback>
              </mc:AlternateContent>
            </w:r>
            <w:r w:rsidRPr="005C63AA">
              <w:rPr>
                <w:rFonts w:ascii="Times New Roman" w:hAnsi="Times New Roman"/>
                <w:noProof/>
                <w:sz w:val="20"/>
                <w:szCs w:val="20"/>
              </w:rPr>
              <w:drawing>
                <wp:inline distT="0" distB="0" distL="0" distR="0" wp14:anchorId="7217AA32" wp14:editId="10E92D56">
                  <wp:extent cx="2559050" cy="191486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559" t="25318" r="24224" b="23122"/>
                          <a:stretch/>
                        </pic:blipFill>
                        <pic:spPr bwMode="auto">
                          <a:xfrm>
                            <a:off x="0" y="0"/>
                            <a:ext cx="2602658" cy="1947492"/>
                          </a:xfrm>
                          <a:prstGeom prst="rect">
                            <a:avLst/>
                          </a:prstGeom>
                          <a:ln>
                            <a:noFill/>
                          </a:ln>
                          <a:extLst>
                            <a:ext uri="{53640926-AAD7-44D8-BBD7-CCE9431645EC}">
                              <a14:shadowObscured xmlns:a14="http://schemas.microsoft.com/office/drawing/2010/main"/>
                            </a:ext>
                          </a:extLst>
                        </pic:spPr>
                      </pic:pic>
                    </a:graphicData>
                  </a:graphic>
                </wp:inline>
              </w:drawing>
            </w:r>
          </w:p>
          <w:p w14:paraId="3962A048" w14:textId="77777777" w:rsidR="003335CD" w:rsidRPr="005C63AA" w:rsidRDefault="003335CD" w:rsidP="001A6604">
            <w:pPr>
              <w:spacing w:after="0"/>
              <w:jc w:val="both"/>
              <w:rPr>
                <w:rFonts w:ascii="Times New Roman" w:hAnsi="Times New Roman"/>
                <w:color w:val="000000" w:themeColor="text1"/>
                <w:sz w:val="20"/>
                <w:szCs w:val="20"/>
              </w:rPr>
            </w:pPr>
          </w:p>
        </w:tc>
      </w:tr>
      <w:tr w:rsidR="003335CD" w:rsidRPr="005C63AA" w14:paraId="59C6BE17" w14:textId="77777777" w:rsidTr="003335CD">
        <w:trPr>
          <w:trHeight w:val="20"/>
          <w:jc w:val="center"/>
        </w:trPr>
        <w:tc>
          <w:tcPr>
            <w:tcW w:w="8987" w:type="dxa"/>
            <w:gridSpan w:val="2"/>
          </w:tcPr>
          <w:p w14:paraId="330F44DF" w14:textId="71E67B6B" w:rsidR="003335CD" w:rsidRPr="005C63AA" w:rsidRDefault="003335CD" w:rsidP="00181943">
            <w:pPr>
              <w:spacing w:after="0"/>
              <w:jc w:val="center"/>
              <w:rPr>
                <w:rFonts w:ascii="Times New Roman" w:hAnsi="Times New Roman"/>
                <w:color w:val="000000" w:themeColor="text1"/>
                <w:sz w:val="20"/>
                <w:szCs w:val="20"/>
              </w:rPr>
            </w:pPr>
          </w:p>
          <w:p w14:paraId="6F02CEDC" w14:textId="32199AED" w:rsidR="003335CD" w:rsidRPr="005C63AA" w:rsidRDefault="003335CD" w:rsidP="00181943">
            <w:pPr>
              <w:spacing w:after="120"/>
              <w:jc w:val="center"/>
              <w:rPr>
                <w:rFonts w:ascii="Times New Roman" w:hAnsi="Times New Roman"/>
                <w:color w:val="000000" w:themeColor="text1"/>
                <w:sz w:val="20"/>
                <w:szCs w:val="20"/>
              </w:rPr>
            </w:pPr>
            <w:r w:rsidRPr="005C63AA">
              <w:rPr>
                <w:rFonts w:ascii="Times New Roman" w:hAnsi="Times New Roman"/>
                <w:noProof/>
                <w:sz w:val="20"/>
                <w:szCs w:val="20"/>
              </w:rPr>
              <w:lastRenderedPageBreak/>
              <mc:AlternateContent>
                <mc:Choice Requires="wps">
                  <w:drawing>
                    <wp:anchor distT="0" distB="0" distL="114300" distR="114300" simplePos="0" relativeHeight="251669504" behindDoc="0" locked="0" layoutInCell="1" allowOverlap="1" wp14:anchorId="5C7D08BE" wp14:editId="43C54C52">
                      <wp:simplePos x="0" y="0"/>
                      <wp:positionH relativeFrom="column">
                        <wp:posOffset>3611880</wp:posOffset>
                      </wp:positionH>
                      <wp:positionV relativeFrom="paragraph">
                        <wp:posOffset>86304</wp:posOffset>
                      </wp:positionV>
                      <wp:extent cx="373711" cy="270344"/>
                      <wp:effectExtent l="0" t="0" r="26670" b="15875"/>
                      <wp:wrapNone/>
                      <wp:docPr id="7" name="Text Box 7"/>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403DE867"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08BE" id="Text Box 7" o:spid="_x0000_s1028" type="#_x0000_t202" style="position:absolute;left:0;text-align:left;margin-left:284.4pt;margin-top:6.8pt;width:29.4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c1OwIAAIIEAAAOAAAAZHJzL2Uyb0RvYy54bWysVE1v2zAMvQ/YfxB0X+x8tOm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" fillcolor="white [3201]" strokeweight=".5pt">
                      <v:textbox>
                        <w:txbxContent>
                          <w:p w14:paraId="403DE867"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v:textbox>
                    </v:shape>
                  </w:pict>
                </mc:Fallback>
              </mc:AlternateContent>
            </w:r>
            <w:r w:rsidRPr="005C63AA">
              <w:rPr>
                <w:rFonts w:ascii="Times New Roman" w:hAnsi="Times New Roman"/>
                <w:noProof/>
                <w:sz w:val="20"/>
                <w:szCs w:val="20"/>
              </w:rPr>
              <w:drawing>
                <wp:inline distT="0" distB="0" distL="0" distR="0" wp14:anchorId="030DC3D4" wp14:editId="421E4DEB">
                  <wp:extent cx="2560320" cy="1817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14" t="22947" r="29768" b="11100"/>
                          <a:stretch/>
                        </pic:blipFill>
                        <pic:spPr bwMode="auto">
                          <a:xfrm>
                            <a:off x="0" y="0"/>
                            <a:ext cx="2591780" cy="18398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205F44" w14:textId="23FFDF33" w:rsidR="003335CD" w:rsidRPr="005C63AA" w:rsidRDefault="003335CD" w:rsidP="003335CD">
      <w:pPr>
        <w:spacing w:after="0"/>
        <w:jc w:val="center"/>
        <w:rPr>
          <w:rFonts w:ascii="Times New Roman" w:hAnsi="Times New Roman"/>
          <w:color w:val="000000" w:themeColor="text1"/>
          <w:sz w:val="20"/>
          <w:szCs w:val="20"/>
        </w:rPr>
      </w:pPr>
      <w:bookmarkStart w:id="13" w:name="_Figure_2._Profile"/>
      <w:bookmarkStart w:id="14" w:name="figure2"/>
      <w:bookmarkStart w:id="15" w:name="_Ref87818059"/>
      <w:bookmarkEnd w:id="13"/>
      <w:bookmarkEnd w:id="14"/>
      <w:r w:rsidRPr="005C63AA">
        <w:rPr>
          <w:rFonts w:ascii="Times New Roman" w:hAnsi="Times New Roman"/>
          <w:color w:val="000000" w:themeColor="text1"/>
          <w:sz w:val="20"/>
          <w:szCs w:val="20"/>
        </w:rPr>
        <w:lastRenderedPageBreak/>
        <w:t xml:space="preserve">Figure </w:t>
      </w:r>
      <w:r w:rsidRPr="005C63AA">
        <w:rPr>
          <w:rFonts w:ascii="Times New Roman" w:hAnsi="Times New Roman"/>
          <w:i/>
          <w:color w:val="000000" w:themeColor="text1"/>
          <w:sz w:val="20"/>
          <w:szCs w:val="20"/>
        </w:rPr>
        <w:fldChar w:fldCharType="begin"/>
      </w:r>
      <w:r w:rsidRPr="005C63AA">
        <w:rPr>
          <w:rFonts w:ascii="Times New Roman" w:hAnsi="Times New Roman"/>
          <w:color w:val="000000" w:themeColor="text1"/>
          <w:sz w:val="20"/>
          <w:szCs w:val="20"/>
        </w:rPr>
        <w:instrText xml:space="preserve"> SEQ Figure \* ARABIC </w:instrText>
      </w:r>
      <w:r w:rsidRPr="005C63AA">
        <w:rPr>
          <w:rFonts w:ascii="Times New Roman" w:hAnsi="Times New Roman"/>
          <w:i/>
          <w:color w:val="000000" w:themeColor="text1"/>
          <w:sz w:val="20"/>
          <w:szCs w:val="20"/>
        </w:rPr>
        <w:fldChar w:fldCharType="separate"/>
      </w:r>
      <w:r w:rsidRPr="005C63AA">
        <w:rPr>
          <w:rFonts w:ascii="Times New Roman" w:hAnsi="Times New Roman"/>
          <w:noProof/>
          <w:color w:val="000000" w:themeColor="text1"/>
          <w:sz w:val="20"/>
          <w:szCs w:val="20"/>
        </w:rPr>
        <w:t>2</w:t>
      </w:r>
      <w:r w:rsidRPr="005C63AA">
        <w:rPr>
          <w:rFonts w:ascii="Times New Roman" w:hAnsi="Times New Roman"/>
          <w:i/>
          <w:color w:val="000000" w:themeColor="text1"/>
          <w:sz w:val="20"/>
          <w:szCs w:val="20"/>
        </w:rPr>
        <w:fldChar w:fldCharType="end"/>
      </w:r>
      <w:bookmarkEnd w:id="15"/>
      <w:r w:rsidRPr="005C63AA">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Pr="005C63AA">
        <w:rPr>
          <w:rFonts w:ascii="Times New Roman" w:hAnsi="Times New Roman"/>
          <w:color w:val="000000" w:themeColor="text1"/>
          <w:sz w:val="20"/>
          <w:szCs w:val="20"/>
        </w:rPr>
        <w:t>SEM images from the PUU/IPSW biofoam samples of (a) BP0, (b) BP5, and (c) BP1.5.</w:t>
      </w:r>
    </w:p>
    <w:p w14:paraId="05A76531" w14:textId="77777777" w:rsidR="003335CD" w:rsidRPr="005C63AA" w:rsidRDefault="003335CD" w:rsidP="003335CD">
      <w:pPr>
        <w:spacing w:after="0"/>
        <w:jc w:val="both"/>
        <w:rPr>
          <w:rFonts w:ascii="Times New Roman" w:hAnsi="Times New Roman"/>
          <w:color w:val="000000" w:themeColor="text1"/>
          <w:sz w:val="20"/>
          <w:szCs w:val="20"/>
        </w:rPr>
      </w:pPr>
    </w:p>
    <w:p w14:paraId="34AD322C" w14:textId="77777777" w:rsidR="003335CD" w:rsidRPr="005C63AA" w:rsidRDefault="003335CD" w:rsidP="003335CD">
      <w:pPr>
        <w:spacing w:after="0"/>
        <w:jc w:val="both"/>
        <w:rPr>
          <w:rFonts w:ascii="Times New Roman" w:hAnsi="Times New Roman"/>
          <w:color w:val="000000" w:themeColor="text1"/>
          <w:sz w:val="20"/>
          <w:szCs w:val="20"/>
        </w:rPr>
      </w:pPr>
    </w:p>
    <w:tbl>
      <w:tblPr>
        <w:tblW w:w="0" w:type="auto"/>
        <w:jc w:val="center"/>
        <w:tblLook w:val="04A0" w:firstRow="1" w:lastRow="0" w:firstColumn="1" w:lastColumn="0" w:noHBand="0" w:noVBand="1"/>
      </w:tblPr>
      <w:tblGrid>
        <w:gridCol w:w="3346"/>
        <w:gridCol w:w="4694"/>
      </w:tblGrid>
      <w:tr w:rsidR="003335CD" w:rsidRPr="005C63AA" w14:paraId="5F52AD99" w14:textId="77777777" w:rsidTr="001A6604">
        <w:trPr>
          <w:jc w:val="center"/>
        </w:trPr>
        <w:tc>
          <w:tcPr>
            <w:tcW w:w="3346" w:type="dxa"/>
          </w:tcPr>
          <w:p w14:paraId="736A8AF6" w14:textId="77777777" w:rsidR="003335CD" w:rsidRPr="005C63AA" w:rsidRDefault="003335CD" w:rsidP="001A6604">
            <w:pPr>
              <w:pStyle w:val="ListParagraph"/>
              <w:spacing w:after="0"/>
              <w:ind w:left="0"/>
              <w:contextualSpacing w:val="0"/>
              <w:jc w:val="both"/>
              <w:rPr>
                <w:rFonts w:ascii="Times New Roman" w:hAnsi="Times New Roman"/>
                <w:noProof/>
                <w:sz w:val="20"/>
                <w:szCs w:val="20"/>
              </w:rPr>
            </w:pPr>
          </w:p>
          <w:p w14:paraId="5961FC6C"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1FA0092A" wp14:editId="598C641A">
                  <wp:extent cx="1800000" cy="1350000"/>
                  <wp:effectExtent l="0" t="0" r="0" b="3175"/>
                  <wp:docPr id="8" name="Picture 8" descr="C:\Users\User\Desktop\TESIS\Hasil tesis\hasil morfologi buat jurnal\010 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ESIS\Hasil tesis\hasil morfologi buat jurnal\010 edit.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1F1D9B38"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(BP0)</w:t>
            </w:r>
          </w:p>
        </w:tc>
        <w:tc>
          <w:tcPr>
            <w:tcW w:w="3560" w:type="dxa"/>
          </w:tcPr>
          <w:p w14:paraId="05D88AD4" w14:textId="6E8ABC3F"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2AED2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24.2pt" o:ole="">
                  <v:imagedata r:id="rId21" o:title=""/>
                </v:shape>
                <o:OLEObject Type="Embed" ProgID="Origin95.Graph" ShapeID="_x0000_i1025" DrawAspect="Content" ObjectID="_1717488723" r:id="rId22"/>
              </w:object>
            </w:r>
            <w:r w:rsidR="00E243DC">
              <w:rPr>
                <w:rFonts w:ascii="Times New Roman" w:hAnsi="Times New Roman"/>
                <w:sz w:val="20"/>
                <w:szCs w:val="20"/>
              </w:rPr>
              <w:t>(</w:t>
            </w:r>
            <w:r w:rsidRPr="005C63AA">
              <w:rPr>
                <w:rFonts w:ascii="Times New Roman" w:hAnsi="Times New Roman"/>
                <w:sz w:val="20"/>
                <w:szCs w:val="20"/>
              </w:rPr>
              <w:t>BP0)</w:t>
            </w:r>
          </w:p>
        </w:tc>
      </w:tr>
      <w:tr w:rsidR="003335CD" w:rsidRPr="005C63AA" w14:paraId="673CA117" w14:textId="77777777" w:rsidTr="001A6604">
        <w:trPr>
          <w:jc w:val="center"/>
        </w:trPr>
        <w:tc>
          <w:tcPr>
            <w:tcW w:w="3346" w:type="dxa"/>
          </w:tcPr>
          <w:p w14:paraId="01DAA479"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79E91D19" wp14:editId="7F0E383F">
                  <wp:extent cx="1800000" cy="1350000"/>
                  <wp:effectExtent l="0" t="0" r="0" b="3175"/>
                  <wp:docPr id="9" name="Picture 9" descr="C:\Users\User\Desktop\TESIS\Hasil tesis\Microscopy Camera Nikon\skala\Herlina\1h\jpg\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ESIS\Hasil tesis\Microscopy Camera Nikon\skala\Herlina\1h\jpg\11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BE459EC"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(BP1)</w:t>
            </w:r>
          </w:p>
        </w:tc>
        <w:tc>
          <w:tcPr>
            <w:tcW w:w="3560" w:type="dxa"/>
          </w:tcPr>
          <w:p w14:paraId="27E3BFAA" w14:textId="5B64B512"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7EA59AE">
                <v:shape id="_x0000_i1026" type="#_x0000_t75" style="width:219pt;height:120.6pt" o:ole="">
                  <v:imagedata r:id="rId24" o:title=""/>
                </v:shape>
                <o:OLEObject Type="Embed" ProgID="Origin95.Graph" ShapeID="_x0000_i1026" DrawAspect="Content" ObjectID="_1717488724" r:id="rId25"/>
              </w:object>
            </w:r>
            <w:r w:rsidRPr="005C63AA">
              <w:rPr>
                <w:rFonts w:ascii="Times New Roman" w:hAnsi="Times New Roman"/>
                <w:sz w:val="20"/>
                <w:szCs w:val="20"/>
              </w:rPr>
              <w:t>(BP1)</w:t>
            </w:r>
          </w:p>
        </w:tc>
      </w:tr>
      <w:tr w:rsidR="003335CD" w:rsidRPr="005C63AA" w14:paraId="51025A80" w14:textId="77777777" w:rsidTr="001A6604">
        <w:trPr>
          <w:jc w:val="center"/>
        </w:trPr>
        <w:tc>
          <w:tcPr>
            <w:tcW w:w="3346" w:type="dxa"/>
          </w:tcPr>
          <w:p w14:paraId="1BFCE25F"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5F90C5F1" wp14:editId="50068E89">
                  <wp:extent cx="1800000" cy="1350000"/>
                  <wp:effectExtent l="0" t="0" r="0" b="3175"/>
                  <wp:docPr id="11" name="Picture 11" descr="C:\Users\User\Desktop\TESIS\Hasil tesis\Microscopy Camera Nikon\1,5h\2\2hjpg\2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ESIS\Hasil tesis\Microscopy Camera Nikon\1,5h\2\2hjpg\24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4F852962"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(BP2)</w:t>
            </w:r>
          </w:p>
        </w:tc>
        <w:tc>
          <w:tcPr>
            <w:tcW w:w="3560" w:type="dxa"/>
          </w:tcPr>
          <w:p w14:paraId="5FAB7DB4" w14:textId="41835ADE"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247F559C">
                <v:shape id="_x0000_i1027" type="#_x0000_t75" style="width:219pt;height:124.8pt" o:ole="">
                  <v:imagedata r:id="rId27" o:title=""/>
                </v:shape>
                <o:OLEObject Type="Embed" ProgID="Origin95.Graph" ShapeID="_x0000_i1027" DrawAspect="Content" ObjectID="_1717488725" r:id="rId28"/>
              </w:object>
            </w:r>
            <w:r w:rsidRPr="005C63AA">
              <w:rPr>
                <w:rFonts w:ascii="Times New Roman" w:hAnsi="Times New Roman"/>
                <w:sz w:val="20"/>
                <w:szCs w:val="20"/>
              </w:rPr>
              <w:t>(BP2)</w:t>
            </w:r>
          </w:p>
        </w:tc>
      </w:tr>
      <w:tr w:rsidR="003335CD" w:rsidRPr="005C63AA" w14:paraId="2D24A1D4" w14:textId="77777777" w:rsidTr="001A6604">
        <w:trPr>
          <w:jc w:val="center"/>
        </w:trPr>
        <w:tc>
          <w:tcPr>
            <w:tcW w:w="3346" w:type="dxa"/>
          </w:tcPr>
          <w:p w14:paraId="6256C0DB"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lastRenderedPageBreak/>
              <w:drawing>
                <wp:inline distT="0" distB="0" distL="0" distR="0" wp14:anchorId="2696EB66" wp14:editId="06D1626D">
                  <wp:extent cx="1800000" cy="1350000"/>
                  <wp:effectExtent l="0" t="0" r="0" b="3175"/>
                  <wp:docPr id="12" name="Picture 12" descr="C:\Users\User\Desktop\TESIS\Hasil tesis\Microscopy Camera Nikon\skala\Herlina\3h\jpg\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ESIS\Hasil tesis\Microscopy Camera Nikon\skala\Herlina\3h\jpg\32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5318207"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(BP3)</w:t>
            </w:r>
          </w:p>
        </w:tc>
        <w:tc>
          <w:tcPr>
            <w:tcW w:w="3560" w:type="dxa"/>
          </w:tcPr>
          <w:p w14:paraId="4C1718F1" w14:textId="6741BCA1"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4403FCA4">
                <v:shape id="_x0000_i1028" type="#_x0000_t75" style="width:219pt;height:124.2pt" o:ole="">
                  <v:imagedata r:id="rId30" o:title=""/>
                </v:shape>
                <o:OLEObject Type="Embed" ProgID="Origin95.Graph" ShapeID="_x0000_i1028" DrawAspect="Content" ObjectID="_1717488726" r:id="rId31"/>
              </w:object>
            </w:r>
            <w:r w:rsidRPr="005C63AA">
              <w:rPr>
                <w:rFonts w:ascii="Times New Roman" w:hAnsi="Times New Roman"/>
                <w:sz w:val="20"/>
                <w:szCs w:val="20"/>
              </w:rPr>
              <w:t>(BP3)</w:t>
            </w:r>
          </w:p>
        </w:tc>
      </w:tr>
      <w:tr w:rsidR="003335CD" w:rsidRPr="005C63AA" w14:paraId="02CA7685" w14:textId="77777777" w:rsidTr="001A6604">
        <w:trPr>
          <w:jc w:val="center"/>
        </w:trPr>
        <w:tc>
          <w:tcPr>
            <w:tcW w:w="3346" w:type="dxa"/>
          </w:tcPr>
          <w:p w14:paraId="71611868"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29B9B62F" wp14:editId="548EE098">
                  <wp:extent cx="1800000" cy="1350000"/>
                  <wp:effectExtent l="0" t="0" r="0" b="3175"/>
                  <wp:docPr id="13" name="Picture 13" descr="C:\Users\User\Desktop\TESIS\Hasil tesis\Microscopy Camera Nikon\skala\Herlina\4h\jpg\4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ESIS\Hasil tesis\Microscopy Camera Nikon\skala\Herlina\4h\jpg\41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4F2382E"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(BP4)</w:t>
            </w:r>
          </w:p>
        </w:tc>
        <w:tc>
          <w:tcPr>
            <w:tcW w:w="3560" w:type="dxa"/>
          </w:tcPr>
          <w:p w14:paraId="0CA0758E" w14:textId="5FEE5F5A"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7FFF78B">
                <v:shape id="_x0000_i1029" type="#_x0000_t75" style="width:219pt;height:124.2pt" o:ole="">
                  <v:imagedata r:id="rId33" o:title=""/>
                </v:shape>
                <o:OLEObject Type="Embed" ProgID="Origin95.Graph" ShapeID="_x0000_i1029" DrawAspect="Content" ObjectID="_1717488727" r:id="rId34"/>
              </w:object>
            </w:r>
            <w:r w:rsidRPr="005C63AA">
              <w:rPr>
                <w:rFonts w:ascii="Times New Roman" w:hAnsi="Times New Roman"/>
                <w:sz w:val="20"/>
                <w:szCs w:val="20"/>
              </w:rPr>
              <w:t>(BP4)</w:t>
            </w:r>
          </w:p>
        </w:tc>
      </w:tr>
      <w:tr w:rsidR="003335CD" w:rsidRPr="005C63AA" w14:paraId="222F0FEA" w14:textId="77777777" w:rsidTr="001A6604">
        <w:trPr>
          <w:jc w:val="center"/>
        </w:trPr>
        <w:tc>
          <w:tcPr>
            <w:tcW w:w="3346" w:type="dxa"/>
          </w:tcPr>
          <w:p w14:paraId="2C318D0E" w14:textId="77777777" w:rsidR="003335CD" w:rsidRPr="005C63AA" w:rsidRDefault="003335CD" w:rsidP="001A6604">
            <w:pPr>
              <w:pStyle w:val="ListParagraph"/>
              <w:spacing w:after="0"/>
              <w:ind w:left="0"/>
              <w:contextualSpacing w:val="0"/>
              <w:jc w:val="both"/>
              <w:rPr>
                <w:rFonts w:ascii="Times New Roman" w:hAnsi="Times New Roman"/>
                <w:noProof/>
                <w:sz w:val="20"/>
                <w:szCs w:val="20"/>
                <w:lang w:eastAsia="id-ID"/>
              </w:rPr>
            </w:pPr>
          </w:p>
        </w:tc>
        <w:tc>
          <w:tcPr>
            <w:tcW w:w="3560" w:type="dxa"/>
          </w:tcPr>
          <w:p w14:paraId="03FD2989" w14:textId="77777777" w:rsidR="003335CD" w:rsidRPr="005C63AA" w:rsidRDefault="003335CD" w:rsidP="001A6604">
            <w:pPr>
              <w:pStyle w:val="ListParagraph"/>
              <w:spacing w:after="0"/>
              <w:ind w:left="0"/>
              <w:contextualSpacing w:val="0"/>
              <w:jc w:val="both"/>
              <w:rPr>
                <w:rFonts w:ascii="Times New Roman" w:hAnsi="Times New Roman"/>
                <w:sz w:val="20"/>
                <w:szCs w:val="20"/>
              </w:rPr>
            </w:pPr>
          </w:p>
        </w:tc>
      </w:tr>
      <w:tr w:rsidR="003335CD" w:rsidRPr="005C63AA" w14:paraId="64DA9205" w14:textId="77777777" w:rsidTr="001A6604">
        <w:trPr>
          <w:jc w:val="center"/>
        </w:trPr>
        <w:tc>
          <w:tcPr>
            <w:tcW w:w="3346" w:type="dxa"/>
          </w:tcPr>
          <w:p w14:paraId="02823EC1" w14:textId="77777777" w:rsidR="003335CD" w:rsidRPr="005C63AA" w:rsidRDefault="003335CD" w:rsidP="003335CD">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rPr>
              <w:drawing>
                <wp:inline distT="0" distB="0" distL="0" distR="0" wp14:anchorId="084B17EA" wp14:editId="43E126AD">
                  <wp:extent cx="1800000" cy="1349649"/>
                  <wp:effectExtent l="0" t="0" r="0" b="3175"/>
                  <wp:docPr id="17" name="Picture 17" descr="C:\Users\User\Desktop\TESIS\Hasil tesis\Microscopy Camera Nikon\skala\Herlina\5hhh\jpg\Herlina 5%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ESIS\Hasil tesis\Microscopy Camera Nikon\skala\Herlina\5hhh\jpg\Herlina 5% 1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349649"/>
                          </a:xfrm>
                          <a:prstGeom prst="rect">
                            <a:avLst/>
                          </a:prstGeom>
                          <a:noFill/>
                          <a:ln>
                            <a:noFill/>
                          </a:ln>
                        </pic:spPr>
                      </pic:pic>
                    </a:graphicData>
                  </a:graphic>
                </wp:inline>
              </w:drawing>
            </w:r>
          </w:p>
          <w:p w14:paraId="59AE352C" w14:textId="77777777" w:rsidR="003335CD" w:rsidRPr="005C63AA" w:rsidRDefault="003335CD" w:rsidP="00E243DC">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lang w:eastAsia="id-ID"/>
              </w:rPr>
              <w:t>(BP5)</w:t>
            </w:r>
          </w:p>
        </w:tc>
        <w:tc>
          <w:tcPr>
            <w:tcW w:w="3560" w:type="dxa"/>
          </w:tcPr>
          <w:p w14:paraId="692FABB1" w14:textId="56CCEAFE"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1C872C6">
                <v:shape id="_x0000_i1030" type="#_x0000_t75" style="width:219pt;height:124.2pt" o:ole="">
                  <v:imagedata r:id="rId36" o:title=""/>
                </v:shape>
                <o:OLEObject Type="Embed" ProgID="Origin95.Graph" ShapeID="_x0000_i1030" DrawAspect="Content" ObjectID="_1717488728" r:id="rId37"/>
              </w:object>
            </w:r>
            <w:r w:rsidRPr="005C63AA">
              <w:rPr>
                <w:rFonts w:ascii="Times New Roman" w:hAnsi="Times New Roman"/>
                <w:sz w:val="20"/>
                <w:szCs w:val="20"/>
              </w:rPr>
              <w:t>(BP5)</w:t>
            </w:r>
          </w:p>
        </w:tc>
      </w:tr>
      <w:tr w:rsidR="003335CD" w:rsidRPr="005C63AA" w14:paraId="0423F5C3" w14:textId="77777777" w:rsidTr="001A6604">
        <w:trPr>
          <w:jc w:val="center"/>
        </w:trPr>
        <w:tc>
          <w:tcPr>
            <w:tcW w:w="3346" w:type="dxa"/>
          </w:tcPr>
          <w:p w14:paraId="3020B929" w14:textId="77777777" w:rsidR="003335CD" w:rsidRPr="005C63AA" w:rsidRDefault="003335CD" w:rsidP="003335CD">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rPr>
              <w:drawing>
                <wp:inline distT="0" distB="0" distL="0" distR="0" wp14:anchorId="2F959D4E" wp14:editId="19C086BD">
                  <wp:extent cx="1800000" cy="1350000"/>
                  <wp:effectExtent l="0" t="0" r="0" b="3175"/>
                  <wp:docPr id="23" name="Picture 23" descr="C:\Users\User\Desktop\TESIS\Hasil tesis\Microscopy Camera Nikon\1,5h\1,5hjpg\15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SIS\Hasil tesis\Microscopy Camera Nikon\1,5h\1,5hjpg\1541.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726C3095" w14:textId="77777777" w:rsidR="003335CD" w:rsidRPr="005C63AA" w:rsidRDefault="003335CD" w:rsidP="00E243DC">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lang w:eastAsia="id-ID"/>
              </w:rPr>
              <w:t>(BP1.5)</w:t>
            </w:r>
          </w:p>
        </w:tc>
        <w:tc>
          <w:tcPr>
            <w:tcW w:w="3560" w:type="dxa"/>
          </w:tcPr>
          <w:p w14:paraId="3CB19813" w14:textId="0E5FF050"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1E8099E">
                <v:shape id="_x0000_i1031" type="#_x0000_t75" style="width:223.8pt;height:124.8pt" o:ole="">
                  <v:imagedata r:id="rId39" o:title=""/>
                </v:shape>
                <o:OLEObject Type="Embed" ProgID="Origin95.Graph" ShapeID="_x0000_i1031" DrawAspect="Content" ObjectID="_1717488729" r:id="rId40"/>
              </w:object>
            </w:r>
            <w:r w:rsidRPr="005C63AA">
              <w:rPr>
                <w:rFonts w:ascii="Times New Roman" w:hAnsi="Times New Roman"/>
                <w:sz w:val="20"/>
                <w:szCs w:val="20"/>
              </w:rPr>
              <w:t>(BP1.5)</w:t>
            </w:r>
          </w:p>
        </w:tc>
      </w:tr>
    </w:tbl>
    <w:p w14:paraId="7B4BBFF7" w14:textId="77777777" w:rsidR="003335CD" w:rsidRDefault="003335CD" w:rsidP="003335CD">
      <w:pPr>
        <w:pStyle w:val="Caption"/>
        <w:spacing w:after="0" w:line="276" w:lineRule="auto"/>
        <w:jc w:val="center"/>
        <w:rPr>
          <w:i w:val="0"/>
          <w:color w:val="000000" w:themeColor="text1"/>
          <w:sz w:val="20"/>
          <w:szCs w:val="20"/>
        </w:rPr>
      </w:pPr>
      <w:bookmarkStart w:id="16" w:name="_Ref87818286"/>
    </w:p>
    <w:p w14:paraId="7297D9AE" w14:textId="4CC9F869" w:rsidR="003335CD" w:rsidRPr="005C63AA" w:rsidRDefault="003335CD" w:rsidP="003335CD">
      <w:pPr>
        <w:pStyle w:val="Caption"/>
        <w:spacing w:after="0" w:line="276" w:lineRule="auto"/>
        <w:jc w:val="center"/>
        <w:rPr>
          <w:i w:val="0"/>
          <w:color w:val="000000" w:themeColor="text1"/>
          <w:sz w:val="20"/>
          <w:szCs w:val="20"/>
        </w:rPr>
      </w:pPr>
      <w:r w:rsidRPr="005C63AA">
        <w:rPr>
          <w:i w:val="0"/>
          <w:color w:val="000000" w:themeColor="text1"/>
          <w:sz w:val="20"/>
          <w:szCs w:val="20"/>
        </w:rPr>
        <w:t xml:space="preserve">Figure </w:t>
      </w:r>
      <w:r w:rsidRPr="005C63AA">
        <w:rPr>
          <w:i w:val="0"/>
          <w:color w:val="000000" w:themeColor="text1"/>
          <w:sz w:val="20"/>
          <w:szCs w:val="20"/>
        </w:rPr>
        <w:fldChar w:fldCharType="begin"/>
      </w:r>
      <w:r w:rsidRPr="005C63AA">
        <w:rPr>
          <w:i w:val="0"/>
          <w:color w:val="000000" w:themeColor="text1"/>
          <w:sz w:val="20"/>
          <w:szCs w:val="20"/>
        </w:rPr>
        <w:instrText xml:space="preserve"> SEQ Figure \* ARABIC </w:instrText>
      </w:r>
      <w:r w:rsidRPr="005C63AA">
        <w:rPr>
          <w:i w:val="0"/>
          <w:color w:val="000000" w:themeColor="text1"/>
          <w:sz w:val="20"/>
          <w:szCs w:val="20"/>
        </w:rPr>
        <w:fldChar w:fldCharType="separate"/>
      </w:r>
      <w:r w:rsidRPr="005C63AA">
        <w:rPr>
          <w:i w:val="0"/>
          <w:noProof/>
          <w:color w:val="000000" w:themeColor="text1"/>
          <w:sz w:val="20"/>
          <w:szCs w:val="20"/>
        </w:rPr>
        <w:t>3</w:t>
      </w:r>
      <w:r w:rsidRPr="005C63AA">
        <w:rPr>
          <w:i w:val="0"/>
          <w:color w:val="000000" w:themeColor="text1"/>
          <w:sz w:val="20"/>
          <w:szCs w:val="20"/>
        </w:rPr>
        <w:fldChar w:fldCharType="end"/>
      </w:r>
      <w:bookmarkEnd w:id="16"/>
      <w:r w:rsidRPr="005C63AA">
        <w:rPr>
          <w:i w:val="0"/>
          <w:color w:val="000000" w:themeColor="text1"/>
          <w:sz w:val="20"/>
          <w:szCs w:val="20"/>
        </w:rPr>
        <w:t>.</w:t>
      </w:r>
      <w:r w:rsidRPr="005C63AA">
        <w:rPr>
          <w:b/>
          <w:i w:val="0"/>
          <w:color w:val="000000" w:themeColor="text1"/>
          <w:sz w:val="20"/>
          <w:szCs w:val="20"/>
        </w:rPr>
        <w:t xml:space="preserve"> </w:t>
      </w:r>
      <w:r>
        <w:rPr>
          <w:b/>
          <w:i w:val="0"/>
          <w:color w:val="000000" w:themeColor="text1"/>
          <w:sz w:val="20"/>
          <w:szCs w:val="20"/>
        </w:rPr>
        <w:t xml:space="preserve"> </w:t>
      </w:r>
      <w:r w:rsidRPr="005C63AA">
        <w:rPr>
          <w:bCs/>
          <w:i w:val="0"/>
          <w:color w:val="000000" w:themeColor="text1"/>
          <w:sz w:val="20"/>
          <w:szCs w:val="20"/>
        </w:rPr>
        <w:t>The</w:t>
      </w:r>
      <w:r w:rsidRPr="005C63AA">
        <w:rPr>
          <w:i w:val="0"/>
          <w:color w:val="000000" w:themeColor="text1"/>
          <w:sz w:val="20"/>
          <w:szCs w:val="20"/>
        </w:rPr>
        <w:t xml:space="preserve"> PUU/IPSW biofoam microscope camera profile and pore distribution curves</w:t>
      </w: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204908ED" w14:textId="77777777" w:rsidR="006D58BC" w:rsidRDefault="006D58BC" w:rsidP="003335CD">
      <w:pPr>
        <w:spacing w:after="0"/>
        <w:jc w:val="center"/>
        <w:rPr>
          <w:rFonts w:ascii="Times New Roman" w:hAnsi="Times New Roman"/>
          <w:b/>
          <w:noProof/>
          <w:sz w:val="20"/>
          <w:szCs w:val="20"/>
          <w:lang w:bidi="ar-SA"/>
        </w:rPr>
        <w:sectPr w:rsidR="006D58BC" w:rsidSect="00F13162">
          <w:footerReference w:type="even" r:id="rId41"/>
          <w:footerReference w:type="default" r:id="rId42"/>
          <w:type w:val="continuous"/>
          <w:pgSz w:w="12240" w:h="15840" w:code="1"/>
          <w:pgMar w:top="1800" w:right="1469" w:bottom="1699" w:left="1440" w:header="706" w:footer="706" w:gutter="0"/>
          <w:pgNumType w:start="0"/>
          <w:cols w:space="708"/>
          <w:docGrid w:linePitch="360"/>
        </w:sectPr>
      </w:pPr>
    </w:p>
    <w:p w14:paraId="0559083A" w14:textId="4B8DB86D" w:rsidR="002F0EDB" w:rsidRDefault="002F0EDB" w:rsidP="003335CD">
      <w:pPr>
        <w:spacing w:after="0"/>
        <w:jc w:val="center"/>
        <w:rPr>
          <w:rFonts w:ascii="Times New Roman" w:hAnsi="Times New Roman"/>
          <w:b/>
          <w:noProof/>
          <w:sz w:val="20"/>
          <w:szCs w:val="20"/>
          <w:lang w:bidi="ar-SA"/>
        </w:rPr>
      </w:pPr>
    </w:p>
    <w:p w14:paraId="1192DEF8" w14:textId="77777777" w:rsidR="00E243DC" w:rsidRDefault="00E243DC" w:rsidP="00266993">
      <w:pPr>
        <w:spacing w:after="0"/>
        <w:jc w:val="both"/>
        <w:rPr>
          <w:rFonts w:ascii="Times New Roman" w:hAnsi="Times New Roman"/>
          <w:b/>
          <w:color w:val="000000" w:themeColor="text1"/>
          <w:sz w:val="20"/>
          <w:szCs w:val="20"/>
        </w:rPr>
        <w:sectPr w:rsidR="00E243DC" w:rsidSect="006D58BC">
          <w:footerReference w:type="default" r:id="rId43"/>
          <w:type w:val="oddPage"/>
          <w:pgSz w:w="12240" w:h="15840" w:code="1"/>
          <w:pgMar w:top="1800" w:right="1469" w:bottom="1699" w:left="1440" w:header="706" w:footer="706" w:gutter="0"/>
          <w:pgNumType w:start="0"/>
          <w:cols w:space="708"/>
          <w:docGrid w:linePitch="360"/>
        </w:sectPr>
      </w:pPr>
    </w:p>
    <w:p w14:paraId="79C1E77E" w14:textId="3CDC804F"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t>Chemical structure</w:t>
      </w:r>
    </w:p>
    <w:p w14:paraId="1EDAD37F" w14:textId="73C82FB9"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Urethane and urea are two forms of carbonyl groups formed by hydrogen bonds</w:t>
      </w:r>
      <w:r w:rsidR="009616DE">
        <w:rPr>
          <w:rFonts w:ascii="Times New Roman" w:hAnsi="Times New Roman"/>
          <w:color w:val="000000" w:themeColor="text1"/>
          <w:sz w:val="20"/>
          <w:szCs w:val="20"/>
        </w:rPr>
        <w:t xml:space="preserve"> [18]</w:t>
      </w:r>
      <w:r w:rsidRPr="003335CD">
        <w:rPr>
          <w:rFonts w:ascii="Times New Roman" w:hAnsi="Times New Roman"/>
          <w:color w:val="000000" w:themeColor="text1"/>
          <w:sz w:val="20"/>
          <w:szCs w:val="20"/>
        </w:rPr>
        <w:t>. The PUU biofoam is derived from polyol and diisocyanate raw materials. Samples of MDI, PEG, BP0, and BP5 were observed to understand the PUU/IPSW biofoam chemical reaction. According to the absorption observed in the FTIR spectra, the -NH functional group was found in the wavenumber range of 3808-3308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with broad intensity. This covered Samples BP0 (3516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and BP5 (3527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Samples BP0 (3382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MDI (3384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and BP5 (3382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belonged to -OH functional group found in the wavenumber range 3422-3314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The absorption peak of the PUU biofoam formed shifted to a lower wavenumber, suggesting a looser bond</w:t>
      </w:r>
      <w:r w:rsidR="009616DE">
        <w:rPr>
          <w:rFonts w:ascii="Times New Roman" w:hAnsi="Times New Roman"/>
          <w:color w:val="000000" w:themeColor="text1"/>
          <w:sz w:val="20"/>
          <w:szCs w:val="20"/>
        </w:rPr>
        <w:t xml:space="preserve"> [13, 19]</w:t>
      </w:r>
      <w:r w:rsidRPr="003335CD">
        <w:rPr>
          <w:rFonts w:ascii="Times New Roman" w:hAnsi="Times New Roman"/>
          <w:color w:val="000000" w:themeColor="text1"/>
          <w:sz w:val="20"/>
          <w:szCs w:val="20"/>
        </w:rPr>
        <w:t>. Methylene functional group was detected at the absorption peak wavenumbers of 2972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and 2971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which was the -CH asymmetric stretching vibration of CH</w:t>
      </w:r>
      <w:r w:rsidRPr="003335CD">
        <w:rPr>
          <w:rFonts w:ascii="Times New Roman" w:hAnsi="Times New Roman"/>
          <w:color w:val="000000" w:themeColor="text1"/>
          <w:sz w:val="20"/>
          <w:szCs w:val="20"/>
          <w:vertAlign w:val="subscript"/>
        </w:rPr>
        <w:t>3</w:t>
      </w:r>
      <w:r w:rsidR="009616DE">
        <w:rPr>
          <w:rFonts w:ascii="Times New Roman" w:hAnsi="Times New Roman"/>
          <w:color w:val="000000" w:themeColor="text1"/>
          <w:sz w:val="20"/>
          <w:szCs w:val="20"/>
        </w:rPr>
        <w:t xml:space="preserve"> [9, 19]</w:t>
      </w:r>
      <w:r w:rsidRPr="003335CD">
        <w:rPr>
          <w:rFonts w:ascii="Times New Roman" w:hAnsi="Times New Roman"/>
          <w:color w:val="000000" w:themeColor="text1"/>
          <w:sz w:val="20"/>
          <w:szCs w:val="20"/>
        </w:rPr>
        <w:t xml:space="preserve">. </w:t>
      </w:r>
    </w:p>
    <w:p w14:paraId="348FB655" w14:textId="77777777" w:rsidR="00E243DC" w:rsidRDefault="00E243DC" w:rsidP="00266993">
      <w:pPr>
        <w:spacing w:after="0"/>
        <w:jc w:val="both"/>
        <w:rPr>
          <w:rFonts w:ascii="Times New Roman" w:hAnsi="Times New Roman"/>
          <w:color w:val="000000" w:themeColor="text1"/>
          <w:sz w:val="20"/>
          <w:szCs w:val="20"/>
        </w:rPr>
      </w:pPr>
    </w:p>
    <w:p w14:paraId="641A747C" w14:textId="18ABE383" w:rsidR="00C0599E" w:rsidRPr="003335CD" w:rsidRDefault="00C0599E" w:rsidP="00C0599E">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The absence of an isocyanate functional group absorption band at wavenumbers 2270-2250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suggested that the isocyanate reacted properly with polyol (</w:t>
      </w:r>
      <w:r w:rsidR="0038729A">
        <w:rPr>
          <w:rFonts w:ascii="Times New Roman" w:hAnsi="Times New Roman"/>
          <w:color w:val="000000" w:themeColor="text1"/>
          <w:sz w:val="20"/>
          <w:szCs w:val="20"/>
        </w:rPr>
        <w:t>Figure 4)</w:t>
      </w:r>
      <w:r w:rsidRPr="003335CD">
        <w:rPr>
          <w:rFonts w:ascii="Times New Roman" w:hAnsi="Times New Roman"/>
          <w:color w:val="000000" w:themeColor="text1"/>
          <w:sz w:val="20"/>
          <w:szCs w:val="20"/>
        </w:rPr>
        <w:t xml:space="preserve">. The first explanation is that due to </w:t>
      </w:r>
      <w:r w:rsidRPr="003335CD">
        <w:rPr>
          <w:rFonts w:ascii="Times New Roman" w:hAnsi="Times New Roman"/>
          <w:color w:val="000000" w:themeColor="text1"/>
          <w:sz w:val="20"/>
          <w:szCs w:val="20"/>
        </w:rPr>
        <w:t>the steric disturbance molecule, the -OH functional group interacted with the -NCO group. Another explanation is that the –NCO functional group interacted with the –OH group in the air, which was caused by humidity</w:t>
      </w:r>
      <w:r w:rsidR="00C174E7">
        <w:rPr>
          <w:rFonts w:ascii="Times New Roman" w:hAnsi="Times New Roman"/>
          <w:color w:val="000000" w:themeColor="text1"/>
          <w:sz w:val="20"/>
          <w:szCs w:val="20"/>
        </w:rPr>
        <w:t xml:space="preserve"> [6, 20]</w:t>
      </w:r>
      <w:r w:rsidRPr="003335CD">
        <w:rPr>
          <w:rFonts w:ascii="Times New Roman" w:hAnsi="Times New Roman"/>
          <w:color w:val="000000" w:themeColor="text1"/>
          <w:sz w:val="20"/>
          <w:szCs w:val="20"/>
        </w:rPr>
        <w:t>. The characteristics of amide III and C = O (-RNHCOO- / urethane linkage) functional groups in the absorption bands of 1230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and 1077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suggested that the PUU biofoam was successfully formed and chemically bonded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Transactions","id":"ITEM-1","issue":"November 2018","issued":{"date-parts":[["2019"]]},"page":"415-420","title":"Morphologies and thermal properties of palm-oil based rigid polyurethane/halloysite nanocomposite foams","type":"article-journal","volume":"72"},"uris":["http://www.mendeley.com/documents/?uuid=3b6b3820-ebe2-4cfc-94a6-086a788bec41"]},{"id":"ITEM-2","itemData":{"DOI":"10.1098/rsos.180536","ISSN":"20545703","abstract":"Four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segments","type":"article-journal","volume":"5"},"uris":["http://www.mendeley.com/documents/?uuid=dbefa374-dd07-4bd9-9064-67699b807fe7"]},{"id":"ITEM-3","itemData":{"DOI":"10.4028/www.scientific.net/KEM.815.151","ISBN":"9783035716238","ISSN":"16629795","abstract":"Various types of hydrogen bonds exist in polyether polyurethane, polyurethane-urea and polyurea (PUA) and can cause microphase separation. The morphology, properties and applications of polyether PUA are determined by the microphase separation. All kinds of hydrogen bonds make it difficult to assignments of Fourier transform infrared spectroscopy (FTIR) peaks of ether linkage, amine and carbonyl group. This affects the calculation of the hydrogen bonding degree of the hard segments for estimating the degree of microphase separation. This paper summarized hydrogen bonding structures between proton donors and proton acceptors. By analyzing the influence of electronic effect, steric effect, various types of hydrogen bonds and the degree of order of hydrogen bonding on infrared peaks, the relationships between hydrogen bonding structures and infrared peaks are established. Lay the theoretical foundation for evaluating the degree of microphase separation by FTIR method.","author":[{"dropping-particle":"","family":"Zhao","given":"Xu","non-dropping-particle":"","parse-names":false,"suffix":""},{"dropping-particle":"","family":"Qi","given":"Yuhong","non-dropping-particle":"","parse-names":false,"suffix":""},{"dropping-particle":"","family":"Li","given":"Kejiao","non-dropping-particle":"","parse-names":false,"suffix":""},{"dropping-particle":"","family":"Zhang","given":"Zhanping","non-dropping-particle":"","parse-names":false,"suffix":""}],"container-title":"Key Engineering Materials","id":"ITEM-3","issued":{"date-parts":[["2019"]]},"page":"151-156","publisher":"Trans Tech Publications Ltd","title":"Hydrogen bonds and FTIR peaks of polyether polyurethane-urea","type":"paper-conference","volume":"815 KEM"},"uris":["http://www.mendeley.com/documents/?uuid=b4e81a9b-db97-3361-9248-be2dce62ffc7"]}],"mendeley":{"formattedCitation":"[5], [15], [18]","manualFormatting":"[66,19,21]","plainTextFormattedCitation":"[5], [15], [18]","previouslyFormattedCitation":"[5], [15], [18]"},"properties":{"noteIndex":0},"schema":"https://github.com/citation-style-language/schema/raw/master/csl-citation.json"}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[6, 19, 21]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In addition, another absorption peak was detected, namely the aromatic group C-C/C = C stretching modes in the wavenumber range 1600-1607 cm</w:t>
      </w:r>
      <w:r w:rsidRPr="003335CD">
        <w:rPr>
          <w:rFonts w:ascii="Times New Roman" w:hAnsi="Times New Roman"/>
          <w:color w:val="000000" w:themeColor="text1"/>
          <w:sz w:val="20"/>
          <w:szCs w:val="20"/>
          <w:vertAlign w:val="superscript"/>
        </w:rPr>
        <w:t>-1</w:t>
      </w:r>
      <w:r w:rsidR="00C174E7">
        <w:rPr>
          <w:rFonts w:ascii="Times New Roman" w:hAnsi="Times New Roman"/>
          <w:color w:val="000000" w:themeColor="text1"/>
          <w:sz w:val="20"/>
          <w:szCs w:val="20"/>
        </w:rPr>
        <w:t xml:space="preserve"> [22]</w:t>
      </w:r>
      <w:r w:rsidRPr="003335CD">
        <w:rPr>
          <w:rFonts w:ascii="Times New Roman" w:hAnsi="Times New Roman"/>
          <w:color w:val="000000" w:themeColor="text1"/>
          <w:sz w:val="20"/>
          <w:szCs w:val="20"/>
        </w:rPr>
        <w:t>. The properties of EDA as a chain extender contributed to the PUU biofoam's hard segment character, which can be detected when the biofoam is heated or cooled. When PUU biofoam is heated to a specific temperature, it has a peak intensity –H bonded urethane C = O groups while urea groups decrease. This also applies if it is cooled to a temperature of 120-30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so that the peak intensity of -H bonded urethane C=O groups increases while the peak intensity of free urethane C=O decreases</w:t>
      </w:r>
      <w:r w:rsidR="00C174E7">
        <w:rPr>
          <w:rFonts w:ascii="Times New Roman" w:hAnsi="Times New Roman"/>
          <w:color w:val="000000" w:themeColor="text1"/>
          <w:sz w:val="20"/>
          <w:szCs w:val="20"/>
        </w:rPr>
        <w:t xml:space="preserve"> [18]</w:t>
      </w:r>
      <w:r w:rsidRPr="003335CD">
        <w:rPr>
          <w:rFonts w:ascii="Times New Roman" w:hAnsi="Times New Roman"/>
          <w:color w:val="000000" w:themeColor="text1"/>
          <w:sz w:val="20"/>
          <w:szCs w:val="20"/>
        </w:rPr>
        <w:t>. More information is presented in</w:t>
      </w:r>
      <w:r w:rsidR="0038729A">
        <w:rPr>
          <w:rFonts w:ascii="Times New Roman" w:hAnsi="Times New Roman"/>
          <w:color w:val="000000" w:themeColor="text1"/>
          <w:sz w:val="20"/>
          <w:szCs w:val="20"/>
        </w:rPr>
        <w:t>Table 2</w:t>
      </w:r>
      <w:r w:rsidRPr="003335CD">
        <w:rPr>
          <w:rFonts w:ascii="Times New Roman" w:hAnsi="Times New Roman"/>
          <w:color w:val="000000" w:themeColor="text1"/>
          <w:sz w:val="20"/>
          <w:szCs w:val="20"/>
        </w:rPr>
        <w:t>.</w:t>
      </w:r>
    </w:p>
    <w:p w14:paraId="4A808285" w14:textId="4C7B62F2" w:rsidR="00C0599E" w:rsidRDefault="00C0599E" w:rsidP="00266993">
      <w:pPr>
        <w:spacing w:after="0"/>
        <w:jc w:val="both"/>
        <w:rPr>
          <w:rFonts w:ascii="Times New Roman" w:hAnsi="Times New Roman"/>
          <w:color w:val="000000" w:themeColor="text1"/>
          <w:sz w:val="20"/>
          <w:szCs w:val="20"/>
        </w:rPr>
        <w:sectPr w:rsidR="00C0599E" w:rsidSect="00E243DC">
          <w:type w:val="continuous"/>
          <w:pgSz w:w="12240" w:h="15840" w:code="1"/>
          <w:pgMar w:top="1800" w:right="1469" w:bottom="1699" w:left="1440" w:header="706" w:footer="706" w:gutter="0"/>
          <w:pgNumType w:start="0"/>
          <w:cols w:num="2" w:space="403"/>
          <w:docGrid w:linePitch="360"/>
        </w:sectPr>
      </w:pPr>
    </w:p>
    <w:p w14:paraId="4BF07964" w14:textId="7E86D1F0" w:rsidR="003335CD" w:rsidRDefault="003335CD" w:rsidP="00266993">
      <w:pPr>
        <w:spacing w:after="0"/>
        <w:jc w:val="both"/>
        <w:rPr>
          <w:rFonts w:ascii="Times New Roman" w:hAnsi="Times New Roman"/>
          <w:color w:val="000000" w:themeColor="text1"/>
          <w:sz w:val="20"/>
          <w:szCs w:val="20"/>
        </w:rPr>
      </w:pPr>
    </w:p>
    <w:p w14:paraId="1530DB67" w14:textId="77777777" w:rsidR="00C0599E" w:rsidRPr="003335CD" w:rsidRDefault="00C0599E" w:rsidP="00266993">
      <w:pPr>
        <w:spacing w:after="0"/>
        <w:jc w:val="both"/>
        <w:rPr>
          <w:rFonts w:ascii="Times New Roman" w:hAnsi="Times New Roman"/>
          <w:color w:val="000000" w:themeColor="text1"/>
          <w:sz w:val="20"/>
          <w:szCs w:val="20"/>
        </w:rPr>
      </w:pPr>
    </w:p>
    <w:tbl>
      <w:tblPr>
        <w:tblStyle w:val="TableGrid"/>
        <w:tblW w:w="0" w:type="auto"/>
        <w:jc w:val="center"/>
        <w:tblLook w:val="04A0" w:firstRow="1" w:lastRow="0" w:firstColumn="1" w:lastColumn="0" w:noHBand="0" w:noVBand="1"/>
      </w:tblPr>
      <w:tblGrid>
        <w:gridCol w:w="6854"/>
      </w:tblGrid>
      <w:tr w:rsidR="003335CD" w:rsidRPr="003335CD" w14:paraId="0620A1E9" w14:textId="77777777" w:rsidTr="001A6604">
        <w:trPr>
          <w:jc w:val="center"/>
        </w:trPr>
        <w:tc>
          <w:tcPr>
            <w:tcW w:w="6846" w:type="dxa"/>
          </w:tcPr>
          <w:bookmarkStart w:id="17" w:name="_Ref87819227"/>
          <w:p w14:paraId="636DCB64" w14:textId="77777777" w:rsidR="003335CD" w:rsidRPr="003335CD" w:rsidRDefault="003335CD" w:rsidP="00266993">
            <w:pPr>
              <w:spacing w:after="0"/>
              <w:jc w:val="center"/>
              <w:rPr>
                <w:rFonts w:ascii="Times New Roman" w:hAnsi="Times New Roman"/>
                <w:color w:val="000000" w:themeColor="text1"/>
                <w:sz w:val="20"/>
                <w:szCs w:val="20"/>
              </w:rPr>
            </w:pPr>
            <w:r w:rsidRPr="003335CD">
              <w:rPr>
                <w:rFonts w:ascii="Times New Roman" w:hAnsi="Times New Roman"/>
                <w:sz w:val="20"/>
                <w:szCs w:val="20"/>
              </w:rPr>
              <w:object w:dxaOrig="7612" w:dyaOrig="5336" w14:anchorId="3A267403">
                <v:shape id="_x0000_i1032" type="#_x0000_t75" style="width:331.8pt;height:181.8pt" o:ole="">
                  <v:imagedata r:id="rId44" o:title=""/>
                </v:shape>
                <o:OLEObject Type="Embed" ProgID="Origin95.Graph" ShapeID="_x0000_i1032" DrawAspect="Content" ObjectID="_1717488730" r:id="rId45"/>
              </w:object>
            </w:r>
          </w:p>
        </w:tc>
      </w:tr>
    </w:tbl>
    <w:p w14:paraId="2CF00E4F" w14:textId="77777777" w:rsidR="003335CD" w:rsidRPr="00C0599E" w:rsidRDefault="003335CD" w:rsidP="00266993">
      <w:pPr>
        <w:pStyle w:val="Caption"/>
        <w:spacing w:after="0" w:line="276" w:lineRule="auto"/>
        <w:rPr>
          <w:i w:val="0"/>
          <w:color w:val="000000" w:themeColor="text1"/>
          <w:sz w:val="16"/>
          <w:szCs w:val="16"/>
        </w:rPr>
      </w:pPr>
    </w:p>
    <w:p w14:paraId="1061BC0D" w14:textId="3135EBAB" w:rsidR="003335CD" w:rsidRPr="003335CD" w:rsidRDefault="003335CD" w:rsidP="00266993">
      <w:pPr>
        <w:pStyle w:val="Caption"/>
        <w:spacing w:after="0" w:line="276" w:lineRule="auto"/>
        <w:jc w:val="center"/>
        <w:rPr>
          <w:i w:val="0"/>
          <w:color w:val="000000" w:themeColor="text1"/>
          <w:sz w:val="20"/>
          <w:szCs w:val="20"/>
        </w:rPr>
      </w:pPr>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Pr="003335CD">
        <w:rPr>
          <w:i w:val="0"/>
          <w:noProof/>
          <w:color w:val="000000" w:themeColor="text1"/>
          <w:sz w:val="20"/>
          <w:szCs w:val="20"/>
        </w:rPr>
        <w:t>4</w:t>
      </w:r>
      <w:r w:rsidRPr="003335CD">
        <w:rPr>
          <w:i w:val="0"/>
          <w:color w:val="000000" w:themeColor="text1"/>
          <w:sz w:val="20"/>
          <w:szCs w:val="20"/>
        </w:rPr>
        <w:fldChar w:fldCharType="end"/>
      </w:r>
      <w:bookmarkEnd w:id="17"/>
      <w:r w:rsidRPr="003335CD">
        <w:rPr>
          <w:i w:val="0"/>
          <w:color w:val="000000" w:themeColor="text1"/>
          <w:sz w:val="20"/>
          <w:szCs w:val="20"/>
        </w:rPr>
        <w:t xml:space="preserve">. </w:t>
      </w:r>
      <w:r w:rsidR="00266993">
        <w:rPr>
          <w:i w:val="0"/>
          <w:color w:val="000000" w:themeColor="text1"/>
          <w:sz w:val="20"/>
          <w:szCs w:val="20"/>
        </w:rPr>
        <w:t xml:space="preserve"> </w:t>
      </w:r>
      <w:r w:rsidRPr="003335CD">
        <w:rPr>
          <w:i w:val="0"/>
          <w:color w:val="000000" w:themeColor="text1"/>
          <w:sz w:val="20"/>
          <w:szCs w:val="20"/>
        </w:rPr>
        <w:t>FTIR spectra of BP0, PEG, and MDI</w:t>
      </w:r>
    </w:p>
    <w:p w14:paraId="1077FFEA" w14:textId="77777777" w:rsidR="003335CD" w:rsidRPr="003335CD" w:rsidRDefault="003335CD" w:rsidP="00266993">
      <w:pPr>
        <w:spacing w:after="0"/>
        <w:jc w:val="both"/>
        <w:rPr>
          <w:rFonts w:ascii="Times New Roman" w:hAnsi="Times New Roman"/>
          <w:sz w:val="20"/>
          <w:szCs w:val="20"/>
        </w:rPr>
      </w:pPr>
    </w:p>
    <w:p w14:paraId="66A16888" w14:textId="77777777" w:rsidR="003335CD" w:rsidRPr="003335CD" w:rsidRDefault="003335CD" w:rsidP="00266993">
      <w:pPr>
        <w:spacing w:after="0"/>
        <w:jc w:val="both"/>
        <w:rPr>
          <w:rFonts w:ascii="Times New Roman" w:hAnsi="Times New Roman"/>
          <w:sz w:val="20"/>
          <w:szCs w:val="20"/>
        </w:rPr>
      </w:pPr>
    </w:p>
    <w:p w14:paraId="59340FE8" w14:textId="77777777" w:rsidR="003335CD" w:rsidRPr="003335CD" w:rsidRDefault="003335CD" w:rsidP="00266993">
      <w:pPr>
        <w:spacing w:after="0"/>
        <w:jc w:val="both"/>
        <w:rPr>
          <w:rFonts w:ascii="Times New Roman" w:hAnsi="Times New Roman"/>
          <w:sz w:val="20"/>
          <w:szCs w:val="20"/>
        </w:rPr>
      </w:pPr>
    </w:p>
    <w:p w14:paraId="3D5323B4" w14:textId="77777777" w:rsidR="003335CD" w:rsidRPr="003335CD" w:rsidRDefault="003335CD" w:rsidP="00266993">
      <w:pPr>
        <w:spacing w:after="0"/>
        <w:jc w:val="both"/>
        <w:rPr>
          <w:rFonts w:ascii="Times New Roman" w:hAnsi="Times New Roman"/>
          <w:sz w:val="20"/>
          <w:szCs w:val="20"/>
        </w:rPr>
      </w:pPr>
    </w:p>
    <w:p w14:paraId="30A77B7E" w14:textId="7266C486" w:rsidR="003335CD" w:rsidRPr="00266993" w:rsidRDefault="003335CD" w:rsidP="001C2C66">
      <w:pPr>
        <w:pStyle w:val="Caption"/>
        <w:spacing w:after="120" w:line="276" w:lineRule="auto"/>
        <w:jc w:val="center"/>
        <w:rPr>
          <w:i w:val="0"/>
          <w:color w:val="000000" w:themeColor="text1"/>
          <w:sz w:val="20"/>
          <w:szCs w:val="20"/>
        </w:rPr>
      </w:pPr>
      <w:bookmarkStart w:id="18" w:name="_Ref88358589"/>
      <w:r w:rsidRPr="003335CD">
        <w:rPr>
          <w:i w:val="0"/>
          <w:color w:val="000000" w:themeColor="text1"/>
          <w:sz w:val="20"/>
          <w:szCs w:val="20"/>
        </w:rPr>
        <w:lastRenderedPageBreak/>
        <w:t xml:space="preserve">Table </w:t>
      </w:r>
      <w:r w:rsidRPr="003335CD">
        <w:rPr>
          <w:i w:val="0"/>
          <w:color w:val="000000" w:themeColor="text1"/>
          <w:sz w:val="20"/>
          <w:szCs w:val="20"/>
        </w:rPr>
        <w:fldChar w:fldCharType="begin"/>
      </w:r>
      <w:r w:rsidRPr="003335CD">
        <w:rPr>
          <w:i w:val="0"/>
          <w:color w:val="000000" w:themeColor="text1"/>
          <w:sz w:val="20"/>
          <w:szCs w:val="20"/>
        </w:rPr>
        <w:instrText xml:space="preserve"> SEQ Table \* ARABIC </w:instrText>
      </w:r>
      <w:r w:rsidRPr="003335CD">
        <w:rPr>
          <w:i w:val="0"/>
          <w:color w:val="000000" w:themeColor="text1"/>
          <w:sz w:val="20"/>
          <w:szCs w:val="20"/>
        </w:rPr>
        <w:fldChar w:fldCharType="separate"/>
      </w:r>
      <w:r w:rsidRPr="003335CD">
        <w:rPr>
          <w:i w:val="0"/>
          <w:noProof/>
          <w:color w:val="000000" w:themeColor="text1"/>
          <w:sz w:val="20"/>
          <w:szCs w:val="20"/>
        </w:rPr>
        <w:t>2</w:t>
      </w:r>
      <w:r w:rsidRPr="003335CD">
        <w:rPr>
          <w:i w:val="0"/>
          <w:color w:val="000000" w:themeColor="text1"/>
          <w:sz w:val="20"/>
          <w:szCs w:val="20"/>
        </w:rPr>
        <w:fldChar w:fldCharType="end"/>
      </w:r>
      <w:bookmarkEnd w:id="18"/>
      <w:r w:rsidRPr="003335CD">
        <w:rPr>
          <w:i w:val="0"/>
          <w:color w:val="000000" w:themeColor="text1"/>
          <w:sz w:val="20"/>
          <w:szCs w:val="20"/>
        </w:rPr>
        <w:t xml:space="preserve">. </w:t>
      </w:r>
      <w:r w:rsidR="00266993">
        <w:rPr>
          <w:i w:val="0"/>
          <w:color w:val="000000" w:themeColor="text1"/>
          <w:sz w:val="20"/>
          <w:szCs w:val="20"/>
        </w:rPr>
        <w:t xml:space="preserve"> </w:t>
      </w:r>
      <w:r w:rsidRPr="003335CD">
        <w:rPr>
          <w:i w:val="0"/>
          <w:color w:val="000000" w:themeColor="text1"/>
          <w:sz w:val="20"/>
          <w:szCs w:val="20"/>
        </w:rPr>
        <w:t>Peaks of FTIR spectra of BP0, PEG, and MDI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28"/>
        <w:gridCol w:w="811"/>
        <w:gridCol w:w="811"/>
        <w:gridCol w:w="821"/>
        <w:gridCol w:w="1980"/>
        <w:gridCol w:w="3957"/>
      </w:tblGrid>
      <w:tr w:rsidR="003335CD" w:rsidRPr="003335CD" w14:paraId="41B8AAE1" w14:textId="77777777" w:rsidTr="001A6604">
        <w:trPr>
          <w:trHeight w:val="196"/>
          <w:jc w:val="center"/>
        </w:trPr>
        <w:tc>
          <w:tcPr>
            <w:tcW w:w="3060" w:type="dxa"/>
            <w:gridSpan w:val="4"/>
            <w:tcBorders>
              <w:top w:val="single" w:sz="4" w:space="0" w:color="auto"/>
              <w:left w:val="nil"/>
              <w:bottom w:val="nil"/>
              <w:right w:val="nil"/>
            </w:tcBorders>
            <w:shd w:val="clear" w:color="auto" w:fill="FFFFFF" w:themeFill="background1"/>
            <w:hideMark/>
          </w:tcPr>
          <w:p w14:paraId="24396585" w14:textId="77777777" w:rsidR="003335CD" w:rsidRPr="003335CD" w:rsidRDefault="003335CD" w:rsidP="00EF7405">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Wavenumber (cm</w:t>
            </w:r>
            <w:r w:rsidRPr="003335CD">
              <w:rPr>
                <w:rFonts w:ascii="Times New Roman" w:hAnsi="Times New Roman"/>
                <w:b/>
                <w:bCs/>
                <w:color w:val="000000" w:themeColor="text1"/>
                <w:sz w:val="20"/>
                <w:szCs w:val="20"/>
                <w:vertAlign w:val="superscript"/>
              </w:rPr>
              <w:t>-1</w:t>
            </w:r>
            <w:r w:rsidRPr="003335CD">
              <w:rPr>
                <w:rFonts w:ascii="Times New Roman" w:hAnsi="Times New Roman"/>
                <w:b/>
                <w:bCs/>
                <w:color w:val="000000" w:themeColor="text1"/>
                <w:sz w:val="20"/>
                <w:szCs w:val="20"/>
              </w:rPr>
              <w:t>)</w:t>
            </w:r>
          </w:p>
        </w:tc>
        <w:tc>
          <w:tcPr>
            <w:tcW w:w="1980" w:type="dxa"/>
            <w:vMerge w:val="restart"/>
            <w:tcBorders>
              <w:top w:val="single" w:sz="4" w:space="0" w:color="auto"/>
              <w:left w:val="nil"/>
              <w:bottom w:val="single" w:sz="8" w:space="0" w:color="auto"/>
              <w:right w:val="nil"/>
            </w:tcBorders>
            <w:shd w:val="clear" w:color="auto" w:fill="FFFFFF" w:themeFill="background1"/>
            <w:hideMark/>
          </w:tcPr>
          <w:p w14:paraId="48F86380" w14:textId="77777777" w:rsidR="003335CD" w:rsidRPr="003335CD" w:rsidRDefault="003335CD" w:rsidP="00EF7405">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Wavenumber Range (cm</w:t>
            </w:r>
            <w:r w:rsidRPr="003335CD">
              <w:rPr>
                <w:rFonts w:ascii="Times New Roman" w:hAnsi="Times New Roman"/>
                <w:b/>
                <w:bCs/>
                <w:color w:val="000000" w:themeColor="text1"/>
                <w:sz w:val="20"/>
                <w:szCs w:val="20"/>
                <w:vertAlign w:val="superscript"/>
              </w:rPr>
              <w:t>-1</w:t>
            </w:r>
            <w:r w:rsidRPr="003335CD">
              <w:rPr>
                <w:rFonts w:ascii="Times New Roman" w:hAnsi="Times New Roman"/>
                <w:b/>
                <w:bCs/>
                <w:color w:val="000000" w:themeColor="text1"/>
                <w:sz w:val="20"/>
                <w:szCs w:val="20"/>
              </w:rPr>
              <w:t>)</w:t>
            </w:r>
          </w:p>
        </w:tc>
        <w:tc>
          <w:tcPr>
            <w:tcW w:w="3957" w:type="dxa"/>
            <w:vMerge w:val="restart"/>
            <w:tcBorders>
              <w:top w:val="single" w:sz="4" w:space="0" w:color="auto"/>
              <w:left w:val="nil"/>
              <w:bottom w:val="single" w:sz="8" w:space="0" w:color="auto"/>
              <w:right w:val="nil"/>
            </w:tcBorders>
            <w:shd w:val="clear" w:color="auto" w:fill="FFFFFF" w:themeFill="background1"/>
            <w:hideMark/>
          </w:tcPr>
          <w:p w14:paraId="7C0E0A93" w14:textId="77777777" w:rsidR="003335CD" w:rsidRPr="003335CD" w:rsidRDefault="003335CD" w:rsidP="00EF7405">
            <w:pPr>
              <w:spacing w:before="120"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Functional Groups</w:t>
            </w:r>
          </w:p>
        </w:tc>
      </w:tr>
      <w:tr w:rsidR="003335CD" w:rsidRPr="003335CD" w14:paraId="56F767D0" w14:textId="77777777" w:rsidTr="001A6604">
        <w:trPr>
          <w:trHeight w:val="196"/>
          <w:jc w:val="center"/>
        </w:trPr>
        <w:tc>
          <w:tcPr>
            <w:tcW w:w="617" w:type="dxa"/>
            <w:tcBorders>
              <w:top w:val="single" w:sz="8" w:space="0" w:color="auto"/>
              <w:left w:val="nil"/>
              <w:bottom w:val="single" w:sz="8" w:space="0" w:color="auto"/>
              <w:right w:val="nil"/>
            </w:tcBorders>
            <w:shd w:val="clear" w:color="auto" w:fill="FFFFFF" w:themeFill="background1"/>
            <w:hideMark/>
          </w:tcPr>
          <w:p w14:paraId="64804EC8" w14:textId="77777777" w:rsidR="003335CD" w:rsidRPr="003335CD" w:rsidRDefault="003335CD" w:rsidP="00266993">
            <w:pPr>
              <w:spacing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MDI</w:t>
            </w:r>
          </w:p>
        </w:tc>
        <w:tc>
          <w:tcPr>
            <w:tcW w:w="811" w:type="dxa"/>
            <w:tcBorders>
              <w:top w:val="single" w:sz="8" w:space="0" w:color="auto"/>
              <w:left w:val="nil"/>
              <w:bottom w:val="single" w:sz="8" w:space="0" w:color="auto"/>
              <w:right w:val="nil"/>
            </w:tcBorders>
            <w:shd w:val="clear" w:color="auto" w:fill="FFFFFF" w:themeFill="background1"/>
            <w:hideMark/>
          </w:tcPr>
          <w:p w14:paraId="295B2EB7" w14:textId="77777777" w:rsidR="003335CD" w:rsidRPr="003335CD" w:rsidRDefault="003335CD" w:rsidP="00266993">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PEG</w:t>
            </w:r>
          </w:p>
        </w:tc>
        <w:tc>
          <w:tcPr>
            <w:tcW w:w="811" w:type="dxa"/>
            <w:tcBorders>
              <w:top w:val="single" w:sz="8" w:space="0" w:color="auto"/>
              <w:left w:val="nil"/>
              <w:bottom w:val="single" w:sz="8" w:space="0" w:color="auto"/>
              <w:right w:val="nil"/>
            </w:tcBorders>
            <w:shd w:val="clear" w:color="auto" w:fill="FFFFFF" w:themeFill="background1"/>
            <w:hideMark/>
          </w:tcPr>
          <w:p w14:paraId="2A1BF714" w14:textId="77777777" w:rsidR="003335CD" w:rsidRPr="003335CD" w:rsidRDefault="003335CD" w:rsidP="00266993">
            <w:pPr>
              <w:spacing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BP0</w:t>
            </w:r>
          </w:p>
        </w:tc>
        <w:tc>
          <w:tcPr>
            <w:tcW w:w="821" w:type="dxa"/>
            <w:tcBorders>
              <w:top w:val="single" w:sz="8" w:space="0" w:color="auto"/>
              <w:left w:val="nil"/>
              <w:bottom w:val="single" w:sz="8" w:space="0" w:color="auto"/>
              <w:right w:val="nil"/>
            </w:tcBorders>
            <w:shd w:val="clear" w:color="auto" w:fill="FFFFFF" w:themeFill="background1"/>
          </w:tcPr>
          <w:p w14:paraId="0DE27084" w14:textId="77777777" w:rsidR="003335CD" w:rsidRPr="003335CD" w:rsidRDefault="003335CD" w:rsidP="00EF7405">
            <w:pPr>
              <w:spacing w:after="6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BP5</w:t>
            </w:r>
          </w:p>
        </w:tc>
        <w:tc>
          <w:tcPr>
            <w:tcW w:w="1980" w:type="dxa"/>
            <w:vMerge/>
            <w:tcBorders>
              <w:top w:val="single" w:sz="8" w:space="0" w:color="auto"/>
              <w:left w:val="nil"/>
              <w:bottom w:val="single" w:sz="8" w:space="0" w:color="auto"/>
              <w:right w:val="nil"/>
            </w:tcBorders>
            <w:shd w:val="clear" w:color="auto" w:fill="FFFFFF" w:themeFill="background1"/>
            <w:vAlign w:val="center"/>
            <w:hideMark/>
          </w:tcPr>
          <w:p w14:paraId="43033EE9" w14:textId="77777777" w:rsidR="003335CD" w:rsidRPr="003335CD" w:rsidRDefault="003335CD" w:rsidP="00266993">
            <w:pPr>
              <w:spacing w:after="0"/>
              <w:jc w:val="center"/>
              <w:rPr>
                <w:rFonts w:ascii="Times New Roman" w:hAnsi="Times New Roman"/>
                <w:color w:val="000000" w:themeColor="text1"/>
                <w:sz w:val="20"/>
                <w:szCs w:val="20"/>
              </w:rPr>
            </w:pPr>
          </w:p>
        </w:tc>
        <w:tc>
          <w:tcPr>
            <w:tcW w:w="3957" w:type="dxa"/>
            <w:vMerge/>
            <w:tcBorders>
              <w:top w:val="single" w:sz="8" w:space="0" w:color="auto"/>
              <w:left w:val="nil"/>
              <w:bottom w:val="single" w:sz="8" w:space="0" w:color="auto"/>
              <w:right w:val="nil"/>
            </w:tcBorders>
            <w:shd w:val="clear" w:color="auto" w:fill="FFFFFF" w:themeFill="background1"/>
            <w:vAlign w:val="center"/>
            <w:hideMark/>
          </w:tcPr>
          <w:p w14:paraId="6E914B01" w14:textId="77777777" w:rsidR="003335CD" w:rsidRPr="003335CD" w:rsidRDefault="003335CD" w:rsidP="00266993">
            <w:pPr>
              <w:spacing w:after="0"/>
              <w:rPr>
                <w:rFonts w:ascii="Times New Roman" w:hAnsi="Times New Roman"/>
                <w:color w:val="000000" w:themeColor="text1"/>
                <w:sz w:val="20"/>
                <w:szCs w:val="20"/>
              </w:rPr>
            </w:pPr>
          </w:p>
        </w:tc>
      </w:tr>
      <w:tr w:rsidR="003335CD" w:rsidRPr="003335CD" w14:paraId="1CFE4526" w14:textId="77777777" w:rsidTr="001A6604">
        <w:trPr>
          <w:trHeight w:val="50"/>
          <w:jc w:val="center"/>
        </w:trPr>
        <w:tc>
          <w:tcPr>
            <w:tcW w:w="617" w:type="dxa"/>
            <w:tcBorders>
              <w:top w:val="single" w:sz="8" w:space="0" w:color="auto"/>
              <w:left w:val="nil"/>
              <w:right w:val="nil"/>
            </w:tcBorders>
            <w:shd w:val="clear" w:color="auto" w:fill="FFFFFF" w:themeFill="background1"/>
          </w:tcPr>
          <w:p w14:paraId="6C56798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top w:val="single" w:sz="8" w:space="0" w:color="auto"/>
              <w:left w:val="nil"/>
              <w:right w:val="nil"/>
            </w:tcBorders>
            <w:shd w:val="clear" w:color="auto" w:fill="FFFFFF" w:themeFill="background1"/>
          </w:tcPr>
          <w:p w14:paraId="4C81A150" w14:textId="77777777" w:rsidR="003335CD" w:rsidRPr="003335CD" w:rsidRDefault="003335CD" w:rsidP="00266993">
            <w:pPr>
              <w:spacing w:before="60" w:after="0"/>
              <w:jc w:val="center"/>
              <w:rPr>
                <w:rFonts w:ascii="Times New Roman" w:hAnsi="Times New Roman"/>
                <w:color w:val="000000" w:themeColor="text1"/>
                <w:sz w:val="20"/>
                <w:szCs w:val="20"/>
              </w:rPr>
            </w:pPr>
          </w:p>
        </w:tc>
        <w:tc>
          <w:tcPr>
            <w:tcW w:w="811" w:type="dxa"/>
            <w:tcBorders>
              <w:top w:val="single" w:sz="8" w:space="0" w:color="auto"/>
              <w:left w:val="nil"/>
              <w:right w:val="nil"/>
            </w:tcBorders>
            <w:shd w:val="clear" w:color="auto" w:fill="FFFFFF" w:themeFill="background1"/>
          </w:tcPr>
          <w:p w14:paraId="24164F6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3516</w:t>
            </w:r>
          </w:p>
        </w:tc>
        <w:tc>
          <w:tcPr>
            <w:tcW w:w="821" w:type="dxa"/>
            <w:tcBorders>
              <w:top w:val="single" w:sz="8" w:space="0" w:color="auto"/>
              <w:left w:val="nil"/>
              <w:right w:val="nil"/>
            </w:tcBorders>
            <w:shd w:val="clear" w:color="auto" w:fill="FFFFFF" w:themeFill="background1"/>
          </w:tcPr>
          <w:p w14:paraId="06F11E5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3527</w:t>
            </w:r>
          </w:p>
        </w:tc>
        <w:tc>
          <w:tcPr>
            <w:tcW w:w="1980" w:type="dxa"/>
            <w:tcBorders>
              <w:top w:val="single" w:sz="8" w:space="0" w:color="auto"/>
              <w:left w:val="nil"/>
              <w:right w:val="nil"/>
            </w:tcBorders>
            <w:shd w:val="clear" w:color="auto" w:fill="FFFFFF" w:themeFill="background1"/>
          </w:tcPr>
          <w:p w14:paraId="6B2626CE"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3808-3308</w:t>
            </w:r>
          </w:p>
        </w:tc>
        <w:tc>
          <w:tcPr>
            <w:tcW w:w="3957" w:type="dxa"/>
            <w:tcBorders>
              <w:top w:val="single" w:sz="8" w:space="0" w:color="auto"/>
              <w:left w:val="nil"/>
              <w:right w:val="nil"/>
            </w:tcBorders>
            <w:shd w:val="clear" w:color="auto" w:fill="FFFFFF" w:themeFill="background1"/>
          </w:tcPr>
          <w:p w14:paraId="31AB8AF2"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The stretching vibration of -NH</w:t>
            </w:r>
          </w:p>
        </w:tc>
      </w:tr>
      <w:tr w:rsidR="003335CD" w:rsidRPr="003335CD" w14:paraId="166099B4" w14:textId="77777777" w:rsidTr="001A6604">
        <w:trPr>
          <w:trHeight w:val="70"/>
          <w:jc w:val="center"/>
        </w:trPr>
        <w:tc>
          <w:tcPr>
            <w:tcW w:w="617" w:type="dxa"/>
            <w:tcBorders>
              <w:left w:val="nil"/>
              <w:bottom w:val="nil"/>
              <w:right w:val="nil"/>
            </w:tcBorders>
            <w:shd w:val="clear" w:color="auto" w:fill="FFFFFF" w:themeFill="background1"/>
            <w:hideMark/>
          </w:tcPr>
          <w:p w14:paraId="61AF977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3384</w:t>
            </w:r>
          </w:p>
        </w:tc>
        <w:tc>
          <w:tcPr>
            <w:tcW w:w="811" w:type="dxa"/>
            <w:tcBorders>
              <w:left w:val="nil"/>
              <w:bottom w:val="nil"/>
              <w:right w:val="nil"/>
            </w:tcBorders>
            <w:shd w:val="clear" w:color="auto" w:fill="FFFFFF" w:themeFill="background1"/>
          </w:tcPr>
          <w:p w14:paraId="2852E08A"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left w:val="nil"/>
              <w:bottom w:val="nil"/>
              <w:right w:val="nil"/>
            </w:tcBorders>
            <w:shd w:val="clear" w:color="auto" w:fill="FFFFFF" w:themeFill="background1"/>
            <w:hideMark/>
          </w:tcPr>
          <w:p w14:paraId="0E7CD0F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3382</w:t>
            </w:r>
          </w:p>
        </w:tc>
        <w:tc>
          <w:tcPr>
            <w:tcW w:w="821" w:type="dxa"/>
            <w:tcBorders>
              <w:left w:val="nil"/>
              <w:bottom w:val="nil"/>
              <w:right w:val="nil"/>
            </w:tcBorders>
            <w:shd w:val="clear" w:color="auto" w:fill="FFFFFF" w:themeFill="background1"/>
          </w:tcPr>
          <w:p w14:paraId="656994D4"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3382</w:t>
            </w:r>
          </w:p>
        </w:tc>
        <w:tc>
          <w:tcPr>
            <w:tcW w:w="1980" w:type="dxa"/>
            <w:tcBorders>
              <w:left w:val="nil"/>
              <w:bottom w:val="nil"/>
              <w:right w:val="nil"/>
            </w:tcBorders>
            <w:shd w:val="clear" w:color="auto" w:fill="FFFFFF" w:themeFill="background1"/>
            <w:hideMark/>
          </w:tcPr>
          <w:p w14:paraId="1E7F87F2"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3422-3314</w:t>
            </w:r>
          </w:p>
        </w:tc>
        <w:tc>
          <w:tcPr>
            <w:tcW w:w="3957" w:type="dxa"/>
            <w:tcBorders>
              <w:left w:val="nil"/>
              <w:bottom w:val="nil"/>
              <w:right w:val="nil"/>
            </w:tcBorders>
            <w:shd w:val="clear" w:color="auto" w:fill="FFFFFF" w:themeFill="background1"/>
            <w:hideMark/>
          </w:tcPr>
          <w:p w14:paraId="1D8F1D3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-OH stretching modes from hydroxy groups</w:t>
            </w:r>
          </w:p>
        </w:tc>
      </w:tr>
      <w:tr w:rsidR="003335CD" w:rsidRPr="003335CD" w14:paraId="31AD00F0" w14:textId="77777777" w:rsidTr="001A6604">
        <w:trPr>
          <w:trHeight w:val="120"/>
          <w:jc w:val="center"/>
        </w:trPr>
        <w:tc>
          <w:tcPr>
            <w:tcW w:w="617" w:type="dxa"/>
            <w:shd w:val="clear" w:color="auto" w:fill="FFFFFF" w:themeFill="background1"/>
            <w:hideMark/>
          </w:tcPr>
          <w:p w14:paraId="12F5564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tcPr>
          <w:p w14:paraId="68FA9024"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2972</w:t>
            </w:r>
          </w:p>
        </w:tc>
        <w:tc>
          <w:tcPr>
            <w:tcW w:w="811" w:type="dxa"/>
            <w:shd w:val="clear" w:color="auto" w:fill="FFFFFF" w:themeFill="background1"/>
            <w:hideMark/>
          </w:tcPr>
          <w:p w14:paraId="6F78AC7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2972</w:t>
            </w:r>
          </w:p>
        </w:tc>
        <w:tc>
          <w:tcPr>
            <w:tcW w:w="821" w:type="dxa"/>
            <w:shd w:val="clear" w:color="auto" w:fill="FFFFFF" w:themeFill="background1"/>
          </w:tcPr>
          <w:p w14:paraId="037C2C1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2971</w:t>
            </w:r>
          </w:p>
        </w:tc>
        <w:tc>
          <w:tcPr>
            <w:tcW w:w="1980" w:type="dxa"/>
            <w:shd w:val="clear" w:color="auto" w:fill="FFFFFF" w:themeFill="background1"/>
            <w:hideMark/>
          </w:tcPr>
          <w:p w14:paraId="4DB43B4E"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3000-2970</w:t>
            </w:r>
          </w:p>
        </w:tc>
        <w:tc>
          <w:tcPr>
            <w:tcW w:w="3957" w:type="dxa"/>
            <w:shd w:val="clear" w:color="auto" w:fill="FFFFFF" w:themeFill="background1"/>
            <w:hideMark/>
          </w:tcPr>
          <w:p w14:paraId="16540E15"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-CH asymmetric stretching vibration CH</w:t>
            </w:r>
            <w:r w:rsidRPr="003335CD">
              <w:rPr>
                <w:rFonts w:ascii="Times New Roman" w:hAnsi="Times New Roman"/>
                <w:color w:val="000000" w:themeColor="text1"/>
                <w:sz w:val="20"/>
                <w:szCs w:val="20"/>
                <w:vertAlign w:val="subscript"/>
              </w:rPr>
              <w:t xml:space="preserve">3 </w:t>
            </w:r>
            <w:r w:rsidRPr="003335CD">
              <w:rPr>
                <w:rFonts w:ascii="Times New Roman" w:hAnsi="Times New Roman"/>
                <w:color w:val="000000" w:themeColor="text1"/>
                <w:sz w:val="20"/>
                <w:szCs w:val="20"/>
              </w:rPr>
              <w:t>(methylene groups)</w:t>
            </w:r>
          </w:p>
        </w:tc>
      </w:tr>
      <w:tr w:rsidR="003335CD" w:rsidRPr="003335CD" w14:paraId="7A9483B9" w14:textId="77777777" w:rsidTr="001A6604">
        <w:trPr>
          <w:trHeight w:val="70"/>
          <w:jc w:val="center"/>
        </w:trPr>
        <w:tc>
          <w:tcPr>
            <w:tcW w:w="617" w:type="dxa"/>
            <w:shd w:val="clear" w:color="auto" w:fill="FFFFFF" w:themeFill="background1"/>
            <w:hideMark/>
          </w:tcPr>
          <w:p w14:paraId="5509D1B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2257</w:t>
            </w:r>
          </w:p>
        </w:tc>
        <w:tc>
          <w:tcPr>
            <w:tcW w:w="811" w:type="dxa"/>
            <w:shd w:val="clear" w:color="auto" w:fill="FFFFFF" w:themeFill="background1"/>
          </w:tcPr>
          <w:p w14:paraId="74BEAA0C"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518E8F6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21" w:type="dxa"/>
            <w:shd w:val="clear" w:color="auto" w:fill="FFFFFF" w:themeFill="background1"/>
          </w:tcPr>
          <w:p w14:paraId="651F9AB6"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1980" w:type="dxa"/>
            <w:shd w:val="clear" w:color="auto" w:fill="FFFFFF" w:themeFill="background1"/>
            <w:hideMark/>
          </w:tcPr>
          <w:p w14:paraId="087F187B"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2270-2250</w:t>
            </w:r>
          </w:p>
        </w:tc>
        <w:tc>
          <w:tcPr>
            <w:tcW w:w="3957" w:type="dxa"/>
            <w:shd w:val="clear" w:color="auto" w:fill="FFFFFF" w:themeFill="background1"/>
            <w:hideMark/>
          </w:tcPr>
          <w:p w14:paraId="0EDACA6D"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-NCO- (isocyanate asymmetric stretching)</w:t>
            </w:r>
          </w:p>
        </w:tc>
      </w:tr>
      <w:tr w:rsidR="003335CD" w:rsidRPr="003335CD" w14:paraId="09335194" w14:textId="77777777" w:rsidTr="001A6604">
        <w:trPr>
          <w:trHeight w:val="70"/>
          <w:jc w:val="center"/>
        </w:trPr>
        <w:tc>
          <w:tcPr>
            <w:tcW w:w="617" w:type="dxa"/>
            <w:shd w:val="clear" w:color="auto" w:fill="FFFFFF" w:themeFill="background1"/>
            <w:hideMark/>
          </w:tcPr>
          <w:p w14:paraId="2E8E3F0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1720</w:t>
            </w:r>
          </w:p>
        </w:tc>
        <w:tc>
          <w:tcPr>
            <w:tcW w:w="811" w:type="dxa"/>
            <w:shd w:val="clear" w:color="auto" w:fill="FFFFFF" w:themeFill="background1"/>
          </w:tcPr>
          <w:p w14:paraId="2214BBE6"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10791D8E"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1719</w:t>
            </w:r>
          </w:p>
        </w:tc>
        <w:tc>
          <w:tcPr>
            <w:tcW w:w="821" w:type="dxa"/>
            <w:shd w:val="clear" w:color="auto" w:fill="FFFFFF" w:themeFill="background1"/>
          </w:tcPr>
          <w:p w14:paraId="116F9081"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1724</w:t>
            </w:r>
          </w:p>
        </w:tc>
        <w:tc>
          <w:tcPr>
            <w:tcW w:w="1980" w:type="dxa"/>
            <w:shd w:val="clear" w:color="auto" w:fill="FFFFFF" w:themeFill="background1"/>
            <w:hideMark/>
          </w:tcPr>
          <w:p w14:paraId="0007560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1724-1705</w:t>
            </w:r>
          </w:p>
        </w:tc>
        <w:tc>
          <w:tcPr>
            <w:tcW w:w="3957" w:type="dxa"/>
            <w:shd w:val="clear" w:color="auto" w:fill="FFFFFF" w:themeFill="background1"/>
            <w:hideMark/>
          </w:tcPr>
          <w:p w14:paraId="347BB74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Disorder H-bonded (C=O)OC in urethane</w:t>
            </w:r>
          </w:p>
        </w:tc>
      </w:tr>
      <w:tr w:rsidR="003335CD" w:rsidRPr="003335CD" w14:paraId="2347F888" w14:textId="77777777" w:rsidTr="001A6604">
        <w:trPr>
          <w:trHeight w:val="189"/>
          <w:jc w:val="center"/>
        </w:trPr>
        <w:tc>
          <w:tcPr>
            <w:tcW w:w="617" w:type="dxa"/>
            <w:shd w:val="clear" w:color="auto" w:fill="FFFFFF" w:themeFill="background1"/>
            <w:hideMark/>
          </w:tcPr>
          <w:p w14:paraId="10CD44A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tcPr>
          <w:p w14:paraId="2DCF82C0"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1644</w:t>
            </w:r>
          </w:p>
        </w:tc>
        <w:tc>
          <w:tcPr>
            <w:tcW w:w="811" w:type="dxa"/>
            <w:shd w:val="clear" w:color="auto" w:fill="FFFFFF" w:themeFill="background1"/>
            <w:hideMark/>
          </w:tcPr>
          <w:p w14:paraId="0CD7CF8D"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1638</w:t>
            </w:r>
          </w:p>
        </w:tc>
        <w:tc>
          <w:tcPr>
            <w:tcW w:w="821" w:type="dxa"/>
            <w:shd w:val="clear" w:color="auto" w:fill="FFFFFF" w:themeFill="background1"/>
          </w:tcPr>
          <w:p w14:paraId="4E4218D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1635</w:t>
            </w:r>
          </w:p>
        </w:tc>
        <w:tc>
          <w:tcPr>
            <w:tcW w:w="1980" w:type="dxa"/>
            <w:shd w:val="clear" w:color="auto" w:fill="FFFFFF" w:themeFill="background1"/>
            <w:hideMark/>
          </w:tcPr>
          <w:p w14:paraId="58C0721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1648-1627</w:t>
            </w:r>
          </w:p>
        </w:tc>
        <w:tc>
          <w:tcPr>
            <w:tcW w:w="3957" w:type="dxa"/>
            <w:shd w:val="clear" w:color="auto" w:fill="FFFFFF" w:themeFill="background1"/>
            <w:hideMark/>
          </w:tcPr>
          <w:p w14:paraId="69E5786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Order H-bonded urea C=O</w:t>
            </w:r>
          </w:p>
        </w:tc>
      </w:tr>
      <w:tr w:rsidR="003335CD" w:rsidRPr="003335CD" w14:paraId="3B3DFAAA" w14:textId="77777777" w:rsidTr="001A6604">
        <w:trPr>
          <w:trHeight w:val="70"/>
          <w:jc w:val="center"/>
        </w:trPr>
        <w:tc>
          <w:tcPr>
            <w:tcW w:w="617" w:type="dxa"/>
            <w:shd w:val="clear" w:color="auto" w:fill="FFFFFF" w:themeFill="background1"/>
            <w:hideMark/>
          </w:tcPr>
          <w:p w14:paraId="1B164456"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1607</w:t>
            </w:r>
          </w:p>
        </w:tc>
        <w:tc>
          <w:tcPr>
            <w:tcW w:w="811" w:type="dxa"/>
            <w:shd w:val="clear" w:color="auto" w:fill="FFFFFF" w:themeFill="background1"/>
          </w:tcPr>
          <w:p w14:paraId="4048634B"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1602</w:t>
            </w:r>
          </w:p>
        </w:tc>
        <w:tc>
          <w:tcPr>
            <w:tcW w:w="811" w:type="dxa"/>
            <w:shd w:val="clear" w:color="auto" w:fill="FFFFFF" w:themeFill="background1"/>
            <w:hideMark/>
          </w:tcPr>
          <w:p w14:paraId="34161C1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1600</w:t>
            </w:r>
          </w:p>
        </w:tc>
        <w:tc>
          <w:tcPr>
            <w:tcW w:w="821" w:type="dxa"/>
            <w:shd w:val="clear" w:color="auto" w:fill="FFFFFF" w:themeFill="background1"/>
          </w:tcPr>
          <w:p w14:paraId="4F40BB7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1600</w:t>
            </w:r>
          </w:p>
        </w:tc>
        <w:tc>
          <w:tcPr>
            <w:tcW w:w="1980" w:type="dxa"/>
            <w:shd w:val="clear" w:color="auto" w:fill="FFFFFF" w:themeFill="background1"/>
          </w:tcPr>
          <w:p w14:paraId="016533B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1615-1580</w:t>
            </w:r>
          </w:p>
        </w:tc>
        <w:tc>
          <w:tcPr>
            <w:tcW w:w="3957" w:type="dxa"/>
            <w:shd w:val="clear" w:color="auto" w:fill="FFFFFF" w:themeFill="background1"/>
            <w:hideMark/>
          </w:tcPr>
          <w:p w14:paraId="227D47F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Aromatic C-C/C=C Stretching Modes</w:t>
            </w:r>
          </w:p>
        </w:tc>
      </w:tr>
      <w:tr w:rsidR="003335CD" w:rsidRPr="003335CD" w14:paraId="10B1581E" w14:textId="77777777" w:rsidTr="00EF7405">
        <w:trPr>
          <w:trHeight w:val="74"/>
          <w:jc w:val="center"/>
        </w:trPr>
        <w:tc>
          <w:tcPr>
            <w:tcW w:w="617" w:type="dxa"/>
            <w:shd w:val="clear" w:color="auto" w:fill="FFFFFF" w:themeFill="background1"/>
            <w:hideMark/>
          </w:tcPr>
          <w:p w14:paraId="53C6126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1233</w:t>
            </w:r>
          </w:p>
        </w:tc>
        <w:tc>
          <w:tcPr>
            <w:tcW w:w="811" w:type="dxa"/>
            <w:shd w:val="clear" w:color="auto" w:fill="FFFFFF" w:themeFill="background1"/>
          </w:tcPr>
          <w:p w14:paraId="70BBE176"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72C55DF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1230</w:t>
            </w:r>
          </w:p>
        </w:tc>
        <w:tc>
          <w:tcPr>
            <w:tcW w:w="821" w:type="dxa"/>
            <w:shd w:val="clear" w:color="auto" w:fill="FFFFFF" w:themeFill="background1"/>
          </w:tcPr>
          <w:p w14:paraId="18B3589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1230</w:t>
            </w:r>
          </w:p>
        </w:tc>
        <w:tc>
          <w:tcPr>
            <w:tcW w:w="1980" w:type="dxa"/>
            <w:shd w:val="clear" w:color="auto" w:fill="FFFFFF" w:themeFill="background1"/>
            <w:hideMark/>
          </w:tcPr>
          <w:p w14:paraId="335ACD82"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1257-1222</w:t>
            </w:r>
          </w:p>
        </w:tc>
        <w:tc>
          <w:tcPr>
            <w:tcW w:w="3957" w:type="dxa"/>
            <w:shd w:val="clear" w:color="auto" w:fill="FFFFFF" w:themeFill="background1"/>
            <w:hideMark/>
          </w:tcPr>
          <w:p w14:paraId="3D8ACB9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ʋC-N+ δN-H (Amide III)</w:t>
            </w:r>
          </w:p>
        </w:tc>
      </w:tr>
      <w:tr w:rsidR="003335CD" w:rsidRPr="003335CD" w14:paraId="55C4ED28" w14:textId="77777777" w:rsidTr="00EF7405">
        <w:trPr>
          <w:trHeight w:val="121"/>
          <w:jc w:val="center"/>
        </w:trPr>
        <w:tc>
          <w:tcPr>
            <w:tcW w:w="617" w:type="dxa"/>
            <w:tcBorders>
              <w:top w:val="nil"/>
              <w:left w:val="nil"/>
              <w:bottom w:val="single" w:sz="4" w:space="0" w:color="auto"/>
              <w:right w:val="nil"/>
            </w:tcBorders>
            <w:shd w:val="clear" w:color="auto" w:fill="FFFFFF" w:themeFill="background1"/>
            <w:hideMark/>
          </w:tcPr>
          <w:p w14:paraId="7E8E3ED3"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1075</w:t>
            </w:r>
          </w:p>
        </w:tc>
        <w:tc>
          <w:tcPr>
            <w:tcW w:w="811" w:type="dxa"/>
            <w:tcBorders>
              <w:top w:val="nil"/>
              <w:left w:val="nil"/>
              <w:bottom w:val="single" w:sz="4" w:space="0" w:color="auto"/>
              <w:right w:val="nil"/>
            </w:tcBorders>
            <w:shd w:val="clear" w:color="auto" w:fill="FFFFFF" w:themeFill="background1"/>
          </w:tcPr>
          <w:p w14:paraId="320D333E" w14:textId="77777777" w:rsidR="003335CD" w:rsidRPr="003335CD" w:rsidRDefault="003335CD" w:rsidP="00EF7405">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top w:val="nil"/>
              <w:left w:val="nil"/>
              <w:bottom w:val="single" w:sz="4" w:space="0" w:color="auto"/>
              <w:right w:val="nil"/>
            </w:tcBorders>
            <w:shd w:val="clear" w:color="auto" w:fill="FFFFFF" w:themeFill="background1"/>
            <w:hideMark/>
          </w:tcPr>
          <w:p w14:paraId="3F739E7A"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1077</w:t>
            </w:r>
          </w:p>
        </w:tc>
        <w:tc>
          <w:tcPr>
            <w:tcW w:w="821" w:type="dxa"/>
            <w:tcBorders>
              <w:top w:val="nil"/>
              <w:left w:val="nil"/>
              <w:bottom w:val="single" w:sz="4" w:space="0" w:color="auto"/>
              <w:right w:val="nil"/>
            </w:tcBorders>
            <w:shd w:val="clear" w:color="auto" w:fill="FFFFFF" w:themeFill="background1"/>
          </w:tcPr>
          <w:p w14:paraId="519376B3"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1075</w:t>
            </w:r>
          </w:p>
        </w:tc>
        <w:tc>
          <w:tcPr>
            <w:tcW w:w="1980" w:type="dxa"/>
            <w:tcBorders>
              <w:top w:val="nil"/>
              <w:left w:val="nil"/>
              <w:bottom w:val="single" w:sz="4" w:space="0" w:color="auto"/>
              <w:right w:val="nil"/>
            </w:tcBorders>
            <w:shd w:val="clear" w:color="auto" w:fill="FFFFFF" w:themeFill="background1"/>
            <w:hideMark/>
          </w:tcPr>
          <w:p w14:paraId="213D9CB4" w14:textId="77777777" w:rsidR="003335CD" w:rsidRPr="003335CD" w:rsidRDefault="003335CD" w:rsidP="00EF7405">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1083-1070</w:t>
            </w:r>
          </w:p>
        </w:tc>
        <w:tc>
          <w:tcPr>
            <w:tcW w:w="3957" w:type="dxa"/>
            <w:tcBorders>
              <w:top w:val="nil"/>
              <w:left w:val="nil"/>
              <w:bottom w:val="single" w:sz="4" w:space="0" w:color="auto"/>
              <w:right w:val="nil"/>
            </w:tcBorders>
            <w:shd w:val="clear" w:color="auto" w:fill="FFFFFF" w:themeFill="background1"/>
            <w:hideMark/>
          </w:tcPr>
          <w:p w14:paraId="53B1598A"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H-Bonded (C=O)OC in urethane</w:t>
            </w:r>
          </w:p>
        </w:tc>
      </w:tr>
    </w:tbl>
    <w:p w14:paraId="7ECAF231" w14:textId="77777777" w:rsidR="003335CD" w:rsidRPr="003335CD" w:rsidRDefault="003335CD" w:rsidP="00266993">
      <w:pPr>
        <w:spacing w:after="0"/>
        <w:jc w:val="both"/>
        <w:rPr>
          <w:rFonts w:ascii="Times New Roman" w:hAnsi="Times New Roman"/>
          <w:color w:val="000000" w:themeColor="text1"/>
          <w:sz w:val="20"/>
          <w:szCs w:val="20"/>
        </w:rPr>
      </w:pPr>
    </w:p>
    <w:p w14:paraId="5456F185" w14:textId="77777777" w:rsidR="00266993" w:rsidRDefault="00266993" w:rsidP="00266993">
      <w:pPr>
        <w:spacing w:after="0"/>
        <w:jc w:val="both"/>
        <w:rPr>
          <w:rFonts w:ascii="Times New Roman" w:hAnsi="Times New Roman"/>
          <w:color w:val="000000" w:themeColor="text1"/>
          <w:sz w:val="20"/>
          <w:szCs w:val="20"/>
        </w:rPr>
      </w:pPr>
    </w:p>
    <w:p w14:paraId="0E5DB199" w14:textId="77777777" w:rsidR="00C0599E" w:rsidRDefault="00C0599E" w:rsidP="00266993">
      <w:pPr>
        <w:spacing w:after="0"/>
        <w:jc w:val="both"/>
        <w:rPr>
          <w:rFonts w:ascii="Times New Roman" w:hAnsi="Times New Roman"/>
          <w:b/>
          <w:color w:val="000000" w:themeColor="text1"/>
          <w:sz w:val="20"/>
          <w:szCs w:val="20"/>
        </w:rPr>
        <w:sectPr w:rsidR="00C0599E" w:rsidSect="00F13162">
          <w:footerReference w:type="even" r:id="rId46"/>
          <w:type w:val="continuous"/>
          <w:pgSz w:w="12240" w:h="15840" w:code="1"/>
          <w:pgMar w:top="1800" w:right="1469" w:bottom="1699" w:left="1440" w:header="706" w:footer="706" w:gutter="0"/>
          <w:pgNumType w:start="0"/>
          <w:cols w:space="708"/>
          <w:docGrid w:linePitch="360"/>
        </w:sectPr>
      </w:pPr>
    </w:p>
    <w:p w14:paraId="664D7C8E" w14:textId="77777777"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t>TGA analysis</w:t>
      </w:r>
    </w:p>
    <w:p w14:paraId="45B04135" w14:textId="59F44E4A"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Thermogravimetric Analysis (TGA) is used to calculate the effect of filler addition (industrial plywood sawdust waste) and the ratio of MDI to its thermal performance, while </w:t>
      </w:r>
      <w:smartTag w:uri="urn:schemas-microsoft-com:office:smarttags" w:element="stockticker">
        <w:r w:rsidRPr="003335CD">
          <w:rPr>
            <w:rFonts w:ascii="Times New Roman" w:hAnsi="Times New Roman"/>
            <w:color w:val="000000" w:themeColor="text1"/>
            <w:sz w:val="20"/>
            <w:szCs w:val="20"/>
          </w:rPr>
          <w:t>DTG</w:t>
        </w:r>
      </w:smartTag>
      <w:r w:rsidRPr="003335CD">
        <w:rPr>
          <w:rFonts w:ascii="Times New Roman" w:hAnsi="Times New Roman"/>
          <w:color w:val="000000" w:themeColor="text1"/>
          <w:sz w:val="20"/>
          <w:szCs w:val="20"/>
        </w:rPr>
        <w:t xml:space="preserve"> is a derivative of its mass loss. Samples BP0, BP5, and BP1.5 were observed because they were representatives to the treatment. </w:t>
      </w:r>
      <w:r w:rsidR="0038729A">
        <w:rPr>
          <w:rFonts w:ascii="Times New Roman" w:hAnsi="Times New Roman"/>
          <w:color w:val="000000" w:themeColor="text1"/>
          <w:sz w:val="20"/>
          <w:szCs w:val="20"/>
        </w:rPr>
        <w:t xml:space="preserve">Figure 5 </w:t>
      </w:r>
      <w:r w:rsidRPr="003335CD">
        <w:rPr>
          <w:rFonts w:ascii="Times New Roman" w:hAnsi="Times New Roman"/>
          <w:color w:val="000000" w:themeColor="text1"/>
          <w:sz w:val="20"/>
          <w:szCs w:val="20"/>
        </w:rPr>
        <w:t xml:space="preserve">and </w:t>
      </w:r>
      <w:r w:rsidR="0038729A">
        <w:rPr>
          <w:rFonts w:ascii="Times New Roman" w:hAnsi="Times New Roman"/>
          <w:color w:val="000000" w:themeColor="text1"/>
          <w:sz w:val="20"/>
          <w:szCs w:val="20"/>
        </w:rPr>
        <w:t xml:space="preserve">Table 3 </w:t>
      </w:r>
      <w:r w:rsidRPr="003335CD">
        <w:rPr>
          <w:rFonts w:ascii="Times New Roman" w:hAnsi="Times New Roman"/>
          <w:color w:val="000000" w:themeColor="text1"/>
          <w:sz w:val="20"/>
          <w:szCs w:val="20"/>
        </w:rPr>
        <w:t xml:space="preserve">show the results of the TG and </w:t>
      </w:r>
      <w:smartTag w:uri="urn:schemas-microsoft-com:office:smarttags" w:element="stockticker">
        <w:r w:rsidRPr="003335CD">
          <w:rPr>
            <w:rFonts w:ascii="Times New Roman" w:hAnsi="Times New Roman"/>
            <w:color w:val="000000" w:themeColor="text1"/>
            <w:sz w:val="20"/>
            <w:szCs w:val="20"/>
          </w:rPr>
          <w:t>DTG</w:t>
        </w:r>
      </w:smartTag>
      <w:r w:rsidRPr="003335CD">
        <w:rPr>
          <w:rFonts w:ascii="Times New Roman" w:hAnsi="Times New Roman"/>
          <w:color w:val="000000" w:themeColor="text1"/>
          <w:sz w:val="20"/>
          <w:szCs w:val="20"/>
        </w:rPr>
        <w:t xml:space="preserve"> tests. Temperature characteristics were divided into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and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was the degradation of temperature when the mass loss was 5%, while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xml:space="preserve"> was the maximum degradation temperature of all samples</w:t>
      </w:r>
      <w:r w:rsidR="00C174E7">
        <w:rPr>
          <w:rFonts w:ascii="Times New Roman" w:hAnsi="Times New Roman"/>
          <w:color w:val="000000" w:themeColor="text1"/>
          <w:sz w:val="20"/>
          <w:szCs w:val="20"/>
        </w:rPr>
        <w:t xml:space="preserve"> [6]</w:t>
      </w:r>
      <w:r w:rsidRPr="003335CD">
        <w:rPr>
          <w:rFonts w:ascii="Times New Roman" w:hAnsi="Times New Roman"/>
          <w:color w:val="000000" w:themeColor="text1"/>
          <w:sz w:val="20"/>
          <w:szCs w:val="20"/>
        </w:rPr>
        <w:t>. All samples had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xml:space="preserve"> which was divided into three stages. Before the samples were degraded at the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temperature in the initial stage, there was a small degradation below 100</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which was the degradation of moisture, solvent light organic molecules, and impurities from the biofoam</w:t>
      </w:r>
      <w:r w:rsidR="00C174E7">
        <w:rPr>
          <w:rFonts w:ascii="Times New Roman" w:hAnsi="Times New Roman"/>
          <w:color w:val="000000" w:themeColor="text1"/>
          <w:sz w:val="20"/>
          <w:szCs w:val="20"/>
        </w:rPr>
        <w:t xml:space="preserve"> [23]</w:t>
      </w:r>
      <w:r w:rsidRPr="003335CD">
        <w:rPr>
          <w:rFonts w:ascii="Times New Roman" w:hAnsi="Times New Roman"/>
          <w:color w:val="000000" w:themeColor="text1"/>
          <w:sz w:val="20"/>
          <w:szCs w:val="20"/>
        </w:rPr>
        <w:t>. The T</w:t>
      </w:r>
      <w:r w:rsidRPr="003335CD">
        <w:rPr>
          <w:rFonts w:ascii="Times New Roman" w:hAnsi="Times New Roman"/>
          <w:color w:val="000000" w:themeColor="text1"/>
          <w:sz w:val="20"/>
          <w:szCs w:val="20"/>
          <w:vertAlign w:val="subscript"/>
        </w:rPr>
        <w:t>Onsets</w:t>
      </w:r>
      <w:r w:rsidRPr="003335CD">
        <w:rPr>
          <w:rFonts w:ascii="Times New Roman" w:hAnsi="Times New Roman"/>
          <w:color w:val="000000" w:themeColor="text1"/>
          <w:sz w:val="20"/>
          <w:szCs w:val="20"/>
        </w:rPr>
        <w:t xml:space="preserve"> of the three samples were all above 120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with BP1.5 having the highest value of 130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The first and second stages of degradation occurred at temperatures of 190-209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294-295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respectively, and involved the decomposition of polymer urethane bonds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Bu","given":"Bunbun","non-dropping-particle":"","parse-names":false,"suffix":""}],"id":"ITEM-1","issued":{"date-parts":[["0"]]},"title":"9-ethox","type":"report"},"uris":["http://www.mendeley.com/documents/?uuid=32e58873-df3c-31e8-92b3-36fb5a009dfa"]},{"id":"ITEM-2","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-2","issue":"January","issued":{"date-parts":[["2019"]]},"page":"12-25","title":"Composites of rigid polyurethane foams and silica powder fi ller enhanced with ionic liquid","type":"article-journal","volume":"75"},"uris":["http://www.mendeley.com/documents/?uuid=ab0c0ee4-931f-4bbe-9998-5ad488fa4f6d"]}],"mendeley":{"formattedCitation":"[6], [11]","manualFormatting":"[6,11,29]","plainTextFormattedCitation":"[6], [11]","previouslyFormattedCitation":"[6], [11]"},"properties":{"noteIndex":0},"schema":"https://github.com/citation-style-language/schema/raw/master/csl-citation.json"}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[7, 13, 21]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last degradation that occurred was the soft segment decomposition of the MDI biofoam at a temperature above 500</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This stage involved combustion and aromatic oxidation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Bu","given":"Bunbun","non-dropping-particle":"","parse-names":false,"suffix":""}],"id":"ITEM-1","issued":{"date-parts":[["0"]]},"title":"9-ethox","type":"report"},"uris":["http://www.mendeley.com/documents/?uuid=32e58873-df3c-31e8-92b3-36fb5a009dfa"]}],"mendeley":{"formattedCitation":"[6]","manualFormatting":"[7]","plainTextFormattedCitation":"[6]","previouslyFormattedCitation":"[6]"},"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[7, 24]</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as well as the degradation of lignin (industrial plywood sawdust) </w:t>
      </w:r>
      <w:r w:rsidRPr="003335CD">
        <w:rPr>
          <w:rFonts w:ascii="Times New Roman" w:hAnsi="Times New Roman"/>
          <w:color w:val="000000" w:themeColor="text1"/>
          <w:sz w:val="20"/>
          <w:szCs w:val="20"/>
        </w:rPr>
        <w:t xml:space="preserve">and other molecules that were difficult to separate from the previous stage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[21]","plainTextFormattedCitation":"[20]","previouslyFormattedCitation":"[20]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[21, 25]</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Furthermore, the DTG curve (</w:t>
      </w:r>
      <w:r w:rsidR="004A3183">
        <w:rPr>
          <w:rFonts w:ascii="Times New Roman" w:hAnsi="Times New Roman"/>
          <w:color w:val="000000" w:themeColor="text1"/>
          <w:sz w:val="20"/>
          <w:szCs w:val="20"/>
        </w:rPr>
        <w:t>Figure 5)</w:t>
      </w:r>
      <w:r w:rsidRPr="003335CD">
        <w:rPr>
          <w:rFonts w:ascii="Times New Roman" w:hAnsi="Times New Roman"/>
          <w:color w:val="000000" w:themeColor="text1"/>
          <w:sz w:val="20"/>
          <w:szCs w:val="20"/>
        </w:rPr>
        <w:t xml:space="preserve"> shows that the greatest mass loss occurred at 294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which was the hard segment decomposition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stage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while</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the</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temperature above 525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was the soft segment decomposition stage.</w:t>
      </w:r>
    </w:p>
    <w:p w14:paraId="65CAC661" w14:textId="77777777" w:rsidR="00C0599E" w:rsidRDefault="00C0599E" w:rsidP="00C0599E">
      <w:pPr>
        <w:spacing w:after="0"/>
        <w:rPr>
          <w:rFonts w:ascii="Times New Roman" w:hAnsi="Times New Roman"/>
          <w:color w:val="000000" w:themeColor="text1"/>
          <w:sz w:val="20"/>
          <w:szCs w:val="20"/>
        </w:rPr>
      </w:pPr>
    </w:p>
    <w:p w14:paraId="64C6BC7F" w14:textId="28BAC3D3" w:rsidR="00C0599E" w:rsidRPr="003335CD" w:rsidRDefault="00C0599E" w:rsidP="00C0599E">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Figures 5(a)-(c) show the TGA results. It was found that BP0, or the biofoam without the addition of waste or MDI ratio, had better thermal resistance. This is because its thermal degradation profile showed that mass loss generally occurred at higher temperature compared to BP1 and BP1.5 (Figure 5 (a)). When biofoam filler was added, it is suggested that two things might have occurred: 1) the organic filler might contain a small amount of water residue as a result of the formation of urea bonds which increases the activation energy for thermal degradation</w:t>
      </w:r>
      <w:r w:rsidR="00C174E7">
        <w:rPr>
          <w:rFonts w:ascii="Times New Roman" w:hAnsi="Times New Roman"/>
          <w:color w:val="000000" w:themeColor="text1"/>
          <w:sz w:val="20"/>
          <w:szCs w:val="20"/>
        </w:rPr>
        <w:t xml:space="preserve"> [8]</w:t>
      </w:r>
      <w:r w:rsidRPr="003335CD">
        <w:rPr>
          <w:rFonts w:ascii="Times New Roman" w:hAnsi="Times New Roman"/>
          <w:color w:val="000000" w:themeColor="text1"/>
          <w:sz w:val="20"/>
          <w:szCs w:val="20"/>
        </w:rPr>
        <w:t>, or 2) the addition of filler improved strength by giving the part a hard segment character, which increased thermal resistance</w:t>
      </w:r>
      <w:r w:rsidR="00C174E7">
        <w:rPr>
          <w:rFonts w:ascii="Times New Roman" w:hAnsi="Times New Roman"/>
          <w:color w:val="000000" w:themeColor="text1"/>
          <w:sz w:val="20"/>
          <w:szCs w:val="20"/>
        </w:rPr>
        <w:t xml:space="preserve"> [23]</w:t>
      </w:r>
      <w:r w:rsidRPr="003335CD">
        <w:rPr>
          <w:rFonts w:ascii="Times New Roman" w:hAnsi="Times New Roman"/>
          <w:color w:val="000000" w:themeColor="text1"/>
          <w:sz w:val="20"/>
          <w:szCs w:val="20"/>
        </w:rPr>
        <w:t xml:space="preserve">. Based on the results found, it should be the result that led to the second reason but this research showed that BP0 had highest thermal conductivity. It means that the filler-free biofoam had good thermal resistance. Another factor that caused a decrease in thermal performance was the uneven distribution of the filler in the polymer matrix which affected density. Besides, the TGA results were also influenced by pore </w:t>
      </w:r>
      <w:r w:rsidRPr="003335CD">
        <w:rPr>
          <w:rFonts w:ascii="Times New Roman" w:hAnsi="Times New Roman"/>
          <w:color w:val="000000" w:themeColor="text1"/>
          <w:sz w:val="20"/>
          <w:szCs w:val="20"/>
        </w:rPr>
        <w:lastRenderedPageBreak/>
        <w:t>morphology. The modified biofoam's high pores and open cavities hastened the degradation process, thus reducing the thermal efficiency of the substance being analyzed</w:t>
      </w:r>
      <w:r w:rsidR="00C174E7">
        <w:rPr>
          <w:rFonts w:ascii="Times New Roman" w:hAnsi="Times New Roman"/>
          <w:color w:val="000000" w:themeColor="text1"/>
          <w:sz w:val="20"/>
          <w:szCs w:val="20"/>
        </w:rPr>
        <w:t xml:space="preserve"> [8]</w:t>
      </w:r>
      <w:r w:rsidRPr="003335CD">
        <w:rPr>
          <w:rFonts w:ascii="Times New Roman" w:hAnsi="Times New Roman"/>
          <w:color w:val="000000" w:themeColor="text1"/>
          <w:sz w:val="20"/>
          <w:szCs w:val="20"/>
        </w:rPr>
        <w:t xml:space="preserve">. </w:t>
      </w:r>
    </w:p>
    <w:p w14:paraId="702EC840" w14:textId="77777777" w:rsidR="00C0599E" w:rsidRDefault="00C0599E" w:rsidP="00C0599E">
      <w:pPr>
        <w:spacing w:after="0"/>
        <w:rPr>
          <w:rFonts w:ascii="Times New Roman" w:hAnsi="Times New Roman"/>
          <w:color w:val="000000" w:themeColor="text1"/>
          <w:sz w:val="20"/>
          <w:szCs w:val="20"/>
        </w:rPr>
      </w:pPr>
    </w:p>
    <w:p w14:paraId="4DC5254D" w14:textId="693A9FF4" w:rsidR="00AF722D" w:rsidRPr="003335CD" w:rsidRDefault="00AF722D" w:rsidP="00AF722D">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DSC analysis was used to measure the change in mass of the heat-treated samples. TGA cannot normally detect physical changes in polymer structures such as glass transition, crystallization, or melting, but these </w:t>
      </w:r>
      <w:r w:rsidRPr="003335CD">
        <w:rPr>
          <w:rFonts w:ascii="Times New Roman" w:hAnsi="Times New Roman"/>
          <w:color w:val="000000" w:themeColor="text1"/>
          <w:sz w:val="20"/>
          <w:szCs w:val="20"/>
        </w:rPr>
        <w:t>can be determined through DSC</w:t>
      </w:r>
      <w:r w:rsidR="00C174E7">
        <w:rPr>
          <w:rFonts w:ascii="Times New Roman" w:hAnsi="Times New Roman"/>
          <w:color w:val="000000" w:themeColor="text1"/>
          <w:sz w:val="20"/>
          <w:szCs w:val="20"/>
        </w:rPr>
        <w:t xml:space="preserve"> [23]</w:t>
      </w:r>
      <w:r w:rsidRPr="003335CD">
        <w:rPr>
          <w:rFonts w:ascii="Times New Roman" w:hAnsi="Times New Roman"/>
          <w:color w:val="000000" w:themeColor="text1"/>
          <w:sz w:val="20"/>
          <w:szCs w:val="20"/>
        </w:rPr>
        <w:t>. The DSC analysis (</w:t>
      </w:r>
      <w:r w:rsidR="004A3183">
        <w:rPr>
          <w:rFonts w:ascii="Times New Roman" w:hAnsi="Times New Roman"/>
          <w:color w:val="000000" w:themeColor="text1"/>
          <w:sz w:val="20"/>
          <w:szCs w:val="20"/>
        </w:rPr>
        <w:t>Figure 5</w:t>
      </w:r>
      <w:r w:rsidRPr="003335CD">
        <w:rPr>
          <w:rFonts w:ascii="Times New Roman" w:hAnsi="Times New Roman"/>
          <w:color w:val="000000" w:themeColor="text1"/>
          <w:sz w:val="20"/>
          <w:szCs w:val="20"/>
        </w:rPr>
        <w:t>) reveals that none of the biofoam samples had endothermic melting peaks. This could be caused by a physical changeover of the polymer, or the density from melting at a fast cooling rate to a glassy amorphous state or impure samples. Samples B5 and BP1.5</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had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a</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single exothermic peak at 522</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538</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respectively, while Sample BP0 had two exothermic peaks at 539</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551</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w:t>
      </w:r>
    </w:p>
    <w:p w14:paraId="3B72F062" w14:textId="3622CD67" w:rsidR="00AF722D" w:rsidRDefault="00AF722D" w:rsidP="00C0599E">
      <w:pPr>
        <w:spacing w:after="0"/>
        <w:rPr>
          <w:rFonts w:ascii="Times New Roman" w:hAnsi="Times New Roman"/>
          <w:color w:val="000000" w:themeColor="text1"/>
          <w:sz w:val="20"/>
          <w:szCs w:val="20"/>
        </w:rPr>
        <w:sectPr w:rsidR="00AF722D" w:rsidSect="00C0599E">
          <w:footerReference w:type="default" r:id="rId47"/>
          <w:type w:val="continuous"/>
          <w:pgSz w:w="12240" w:h="15840" w:code="1"/>
          <w:pgMar w:top="1800" w:right="1469" w:bottom="1699" w:left="1440" w:header="706" w:footer="706" w:gutter="0"/>
          <w:pgNumType w:start="0"/>
          <w:cols w:num="2" w:space="403"/>
          <w:docGrid w:linePitch="360"/>
        </w:sectPr>
      </w:pPr>
    </w:p>
    <w:p w14:paraId="15C25E21" w14:textId="77777777" w:rsidR="003335CD" w:rsidRPr="003335CD" w:rsidRDefault="003335CD" w:rsidP="00EF7405">
      <w:pPr>
        <w:spacing w:after="0"/>
        <w:jc w:val="center"/>
        <w:rPr>
          <w:rFonts w:ascii="Times New Roman" w:hAnsi="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393"/>
      </w:tblGrid>
      <w:tr w:rsidR="003335CD" w:rsidRPr="003335CD" w14:paraId="01F730AC" w14:textId="77777777" w:rsidTr="00EF7405">
        <w:trPr>
          <w:jc w:val="center"/>
        </w:trPr>
        <w:tc>
          <w:tcPr>
            <w:tcW w:w="4594" w:type="dxa"/>
          </w:tcPr>
          <w:p w14:paraId="5CA1E397" w14:textId="51A5F797"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49A4FC42" w14:textId="77777777" w:rsidR="003335CD" w:rsidRPr="003335CD" w:rsidRDefault="003335CD" w:rsidP="00EF7405">
            <w:pPr>
              <w:spacing w:after="0"/>
              <w:ind w:right="30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75648" behindDoc="0" locked="0" layoutInCell="1" allowOverlap="1" wp14:anchorId="165BDB35" wp14:editId="0054DDC5">
                      <wp:simplePos x="0" y="0"/>
                      <wp:positionH relativeFrom="column">
                        <wp:posOffset>-119380</wp:posOffset>
                      </wp:positionH>
                      <wp:positionV relativeFrom="paragraph">
                        <wp:posOffset>60325</wp:posOffset>
                      </wp:positionV>
                      <wp:extent cx="373711" cy="270344"/>
                      <wp:effectExtent l="0" t="0" r="26670" b="15875"/>
                      <wp:wrapNone/>
                      <wp:docPr id="10" name="Text Box 10"/>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099B4D96"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DB35" id="Text Box 10" o:spid="_x0000_s1029" type="#_x0000_t202" style="position:absolute;left:0;text-align:left;margin-left:-9.4pt;margin-top:4.75pt;width:29.4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" fillcolor="white [3201]" strokecolor="white [3212]" strokeweight=".5pt">
                      <v:textbox>
                        <w:txbxContent>
                          <w:p w14:paraId="099B4D96"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v:textbox>
                    </v:shape>
                  </w:pict>
                </mc:Fallback>
              </mc:AlternateContent>
            </w:r>
            <w:r w:rsidRPr="003335CD">
              <w:rPr>
                <w:rFonts w:ascii="Times New Roman" w:hAnsi="Times New Roman"/>
                <w:sz w:val="20"/>
                <w:szCs w:val="20"/>
              </w:rPr>
              <w:object w:dxaOrig="7223" w:dyaOrig="5520" w14:anchorId="703D719A">
                <v:shape id="_x0000_i1033" type="#_x0000_t75" style="width:181.8pt;height:138pt" o:ole="">
                  <v:imagedata r:id="rId48" o:title=""/>
                </v:shape>
                <o:OLEObject Type="Embed" ProgID="Origin95.Graph" ShapeID="_x0000_i1033" DrawAspect="Content" ObjectID="_1717488731" r:id="rId49"/>
              </w:object>
            </w:r>
          </w:p>
        </w:tc>
        <w:tc>
          <w:tcPr>
            <w:tcW w:w="4393" w:type="dxa"/>
          </w:tcPr>
          <w:p w14:paraId="596E591A" w14:textId="77777777"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795D0E36" w14:textId="77777777" w:rsidR="003335CD" w:rsidRPr="003335CD" w:rsidRDefault="003335CD" w:rsidP="00EF7405">
            <w:pPr>
              <w:spacing w:after="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81792" behindDoc="0" locked="0" layoutInCell="1" allowOverlap="1" wp14:anchorId="467DB6B7" wp14:editId="5FD77507">
                      <wp:simplePos x="0" y="0"/>
                      <wp:positionH relativeFrom="column">
                        <wp:posOffset>-269406</wp:posOffset>
                      </wp:positionH>
                      <wp:positionV relativeFrom="paragraph">
                        <wp:posOffset>112202</wp:posOffset>
                      </wp:positionV>
                      <wp:extent cx="373711" cy="270344"/>
                      <wp:effectExtent l="0" t="0" r="26670" b="15875"/>
                      <wp:wrapNone/>
                      <wp:docPr id="14" name="Text Box 14"/>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25FC22EC"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B6B7" id="Text Box 14" o:spid="_x0000_s1030" type="#_x0000_t202" style="position:absolute;left:0;text-align:left;margin-left:-21.2pt;margin-top:8.85pt;width:29.45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" fillcolor="white [3201]" strokecolor="white [3212]" strokeweight=".5pt">
                      <v:textbox>
                        <w:txbxContent>
                          <w:p w14:paraId="25FC22EC"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v:textbox>
                    </v:shape>
                  </w:pict>
                </mc:Fallback>
              </mc:AlternateContent>
            </w:r>
            <w:r w:rsidRPr="003335CD">
              <w:rPr>
                <w:rFonts w:ascii="Times New Roman" w:hAnsi="Times New Roman"/>
                <w:color w:val="000000" w:themeColor="text1"/>
                <w:sz w:val="20"/>
                <w:szCs w:val="20"/>
              </w:rPr>
              <w:object w:dxaOrig="7222" w:dyaOrig="5519" w14:anchorId="003C0AF9">
                <v:shape id="_x0000_i1034" type="#_x0000_t75" style="width:187.2pt;height:138.6pt" o:ole="">
                  <v:imagedata r:id="rId50" o:title=""/>
                </v:shape>
                <o:OLEObject Type="Embed" ProgID="Origin95.Graph" ShapeID="_x0000_i1034" DrawAspect="Content" ObjectID="_1717488732" r:id="rId51"/>
              </w:object>
            </w:r>
          </w:p>
        </w:tc>
      </w:tr>
      <w:tr w:rsidR="003335CD" w:rsidRPr="003335CD" w14:paraId="037D994D" w14:textId="77777777" w:rsidTr="00EF7405">
        <w:trPr>
          <w:jc w:val="center"/>
        </w:trPr>
        <w:tc>
          <w:tcPr>
            <w:tcW w:w="8987" w:type="dxa"/>
            <w:gridSpan w:val="2"/>
          </w:tcPr>
          <w:p w14:paraId="0312DE20" w14:textId="4B1F66DA"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05E0287B" w14:textId="77777777" w:rsidR="003335CD" w:rsidRPr="003335CD" w:rsidRDefault="003335CD" w:rsidP="00EF7405">
            <w:pPr>
              <w:spacing w:after="12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87936" behindDoc="0" locked="0" layoutInCell="1" allowOverlap="1" wp14:anchorId="67B1729E" wp14:editId="1D8718E0">
                      <wp:simplePos x="0" y="0"/>
                      <wp:positionH relativeFrom="column">
                        <wp:posOffset>1375575</wp:posOffset>
                      </wp:positionH>
                      <wp:positionV relativeFrom="paragraph">
                        <wp:posOffset>40640</wp:posOffset>
                      </wp:positionV>
                      <wp:extent cx="373711" cy="270344"/>
                      <wp:effectExtent l="0" t="0" r="26670" b="15875"/>
                      <wp:wrapNone/>
                      <wp:docPr id="15" name="Text Box 15"/>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54D490C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729E" id="Text Box 15" o:spid="_x0000_s1031" type="#_x0000_t202" style="position:absolute;left:0;text-align:left;margin-left:108.3pt;margin-top:3.2pt;width:29.45pt;height:2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" fillcolor="white [3201]" strokecolor="white [3212]" strokeweight=".5pt">
                      <v:textbox>
                        <w:txbxContent>
                          <w:p w14:paraId="54D490C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v:textbox>
                    </v:shape>
                  </w:pict>
                </mc:Fallback>
              </mc:AlternateContent>
            </w:r>
            <w:r w:rsidRPr="003335CD">
              <w:rPr>
                <w:rFonts w:ascii="Times New Roman" w:hAnsi="Times New Roman"/>
                <w:color w:val="000000" w:themeColor="text1"/>
                <w:sz w:val="20"/>
                <w:szCs w:val="20"/>
              </w:rPr>
              <w:object w:dxaOrig="7222" w:dyaOrig="5519" w14:anchorId="1A7DA6D6">
                <v:shape id="_x0000_i1035" type="#_x0000_t75" style="width:204pt;height:149.4pt" o:ole="">
                  <v:imagedata r:id="rId52" o:title=""/>
                </v:shape>
                <o:OLEObject Type="Embed" ProgID="Origin95.Graph" ShapeID="_x0000_i1035" DrawAspect="Content" ObjectID="_1717488733" r:id="rId53"/>
              </w:object>
            </w:r>
          </w:p>
        </w:tc>
      </w:tr>
    </w:tbl>
    <w:p w14:paraId="046EC7AD" w14:textId="08FD17F0" w:rsidR="003335CD" w:rsidRPr="003335CD" w:rsidRDefault="003335CD" w:rsidP="00EF7405">
      <w:pPr>
        <w:pStyle w:val="Caption"/>
        <w:spacing w:after="0" w:line="276" w:lineRule="auto"/>
        <w:jc w:val="center"/>
        <w:rPr>
          <w:i w:val="0"/>
          <w:color w:val="000000" w:themeColor="text1"/>
          <w:sz w:val="20"/>
          <w:szCs w:val="20"/>
        </w:rPr>
      </w:pPr>
      <w:bookmarkStart w:id="19" w:name="_Ref87819825"/>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Pr="003335CD">
        <w:rPr>
          <w:i w:val="0"/>
          <w:noProof/>
          <w:color w:val="000000" w:themeColor="text1"/>
          <w:sz w:val="20"/>
          <w:szCs w:val="20"/>
        </w:rPr>
        <w:t>5</w:t>
      </w:r>
      <w:r w:rsidRPr="003335CD">
        <w:rPr>
          <w:i w:val="0"/>
          <w:color w:val="000000" w:themeColor="text1"/>
          <w:sz w:val="20"/>
          <w:szCs w:val="20"/>
        </w:rPr>
        <w:fldChar w:fldCharType="end"/>
      </w:r>
      <w:bookmarkEnd w:id="19"/>
      <w:r w:rsidRPr="003335CD">
        <w:rPr>
          <w:i w:val="0"/>
          <w:color w:val="000000" w:themeColor="text1"/>
          <w:sz w:val="20"/>
          <w:szCs w:val="20"/>
        </w:rPr>
        <w:t>.</w:t>
      </w:r>
      <w:r w:rsidR="00EF7405">
        <w:rPr>
          <w:i w:val="0"/>
          <w:color w:val="000000" w:themeColor="text1"/>
          <w:sz w:val="20"/>
          <w:szCs w:val="20"/>
        </w:rPr>
        <w:t xml:space="preserve"> </w:t>
      </w:r>
      <w:r w:rsidRPr="003335CD">
        <w:rPr>
          <w:b/>
          <w:i w:val="0"/>
          <w:color w:val="000000" w:themeColor="text1"/>
          <w:sz w:val="20"/>
          <w:szCs w:val="20"/>
        </w:rPr>
        <w:t xml:space="preserve"> </w:t>
      </w:r>
      <w:r w:rsidRPr="003335CD">
        <w:rPr>
          <w:i w:val="0"/>
          <w:color w:val="000000" w:themeColor="text1"/>
          <w:sz w:val="20"/>
          <w:szCs w:val="20"/>
        </w:rPr>
        <w:t>TGA (a), DTGA (b), and DSC (c) of the PUU/IPSW biofoam</w:t>
      </w:r>
    </w:p>
    <w:p w14:paraId="087D6C8E" w14:textId="77777777" w:rsidR="00EF7405" w:rsidRPr="003335CD" w:rsidRDefault="00EF7405" w:rsidP="00266993">
      <w:pPr>
        <w:spacing w:after="0"/>
        <w:jc w:val="both"/>
        <w:rPr>
          <w:rFonts w:ascii="Times New Roman" w:hAnsi="Times New Roman"/>
          <w:color w:val="000000" w:themeColor="text1"/>
          <w:sz w:val="20"/>
          <w:szCs w:val="20"/>
        </w:rPr>
      </w:pPr>
    </w:p>
    <w:p w14:paraId="7C1F94E5" w14:textId="73909807" w:rsidR="003335CD" w:rsidRPr="00EF7405" w:rsidRDefault="003335CD" w:rsidP="00EF7405">
      <w:pPr>
        <w:pStyle w:val="Caption"/>
        <w:spacing w:after="120" w:line="276" w:lineRule="auto"/>
        <w:jc w:val="center"/>
        <w:rPr>
          <w:i w:val="0"/>
          <w:color w:val="000000" w:themeColor="text1"/>
          <w:sz w:val="20"/>
          <w:szCs w:val="20"/>
        </w:rPr>
      </w:pPr>
      <w:bookmarkStart w:id="20" w:name="_Ref87819939"/>
      <w:r w:rsidRPr="003335CD">
        <w:rPr>
          <w:i w:val="0"/>
          <w:color w:val="000000" w:themeColor="text1"/>
          <w:sz w:val="20"/>
          <w:szCs w:val="20"/>
        </w:rPr>
        <w:t xml:space="preserve">Table </w:t>
      </w:r>
      <w:r w:rsidRPr="003335CD">
        <w:rPr>
          <w:i w:val="0"/>
          <w:color w:val="000000" w:themeColor="text1"/>
          <w:sz w:val="20"/>
          <w:szCs w:val="20"/>
        </w:rPr>
        <w:fldChar w:fldCharType="begin"/>
      </w:r>
      <w:r w:rsidRPr="003335CD">
        <w:rPr>
          <w:i w:val="0"/>
          <w:color w:val="000000" w:themeColor="text1"/>
          <w:sz w:val="20"/>
          <w:szCs w:val="20"/>
        </w:rPr>
        <w:instrText xml:space="preserve"> SEQ Table \* ARABIC </w:instrText>
      </w:r>
      <w:r w:rsidRPr="003335CD">
        <w:rPr>
          <w:i w:val="0"/>
          <w:color w:val="000000" w:themeColor="text1"/>
          <w:sz w:val="20"/>
          <w:szCs w:val="20"/>
        </w:rPr>
        <w:fldChar w:fldCharType="separate"/>
      </w:r>
      <w:r w:rsidRPr="003335CD">
        <w:rPr>
          <w:i w:val="0"/>
          <w:noProof/>
          <w:color w:val="000000" w:themeColor="text1"/>
          <w:sz w:val="20"/>
          <w:szCs w:val="20"/>
        </w:rPr>
        <w:t>3</w:t>
      </w:r>
      <w:r w:rsidRPr="003335CD">
        <w:rPr>
          <w:i w:val="0"/>
          <w:color w:val="000000" w:themeColor="text1"/>
          <w:sz w:val="20"/>
          <w:szCs w:val="20"/>
        </w:rPr>
        <w:fldChar w:fldCharType="end"/>
      </w:r>
      <w:bookmarkEnd w:id="20"/>
      <w:r w:rsidRPr="003335CD">
        <w:rPr>
          <w:i w:val="0"/>
          <w:color w:val="000000" w:themeColor="text1"/>
          <w:sz w:val="20"/>
          <w:szCs w:val="20"/>
        </w:rPr>
        <w:t>.</w:t>
      </w:r>
      <w:r w:rsidR="00EF7405">
        <w:rPr>
          <w:b/>
          <w:i w:val="0"/>
          <w:color w:val="000000" w:themeColor="text1"/>
          <w:sz w:val="20"/>
          <w:szCs w:val="20"/>
        </w:rPr>
        <w:t xml:space="preserve">  </w:t>
      </w:r>
      <w:r w:rsidRPr="003335CD">
        <w:rPr>
          <w:i w:val="0"/>
          <w:color w:val="000000" w:themeColor="text1"/>
          <w:sz w:val="20"/>
          <w:szCs w:val="20"/>
        </w:rPr>
        <w:t>The sections of thermal degradation on the PUU/IPSW biofoam</w:t>
      </w: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71"/>
        <w:gridCol w:w="1068"/>
        <w:gridCol w:w="582"/>
        <w:gridCol w:w="582"/>
        <w:gridCol w:w="582"/>
        <w:gridCol w:w="1456"/>
      </w:tblGrid>
      <w:tr w:rsidR="003335CD" w:rsidRPr="003335CD" w14:paraId="6B600FC5" w14:textId="77777777" w:rsidTr="00E10818">
        <w:trPr>
          <w:trHeight w:val="441"/>
          <w:jc w:val="center"/>
        </w:trPr>
        <w:tc>
          <w:tcPr>
            <w:tcW w:w="2071" w:type="dxa"/>
            <w:vMerge w:val="restart"/>
            <w:tcBorders>
              <w:top w:val="single" w:sz="4" w:space="0" w:color="auto"/>
              <w:bottom w:val="nil"/>
            </w:tcBorders>
            <w:shd w:val="clear" w:color="auto" w:fill="FFFFFF" w:themeFill="background1"/>
          </w:tcPr>
          <w:p w14:paraId="62A00DF9" w14:textId="77777777" w:rsidR="003335CD" w:rsidRPr="003335CD" w:rsidRDefault="003335CD" w:rsidP="00E10818">
            <w:pPr>
              <w:spacing w:before="240"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Sample Codes</w:t>
            </w:r>
          </w:p>
        </w:tc>
        <w:tc>
          <w:tcPr>
            <w:tcW w:w="0" w:type="auto"/>
            <w:vMerge w:val="restart"/>
            <w:tcBorders>
              <w:top w:val="single" w:sz="4" w:space="0" w:color="auto"/>
              <w:bottom w:val="nil"/>
            </w:tcBorders>
            <w:shd w:val="clear" w:color="auto" w:fill="FFFFFF" w:themeFill="background1"/>
            <w:vAlign w:val="center"/>
          </w:tcPr>
          <w:p w14:paraId="3145022B" w14:textId="77777777" w:rsidR="003335CD" w:rsidRPr="003335CD" w:rsidRDefault="003335CD" w:rsidP="00EF7405">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T</w:t>
            </w:r>
            <w:r w:rsidRPr="003335CD">
              <w:rPr>
                <w:rFonts w:ascii="Times New Roman" w:hAnsi="Times New Roman"/>
                <w:b/>
                <w:bCs/>
                <w:color w:val="000000" w:themeColor="text1"/>
                <w:sz w:val="20"/>
                <w:szCs w:val="20"/>
                <w:vertAlign w:val="subscript"/>
              </w:rPr>
              <w:t>onset</w:t>
            </w:r>
            <w:r w:rsidRPr="003335CD">
              <w:rPr>
                <w:rFonts w:ascii="Times New Roman" w:hAnsi="Times New Roman"/>
                <w:b/>
                <w:bCs/>
                <w:color w:val="000000" w:themeColor="text1"/>
                <w:sz w:val="20"/>
                <w:szCs w:val="20"/>
              </w:rPr>
              <w:t xml:space="preserve">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w:t>
            </w:r>
          </w:p>
        </w:tc>
        <w:tc>
          <w:tcPr>
            <w:tcW w:w="0" w:type="auto"/>
            <w:gridSpan w:val="3"/>
            <w:tcBorders>
              <w:top w:val="single" w:sz="4" w:space="0" w:color="auto"/>
              <w:bottom w:val="single" w:sz="4" w:space="0" w:color="auto"/>
            </w:tcBorders>
            <w:shd w:val="clear" w:color="auto" w:fill="FFFFFF" w:themeFill="background1"/>
          </w:tcPr>
          <w:p w14:paraId="3F70F700" w14:textId="77777777" w:rsidR="003335CD" w:rsidRPr="003335CD" w:rsidRDefault="003335CD" w:rsidP="00E10818">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(Stages) T</w:t>
            </w:r>
            <w:r w:rsidRPr="003335CD">
              <w:rPr>
                <w:rFonts w:ascii="Times New Roman" w:hAnsi="Times New Roman"/>
                <w:b/>
                <w:bCs/>
                <w:color w:val="000000" w:themeColor="text1"/>
                <w:sz w:val="20"/>
                <w:szCs w:val="20"/>
                <w:vertAlign w:val="subscript"/>
              </w:rPr>
              <w:t>max</w:t>
            </w:r>
            <w:r w:rsidRPr="003335CD">
              <w:rPr>
                <w:rFonts w:ascii="Times New Roman" w:hAnsi="Times New Roman"/>
                <w:b/>
                <w:bCs/>
                <w:color w:val="000000" w:themeColor="text1"/>
                <w:sz w:val="20"/>
                <w:szCs w:val="20"/>
              </w:rPr>
              <w:t xml:space="preserve">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w:t>
            </w:r>
          </w:p>
        </w:tc>
        <w:tc>
          <w:tcPr>
            <w:tcW w:w="0" w:type="auto"/>
            <w:vMerge w:val="restart"/>
            <w:tcBorders>
              <w:top w:val="single" w:sz="4" w:space="0" w:color="auto"/>
              <w:bottom w:val="nil"/>
            </w:tcBorders>
            <w:shd w:val="clear" w:color="auto" w:fill="FFFFFF" w:themeFill="background1"/>
          </w:tcPr>
          <w:p w14:paraId="6BC08A7F" w14:textId="77777777" w:rsidR="003335CD" w:rsidRPr="003335CD" w:rsidRDefault="003335CD" w:rsidP="00E10818">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Residual Mass</w:t>
            </w:r>
          </w:p>
          <w:p w14:paraId="548E1FA0" w14:textId="77777777" w:rsidR="003335CD" w:rsidRPr="003335CD" w:rsidRDefault="003335CD" w:rsidP="00E10818">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 xml:space="preserve">600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 (%)</w:t>
            </w:r>
          </w:p>
        </w:tc>
      </w:tr>
      <w:tr w:rsidR="003335CD" w:rsidRPr="003335CD" w14:paraId="4553F5DD" w14:textId="77777777" w:rsidTr="00E10818">
        <w:trPr>
          <w:trHeight w:val="231"/>
          <w:jc w:val="center"/>
        </w:trPr>
        <w:tc>
          <w:tcPr>
            <w:tcW w:w="2071" w:type="dxa"/>
            <w:vMerge/>
            <w:tcBorders>
              <w:top w:val="nil"/>
              <w:bottom w:val="single" w:sz="4" w:space="0" w:color="auto"/>
            </w:tcBorders>
            <w:shd w:val="clear" w:color="auto" w:fill="FFFFFF" w:themeFill="background1"/>
          </w:tcPr>
          <w:p w14:paraId="5F49DFD1" w14:textId="77777777" w:rsidR="003335CD" w:rsidRPr="003335CD" w:rsidRDefault="003335CD" w:rsidP="00EF7405">
            <w:pPr>
              <w:spacing w:after="0"/>
              <w:rPr>
                <w:rFonts w:ascii="Times New Roman" w:hAnsi="Times New Roman"/>
                <w:color w:val="000000" w:themeColor="text1"/>
                <w:sz w:val="20"/>
                <w:szCs w:val="20"/>
              </w:rPr>
            </w:pPr>
          </w:p>
        </w:tc>
        <w:tc>
          <w:tcPr>
            <w:tcW w:w="0" w:type="auto"/>
            <w:vMerge/>
            <w:tcBorders>
              <w:top w:val="nil"/>
              <w:bottom w:val="single" w:sz="4" w:space="0" w:color="auto"/>
            </w:tcBorders>
            <w:shd w:val="clear" w:color="auto" w:fill="FFFFFF" w:themeFill="background1"/>
          </w:tcPr>
          <w:p w14:paraId="301C3A74" w14:textId="77777777" w:rsidR="003335CD" w:rsidRPr="003335CD" w:rsidRDefault="003335CD" w:rsidP="00EF7405">
            <w:pPr>
              <w:spacing w:after="0"/>
              <w:jc w:val="center"/>
              <w:rPr>
                <w:rFonts w:ascii="Times New Roman" w:hAnsi="Times New Roman"/>
                <w:color w:val="000000" w:themeColor="text1"/>
                <w:sz w:val="20"/>
                <w:szCs w:val="20"/>
              </w:rPr>
            </w:pPr>
          </w:p>
        </w:tc>
        <w:tc>
          <w:tcPr>
            <w:tcW w:w="0" w:type="auto"/>
            <w:tcBorders>
              <w:top w:val="single" w:sz="4" w:space="0" w:color="auto"/>
              <w:bottom w:val="single" w:sz="4" w:space="0" w:color="auto"/>
            </w:tcBorders>
            <w:shd w:val="clear" w:color="auto" w:fill="FFFFFF" w:themeFill="background1"/>
          </w:tcPr>
          <w:p w14:paraId="45FB52B3" w14:textId="77777777" w:rsidR="003335CD" w:rsidRPr="003335CD" w:rsidRDefault="003335CD" w:rsidP="00E10818">
            <w:pPr>
              <w:spacing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w:t>
            </w:r>
          </w:p>
        </w:tc>
        <w:tc>
          <w:tcPr>
            <w:tcW w:w="0" w:type="auto"/>
            <w:tcBorders>
              <w:top w:val="single" w:sz="4" w:space="0" w:color="auto"/>
              <w:bottom w:val="single" w:sz="4" w:space="0" w:color="auto"/>
            </w:tcBorders>
            <w:shd w:val="clear" w:color="auto" w:fill="FFFFFF" w:themeFill="background1"/>
          </w:tcPr>
          <w:p w14:paraId="55A07FB5" w14:textId="77777777" w:rsidR="003335CD" w:rsidRPr="003335CD" w:rsidRDefault="003335CD" w:rsidP="00E10818">
            <w:pPr>
              <w:spacing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II</w:t>
            </w:r>
          </w:p>
        </w:tc>
        <w:tc>
          <w:tcPr>
            <w:tcW w:w="0" w:type="auto"/>
            <w:tcBorders>
              <w:top w:val="single" w:sz="4" w:space="0" w:color="auto"/>
              <w:bottom w:val="single" w:sz="4" w:space="0" w:color="auto"/>
            </w:tcBorders>
            <w:shd w:val="clear" w:color="auto" w:fill="FFFFFF" w:themeFill="background1"/>
          </w:tcPr>
          <w:p w14:paraId="09502510" w14:textId="77777777" w:rsidR="003335CD" w:rsidRPr="003335CD" w:rsidRDefault="003335CD" w:rsidP="00E10818">
            <w:pPr>
              <w:spacing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III</w:t>
            </w:r>
          </w:p>
        </w:tc>
        <w:tc>
          <w:tcPr>
            <w:tcW w:w="0" w:type="auto"/>
            <w:vMerge/>
            <w:tcBorders>
              <w:top w:val="nil"/>
              <w:bottom w:val="single" w:sz="4" w:space="0" w:color="auto"/>
            </w:tcBorders>
            <w:shd w:val="clear" w:color="auto" w:fill="FFFFFF" w:themeFill="background1"/>
          </w:tcPr>
          <w:p w14:paraId="62AA9646" w14:textId="77777777" w:rsidR="003335CD" w:rsidRPr="003335CD" w:rsidRDefault="003335CD" w:rsidP="00E10818">
            <w:pPr>
              <w:spacing w:after="0"/>
              <w:jc w:val="center"/>
              <w:rPr>
                <w:rFonts w:ascii="Times New Roman" w:hAnsi="Times New Roman"/>
                <w:color w:val="000000" w:themeColor="text1"/>
                <w:sz w:val="20"/>
                <w:szCs w:val="20"/>
              </w:rPr>
            </w:pPr>
          </w:p>
        </w:tc>
      </w:tr>
      <w:tr w:rsidR="003335CD" w:rsidRPr="003335CD" w14:paraId="6234C90C" w14:textId="77777777" w:rsidTr="00E10818">
        <w:trPr>
          <w:trHeight w:val="60"/>
          <w:jc w:val="center"/>
        </w:trPr>
        <w:tc>
          <w:tcPr>
            <w:tcW w:w="2071" w:type="dxa"/>
            <w:tcBorders>
              <w:top w:val="single" w:sz="4" w:space="0" w:color="auto"/>
              <w:bottom w:val="nil"/>
            </w:tcBorders>
            <w:shd w:val="clear" w:color="auto" w:fill="FFFFFF" w:themeFill="background1"/>
          </w:tcPr>
          <w:p w14:paraId="410BF17B" w14:textId="77777777" w:rsidR="003335CD" w:rsidRPr="003335CD" w:rsidRDefault="003335CD" w:rsidP="00E10818">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BP0</w:t>
            </w:r>
          </w:p>
        </w:tc>
        <w:tc>
          <w:tcPr>
            <w:tcW w:w="0" w:type="auto"/>
            <w:tcBorders>
              <w:top w:val="single" w:sz="4" w:space="0" w:color="auto"/>
              <w:bottom w:val="nil"/>
            </w:tcBorders>
            <w:shd w:val="clear" w:color="auto" w:fill="FFFFFF" w:themeFill="background1"/>
          </w:tcPr>
          <w:p w14:paraId="023BDF7E"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126</w:t>
            </w:r>
          </w:p>
        </w:tc>
        <w:tc>
          <w:tcPr>
            <w:tcW w:w="0" w:type="auto"/>
            <w:tcBorders>
              <w:top w:val="single" w:sz="4" w:space="0" w:color="auto"/>
              <w:bottom w:val="nil"/>
            </w:tcBorders>
            <w:shd w:val="clear" w:color="auto" w:fill="FFFFFF" w:themeFill="background1"/>
          </w:tcPr>
          <w:p w14:paraId="4DF99627"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206</w:t>
            </w:r>
          </w:p>
        </w:tc>
        <w:tc>
          <w:tcPr>
            <w:tcW w:w="0" w:type="auto"/>
            <w:tcBorders>
              <w:top w:val="single" w:sz="4" w:space="0" w:color="auto"/>
              <w:bottom w:val="nil"/>
            </w:tcBorders>
            <w:shd w:val="clear" w:color="auto" w:fill="FFFFFF" w:themeFill="background1"/>
          </w:tcPr>
          <w:p w14:paraId="7B02248B"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294</w:t>
            </w:r>
          </w:p>
        </w:tc>
        <w:tc>
          <w:tcPr>
            <w:tcW w:w="0" w:type="auto"/>
            <w:tcBorders>
              <w:top w:val="single" w:sz="4" w:space="0" w:color="auto"/>
              <w:bottom w:val="nil"/>
            </w:tcBorders>
            <w:shd w:val="clear" w:color="auto" w:fill="FFFFFF" w:themeFill="background1"/>
          </w:tcPr>
          <w:p w14:paraId="1C40D931"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539</w:t>
            </w:r>
          </w:p>
        </w:tc>
        <w:tc>
          <w:tcPr>
            <w:tcW w:w="0" w:type="auto"/>
            <w:tcBorders>
              <w:top w:val="single" w:sz="4" w:space="0" w:color="auto"/>
              <w:bottom w:val="nil"/>
            </w:tcBorders>
            <w:shd w:val="clear" w:color="auto" w:fill="FFFFFF" w:themeFill="background1"/>
          </w:tcPr>
          <w:p w14:paraId="7ED8E777"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37.29</w:t>
            </w:r>
          </w:p>
        </w:tc>
      </w:tr>
      <w:tr w:rsidR="003335CD" w:rsidRPr="003335CD" w14:paraId="5C5A65FA" w14:textId="77777777" w:rsidTr="00E10818">
        <w:trPr>
          <w:trHeight w:val="70"/>
          <w:jc w:val="center"/>
        </w:trPr>
        <w:tc>
          <w:tcPr>
            <w:tcW w:w="2071" w:type="dxa"/>
            <w:tcBorders>
              <w:top w:val="nil"/>
              <w:bottom w:val="nil"/>
            </w:tcBorders>
            <w:shd w:val="clear" w:color="auto" w:fill="FFFFFF" w:themeFill="background1"/>
          </w:tcPr>
          <w:p w14:paraId="1E11C547" w14:textId="77777777" w:rsidR="003335CD" w:rsidRPr="003335CD" w:rsidRDefault="003335CD" w:rsidP="00E10818">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BP5</w:t>
            </w:r>
          </w:p>
        </w:tc>
        <w:tc>
          <w:tcPr>
            <w:tcW w:w="0" w:type="auto"/>
            <w:tcBorders>
              <w:top w:val="nil"/>
              <w:bottom w:val="nil"/>
            </w:tcBorders>
            <w:shd w:val="clear" w:color="auto" w:fill="FFFFFF" w:themeFill="background1"/>
          </w:tcPr>
          <w:p w14:paraId="2AC9E832"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130</w:t>
            </w:r>
          </w:p>
        </w:tc>
        <w:tc>
          <w:tcPr>
            <w:tcW w:w="0" w:type="auto"/>
            <w:tcBorders>
              <w:top w:val="nil"/>
              <w:bottom w:val="nil"/>
            </w:tcBorders>
            <w:shd w:val="clear" w:color="auto" w:fill="FFFFFF" w:themeFill="background1"/>
          </w:tcPr>
          <w:p w14:paraId="1EDD90DF"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190</w:t>
            </w:r>
          </w:p>
        </w:tc>
        <w:tc>
          <w:tcPr>
            <w:tcW w:w="0" w:type="auto"/>
            <w:tcBorders>
              <w:top w:val="nil"/>
              <w:bottom w:val="nil"/>
            </w:tcBorders>
            <w:shd w:val="clear" w:color="auto" w:fill="FFFFFF" w:themeFill="background1"/>
          </w:tcPr>
          <w:p w14:paraId="350B7229"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295</w:t>
            </w:r>
          </w:p>
        </w:tc>
        <w:tc>
          <w:tcPr>
            <w:tcW w:w="0" w:type="auto"/>
            <w:tcBorders>
              <w:top w:val="nil"/>
              <w:bottom w:val="nil"/>
            </w:tcBorders>
            <w:shd w:val="clear" w:color="auto" w:fill="FFFFFF" w:themeFill="background1"/>
          </w:tcPr>
          <w:p w14:paraId="13275CC0"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528</w:t>
            </w:r>
          </w:p>
        </w:tc>
        <w:tc>
          <w:tcPr>
            <w:tcW w:w="0" w:type="auto"/>
            <w:tcBorders>
              <w:top w:val="nil"/>
              <w:bottom w:val="nil"/>
            </w:tcBorders>
            <w:shd w:val="clear" w:color="auto" w:fill="FFFFFF" w:themeFill="background1"/>
          </w:tcPr>
          <w:p w14:paraId="681DDAA9"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23.00</w:t>
            </w:r>
          </w:p>
        </w:tc>
      </w:tr>
      <w:tr w:rsidR="003335CD" w:rsidRPr="003335CD" w14:paraId="6E404C68" w14:textId="77777777" w:rsidTr="00E10818">
        <w:trPr>
          <w:trHeight w:val="70"/>
          <w:jc w:val="center"/>
        </w:trPr>
        <w:tc>
          <w:tcPr>
            <w:tcW w:w="2071" w:type="dxa"/>
            <w:tcBorders>
              <w:top w:val="nil"/>
              <w:bottom w:val="single" w:sz="4" w:space="0" w:color="auto"/>
            </w:tcBorders>
            <w:shd w:val="clear" w:color="auto" w:fill="FFFFFF" w:themeFill="background1"/>
          </w:tcPr>
          <w:p w14:paraId="130706D5" w14:textId="77777777" w:rsidR="003335CD" w:rsidRPr="003335CD" w:rsidRDefault="003335CD" w:rsidP="00E10818">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BP1.5</w:t>
            </w:r>
          </w:p>
        </w:tc>
        <w:tc>
          <w:tcPr>
            <w:tcW w:w="0" w:type="auto"/>
            <w:tcBorders>
              <w:top w:val="nil"/>
              <w:bottom w:val="single" w:sz="4" w:space="0" w:color="auto"/>
            </w:tcBorders>
            <w:shd w:val="clear" w:color="auto" w:fill="FFFFFF" w:themeFill="background1"/>
          </w:tcPr>
          <w:p w14:paraId="0F9DD925"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130</w:t>
            </w:r>
          </w:p>
        </w:tc>
        <w:tc>
          <w:tcPr>
            <w:tcW w:w="0" w:type="auto"/>
            <w:tcBorders>
              <w:top w:val="nil"/>
              <w:bottom w:val="single" w:sz="4" w:space="0" w:color="auto"/>
            </w:tcBorders>
            <w:shd w:val="clear" w:color="auto" w:fill="FFFFFF" w:themeFill="background1"/>
          </w:tcPr>
          <w:p w14:paraId="35A02A06"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209</w:t>
            </w:r>
          </w:p>
        </w:tc>
        <w:tc>
          <w:tcPr>
            <w:tcW w:w="0" w:type="auto"/>
            <w:tcBorders>
              <w:top w:val="nil"/>
              <w:bottom w:val="single" w:sz="4" w:space="0" w:color="auto"/>
            </w:tcBorders>
            <w:shd w:val="clear" w:color="auto" w:fill="FFFFFF" w:themeFill="background1"/>
          </w:tcPr>
          <w:p w14:paraId="5C78E9E4"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294</w:t>
            </w:r>
          </w:p>
        </w:tc>
        <w:tc>
          <w:tcPr>
            <w:tcW w:w="0" w:type="auto"/>
            <w:tcBorders>
              <w:top w:val="nil"/>
              <w:bottom w:val="single" w:sz="4" w:space="0" w:color="auto"/>
            </w:tcBorders>
            <w:shd w:val="clear" w:color="auto" w:fill="FFFFFF" w:themeFill="background1"/>
          </w:tcPr>
          <w:p w14:paraId="25B1B522"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527</w:t>
            </w:r>
          </w:p>
        </w:tc>
        <w:tc>
          <w:tcPr>
            <w:tcW w:w="0" w:type="auto"/>
            <w:tcBorders>
              <w:top w:val="nil"/>
              <w:bottom w:val="single" w:sz="4" w:space="0" w:color="auto"/>
            </w:tcBorders>
            <w:shd w:val="clear" w:color="auto" w:fill="FFFFFF" w:themeFill="background1"/>
          </w:tcPr>
          <w:p w14:paraId="2D7EA302"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33.48</w:t>
            </w:r>
          </w:p>
        </w:tc>
      </w:tr>
    </w:tbl>
    <w:p w14:paraId="5763B836" w14:textId="77777777" w:rsidR="00AF722D" w:rsidRDefault="00AF722D" w:rsidP="00266993">
      <w:pPr>
        <w:spacing w:after="0"/>
        <w:jc w:val="both"/>
        <w:rPr>
          <w:rFonts w:ascii="Times New Roman" w:hAnsi="Times New Roman"/>
          <w:b/>
          <w:color w:val="000000" w:themeColor="text1"/>
          <w:sz w:val="20"/>
          <w:szCs w:val="20"/>
        </w:rPr>
        <w:sectPr w:rsidR="00AF722D" w:rsidSect="00F13162">
          <w:footerReference w:type="even" r:id="rId54"/>
          <w:type w:val="continuous"/>
          <w:pgSz w:w="12240" w:h="15840" w:code="1"/>
          <w:pgMar w:top="1800" w:right="1469" w:bottom="1699" w:left="1440" w:header="706" w:footer="706" w:gutter="0"/>
          <w:pgNumType w:start="0"/>
          <w:cols w:space="708"/>
          <w:docGrid w:linePitch="360"/>
        </w:sectPr>
      </w:pPr>
    </w:p>
    <w:p w14:paraId="752243E5" w14:textId="77777777" w:rsidR="001C2C66" w:rsidRDefault="001C2C66" w:rsidP="00266993">
      <w:pPr>
        <w:spacing w:after="0"/>
        <w:jc w:val="both"/>
        <w:rPr>
          <w:rFonts w:ascii="Times New Roman" w:hAnsi="Times New Roman"/>
          <w:b/>
          <w:color w:val="000000" w:themeColor="text1"/>
          <w:sz w:val="20"/>
          <w:szCs w:val="20"/>
        </w:rPr>
      </w:pPr>
    </w:p>
    <w:p w14:paraId="3FB8F2FF" w14:textId="77777777" w:rsidR="001C2C66" w:rsidRDefault="001C2C66" w:rsidP="00266993">
      <w:pPr>
        <w:spacing w:after="0"/>
        <w:jc w:val="both"/>
        <w:rPr>
          <w:rFonts w:ascii="Times New Roman" w:hAnsi="Times New Roman"/>
          <w:b/>
          <w:color w:val="000000" w:themeColor="text1"/>
          <w:sz w:val="20"/>
          <w:szCs w:val="20"/>
        </w:rPr>
      </w:pPr>
    </w:p>
    <w:p w14:paraId="1B8BCB78" w14:textId="3E939B48"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lastRenderedPageBreak/>
        <w:t xml:space="preserve">Sound absorption coefficient </w:t>
      </w:r>
    </w:p>
    <w:p w14:paraId="5419AEE8" w14:textId="77777777" w:rsidR="00AF722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The sound absorption coefficient (α) for all samples is shown in</w:t>
      </w:r>
      <w:r w:rsidR="004A3183">
        <w:rPr>
          <w:rFonts w:ascii="Times New Roman" w:hAnsi="Times New Roman"/>
          <w:color w:val="000000" w:themeColor="text1"/>
          <w:sz w:val="20"/>
          <w:szCs w:val="20"/>
        </w:rPr>
        <w:t xml:space="preserve"> Figure 6</w:t>
      </w:r>
      <w:r w:rsidRPr="003335CD">
        <w:rPr>
          <w:rFonts w:ascii="Times New Roman" w:hAnsi="Times New Roman"/>
          <w:color w:val="000000" w:themeColor="text1"/>
          <w:sz w:val="20"/>
          <w:szCs w:val="20"/>
        </w:rPr>
        <w:t xml:space="preserve">. The three samples (BP0, BP4, and BP1.5)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were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measured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in the wavenumber range of 0-6400 (Hz) with two microphone impedance tubes and with similar sample thickness of 1.5</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cm. Sample BP4 was selected as the representative to the treatment for 1:1 ratio, and the addition of IPSW with highest SAC compared to the other samples. The detailed information regarding SAC for all samples can be found in previous publication</w:t>
      </w:r>
      <w:r w:rsidRPr="003335CD">
        <w:rPr>
          <w:rFonts w:ascii="Times New Roman" w:hAnsi="Times New Roman"/>
          <w:sz w:val="20"/>
          <w:szCs w:val="20"/>
        </w:rPr>
        <w:t xml:space="preserve"> </w:t>
      </w:r>
      <w:r w:rsidRPr="003335CD">
        <w:rPr>
          <w:rFonts w:ascii="Times New Roman" w:hAnsi="Times New Roman"/>
          <w:sz w:val="20"/>
          <w:szCs w:val="20"/>
        </w:rPr>
        <w:fldChar w:fldCharType="begin" w:fldLock="1"/>
      </w:r>
      <w:r w:rsidRPr="003335CD">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 [10]","plainTextFormattedCitation":"[9], [10]","previouslyFormattedCitation":"[9], [10]"},"properties":{"noteIndex":0},"schema":"https://github.com/citation-style-language/schema/raw/master/csl-citation.json"}</w:instrText>
      </w:r>
      <w:r w:rsidRPr="003335CD">
        <w:rPr>
          <w:rFonts w:ascii="Times New Roman" w:hAnsi="Times New Roman"/>
          <w:sz w:val="20"/>
          <w:szCs w:val="20"/>
        </w:rPr>
        <w:fldChar w:fldCharType="separate"/>
      </w:r>
      <w:r w:rsidRPr="003335CD">
        <w:rPr>
          <w:rFonts w:ascii="Times New Roman" w:hAnsi="Times New Roman"/>
          <w:color w:val="000000" w:themeColor="text1"/>
          <w:sz w:val="20"/>
          <w:szCs w:val="20"/>
        </w:rPr>
        <w:t xml:space="preserve"> [12]</w:t>
      </w:r>
      <w:r w:rsidRPr="003335CD">
        <w:rPr>
          <w:rFonts w:ascii="Times New Roman" w:hAnsi="Times New Roman"/>
          <w:sz w:val="20"/>
          <w:szCs w:val="20"/>
        </w:rPr>
        <w:fldChar w:fldCharType="end"/>
      </w:r>
      <w:r w:rsidRPr="003335CD">
        <w:rPr>
          <w:rFonts w:ascii="Times New Roman" w:hAnsi="Times New Roman"/>
          <w:color w:val="000000" w:themeColor="text1"/>
          <w:sz w:val="20"/>
          <w:szCs w:val="20"/>
        </w:rPr>
        <w:t xml:space="preserve">. The results showed that BP4 had the highest sound absorption, with a value of 0.69 at 3864 Hz, followed by BP0 with a value of </w:t>
      </w:r>
      <w:r w:rsidRPr="003335CD">
        <w:rPr>
          <w:rFonts w:ascii="Times New Roman" w:hAnsi="Times New Roman"/>
          <w:color w:val="000000" w:themeColor="text1"/>
          <w:sz w:val="20"/>
          <w:szCs w:val="20"/>
        </w:rPr>
        <w:t xml:space="preserve">0.65 at 4552 Hz, and BP1.5 with a value 0.45 at 4760 Hz. All samples showed the best acoustic performance at high frequencies above 3800 Hz. Based on these results, it was found that BP4 had the best acoustic performance, showing that that of BP0 and BP1.5 was not optimal. The addition of filler to the synthesis of polyurethane foam can enhance sound absorption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 [10]","plainTextFormattedCitation":"[9], [10]","previouslyFormattedCitation":"[9], [10]"},"properties":{"noteIndex":0},"schema":"https://github.com/citation-style-language/schema/raw/master/csl-citation.json"}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 xml:space="preserve"> </w:t>
      </w:r>
      <w:r w:rsidRPr="003335CD">
        <w:rPr>
          <w:rFonts w:ascii="Times New Roman" w:hAnsi="Times New Roman"/>
          <w:color w:val="000000" w:themeColor="text1"/>
          <w:sz w:val="20"/>
          <w:szCs w:val="20"/>
        </w:rPr>
        <w:t>[10, 11]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But this did not apply to the PUU/IPSW biofoam sample with IPSW of above 4% [12] and did not enhance MDI ratio. Several other factors influenced the biofoam sample ability to absorb sound which are explained in the following.</w:t>
      </w:r>
    </w:p>
    <w:p w14:paraId="279EC663" w14:textId="1A1FE179" w:rsidR="00181943" w:rsidRPr="00181943" w:rsidRDefault="00181943" w:rsidP="00266993">
      <w:pPr>
        <w:spacing w:after="0"/>
        <w:jc w:val="both"/>
        <w:rPr>
          <w:rFonts w:ascii="Times New Roman" w:hAnsi="Times New Roman"/>
          <w:color w:val="000000" w:themeColor="text1"/>
          <w:sz w:val="20"/>
          <w:szCs w:val="20"/>
        </w:rPr>
        <w:sectPr w:rsidR="00181943" w:rsidRPr="00181943" w:rsidSect="00AF722D">
          <w:footerReference w:type="even" r:id="rId55"/>
          <w:type w:val="continuous"/>
          <w:pgSz w:w="12240" w:h="15840" w:code="1"/>
          <w:pgMar w:top="1800" w:right="1469" w:bottom="1699" w:left="1440" w:header="706" w:footer="706" w:gutter="0"/>
          <w:pgNumType w:start="0"/>
          <w:cols w:num="2" w:space="403"/>
          <w:docGrid w:linePitch="360"/>
        </w:sectPr>
      </w:pPr>
    </w:p>
    <w:p w14:paraId="6D86E087" w14:textId="77777777" w:rsidR="003335CD" w:rsidRPr="003335CD" w:rsidRDefault="003335CD" w:rsidP="00266993">
      <w:pPr>
        <w:pStyle w:val="Caption"/>
        <w:spacing w:after="0" w:line="276" w:lineRule="auto"/>
        <w:rPr>
          <w:i w:val="0"/>
          <w:color w:val="000000" w:themeColor="text1"/>
          <w:sz w:val="20"/>
          <w:szCs w:val="20"/>
        </w:rPr>
      </w:pPr>
      <w:bookmarkStart w:id="21" w:name="_Ref87820126"/>
    </w:p>
    <w:p w14:paraId="780567F1" w14:textId="54C9B1A0" w:rsidR="00181943" w:rsidRDefault="00181943" w:rsidP="006D13FA">
      <w:pPr>
        <w:pStyle w:val="Caption"/>
        <w:spacing w:after="0" w:line="276" w:lineRule="auto"/>
        <w:jc w:val="center"/>
        <w:rPr>
          <w:i w:val="0"/>
          <w:color w:val="000000" w:themeColor="text1"/>
          <w:sz w:val="20"/>
          <w:szCs w:val="20"/>
        </w:rPr>
      </w:pPr>
      <w:r w:rsidRPr="003335CD">
        <w:rPr>
          <w:sz w:val="20"/>
          <w:szCs w:val="20"/>
        </w:rPr>
        <w:object w:dxaOrig="7222" w:dyaOrig="5519" w14:anchorId="02716F5B">
          <v:shape id="_x0000_i1036" type="#_x0000_t75" style="width:303.6pt;height:232.2pt" o:ole="">
            <v:imagedata r:id="rId56" o:title=""/>
          </v:shape>
          <o:OLEObject Type="Embed" ProgID="Origin95.Graph" ShapeID="_x0000_i1036" DrawAspect="Content" ObjectID="_1717488734" r:id="rId57"/>
        </w:object>
      </w:r>
    </w:p>
    <w:p w14:paraId="6D197798" w14:textId="1B99D823" w:rsidR="006D13FA" w:rsidRPr="006D13FA" w:rsidRDefault="003335CD" w:rsidP="006D13FA">
      <w:pPr>
        <w:pStyle w:val="Caption"/>
        <w:spacing w:after="0" w:line="276" w:lineRule="auto"/>
        <w:jc w:val="center"/>
        <w:rPr>
          <w:b/>
          <w:i w:val="0"/>
          <w:color w:val="000000" w:themeColor="text1"/>
          <w:sz w:val="20"/>
          <w:szCs w:val="20"/>
        </w:rPr>
      </w:pPr>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Pr="003335CD">
        <w:rPr>
          <w:i w:val="0"/>
          <w:noProof/>
          <w:color w:val="000000" w:themeColor="text1"/>
          <w:sz w:val="20"/>
          <w:szCs w:val="20"/>
        </w:rPr>
        <w:t>6</w:t>
      </w:r>
      <w:r w:rsidRPr="003335CD">
        <w:rPr>
          <w:i w:val="0"/>
          <w:color w:val="000000" w:themeColor="text1"/>
          <w:sz w:val="20"/>
          <w:szCs w:val="20"/>
        </w:rPr>
        <w:fldChar w:fldCharType="end"/>
      </w:r>
      <w:bookmarkEnd w:id="21"/>
      <w:r w:rsidRPr="003335CD">
        <w:rPr>
          <w:i w:val="0"/>
          <w:color w:val="000000" w:themeColor="text1"/>
          <w:sz w:val="20"/>
          <w:szCs w:val="20"/>
        </w:rPr>
        <w:t xml:space="preserve">. </w:t>
      </w:r>
      <w:r w:rsidR="00E10818">
        <w:rPr>
          <w:i w:val="0"/>
          <w:color w:val="000000" w:themeColor="text1"/>
          <w:sz w:val="20"/>
          <w:szCs w:val="20"/>
        </w:rPr>
        <w:t xml:space="preserve"> </w:t>
      </w:r>
      <w:r w:rsidRPr="003335CD">
        <w:rPr>
          <w:i w:val="0"/>
          <w:color w:val="000000" w:themeColor="text1"/>
          <w:sz w:val="20"/>
          <w:szCs w:val="20"/>
        </w:rPr>
        <w:t>The PUU/IPSW biofoam sound absorption coefficient</w:t>
      </w:r>
    </w:p>
    <w:p w14:paraId="163E65CF" w14:textId="77777777" w:rsidR="006D13FA" w:rsidRDefault="006D13FA" w:rsidP="006D13FA">
      <w:pPr>
        <w:spacing w:after="0"/>
        <w:rPr>
          <w:rFonts w:ascii="Times New Roman" w:hAnsi="Times New Roman"/>
          <w:b/>
          <w:noProof/>
          <w:sz w:val="20"/>
          <w:szCs w:val="20"/>
          <w:lang w:bidi="ar-SA"/>
        </w:rPr>
      </w:pPr>
    </w:p>
    <w:p w14:paraId="112D847B" w14:textId="77777777" w:rsidR="00AF722D" w:rsidRDefault="00AF722D" w:rsidP="00F16C65">
      <w:pPr>
        <w:spacing w:after="0"/>
        <w:jc w:val="both"/>
        <w:rPr>
          <w:rFonts w:ascii="Times New Roman" w:hAnsi="Times New Roman"/>
          <w:b/>
          <w:color w:val="000000" w:themeColor="text1"/>
          <w:sz w:val="20"/>
          <w:szCs w:val="20"/>
        </w:rPr>
        <w:sectPr w:rsidR="00AF722D" w:rsidSect="00F13162">
          <w:type w:val="continuous"/>
          <w:pgSz w:w="12240" w:h="15840" w:code="1"/>
          <w:pgMar w:top="1800" w:right="1469" w:bottom="1699" w:left="1440" w:header="706" w:footer="706" w:gutter="0"/>
          <w:pgNumType w:start="0"/>
          <w:cols w:space="708"/>
          <w:docGrid w:linePitch="360"/>
        </w:sectPr>
      </w:pPr>
    </w:p>
    <w:p w14:paraId="517ADAEB" w14:textId="77777777" w:rsidR="00F16C65" w:rsidRPr="00F16C65" w:rsidRDefault="00F16C65" w:rsidP="00F16C65">
      <w:pPr>
        <w:spacing w:after="0"/>
        <w:jc w:val="both"/>
        <w:rPr>
          <w:rFonts w:ascii="Times New Roman" w:hAnsi="Times New Roman"/>
          <w:b/>
          <w:color w:val="000000" w:themeColor="text1"/>
          <w:sz w:val="20"/>
          <w:szCs w:val="20"/>
        </w:rPr>
      </w:pPr>
      <w:r w:rsidRPr="00F16C65">
        <w:rPr>
          <w:rFonts w:ascii="Times New Roman" w:hAnsi="Times New Roman"/>
          <w:b/>
          <w:color w:val="000000" w:themeColor="text1"/>
          <w:sz w:val="20"/>
          <w:szCs w:val="20"/>
        </w:rPr>
        <w:t>Effect of texture, pore morphology, and density</w:t>
      </w:r>
    </w:p>
    <w:p w14:paraId="712D3904" w14:textId="77777777" w:rsidR="00F16C65" w:rsidRPr="00F16C65" w:rsidRDefault="00F16C65" w:rsidP="00840CA8">
      <w:pPr>
        <w:spacing w:after="12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 xml:space="preserve">Sound-absorbing foam will have a high SAC value if it has the following material characteristics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{"citationItems":[{"id":"ITEM-1","itemData":{"ISSN":"1584-7284","abstract":"In this paper are presented researches on the identification of factors that influence the sound absorption coefficient of porous materials used for absorption of the sound wave. To achieve these researches were used three materials (glass wool, flexible polyurethane foam and rigid polyurethane foam) for which it was determined the sound absorption coefficient using the impedance tube and was analyzed the influence of thickness, density and structure of these materials on the sound absorption coefficient.","author":[{"dropping-particle":"","family":"Tiuc","given":"Ancuta Elena","non-dropping-particle":"","parse-names":false,"suffix":""},{"dropping-particle":"","family":"Vasile","given":"Ovidiu","non-dropping-particle":"","parse-names":false,"suffix":""},{"dropping-particle":"","family":"Usca","given":"David","non-dropping-particle":"","parse-names":false,"suffix":""},{"dropping-particle":"","family":"Vermesan","given":"Horatiu","non-dropping-particle":"","parse-names":false,"suffix":""},{"dropping-particle":"","family":"Tiuc","given":"Ancua Elena","non-dropping-particle":"","parse-names":false,"suffix":""},{"dropping-particle":"","family":"Usc","given":"Anamaria -Didona","non-dropping-particle":"","parse-names":false,"suffix":""},{"dropping-particle":"","family":"Gabor","given":"Timea","non-dropping-particle":"","parse-names":false,"suffix":""},{"dropping-particle":"","family":"Vermean","given":"Horaiu","non-dropping-particle":"","parse-names":false,"suffix":""}],"id":"ITEM-1","issued":{"date-parts":[["2014"]]},"title":"The analysis of factors that influence the sound absorption coefficient of porous materials","type":"article-journal"},"uris":["http://www.mendeley.com/documents/?uuid=1244f027-bd39-3616-9f3f-7a18268a2271"]}],"mendeley":{"formattedCitation":"[17]","manualFormatting":"[20]","plainTextFormattedCitation":"[17]","previouslyFormattedCitation":"[17]"},"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[20, 25, 26]</w:t>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p>
    <w:p w14:paraId="6EF151E0"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Flexible foam texture</w:t>
      </w:r>
    </w:p>
    <w:p w14:paraId="3ADEEF4B"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Open-celled microstructure</w:t>
      </w:r>
    </w:p>
    <w:p w14:paraId="158EDFE6"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Small-sized pores in large numbers</w:t>
      </w:r>
    </w:p>
    <w:p w14:paraId="25303141"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Higher density (not measured in this research)</w:t>
      </w:r>
    </w:p>
    <w:p w14:paraId="445E5AD1" w14:textId="77777777" w:rsidR="002E7B28" w:rsidRDefault="002E7B28" w:rsidP="00AF722D">
      <w:pPr>
        <w:spacing w:after="0"/>
        <w:jc w:val="both"/>
        <w:rPr>
          <w:rFonts w:ascii="Times New Roman" w:hAnsi="Times New Roman"/>
          <w:color w:val="000000" w:themeColor="text1"/>
          <w:sz w:val="20"/>
          <w:szCs w:val="20"/>
        </w:rPr>
      </w:pPr>
    </w:p>
    <w:p w14:paraId="3D264C0D" w14:textId="3770A674" w:rsidR="00840CA8" w:rsidRDefault="002E7B28" w:rsidP="00840CA8">
      <w:pPr>
        <w:spacing w:after="12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 xml:space="preserve">The synthesized PUU/IPSW biofoam had the characteristics of semirigid texture, intermediate microstructure, smaller pore size, and higher SAC </w:t>
      </w:r>
      <w:r w:rsidRPr="00F16C65">
        <w:rPr>
          <w:rFonts w:ascii="Times New Roman" w:hAnsi="Times New Roman"/>
          <w:color w:val="000000" w:themeColor="text1"/>
          <w:sz w:val="20"/>
          <w:szCs w:val="20"/>
        </w:rPr>
        <w:t>value than the control biofoam. This can be caused by other influencing factors such as the characteristics of the pores. Even if the size is small and numerous, it may not meet aspects such as structure and pore characteristics of sound-absorbing materials, including those mentioned below</w:t>
      </w:r>
      <w:r w:rsidR="00840CA8">
        <w:rPr>
          <w:rFonts w:ascii="Times New Roman" w:hAnsi="Times New Roman"/>
          <w:color w:val="000000" w:themeColor="text1"/>
          <w:sz w:val="20"/>
          <w:szCs w:val="20"/>
        </w:rPr>
        <w:t xml:space="preserve"> [17]</w:t>
      </w:r>
      <w:r w:rsidRPr="00F16C65">
        <w:rPr>
          <w:rFonts w:ascii="Times New Roman" w:hAnsi="Times New Roman"/>
          <w:color w:val="000000" w:themeColor="text1"/>
          <w:sz w:val="20"/>
          <w:szCs w:val="20"/>
        </w:rPr>
        <w:t>.</w:t>
      </w:r>
    </w:p>
    <w:p w14:paraId="70984E4B" w14:textId="77777777" w:rsidR="006D13FA" w:rsidRDefault="006D13FA" w:rsidP="006D13FA">
      <w:pPr>
        <w:pStyle w:val="ListParagraph"/>
        <w:widowControl w:val="0"/>
        <w:numPr>
          <w:ilvl w:val="0"/>
          <w:numId w:val="5"/>
        </w:numPr>
        <w:spacing w:after="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The material contains several pores and holes, all of which are small and uniform in siz</w:t>
      </w:r>
      <w:r>
        <w:rPr>
          <w:rFonts w:ascii="Times New Roman" w:hAnsi="Times New Roman"/>
          <w:color w:val="000000" w:themeColor="text1"/>
          <w:sz w:val="20"/>
          <w:szCs w:val="20"/>
        </w:rPr>
        <w:t>e</w:t>
      </w:r>
    </w:p>
    <w:p w14:paraId="154E09BD" w14:textId="77777777" w:rsidR="006D13FA" w:rsidRPr="0003652B" w:rsidRDefault="006D13FA" w:rsidP="006D13FA">
      <w:pPr>
        <w:pStyle w:val="ListParagraph"/>
        <w:widowControl w:val="0"/>
        <w:numPr>
          <w:ilvl w:val="0"/>
          <w:numId w:val="5"/>
        </w:numPr>
        <w:spacing w:after="0"/>
        <w:jc w:val="both"/>
        <w:rPr>
          <w:rFonts w:ascii="Times New Roman" w:hAnsi="Times New Roman"/>
          <w:color w:val="000000" w:themeColor="text1"/>
          <w:sz w:val="20"/>
          <w:szCs w:val="20"/>
        </w:rPr>
      </w:pPr>
      <w:r w:rsidRPr="0003652B">
        <w:rPr>
          <w:rFonts w:ascii="Times New Roman" w:hAnsi="Times New Roman"/>
          <w:color w:val="000000" w:themeColor="text1"/>
          <w:sz w:val="20"/>
          <w:szCs w:val="20"/>
        </w:rPr>
        <w:t xml:space="preserve">The pores and holes must be connected. </w:t>
      </w:r>
    </w:p>
    <w:p w14:paraId="5CB16D25" w14:textId="77777777" w:rsidR="009555B5" w:rsidRDefault="006D13FA" w:rsidP="009555B5">
      <w:pPr>
        <w:pStyle w:val="ListParagraph"/>
        <w:widowControl w:val="0"/>
        <w:numPr>
          <w:ilvl w:val="0"/>
          <w:numId w:val="5"/>
        </w:numPr>
        <w:spacing w:after="0"/>
        <w:jc w:val="both"/>
        <w:rPr>
          <w:rFonts w:ascii="Times New Roman" w:hAnsi="Times New Roman"/>
          <w:color w:val="000000" w:themeColor="text1"/>
          <w:sz w:val="20"/>
          <w:szCs w:val="20"/>
        </w:rPr>
      </w:pPr>
      <w:r w:rsidRPr="0003652B">
        <w:rPr>
          <w:rFonts w:ascii="Times New Roman" w:hAnsi="Times New Roman"/>
          <w:color w:val="000000" w:themeColor="text1"/>
          <w:sz w:val="20"/>
          <w:szCs w:val="20"/>
        </w:rPr>
        <w:t>The pores and holes inside the material must connect with the outer surface</w:t>
      </w:r>
      <w:r w:rsidR="009555B5">
        <w:rPr>
          <w:rFonts w:ascii="Times New Roman" w:hAnsi="Times New Roman"/>
          <w:color w:val="000000" w:themeColor="text1"/>
          <w:sz w:val="20"/>
          <w:szCs w:val="20"/>
        </w:rPr>
        <w:t>.</w:t>
      </w:r>
    </w:p>
    <w:p w14:paraId="2E828A6C" w14:textId="77777777" w:rsidR="004A3183" w:rsidRDefault="004A3183" w:rsidP="006D58BC">
      <w:pPr>
        <w:spacing w:after="0"/>
        <w:jc w:val="both"/>
        <w:rPr>
          <w:rFonts w:ascii="Times New Roman" w:hAnsi="Times New Roman"/>
          <w:b/>
          <w:color w:val="000000" w:themeColor="text1"/>
          <w:sz w:val="20"/>
          <w:szCs w:val="20"/>
        </w:rPr>
      </w:pPr>
    </w:p>
    <w:p w14:paraId="13DDA0CB" w14:textId="3B079F99" w:rsidR="006D58BC" w:rsidRPr="00F16C65" w:rsidRDefault="006D58BC" w:rsidP="006D58BC">
      <w:pPr>
        <w:spacing w:after="0"/>
        <w:jc w:val="both"/>
        <w:rPr>
          <w:rFonts w:ascii="Times New Roman" w:hAnsi="Times New Roman"/>
          <w:b/>
          <w:color w:val="000000" w:themeColor="text1"/>
          <w:sz w:val="20"/>
          <w:szCs w:val="20"/>
        </w:rPr>
      </w:pPr>
      <w:r w:rsidRPr="00F16C65">
        <w:rPr>
          <w:rFonts w:ascii="Times New Roman" w:hAnsi="Times New Roman"/>
          <w:b/>
          <w:color w:val="000000" w:themeColor="text1"/>
          <w:sz w:val="20"/>
          <w:szCs w:val="20"/>
        </w:rPr>
        <w:lastRenderedPageBreak/>
        <w:t>Effect of filler addition</w:t>
      </w:r>
    </w:p>
    <w:p w14:paraId="386E4DE9" w14:textId="28385911" w:rsidR="006D58BC" w:rsidRPr="00F16C65" w:rsidRDefault="006D58BC" w:rsidP="006D58BC">
      <w:pPr>
        <w:spacing w:after="0"/>
        <w:jc w:val="both"/>
        <w:outlineLvl w:val="0"/>
        <w:rPr>
          <w:rFonts w:ascii="Times New Roman" w:hAnsi="Times New Roman"/>
          <w:color w:val="000000" w:themeColor="text1"/>
          <w:sz w:val="20"/>
          <w:szCs w:val="20"/>
        </w:rPr>
      </w:pPr>
      <w:r w:rsidRPr="00F16C65">
        <w:rPr>
          <w:rFonts w:ascii="Times New Roman" w:hAnsi="Times New Roman"/>
          <w:color w:val="000000" w:themeColor="text1"/>
          <w:sz w:val="20"/>
          <w:szCs w:val="20"/>
        </w:rPr>
        <w:t>The biofoam filler used, called IPSW, was measured by 30 mesh size. The filler had an impact on pore size in such a way that biofoam with added filler had smaller pores than those without filler addition. The smaller pore size was closely related to improved sound absorption mechanism. It is suggested that smaller pores allowed sound waves to dissipate sound energy and dampened it as they move through the sound-absorbing material. Therefore, smaller pores in large numbers allowed more sound wave to collide with the cell wall, lengthening the reflection &amp; bending portion and causing more energy to be absorbed, resulting in higher SAC</w:t>
      </w:r>
      <w:r w:rsidR="00840CA8">
        <w:rPr>
          <w:rFonts w:ascii="Times New Roman" w:hAnsi="Times New Roman"/>
          <w:color w:val="000000" w:themeColor="text1"/>
          <w:sz w:val="20"/>
          <w:szCs w:val="20"/>
        </w:rPr>
        <w:t xml:space="preserve"> [10, 15, 20, 27]</w:t>
      </w:r>
      <w:r w:rsidRPr="00F16C65">
        <w:rPr>
          <w:rFonts w:ascii="Times New Roman" w:hAnsi="Times New Roman"/>
          <w:color w:val="000000" w:themeColor="text1"/>
          <w:sz w:val="20"/>
          <w:szCs w:val="20"/>
        </w:rPr>
        <w:t>. The smaller pore size in the synthesized biofoam is shown in</w:t>
      </w:r>
      <w:r w:rsidR="004A3183">
        <w:rPr>
          <w:rFonts w:ascii="Times New Roman" w:hAnsi="Times New Roman"/>
          <w:color w:val="000000" w:themeColor="text1"/>
          <w:sz w:val="20"/>
          <w:szCs w:val="20"/>
        </w:rPr>
        <w:t xml:space="preserve"> Figure 3</w:t>
      </w:r>
      <w:r w:rsidRPr="00F16C65">
        <w:rPr>
          <w:rFonts w:ascii="Times New Roman" w:hAnsi="Times New Roman"/>
          <w:color w:val="000000" w:themeColor="text1"/>
          <w:sz w:val="20"/>
          <w:szCs w:val="20"/>
        </w:rPr>
        <w:t>. The existence of other factors that predominantly affect sound absorption such as the unfulfilled criteria for pores as sound absorbers had resulted in the reduced acoustic performance of the PUU/IPSW biofoam. However, if adjusted and designed with a better formula, the PUU/IPSW biofoam had a great potential as a noise-absorbing material with wide range frequency.</w:t>
      </w:r>
    </w:p>
    <w:p w14:paraId="7AAFA607" w14:textId="77777777" w:rsidR="006D58BC" w:rsidRPr="00F16C65" w:rsidRDefault="006D58BC" w:rsidP="006D58BC">
      <w:pPr>
        <w:spacing w:after="0"/>
        <w:jc w:val="both"/>
        <w:outlineLvl w:val="0"/>
        <w:rPr>
          <w:rFonts w:ascii="Times New Roman" w:hAnsi="Times New Roman"/>
          <w:color w:val="000000" w:themeColor="text1"/>
          <w:sz w:val="20"/>
          <w:szCs w:val="20"/>
        </w:rPr>
      </w:pPr>
    </w:p>
    <w:p w14:paraId="3F815833" w14:textId="77777777" w:rsidR="006D58BC" w:rsidRPr="00F16C65" w:rsidRDefault="006D58BC" w:rsidP="006D58BC">
      <w:pPr>
        <w:spacing w:after="0"/>
        <w:jc w:val="both"/>
        <w:outlineLvl w:val="0"/>
        <w:rPr>
          <w:rFonts w:ascii="Times New Roman" w:hAnsi="Times New Roman"/>
          <w:b/>
          <w:color w:val="000000" w:themeColor="text1"/>
          <w:sz w:val="20"/>
          <w:szCs w:val="20"/>
        </w:rPr>
      </w:pPr>
      <w:r w:rsidRPr="00F16C65">
        <w:rPr>
          <w:rFonts w:ascii="Times New Roman" w:hAnsi="Times New Roman"/>
          <w:b/>
          <w:color w:val="000000" w:themeColor="text1"/>
          <w:sz w:val="20"/>
          <w:szCs w:val="20"/>
        </w:rPr>
        <w:t>Effect of MDI ratio enhancement</w:t>
      </w:r>
    </w:p>
    <w:p w14:paraId="60216787" w14:textId="77777777" w:rsidR="006D58BC" w:rsidRDefault="006D58BC" w:rsidP="006D58BC">
      <w:pPr>
        <w:spacing w:after="0"/>
        <w:jc w:val="both"/>
        <w:outlineLvl w:val="0"/>
        <w:rPr>
          <w:rFonts w:ascii="Times New Roman" w:hAnsi="Times New Roman"/>
          <w:sz w:val="20"/>
          <w:szCs w:val="20"/>
        </w:rPr>
      </w:pPr>
      <w:r w:rsidRPr="00F16C65">
        <w:rPr>
          <w:rFonts w:ascii="Times New Roman" w:hAnsi="Times New Roman"/>
          <w:sz w:val="20"/>
          <w:szCs w:val="20"/>
        </w:rPr>
        <w:t xml:space="preserve">Isocyanate (MDI) is composed of hard segment. Enhancing the MDI ratio can reduce SAC, as shown in Sample BP1.5. Biofoam with added MDI ratio had leaning rigid texture. The texture rigidity was caused by the closed-celled microstructure. Another factor which could make the biofoam texture rigid was chain extender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[1010,15,20","plainTextFormattedCitation":"[9]","previouslyFormattedCitation":"[9]"},"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[19, 20</w:t>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r w:rsidRPr="00F16C65">
        <w:rPr>
          <w:rFonts w:ascii="Times New Roman" w:hAnsi="Times New Roman"/>
          <w:sz w:val="20"/>
          <w:szCs w:val="20"/>
        </w:rPr>
        <w:t xml:space="preserve"> </w:t>
      </w:r>
    </w:p>
    <w:p w14:paraId="7C8D9F6C" w14:textId="77777777" w:rsidR="006D58BC" w:rsidRDefault="006D58BC" w:rsidP="006D58BC">
      <w:pPr>
        <w:spacing w:after="0"/>
        <w:jc w:val="both"/>
        <w:outlineLvl w:val="0"/>
        <w:rPr>
          <w:rFonts w:ascii="Times New Roman" w:hAnsi="Times New Roman"/>
          <w:sz w:val="20"/>
          <w:szCs w:val="20"/>
        </w:rPr>
      </w:pPr>
    </w:p>
    <w:p w14:paraId="6029FC53" w14:textId="77777777" w:rsidR="006D58BC" w:rsidRPr="00383C16" w:rsidRDefault="006D58BC" w:rsidP="006D58B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5C1F35D" w14:textId="77777777" w:rsidR="006D58BC" w:rsidRPr="00587783" w:rsidRDefault="006D58BC" w:rsidP="006D58BC">
      <w:pPr>
        <w:pStyle w:val="BodyText"/>
        <w:spacing w:line="276" w:lineRule="auto"/>
        <w:jc w:val="both"/>
        <w:rPr>
          <w:color w:val="000000" w:themeColor="text1"/>
        </w:rPr>
      </w:pPr>
      <w:r w:rsidRPr="00587783">
        <w:rPr>
          <w:color w:val="000000" w:themeColor="text1"/>
        </w:rPr>
        <w:t xml:space="preserve">The PUU/IPSW biofoam was successfully synthesized after its functional groups (–NH, -OH, -CH, -CO and C-C) were identified in the FTIR spectra. Addition of filler and increase in MDI affect pore morphology, thermal resistance, and acoustic performance. Samples BP0 and BP1.5 of the synthesized biofoam had close-celled microstructure morphological type while Sample BP5 had intermediate-celled type. All samples had thermal resistance above 120 </w:t>
      </w:r>
      <w:r w:rsidRPr="00587783">
        <w:rPr>
          <w:color w:val="000000" w:themeColor="text1"/>
          <w:vertAlign w:val="superscript"/>
        </w:rPr>
        <w:t>o</w:t>
      </w:r>
      <w:r w:rsidRPr="00587783">
        <w:rPr>
          <w:color w:val="000000" w:themeColor="text1"/>
        </w:rPr>
        <w:t xml:space="preserve">C. Sample BP4 had the highest SAC with the value of 0.69. The acoustic output was poor, resulting in lower-frequency SAC when tested. </w:t>
      </w:r>
      <w:r w:rsidRPr="00587783">
        <w:rPr>
          <w:color w:val="000000" w:themeColor="text1"/>
        </w:rPr>
        <w:t xml:space="preserve">However, if adjusted and designed with a better formula, PUU/IPSW biofoam can absorb sound at wide-range frequency. Lastly, filler addition could enhance the biofoam property performance. Therefore, IPSW is promotable as an organic filler for renewable material. </w:t>
      </w:r>
    </w:p>
    <w:p w14:paraId="3CA21040" w14:textId="77777777" w:rsidR="006D58BC" w:rsidRPr="00587783" w:rsidRDefault="006D58BC" w:rsidP="006D58BC">
      <w:pPr>
        <w:spacing w:after="0"/>
        <w:jc w:val="center"/>
        <w:outlineLvl w:val="0"/>
        <w:rPr>
          <w:rFonts w:ascii="Times New Roman" w:hAnsi="Times New Roman"/>
          <w:sz w:val="20"/>
          <w:szCs w:val="20"/>
        </w:rPr>
      </w:pPr>
    </w:p>
    <w:p w14:paraId="30563C72" w14:textId="77777777" w:rsidR="006D58BC" w:rsidRPr="00587783" w:rsidRDefault="006D58BC" w:rsidP="006D58BC">
      <w:pPr>
        <w:spacing w:after="0"/>
        <w:jc w:val="center"/>
        <w:outlineLvl w:val="0"/>
        <w:rPr>
          <w:rFonts w:ascii="Times New Roman" w:hAnsi="Times New Roman"/>
          <w:b/>
          <w:sz w:val="20"/>
          <w:szCs w:val="20"/>
        </w:rPr>
      </w:pPr>
      <w:r w:rsidRPr="00587783">
        <w:rPr>
          <w:rFonts w:ascii="Times New Roman" w:hAnsi="Times New Roman"/>
          <w:b/>
          <w:sz w:val="20"/>
          <w:szCs w:val="20"/>
        </w:rPr>
        <w:t>Acknowledgement</w:t>
      </w:r>
    </w:p>
    <w:p w14:paraId="7759A90B" w14:textId="77777777" w:rsidR="006D58BC" w:rsidRDefault="006D58BC" w:rsidP="006D58BC">
      <w:pPr>
        <w:spacing w:after="0"/>
        <w:jc w:val="both"/>
        <w:rPr>
          <w:rFonts w:ascii="Times New Roman" w:hAnsi="Times New Roman"/>
          <w:noProof/>
          <w:color w:val="000000" w:themeColor="text1"/>
          <w:sz w:val="20"/>
          <w:szCs w:val="20"/>
        </w:rPr>
      </w:pPr>
      <w:r w:rsidRPr="00587783">
        <w:rPr>
          <w:rFonts w:ascii="Times New Roman" w:hAnsi="Times New Roman"/>
          <w:noProof/>
          <w:color w:val="000000" w:themeColor="text1"/>
          <w:sz w:val="20"/>
          <w:szCs w:val="20"/>
        </w:rPr>
        <w:t>The authors thank Rosid Eka Mustofa for assisting with the OriginLab analysis, Iklima Maharani for directing the sample preparation stages, Safira C for laboratory access to the Microscope Camera tool, and all SEM, TGA, FTIR, and Acoustic laboratory test equipment operators who tested all samples in this research.</w:t>
      </w:r>
    </w:p>
    <w:p w14:paraId="45B6FDB6" w14:textId="77777777" w:rsidR="006D58BC" w:rsidRDefault="006D58BC" w:rsidP="006D58BC">
      <w:pPr>
        <w:spacing w:after="0"/>
        <w:jc w:val="both"/>
        <w:rPr>
          <w:rFonts w:ascii="Times New Roman" w:hAnsi="Times New Roman"/>
          <w:noProof/>
          <w:color w:val="000000" w:themeColor="text1"/>
          <w:sz w:val="20"/>
          <w:szCs w:val="20"/>
        </w:rPr>
      </w:pPr>
    </w:p>
    <w:p w14:paraId="18300C8E" w14:textId="77777777" w:rsidR="006D58BC" w:rsidRPr="00383C16" w:rsidRDefault="006D58BC" w:rsidP="006D58B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065E6A79"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Aditya, V. T., Masykuri, M. and Setyono, P. </w:t>
      </w:r>
      <w:r w:rsidRPr="00587783">
        <w:rPr>
          <w:rFonts w:ascii="Times New Roman" w:eastAsia="Calibri" w:hAnsi="Times New Roman"/>
          <w:color w:val="000000"/>
          <w:sz w:val="20"/>
          <w:szCs w:val="20"/>
        </w:rPr>
        <w:t>(</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Analysis of noise in the green open space Putri Kaca Mayang, Pekanbaru City. </w:t>
      </w:r>
      <w:r w:rsidRPr="00587783">
        <w:rPr>
          <w:rFonts w:ascii="Times New Roman" w:hAnsi="Times New Roman"/>
          <w:sz w:val="20"/>
          <w:szCs w:val="20"/>
        </w:rPr>
        <w:tab/>
      </w:r>
      <w:r w:rsidRPr="00587783">
        <w:rPr>
          <w:rFonts w:ascii="Times New Roman" w:hAnsi="Times New Roman"/>
          <w:i/>
          <w:sz w:val="20"/>
          <w:szCs w:val="20"/>
        </w:rPr>
        <w:t>AIP Conference Proceedings: International Conference on Biology and Applied Science (ICOBAS)</w:t>
      </w:r>
      <w:r w:rsidRPr="00587783">
        <w:rPr>
          <w:rFonts w:ascii="Times New Roman" w:hAnsi="Times New Roman"/>
          <w:sz w:val="20"/>
          <w:szCs w:val="20"/>
        </w:rPr>
        <w:t>, 2019.040020</w:t>
      </w:r>
      <w:r w:rsidRPr="00587783">
        <w:rPr>
          <w:rFonts w:ascii="Times New Roman" w:hAnsi="Times New Roman"/>
          <w:sz w:val="20"/>
          <w:szCs w:val="20"/>
          <w:lang w:val="id-ID"/>
        </w:rPr>
        <w:t xml:space="preserve">. </w:t>
      </w:r>
    </w:p>
    <w:p w14:paraId="6F2750FD"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Cao, L., Fu, Q., Si, Y., Ding, B. and Yu, J.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Porous material for sound absorption. </w:t>
      </w:r>
      <w:r w:rsidRPr="00587783">
        <w:rPr>
          <w:rFonts w:ascii="Times New Roman" w:hAnsi="Times New Roman"/>
          <w:i/>
          <w:sz w:val="20"/>
          <w:szCs w:val="20"/>
        </w:rPr>
        <w:t>Composites Communications</w:t>
      </w:r>
      <w:r w:rsidRPr="00587783">
        <w:rPr>
          <w:rFonts w:ascii="Times New Roman" w:hAnsi="Times New Roman"/>
          <w:sz w:val="20"/>
          <w:szCs w:val="20"/>
        </w:rPr>
        <w:t>, 10(2018)</w:t>
      </w:r>
      <w:r w:rsidRPr="00587783">
        <w:rPr>
          <w:rFonts w:ascii="Times New Roman" w:hAnsi="Times New Roman"/>
          <w:sz w:val="20"/>
          <w:szCs w:val="20"/>
          <w:lang w:val="id-ID"/>
        </w:rPr>
        <w:t>:</w:t>
      </w:r>
      <w:r w:rsidRPr="00587783">
        <w:rPr>
          <w:rFonts w:ascii="Times New Roman" w:hAnsi="Times New Roman"/>
          <w:sz w:val="20"/>
          <w:szCs w:val="20"/>
        </w:rPr>
        <w:t xml:space="preserve"> 25-35.</w:t>
      </w:r>
      <w:r w:rsidRPr="00587783">
        <w:rPr>
          <w:rFonts w:ascii="Times New Roman" w:hAnsi="Times New Roman"/>
          <w:sz w:val="20"/>
          <w:szCs w:val="20"/>
          <w:lang w:val="id-ID"/>
        </w:rPr>
        <w:t xml:space="preserve"> </w:t>
      </w:r>
    </w:p>
    <w:p w14:paraId="525ADA1E"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Rojo-Gomez, R.,</w:t>
      </w:r>
      <w:r w:rsidRPr="00587783">
        <w:rPr>
          <w:rFonts w:ascii="Times New Roman" w:hAnsi="Times New Roman"/>
          <w:sz w:val="20"/>
          <w:szCs w:val="20"/>
        </w:rPr>
        <w:t xml:space="preserve"> </w:t>
      </w:r>
      <w:r w:rsidRPr="00587783">
        <w:rPr>
          <w:rFonts w:ascii="Times New Roman" w:hAnsi="Times New Roman"/>
          <w:sz w:val="20"/>
          <w:szCs w:val="20"/>
          <w:lang w:val="id-ID"/>
        </w:rPr>
        <w:t xml:space="preserve">Alameda, </w:t>
      </w:r>
      <w:r w:rsidRPr="00587783">
        <w:rPr>
          <w:rFonts w:ascii="Times New Roman" w:hAnsi="Times New Roman"/>
          <w:sz w:val="20"/>
          <w:szCs w:val="20"/>
        </w:rPr>
        <w:t xml:space="preserve">L., </w:t>
      </w:r>
      <w:r w:rsidRPr="00587783">
        <w:rPr>
          <w:rFonts w:ascii="Times New Roman" w:hAnsi="Times New Roman"/>
          <w:sz w:val="20"/>
          <w:szCs w:val="20"/>
          <w:lang w:val="id-ID"/>
        </w:rPr>
        <w:t xml:space="preserve">Rodriguez, </w:t>
      </w:r>
      <w:r w:rsidRPr="00587783">
        <w:rPr>
          <w:rFonts w:ascii="Times New Roman" w:hAnsi="Times New Roman"/>
          <w:sz w:val="20"/>
          <w:szCs w:val="20"/>
        </w:rPr>
        <w:t xml:space="preserve">A., </w:t>
      </w:r>
      <w:r w:rsidRPr="00587783">
        <w:rPr>
          <w:rFonts w:ascii="Times New Roman" w:hAnsi="Times New Roman"/>
          <w:sz w:val="20"/>
          <w:szCs w:val="20"/>
          <w:lang w:val="id-ID"/>
        </w:rPr>
        <w:t>Calderon</w:t>
      </w:r>
      <w:r w:rsidRPr="00587783">
        <w:rPr>
          <w:rFonts w:ascii="Times New Roman" w:hAnsi="Times New Roman"/>
          <w:sz w:val="20"/>
          <w:szCs w:val="20"/>
        </w:rPr>
        <w:t>, V.</w:t>
      </w:r>
      <w:r w:rsidRPr="00587783">
        <w:rPr>
          <w:rFonts w:ascii="Times New Roman" w:hAnsi="Times New Roman"/>
          <w:sz w:val="20"/>
          <w:szCs w:val="20"/>
          <w:lang w:val="id-ID"/>
        </w:rPr>
        <w:t xml:space="preserve"> and Guiterrez-Gonzalez</w:t>
      </w:r>
      <w:r w:rsidRPr="00587783">
        <w:rPr>
          <w:rFonts w:ascii="Times New Roman" w:hAnsi="Times New Roman"/>
          <w:sz w:val="20"/>
          <w:szCs w:val="20"/>
        </w:rPr>
        <w:t>,</w:t>
      </w:r>
      <w:r w:rsidRPr="00587783">
        <w:rPr>
          <w:rFonts w:ascii="Times New Roman" w:hAnsi="Times New Roman"/>
          <w:sz w:val="20"/>
          <w:szCs w:val="20"/>
          <w:lang w:val="id-ID"/>
        </w:rPr>
        <w:t xml:space="preserve"> </w:t>
      </w:r>
      <w:r w:rsidRPr="00587783">
        <w:rPr>
          <w:rFonts w:ascii="Times New Roman" w:hAnsi="Times New Roman"/>
          <w:sz w:val="20"/>
          <w:szCs w:val="20"/>
        </w:rPr>
        <w:t>S. (2019)</w:t>
      </w:r>
      <w:r w:rsidRPr="00587783">
        <w:rPr>
          <w:rFonts w:ascii="Times New Roman" w:hAnsi="Times New Roman"/>
          <w:sz w:val="20"/>
          <w:szCs w:val="20"/>
          <w:lang w:val="id-ID"/>
        </w:rPr>
        <w:t xml:space="preserve">. Characterization of polyuretane foam waste for reuse in eco-efficient building materials. </w:t>
      </w:r>
      <w:r w:rsidRPr="00587783">
        <w:rPr>
          <w:rFonts w:ascii="Times New Roman" w:hAnsi="Times New Roman"/>
          <w:i/>
          <w:sz w:val="20"/>
          <w:szCs w:val="20"/>
          <w:lang w:val="id-ID"/>
        </w:rPr>
        <w:t>Polymers</w:t>
      </w:r>
      <w:r w:rsidRPr="00587783">
        <w:rPr>
          <w:rFonts w:ascii="Times New Roman" w:hAnsi="Times New Roman"/>
          <w:sz w:val="20"/>
          <w:szCs w:val="20"/>
          <w:lang w:val="id-ID"/>
        </w:rPr>
        <w:t xml:space="preserve">, </w:t>
      </w:r>
      <w:r w:rsidRPr="00587783">
        <w:rPr>
          <w:rFonts w:ascii="Times New Roman" w:hAnsi="Times New Roman"/>
          <w:sz w:val="20"/>
          <w:szCs w:val="20"/>
        </w:rPr>
        <w:t xml:space="preserve"> </w:t>
      </w:r>
      <w:r w:rsidRPr="00587783">
        <w:rPr>
          <w:rFonts w:ascii="Times New Roman" w:hAnsi="Times New Roman"/>
          <w:sz w:val="20"/>
          <w:szCs w:val="20"/>
          <w:lang w:val="id-ID"/>
        </w:rPr>
        <w:t>11</w:t>
      </w:r>
      <w:r w:rsidRPr="00587783">
        <w:rPr>
          <w:rFonts w:ascii="Times New Roman" w:hAnsi="Times New Roman"/>
          <w:sz w:val="20"/>
          <w:szCs w:val="20"/>
        </w:rPr>
        <w:t xml:space="preserve">: </w:t>
      </w:r>
      <w:r w:rsidRPr="00587783">
        <w:rPr>
          <w:rFonts w:ascii="Times New Roman" w:hAnsi="Times New Roman"/>
          <w:sz w:val="20"/>
          <w:szCs w:val="20"/>
          <w:lang w:val="id-ID"/>
        </w:rPr>
        <w:t>359.</w:t>
      </w:r>
    </w:p>
    <w:p w14:paraId="40210870" w14:textId="44E2220C" w:rsidR="006D58BC" w:rsidRP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Gama, N.V., Ferreira, A. and Timmons, A. B. (2018). Polyurethane foams: Past, present and future. </w:t>
      </w:r>
      <w:r w:rsidRPr="00587783">
        <w:rPr>
          <w:rFonts w:ascii="Times New Roman" w:hAnsi="Times New Roman"/>
          <w:i/>
          <w:sz w:val="20"/>
          <w:szCs w:val="20"/>
        </w:rPr>
        <w:t>Materials</w:t>
      </w:r>
      <w:r w:rsidRPr="00587783">
        <w:rPr>
          <w:rFonts w:ascii="Times New Roman" w:hAnsi="Times New Roman"/>
          <w:sz w:val="20"/>
          <w:szCs w:val="20"/>
        </w:rPr>
        <w:t>, 11(10)</w:t>
      </w:r>
      <w:r w:rsidRPr="00587783">
        <w:rPr>
          <w:rFonts w:ascii="Times New Roman" w:hAnsi="Times New Roman"/>
          <w:sz w:val="20"/>
          <w:szCs w:val="20"/>
          <w:lang w:val="id-ID"/>
        </w:rPr>
        <w:t xml:space="preserve"> :</w:t>
      </w:r>
      <w:r w:rsidRPr="00587783">
        <w:rPr>
          <w:rFonts w:ascii="Times New Roman" w:hAnsi="Times New Roman"/>
          <w:sz w:val="20"/>
          <w:szCs w:val="20"/>
        </w:rPr>
        <w:t xml:space="preserve"> 1-35.</w:t>
      </w:r>
    </w:p>
    <w:p w14:paraId="4E4D8475"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Akindoyo, J. O., Beg, M. D. H., Ghazali, S., Islam, M. R., Jeyaratman, N. and Yufaraj, A. R. </w:t>
      </w:r>
      <w:r w:rsidRPr="00587783">
        <w:rPr>
          <w:rFonts w:ascii="Times New Roman" w:eastAsia="Calibri" w:hAnsi="Times New Roman"/>
          <w:color w:val="000000"/>
          <w:sz w:val="20"/>
          <w:szCs w:val="20"/>
        </w:rPr>
        <w:t>(</w:t>
      </w:r>
      <w:r w:rsidRPr="00587783">
        <w:rPr>
          <w:rFonts w:ascii="Times New Roman" w:hAnsi="Times New Roman"/>
          <w:sz w:val="20"/>
          <w:szCs w:val="20"/>
        </w:rPr>
        <w:t>2016</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Polyurethane types, synthesis and applications- a review. </w:t>
      </w:r>
      <w:r w:rsidRPr="00587783">
        <w:rPr>
          <w:rFonts w:ascii="Times New Roman" w:hAnsi="Times New Roman"/>
          <w:i/>
          <w:sz w:val="20"/>
          <w:szCs w:val="20"/>
        </w:rPr>
        <w:t>Royal Society of Chemistry</w:t>
      </w:r>
      <w:r w:rsidRPr="00587783">
        <w:rPr>
          <w:rFonts w:ascii="Times New Roman" w:hAnsi="Times New Roman"/>
          <w:sz w:val="20"/>
          <w:szCs w:val="20"/>
        </w:rPr>
        <w:t>, 6(1)</w:t>
      </w:r>
      <w:r w:rsidRPr="00587783">
        <w:rPr>
          <w:rFonts w:ascii="Times New Roman" w:hAnsi="Times New Roman"/>
          <w:sz w:val="20"/>
          <w:szCs w:val="20"/>
          <w:lang w:val="id-ID"/>
        </w:rPr>
        <w:t xml:space="preserve"> :</w:t>
      </w:r>
      <w:r w:rsidRPr="00587783">
        <w:rPr>
          <w:rFonts w:ascii="Times New Roman" w:hAnsi="Times New Roman"/>
          <w:sz w:val="20"/>
          <w:szCs w:val="20"/>
        </w:rPr>
        <w:t xml:space="preserve"> 114453-114482.</w:t>
      </w:r>
    </w:p>
    <w:p w14:paraId="0EDF5932" w14:textId="46067FF9" w:rsidR="006D58BC" w:rsidRPr="006B23E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Alis, A., Majid</w:t>
      </w:r>
      <w:r w:rsidRPr="00587783">
        <w:rPr>
          <w:rFonts w:ascii="Times New Roman" w:hAnsi="Times New Roman"/>
          <w:sz w:val="20"/>
          <w:szCs w:val="20"/>
        </w:rPr>
        <w:t>,</w:t>
      </w:r>
      <w:r w:rsidRPr="00587783">
        <w:rPr>
          <w:rFonts w:ascii="Times New Roman" w:hAnsi="Times New Roman"/>
          <w:sz w:val="20"/>
          <w:szCs w:val="20"/>
          <w:lang w:val="id-ID"/>
        </w:rPr>
        <w:t xml:space="preserve"> </w:t>
      </w:r>
      <w:r w:rsidRPr="00587783">
        <w:rPr>
          <w:rFonts w:ascii="Times New Roman" w:hAnsi="Times New Roman"/>
          <w:sz w:val="20"/>
          <w:szCs w:val="20"/>
        </w:rPr>
        <w:t xml:space="preserve">R. A., </w:t>
      </w:r>
      <w:r w:rsidRPr="00587783">
        <w:rPr>
          <w:rFonts w:ascii="Times New Roman" w:hAnsi="Times New Roman"/>
          <w:sz w:val="20"/>
          <w:szCs w:val="20"/>
          <w:lang w:val="id-ID"/>
        </w:rPr>
        <w:t>and Mohammad</w:t>
      </w:r>
      <w:r w:rsidRPr="00587783">
        <w:rPr>
          <w:rFonts w:ascii="Times New Roman" w:hAnsi="Times New Roman"/>
          <w:sz w:val="20"/>
          <w:szCs w:val="20"/>
        </w:rPr>
        <w:t xml:space="preserve">, Z. </w:t>
      </w:r>
      <w:r w:rsidRPr="00587783">
        <w:rPr>
          <w:rFonts w:ascii="Times New Roman" w:eastAsia="Calibri" w:hAnsi="Times New Roman"/>
          <w:color w:val="000000"/>
          <w:sz w:val="20"/>
          <w:szCs w:val="20"/>
        </w:rPr>
        <w:t>(</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w:t>
      </w:r>
      <w:r w:rsidRPr="00587783">
        <w:rPr>
          <w:rFonts w:ascii="Times New Roman" w:hAnsi="Times New Roman"/>
          <w:sz w:val="20"/>
          <w:szCs w:val="20"/>
          <w:lang w:val="id-ID"/>
        </w:rPr>
        <w:t xml:space="preserve">Morphologies and thermal properties of palm-oil based rigid polyurethane/halloysite nanocomposite foam. </w:t>
      </w:r>
      <w:r w:rsidRPr="00587783">
        <w:rPr>
          <w:rFonts w:ascii="Times New Roman" w:hAnsi="Times New Roman"/>
          <w:i/>
          <w:sz w:val="20"/>
          <w:szCs w:val="20"/>
        </w:rPr>
        <w:t>Chemical Engineering Transactions</w:t>
      </w:r>
      <w:r w:rsidRPr="00587783">
        <w:rPr>
          <w:rFonts w:ascii="Times New Roman" w:hAnsi="Times New Roman"/>
          <w:sz w:val="20"/>
          <w:szCs w:val="20"/>
        </w:rPr>
        <w:t>, 72(2019): 415-420.</w:t>
      </w:r>
    </w:p>
    <w:p w14:paraId="026848A8" w14:textId="77777777" w:rsidR="006B23EC" w:rsidRPr="006B23EC" w:rsidRDefault="006B23EC" w:rsidP="006B23EC">
      <w:pPr>
        <w:spacing w:after="0"/>
        <w:jc w:val="both"/>
        <w:rPr>
          <w:rFonts w:ascii="Times New Roman" w:hAnsi="Times New Roman"/>
          <w:sz w:val="20"/>
          <w:szCs w:val="20"/>
          <w:lang w:val="id-ID"/>
        </w:rPr>
      </w:pPr>
    </w:p>
    <w:p w14:paraId="296D7ABA"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lastRenderedPageBreak/>
        <w:t xml:space="preserve">Bundjali, B., Masykuri, M., Hartanti, F. W. and Arcana, I. M.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Poly (urethane-urea) synthesized from 9-ethoxy-1, 10-octadecanediol obtained by modification of palm oil oleic acid. </w:t>
      </w:r>
      <w:r w:rsidRPr="00587783">
        <w:rPr>
          <w:rFonts w:ascii="Times New Roman" w:hAnsi="Times New Roman"/>
          <w:i/>
          <w:sz w:val="20"/>
          <w:szCs w:val="20"/>
        </w:rPr>
        <w:t>Journal of Mathematics and Fundamental Sciences</w:t>
      </w:r>
      <w:r w:rsidRPr="00587783">
        <w:rPr>
          <w:rFonts w:ascii="Times New Roman" w:hAnsi="Times New Roman"/>
          <w:sz w:val="20"/>
          <w:szCs w:val="20"/>
        </w:rPr>
        <w:t>, 50(1): 13-27.</w:t>
      </w:r>
    </w:p>
    <w:p w14:paraId="680A07D0"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Czlonka, S., Strakowska, A., Strzelec, K., Kairyte, A., and Kremensas, A.</w:t>
      </w:r>
      <w:r w:rsidRPr="00587783">
        <w:rPr>
          <w:rFonts w:ascii="Times New Roman" w:eastAsia="Calibri" w:hAnsi="Times New Roman"/>
          <w:color w:val="000000"/>
          <w:sz w:val="20"/>
          <w:szCs w:val="20"/>
        </w:rPr>
        <w:t xml:space="preserve"> (</w:t>
      </w:r>
      <w:r w:rsidRPr="00587783">
        <w:rPr>
          <w:rFonts w:ascii="Times New Roman" w:hAnsi="Times New Roman"/>
          <w:sz w:val="20"/>
          <w:szCs w:val="20"/>
        </w:rPr>
        <w:t>2020</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Bio-based polyurethane composite foams improved mechanical, termal, and antibacterial properties. </w:t>
      </w:r>
      <w:r w:rsidRPr="00587783">
        <w:rPr>
          <w:rFonts w:ascii="Times New Roman" w:hAnsi="Times New Roman"/>
          <w:i/>
          <w:sz w:val="20"/>
          <w:szCs w:val="20"/>
        </w:rPr>
        <w:t>Materials</w:t>
      </w:r>
      <w:r w:rsidRPr="00587783">
        <w:rPr>
          <w:rFonts w:ascii="Times New Roman" w:hAnsi="Times New Roman"/>
          <w:sz w:val="20"/>
          <w:szCs w:val="20"/>
        </w:rPr>
        <w:t>, 13(1):1-20.</w:t>
      </w:r>
    </w:p>
    <w:p w14:paraId="63DA9306"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 xml:space="preserve">Chen, X., Xi, </w:t>
      </w:r>
      <w:r w:rsidRPr="00587783">
        <w:rPr>
          <w:rFonts w:ascii="Times New Roman" w:hAnsi="Times New Roman"/>
          <w:sz w:val="20"/>
          <w:szCs w:val="20"/>
        </w:rPr>
        <w:t xml:space="preserve">X., </w:t>
      </w:r>
      <w:r w:rsidRPr="00587783">
        <w:rPr>
          <w:rFonts w:ascii="Times New Roman" w:hAnsi="Times New Roman"/>
          <w:sz w:val="20"/>
          <w:szCs w:val="20"/>
          <w:lang w:val="id-ID"/>
        </w:rPr>
        <w:t xml:space="preserve">Pizzi, </w:t>
      </w:r>
      <w:r w:rsidRPr="00587783">
        <w:rPr>
          <w:rFonts w:ascii="Times New Roman" w:hAnsi="Times New Roman"/>
          <w:sz w:val="20"/>
          <w:szCs w:val="20"/>
        </w:rPr>
        <w:t xml:space="preserve">A., </w:t>
      </w:r>
      <w:r w:rsidRPr="00587783">
        <w:rPr>
          <w:rFonts w:ascii="Times New Roman" w:hAnsi="Times New Roman"/>
          <w:sz w:val="20"/>
          <w:szCs w:val="20"/>
          <w:lang w:val="id-ID"/>
        </w:rPr>
        <w:t xml:space="preserve">Fredon, </w:t>
      </w:r>
      <w:r w:rsidRPr="00587783">
        <w:rPr>
          <w:rFonts w:ascii="Times New Roman" w:hAnsi="Times New Roman"/>
          <w:sz w:val="20"/>
          <w:szCs w:val="20"/>
        </w:rPr>
        <w:t xml:space="preserve">E., </w:t>
      </w:r>
      <w:r w:rsidRPr="00587783">
        <w:rPr>
          <w:rFonts w:ascii="Times New Roman" w:hAnsi="Times New Roman"/>
          <w:sz w:val="20"/>
          <w:szCs w:val="20"/>
          <w:lang w:val="id-ID"/>
        </w:rPr>
        <w:t xml:space="preserve">Zhou, </w:t>
      </w:r>
      <w:r w:rsidRPr="00587783">
        <w:rPr>
          <w:rFonts w:ascii="Times New Roman" w:hAnsi="Times New Roman"/>
          <w:sz w:val="20"/>
          <w:szCs w:val="20"/>
        </w:rPr>
        <w:t xml:space="preserve">X., </w:t>
      </w:r>
      <w:r w:rsidRPr="00587783">
        <w:rPr>
          <w:rFonts w:ascii="Times New Roman" w:hAnsi="Times New Roman"/>
          <w:sz w:val="20"/>
          <w:szCs w:val="20"/>
          <w:lang w:val="id-ID"/>
        </w:rPr>
        <w:t xml:space="preserve">Li, </w:t>
      </w:r>
      <w:r w:rsidRPr="00587783">
        <w:rPr>
          <w:rFonts w:ascii="Times New Roman" w:hAnsi="Times New Roman"/>
          <w:sz w:val="20"/>
          <w:szCs w:val="20"/>
        </w:rPr>
        <w:t xml:space="preserve">J., </w:t>
      </w:r>
      <w:r w:rsidRPr="00587783">
        <w:rPr>
          <w:rFonts w:ascii="Times New Roman" w:hAnsi="Times New Roman"/>
          <w:sz w:val="20"/>
          <w:szCs w:val="20"/>
          <w:lang w:val="id-ID"/>
        </w:rPr>
        <w:t>Gerardin</w:t>
      </w:r>
      <w:r w:rsidRPr="00587783">
        <w:rPr>
          <w:rFonts w:ascii="Times New Roman" w:hAnsi="Times New Roman"/>
          <w:sz w:val="20"/>
          <w:szCs w:val="20"/>
        </w:rPr>
        <w:t>, C.</w:t>
      </w:r>
      <w:r w:rsidRPr="00587783">
        <w:rPr>
          <w:rFonts w:ascii="Times New Roman" w:hAnsi="Times New Roman"/>
          <w:sz w:val="20"/>
          <w:szCs w:val="20"/>
          <w:lang w:val="id-ID"/>
        </w:rPr>
        <w:t xml:space="preserve"> and Du</w:t>
      </w:r>
      <w:r w:rsidRPr="00587783">
        <w:rPr>
          <w:rFonts w:ascii="Times New Roman" w:hAnsi="Times New Roman"/>
          <w:sz w:val="20"/>
          <w:szCs w:val="20"/>
        </w:rPr>
        <w:t>, G.</w:t>
      </w:r>
      <w:r w:rsidRPr="00587783">
        <w:rPr>
          <w:rFonts w:ascii="Times New Roman" w:hAnsi="Times New Roman"/>
          <w:sz w:val="20"/>
          <w:szCs w:val="20"/>
          <w:lang w:val="id-ID"/>
        </w:rPr>
        <w:t xml:space="preserve"> </w:t>
      </w:r>
      <w:r w:rsidRPr="00587783">
        <w:rPr>
          <w:rFonts w:ascii="Times New Roman" w:eastAsia="Calibri" w:hAnsi="Times New Roman"/>
          <w:color w:val="000000"/>
          <w:sz w:val="20"/>
          <w:szCs w:val="20"/>
        </w:rPr>
        <w:t>(</w:t>
      </w:r>
      <w:r w:rsidRPr="00587783">
        <w:rPr>
          <w:rFonts w:ascii="Times New Roman" w:hAnsi="Times New Roman"/>
          <w:sz w:val="20"/>
          <w:szCs w:val="20"/>
        </w:rPr>
        <w:t>2020</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w:t>
      </w:r>
      <w:r w:rsidRPr="00587783">
        <w:rPr>
          <w:rFonts w:ascii="Times New Roman" w:hAnsi="Times New Roman"/>
          <w:sz w:val="20"/>
          <w:szCs w:val="20"/>
          <w:lang w:val="id-ID"/>
        </w:rPr>
        <w:t xml:space="preserve">Preparation and characterization of condensed tannin non-isocynate polyurethane (NIPU) rigid foams by ambient temperature blowing. </w:t>
      </w:r>
      <w:r w:rsidRPr="00587783">
        <w:rPr>
          <w:rFonts w:ascii="Times New Roman" w:hAnsi="Times New Roman"/>
          <w:i/>
          <w:sz w:val="20"/>
          <w:szCs w:val="20"/>
          <w:lang w:val="id-ID"/>
        </w:rPr>
        <w:t>Polymers</w:t>
      </w:r>
      <w:r w:rsidRPr="00587783">
        <w:rPr>
          <w:rFonts w:ascii="Times New Roman" w:hAnsi="Times New Roman"/>
          <w:sz w:val="20"/>
          <w:szCs w:val="20"/>
          <w:lang w:val="id-ID"/>
        </w:rPr>
        <w:t>, 12(4)</w:t>
      </w:r>
      <w:r w:rsidRPr="00587783">
        <w:rPr>
          <w:rFonts w:ascii="Times New Roman" w:hAnsi="Times New Roman"/>
          <w:sz w:val="20"/>
          <w:szCs w:val="20"/>
        </w:rPr>
        <w:t>:1-20</w:t>
      </w:r>
      <w:r w:rsidRPr="00587783">
        <w:rPr>
          <w:rFonts w:ascii="Times New Roman" w:hAnsi="Times New Roman"/>
          <w:sz w:val="20"/>
          <w:szCs w:val="20"/>
          <w:lang w:val="id-ID"/>
        </w:rPr>
        <w:t>.</w:t>
      </w:r>
    </w:p>
    <w:p w14:paraId="53472C90"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Azahari, M. S. M., Rus, A. Z. M., Kormin, S. and Zaliran, M. T. </w:t>
      </w:r>
      <w:r w:rsidRPr="00587783">
        <w:rPr>
          <w:rFonts w:ascii="Times New Roman" w:eastAsia="Calibri" w:hAnsi="Times New Roman"/>
          <w:color w:val="000000"/>
          <w:sz w:val="20"/>
          <w:szCs w:val="20"/>
        </w:rPr>
        <w:t>(</w:t>
      </w:r>
      <w:r w:rsidRPr="00587783">
        <w:rPr>
          <w:rFonts w:ascii="Times New Roman" w:hAnsi="Times New Roman"/>
          <w:sz w:val="20"/>
          <w:szCs w:val="20"/>
        </w:rPr>
        <w:t>2017</w:t>
      </w:r>
      <w:r w:rsidRPr="00587783">
        <w:rPr>
          <w:rFonts w:ascii="Times New Roman" w:eastAsia="Calibri" w:hAnsi="Times New Roman"/>
          <w:color w:val="000000"/>
          <w:sz w:val="20"/>
          <w:szCs w:val="20"/>
        </w:rPr>
        <w:t>)</w:t>
      </w:r>
      <w:r w:rsidRPr="00587783">
        <w:rPr>
          <w:rFonts w:ascii="Times New Roman" w:hAnsi="Times New Roman"/>
          <w:sz w:val="20"/>
          <w:szCs w:val="20"/>
        </w:rPr>
        <w:t>. Acoustic properties of polymer foam composites blended with different percentage loadings of natural fiber</w:t>
      </w:r>
      <w:r w:rsidRPr="00587783">
        <w:rPr>
          <w:rFonts w:ascii="Times New Roman" w:hAnsi="Times New Roman"/>
          <w:i/>
          <w:sz w:val="20"/>
          <w:szCs w:val="20"/>
        </w:rPr>
        <w:t>. IOP Conferences Series: Materials Science and Engineering,</w:t>
      </w:r>
      <w:r w:rsidRPr="00587783">
        <w:rPr>
          <w:rFonts w:ascii="Times New Roman" w:hAnsi="Times New Roman"/>
          <w:sz w:val="20"/>
          <w:szCs w:val="20"/>
        </w:rPr>
        <w:t xml:space="preserve"> 244(2017):1-6. </w:t>
      </w:r>
    </w:p>
    <w:p w14:paraId="6C8572EA"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Azahari, M. S. M., Rus, A. Z. M., Kormin, S. and Zaliran, M. T.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An acoustic study of </w:t>
      </w:r>
      <w:r w:rsidRPr="00587783">
        <w:rPr>
          <w:rFonts w:ascii="Times New Roman" w:hAnsi="Times New Roman"/>
          <w:i/>
          <w:iCs/>
          <w:sz w:val="20"/>
          <w:szCs w:val="20"/>
        </w:rPr>
        <w:t>Shorea leprosula</w:t>
      </w:r>
      <w:r w:rsidRPr="00587783">
        <w:rPr>
          <w:rFonts w:ascii="Times New Roman" w:hAnsi="Times New Roman"/>
          <w:sz w:val="20"/>
          <w:szCs w:val="20"/>
        </w:rPr>
        <w:t xml:space="preserve"> wood fiber filled polyurethane composite foam. </w:t>
      </w:r>
      <w:r w:rsidRPr="00587783">
        <w:rPr>
          <w:rFonts w:ascii="Times New Roman" w:hAnsi="Times New Roman"/>
          <w:i/>
          <w:sz w:val="20"/>
          <w:szCs w:val="20"/>
        </w:rPr>
        <w:t>Malaysian Journal of Analytical Science</w:t>
      </w:r>
      <w:r w:rsidRPr="00587783">
        <w:rPr>
          <w:rFonts w:ascii="Times New Roman" w:hAnsi="Times New Roman"/>
          <w:sz w:val="20"/>
          <w:szCs w:val="20"/>
        </w:rPr>
        <w:t>, 22(6): 1031-1039.</w:t>
      </w:r>
    </w:p>
    <w:p w14:paraId="56967CB5"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Nofitasari, H., Masykuri, M. and Ramelan, A. H. (2020)</w:t>
      </w:r>
      <w:r w:rsidRPr="00587783">
        <w:rPr>
          <w:rFonts w:ascii="Times New Roman" w:hAnsi="Times New Roman"/>
          <w:sz w:val="20"/>
          <w:szCs w:val="20"/>
          <w:lang w:val="id-ID"/>
        </w:rPr>
        <w:t>.</w:t>
      </w:r>
      <w:r w:rsidRPr="00587783">
        <w:rPr>
          <w:rFonts w:ascii="Times New Roman" w:hAnsi="Times New Roman"/>
          <w:sz w:val="20"/>
          <w:szCs w:val="20"/>
        </w:rPr>
        <w:t xml:space="preserve"> Reducing room noise using polyurethane-urea biofoam/industrial plywood sawdust waste (PUU/IPSW). </w:t>
      </w:r>
      <w:r w:rsidRPr="00587783">
        <w:rPr>
          <w:rFonts w:ascii="Times New Roman" w:hAnsi="Times New Roman"/>
          <w:i/>
          <w:sz w:val="20"/>
          <w:szCs w:val="20"/>
        </w:rPr>
        <w:t>AIP Conferences Proceedings: International Conference on Science and Applied Science</w:t>
      </w:r>
      <w:r w:rsidRPr="00587783">
        <w:rPr>
          <w:rFonts w:ascii="Times New Roman" w:hAnsi="Times New Roman"/>
          <w:sz w:val="20"/>
          <w:szCs w:val="20"/>
        </w:rPr>
        <w:t>, 2296(2020): 020061-020066.</w:t>
      </w:r>
    </w:p>
    <w:p w14:paraId="663B15C7"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 xml:space="preserve">Czlonka, S., Strakowska, </w:t>
      </w:r>
      <w:r w:rsidRPr="00587783">
        <w:rPr>
          <w:rFonts w:ascii="Times New Roman" w:hAnsi="Times New Roman"/>
          <w:sz w:val="20"/>
          <w:szCs w:val="20"/>
        </w:rPr>
        <w:t xml:space="preserve">A., </w:t>
      </w:r>
      <w:r w:rsidRPr="00587783">
        <w:rPr>
          <w:rFonts w:ascii="Times New Roman" w:hAnsi="Times New Roman"/>
          <w:sz w:val="20"/>
          <w:szCs w:val="20"/>
          <w:lang w:val="id-ID"/>
        </w:rPr>
        <w:t xml:space="preserve">Strzelec, </w:t>
      </w:r>
      <w:r w:rsidRPr="00587783">
        <w:rPr>
          <w:rFonts w:ascii="Times New Roman" w:hAnsi="Times New Roman"/>
          <w:sz w:val="20"/>
          <w:szCs w:val="20"/>
        </w:rPr>
        <w:t xml:space="preserve">K., </w:t>
      </w:r>
      <w:r w:rsidRPr="00587783">
        <w:rPr>
          <w:rFonts w:ascii="Times New Roman" w:hAnsi="Times New Roman"/>
          <w:sz w:val="20"/>
          <w:szCs w:val="20"/>
          <w:lang w:val="id-ID"/>
        </w:rPr>
        <w:t xml:space="preserve">Kairyte, </w:t>
      </w:r>
      <w:r w:rsidRPr="00587783">
        <w:rPr>
          <w:rFonts w:ascii="Times New Roman" w:hAnsi="Times New Roman"/>
          <w:sz w:val="20"/>
          <w:szCs w:val="20"/>
        </w:rPr>
        <w:t xml:space="preserve">A., </w:t>
      </w:r>
      <w:r w:rsidRPr="00587783">
        <w:rPr>
          <w:rFonts w:ascii="Times New Roman" w:hAnsi="Times New Roman"/>
          <w:sz w:val="20"/>
          <w:szCs w:val="20"/>
          <w:lang w:val="id-ID"/>
        </w:rPr>
        <w:t>and Vaitkus</w:t>
      </w:r>
      <w:r w:rsidRPr="00587783">
        <w:rPr>
          <w:rFonts w:ascii="Times New Roman" w:hAnsi="Times New Roman"/>
          <w:sz w:val="20"/>
          <w:szCs w:val="20"/>
        </w:rPr>
        <w:t>, S.</w:t>
      </w:r>
      <w:r w:rsidRPr="00587783">
        <w:rPr>
          <w:rFonts w:ascii="Times New Roman" w:eastAsia="Calibri" w:hAnsi="Times New Roman"/>
          <w:color w:val="000000"/>
          <w:sz w:val="20"/>
          <w:szCs w:val="20"/>
        </w:rPr>
        <w:t xml:space="preserve"> (</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lang w:val="id-ID"/>
        </w:rPr>
        <w:t>. Composites of rigid polyurethane foams and silica powder filler enhanced with ionic liquid.</w:t>
      </w:r>
      <w:r w:rsidRPr="00587783">
        <w:rPr>
          <w:rFonts w:ascii="Times New Roman" w:hAnsi="Times New Roman"/>
          <w:sz w:val="20"/>
          <w:szCs w:val="20"/>
        </w:rPr>
        <w:t xml:space="preserve"> </w:t>
      </w:r>
      <w:r w:rsidRPr="00587783">
        <w:rPr>
          <w:rFonts w:ascii="Times New Roman" w:hAnsi="Times New Roman"/>
          <w:i/>
          <w:sz w:val="20"/>
          <w:szCs w:val="20"/>
        </w:rPr>
        <w:t>Polymer</w:t>
      </w:r>
      <w:r w:rsidRPr="00587783">
        <w:rPr>
          <w:rFonts w:ascii="Times New Roman" w:hAnsi="Times New Roman"/>
          <w:i/>
          <w:sz w:val="20"/>
          <w:szCs w:val="20"/>
          <w:lang w:val="id-ID"/>
        </w:rPr>
        <w:t xml:space="preserve"> T</w:t>
      </w:r>
      <w:r w:rsidRPr="00587783">
        <w:rPr>
          <w:rFonts w:ascii="Times New Roman" w:hAnsi="Times New Roman"/>
          <w:i/>
          <w:sz w:val="20"/>
          <w:szCs w:val="20"/>
        </w:rPr>
        <w:t>esting</w:t>
      </w:r>
      <w:r w:rsidRPr="00587783">
        <w:rPr>
          <w:rFonts w:ascii="Times New Roman" w:hAnsi="Times New Roman"/>
          <w:sz w:val="20"/>
          <w:szCs w:val="20"/>
          <w:lang w:val="id-ID"/>
        </w:rPr>
        <w:t xml:space="preserve">, </w:t>
      </w:r>
      <w:r w:rsidRPr="00587783">
        <w:rPr>
          <w:rFonts w:ascii="Times New Roman" w:hAnsi="Times New Roman"/>
          <w:sz w:val="20"/>
          <w:szCs w:val="20"/>
        </w:rPr>
        <w:t>75(2019) : 12-25</w:t>
      </w:r>
      <w:r w:rsidRPr="00587783">
        <w:rPr>
          <w:rFonts w:ascii="Times New Roman" w:hAnsi="Times New Roman"/>
          <w:color w:val="0080AC"/>
          <w:sz w:val="20"/>
          <w:szCs w:val="20"/>
          <w:lang w:val="id-ID"/>
        </w:rPr>
        <w:t>.</w:t>
      </w:r>
    </w:p>
    <w:p w14:paraId="03BF4DF6"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Mustafov, S</w:t>
      </w:r>
      <w:r w:rsidRPr="00587783">
        <w:rPr>
          <w:rFonts w:ascii="Times New Roman" w:hAnsi="Times New Roman"/>
          <w:sz w:val="20"/>
          <w:szCs w:val="20"/>
        </w:rPr>
        <w:t xml:space="preserve">. </w:t>
      </w:r>
      <w:r w:rsidRPr="00587783">
        <w:rPr>
          <w:rFonts w:ascii="Times New Roman" w:hAnsi="Times New Roman"/>
          <w:sz w:val="20"/>
          <w:szCs w:val="20"/>
          <w:lang w:val="id-ID"/>
        </w:rPr>
        <w:t>D</w:t>
      </w:r>
      <w:r w:rsidRPr="00587783">
        <w:rPr>
          <w:rFonts w:ascii="Times New Roman" w:hAnsi="Times New Roman"/>
          <w:sz w:val="20"/>
          <w:szCs w:val="20"/>
        </w:rPr>
        <w:t>.</w:t>
      </w:r>
      <w:r w:rsidRPr="00587783">
        <w:rPr>
          <w:rFonts w:ascii="Times New Roman" w:hAnsi="Times New Roman"/>
          <w:sz w:val="20"/>
          <w:szCs w:val="20"/>
          <w:lang w:val="id-ID"/>
        </w:rPr>
        <w:t>, Sen</w:t>
      </w:r>
      <w:r w:rsidRPr="00587783">
        <w:rPr>
          <w:rFonts w:ascii="Times New Roman" w:hAnsi="Times New Roman"/>
          <w:sz w:val="20"/>
          <w:szCs w:val="20"/>
        </w:rPr>
        <w:t>, F.</w:t>
      </w:r>
      <w:r w:rsidRPr="00587783">
        <w:rPr>
          <w:rFonts w:ascii="Times New Roman" w:hAnsi="Times New Roman"/>
          <w:sz w:val="20"/>
          <w:szCs w:val="20"/>
          <w:lang w:val="id-ID"/>
        </w:rPr>
        <w:t xml:space="preserve"> and Seydibeyoglu</w:t>
      </w:r>
      <w:r w:rsidRPr="00587783">
        <w:rPr>
          <w:rFonts w:ascii="Times New Roman" w:hAnsi="Times New Roman"/>
          <w:sz w:val="20"/>
          <w:szCs w:val="20"/>
        </w:rPr>
        <w:t>, M. O.</w:t>
      </w:r>
      <w:r w:rsidRPr="00587783">
        <w:rPr>
          <w:rFonts w:ascii="Times New Roman" w:hAnsi="Times New Roman"/>
          <w:sz w:val="20"/>
          <w:szCs w:val="20"/>
          <w:lang w:val="id-ID"/>
        </w:rPr>
        <w:t xml:space="preserve"> </w:t>
      </w:r>
      <w:r w:rsidRPr="00587783">
        <w:rPr>
          <w:rFonts w:ascii="Times New Roman" w:hAnsi="Times New Roman"/>
          <w:sz w:val="20"/>
          <w:szCs w:val="20"/>
        </w:rPr>
        <w:t>(2020)</w:t>
      </w:r>
      <w:r w:rsidRPr="00587783">
        <w:rPr>
          <w:rFonts w:ascii="Times New Roman" w:hAnsi="Times New Roman"/>
          <w:sz w:val="20"/>
          <w:szCs w:val="20"/>
          <w:lang w:val="id-ID"/>
        </w:rPr>
        <w:t xml:space="preserve">.  Preparation and characterization of diatomite and hidroxyapatite reinforced porous polyurethane foam biocomposites. </w:t>
      </w:r>
      <w:r w:rsidRPr="00587783">
        <w:rPr>
          <w:rFonts w:ascii="Times New Roman" w:hAnsi="Times New Roman"/>
          <w:i/>
          <w:sz w:val="20"/>
          <w:szCs w:val="20"/>
          <w:lang w:val="id-ID"/>
        </w:rPr>
        <w:t>Scientific Reports</w:t>
      </w:r>
      <w:r w:rsidRPr="00587783">
        <w:rPr>
          <w:rFonts w:ascii="Times New Roman" w:hAnsi="Times New Roman"/>
          <w:sz w:val="20"/>
          <w:szCs w:val="20"/>
          <w:lang w:val="id-ID"/>
        </w:rPr>
        <w:t xml:space="preserve">, </w:t>
      </w:r>
      <w:r w:rsidRPr="00587783">
        <w:rPr>
          <w:rFonts w:ascii="Times New Roman" w:hAnsi="Times New Roman"/>
          <w:sz w:val="20"/>
          <w:szCs w:val="20"/>
        </w:rPr>
        <w:t>1(2020): 1-9</w:t>
      </w:r>
      <w:r w:rsidRPr="00587783">
        <w:rPr>
          <w:rFonts w:ascii="Times New Roman" w:hAnsi="Times New Roman"/>
          <w:color w:val="0080AC"/>
          <w:sz w:val="20"/>
          <w:szCs w:val="20"/>
          <w:lang w:val="id-ID"/>
        </w:rPr>
        <w:t>.</w:t>
      </w:r>
    </w:p>
    <w:p w14:paraId="5D1E8199"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Rus, A. Z. M. and Shafizah, S. (2015)</w:t>
      </w:r>
      <w:r w:rsidRPr="00763382">
        <w:rPr>
          <w:rFonts w:ascii="Times New Roman" w:hAnsi="Times New Roman"/>
          <w:sz w:val="20"/>
          <w:szCs w:val="20"/>
          <w:lang w:val="id-ID"/>
        </w:rPr>
        <w:t>.</w:t>
      </w:r>
      <w:r w:rsidRPr="00763382">
        <w:rPr>
          <w:rFonts w:ascii="Times New Roman" w:hAnsi="Times New Roman"/>
          <w:sz w:val="20"/>
          <w:szCs w:val="20"/>
        </w:rPr>
        <w:t xml:space="preserve"> Acoustic behavior of polymer foam composite</w:t>
      </w:r>
      <w:r w:rsidRPr="00763382">
        <w:rPr>
          <w:rFonts w:ascii="Times New Roman" w:hAnsi="Times New Roman"/>
          <w:sz w:val="20"/>
          <w:szCs w:val="20"/>
          <w:lang w:val="id-ID"/>
        </w:rPr>
        <w:t xml:space="preserve"> </w:t>
      </w:r>
      <w:r w:rsidRPr="00763382">
        <w:rPr>
          <w:rFonts w:ascii="Times New Roman" w:hAnsi="Times New Roman"/>
          <w:sz w:val="20"/>
          <w:szCs w:val="20"/>
        </w:rPr>
        <w:t xml:space="preserve">of </w:t>
      </w:r>
      <w:r w:rsidRPr="00763382">
        <w:rPr>
          <w:rFonts w:ascii="Times New Roman" w:hAnsi="Times New Roman"/>
          <w:i/>
          <w:iCs/>
          <w:sz w:val="20"/>
          <w:szCs w:val="20"/>
        </w:rPr>
        <w:t>Shorea leprosula</w:t>
      </w:r>
      <w:r w:rsidRPr="00763382">
        <w:rPr>
          <w:rFonts w:ascii="Times New Roman" w:hAnsi="Times New Roman"/>
          <w:sz w:val="20"/>
          <w:szCs w:val="20"/>
        </w:rPr>
        <w:t xml:space="preserve"> after UV-irradiation exposure </w:t>
      </w:r>
      <w:r w:rsidRPr="00763382">
        <w:rPr>
          <w:rFonts w:ascii="Times New Roman" w:hAnsi="Times New Roman"/>
          <w:i/>
          <w:iCs/>
          <w:sz w:val="20"/>
          <w:szCs w:val="20"/>
        </w:rPr>
        <w:t>International Journal Mechanical Aerospace, Industry Mechatronics</w:t>
      </w:r>
      <w:r w:rsidRPr="00763382">
        <w:rPr>
          <w:rFonts w:ascii="Times New Roman" w:hAnsi="Times New Roman"/>
          <w:i/>
          <w:iCs/>
          <w:sz w:val="20"/>
          <w:szCs w:val="20"/>
          <w:lang w:val="id-ID"/>
        </w:rPr>
        <w:t xml:space="preserve">, </w:t>
      </w:r>
      <w:r w:rsidRPr="00763382">
        <w:rPr>
          <w:rFonts w:ascii="Times New Roman" w:hAnsi="Times New Roman"/>
          <w:iCs/>
          <w:sz w:val="20"/>
          <w:szCs w:val="20"/>
          <w:lang w:val="id-ID"/>
        </w:rPr>
        <w:t>9(</w:t>
      </w:r>
      <w:r w:rsidRPr="00763382">
        <w:rPr>
          <w:rFonts w:ascii="Times New Roman" w:hAnsi="Times New Roman"/>
          <w:iCs/>
          <w:sz w:val="20"/>
          <w:szCs w:val="20"/>
        </w:rPr>
        <w:t>2015</w:t>
      </w:r>
      <w:r w:rsidRPr="00763382">
        <w:rPr>
          <w:rFonts w:ascii="Times New Roman" w:hAnsi="Times New Roman"/>
          <w:iCs/>
          <w:sz w:val="20"/>
          <w:szCs w:val="20"/>
          <w:lang w:val="id-ID"/>
        </w:rPr>
        <w:t>)</w:t>
      </w:r>
      <w:r w:rsidRPr="00763382">
        <w:rPr>
          <w:rFonts w:ascii="Times New Roman" w:hAnsi="Times New Roman"/>
          <w:b/>
          <w:bCs/>
          <w:sz w:val="20"/>
          <w:szCs w:val="20"/>
        </w:rPr>
        <w:t xml:space="preserve"> </w:t>
      </w:r>
      <w:r w:rsidRPr="00763382">
        <w:rPr>
          <w:rFonts w:ascii="Times New Roman" w:hAnsi="Times New Roman"/>
          <w:sz w:val="20"/>
          <w:szCs w:val="20"/>
        </w:rPr>
        <w:t>:188-192.</w:t>
      </w:r>
    </w:p>
    <w:p w14:paraId="765EC35D"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 xml:space="preserve">Sung, G., Kim, S. K., Kim, J. W. and Kim, J. H. (2016). Effect of isocyanate molecular structures in fabricating flexible polyurethane foams on sound absorption behavior, </w:t>
      </w:r>
      <w:r w:rsidRPr="00763382">
        <w:rPr>
          <w:rFonts w:ascii="Times New Roman" w:hAnsi="Times New Roman"/>
          <w:i/>
          <w:sz w:val="20"/>
          <w:szCs w:val="20"/>
        </w:rPr>
        <w:t>Polymer Test</w:t>
      </w:r>
      <w:r w:rsidRPr="00763382">
        <w:rPr>
          <w:rFonts w:ascii="Times New Roman" w:hAnsi="Times New Roman"/>
          <w:sz w:val="20"/>
          <w:szCs w:val="20"/>
        </w:rPr>
        <w:t>,</w:t>
      </w:r>
      <w:r w:rsidRPr="00763382">
        <w:rPr>
          <w:rFonts w:ascii="Times New Roman" w:hAnsi="Times New Roman"/>
          <w:sz w:val="20"/>
          <w:szCs w:val="20"/>
          <w:lang w:val="id-ID"/>
        </w:rPr>
        <w:t xml:space="preserve"> </w:t>
      </w:r>
      <w:r w:rsidRPr="00763382">
        <w:rPr>
          <w:rFonts w:ascii="Times New Roman" w:hAnsi="Times New Roman"/>
          <w:sz w:val="20"/>
          <w:szCs w:val="20"/>
        </w:rPr>
        <w:t>53(2016): 156-164.</w:t>
      </w:r>
    </w:p>
    <w:p w14:paraId="2C79BF7F"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 xml:space="preserve">Zhao, C., Wang, P., Wang, L. and Liu, D. (2014). Reducing railway noise with porous sound-absorbing concrete slabs. </w:t>
      </w:r>
      <w:r w:rsidRPr="00763382">
        <w:rPr>
          <w:rFonts w:ascii="Times New Roman" w:hAnsi="Times New Roman"/>
          <w:i/>
          <w:iCs/>
          <w:sz w:val="20"/>
          <w:szCs w:val="20"/>
        </w:rPr>
        <w:t>Advance Material Science Engineering,</w:t>
      </w:r>
      <w:r w:rsidRPr="00763382">
        <w:rPr>
          <w:rFonts w:ascii="Times New Roman" w:hAnsi="Times New Roman"/>
          <w:sz w:val="20"/>
          <w:szCs w:val="20"/>
        </w:rPr>
        <w:t xml:space="preserve"> 2014: 1-11.</w:t>
      </w:r>
    </w:p>
    <w:p w14:paraId="55B43697"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Kayalvizhi, M., Vakees, </w:t>
      </w:r>
      <w:r w:rsidRPr="00763382">
        <w:rPr>
          <w:rFonts w:ascii="Times New Roman" w:hAnsi="Times New Roman"/>
          <w:sz w:val="20"/>
          <w:szCs w:val="20"/>
        </w:rPr>
        <w:t xml:space="preserve">E., </w:t>
      </w:r>
      <w:r w:rsidRPr="00763382">
        <w:rPr>
          <w:rFonts w:ascii="Times New Roman" w:hAnsi="Times New Roman"/>
          <w:sz w:val="20"/>
          <w:szCs w:val="20"/>
          <w:lang w:val="id-ID"/>
        </w:rPr>
        <w:t>Suresh</w:t>
      </w:r>
      <w:r w:rsidRPr="00763382">
        <w:rPr>
          <w:rFonts w:ascii="Times New Roman" w:hAnsi="Times New Roman"/>
          <w:sz w:val="20"/>
          <w:szCs w:val="20"/>
        </w:rPr>
        <w:t>, J.</w:t>
      </w:r>
      <w:r w:rsidRPr="00763382">
        <w:rPr>
          <w:rFonts w:ascii="Times New Roman" w:hAnsi="Times New Roman"/>
          <w:sz w:val="20"/>
          <w:szCs w:val="20"/>
          <w:lang w:val="id-ID"/>
        </w:rPr>
        <w:t xml:space="preserve"> and Arun</w:t>
      </w:r>
      <w:r w:rsidRPr="00763382">
        <w:rPr>
          <w:rFonts w:ascii="Times New Roman" w:hAnsi="Times New Roman"/>
          <w:sz w:val="20"/>
          <w:szCs w:val="20"/>
        </w:rPr>
        <w:t>, A.</w:t>
      </w:r>
      <w:r w:rsidRPr="00763382">
        <w:rPr>
          <w:rFonts w:ascii="Times New Roman" w:hAnsi="Times New Roman"/>
          <w:sz w:val="20"/>
          <w:szCs w:val="20"/>
          <w:lang w:val="id-ID"/>
        </w:rPr>
        <w:t xml:space="preserve"> </w:t>
      </w:r>
      <w:r w:rsidRPr="00763382">
        <w:rPr>
          <w:rFonts w:ascii="Times New Roman" w:hAnsi="Times New Roman"/>
          <w:sz w:val="20"/>
          <w:szCs w:val="20"/>
        </w:rPr>
        <w:t>(2019)</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sz w:val="20"/>
          <w:szCs w:val="20"/>
          <w:lang w:val="id-ID"/>
        </w:rPr>
        <w:t xml:space="preserve">Poly(urethane-urea) based on functionalized polystyrene with HMDI: Synthesis and </w:t>
      </w:r>
      <w:r w:rsidRPr="00763382">
        <w:rPr>
          <w:rFonts w:ascii="Times New Roman" w:hAnsi="Times New Roman"/>
          <w:sz w:val="20"/>
          <w:szCs w:val="20"/>
        </w:rPr>
        <w:t>c</w:t>
      </w:r>
      <w:r w:rsidRPr="00763382">
        <w:rPr>
          <w:rFonts w:ascii="Times New Roman" w:hAnsi="Times New Roman"/>
          <w:sz w:val="20"/>
          <w:szCs w:val="20"/>
          <w:lang w:val="id-ID"/>
        </w:rPr>
        <w:t xml:space="preserve">haracterization. </w:t>
      </w:r>
      <w:r w:rsidRPr="00763382">
        <w:rPr>
          <w:rFonts w:ascii="Times New Roman" w:hAnsi="Times New Roman"/>
          <w:i/>
          <w:sz w:val="20"/>
          <w:szCs w:val="20"/>
          <w:lang w:val="id-ID"/>
        </w:rPr>
        <w:t>Arabian Journal of Chemistry</w:t>
      </w:r>
      <w:r w:rsidRPr="00763382">
        <w:rPr>
          <w:rFonts w:ascii="Times New Roman" w:hAnsi="Times New Roman"/>
          <w:sz w:val="20"/>
          <w:szCs w:val="20"/>
          <w:lang w:val="id-ID"/>
        </w:rPr>
        <w:t>, 12(8)</w:t>
      </w:r>
      <w:r w:rsidRPr="00763382">
        <w:rPr>
          <w:rFonts w:ascii="Times New Roman" w:hAnsi="Times New Roman"/>
          <w:sz w:val="20"/>
          <w:szCs w:val="20"/>
        </w:rPr>
        <w:t xml:space="preserve"> : </w:t>
      </w:r>
      <w:r w:rsidRPr="00763382">
        <w:rPr>
          <w:rFonts w:ascii="Times New Roman" w:hAnsi="Times New Roman"/>
          <w:sz w:val="20"/>
          <w:szCs w:val="20"/>
          <w:lang w:val="id-ID"/>
        </w:rPr>
        <w:t>2484-2491.</w:t>
      </w:r>
    </w:p>
    <w:p w14:paraId="2233C909" w14:textId="282AB2B1" w:rsidR="006D58BC" w:rsidRP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Jiang, L., Ren, Z., Zhao, W., Liu, W., Liu, H. and Zhu, C. (2018)</w:t>
      </w:r>
      <w:r w:rsidRPr="00763382">
        <w:rPr>
          <w:rFonts w:ascii="Times New Roman" w:hAnsi="Times New Roman"/>
          <w:sz w:val="20"/>
          <w:szCs w:val="20"/>
          <w:lang w:val="id-ID"/>
        </w:rPr>
        <w:t xml:space="preserve">. </w:t>
      </w:r>
      <w:r w:rsidRPr="00763382">
        <w:rPr>
          <w:rFonts w:ascii="Times New Roman" w:hAnsi="Times New Roman"/>
          <w:sz w:val="20"/>
          <w:szCs w:val="20"/>
        </w:rPr>
        <w:t xml:space="preserve">Synthesis and structure/properties characterizations of four polyurethane model hard segments. </w:t>
      </w:r>
      <w:r w:rsidRPr="00763382">
        <w:rPr>
          <w:rFonts w:ascii="Times New Roman" w:hAnsi="Times New Roman"/>
          <w:i/>
          <w:sz w:val="20"/>
          <w:szCs w:val="20"/>
        </w:rPr>
        <w:t>The Royal Society Open Science</w:t>
      </w:r>
      <w:r w:rsidRPr="00763382">
        <w:rPr>
          <w:rFonts w:ascii="Times New Roman" w:hAnsi="Times New Roman"/>
          <w:sz w:val="20"/>
          <w:szCs w:val="20"/>
        </w:rPr>
        <w:t xml:space="preserve">, </w:t>
      </w:r>
      <w:r w:rsidRPr="00763382">
        <w:rPr>
          <w:rFonts w:ascii="Times New Roman" w:hAnsi="Times New Roman"/>
          <w:sz w:val="20"/>
          <w:szCs w:val="20"/>
          <w:lang w:val="id-ID"/>
        </w:rPr>
        <w:t>5(7)</w:t>
      </w:r>
      <w:r w:rsidRPr="00763382">
        <w:rPr>
          <w:rFonts w:ascii="Times New Roman" w:hAnsi="Times New Roman"/>
          <w:sz w:val="20"/>
          <w:szCs w:val="20"/>
        </w:rPr>
        <w:t>: 1-11</w:t>
      </w:r>
      <w:r w:rsidRPr="00763382">
        <w:rPr>
          <w:rFonts w:ascii="Times New Roman" w:hAnsi="Times New Roman"/>
          <w:sz w:val="20"/>
          <w:szCs w:val="20"/>
          <w:lang w:val="id-ID"/>
        </w:rPr>
        <w:t>.</w:t>
      </w:r>
    </w:p>
    <w:p w14:paraId="37B413D8"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color w:val="000000"/>
          <w:sz w:val="20"/>
          <w:szCs w:val="20"/>
          <w:lang w:val="id-ID"/>
        </w:rPr>
        <w:t>Tiuc, A</w:t>
      </w:r>
      <w:r w:rsidRPr="00763382">
        <w:rPr>
          <w:rFonts w:ascii="Times New Roman" w:hAnsi="Times New Roman"/>
          <w:color w:val="000000"/>
          <w:sz w:val="20"/>
          <w:szCs w:val="20"/>
        </w:rPr>
        <w:t xml:space="preserve">. </w:t>
      </w:r>
      <w:r w:rsidRPr="00763382">
        <w:rPr>
          <w:rFonts w:ascii="Times New Roman" w:hAnsi="Times New Roman"/>
          <w:color w:val="000000"/>
          <w:sz w:val="20"/>
          <w:szCs w:val="20"/>
          <w:lang w:val="id-ID"/>
        </w:rPr>
        <w:t>E</w:t>
      </w:r>
      <w:r w:rsidRPr="00763382">
        <w:rPr>
          <w:rFonts w:ascii="Times New Roman" w:hAnsi="Times New Roman"/>
          <w:color w:val="000000"/>
          <w:sz w:val="20"/>
          <w:szCs w:val="20"/>
        </w:rPr>
        <w:t>.</w:t>
      </w:r>
      <w:r w:rsidRPr="00763382">
        <w:rPr>
          <w:rFonts w:ascii="Times New Roman" w:hAnsi="Times New Roman"/>
          <w:color w:val="000000"/>
          <w:sz w:val="20"/>
          <w:szCs w:val="20"/>
          <w:lang w:val="id-ID"/>
        </w:rPr>
        <w:t xml:space="preserve">,  Vasile, </w:t>
      </w:r>
      <w:r w:rsidRPr="00763382">
        <w:rPr>
          <w:rFonts w:ascii="Times New Roman" w:hAnsi="Times New Roman"/>
          <w:color w:val="000000"/>
          <w:sz w:val="20"/>
          <w:szCs w:val="20"/>
        </w:rPr>
        <w:t xml:space="preserve">O., </w:t>
      </w:r>
      <w:r w:rsidRPr="00763382">
        <w:rPr>
          <w:rFonts w:ascii="Times New Roman" w:hAnsi="Times New Roman"/>
          <w:color w:val="000000"/>
          <w:sz w:val="20"/>
          <w:szCs w:val="20"/>
          <w:lang w:val="id-ID"/>
        </w:rPr>
        <w:t xml:space="preserve">Usca, </w:t>
      </w:r>
      <w:r w:rsidRPr="00763382">
        <w:rPr>
          <w:rFonts w:ascii="Times New Roman" w:hAnsi="Times New Roman"/>
          <w:color w:val="000000"/>
          <w:sz w:val="20"/>
          <w:szCs w:val="20"/>
        </w:rPr>
        <w:t xml:space="preserve">A-D., </w:t>
      </w:r>
      <w:r w:rsidRPr="00763382">
        <w:rPr>
          <w:rFonts w:ascii="Times New Roman" w:hAnsi="Times New Roman"/>
          <w:color w:val="000000"/>
          <w:sz w:val="20"/>
          <w:szCs w:val="20"/>
          <w:lang w:val="id-ID"/>
        </w:rPr>
        <w:t xml:space="preserve">Gabor, </w:t>
      </w:r>
      <w:r w:rsidRPr="00763382">
        <w:rPr>
          <w:rFonts w:ascii="Times New Roman" w:hAnsi="Times New Roman"/>
          <w:color w:val="000000"/>
          <w:sz w:val="20"/>
          <w:szCs w:val="20"/>
        </w:rPr>
        <w:t xml:space="preserve">T. </w:t>
      </w:r>
      <w:r w:rsidRPr="00763382">
        <w:rPr>
          <w:rFonts w:ascii="Times New Roman" w:hAnsi="Times New Roman"/>
          <w:color w:val="000000"/>
          <w:sz w:val="20"/>
          <w:szCs w:val="20"/>
          <w:lang w:val="id-ID"/>
        </w:rPr>
        <w:t>and Vermesan</w:t>
      </w:r>
      <w:r w:rsidRPr="00763382">
        <w:rPr>
          <w:rFonts w:ascii="Times New Roman" w:hAnsi="Times New Roman"/>
          <w:color w:val="000000"/>
          <w:sz w:val="20"/>
          <w:szCs w:val="20"/>
        </w:rPr>
        <w:t xml:space="preserve">, H. </w:t>
      </w:r>
      <w:r w:rsidRPr="00763382">
        <w:rPr>
          <w:rFonts w:ascii="Times New Roman" w:hAnsi="Times New Roman"/>
          <w:sz w:val="20"/>
          <w:szCs w:val="20"/>
        </w:rPr>
        <w:t>(2014)</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color w:val="000000"/>
          <w:sz w:val="20"/>
          <w:szCs w:val="20"/>
          <w:lang w:val="id-ID"/>
        </w:rPr>
        <w:t xml:space="preserve">The analysis of factors that influnce the sound absorption coefficient in porous materials. </w:t>
      </w:r>
      <w:r w:rsidRPr="00763382">
        <w:rPr>
          <w:rFonts w:ascii="Times New Roman" w:hAnsi="Times New Roman"/>
          <w:i/>
          <w:color w:val="000000"/>
          <w:sz w:val="20"/>
          <w:szCs w:val="20"/>
          <w:lang w:val="id-ID"/>
        </w:rPr>
        <w:t>Romanian Journal of Acoustics and Vibration</w:t>
      </w:r>
      <w:r w:rsidRPr="00763382">
        <w:rPr>
          <w:rFonts w:ascii="Times New Roman" w:hAnsi="Times New Roman"/>
          <w:i/>
          <w:color w:val="000000"/>
          <w:sz w:val="20"/>
          <w:szCs w:val="20"/>
        </w:rPr>
        <w:t xml:space="preserve">, </w:t>
      </w:r>
      <w:r w:rsidRPr="00763382">
        <w:rPr>
          <w:rFonts w:ascii="Times New Roman" w:hAnsi="Times New Roman"/>
          <w:color w:val="000000"/>
          <w:sz w:val="20"/>
          <w:szCs w:val="20"/>
          <w:lang w:val="id-ID"/>
        </w:rPr>
        <w:t>11 (2):105-108.</w:t>
      </w:r>
    </w:p>
    <w:p w14:paraId="126A1A71"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Zhao, X., Qi, </w:t>
      </w:r>
      <w:r w:rsidRPr="00763382">
        <w:rPr>
          <w:rFonts w:ascii="Times New Roman" w:hAnsi="Times New Roman"/>
          <w:sz w:val="20"/>
          <w:szCs w:val="20"/>
        </w:rPr>
        <w:t xml:space="preserve">Y., </w:t>
      </w:r>
      <w:r w:rsidRPr="00763382">
        <w:rPr>
          <w:rFonts w:ascii="Times New Roman" w:hAnsi="Times New Roman"/>
          <w:sz w:val="20"/>
          <w:szCs w:val="20"/>
          <w:lang w:val="id-ID"/>
        </w:rPr>
        <w:t>Li</w:t>
      </w:r>
      <w:r w:rsidRPr="00763382">
        <w:rPr>
          <w:rFonts w:ascii="Times New Roman" w:hAnsi="Times New Roman"/>
          <w:sz w:val="20"/>
          <w:szCs w:val="20"/>
        </w:rPr>
        <w:t>, K.</w:t>
      </w:r>
      <w:r w:rsidRPr="00763382">
        <w:rPr>
          <w:rFonts w:ascii="Times New Roman" w:hAnsi="Times New Roman"/>
          <w:sz w:val="20"/>
          <w:szCs w:val="20"/>
          <w:lang w:val="id-ID"/>
        </w:rPr>
        <w:t xml:space="preserve"> and Zhang</w:t>
      </w:r>
      <w:r w:rsidRPr="00763382">
        <w:rPr>
          <w:rFonts w:ascii="Times New Roman" w:hAnsi="Times New Roman"/>
          <w:sz w:val="20"/>
          <w:szCs w:val="20"/>
        </w:rPr>
        <w:t>, Z.</w:t>
      </w:r>
      <w:r w:rsidRPr="00763382">
        <w:rPr>
          <w:rFonts w:ascii="Times New Roman" w:hAnsi="Times New Roman"/>
          <w:sz w:val="20"/>
          <w:szCs w:val="20"/>
          <w:lang w:val="id-ID"/>
        </w:rPr>
        <w:t xml:space="preserve"> </w:t>
      </w:r>
      <w:r w:rsidRPr="00763382">
        <w:rPr>
          <w:rFonts w:ascii="Times New Roman" w:hAnsi="Times New Roman"/>
          <w:sz w:val="20"/>
          <w:szCs w:val="20"/>
        </w:rPr>
        <w:t>(</w:t>
      </w:r>
      <w:r w:rsidRPr="00763382">
        <w:rPr>
          <w:rFonts w:ascii="Times New Roman" w:hAnsi="Times New Roman"/>
          <w:sz w:val="20"/>
          <w:szCs w:val="20"/>
          <w:lang w:val="id-ID"/>
        </w:rPr>
        <w:t>2019</w:t>
      </w:r>
      <w:r w:rsidRPr="00763382">
        <w:rPr>
          <w:rFonts w:ascii="Times New Roman" w:hAnsi="Times New Roman"/>
          <w:sz w:val="20"/>
          <w:szCs w:val="20"/>
        </w:rPr>
        <w:t>)</w:t>
      </w:r>
      <w:r w:rsidRPr="00763382">
        <w:rPr>
          <w:rFonts w:ascii="Times New Roman" w:hAnsi="Times New Roman"/>
          <w:sz w:val="20"/>
          <w:szCs w:val="20"/>
          <w:lang w:val="id-ID"/>
        </w:rPr>
        <w:t xml:space="preserve">. Hydrogen </w:t>
      </w:r>
      <w:r w:rsidRPr="00763382">
        <w:rPr>
          <w:rFonts w:ascii="Times New Roman" w:hAnsi="Times New Roman"/>
          <w:sz w:val="20"/>
          <w:szCs w:val="20"/>
        </w:rPr>
        <w:t>b</w:t>
      </w:r>
      <w:r w:rsidRPr="00763382">
        <w:rPr>
          <w:rFonts w:ascii="Times New Roman" w:hAnsi="Times New Roman"/>
          <w:sz w:val="20"/>
          <w:szCs w:val="20"/>
          <w:lang w:val="id-ID"/>
        </w:rPr>
        <w:t xml:space="preserve">onds and FTIR peaks of polyether polyurethane-urea. </w:t>
      </w:r>
      <w:r w:rsidRPr="00763382">
        <w:rPr>
          <w:rFonts w:ascii="Times New Roman" w:hAnsi="Times New Roman"/>
          <w:i/>
          <w:sz w:val="20"/>
          <w:szCs w:val="20"/>
          <w:lang w:val="id-ID"/>
        </w:rPr>
        <w:t>Key Engineering Materials</w:t>
      </w:r>
      <w:r w:rsidRPr="00763382">
        <w:rPr>
          <w:rFonts w:ascii="Times New Roman" w:hAnsi="Times New Roman"/>
          <w:sz w:val="20"/>
          <w:szCs w:val="20"/>
          <w:lang w:val="id-ID"/>
        </w:rPr>
        <w:t>, 815(2019)</w:t>
      </w:r>
      <w:r w:rsidRPr="00763382">
        <w:rPr>
          <w:rFonts w:ascii="Times New Roman" w:hAnsi="Times New Roman"/>
          <w:color w:val="000000"/>
          <w:sz w:val="20"/>
          <w:szCs w:val="20"/>
          <w:lang w:val="id-ID"/>
        </w:rPr>
        <w:t>:</w:t>
      </w:r>
      <w:r w:rsidRPr="00763382">
        <w:rPr>
          <w:rFonts w:ascii="Times New Roman" w:hAnsi="Times New Roman"/>
          <w:sz w:val="20"/>
          <w:szCs w:val="20"/>
          <w:lang w:val="id-ID"/>
        </w:rPr>
        <w:t xml:space="preserve">151-156. </w:t>
      </w:r>
    </w:p>
    <w:p w14:paraId="6AB8B4FB" w14:textId="77777777" w:rsidR="006B23EC" w:rsidRDefault="006D58BC" w:rsidP="006B23E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Bayu, A., Nandiyanto,</w:t>
      </w:r>
      <w:r w:rsidRPr="00763382">
        <w:rPr>
          <w:rFonts w:ascii="Times New Roman" w:hAnsi="Times New Roman"/>
          <w:sz w:val="20"/>
          <w:szCs w:val="20"/>
          <w:lang w:val="id-ID"/>
        </w:rPr>
        <w:t xml:space="preserve"> </w:t>
      </w:r>
      <w:r w:rsidRPr="00763382">
        <w:rPr>
          <w:rFonts w:ascii="Times New Roman" w:hAnsi="Times New Roman"/>
          <w:sz w:val="20"/>
          <w:szCs w:val="20"/>
        </w:rPr>
        <w:t xml:space="preserve">D., </w:t>
      </w:r>
      <w:r w:rsidRPr="00763382">
        <w:rPr>
          <w:rFonts w:ascii="Times New Roman" w:hAnsi="Times New Roman"/>
          <w:sz w:val="20"/>
          <w:szCs w:val="20"/>
          <w:lang w:val="id-ID"/>
        </w:rPr>
        <w:t>Oktiani</w:t>
      </w:r>
      <w:r w:rsidRPr="00763382">
        <w:rPr>
          <w:rFonts w:ascii="Times New Roman" w:hAnsi="Times New Roman"/>
          <w:sz w:val="20"/>
          <w:szCs w:val="20"/>
        </w:rPr>
        <w:t>, R.</w:t>
      </w:r>
      <w:r w:rsidRPr="00763382">
        <w:rPr>
          <w:rFonts w:ascii="Times New Roman" w:hAnsi="Times New Roman"/>
          <w:sz w:val="20"/>
          <w:szCs w:val="20"/>
          <w:lang w:val="id-ID"/>
        </w:rPr>
        <w:t xml:space="preserve"> dan Ragadhita</w:t>
      </w:r>
      <w:r w:rsidRPr="00763382">
        <w:rPr>
          <w:rFonts w:ascii="Times New Roman" w:hAnsi="Times New Roman"/>
          <w:sz w:val="20"/>
          <w:szCs w:val="20"/>
        </w:rPr>
        <w:t>, R.</w:t>
      </w:r>
      <w:r w:rsidRPr="00763382">
        <w:rPr>
          <w:rFonts w:ascii="Times New Roman" w:hAnsi="Times New Roman"/>
          <w:sz w:val="20"/>
          <w:szCs w:val="20"/>
          <w:lang w:val="id-ID"/>
        </w:rPr>
        <w:t xml:space="preserve"> </w:t>
      </w:r>
      <w:r w:rsidRPr="00763382">
        <w:rPr>
          <w:rFonts w:ascii="Times New Roman" w:hAnsi="Times New Roman"/>
          <w:sz w:val="20"/>
          <w:szCs w:val="20"/>
        </w:rPr>
        <w:t>(2019)</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sz w:val="20"/>
          <w:szCs w:val="20"/>
          <w:lang w:val="id-ID"/>
        </w:rPr>
        <w:t xml:space="preserve">How to read and interpret FTIR spectroscope of organic material. </w:t>
      </w:r>
      <w:r w:rsidRPr="00763382">
        <w:rPr>
          <w:rFonts w:ascii="Times New Roman" w:hAnsi="Times New Roman"/>
          <w:i/>
          <w:sz w:val="20"/>
          <w:szCs w:val="20"/>
          <w:lang w:val="id-ID"/>
        </w:rPr>
        <w:t>Indonesian Journal of Science and Technology</w:t>
      </w:r>
      <w:r w:rsidRPr="00763382">
        <w:rPr>
          <w:rFonts w:ascii="Times New Roman" w:hAnsi="Times New Roman"/>
          <w:sz w:val="20"/>
          <w:szCs w:val="20"/>
          <w:lang w:val="id-ID"/>
        </w:rPr>
        <w:t>, 4(1)</w:t>
      </w:r>
      <w:r w:rsidRPr="00763382">
        <w:rPr>
          <w:rFonts w:ascii="Times New Roman" w:hAnsi="Times New Roman"/>
          <w:color w:val="000000"/>
          <w:sz w:val="20"/>
          <w:szCs w:val="20"/>
          <w:lang w:val="id-ID"/>
        </w:rPr>
        <w:t>:</w:t>
      </w:r>
      <w:r w:rsidRPr="00763382">
        <w:rPr>
          <w:rFonts w:ascii="Times New Roman" w:hAnsi="Times New Roman"/>
          <w:color w:val="000000"/>
          <w:sz w:val="20"/>
          <w:szCs w:val="20"/>
        </w:rPr>
        <w:t xml:space="preserve"> </w:t>
      </w:r>
      <w:r w:rsidRPr="00763382">
        <w:rPr>
          <w:rFonts w:ascii="Times New Roman" w:hAnsi="Times New Roman"/>
          <w:sz w:val="20"/>
          <w:szCs w:val="20"/>
          <w:lang w:val="id-ID"/>
        </w:rPr>
        <w:t xml:space="preserve">97-118. </w:t>
      </w:r>
    </w:p>
    <w:p w14:paraId="6ADC1CBA" w14:textId="475A3539" w:rsidR="006B23EC" w:rsidRPr="006B23EC" w:rsidRDefault="006B23EC" w:rsidP="006B23EC">
      <w:pPr>
        <w:pStyle w:val="ListParagraph"/>
        <w:numPr>
          <w:ilvl w:val="0"/>
          <w:numId w:val="8"/>
        </w:numPr>
        <w:spacing w:after="0"/>
        <w:ind w:left="360"/>
        <w:jc w:val="both"/>
        <w:rPr>
          <w:rFonts w:ascii="Times New Roman" w:hAnsi="Times New Roman"/>
          <w:sz w:val="20"/>
          <w:szCs w:val="20"/>
          <w:lang w:val="id-ID"/>
        </w:rPr>
      </w:pPr>
      <w:r w:rsidRPr="006B23EC">
        <w:rPr>
          <w:rFonts w:ascii="Times New Roman" w:hAnsi="Times New Roman"/>
          <w:sz w:val="20"/>
          <w:szCs w:val="20"/>
          <w:lang w:val="id-ID"/>
        </w:rPr>
        <w:t>Ng, H.</w:t>
      </w:r>
      <w:r w:rsidRPr="006B23EC">
        <w:rPr>
          <w:rFonts w:ascii="Times New Roman" w:hAnsi="Times New Roman"/>
          <w:sz w:val="20"/>
          <w:szCs w:val="20"/>
        </w:rPr>
        <w:t xml:space="preserve"> </w:t>
      </w:r>
      <w:r w:rsidRPr="006B23EC">
        <w:rPr>
          <w:rFonts w:ascii="Times New Roman" w:hAnsi="Times New Roman"/>
          <w:sz w:val="20"/>
          <w:szCs w:val="20"/>
          <w:lang w:val="id-ID"/>
        </w:rPr>
        <w:t xml:space="preserve">M., Omar, </w:t>
      </w:r>
      <w:r w:rsidRPr="006B23EC">
        <w:rPr>
          <w:rFonts w:ascii="Times New Roman" w:hAnsi="Times New Roman"/>
          <w:sz w:val="20"/>
          <w:szCs w:val="20"/>
        </w:rPr>
        <w:t xml:space="preserve">F. S., </w:t>
      </w:r>
      <w:r w:rsidRPr="006B23EC">
        <w:rPr>
          <w:rFonts w:ascii="Times New Roman" w:hAnsi="Times New Roman"/>
          <w:sz w:val="20"/>
          <w:szCs w:val="20"/>
          <w:lang w:val="id-ID"/>
        </w:rPr>
        <w:t>Saidi</w:t>
      </w:r>
      <w:r w:rsidRPr="006B23EC">
        <w:rPr>
          <w:rFonts w:ascii="Times New Roman" w:hAnsi="Times New Roman"/>
          <w:sz w:val="20"/>
          <w:szCs w:val="20"/>
        </w:rPr>
        <w:t>, N. M.</w:t>
      </w:r>
      <w:r w:rsidRPr="006B23EC">
        <w:rPr>
          <w:rFonts w:ascii="Times New Roman" w:hAnsi="Times New Roman"/>
          <w:sz w:val="20"/>
          <w:szCs w:val="20"/>
          <w:lang w:val="id-ID"/>
        </w:rPr>
        <w:t xml:space="preserve"> and Kasi</w:t>
      </w:r>
      <w:r w:rsidRPr="006B23EC">
        <w:rPr>
          <w:rFonts w:ascii="Times New Roman" w:hAnsi="Times New Roman"/>
          <w:sz w:val="20"/>
          <w:szCs w:val="20"/>
        </w:rPr>
        <w:t>, R.</w:t>
      </w:r>
      <w:r w:rsidRPr="006B23EC">
        <w:rPr>
          <w:rFonts w:ascii="Times New Roman" w:hAnsi="Times New Roman"/>
          <w:sz w:val="20"/>
          <w:szCs w:val="20"/>
          <w:lang w:val="id-ID"/>
        </w:rPr>
        <w:t xml:space="preserve"> </w:t>
      </w:r>
      <w:r w:rsidRPr="006B23EC">
        <w:rPr>
          <w:rFonts w:ascii="Times New Roman" w:hAnsi="Times New Roman"/>
          <w:sz w:val="20"/>
          <w:szCs w:val="20"/>
        </w:rPr>
        <w:t>(2018)</w:t>
      </w:r>
      <w:r w:rsidRPr="006B23EC">
        <w:rPr>
          <w:rFonts w:ascii="Times New Roman" w:hAnsi="Times New Roman"/>
          <w:sz w:val="20"/>
          <w:szCs w:val="20"/>
          <w:lang w:val="id-ID"/>
        </w:rPr>
        <w:t xml:space="preserve">. </w:t>
      </w:r>
      <w:r w:rsidRPr="006B23EC">
        <w:rPr>
          <w:rFonts w:ascii="Times New Roman" w:hAnsi="Times New Roman"/>
          <w:i/>
          <w:sz w:val="20"/>
          <w:szCs w:val="20"/>
          <w:lang w:val="id-ID"/>
        </w:rPr>
        <w:t>Encyclopedia of Polymers Science and Technology</w:t>
      </w:r>
      <w:r w:rsidRPr="006B23EC">
        <w:rPr>
          <w:rFonts w:ascii="Times New Roman" w:hAnsi="Times New Roman"/>
          <w:sz w:val="20"/>
          <w:szCs w:val="20"/>
          <w:lang w:val="id-ID"/>
        </w:rPr>
        <w:t xml:space="preserve">. Jhon Waley Sons Inc, </w:t>
      </w:r>
      <w:r w:rsidRPr="006B23EC">
        <w:rPr>
          <w:rFonts w:ascii="Times New Roman" w:hAnsi="Times New Roman"/>
          <w:sz w:val="20"/>
          <w:szCs w:val="20"/>
        </w:rPr>
        <w:t>New York: pp. 1-29.</w:t>
      </w:r>
    </w:p>
    <w:p w14:paraId="1DBAA04B" w14:textId="04C9F958" w:rsidR="006B23EC" w:rsidRDefault="006B23EC" w:rsidP="006D58BC">
      <w:pPr>
        <w:spacing w:after="0"/>
        <w:jc w:val="both"/>
        <w:rPr>
          <w:rFonts w:ascii="Times New Roman" w:hAnsi="Times New Roman"/>
          <w:sz w:val="20"/>
          <w:szCs w:val="20"/>
          <w:lang w:val="id-ID"/>
        </w:rPr>
        <w:sectPr w:rsidR="006B23EC" w:rsidSect="002E7B28">
          <w:footerReference w:type="even" r:id="rId58"/>
          <w:footerReference w:type="default" r:id="rId59"/>
          <w:type w:val="continuous"/>
          <w:pgSz w:w="12240" w:h="15840" w:code="1"/>
          <w:pgMar w:top="1800" w:right="1469" w:bottom="1699" w:left="1440" w:header="706" w:footer="706" w:gutter="0"/>
          <w:pgNumType w:start="0"/>
          <w:cols w:num="2" w:space="708"/>
          <w:docGrid w:linePitch="360"/>
        </w:sectPr>
      </w:pPr>
    </w:p>
    <w:p w14:paraId="467232F7" w14:textId="555FE392" w:rsidR="006D58BC" w:rsidRPr="006B23EC" w:rsidRDefault="006D58BC" w:rsidP="006B23EC">
      <w:pPr>
        <w:pStyle w:val="ListParagraph"/>
        <w:numPr>
          <w:ilvl w:val="0"/>
          <w:numId w:val="8"/>
        </w:numPr>
        <w:spacing w:after="0"/>
        <w:ind w:left="360"/>
        <w:jc w:val="both"/>
        <w:rPr>
          <w:rFonts w:ascii="Times New Roman" w:hAnsi="Times New Roman"/>
          <w:sz w:val="20"/>
          <w:szCs w:val="20"/>
          <w:lang w:val="id-ID"/>
        </w:rPr>
      </w:pPr>
      <w:r w:rsidRPr="006B23EC">
        <w:rPr>
          <w:rFonts w:ascii="Times New Roman" w:hAnsi="Times New Roman"/>
          <w:color w:val="000000"/>
          <w:sz w:val="20"/>
          <w:szCs w:val="20"/>
          <w:lang w:val="id-ID"/>
        </w:rPr>
        <w:lastRenderedPageBreak/>
        <w:t xml:space="preserve">Kripluks, M., Cabulis, </w:t>
      </w:r>
      <w:r w:rsidRPr="006B23EC">
        <w:rPr>
          <w:rFonts w:ascii="Times New Roman" w:hAnsi="Times New Roman"/>
          <w:color w:val="000000"/>
          <w:sz w:val="20"/>
          <w:szCs w:val="20"/>
        </w:rPr>
        <w:t xml:space="preserve">U., </w:t>
      </w:r>
      <w:r w:rsidRPr="006B23EC">
        <w:rPr>
          <w:rFonts w:ascii="Times New Roman" w:hAnsi="Times New Roman"/>
          <w:color w:val="000000"/>
          <w:sz w:val="20"/>
          <w:szCs w:val="20"/>
          <w:lang w:val="id-ID"/>
        </w:rPr>
        <w:t xml:space="preserve">Ivdre, </w:t>
      </w:r>
      <w:r w:rsidRPr="006B23EC">
        <w:rPr>
          <w:rFonts w:ascii="Times New Roman" w:hAnsi="Times New Roman"/>
          <w:color w:val="000000"/>
          <w:sz w:val="20"/>
          <w:szCs w:val="20"/>
        </w:rPr>
        <w:t xml:space="preserve">A., </w:t>
      </w:r>
      <w:r w:rsidRPr="006B23EC">
        <w:rPr>
          <w:rFonts w:ascii="Times New Roman" w:hAnsi="Times New Roman"/>
          <w:color w:val="000000"/>
          <w:sz w:val="20"/>
          <w:szCs w:val="20"/>
          <w:lang w:val="id-ID"/>
        </w:rPr>
        <w:t xml:space="preserve">Kuranska, </w:t>
      </w:r>
      <w:r w:rsidRPr="006B23EC">
        <w:rPr>
          <w:rFonts w:ascii="Times New Roman" w:hAnsi="Times New Roman"/>
          <w:color w:val="000000"/>
          <w:sz w:val="20"/>
          <w:szCs w:val="20"/>
        </w:rPr>
        <w:t xml:space="preserve">M., </w:t>
      </w:r>
      <w:r w:rsidRPr="006B23EC">
        <w:rPr>
          <w:rFonts w:ascii="Times New Roman" w:hAnsi="Times New Roman"/>
          <w:color w:val="000000"/>
          <w:sz w:val="20"/>
          <w:szCs w:val="20"/>
          <w:lang w:val="id-ID"/>
        </w:rPr>
        <w:t>Zileniewska</w:t>
      </w:r>
      <w:r w:rsidRPr="006B23EC">
        <w:rPr>
          <w:rFonts w:ascii="Times New Roman" w:hAnsi="Times New Roman"/>
          <w:color w:val="000000"/>
          <w:sz w:val="20"/>
          <w:szCs w:val="20"/>
        </w:rPr>
        <w:t>, M.</w:t>
      </w:r>
      <w:r w:rsidRPr="006B23EC">
        <w:rPr>
          <w:rFonts w:ascii="Times New Roman" w:hAnsi="Times New Roman"/>
          <w:color w:val="000000"/>
          <w:sz w:val="20"/>
          <w:szCs w:val="20"/>
          <w:lang w:val="id-ID"/>
        </w:rPr>
        <w:t xml:space="preserve"> and Auguscik</w:t>
      </w:r>
      <w:r w:rsidRPr="006B23EC">
        <w:rPr>
          <w:rFonts w:ascii="Times New Roman" w:hAnsi="Times New Roman"/>
          <w:color w:val="000000"/>
          <w:sz w:val="20"/>
          <w:szCs w:val="20"/>
        </w:rPr>
        <w:t>, M.</w:t>
      </w:r>
      <w:r w:rsidRPr="006B23EC">
        <w:rPr>
          <w:rFonts w:ascii="Times New Roman" w:hAnsi="Times New Roman"/>
          <w:color w:val="000000"/>
          <w:sz w:val="20"/>
          <w:szCs w:val="20"/>
          <w:lang w:val="id-ID"/>
        </w:rPr>
        <w:t xml:space="preserve"> </w:t>
      </w:r>
      <w:r w:rsidRPr="006B23EC">
        <w:rPr>
          <w:rFonts w:ascii="Times New Roman" w:hAnsi="Times New Roman"/>
          <w:sz w:val="20"/>
          <w:szCs w:val="20"/>
        </w:rPr>
        <w:t>(2016)</w:t>
      </w:r>
      <w:r w:rsidRPr="006B23EC">
        <w:rPr>
          <w:rFonts w:ascii="Times New Roman" w:hAnsi="Times New Roman"/>
          <w:sz w:val="20"/>
          <w:szCs w:val="20"/>
          <w:lang w:val="id-ID"/>
        </w:rPr>
        <w:t xml:space="preserve">. </w:t>
      </w:r>
      <w:r w:rsidRPr="006B23EC">
        <w:rPr>
          <w:rFonts w:ascii="Times New Roman" w:hAnsi="Times New Roman"/>
          <w:color w:val="000000"/>
          <w:sz w:val="20"/>
          <w:szCs w:val="20"/>
          <w:lang w:val="id-ID"/>
        </w:rPr>
        <w:t xml:space="preserve">Mechanical and thermal properties of high-density rigid polyurethane foams from renewable resources. </w:t>
      </w:r>
      <w:r w:rsidRPr="006B23EC">
        <w:rPr>
          <w:rFonts w:ascii="Times New Roman" w:hAnsi="Times New Roman"/>
          <w:i/>
          <w:color w:val="000000"/>
          <w:sz w:val="20"/>
          <w:szCs w:val="20"/>
          <w:lang w:val="id-ID"/>
        </w:rPr>
        <w:t>Journal Renewable Material</w:t>
      </w:r>
      <w:r w:rsidRPr="006B23EC">
        <w:rPr>
          <w:rFonts w:ascii="Times New Roman" w:hAnsi="Times New Roman"/>
          <w:color w:val="000000"/>
          <w:sz w:val="20"/>
          <w:szCs w:val="20"/>
          <w:lang w:val="id-ID"/>
        </w:rPr>
        <w:t>, 4(1)</w:t>
      </w:r>
      <w:r w:rsidRPr="006B23EC">
        <w:rPr>
          <w:rFonts w:ascii="Times New Roman" w:hAnsi="Times New Roman"/>
          <w:sz w:val="20"/>
          <w:szCs w:val="20"/>
          <w:lang w:val="id-ID"/>
        </w:rPr>
        <w:t>:</w:t>
      </w:r>
      <w:r w:rsidRPr="006B23EC">
        <w:rPr>
          <w:rFonts w:ascii="Times New Roman" w:hAnsi="Times New Roman"/>
          <w:sz w:val="20"/>
          <w:szCs w:val="20"/>
        </w:rPr>
        <w:t xml:space="preserve"> </w:t>
      </w:r>
      <w:r w:rsidRPr="006B23EC">
        <w:rPr>
          <w:rFonts w:ascii="Times New Roman" w:hAnsi="Times New Roman"/>
          <w:color w:val="000000"/>
          <w:sz w:val="20"/>
          <w:szCs w:val="20"/>
          <w:lang w:val="id-ID"/>
        </w:rPr>
        <w:t>86-100.</w:t>
      </w:r>
    </w:p>
    <w:p w14:paraId="2619F836"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Huang, X.Y., Hoop, </w:t>
      </w:r>
      <w:r w:rsidRPr="00763382">
        <w:rPr>
          <w:rFonts w:ascii="Times New Roman" w:hAnsi="Times New Roman"/>
          <w:sz w:val="20"/>
          <w:szCs w:val="20"/>
        </w:rPr>
        <w:t xml:space="preserve">C. F., </w:t>
      </w:r>
      <w:r w:rsidRPr="00763382">
        <w:rPr>
          <w:rFonts w:ascii="Times New Roman" w:hAnsi="Times New Roman"/>
          <w:sz w:val="20"/>
          <w:szCs w:val="20"/>
          <w:lang w:val="id-ID"/>
        </w:rPr>
        <w:t xml:space="preserve">Peng, </w:t>
      </w:r>
      <w:r w:rsidRPr="00763382">
        <w:rPr>
          <w:rFonts w:ascii="Times New Roman" w:hAnsi="Times New Roman"/>
          <w:sz w:val="20"/>
          <w:szCs w:val="20"/>
        </w:rPr>
        <w:t xml:space="preserve">X. P., </w:t>
      </w:r>
      <w:r w:rsidRPr="00763382">
        <w:rPr>
          <w:rFonts w:ascii="Times New Roman" w:hAnsi="Times New Roman"/>
          <w:sz w:val="20"/>
          <w:szCs w:val="20"/>
          <w:lang w:val="id-ID"/>
        </w:rPr>
        <w:t xml:space="preserve">Xie, </w:t>
      </w:r>
      <w:r w:rsidRPr="00763382">
        <w:rPr>
          <w:rFonts w:ascii="Times New Roman" w:hAnsi="Times New Roman"/>
          <w:sz w:val="20"/>
          <w:szCs w:val="20"/>
        </w:rPr>
        <w:t xml:space="preserve">J. L., </w:t>
      </w:r>
      <w:r w:rsidRPr="00763382">
        <w:rPr>
          <w:rFonts w:ascii="Times New Roman" w:hAnsi="Times New Roman"/>
          <w:sz w:val="20"/>
          <w:szCs w:val="20"/>
          <w:lang w:val="id-ID"/>
        </w:rPr>
        <w:t xml:space="preserve">Qi, </w:t>
      </w:r>
      <w:r w:rsidRPr="00763382">
        <w:rPr>
          <w:rFonts w:ascii="Times New Roman" w:hAnsi="Times New Roman"/>
          <w:sz w:val="20"/>
          <w:szCs w:val="20"/>
        </w:rPr>
        <w:t xml:space="preserve">J. Q., </w:t>
      </w:r>
      <w:r w:rsidRPr="00763382">
        <w:rPr>
          <w:rFonts w:ascii="Times New Roman" w:hAnsi="Times New Roman"/>
          <w:sz w:val="20"/>
          <w:szCs w:val="20"/>
          <w:lang w:val="id-ID"/>
        </w:rPr>
        <w:t xml:space="preserve">Jiang, </w:t>
      </w:r>
      <w:r w:rsidRPr="00763382">
        <w:rPr>
          <w:rFonts w:ascii="Times New Roman" w:hAnsi="Times New Roman"/>
          <w:sz w:val="20"/>
          <w:szCs w:val="20"/>
        </w:rPr>
        <w:t xml:space="preserve">Y. Z., </w:t>
      </w:r>
      <w:r w:rsidRPr="00763382">
        <w:rPr>
          <w:rFonts w:ascii="Times New Roman" w:hAnsi="Times New Roman"/>
          <w:sz w:val="20"/>
          <w:szCs w:val="20"/>
          <w:lang w:val="id-ID"/>
        </w:rPr>
        <w:t>Xiao</w:t>
      </w:r>
      <w:r w:rsidRPr="00763382">
        <w:rPr>
          <w:rFonts w:ascii="Times New Roman" w:hAnsi="Times New Roman"/>
          <w:sz w:val="20"/>
          <w:szCs w:val="20"/>
        </w:rPr>
        <w:t>, H.</w:t>
      </w:r>
      <w:r w:rsidRPr="00763382">
        <w:rPr>
          <w:rFonts w:ascii="Times New Roman" w:hAnsi="Times New Roman"/>
          <w:sz w:val="20"/>
          <w:szCs w:val="20"/>
          <w:lang w:val="id-ID"/>
        </w:rPr>
        <w:t xml:space="preserve"> and Nie</w:t>
      </w:r>
      <w:r w:rsidRPr="00763382">
        <w:rPr>
          <w:rFonts w:ascii="Times New Roman" w:hAnsi="Times New Roman"/>
          <w:sz w:val="20"/>
          <w:szCs w:val="20"/>
        </w:rPr>
        <w:t>, S. X.</w:t>
      </w:r>
      <w:r w:rsidRPr="00763382">
        <w:rPr>
          <w:rFonts w:ascii="Times New Roman" w:hAnsi="Times New Roman"/>
          <w:sz w:val="20"/>
          <w:szCs w:val="20"/>
          <w:lang w:val="id-ID"/>
        </w:rPr>
        <w:t xml:space="preserve"> </w:t>
      </w:r>
      <w:r w:rsidRPr="00763382">
        <w:rPr>
          <w:rFonts w:ascii="Times New Roman" w:hAnsi="Times New Roman"/>
          <w:sz w:val="20"/>
          <w:szCs w:val="20"/>
        </w:rPr>
        <w:t>(2018)</w:t>
      </w:r>
      <w:r w:rsidRPr="00763382">
        <w:rPr>
          <w:rFonts w:ascii="Times New Roman" w:hAnsi="Times New Roman"/>
          <w:sz w:val="20"/>
          <w:szCs w:val="20"/>
          <w:lang w:val="id-ID"/>
        </w:rPr>
        <w:t xml:space="preserve">. Thermal stability analysis of polyurethane foams made from microwave liquefaction bio-polyols with and without solid residue. </w:t>
      </w:r>
      <w:r w:rsidRPr="00763382">
        <w:rPr>
          <w:rFonts w:ascii="Times New Roman" w:hAnsi="Times New Roman"/>
          <w:i/>
          <w:sz w:val="20"/>
          <w:szCs w:val="20"/>
          <w:lang w:val="id-ID"/>
        </w:rPr>
        <w:t>BioResources</w:t>
      </w:r>
      <w:r w:rsidRPr="00763382">
        <w:rPr>
          <w:rFonts w:ascii="Times New Roman" w:hAnsi="Times New Roman"/>
          <w:sz w:val="20"/>
          <w:szCs w:val="20"/>
          <w:lang w:val="id-ID"/>
        </w:rPr>
        <w:t>, 13(2):</w:t>
      </w:r>
      <w:r w:rsidRPr="00763382">
        <w:rPr>
          <w:rFonts w:ascii="Times New Roman" w:hAnsi="Times New Roman"/>
          <w:sz w:val="20"/>
          <w:szCs w:val="20"/>
        </w:rPr>
        <w:t xml:space="preserve"> </w:t>
      </w:r>
      <w:r w:rsidRPr="00763382">
        <w:rPr>
          <w:rFonts w:ascii="Times New Roman" w:hAnsi="Times New Roman"/>
          <w:sz w:val="20"/>
          <w:szCs w:val="20"/>
          <w:lang w:val="id-ID"/>
        </w:rPr>
        <w:t xml:space="preserve">3346-3361. </w:t>
      </w:r>
    </w:p>
    <w:p w14:paraId="4D53F839"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Amares, S., Sujatmika, </w:t>
      </w:r>
      <w:r w:rsidRPr="00763382">
        <w:rPr>
          <w:rFonts w:ascii="Times New Roman" w:hAnsi="Times New Roman"/>
          <w:sz w:val="20"/>
          <w:szCs w:val="20"/>
        </w:rPr>
        <w:t xml:space="preserve">E., </w:t>
      </w:r>
      <w:r w:rsidRPr="00763382">
        <w:rPr>
          <w:rFonts w:ascii="Times New Roman" w:hAnsi="Times New Roman"/>
          <w:sz w:val="20"/>
          <w:szCs w:val="20"/>
          <w:lang w:val="id-ID"/>
        </w:rPr>
        <w:t xml:space="preserve">Hong, </w:t>
      </w:r>
      <w:r w:rsidRPr="00763382">
        <w:rPr>
          <w:rFonts w:ascii="Times New Roman" w:hAnsi="Times New Roman"/>
          <w:sz w:val="20"/>
          <w:szCs w:val="20"/>
        </w:rPr>
        <w:t xml:space="preserve">T. W., </w:t>
      </w:r>
      <w:r w:rsidRPr="00763382">
        <w:rPr>
          <w:rFonts w:ascii="Times New Roman" w:hAnsi="Times New Roman"/>
          <w:sz w:val="20"/>
          <w:szCs w:val="20"/>
          <w:lang w:val="id-ID"/>
        </w:rPr>
        <w:t>Durairaj</w:t>
      </w:r>
      <w:r w:rsidRPr="00763382">
        <w:rPr>
          <w:rFonts w:ascii="Times New Roman" w:hAnsi="Times New Roman"/>
          <w:sz w:val="20"/>
          <w:szCs w:val="20"/>
        </w:rPr>
        <w:t>, R.</w:t>
      </w:r>
      <w:r w:rsidRPr="00763382">
        <w:rPr>
          <w:rFonts w:ascii="Times New Roman" w:hAnsi="Times New Roman"/>
          <w:sz w:val="20"/>
          <w:szCs w:val="20"/>
          <w:lang w:val="id-ID"/>
        </w:rPr>
        <w:t xml:space="preserve"> and </w:t>
      </w:r>
      <w:r w:rsidRPr="00763382">
        <w:rPr>
          <w:rFonts w:ascii="Times New Roman" w:hAnsi="Times New Roman"/>
          <w:sz w:val="20"/>
          <w:szCs w:val="20"/>
        </w:rPr>
        <w:t xml:space="preserve">Hamid, </w:t>
      </w:r>
      <w:r w:rsidRPr="00763382">
        <w:rPr>
          <w:rFonts w:ascii="Times New Roman" w:hAnsi="Times New Roman"/>
          <w:sz w:val="20"/>
          <w:szCs w:val="20"/>
          <w:lang w:val="id-ID"/>
        </w:rPr>
        <w:t>H</w:t>
      </w:r>
      <w:r w:rsidRPr="00763382">
        <w:rPr>
          <w:rFonts w:ascii="Times New Roman" w:hAnsi="Times New Roman"/>
          <w:sz w:val="20"/>
          <w:szCs w:val="20"/>
        </w:rPr>
        <w:t>.</w:t>
      </w:r>
      <w:r w:rsidRPr="00763382">
        <w:rPr>
          <w:rFonts w:ascii="Times New Roman" w:hAnsi="Times New Roman"/>
          <w:sz w:val="20"/>
          <w:szCs w:val="20"/>
          <w:lang w:val="id-ID"/>
        </w:rPr>
        <w:t xml:space="preserve"> S</w:t>
      </w:r>
      <w:r w:rsidRPr="00763382">
        <w:rPr>
          <w:rFonts w:ascii="Times New Roman" w:hAnsi="Times New Roman"/>
          <w:sz w:val="20"/>
          <w:szCs w:val="20"/>
        </w:rPr>
        <w:t>.</w:t>
      </w:r>
      <w:r w:rsidRPr="00763382">
        <w:rPr>
          <w:rFonts w:ascii="Times New Roman" w:hAnsi="Times New Roman"/>
          <w:sz w:val="20"/>
          <w:szCs w:val="20"/>
          <w:lang w:val="id-ID"/>
        </w:rPr>
        <w:t xml:space="preserve"> H</w:t>
      </w:r>
      <w:r w:rsidRPr="00763382">
        <w:rPr>
          <w:rFonts w:ascii="Times New Roman" w:hAnsi="Times New Roman"/>
          <w:sz w:val="20"/>
          <w:szCs w:val="20"/>
        </w:rPr>
        <w:t>.</w:t>
      </w:r>
      <w:r w:rsidRPr="00763382">
        <w:rPr>
          <w:rFonts w:ascii="Times New Roman" w:hAnsi="Times New Roman"/>
          <w:sz w:val="20"/>
          <w:szCs w:val="20"/>
          <w:lang w:val="id-ID"/>
        </w:rPr>
        <w:t xml:space="preserve"> B</w:t>
      </w:r>
      <w:r w:rsidRPr="00763382">
        <w:rPr>
          <w:rFonts w:ascii="Times New Roman" w:hAnsi="Times New Roman"/>
          <w:sz w:val="20"/>
          <w:szCs w:val="20"/>
        </w:rPr>
        <w:t>.</w:t>
      </w:r>
      <w:r w:rsidRPr="00763382">
        <w:rPr>
          <w:rFonts w:ascii="Times New Roman" w:hAnsi="Times New Roman"/>
          <w:sz w:val="20"/>
          <w:szCs w:val="20"/>
          <w:lang w:val="id-ID"/>
        </w:rPr>
        <w:t xml:space="preserve"> </w:t>
      </w:r>
      <w:r w:rsidRPr="00763382">
        <w:rPr>
          <w:rFonts w:ascii="Times New Roman" w:eastAsia="Calibri" w:hAnsi="Times New Roman"/>
          <w:color w:val="000000"/>
          <w:sz w:val="20"/>
          <w:szCs w:val="20"/>
        </w:rPr>
        <w:t>(</w:t>
      </w:r>
      <w:r w:rsidRPr="00763382">
        <w:rPr>
          <w:rFonts w:ascii="Times New Roman" w:hAnsi="Times New Roman"/>
          <w:sz w:val="20"/>
          <w:szCs w:val="20"/>
        </w:rPr>
        <w:t>2017</w:t>
      </w:r>
      <w:r w:rsidRPr="00763382">
        <w:rPr>
          <w:rFonts w:ascii="Times New Roman" w:eastAsia="Calibri" w:hAnsi="Times New Roman"/>
          <w:color w:val="000000"/>
          <w:sz w:val="20"/>
          <w:szCs w:val="20"/>
        </w:rPr>
        <w:t>)</w:t>
      </w:r>
      <w:r w:rsidRPr="00763382">
        <w:rPr>
          <w:rFonts w:ascii="Times New Roman" w:hAnsi="Times New Roman"/>
          <w:sz w:val="20"/>
          <w:szCs w:val="20"/>
        </w:rPr>
        <w:t xml:space="preserve">. </w:t>
      </w:r>
      <w:r w:rsidRPr="00763382">
        <w:rPr>
          <w:rFonts w:ascii="Times New Roman" w:hAnsi="Times New Roman"/>
          <w:sz w:val="20"/>
          <w:szCs w:val="20"/>
          <w:lang w:val="id-ID"/>
        </w:rPr>
        <w:t>A review: characteristic of noise absorption material</w:t>
      </w:r>
      <w:r w:rsidRPr="00763382">
        <w:rPr>
          <w:rFonts w:ascii="Times New Roman" w:hAnsi="Times New Roman"/>
          <w:i/>
          <w:sz w:val="20"/>
          <w:szCs w:val="20"/>
          <w:lang w:val="id-ID"/>
        </w:rPr>
        <w:t>. IOP Conferences Series: Journal of Physics: Conferences Series</w:t>
      </w:r>
      <w:r w:rsidRPr="00763382">
        <w:rPr>
          <w:rFonts w:ascii="Times New Roman" w:hAnsi="Times New Roman"/>
          <w:sz w:val="20"/>
          <w:szCs w:val="20"/>
          <w:lang w:val="id-ID"/>
        </w:rPr>
        <w:t>,  908(2017):</w:t>
      </w:r>
      <w:r w:rsidRPr="00763382">
        <w:rPr>
          <w:rFonts w:ascii="Times New Roman" w:hAnsi="Times New Roman"/>
          <w:sz w:val="20"/>
          <w:szCs w:val="20"/>
        </w:rPr>
        <w:t xml:space="preserve"> </w:t>
      </w:r>
      <w:r w:rsidRPr="00763382">
        <w:rPr>
          <w:rFonts w:ascii="Times New Roman" w:hAnsi="Times New Roman"/>
          <w:sz w:val="20"/>
          <w:szCs w:val="20"/>
          <w:lang w:val="id-ID"/>
        </w:rPr>
        <w:t xml:space="preserve">012005. </w:t>
      </w:r>
    </w:p>
    <w:p w14:paraId="29667CEC"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Hassan, N. N. M. and Rus, A. Z. M. (2016).</w:t>
      </w:r>
      <w:r w:rsidRPr="00763382">
        <w:rPr>
          <w:rFonts w:ascii="Times New Roman" w:hAnsi="Times New Roman"/>
          <w:b/>
          <w:sz w:val="20"/>
          <w:szCs w:val="20"/>
        </w:rPr>
        <w:t xml:space="preserve"> </w:t>
      </w:r>
      <w:r w:rsidRPr="00763382">
        <w:rPr>
          <w:rFonts w:ascii="Times New Roman" w:hAnsi="Times New Roman"/>
          <w:sz w:val="20"/>
          <w:szCs w:val="20"/>
        </w:rPr>
        <w:t xml:space="preserve"> Influences of thickness and fabric for sound absorption</w:t>
      </w:r>
      <w:r w:rsidRPr="00763382">
        <w:rPr>
          <w:rFonts w:ascii="Times New Roman" w:hAnsi="Times New Roman"/>
          <w:sz w:val="20"/>
          <w:szCs w:val="20"/>
          <w:lang w:val="id-ID"/>
        </w:rPr>
        <w:t xml:space="preserve"> </w:t>
      </w:r>
      <w:r w:rsidRPr="00763382">
        <w:rPr>
          <w:rFonts w:ascii="Times New Roman" w:hAnsi="Times New Roman"/>
          <w:sz w:val="20"/>
          <w:szCs w:val="20"/>
        </w:rPr>
        <w:t xml:space="preserve">of biopolymer composite. </w:t>
      </w:r>
      <w:r w:rsidRPr="00763382">
        <w:rPr>
          <w:rFonts w:ascii="Times New Roman" w:hAnsi="Times New Roman"/>
          <w:i/>
          <w:iCs/>
          <w:sz w:val="20"/>
          <w:szCs w:val="20"/>
        </w:rPr>
        <w:t xml:space="preserve">Applied Mechanics and Materials, </w:t>
      </w:r>
      <w:r w:rsidRPr="00763382">
        <w:rPr>
          <w:rFonts w:ascii="Times New Roman" w:hAnsi="Times New Roman"/>
          <w:bCs/>
          <w:sz w:val="20"/>
          <w:szCs w:val="20"/>
        </w:rPr>
        <w:t>393</w:t>
      </w:r>
      <w:r w:rsidRPr="00763382">
        <w:rPr>
          <w:rFonts w:ascii="Times New Roman" w:hAnsi="Times New Roman"/>
          <w:sz w:val="20"/>
          <w:szCs w:val="20"/>
          <w:lang w:val="id-ID"/>
        </w:rPr>
        <w:t>(</w:t>
      </w:r>
      <w:r w:rsidRPr="00763382">
        <w:rPr>
          <w:rFonts w:ascii="Times New Roman" w:hAnsi="Times New Roman"/>
          <w:sz w:val="20"/>
          <w:szCs w:val="20"/>
        </w:rPr>
        <w:t>1</w:t>
      </w:r>
      <w:r w:rsidRPr="00763382">
        <w:rPr>
          <w:rFonts w:ascii="Times New Roman" w:hAnsi="Times New Roman"/>
          <w:sz w:val="20"/>
          <w:szCs w:val="20"/>
          <w:lang w:val="id-ID"/>
        </w:rPr>
        <w:t>):</w:t>
      </w:r>
      <w:r w:rsidRPr="00763382">
        <w:rPr>
          <w:rFonts w:ascii="Times New Roman" w:hAnsi="Times New Roman"/>
          <w:sz w:val="20"/>
          <w:szCs w:val="20"/>
        </w:rPr>
        <w:t xml:space="preserve"> 102-107</w:t>
      </w:r>
      <w:r w:rsidRPr="00763382">
        <w:rPr>
          <w:rFonts w:ascii="Times New Roman" w:hAnsi="Times New Roman"/>
          <w:sz w:val="20"/>
          <w:szCs w:val="20"/>
          <w:lang w:val="id-ID"/>
        </w:rPr>
        <w:t>.</w:t>
      </w:r>
      <w:r w:rsidRPr="00763382">
        <w:rPr>
          <w:rFonts w:ascii="Times New Roman" w:hAnsi="Times New Roman"/>
          <w:szCs w:val="20"/>
        </w:rPr>
        <w:t xml:space="preserve">   </w:t>
      </w:r>
    </w:p>
    <w:p w14:paraId="5716DFCC" w14:textId="634326C9" w:rsidR="006D58BC" w:rsidRPr="006D58BC" w:rsidRDefault="006D58BC" w:rsidP="006D58BC">
      <w:pPr>
        <w:widowControl w:val="0"/>
        <w:spacing w:after="0"/>
        <w:jc w:val="both"/>
        <w:rPr>
          <w:rFonts w:ascii="Times New Roman" w:hAnsi="Times New Roman"/>
          <w:color w:val="000000" w:themeColor="text1"/>
          <w:sz w:val="20"/>
          <w:szCs w:val="20"/>
        </w:rPr>
        <w:sectPr w:rsidR="006D58BC" w:rsidRPr="006D58BC" w:rsidSect="000A775C">
          <w:footerReference w:type="default" r:id="rId60"/>
          <w:type w:val="oddPage"/>
          <w:pgSz w:w="12240" w:h="15840" w:code="1"/>
          <w:pgMar w:top="1800" w:right="1469" w:bottom="1699" w:left="1440" w:header="706" w:footer="706" w:gutter="0"/>
          <w:pgNumType w:start="0"/>
          <w:cols w:num="2" w:space="708"/>
          <w:docGrid w:linePitch="360"/>
        </w:sectPr>
      </w:pPr>
    </w:p>
    <w:p w14:paraId="0618E96A" w14:textId="6B31BA65" w:rsidR="0003652B" w:rsidRPr="0003652B" w:rsidRDefault="0003652B" w:rsidP="0003652B">
      <w:pPr>
        <w:pStyle w:val="ListParagraph"/>
        <w:widowControl w:val="0"/>
        <w:numPr>
          <w:ilvl w:val="0"/>
          <w:numId w:val="5"/>
        </w:numPr>
        <w:spacing w:after="0"/>
        <w:contextualSpacing w:val="0"/>
        <w:jc w:val="both"/>
        <w:rPr>
          <w:rFonts w:ascii="Times New Roman" w:hAnsi="Times New Roman"/>
          <w:color w:val="000000" w:themeColor="text1"/>
          <w:sz w:val="20"/>
          <w:szCs w:val="20"/>
        </w:rPr>
        <w:sectPr w:rsidR="0003652B" w:rsidRPr="0003652B" w:rsidSect="0003652B">
          <w:type w:val="continuous"/>
          <w:pgSz w:w="12240" w:h="15840" w:code="1"/>
          <w:pgMar w:top="1800" w:right="1469" w:bottom="1699" w:left="1440" w:header="706" w:footer="706" w:gutter="0"/>
          <w:pgNumType w:start="0"/>
          <w:cols w:space="708"/>
          <w:docGrid w:linePitch="360"/>
        </w:sectPr>
      </w:pPr>
    </w:p>
    <w:p w14:paraId="1327C46F" w14:textId="77777777" w:rsidR="002E7B28" w:rsidRDefault="002E7B28" w:rsidP="002E7B28">
      <w:pPr>
        <w:widowControl w:val="0"/>
        <w:spacing w:after="0"/>
        <w:jc w:val="both"/>
        <w:rPr>
          <w:rFonts w:ascii="Times New Roman" w:hAnsi="Times New Roman"/>
          <w:color w:val="000000" w:themeColor="text1"/>
          <w:sz w:val="20"/>
          <w:szCs w:val="20"/>
        </w:rPr>
        <w:sectPr w:rsidR="002E7B28" w:rsidSect="0003652B">
          <w:type w:val="continuous"/>
          <w:pgSz w:w="12240" w:h="15840" w:code="1"/>
          <w:pgMar w:top="1800" w:right="1469" w:bottom="1699" w:left="1440" w:header="706" w:footer="706" w:gutter="0"/>
          <w:pgNumType w:start="0"/>
          <w:cols w:space="708"/>
          <w:docGrid w:linePitch="360"/>
        </w:sectPr>
      </w:pPr>
    </w:p>
    <w:p w14:paraId="1A402539" w14:textId="20E5BC0D" w:rsidR="002E7B28" w:rsidRPr="002E7B28" w:rsidRDefault="002E7B28" w:rsidP="002E7B28">
      <w:pPr>
        <w:widowControl w:val="0"/>
        <w:spacing w:after="0"/>
        <w:jc w:val="both"/>
        <w:rPr>
          <w:rFonts w:ascii="Times New Roman" w:hAnsi="Times New Roman"/>
          <w:color w:val="000000" w:themeColor="text1"/>
          <w:sz w:val="20"/>
          <w:szCs w:val="20"/>
        </w:rPr>
        <w:sectPr w:rsidR="002E7B28" w:rsidRPr="002E7B28" w:rsidSect="002E7B28">
          <w:type w:val="continuous"/>
          <w:pgSz w:w="12240" w:h="15840" w:code="1"/>
          <w:pgMar w:top="1800" w:right="1469" w:bottom="1699" w:left="1440" w:header="706" w:footer="706" w:gutter="0"/>
          <w:pgNumType w:start="0"/>
          <w:cols w:space="403"/>
          <w:docGrid w:linePitch="360"/>
        </w:sectPr>
      </w:pPr>
    </w:p>
    <w:p w14:paraId="01242FCA" w14:textId="77777777" w:rsidR="006D13FA" w:rsidRDefault="006D13FA" w:rsidP="00F16C65">
      <w:pPr>
        <w:spacing w:after="0"/>
        <w:jc w:val="both"/>
        <w:rPr>
          <w:rFonts w:ascii="Times New Roman" w:hAnsi="Times New Roman"/>
          <w:b/>
          <w:color w:val="000000" w:themeColor="text1"/>
          <w:sz w:val="20"/>
          <w:szCs w:val="20"/>
        </w:rPr>
        <w:sectPr w:rsidR="006D13FA" w:rsidSect="00F13162">
          <w:type w:val="continuous"/>
          <w:pgSz w:w="12240" w:h="15840" w:code="1"/>
          <w:pgMar w:top="1800" w:right="1469" w:bottom="1699" w:left="1440" w:header="706" w:footer="706" w:gutter="0"/>
          <w:pgNumType w:start="0"/>
          <w:cols w:space="708"/>
          <w:docGrid w:linePitch="360"/>
        </w:sectPr>
      </w:pPr>
    </w:p>
    <w:p w14:paraId="23997EE6" w14:textId="1EE9E764" w:rsidR="00DE04C2" w:rsidRDefault="00DE04C2" w:rsidP="00DE04C2">
      <w:pPr>
        <w:spacing w:after="0"/>
        <w:jc w:val="both"/>
        <w:rPr>
          <w:rFonts w:ascii="Times New Roman" w:hAnsi="Times New Roman"/>
          <w:sz w:val="20"/>
          <w:szCs w:val="20"/>
          <w:lang w:val="id-ID"/>
        </w:rPr>
      </w:pPr>
    </w:p>
    <w:p w14:paraId="0E5EB316" w14:textId="77777777" w:rsidR="00DE04C2" w:rsidRPr="00DE04C2" w:rsidRDefault="00DE04C2" w:rsidP="00DE04C2">
      <w:pPr>
        <w:spacing w:after="0"/>
        <w:jc w:val="both"/>
        <w:rPr>
          <w:rFonts w:ascii="Times New Roman" w:hAnsi="Times New Roman"/>
          <w:sz w:val="20"/>
          <w:szCs w:val="20"/>
          <w:lang w:val="id-ID"/>
        </w:rPr>
      </w:pPr>
    </w:p>
    <w:p w14:paraId="23040F88" w14:textId="77777777" w:rsidR="00DE04C2" w:rsidRPr="00587783" w:rsidRDefault="00DE04C2" w:rsidP="00A35C3D">
      <w:pPr>
        <w:spacing w:after="0"/>
        <w:jc w:val="both"/>
        <w:rPr>
          <w:rFonts w:ascii="Times New Roman" w:hAnsi="Times New Roman"/>
          <w:noProof/>
          <w:color w:val="000000" w:themeColor="text1"/>
          <w:sz w:val="20"/>
          <w:szCs w:val="20"/>
        </w:rPr>
      </w:pPr>
    </w:p>
    <w:p w14:paraId="0A154C3A" w14:textId="77777777" w:rsidR="00A35C3D" w:rsidRPr="00587783" w:rsidRDefault="00A35C3D" w:rsidP="00587783">
      <w:pPr>
        <w:spacing w:after="0"/>
        <w:jc w:val="both"/>
        <w:outlineLvl w:val="0"/>
        <w:rPr>
          <w:rFonts w:ascii="Times New Roman" w:hAnsi="Times New Roman"/>
          <w:sz w:val="20"/>
          <w:szCs w:val="20"/>
        </w:rPr>
      </w:pPr>
    </w:p>
    <w:p w14:paraId="644A1BD1" w14:textId="77777777" w:rsidR="006D13FA" w:rsidRDefault="006D13FA" w:rsidP="003335CD">
      <w:pPr>
        <w:spacing w:after="0"/>
        <w:jc w:val="center"/>
        <w:rPr>
          <w:rFonts w:ascii="Times New Roman" w:hAnsi="Times New Roman"/>
          <w:b/>
          <w:noProof/>
          <w:sz w:val="20"/>
          <w:szCs w:val="20"/>
          <w:lang w:bidi="ar-SA"/>
        </w:rPr>
        <w:sectPr w:rsidR="006D13FA" w:rsidSect="006D13FA">
          <w:type w:val="continuous"/>
          <w:pgSz w:w="12240" w:h="15840" w:code="1"/>
          <w:pgMar w:top="1800" w:right="1469" w:bottom="1699" w:left="1440" w:header="706" w:footer="706" w:gutter="0"/>
          <w:pgNumType w:start="0"/>
          <w:cols w:num="2" w:space="403"/>
          <w:docGrid w:linePitch="360"/>
        </w:sectPr>
      </w:pPr>
    </w:p>
    <w:p w14:paraId="57999643" w14:textId="77777777" w:rsidR="003335CD" w:rsidRDefault="003335CD" w:rsidP="003335CD">
      <w:pPr>
        <w:spacing w:after="0"/>
        <w:jc w:val="center"/>
        <w:rPr>
          <w:rFonts w:ascii="Times New Roman" w:hAnsi="Times New Roman"/>
          <w:b/>
          <w:noProof/>
          <w:sz w:val="20"/>
          <w:szCs w:val="20"/>
          <w:lang w:bidi="ar-SA"/>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43AD231F" w14:textId="1DF5CF28" w:rsidR="00A74A7E" w:rsidRDefault="00A74A7E" w:rsidP="00383C16">
      <w:pPr>
        <w:spacing w:after="0"/>
        <w:jc w:val="both"/>
        <w:rPr>
          <w:rFonts w:ascii="Times New Roman" w:hAnsi="Times New Roman"/>
          <w:noProof/>
          <w:sz w:val="20"/>
          <w:szCs w:val="20"/>
          <w:lang w:bidi="ar-SA"/>
        </w:rPr>
      </w:pPr>
    </w:p>
    <w:p w14:paraId="7A190380" w14:textId="2CA83AC4" w:rsidR="004D546E" w:rsidRDefault="004D546E" w:rsidP="00383C16">
      <w:pPr>
        <w:spacing w:after="0"/>
        <w:jc w:val="both"/>
        <w:rPr>
          <w:rFonts w:ascii="Times New Roman" w:hAnsi="Times New Roman"/>
          <w:noProof/>
          <w:sz w:val="20"/>
          <w:szCs w:val="20"/>
          <w:lang w:bidi="ar-SA"/>
        </w:rPr>
      </w:pPr>
    </w:p>
    <w:p w14:paraId="743BA18C" w14:textId="77777777" w:rsidR="004D546E" w:rsidRPr="00EB1E77" w:rsidRDefault="004D546E" w:rsidP="004D546E">
      <w:pPr>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F1316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5579D367"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sidR="00680EF6">
      <w:rPr>
        <w:rFonts w:ascii="Times New Roman" w:hAnsi="Times New Roman"/>
        <w:lang w:val="en-US"/>
      </w:rPr>
      <w:t>78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8874" w14:textId="4E27F0A5" w:rsidR="006D58BC"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87</w:t>
    </w:r>
    <w:r w:rsidR="006D58BC" w:rsidRPr="0069547D">
      <w:rPr>
        <w:rFonts w:ascii="Times New Roman" w:hAnsi="Times New Roman"/>
        <w:noProof/>
        <w:lang w:val="en-US"/>
      </w:rPr>
      <w:ptab w:relativeTo="margin" w:alignment="center" w:leader="none"/>
    </w:r>
    <w:r w:rsidR="006D58BC"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4848" w14:textId="71CFEA90"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5</w:t>
    </w:r>
    <w:r>
      <w:rPr>
        <w:rFonts w:ascii="Times New Roman" w:hAnsi="Times New Roman"/>
        <w:lang w:val="en-US"/>
      </w:rPr>
      <w:t>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D104" w14:textId="58D384D4" w:rsidR="00DF20C4" w:rsidRDefault="00DF20C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E209A">
      <w:rPr>
        <w:rFonts w:ascii="Times New Roman" w:hAnsi="Times New Roman"/>
        <w:lang w:val="en-US"/>
      </w:rPr>
      <w:t>488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1EDC" w14:textId="0842DB81" w:rsidR="003D569A" w:rsidRDefault="003D569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E209A">
      <w:rPr>
        <w:rFonts w:ascii="Times New Roman" w:hAnsi="Times New Roman"/>
        <w:lang w:val="en-US"/>
      </w:rPr>
      <w:t>490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4622" w14:textId="1676F34B" w:rsidR="006D58BC" w:rsidRPr="004B43FF" w:rsidRDefault="001E209A">
    <w:pPr>
      <w:pStyle w:val="Footer"/>
      <w:rPr>
        <w:rFonts w:ascii="Times New Roman" w:hAnsi="Times New Roman"/>
        <w:lang w:val="en-US"/>
      </w:rPr>
    </w:pPr>
    <w:r>
      <w:rPr>
        <w:rFonts w:ascii="Times New Roman" w:hAnsi="Times New Roman"/>
        <w:noProof/>
        <w:lang w:val="en-US"/>
      </w:rPr>
      <w:t>489</w:t>
    </w:r>
    <w:r w:rsidR="006D58BC" w:rsidRPr="0069547D">
      <w:rPr>
        <w:rFonts w:ascii="Times New Roman" w:hAnsi="Times New Roman"/>
        <w:noProof/>
        <w:lang w:val="en-US"/>
      </w:rPr>
      <w:ptab w:relativeTo="margin" w:alignment="center" w:leader="none"/>
    </w:r>
    <w:r w:rsidR="006D58BC"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F83D" w14:textId="5ADBAE22" w:rsidR="002A0357" w:rsidRPr="004B43FF" w:rsidRDefault="001E209A">
    <w:pPr>
      <w:pStyle w:val="Footer"/>
      <w:rPr>
        <w:rFonts w:ascii="Times New Roman" w:hAnsi="Times New Roman"/>
        <w:lang w:val="en-US"/>
      </w:rPr>
    </w:pPr>
    <w:r>
      <w:rPr>
        <w:rFonts w:ascii="Times New Roman" w:hAnsi="Times New Roman"/>
        <w:noProof/>
        <w:lang w:val="en-US"/>
      </w:rPr>
      <w:t>491</w:t>
    </w:r>
    <w:r w:rsidR="002A0357" w:rsidRPr="0069547D">
      <w:rPr>
        <w:rFonts w:ascii="Times New Roman" w:hAnsi="Times New Roman"/>
        <w:noProof/>
        <w:lang w:val="en-US"/>
      </w:rPr>
      <w:ptab w:relativeTo="margin" w:alignment="center" w:leader="none"/>
    </w:r>
    <w:r w:rsidR="002A0357"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7F3A7039" w:rsidR="00D75B35"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79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5E81" w14:textId="4B84FA3C" w:rsidR="008C67D6" w:rsidRDefault="008C67D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sidR="001E209A">
      <w:rPr>
        <w:rFonts w:ascii="Times New Roman" w:hAnsi="Times New Roman"/>
        <w:lang w:val="en-US"/>
      </w:rPr>
      <w:t>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06B6" w14:textId="75A185B6" w:rsidR="008C67D6"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81</w:t>
    </w:r>
    <w:r w:rsidR="008C67D6" w:rsidRPr="0069547D">
      <w:rPr>
        <w:rFonts w:ascii="Times New Roman" w:hAnsi="Times New Roman"/>
        <w:noProof/>
        <w:lang w:val="en-US"/>
      </w:rPr>
      <w:ptab w:relativeTo="margin" w:alignment="center" w:leader="none"/>
    </w:r>
    <w:r w:rsidR="008C67D6"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E934" w14:textId="069FDD62" w:rsidR="008C67D6" w:rsidRDefault="008C67D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sidR="001E209A">
      <w:rPr>
        <w:rFonts w:ascii="Times New Roman" w:hAnsi="Times New Roman"/>
        <w:lang w:val="en-US"/>
      </w:rPr>
      <w:t>82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57B5" w14:textId="5C66CE6F"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sidR="001E209A">
      <w:rPr>
        <w:rFonts w:ascii="Times New Roman" w:hAnsi="Times New Roman"/>
        <w:lang w:val="en-US"/>
      </w:rPr>
      <w:t>84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D3D1" w14:textId="3CB8AF23" w:rsidR="008C67D6"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83</w:t>
    </w:r>
    <w:r w:rsidR="008C67D6" w:rsidRPr="0069547D">
      <w:rPr>
        <w:rFonts w:ascii="Times New Roman" w:hAnsi="Times New Roman"/>
        <w:noProof/>
        <w:lang w:val="en-US"/>
      </w:rPr>
      <w:ptab w:relativeTo="margin" w:alignment="center" w:leader="none"/>
    </w:r>
    <w:r w:rsidR="008C67D6"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F5AA" w14:textId="3098EA35" w:rsidR="006D58BC"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85</w:t>
    </w:r>
    <w:r w:rsidR="006D58BC" w:rsidRPr="0069547D">
      <w:rPr>
        <w:rFonts w:ascii="Times New Roman" w:hAnsi="Times New Roman"/>
        <w:noProof/>
        <w:lang w:val="en-US"/>
      </w:rPr>
      <w:ptab w:relativeTo="margin" w:alignment="center" w:leader="none"/>
    </w:r>
    <w:r w:rsidR="006D58BC"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B4EF" w14:textId="755DC898"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Pr>
        <w:rFonts w:ascii="Times New Roman" w:hAnsi="Times New Roman"/>
        <w:lang w:val="en-US"/>
      </w:rPr>
      <w:t>8</w:t>
    </w:r>
    <w:r w:rsidR="001E209A">
      <w:rPr>
        <w:rFonts w:ascii="Times New Roman" w:hAnsi="Times New Roman"/>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22C88908"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B138FC">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DF20C4">
      <w:rPr>
        <w:rFonts w:ascii="Times New Roman" w:hAnsi="Times New Roman"/>
        <w:i/>
        <w:lang w:val="en-US"/>
      </w:rPr>
      <w:t>4</w:t>
    </w:r>
    <w:r w:rsidR="00680EF6">
      <w:rPr>
        <w:rFonts w:ascii="Times New Roman" w:hAnsi="Times New Roman"/>
        <w:i/>
        <w:lang w:val="en-US"/>
      </w:rPr>
      <w:t>78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1E209A">
      <w:rPr>
        <w:rFonts w:ascii="Times New Roman" w:hAnsi="Times New Roman"/>
        <w:i/>
        <w:lang w:val="en-US"/>
      </w:rPr>
      <w:t>491</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ACCC" w14:textId="0D106CC7" w:rsidR="00FB3AA9" w:rsidRPr="00FB3AA9" w:rsidRDefault="00FB3AA9" w:rsidP="00FB3AA9">
    <w:pPr>
      <w:pStyle w:val="Title"/>
      <w:spacing w:line="276" w:lineRule="auto"/>
      <w:ind w:left="1260" w:hanging="1260"/>
      <w:contextualSpacing w:val="0"/>
      <w:jc w:val="left"/>
      <w:rPr>
        <w:b/>
        <w:bCs/>
        <w:color w:val="000000" w:themeColor="text1"/>
        <w:sz w:val="20"/>
        <w:szCs w:val="20"/>
      </w:rPr>
    </w:pPr>
    <w:r>
      <w:rPr>
        <w:caps w:val="0"/>
        <w:sz w:val="20"/>
        <w:szCs w:val="20"/>
        <w:lang w:val="en-US"/>
      </w:rPr>
      <w:t>Herlina et al</w:t>
    </w:r>
    <w:r w:rsidR="00A37A74" w:rsidRPr="00FB3AA9">
      <w:rPr>
        <w:sz w:val="20"/>
        <w:szCs w:val="20"/>
        <w:lang w:val="en-US"/>
      </w:rPr>
      <w:t xml:space="preserve">:    </w:t>
    </w:r>
    <w:r w:rsidRPr="00FB3AA9">
      <w:rPr>
        <w:color w:val="000000" w:themeColor="text1"/>
        <w:sz w:val="20"/>
        <w:szCs w:val="20"/>
      </w:rPr>
      <w:t>IMPROVING THE MORPHOLOGICAL, THERMAL, AND ACOUSTICS PROPERTIES OF POLYURETHANE-UREA BIOFOAM USING INDUSTRIAL PLYWOOD SAWDUST WASTE</w:t>
    </w:r>
  </w:p>
  <w:p w14:paraId="652E6EB3" w14:textId="6E0BB9DD" w:rsidR="00D75B35" w:rsidRPr="00B75BF6" w:rsidRDefault="00D75B35" w:rsidP="00CB59E0">
    <w:pPr>
      <w:pStyle w:val="Header"/>
      <w:ind w:left="1170" w:hanging="1170"/>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41432"/>
    <w:multiLevelType w:val="hybridMultilevel"/>
    <w:tmpl w:val="60449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F52EA"/>
    <w:multiLevelType w:val="hybridMultilevel"/>
    <w:tmpl w:val="5F64EA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44F2E5A"/>
    <w:multiLevelType w:val="hybridMultilevel"/>
    <w:tmpl w:val="1C8ED814"/>
    <w:lvl w:ilvl="0" w:tplc="335CD1E0">
      <w:start w:val="1"/>
      <w:numFmt w:val="decimal"/>
      <w:lvlText w:val="[%1]"/>
      <w:lvlJc w:val="left"/>
      <w:pPr>
        <w:ind w:left="720" w:hanging="360"/>
      </w:pPr>
      <w:rPr>
        <w:rFonts w:ascii="Times New Roman" w:eastAsia="Times New Roman" w:hAnsi="Times New Roman" w:cs="Times New Roman" w:hint="default"/>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62F17DE3"/>
    <w:multiLevelType w:val="hybridMultilevel"/>
    <w:tmpl w:val="0B32DE8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E5D47"/>
    <w:multiLevelType w:val="hybridMultilevel"/>
    <w:tmpl w:val="84484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2"/>
  </w:num>
  <w:num w:numId="3" w16cid:durableId="2070222787">
    <w:abstractNumId w:val="7"/>
  </w:num>
  <w:num w:numId="4" w16cid:durableId="865169543">
    <w:abstractNumId w:val="0"/>
  </w:num>
  <w:num w:numId="5" w16cid:durableId="719406391">
    <w:abstractNumId w:val="5"/>
  </w:num>
  <w:num w:numId="6" w16cid:durableId="427191039">
    <w:abstractNumId w:val="6"/>
  </w:num>
  <w:num w:numId="7" w16cid:durableId="324360862">
    <w:abstractNumId w:val="3"/>
  </w:num>
  <w:num w:numId="8" w16cid:durableId="2083333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3652B"/>
    <w:rsid w:val="00037734"/>
    <w:rsid w:val="000566DF"/>
    <w:rsid w:val="00060413"/>
    <w:rsid w:val="00070690"/>
    <w:rsid w:val="00084936"/>
    <w:rsid w:val="000944A8"/>
    <w:rsid w:val="000A775C"/>
    <w:rsid w:val="000C49FF"/>
    <w:rsid w:val="000C5261"/>
    <w:rsid w:val="000E5AF1"/>
    <w:rsid w:val="000F77DA"/>
    <w:rsid w:val="00100BA2"/>
    <w:rsid w:val="001068E8"/>
    <w:rsid w:val="00117BCD"/>
    <w:rsid w:val="00181943"/>
    <w:rsid w:val="001B0F9D"/>
    <w:rsid w:val="001C2C66"/>
    <w:rsid w:val="001D035A"/>
    <w:rsid w:val="001D3855"/>
    <w:rsid w:val="001D6F2C"/>
    <w:rsid w:val="001E209A"/>
    <w:rsid w:val="001F72B9"/>
    <w:rsid w:val="002004F5"/>
    <w:rsid w:val="00221D39"/>
    <w:rsid w:val="00266993"/>
    <w:rsid w:val="002752F0"/>
    <w:rsid w:val="002867F0"/>
    <w:rsid w:val="0029079C"/>
    <w:rsid w:val="002A0357"/>
    <w:rsid w:val="002A4B4B"/>
    <w:rsid w:val="002B188F"/>
    <w:rsid w:val="002B3BD8"/>
    <w:rsid w:val="002D60AE"/>
    <w:rsid w:val="002E7B28"/>
    <w:rsid w:val="002F0EDB"/>
    <w:rsid w:val="002F3F91"/>
    <w:rsid w:val="002F4E6E"/>
    <w:rsid w:val="00304767"/>
    <w:rsid w:val="00304B34"/>
    <w:rsid w:val="00312C0E"/>
    <w:rsid w:val="003335CD"/>
    <w:rsid w:val="00345738"/>
    <w:rsid w:val="00361BAF"/>
    <w:rsid w:val="0036379A"/>
    <w:rsid w:val="00367D1F"/>
    <w:rsid w:val="00373A9B"/>
    <w:rsid w:val="0038323C"/>
    <w:rsid w:val="00383C16"/>
    <w:rsid w:val="00383F26"/>
    <w:rsid w:val="0038729A"/>
    <w:rsid w:val="0039005B"/>
    <w:rsid w:val="003B0AC0"/>
    <w:rsid w:val="003D569A"/>
    <w:rsid w:val="003D585B"/>
    <w:rsid w:val="003E6A4C"/>
    <w:rsid w:val="003E7DA6"/>
    <w:rsid w:val="003F12FF"/>
    <w:rsid w:val="00417DC5"/>
    <w:rsid w:val="00420074"/>
    <w:rsid w:val="004760D4"/>
    <w:rsid w:val="00494C46"/>
    <w:rsid w:val="004A1191"/>
    <w:rsid w:val="004A12DD"/>
    <w:rsid w:val="004A3183"/>
    <w:rsid w:val="004B43FF"/>
    <w:rsid w:val="004D546E"/>
    <w:rsid w:val="004E1231"/>
    <w:rsid w:val="00502641"/>
    <w:rsid w:val="0050604E"/>
    <w:rsid w:val="00510BA6"/>
    <w:rsid w:val="00512D4F"/>
    <w:rsid w:val="00534441"/>
    <w:rsid w:val="00542CFC"/>
    <w:rsid w:val="00545363"/>
    <w:rsid w:val="0055400A"/>
    <w:rsid w:val="00567D9E"/>
    <w:rsid w:val="00583C85"/>
    <w:rsid w:val="00584156"/>
    <w:rsid w:val="00587783"/>
    <w:rsid w:val="00590E9D"/>
    <w:rsid w:val="005C63AA"/>
    <w:rsid w:val="005C6768"/>
    <w:rsid w:val="005D3BF9"/>
    <w:rsid w:val="00624C7C"/>
    <w:rsid w:val="0063144D"/>
    <w:rsid w:val="00634C25"/>
    <w:rsid w:val="006416AB"/>
    <w:rsid w:val="00672075"/>
    <w:rsid w:val="006768E9"/>
    <w:rsid w:val="00680EF6"/>
    <w:rsid w:val="00687982"/>
    <w:rsid w:val="0069547D"/>
    <w:rsid w:val="00695D0E"/>
    <w:rsid w:val="006A3A0F"/>
    <w:rsid w:val="006B23EC"/>
    <w:rsid w:val="006B3EC8"/>
    <w:rsid w:val="006C412F"/>
    <w:rsid w:val="006D13FA"/>
    <w:rsid w:val="006D58BC"/>
    <w:rsid w:val="006D695E"/>
    <w:rsid w:val="00725A6A"/>
    <w:rsid w:val="00730CB3"/>
    <w:rsid w:val="00735444"/>
    <w:rsid w:val="00752360"/>
    <w:rsid w:val="00763382"/>
    <w:rsid w:val="007703FE"/>
    <w:rsid w:val="007859BE"/>
    <w:rsid w:val="007943F3"/>
    <w:rsid w:val="00797144"/>
    <w:rsid w:val="007A738C"/>
    <w:rsid w:val="007B1349"/>
    <w:rsid w:val="007C7480"/>
    <w:rsid w:val="007E25BD"/>
    <w:rsid w:val="007F4ECC"/>
    <w:rsid w:val="00801E18"/>
    <w:rsid w:val="00802C35"/>
    <w:rsid w:val="00816289"/>
    <w:rsid w:val="0082181A"/>
    <w:rsid w:val="00840CA8"/>
    <w:rsid w:val="0086622B"/>
    <w:rsid w:val="00887CB3"/>
    <w:rsid w:val="008B02C7"/>
    <w:rsid w:val="008B470E"/>
    <w:rsid w:val="008C14D6"/>
    <w:rsid w:val="008C67D6"/>
    <w:rsid w:val="008E1211"/>
    <w:rsid w:val="008E5BBF"/>
    <w:rsid w:val="008E6968"/>
    <w:rsid w:val="008F2DC2"/>
    <w:rsid w:val="009110FB"/>
    <w:rsid w:val="00917637"/>
    <w:rsid w:val="00917A23"/>
    <w:rsid w:val="009555B5"/>
    <w:rsid w:val="009616DE"/>
    <w:rsid w:val="00975FE1"/>
    <w:rsid w:val="00992776"/>
    <w:rsid w:val="00A03BCE"/>
    <w:rsid w:val="00A14DB9"/>
    <w:rsid w:val="00A35C3D"/>
    <w:rsid w:val="00A37A74"/>
    <w:rsid w:val="00A4762A"/>
    <w:rsid w:val="00A74A7E"/>
    <w:rsid w:val="00A87399"/>
    <w:rsid w:val="00AA7D6B"/>
    <w:rsid w:val="00AD1B8A"/>
    <w:rsid w:val="00AD76AF"/>
    <w:rsid w:val="00AE713F"/>
    <w:rsid w:val="00AF722D"/>
    <w:rsid w:val="00B1121C"/>
    <w:rsid w:val="00B138FC"/>
    <w:rsid w:val="00B21436"/>
    <w:rsid w:val="00B25B65"/>
    <w:rsid w:val="00B2770A"/>
    <w:rsid w:val="00B314AD"/>
    <w:rsid w:val="00B36193"/>
    <w:rsid w:val="00B7255A"/>
    <w:rsid w:val="00B75BF6"/>
    <w:rsid w:val="00B814F9"/>
    <w:rsid w:val="00B95E42"/>
    <w:rsid w:val="00BA1F7B"/>
    <w:rsid w:val="00BB223B"/>
    <w:rsid w:val="00BB58AF"/>
    <w:rsid w:val="00BD2480"/>
    <w:rsid w:val="00BD29D0"/>
    <w:rsid w:val="00BE2D36"/>
    <w:rsid w:val="00BE7C30"/>
    <w:rsid w:val="00C055BF"/>
    <w:rsid w:val="00C0599E"/>
    <w:rsid w:val="00C0756D"/>
    <w:rsid w:val="00C13E38"/>
    <w:rsid w:val="00C141CE"/>
    <w:rsid w:val="00C174E7"/>
    <w:rsid w:val="00C2226A"/>
    <w:rsid w:val="00C42066"/>
    <w:rsid w:val="00C80273"/>
    <w:rsid w:val="00C8242B"/>
    <w:rsid w:val="00C943DD"/>
    <w:rsid w:val="00C94D92"/>
    <w:rsid w:val="00C97340"/>
    <w:rsid w:val="00CA2E2F"/>
    <w:rsid w:val="00CA513F"/>
    <w:rsid w:val="00CB59E0"/>
    <w:rsid w:val="00CC6D67"/>
    <w:rsid w:val="00CD2A59"/>
    <w:rsid w:val="00CD41CA"/>
    <w:rsid w:val="00CF05FF"/>
    <w:rsid w:val="00D33D1A"/>
    <w:rsid w:val="00D340BB"/>
    <w:rsid w:val="00D348AF"/>
    <w:rsid w:val="00D462E8"/>
    <w:rsid w:val="00D505D5"/>
    <w:rsid w:val="00D63C28"/>
    <w:rsid w:val="00D75B35"/>
    <w:rsid w:val="00D76E09"/>
    <w:rsid w:val="00D9736F"/>
    <w:rsid w:val="00D97773"/>
    <w:rsid w:val="00D9792A"/>
    <w:rsid w:val="00DC34C3"/>
    <w:rsid w:val="00DD377F"/>
    <w:rsid w:val="00DE04C2"/>
    <w:rsid w:val="00DF20C4"/>
    <w:rsid w:val="00E10818"/>
    <w:rsid w:val="00E156A2"/>
    <w:rsid w:val="00E17493"/>
    <w:rsid w:val="00E229C4"/>
    <w:rsid w:val="00E243DC"/>
    <w:rsid w:val="00E25547"/>
    <w:rsid w:val="00E2773B"/>
    <w:rsid w:val="00E3287E"/>
    <w:rsid w:val="00E429D7"/>
    <w:rsid w:val="00E66197"/>
    <w:rsid w:val="00E95DB4"/>
    <w:rsid w:val="00E9669B"/>
    <w:rsid w:val="00EB5BA5"/>
    <w:rsid w:val="00EF4195"/>
    <w:rsid w:val="00EF7405"/>
    <w:rsid w:val="00F13162"/>
    <w:rsid w:val="00F16C65"/>
    <w:rsid w:val="00F202C3"/>
    <w:rsid w:val="00F23D94"/>
    <w:rsid w:val="00F307D5"/>
    <w:rsid w:val="00F31093"/>
    <w:rsid w:val="00F412AF"/>
    <w:rsid w:val="00F43667"/>
    <w:rsid w:val="00F447A7"/>
    <w:rsid w:val="00F467A2"/>
    <w:rsid w:val="00F567E6"/>
    <w:rsid w:val="00F62342"/>
    <w:rsid w:val="00F7357E"/>
    <w:rsid w:val="00F743E1"/>
    <w:rsid w:val="00FB3AA9"/>
    <w:rsid w:val="00FB4C59"/>
    <w:rsid w:val="00FB4F34"/>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aliases w:val="Body of text,List Paragraph1"/>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paragraph" w:styleId="BodyText">
    <w:name w:val="Body Text"/>
    <w:basedOn w:val="Normal"/>
    <w:link w:val="BodyTextChar"/>
    <w:uiPriority w:val="1"/>
    <w:qFormat/>
    <w:rsid w:val="00060413"/>
    <w:pPr>
      <w:widowControl w:val="0"/>
      <w:autoSpaceDE w:val="0"/>
      <w:autoSpaceDN w:val="0"/>
      <w:spacing w:after="0" w:line="240" w:lineRule="auto"/>
    </w:pPr>
    <w:rPr>
      <w:rFonts w:ascii="Times New Roman" w:hAnsi="Times New Roman"/>
      <w:sz w:val="20"/>
      <w:szCs w:val="20"/>
      <w:lang w:bidi="ar-SA"/>
    </w:rPr>
  </w:style>
  <w:style w:type="character" w:customStyle="1" w:styleId="BodyTextChar">
    <w:name w:val="Body Text Char"/>
    <w:basedOn w:val="DefaultParagraphFont"/>
    <w:link w:val="BodyText"/>
    <w:uiPriority w:val="1"/>
    <w:rsid w:val="00060413"/>
    <w:rPr>
      <w:rFonts w:ascii="Times New Roman" w:eastAsia="Times New Roman" w:hAnsi="Times New Roman"/>
      <w:lang w:val="en-US" w:eastAsia="en-US"/>
    </w:rPr>
  </w:style>
  <w:style w:type="character" w:styleId="FootnoteReference">
    <w:name w:val="footnote reference"/>
    <w:basedOn w:val="DefaultParagraphFont"/>
    <w:uiPriority w:val="99"/>
    <w:semiHidden/>
    <w:unhideWhenUsed/>
    <w:rsid w:val="00060413"/>
    <w:rPr>
      <w:vertAlign w:val="superscript"/>
    </w:rPr>
  </w:style>
  <w:style w:type="paragraph" w:styleId="Caption">
    <w:name w:val="caption"/>
    <w:basedOn w:val="Normal"/>
    <w:next w:val="Normal"/>
    <w:uiPriority w:val="35"/>
    <w:unhideWhenUsed/>
    <w:qFormat/>
    <w:rsid w:val="00060413"/>
    <w:pPr>
      <w:widowControl w:val="0"/>
      <w:autoSpaceDE w:val="0"/>
      <w:autoSpaceDN w:val="0"/>
      <w:adjustRightInd w:val="0"/>
      <w:spacing w:line="240" w:lineRule="auto"/>
      <w:jc w:val="both"/>
      <w:textAlignment w:val="baseline"/>
    </w:pPr>
    <w:rPr>
      <w:rFonts w:ascii="Times New Roman" w:eastAsia="BatangChe" w:hAnsi="Times New Roman"/>
      <w:i/>
      <w:iCs/>
      <w:color w:val="1F497D" w:themeColor="text2"/>
      <w:kern w:val="2"/>
      <w:sz w:val="18"/>
      <w:szCs w:val="18"/>
      <w:lang w:eastAsia="ko-KR" w:bidi="ar-SA"/>
    </w:rPr>
  </w:style>
  <w:style w:type="character" w:customStyle="1" w:styleId="ListParagraphChar">
    <w:name w:val="List Paragraph Char"/>
    <w:aliases w:val="Body of text Char,List Paragraph1 Char"/>
    <w:basedOn w:val="DefaultParagraphFont"/>
    <w:link w:val="ListParagraph"/>
    <w:uiPriority w:val="34"/>
    <w:locked/>
    <w:rsid w:val="00060413"/>
    <w:rPr>
      <w:rFonts w:eastAsia="Times New Roman"/>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tiff"/><Relationship Id="rId39" Type="http://schemas.openxmlformats.org/officeDocument/2006/relationships/image" Target="media/image19.emf"/><Relationship Id="rId21" Type="http://schemas.openxmlformats.org/officeDocument/2006/relationships/image" Target="media/image7.emf"/><Relationship Id="rId34" Type="http://schemas.openxmlformats.org/officeDocument/2006/relationships/oleObject" Target="embeddings/oleObject5.bin"/><Relationship Id="rId42" Type="http://schemas.openxmlformats.org/officeDocument/2006/relationships/footer" Target="footer7.xml"/><Relationship Id="rId47" Type="http://schemas.openxmlformats.org/officeDocument/2006/relationships/footer" Target="footer10.xml"/><Relationship Id="rId50" Type="http://schemas.openxmlformats.org/officeDocument/2006/relationships/image" Target="media/image22.emf"/><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2.tiff"/><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4.tiff"/><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oleObject" Target="embeddings/oleObject8.bin"/><Relationship Id="rId53" Type="http://schemas.openxmlformats.org/officeDocument/2006/relationships/oleObject" Target="embeddings/oleObject11.bin"/><Relationship Id="rId58"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6.jpeg"/><Relationship Id="rId43" Type="http://schemas.openxmlformats.org/officeDocument/2006/relationships/footer" Target="footer8.xml"/><Relationship Id="rId48" Type="http://schemas.openxmlformats.org/officeDocument/2006/relationships/image" Target="media/image21.emf"/><Relationship Id="rId56" Type="http://schemas.openxmlformats.org/officeDocument/2006/relationships/image" Target="media/image24.emf"/><Relationship Id="rId8" Type="http://schemas.openxmlformats.org/officeDocument/2006/relationships/image" Target="media/image1.pn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image" Target="media/image15.emf"/><Relationship Id="rId38" Type="http://schemas.openxmlformats.org/officeDocument/2006/relationships/image" Target="media/image18.tiff"/><Relationship Id="rId46" Type="http://schemas.openxmlformats.org/officeDocument/2006/relationships/footer" Target="footer9.xml"/><Relationship Id="rId59" Type="http://schemas.openxmlformats.org/officeDocument/2006/relationships/footer" Target="footer14.xml"/><Relationship Id="rId20" Type="http://schemas.openxmlformats.org/officeDocument/2006/relationships/image" Target="media/image6.tiff"/><Relationship Id="rId41" Type="http://schemas.openxmlformats.org/officeDocument/2006/relationships/footer" Target="footer6.xml"/><Relationship Id="rId54" Type="http://schemas.openxmlformats.org/officeDocument/2006/relationships/footer" Target="foot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tiff"/><Relationship Id="rId28" Type="http://schemas.openxmlformats.org/officeDocument/2006/relationships/oleObject" Target="embeddings/oleObject3.bin"/><Relationship Id="rId36" Type="http://schemas.openxmlformats.org/officeDocument/2006/relationships/image" Target="media/image17.emf"/><Relationship Id="rId49" Type="http://schemas.openxmlformats.org/officeDocument/2006/relationships/oleObject" Target="embeddings/oleObject9.bin"/><Relationship Id="rId57" Type="http://schemas.openxmlformats.org/officeDocument/2006/relationships/oleObject" Target="embeddings/oleObject12.bin"/><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20.emf"/><Relationship Id="rId52" Type="http://schemas.openxmlformats.org/officeDocument/2006/relationships/image" Target="media/image23.emf"/><Relationship Id="rId60"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11506</Words>
  <Characters>65588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MJAS Vol 26 No 3 (2022)</vt:lpstr>
    </vt:vector>
  </TitlesOfParts>
  <Company>UKM</Company>
  <LinksUpToDate>false</LinksUpToDate>
  <CharactersWithSpaces>76941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3 (2022)</dc:title>
  <dc:creator>Harun Hj Hamzah</dc:creator>
  <cp:lastModifiedBy>Harun Hamzah</cp:lastModifiedBy>
  <cp:revision>13</cp:revision>
  <dcterms:created xsi:type="dcterms:W3CDTF">2022-05-23T09:29:00Z</dcterms:created>
  <dcterms:modified xsi:type="dcterms:W3CDTF">2022-06-23T03:23:00Z</dcterms:modified>
</cp:coreProperties>
</file>