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01E3" w14:textId="44D43B9A" w:rsidR="00CE4FF9" w:rsidRPr="00223217" w:rsidRDefault="00CE4FF9" w:rsidP="00CE4FF9">
      <w:pPr>
        <w:adjustRightInd w:val="0"/>
        <w:jc w:val="center"/>
        <w:rPr>
          <w:rFonts w:ascii="Times New Roman" w:hAnsi="Times New Roman" w:cs="Times New Roman"/>
          <w:sz w:val="28"/>
          <w:szCs w:val="28"/>
          <w:lang w:val="en-GB"/>
        </w:rPr>
      </w:pPr>
      <w:bookmarkStart w:id="0" w:name="_Hlk96546090"/>
      <w:proofErr w:type="spellStart"/>
      <w:r w:rsidRPr="00223217">
        <w:rPr>
          <w:rFonts w:ascii="Times New Roman" w:hAnsi="Times New Roman" w:cs="Times New Roman"/>
          <w:sz w:val="28"/>
          <w:szCs w:val="28"/>
          <w:lang w:val="en-GB"/>
        </w:rPr>
        <w:t>P</w:t>
      </w:r>
      <w:r w:rsidR="00223217">
        <w:rPr>
          <w:rFonts w:ascii="Times New Roman" w:hAnsi="Times New Roman" w:cs="Times New Roman"/>
          <w:sz w:val="28"/>
          <w:szCs w:val="28"/>
          <w:lang w:val="en-GB"/>
        </w:rPr>
        <w:t>t</w:t>
      </w:r>
      <w:r w:rsidRPr="00223217">
        <w:rPr>
          <w:rFonts w:ascii="Times New Roman" w:hAnsi="Times New Roman" w:cs="Times New Roman"/>
          <w:sz w:val="28"/>
          <w:szCs w:val="28"/>
          <w:lang w:val="en-GB"/>
        </w:rPr>
        <w:t>R</w:t>
      </w:r>
      <w:r w:rsidR="00223217">
        <w:rPr>
          <w:rFonts w:ascii="Times New Roman" w:hAnsi="Times New Roman" w:cs="Times New Roman"/>
          <w:sz w:val="28"/>
          <w:szCs w:val="28"/>
          <w:lang w:val="en-GB"/>
        </w:rPr>
        <w:t>u</w:t>
      </w:r>
      <w:proofErr w:type="spellEnd"/>
      <w:r w:rsidRPr="00223217">
        <w:rPr>
          <w:rFonts w:ascii="Times New Roman" w:hAnsi="Times New Roman" w:cs="Times New Roman"/>
          <w:sz w:val="28"/>
          <w:szCs w:val="28"/>
          <w:lang w:val="en-GB"/>
        </w:rPr>
        <w:t xml:space="preserve"> SUPPORTED ON POROUS 3D TITANIUM DIOXIDE-GRAPHENE AEROGEL AS A POTENTIAL ELECTROCATALYST FOR DIRECT METHANOL FUEL CELLS</w:t>
      </w:r>
    </w:p>
    <w:bookmarkEnd w:id="0"/>
    <w:p w14:paraId="660F763D" w14:textId="77777777" w:rsidR="00785CA6" w:rsidRPr="00223217" w:rsidRDefault="00785CA6" w:rsidP="00CE4FF9">
      <w:pPr>
        <w:outlineLvl w:val="0"/>
        <w:rPr>
          <w:rFonts w:ascii="Times New Roman" w:hAnsi="Times New Roman" w:cs="Times New Roman"/>
          <w:b/>
          <w:sz w:val="24"/>
        </w:rPr>
      </w:pPr>
    </w:p>
    <w:p w14:paraId="7A37EEF4" w14:textId="1D591EC9" w:rsidR="00785CA6" w:rsidRPr="00223217" w:rsidRDefault="00785CA6" w:rsidP="00785CA6">
      <w:pPr>
        <w:jc w:val="center"/>
        <w:outlineLvl w:val="0"/>
        <w:rPr>
          <w:rFonts w:ascii="Times New Roman" w:hAnsi="Times New Roman" w:cs="Times New Roman"/>
          <w:sz w:val="24"/>
        </w:rPr>
      </w:pPr>
      <w:r w:rsidRPr="00223217">
        <w:rPr>
          <w:rFonts w:ascii="Times New Roman" w:hAnsi="Times New Roman" w:cs="Times New Roman"/>
          <w:sz w:val="24"/>
        </w:rPr>
        <w:t>(</w:t>
      </w:r>
      <w:r w:rsidR="00CE4FF9" w:rsidRPr="00223217">
        <w:rPr>
          <w:rFonts w:ascii="Times New Roman" w:hAnsi="Times New Roman" w:cs="Times New Roman"/>
          <w:noProof/>
          <w:sz w:val="24"/>
          <w:lang w:val="ms-MY"/>
        </w:rPr>
        <w:t xml:space="preserve">PtRu disokong pada 3D </w:t>
      </w:r>
      <w:r w:rsidR="00223217">
        <w:rPr>
          <w:rFonts w:ascii="Times New Roman" w:hAnsi="Times New Roman" w:cs="Times New Roman"/>
          <w:noProof/>
          <w:sz w:val="24"/>
          <w:lang w:val="ms-MY"/>
        </w:rPr>
        <w:t>Titanium Dioksida</w:t>
      </w:r>
      <w:r w:rsidR="00CE4FF9" w:rsidRPr="00223217">
        <w:rPr>
          <w:rFonts w:ascii="Times New Roman" w:hAnsi="Times New Roman" w:cs="Times New Roman"/>
          <w:noProof/>
          <w:sz w:val="24"/>
          <w:lang w:val="ms-MY"/>
        </w:rPr>
        <w:t>-</w:t>
      </w:r>
      <w:r w:rsidR="00223217">
        <w:rPr>
          <w:rFonts w:ascii="Times New Roman" w:hAnsi="Times New Roman" w:cs="Times New Roman"/>
          <w:noProof/>
          <w:sz w:val="24"/>
          <w:lang w:val="ms-MY"/>
        </w:rPr>
        <w:t>G</w:t>
      </w:r>
      <w:r w:rsidR="00CE4FF9" w:rsidRPr="00223217">
        <w:rPr>
          <w:rFonts w:ascii="Times New Roman" w:hAnsi="Times New Roman" w:cs="Times New Roman"/>
          <w:noProof/>
          <w:sz w:val="24"/>
          <w:lang w:val="ms-MY"/>
        </w:rPr>
        <w:t xml:space="preserve">rafin </w:t>
      </w:r>
      <w:r w:rsidR="00223217" w:rsidRPr="00223217">
        <w:rPr>
          <w:rFonts w:ascii="Times New Roman" w:hAnsi="Times New Roman" w:cs="Times New Roman"/>
          <w:noProof/>
          <w:sz w:val="24"/>
          <w:lang w:val="ms-MY"/>
        </w:rPr>
        <w:t xml:space="preserve">Aerogel </w:t>
      </w:r>
      <w:r w:rsidR="00223217">
        <w:rPr>
          <w:rFonts w:ascii="Times New Roman" w:hAnsi="Times New Roman" w:cs="Times New Roman"/>
          <w:noProof/>
          <w:sz w:val="24"/>
          <w:lang w:val="ms-MY"/>
        </w:rPr>
        <w:t xml:space="preserve">Berliang </w:t>
      </w:r>
      <w:r w:rsidR="00223217" w:rsidRPr="00223217">
        <w:rPr>
          <w:rFonts w:ascii="Times New Roman" w:hAnsi="Times New Roman" w:cs="Times New Roman"/>
          <w:noProof/>
          <w:sz w:val="24"/>
          <w:lang w:val="ms-MY"/>
        </w:rPr>
        <w:t>Sebagai Potensi Ele</w:t>
      </w:r>
      <w:r w:rsidR="00223217">
        <w:rPr>
          <w:rFonts w:ascii="Times New Roman" w:hAnsi="Times New Roman" w:cs="Times New Roman"/>
          <w:noProof/>
          <w:sz w:val="24"/>
          <w:lang w:val="ms-MY"/>
        </w:rPr>
        <w:t>k</w:t>
      </w:r>
      <w:r w:rsidR="00223217" w:rsidRPr="00223217">
        <w:rPr>
          <w:rFonts w:ascii="Times New Roman" w:hAnsi="Times New Roman" w:cs="Times New Roman"/>
          <w:noProof/>
          <w:sz w:val="24"/>
          <w:lang w:val="ms-MY"/>
        </w:rPr>
        <w:t xml:space="preserve">tromangkin </w:t>
      </w:r>
      <w:r w:rsidR="00223217">
        <w:rPr>
          <w:rFonts w:ascii="Times New Roman" w:hAnsi="Times New Roman" w:cs="Times New Roman"/>
          <w:noProof/>
          <w:sz w:val="24"/>
          <w:lang w:val="ms-MY"/>
        </w:rPr>
        <w:t>u</w:t>
      </w:r>
      <w:r w:rsidR="00223217" w:rsidRPr="00223217">
        <w:rPr>
          <w:rFonts w:ascii="Times New Roman" w:hAnsi="Times New Roman" w:cs="Times New Roman"/>
          <w:noProof/>
          <w:sz w:val="24"/>
          <w:lang w:val="ms-MY"/>
        </w:rPr>
        <w:t>ntuk Sel Bahan Bakar Metanol Langsung</w:t>
      </w:r>
      <w:r w:rsidRPr="00223217">
        <w:rPr>
          <w:rFonts w:ascii="Times New Roman" w:hAnsi="Times New Roman" w:cs="Times New Roman"/>
          <w:sz w:val="24"/>
        </w:rPr>
        <w:t>)</w:t>
      </w:r>
    </w:p>
    <w:p w14:paraId="21D28B80" w14:textId="77777777" w:rsidR="00CE4FF9" w:rsidRPr="00223217" w:rsidRDefault="00CE4FF9" w:rsidP="00CE4FF9">
      <w:pPr>
        <w:outlineLvl w:val="0"/>
        <w:rPr>
          <w:rFonts w:ascii="Times New Roman" w:hAnsi="Times New Roman" w:cs="Times New Roman"/>
          <w:b/>
          <w:szCs w:val="20"/>
          <w:lang w:val="en-GB"/>
        </w:rPr>
      </w:pPr>
    </w:p>
    <w:p w14:paraId="253E6ACB" w14:textId="60B4C99F" w:rsidR="00CE4FF9" w:rsidRPr="00223217" w:rsidRDefault="00CE4FF9" w:rsidP="00CE4FF9">
      <w:pPr>
        <w:adjustRightInd w:val="0"/>
        <w:jc w:val="center"/>
        <w:rPr>
          <w:rFonts w:ascii="Times New Roman" w:hAnsi="Times New Roman"/>
          <w:noProof/>
          <w:szCs w:val="20"/>
          <w:vertAlign w:val="superscript"/>
          <w:lang w:val="ms-MY"/>
        </w:rPr>
      </w:pPr>
      <w:r w:rsidRPr="00223217">
        <w:rPr>
          <w:rFonts w:ascii="Times New Roman" w:hAnsi="Times New Roman"/>
          <w:noProof/>
          <w:szCs w:val="20"/>
          <w:lang w:val="ms-MY"/>
        </w:rPr>
        <w:t>S</w:t>
      </w:r>
      <w:r w:rsidR="00CB4FE2" w:rsidRPr="00223217">
        <w:rPr>
          <w:rFonts w:ascii="Times New Roman" w:hAnsi="Times New Roman"/>
          <w:noProof/>
          <w:szCs w:val="20"/>
          <w:lang w:val="ms-MY"/>
        </w:rPr>
        <w:t xml:space="preserve">iti </w:t>
      </w:r>
      <w:r w:rsidRPr="00223217">
        <w:rPr>
          <w:rFonts w:ascii="Times New Roman" w:hAnsi="Times New Roman"/>
          <w:noProof/>
          <w:szCs w:val="20"/>
          <w:lang w:val="ms-MY"/>
        </w:rPr>
        <w:t>H</w:t>
      </w:r>
      <w:r w:rsidR="00CB4FE2" w:rsidRPr="00223217">
        <w:rPr>
          <w:rFonts w:ascii="Times New Roman" w:hAnsi="Times New Roman"/>
          <w:noProof/>
          <w:szCs w:val="20"/>
          <w:lang w:val="ms-MY"/>
        </w:rPr>
        <w:t xml:space="preserve">asanah </w:t>
      </w:r>
      <w:r w:rsidRPr="00223217">
        <w:rPr>
          <w:rFonts w:ascii="Times New Roman" w:hAnsi="Times New Roman"/>
          <w:noProof/>
          <w:szCs w:val="20"/>
          <w:lang w:val="ms-MY"/>
        </w:rPr>
        <w:t>Osman</w:t>
      </w:r>
      <w:r w:rsidRPr="00223217">
        <w:rPr>
          <w:rFonts w:ascii="Times New Roman" w:hAnsi="Times New Roman"/>
          <w:noProof/>
          <w:szCs w:val="20"/>
          <w:vertAlign w:val="superscript"/>
          <w:lang w:val="ms-MY"/>
        </w:rPr>
        <w:t>1*</w:t>
      </w:r>
      <w:r w:rsidRPr="00223217">
        <w:rPr>
          <w:rFonts w:ascii="Times New Roman" w:hAnsi="Times New Roman"/>
          <w:noProof/>
          <w:szCs w:val="20"/>
          <w:lang w:val="ms-MY"/>
        </w:rPr>
        <w:t>, S</w:t>
      </w:r>
      <w:r w:rsidR="00CB4FE2" w:rsidRPr="00223217">
        <w:rPr>
          <w:rFonts w:ascii="Times New Roman" w:hAnsi="Times New Roman"/>
          <w:noProof/>
          <w:szCs w:val="20"/>
          <w:lang w:val="ms-MY"/>
        </w:rPr>
        <w:t xml:space="preserve">iti </w:t>
      </w:r>
      <w:r w:rsidRPr="00223217">
        <w:rPr>
          <w:rFonts w:ascii="Times New Roman" w:hAnsi="Times New Roman"/>
          <w:noProof/>
          <w:szCs w:val="20"/>
          <w:lang w:val="ms-MY"/>
        </w:rPr>
        <w:t>K</w:t>
      </w:r>
      <w:r w:rsidR="00CB4FE2" w:rsidRPr="00223217">
        <w:rPr>
          <w:rFonts w:ascii="Times New Roman" w:hAnsi="Times New Roman"/>
          <w:noProof/>
          <w:szCs w:val="20"/>
          <w:lang w:val="ms-MY"/>
        </w:rPr>
        <w:t xml:space="preserve">artom </w:t>
      </w:r>
      <w:r w:rsidRPr="00223217">
        <w:rPr>
          <w:rFonts w:ascii="Times New Roman" w:hAnsi="Times New Roman"/>
          <w:noProof/>
          <w:szCs w:val="20"/>
          <w:lang w:val="ms-MY"/>
        </w:rPr>
        <w:t>Kamarudin</w:t>
      </w:r>
      <w:r w:rsidRPr="00223217">
        <w:rPr>
          <w:rFonts w:ascii="Times New Roman" w:hAnsi="Times New Roman"/>
          <w:noProof/>
          <w:szCs w:val="20"/>
          <w:vertAlign w:val="superscript"/>
          <w:lang w:val="ms-MY"/>
        </w:rPr>
        <w:t>1,2</w:t>
      </w:r>
      <w:r w:rsidRPr="00223217">
        <w:rPr>
          <w:rFonts w:ascii="Times New Roman" w:hAnsi="Times New Roman"/>
          <w:noProof/>
          <w:szCs w:val="20"/>
          <w:lang w:val="ms-MY"/>
        </w:rPr>
        <w:t>, S</w:t>
      </w:r>
      <w:r w:rsidR="00CB4FE2" w:rsidRPr="00223217">
        <w:rPr>
          <w:rFonts w:ascii="Times New Roman" w:hAnsi="Times New Roman"/>
          <w:noProof/>
          <w:szCs w:val="20"/>
          <w:lang w:val="ms-MY"/>
        </w:rPr>
        <w:t xml:space="preserve">ahriah </w:t>
      </w:r>
      <w:r w:rsidRPr="00223217">
        <w:rPr>
          <w:rFonts w:ascii="Times New Roman" w:hAnsi="Times New Roman"/>
          <w:noProof/>
          <w:szCs w:val="20"/>
          <w:lang w:val="ms-MY"/>
        </w:rPr>
        <w:t>Basri</w:t>
      </w:r>
      <w:r w:rsidRPr="00223217">
        <w:rPr>
          <w:rFonts w:ascii="Times New Roman" w:hAnsi="Times New Roman"/>
          <w:noProof/>
          <w:szCs w:val="20"/>
          <w:vertAlign w:val="superscript"/>
          <w:lang w:val="ms-MY"/>
        </w:rPr>
        <w:t>1</w:t>
      </w:r>
      <w:r w:rsidRPr="00223217">
        <w:rPr>
          <w:rFonts w:ascii="Times New Roman" w:hAnsi="Times New Roman"/>
          <w:noProof/>
          <w:szCs w:val="20"/>
          <w:lang w:val="ms-MY"/>
        </w:rPr>
        <w:t>, N</w:t>
      </w:r>
      <w:r w:rsidR="00CB4FE2" w:rsidRPr="00223217">
        <w:rPr>
          <w:rFonts w:ascii="Times New Roman" w:hAnsi="Times New Roman"/>
          <w:noProof/>
          <w:szCs w:val="20"/>
          <w:lang w:val="ms-MY"/>
        </w:rPr>
        <w:t xml:space="preserve">abila </w:t>
      </w:r>
      <w:r w:rsidRPr="00223217">
        <w:rPr>
          <w:rFonts w:ascii="Times New Roman" w:hAnsi="Times New Roman"/>
          <w:noProof/>
          <w:szCs w:val="20"/>
          <w:lang w:val="ms-MY"/>
        </w:rPr>
        <w:t>A.Karim</w:t>
      </w:r>
      <w:r w:rsidRPr="00223217">
        <w:rPr>
          <w:rFonts w:ascii="Times New Roman" w:hAnsi="Times New Roman"/>
          <w:noProof/>
          <w:szCs w:val="20"/>
          <w:vertAlign w:val="superscript"/>
          <w:lang w:val="ms-MY"/>
        </w:rPr>
        <w:t>1</w:t>
      </w:r>
    </w:p>
    <w:p w14:paraId="12A7CD94" w14:textId="77777777" w:rsidR="00CF3738" w:rsidRPr="00223217" w:rsidRDefault="00CF3738" w:rsidP="00CE4FF9">
      <w:pPr>
        <w:adjustRightInd w:val="0"/>
        <w:jc w:val="center"/>
        <w:rPr>
          <w:rFonts w:ascii="Times New Roman" w:hAnsi="Times New Roman" w:cs="Times New Roman"/>
          <w:noProof/>
          <w:szCs w:val="20"/>
          <w:lang w:val="ms-MY"/>
        </w:rPr>
      </w:pPr>
    </w:p>
    <w:p w14:paraId="0F4E96E9" w14:textId="77777777" w:rsidR="00223217" w:rsidRPr="00223217" w:rsidRDefault="00CE4FF9" w:rsidP="00CE4FF9">
      <w:pPr>
        <w:jc w:val="center"/>
        <w:rPr>
          <w:rFonts w:ascii="Times New Roman" w:hAnsi="Times New Roman"/>
          <w:i/>
          <w:iCs/>
          <w:noProof/>
          <w:sz w:val="18"/>
          <w:szCs w:val="18"/>
          <w:lang w:val="ms-MY"/>
        </w:rPr>
      </w:pPr>
      <w:r w:rsidRPr="00223217">
        <w:rPr>
          <w:rFonts w:ascii="Times New Roman" w:hAnsi="Times New Roman"/>
          <w:i/>
          <w:iCs/>
          <w:noProof/>
          <w:sz w:val="18"/>
          <w:szCs w:val="18"/>
          <w:vertAlign w:val="superscript"/>
          <w:lang w:val="ms-MY"/>
        </w:rPr>
        <w:t>1</w:t>
      </w:r>
      <w:r w:rsidRPr="00223217">
        <w:rPr>
          <w:rFonts w:ascii="Times New Roman" w:hAnsi="Times New Roman"/>
          <w:i/>
          <w:iCs/>
          <w:noProof/>
          <w:sz w:val="18"/>
          <w:szCs w:val="18"/>
          <w:lang w:val="ms-MY"/>
        </w:rPr>
        <w:t xml:space="preserve">Fuel Cell Institute, </w:t>
      </w:r>
    </w:p>
    <w:p w14:paraId="6693B78C" w14:textId="7EFEC814" w:rsidR="00CE4FF9" w:rsidRPr="00223217" w:rsidRDefault="00CE4FF9" w:rsidP="00CE4FF9">
      <w:pPr>
        <w:jc w:val="center"/>
        <w:rPr>
          <w:rFonts w:ascii="Times New Roman" w:hAnsi="Times New Roman"/>
          <w:bCs/>
          <w:i/>
          <w:iCs/>
          <w:noProof/>
          <w:sz w:val="18"/>
          <w:szCs w:val="18"/>
          <w:lang w:val="ms-MY"/>
        </w:rPr>
      </w:pPr>
      <w:r w:rsidRPr="00223217">
        <w:rPr>
          <w:rFonts w:ascii="Times New Roman" w:hAnsi="Times New Roman"/>
          <w:i/>
          <w:iCs/>
          <w:noProof/>
          <w:sz w:val="18"/>
          <w:szCs w:val="18"/>
          <w:lang w:val="ms-MY"/>
        </w:rPr>
        <w:t>Universiti Kebangsaan Malaysia, 43600 UKM Bangi, Selangor, Malaysia</w:t>
      </w:r>
    </w:p>
    <w:p w14:paraId="03FDF800" w14:textId="77777777" w:rsidR="00223217" w:rsidRPr="00223217" w:rsidRDefault="00CE4FF9" w:rsidP="00CE4FF9">
      <w:pPr>
        <w:jc w:val="center"/>
        <w:rPr>
          <w:rFonts w:ascii="Times New Roman" w:hAnsi="Times New Roman"/>
          <w:i/>
          <w:iCs/>
          <w:noProof/>
          <w:sz w:val="18"/>
          <w:szCs w:val="18"/>
          <w:lang w:val="ms-MY"/>
        </w:rPr>
      </w:pPr>
      <w:r w:rsidRPr="00223217">
        <w:rPr>
          <w:rFonts w:ascii="Times New Roman" w:hAnsi="Times New Roman"/>
          <w:i/>
          <w:iCs/>
          <w:noProof/>
          <w:sz w:val="18"/>
          <w:szCs w:val="18"/>
          <w:vertAlign w:val="superscript"/>
          <w:lang w:val="ms-MY"/>
        </w:rPr>
        <w:t>2</w:t>
      </w:r>
      <w:r w:rsidRPr="00223217">
        <w:rPr>
          <w:rFonts w:ascii="Times New Roman" w:hAnsi="Times New Roman"/>
          <w:i/>
          <w:iCs/>
          <w:noProof/>
          <w:sz w:val="18"/>
          <w:szCs w:val="18"/>
          <w:lang w:val="ms-MY"/>
        </w:rPr>
        <w:t xml:space="preserve">Department of Chemical and Process Engineering, </w:t>
      </w:r>
    </w:p>
    <w:p w14:paraId="4BF572D7" w14:textId="550034FF" w:rsidR="00CE4FF9" w:rsidRPr="00223217" w:rsidRDefault="00CE4FF9" w:rsidP="00CE4FF9">
      <w:pPr>
        <w:jc w:val="center"/>
        <w:rPr>
          <w:rFonts w:ascii="Times New Roman" w:hAnsi="Times New Roman"/>
          <w:i/>
          <w:iCs/>
          <w:noProof/>
          <w:sz w:val="18"/>
          <w:szCs w:val="18"/>
          <w:lang w:val="ms-MY"/>
        </w:rPr>
      </w:pPr>
      <w:r w:rsidRPr="00223217">
        <w:rPr>
          <w:rFonts w:ascii="Times New Roman" w:hAnsi="Times New Roman"/>
          <w:i/>
          <w:iCs/>
          <w:noProof/>
          <w:sz w:val="18"/>
          <w:szCs w:val="18"/>
          <w:lang w:val="ms-MY"/>
        </w:rPr>
        <w:t>Faculty of Engineering and Built Environment</w:t>
      </w:r>
    </w:p>
    <w:p w14:paraId="22437B0C" w14:textId="77777777" w:rsidR="00CE4FF9" w:rsidRPr="00223217" w:rsidRDefault="00CE4FF9" w:rsidP="00CE4FF9">
      <w:pPr>
        <w:jc w:val="center"/>
        <w:rPr>
          <w:rFonts w:ascii="Times New Roman" w:hAnsi="Times New Roman"/>
          <w:i/>
          <w:iCs/>
          <w:noProof/>
          <w:sz w:val="18"/>
          <w:szCs w:val="18"/>
          <w:lang w:val="ms-MY"/>
        </w:rPr>
      </w:pPr>
      <w:r w:rsidRPr="00223217">
        <w:rPr>
          <w:rFonts w:ascii="Times New Roman" w:hAnsi="Times New Roman"/>
          <w:i/>
          <w:iCs/>
          <w:noProof/>
          <w:sz w:val="18"/>
          <w:szCs w:val="18"/>
          <w:lang w:val="ms-MY"/>
        </w:rPr>
        <w:t>Universiti Kebangsaan Malaysia, 43600 UKM Bangi, Selangor, Malaysia</w:t>
      </w:r>
    </w:p>
    <w:p w14:paraId="11D44624" w14:textId="77777777" w:rsidR="00CE4FF9" w:rsidRPr="00223217" w:rsidRDefault="00CE4FF9" w:rsidP="00CE4FF9">
      <w:pPr>
        <w:outlineLvl w:val="0"/>
        <w:rPr>
          <w:rFonts w:ascii="Times New Roman" w:hAnsi="Times New Roman" w:cs="Times New Roman"/>
          <w:b/>
          <w:noProof/>
          <w:sz w:val="18"/>
          <w:szCs w:val="18"/>
          <w:lang w:val="ms-MY"/>
        </w:rPr>
      </w:pPr>
    </w:p>
    <w:p w14:paraId="633F0CD3" w14:textId="1D5F4DFC" w:rsidR="009C4E07" w:rsidRPr="00223217" w:rsidRDefault="00CE4FF9" w:rsidP="00C62060">
      <w:pPr>
        <w:pStyle w:val="MediumGrid21"/>
        <w:spacing w:line="480" w:lineRule="auto"/>
        <w:jc w:val="center"/>
        <w:rPr>
          <w:noProof/>
          <w:sz w:val="18"/>
          <w:szCs w:val="18"/>
          <w:lang w:val="ms-MY"/>
        </w:rPr>
      </w:pPr>
      <w:r w:rsidRPr="00223217">
        <w:rPr>
          <w:rFonts w:ascii="Times New Roman" w:hAnsi="Times New Roman"/>
          <w:i/>
          <w:noProof/>
          <w:sz w:val="18"/>
          <w:szCs w:val="18"/>
          <w:vertAlign w:val="superscript"/>
          <w:lang w:val="ms-MY"/>
        </w:rPr>
        <w:t>*</w:t>
      </w:r>
      <w:r w:rsidRPr="00223217">
        <w:rPr>
          <w:rFonts w:ascii="Times New Roman" w:hAnsi="Times New Roman"/>
          <w:i/>
          <w:noProof/>
          <w:sz w:val="18"/>
          <w:szCs w:val="18"/>
          <w:lang w:val="ms-MY"/>
        </w:rPr>
        <w:t xml:space="preserve">Corresponding author: </w:t>
      </w:r>
      <w:hyperlink r:id="rId8" w:history="1">
        <w:r w:rsidRPr="00223217">
          <w:rPr>
            <w:rStyle w:val="Hyperlink"/>
            <w:rFonts w:ascii="Times New Roman" w:hAnsi="Times New Roman"/>
            <w:i/>
            <w:iCs/>
            <w:noProof/>
            <w:color w:val="auto"/>
            <w:sz w:val="18"/>
            <w:szCs w:val="18"/>
            <w:u w:val="none"/>
            <w:lang w:val="ms-MY"/>
          </w:rPr>
          <w:t>ctie@ukm.edu.my</w:t>
        </w:r>
      </w:hyperlink>
    </w:p>
    <w:p w14:paraId="04DBEBDF" w14:textId="77777777" w:rsidR="00785CA6" w:rsidRPr="00223217" w:rsidRDefault="00785CA6" w:rsidP="00785CA6">
      <w:pPr>
        <w:jc w:val="center"/>
        <w:outlineLvl w:val="0"/>
        <w:rPr>
          <w:rFonts w:ascii="Times New Roman" w:hAnsi="Times New Roman" w:cs="Times New Roman"/>
          <w:b/>
          <w:sz w:val="18"/>
          <w:szCs w:val="18"/>
        </w:rPr>
      </w:pPr>
      <w:r w:rsidRPr="00223217">
        <w:rPr>
          <w:rFonts w:ascii="Times New Roman" w:hAnsi="Times New Roman" w:cs="Times New Roman"/>
          <w:b/>
          <w:sz w:val="18"/>
          <w:szCs w:val="18"/>
        </w:rPr>
        <w:t>Abstract</w:t>
      </w:r>
    </w:p>
    <w:p w14:paraId="582277B0" w14:textId="09E4FCE9" w:rsidR="003F3701" w:rsidRPr="00223217" w:rsidRDefault="00AC3B7D" w:rsidP="00785CA6">
      <w:pPr>
        <w:outlineLvl w:val="0"/>
        <w:rPr>
          <w:rFonts w:ascii="Times New Roman" w:hAnsi="Times New Roman" w:cs="Times New Roman"/>
          <w:sz w:val="18"/>
          <w:szCs w:val="18"/>
          <w:lang w:val="en-GB"/>
        </w:rPr>
      </w:pPr>
      <w:r w:rsidRPr="00223217">
        <w:rPr>
          <w:rFonts w:ascii="Times New Roman" w:hAnsi="Times New Roman" w:cs="Times New Roman"/>
          <w:sz w:val="18"/>
          <w:szCs w:val="18"/>
          <w:lang w:val="en-GB"/>
        </w:rPr>
        <w:t xml:space="preserve">The catalyst support is typically implemented </w:t>
      </w:r>
      <w:r w:rsidR="00607F26" w:rsidRPr="00223217">
        <w:rPr>
          <w:rFonts w:ascii="Times New Roman" w:hAnsi="Times New Roman" w:cs="Times New Roman"/>
          <w:sz w:val="18"/>
          <w:szCs w:val="18"/>
          <w:lang w:val="en-GB"/>
        </w:rPr>
        <w:t>to</w:t>
      </w:r>
      <w:r w:rsidRPr="00223217">
        <w:rPr>
          <w:rFonts w:ascii="Times New Roman" w:hAnsi="Times New Roman" w:cs="Times New Roman"/>
          <w:sz w:val="18"/>
          <w:szCs w:val="18"/>
          <w:lang w:val="en-GB"/>
        </w:rPr>
        <w:t xml:space="preserve"> improv</w:t>
      </w:r>
      <w:r w:rsidR="00092B1E" w:rsidRPr="00223217">
        <w:rPr>
          <w:rFonts w:ascii="Times New Roman" w:hAnsi="Times New Roman" w:cs="Times New Roman"/>
          <w:sz w:val="18"/>
          <w:szCs w:val="18"/>
          <w:lang w:val="en-GB"/>
        </w:rPr>
        <w:t>e</w:t>
      </w:r>
      <w:r w:rsidRPr="00223217">
        <w:rPr>
          <w:rFonts w:ascii="Times New Roman" w:hAnsi="Times New Roman" w:cs="Times New Roman"/>
          <w:sz w:val="18"/>
          <w:szCs w:val="18"/>
          <w:lang w:val="en-GB"/>
        </w:rPr>
        <w:t xml:space="preserve"> the catalytic activity in direct methanol fuel cells (DMFCs). Thus, this study focused on the novel</w:t>
      </w:r>
      <w:r w:rsidR="00607F26" w:rsidRPr="00223217">
        <w:rPr>
          <w:rFonts w:ascii="Times New Roman" w:hAnsi="Times New Roman" w:cs="Times New Roman"/>
          <w:sz w:val="18"/>
          <w:szCs w:val="18"/>
          <w:lang w:val="en-GB"/>
        </w:rPr>
        <w:t xml:space="preserve"> </w:t>
      </w:r>
      <w:r w:rsidRPr="00223217">
        <w:rPr>
          <w:rFonts w:ascii="Times New Roman" w:hAnsi="Times New Roman" w:cs="Times New Roman"/>
          <w:sz w:val="18"/>
          <w:szCs w:val="18"/>
          <w:lang w:val="en-GB"/>
        </w:rPr>
        <w:t>support</w:t>
      </w:r>
      <w:r w:rsidR="00607F26" w:rsidRPr="00223217">
        <w:rPr>
          <w:rFonts w:ascii="Times New Roman" w:hAnsi="Times New Roman" w:cs="Times New Roman"/>
          <w:sz w:val="18"/>
          <w:szCs w:val="18"/>
          <w:lang w:val="en-GB"/>
        </w:rPr>
        <w:t xml:space="preserve"> of</w:t>
      </w:r>
      <w:r w:rsidRPr="00223217">
        <w:rPr>
          <w:rFonts w:ascii="Times New Roman" w:hAnsi="Times New Roman" w:cs="Times New Roman"/>
          <w:sz w:val="18"/>
          <w:szCs w:val="18"/>
          <w:lang w:val="en-GB"/>
        </w:rPr>
        <w:t xml:space="preserve"> 3D hierarchical porous TiO</w:t>
      </w:r>
      <w:r w:rsidRPr="00223217">
        <w:rPr>
          <w:rFonts w:ascii="Times New Roman" w:hAnsi="Times New Roman" w:cs="Times New Roman"/>
          <w:sz w:val="18"/>
          <w:szCs w:val="18"/>
          <w:vertAlign w:val="subscript"/>
          <w:lang w:val="en-GB"/>
        </w:rPr>
        <w:t>2</w:t>
      </w:r>
      <w:r w:rsidRPr="00223217">
        <w:rPr>
          <w:rFonts w:ascii="Times New Roman" w:hAnsi="Times New Roman" w:cs="Times New Roman"/>
          <w:sz w:val="18"/>
          <w:szCs w:val="18"/>
          <w:lang w:val="en-GB"/>
        </w:rPr>
        <w:t>-graphene aerogel which was established via a combination of hydrothermal method and freezing drying method. XRD, Raman spectra</w:t>
      </w:r>
      <w:r w:rsidR="00092B1E" w:rsidRPr="00223217">
        <w:rPr>
          <w:rFonts w:ascii="Times New Roman" w:hAnsi="Times New Roman" w:cs="Times New Roman"/>
          <w:sz w:val="18"/>
          <w:szCs w:val="18"/>
          <w:lang w:val="en-GB"/>
        </w:rPr>
        <w:t>,</w:t>
      </w:r>
      <w:r w:rsidRPr="00223217">
        <w:rPr>
          <w:rFonts w:ascii="Times New Roman" w:hAnsi="Times New Roman" w:cs="Times New Roman"/>
          <w:sz w:val="18"/>
          <w:szCs w:val="18"/>
          <w:lang w:val="en-GB"/>
        </w:rPr>
        <w:t xml:space="preserve"> and FESEM were used to study the </w:t>
      </w:r>
      <w:proofErr w:type="spellStart"/>
      <w:r w:rsidRPr="00223217">
        <w:rPr>
          <w:rFonts w:ascii="Times New Roman" w:hAnsi="Times New Roman" w:cs="Times New Roman"/>
          <w:sz w:val="18"/>
          <w:szCs w:val="18"/>
          <w:lang w:val="en-GB"/>
        </w:rPr>
        <w:t>PtRu</w:t>
      </w:r>
      <w:proofErr w:type="spellEnd"/>
      <w:r w:rsidRPr="00223217">
        <w:rPr>
          <w:rFonts w:ascii="Times New Roman" w:hAnsi="Times New Roman" w:cs="Times New Roman"/>
          <w:sz w:val="18"/>
          <w:szCs w:val="18"/>
          <w:lang w:val="en-GB"/>
        </w:rPr>
        <w:t>/TiO</w:t>
      </w:r>
      <w:r w:rsidRPr="00223217">
        <w:rPr>
          <w:rFonts w:ascii="Times New Roman" w:hAnsi="Times New Roman" w:cs="Times New Roman"/>
          <w:sz w:val="18"/>
          <w:szCs w:val="18"/>
          <w:vertAlign w:val="subscript"/>
          <w:lang w:val="en-GB"/>
        </w:rPr>
        <w:t>2</w:t>
      </w:r>
      <w:r w:rsidRPr="00223217">
        <w:rPr>
          <w:rFonts w:ascii="Times New Roman" w:hAnsi="Times New Roman" w:cs="Times New Roman"/>
          <w:sz w:val="18"/>
          <w:szCs w:val="18"/>
          <w:lang w:val="en-GB"/>
        </w:rPr>
        <w:t xml:space="preserve">-GA. The estimated particle size of </w:t>
      </w:r>
      <w:proofErr w:type="spellStart"/>
      <w:r w:rsidRPr="00223217">
        <w:rPr>
          <w:rFonts w:ascii="Times New Roman" w:hAnsi="Times New Roman" w:cs="Times New Roman"/>
          <w:sz w:val="18"/>
          <w:szCs w:val="18"/>
          <w:lang w:val="en-GB"/>
        </w:rPr>
        <w:t>PtRu</w:t>
      </w:r>
      <w:proofErr w:type="spellEnd"/>
      <w:r w:rsidRPr="00223217">
        <w:rPr>
          <w:rFonts w:ascii="Times New Roman" w:hAnsi="Times New Roman" w:cs="Times New Roman"/>
          <w:sz w:val="18"/>
          <w:szCs w:val="18"/>
          <w:lang w:val="en-GB"/>
        </w:rPr>
        <w:t>/TiO</w:t>
      </w:r>
      <w:r w:rsidRPr="00223217">
        <w:rPr>
          <w:rFonts w:ascii="Times New Roman" w:hAnsi="Times New Roman" w:cs="Times New Roman"/>
          <w:sz w:val="18"/>
          <w:szCs w:val="18"/>
          <w:vertAlign w:val="subscript"/>
          <w:lang w:val="en-GB"/>
        </w:rPr>
        <w:t>2</w:t>
      </w:r>
      <w:r w:rsidRPr="00223217">
        <w:rPr>
          <w:rFonts w:ascii="Times New Roman" w:hAnsi="Times New Roman" w:cs="Times New Roman"/>
          <w:sz w:val="18"/>
          <w:szCs w:val="18"/>
          <w:lang w:val="en-GB"/>
        </w:rPr>
        <w:t>-GA determined from the XRD analysis was less than composite TiO</w:t>
      </w:r>
      <w:r w:rsidRPr="00223217">
        <w:rPr>
          <w:rFonts w:ascii="Times New Roman" w:hAnsi="Times New Roman" w:cs="Times New Roman"/>
          <w:sz w:val="18"/>
          <w:szCs w:val="18"/>
          <w:vertAlign w:val="subscript"/>
          <w:lang w:val="en-GB"/>
        </w:rPr>
        <w:t>2</w:t>
      </w:r>
      <w:r w:rsidRPr="00223217">
        <w:rPr>
          <w:rFonts w:ascii="Times New Roman" w:hAnsi="Times New Roman" w:cs="Times New Roman"/>
          <w:sz w:val="18"/>
          <w:szCs w:val="18"/>
          <w:lang w:val="en-GB"/>
        </w:rPr>
        <w:t xml:space="preserve">-GA. </w:t>
      </w:r>
      <w:r w:rsidRPr="00223217">
        <w:rPr>
          <w:rFonts w:ascii="Times New Roman" w:eastAsiaTheme="minorHAnsi" w:hAnsi="Times New Roman" w:cs="Times New Roman"/>
          <w:kern w:val="0"/>
          <w:sz w:val="18"/>
          <w:szCs w:val="18"/>
          <w:lang w:val="en-GB" w:eastAsia="en-US"/>
        </w:rPr>
        <w:t>The existence of the carbon support material was confirmed by the Raman spectra in all generated samples. Within the electrocatalyst and TiO</w:t>
      </w:r>
      <w:r w:rsidRPr="00223217">
        <w:rPr>
          <w:rFonts w:ascii="Times New Roman" w:eastAsiaTheme="minorHAnsi" w:hAnsi="Times New Roman" w:cs="Times New Roman"/>
          <w:kern w:val="0"/>
          <w:sz w:val="18"/>
          <w:szCs w:val="18"/>
          <w:vertAlign w:val="subscript"/>
          <w:lang w:val="en-GB" w:eastAsia="en-US"/>
        </w:rPr>
        <w:t>2</w:t>
      </w:r>
      <w:r w:rsidRPr="00223217">
        <w:rPr>
          <w:rFonts w:ascii="Times New Roman" w:eastAsiaTheme="minorHAnsi" w:hAnsi="Times New Roman" w:cs="Times New Roman"/>
          <w:kern w:val="0"/>
          <w:sz w:val="18"/>
          <w:szCs w:val="18"/>
          <w:lang w:val="en-GB" w:eastAsia="en-US"/>
        </w:rPr>
        <w:t>-GA, the ratio value of the D band to the G band (I</w:t>
      </w:r>
      <w:r w:rsidRPr="00223217">
        <w:rPr>
          <w:rFonts w:ascii="Times New Roman" w:eastAsiaTheme="minorHAnsi" w:hAnsi="Times New Roman" w:cs="Times New Roman"/>
          <w:kern w:val="0"/>
          <w:sz w:val="18"/>
          <w:szCs w:val="18"/>
          <w:vertAlign w:val="subscript"/>
          <w:lang w:val="en-GB" w:eastAsia="en-US"/>
        </w:rPr>
        <w:t>D</w:t>
      </w:r>
      <w:r w:rsidRPr="00223217">
        <w:rPr>
          <w:rFonts w:ascii="Times New Roman" w:eastAsiaTheme="minorHAnsi" w:hAnsi="Times New Roman" w:cs="Times New Roman"/>
          <w:kern w:val="0"/>
          <w:sz w:val="18"/>
          <w:szCs w:val="18"/>
          <w:lang w:val="en-GB" w:eastAsia="en-US"/>
        </w:rPr>
        <w:t>/I</w:t>
      </w:r>
      <w:r w:rsidRPr="00223217">
        <w:rPr>
          <w:rFonts w:ascii="Times New Roman" w:eastAsiaTheme="minorHAnsi" w:hAnsi="Times New Roman" w:cs="Times New Roman"/>
          <w:kern w:val="0"/>
          <w:sz w:val="18"/>
          <w:szCs w:val="18"/>
          <w:vertAlign w:val="subscript"/>
          <w:lang w:val="en-GB" w:eastAsia="en-US"/>
        </w:rPr>
        <w:t>G</w:t>
      </w:r>
      <w:r w:rsidRPr="00223217">
        <w:rPr>
          <w:rFonts w:ascii="Times New Roman" w:eastAsiaTheme="minorHAnsi" w:hAnsi="Times New Roman" w:cs="Times New Roman"/>
          <w:kern w:val="0"/>
          <w:sz w:val="18"/>
          <w:szCs w:val="18"/>
          <w:lang w:val="en-GB" w:eastAsia="en-US"/>
        </w:rPr>
        <w:t>) was not significantly different. The computed I</w:t>
      </w:r>
      <w:r w:rsidRPr="00223217">
        <w:rPr>
          <w:rFonts w:ascii="Times New Roman" w:eastAsiaTheme="minorHAnsi" w:hAnsi="Times New Roman" w:cs="Times New Roman"/>
          <w:kern w:val="0"/>
          <w:sz w:val="18"/>
          <w:szCs w:val="18"/>
          <w:vertAlign w:val="subscript"/>
          <w:lang w:val="en-GB" w:eastAsia="en-US"/>
        </w:rPr>
        <w:t>D</w:t>
      </w:r>
      <w:r w:rsidRPr="00223217">
        <w:rPr>
          <w:rFonts w:ascii="Times New Roman" w:eastAsiaTheme="minorHAnsi" w:hAnsi="Times New Roman" w:cs="Times New Roman"/>
          <w:kern w:val="0"/>
          <w:sz w:val="18"/>
          <w:szCs w:val="18"/>
          <w:lang w:val="en-GB" w:eastAsia="en-US"/>
        </w:rPr>
        <w:t>/I</w:t>
      </w:r>
      <w:r w:rsidRPr="00223217">
        <w:rPr>
          <w:rFonts w:ascii="Times New Roman" w:eastAsiaTheme="minorHAnsi" w:hAnsi="Times New Roman" w:cs="Times New Roman"/>
          <w:kern w:val="0"/>
          <w:sz w:val="18"/>
          <w:szCs w:val="18"/>
          <w:vertAlign w:val="subscript"/>
          <w:lang w:val="en-GB" w:eastAsia="en-US"/>
        </w:rPr>
        <w:t>G</w:t>
      </w:r>
      <w:r w:rsidRPr="00223217">
        <w:rPr>
          <w:rFonts w:ascii="Times New Roman" w:eastAsiaTheme="minorHAnsi" w:hAnsi="Times New Roman" w:cs="Times New Roman"/>
          <w:kern w:val="0"/>
          <w:sz w:val="18"/>
          <w:szCs w:val="18"/>
          <w:lang w:val="en-GB" w:eastAsia="en-US"/>
        </w:rPr>
        <w:t xml:space="preserve"> values for TiO</w:t>
      </w:r>
      <w:r w:rsidRPr="00223217">
        <w:rPr>
          <w:rFonts w:ascii="Times New Roman" w:eastAsiaTheme="minorHAnsi" w:hAnsi="Times New Roman" w:cs="Times New Roman"/>
          <w:kern w:val="0"/>
          <w:sz w:val="18"/>
          <w:szCs w:val="18"/>
          <w:vertAlign w:val="subscript"/>
          <w:lang w:val="en-GB" w:eastAsia="en-US"/>
        </w:rPr>
        <w:t>2</w:t>
      </w:r>
      <w:r w:rsidRPr="00223217">
        <w:rPr>
          <w:rFonts w:ascii="Times New Roman" w:eastAsiaTheme="minorHAnsi" w:hAnsi="Times New Roman" w:cs="Times New Roman"/>
          <w:kern w:val="0"/>
          <w:sz w:val="18"/>
          <w:szCs w:val="18"/>
          <w:lang w:val="en-GB" w:eastAsia="en-US"/>
        </w:rPr>
        <w:t xml:space="preserve">-GA and </w:t>
      </w:r>
      <w:proofErr w:type="spellStart"/>
      <w:r w:rsidRPr="00223217">
        <w:rPr>
          <w:rFonts w:ascii="Times New Roman" w:eastAsiaTheme="minorHAnsi" w:hAnsi="Times New Roman" w:cs="Times New Roman"/>
          <w:kern w:val="0"/>
          <w:sz w:val="18"/>
          <w:szCs w:val="18"/>
          <w:lang w:val="en-GB" w:eastAsia="en-US"/>
        </w:rPr>
        <w:t>PtRu</w:t>
      </w:r>
      <w:proofErr w:type="spellEnd"/>
      <w:r w:rsidRPr="00223217">
        <w:rPr>
          <w:rFonts w:ascii="Times New Roman" w:eastAsiaTheme="minorHAnsi" w:hAnsi="Times New Roman" w:cs="Times New Roman"/>
          <w:kern w:val="0"/>
          <w:sz w:val="18"/>
          <w:szCs w:val="18"/>
          <w:lang w:val="en-GB" w:eastAsia="en-US"/>
        </w:rPr>
        <w:t>/TiO</w:t>
      </w:r>
      <w:r w:rsidRPr="00223217">
        <w:rPr>
          <w:rFonts w:ascii="Times New Roman" w:eastAsiaTheme="minorHAnsi" w:hAnsi="Times New Roman" w:cs="Times New Roman"/>
          <w:kern w:val="0"/>
          <w:sz w:val="18"/>
          <w:szCs w:val="18"/>
          <w:vertAlign w:val="subscript"/>
          <w:lang w:val="en-GB" w:eastAsia="en-US"/>
        </w:rPr>
        <w:t>2</w:t>
      </w:r>
      <w:r w:rsidRPr="00223217">
        <w:rPr>
          <w:rFonts w:ascii="Times New Roman" w:eastAsiaTheme="minorHAnsi" w:hAnsi="Times New Roman" w:cs="Times New Roman"/>
          <w:kern w:val="0"/>
          <w:sz w:val="18"/>
          <w:szCs w:val="18"/>
          <w:lang w:val="en-GB" w:eastAsia="en-US"/>
        </w:rPr>
        <w:t xml:space="preserve">-GA electrocatalysts were 0.99 and 1.02, respectively. </w:t>
      </w:r>
      <w:r w:rsidRPr="00223217">
        <w:rPr>
          <w:rFonts w:ascii="Times New Roman" w:hAnsi="Times New Roman" w:cs="Times New Roman"/>
          <w:sz w:val="18"/>
          <w:szCs w:val="18"/>
          <w:lang w:val="en-GB"/>
        </w:rPr>
        <w:t>The best TiO</w:t>
      </w:r>
      <w:r w:rsidRPr="00223217">
        <w:rPr>
          <w:rFonts w:ascii="Times New Roman" w:hAnsi="Times New Roman" w:cs="Times New Roman"/>
          <w:sz w:val="18"/>
          <w:szCs w:val="18"/>
          <w:vertAlign w:val="subscript"/>
          <w:lang w:val="en-GB"/>
        </w:rPr>
        <w:t>2</w:t>
      </w:r>
      <w:r w:rsidRPr="00223217">
        <w:rPr>
          <w:rFonts w:ascii="Times New Roman" w:hAnsi="Times New Roman" w:cs="Times New Roman"/>
          <w:sz w:val="18"/>
          <w:szCs w:val="18"/>
          <w:lang w:val="en-GB"/>
        </w:rPr>
        <w:t xml:space="preserve">-GA was doped with </w:t>
      </w:r>
      <w:proofErr w:type="spellStart"/>
      <w:r w:rsidRPr="00223217">
        <w:rPr>
          <w:rFonts w:ascii="Times New Roman" w:hAnsi="Times New Roman" w:cs="Times New Roman"/>
          <w:sz w:val="18"/>
          <w:szCs w:val="18"/>
          <w:lang w:val="en-GB"/>
        </w:rPr>
        <w:t>PtRu</w:t>
      </w:r>
      <w:proofErr w:type="spellEnd"/>
      <w:r w:rsidRPr="00223217">
        <w:rPr>
          <w:rFonts w:ascii="Times New Roman" w:hAnsi="Times New Roman" w:cs="Times New Roman"/>
          <w:sz w:val="18"/>
          <w:szCs w:val="18"/>
          <w:lang w:val="en-GB"/>
        </w:rPr>
        <w:t xml:space="preserve"> catalyst for the electrochemical test and DMFC performance based on FESEM characterization. </w:t>
      </w:r>
      <w:proofErr w:type="spellStart"/>
      <w:r w:rsidRPr="00223217">
        <w:rPr>
          <w:rFonts w:ascii="Times New Roman" w:hAnsi="Times New Roman" w:cs="Times New Roman"/>
          <w:sz w:val="18"/>
          <w:szCs w:val="18"/>
          <w:lang w:val="en-GB"/>
        </w:rPr>
        <w:t>PtRu</w:t>
      </w:r>
      <w:proofErr w:type="spellEnd"/>
      <w:r w:rsidRPr="00223217">
        <w:rPr>
          <w:rFonts w:ascii="Times New Roman" w:hAnsi="Times New Roman" w:cs="Times New Roman"/>
          <w:sz w:val="18"/>
          <w:szCs w:val="18"/>
          <w:lang w:val="en-GB"/>
        </w:rPr>
        <w:t>/ TiO</w:t>
      </w:r>
      <w:r w:rsidRPr="00223217">
        <w:rPr>
          <w:rFonts w:ascii="Times New Roman" w:hAnsi="Times New Roman" w:cs="Times New Roman"/>
          <w:sz w:val="18"/>
          <w:szCs w:val="18"/>
          <w:vertAlign w:val="subscript"/>
          <w:lang w:val="en-GB"/>
        </w:rPr>
        <w:t>2</w:t>
      </w:r>
      <w:r w:rsidRPr="00223217">
        <w:rPr>
          <w:rFonts w:ascii="Times New Roman" w:hAnsi="Times New Roman" w:cs="Times New Roman"/>
          <w:sz w:val="18"/>
          <w:szCs w:val="18"/>
          <w:lang w:val="en-GB"/>
        </w:rPr>
        <w:t>-GA exhibited better electrocatalytic activity, as well as improv</w:t>
      </w:r>
      <w:r w:rsidR="00092B1E" w:rsidRPr="00223217">
        <w:rPr>
          <w:rFonts w:ascii="Times New Roman" w:hAnsi="Times New Roman" w:cs="Times New Roman"/>
          <w:sz w:val="18"/>
          <w:szCs w:val="18"/>
          <w:lang w:val="en-GB"/>
        </w:rPr>
        <w:t>ed</w:t>
      </w:r>
      <w:r w:rsidRPr="00223217">
        <w:rPr>
          <w:rFonts w:ascii="Times New Roman" w:hAnsi="Times New Roman" w:cs="Times New Roman"/>
          <w:sz w:val="18"/>
          <w:szCs w:val="18"/>
          <w:lang w:val="en-GB"/>
        </w:rPr>
        <w:t xml:space="preserve"> </w:t>
      </w:r>
      <w:proofErr w:type="spellStart"/>
      <w:r w:rsidRPr="00223217">
        <w:rPr>
          <w:rFonts w:ascii="Times New Roman" w:hAnsi="Times New Roman" w:cs="Times New Roman"/>
          <w:sz w:val="18"/>
          <w:szCs w:val="18"/>
          <w:lang w:val="en-GB"/>
        </w:rPr>
        <w:t>PtRu</w:t>
      </w:r>
      <w:proofErr w:type="spellEnd"/>
      <w:r w:rsidRPr="00223217">
        <w:rPr>
          <w:rFonts w:ascii="Times New Roman" w:hAnsi="Times New Roman" w:cs="Times New Roman"/>
          <w:sz w:val="18"/>
          <w:szCs w:val="18"/>
          <w:lang w:val="en-GB"/>
        </w:rPr>
        <w:t xml:space="preserve"> usage efficiency stability and methanol oxidation reaction. Notably, </w:t>
      </w:r>
      <w:r w:rsidR="00092B1E" w:rsidRPr="00223217">
        <w:rPr>
          <w:rFonts w:ascii="Times New Roman" w:hAnsi="Times New Roman" w:cs="Times New Roman"/>
          <w:sz w:val="18"/>
          <w:szCs w:val="18"/>
          <w:lang w:val="en-GB"/>
        </w:rPr>
        <w:t xml:space="preserve">the </w:t>
      </w:r>
      <w:r w:rsidRPr="00223217">
        <w:rPr>
          <w:rFonts w:ascii="Times New Roman" w:hAnsi="Times New Roman" w:cs="Times New Roman"/>
          <w:sz w:val="18"/>
          <w:szCs w:val="18"/>
          <w:lang w:val="en-GB"/>
        </w:rPr>
        <w:t>ECSA value was around 76.01 m</w:t>
      </w:r>
      <w:r w:rsidRPr="00223217">
        <w:rPr>
          <w:rFonts w:ascii="Times New Roman" w:hAnsi="Times New Roman" w:cs="Times New Roman"/>
          <w:sz w:val="18"/>
          <w:szCs w:val="18"/>
          <w:vertAlign w:val="superscript"/>
          <w:lang w:val="en-GB"/>
        </w:rPr>
        <w:t>2</w:t>
      </w:r>
      <w:r w:rsidRPr="00223217">
        <w:rPr>
          <w:rFonts w:ascii="Times New Roman" w:hAnsi="Times New Roman" w:cs="Times New Roman"/>
          <w:sz w:val="18"/>
          <w:szCs w:val="18"/>
          <w:lang w:val="en-GB"/>
        </w:rPr>
        <w:t>g</w:t>
      </w:r>
      <w:r w:rsidRPr="00223217">
        <w:rPr>
          <w:rFonts w:ascii="Times New Roman" w:hAnsi="Times New Roman" w:cs="Times New Roman"/>
          <w:sz w:val="18"/>
          <w:szCs w:val="18"/>
          <w:vertAlign w:val="superscript"/>
          <w:lang w:val="en-GB"/>
        </w:rPr>
        <w:t>-1</w:t>
      </w:r>
      <w:r w:rsidRPr="00223217">
        <w:rPr>
          <w:rFonts w:ascii="Times New Roman" w:hAnsi="Times New Roman" w:cs="Times New Roman"/>
          <w:sz w:val="18"/>
          <w:szCs w:val="18"/>
          <w:lang w:val="en-GB"/>
        </w:rPr>
        <w:t>, and the mass activity (957.15 mAmg</w:t>
      </w:r>
      <w:r w:rsidRPr="00223217">
        <w:rPr>
          <w:rFonts w:ascii="Times New Roman" w:hAnsi="Times New Roman" w:cs="Times New Roman"/>
          <w:sz w:val="18"/>
          <w:szCs w:val="18"/>
          <w:vertAlign w:val="superscript"/>
          <w:lang w:val="en-GB"/>
        </w:rPr>
        <w:t>-1</w:t>
      </w:r>
      <w:r w:rsidRPr="00223217">
        <w:rPr>
          <w:rFonts w:ascii="Times New Roman" w:hAnsi="Times New Roman" w:cs="Times New Roman"/>
          <w:sz w:val="18"/>
          <w:szCs w:val="18"/>
          <w:lang w:val="en-GB"/>
        </w:rPr>
        <w:t xml:space="preserve">) was higher than commercial with the same loading (20%) </w:t>
      </w:r>
      <w:proofErr w:type="spellStart"/>
      <w:r w:rsidRPr="00223217">
        <w:rPr>
          <w:rFonts w:ascii="Times New Roman" w:hAnsi="Times New Roman" w:cs="Times New Roman"/>
          <w:sz w:val="18"/>
          <w:szCs w:val="18"/>
          <w:lang w:val="en-GB"/>
        </w:rPr>
        <w:t>PtRu</w:t>
      </w:r>
      <w:proofErr w:type="spellEnd"/>
      <w:r w:rsidRPr="00223217">
        <w:rPr>
          <w:rFonts w:ascii="Times New Roman" w:hAnsi="Times New Roman" w:cs="Times New Roman"/>
          <w:sz w:val="18"/>
          <w:szCs w:val="18"/>
          <w:lang w:val="en-GB"/>
        </w:rPr>
        <w:t>/C (</w:t>
      </w:r>
      <w:r w:rsidRPr="00223217">
        <w:rPr>
          <w:rFonts w:ascii="Times New Roman" w:eastAsia="Times New Roman" w:hAnsi="Times New Roman" w:cs="Times New Roman"/>
          <w:sz w:val="18"/>
          <w:szCs w:val="18"/>
          <w:lang w:val="en-GB"/>
        </w:rPr>
        <w:t xml:space="preserve">110.79 </w:t>
      </w:r>
      <w:r w:rsidRPr="00223217">
        <w:rPr>
          <w:rFonts w:ascii="Times New Roman" w:hAnsi="Times New Roman" w:cs="Times New Roman"/>
          <w:sz w:val="18"/>
          <w:szCs w:val="18"/>
          <w:lang w:val="en-GB"/>
        </w:rPr>
        <w:t>mAmg</w:t>
      </w:r>
      <w:r w:rsidRPr="00223217">
        <w:rPr>
          <w:rFonts w:ascii="Times New Roman" w:hAnsi="Times New Roman" w:cs="Times New Roman"/>
          <w:sz w:val="18"/>
          <w:szCs w:val="18"/>
          <w:vertAlign w:val="superscript"/>
          <w:lang w:val="en-GB"/>
        </w:rPr>
        <w:t>-1</w:t>
      </w:r>
      <w:r w:rsidRPr="00223217">
        <w:rPr>
          <w:rFonts w:ascii="Times New Roman" w:hAnsi="Times New Roman" w:cs="Times New Roman"/>
          <w:sz w:val="18"/>
          <w:szCs w:val="18"/>
          <w:lang w:val="en-GB"/>
        </w:rPr>
        <w:t xml:space="preserve">). Interestingly after </w:t>
      </w:r>
      <w:r w:rsidR="00092B1E" w:rsidRPr="00223217">
        <w:rPr>
          <w:rFonts w:ascii="Times New Roman" w:hAnsi="Times New Roman" w:cs="Times New Roman"/>
          <w:sz w:val="18"/>
          <w:szCs w:val="18"/>
          <w:lang w:val="en-GB"/>
        </w:rPr>
        <w:t xml:space="preserve">the </w:t>
      </w:r>
      <w:r w:rsidRPr="00223217">
        <w:rPr>
          <w:rFonts w:ascii="Times New Roman" w:hAnsi="Times New Roman" w:cs="Times New Roman"/>
          <w:sz w:val="18"/>
          <w:szCs w:val="18"/>
          <w:lang w:val="en-GB"/>
        </w:rPr>
        <w:t xml:space="preserve">2000s, the current density of </w:t>
      </w:r>
      <w:proofErr w:type="spellStart"/>
      <w:r w:rsidRPr="00223217">
        <w:rPr>
          <w:rFonts w:ascii="Times New Roman" w:eastAsiaTheme="minorHAnsi" w:hAnsi="Times New Roman" w:cs="Times New Roman"/>
          <w:kern w:val="0"/>
          <w:sz w:val="18"/>
          <w:szCs w:val="18"/>
          <w:lang w:val="en-GB" w:eastAsia="en-US"/>
        </w:rPr>
        <w:t>PtRu</w:t>
      </w:r>
      <w:proofErr w:type="spellEnd"/>
      <w:r w:rsidRPr="00223217">
        <w:rPr>
          <w:rFonts w:ascii="Times New Roman" w:eastAsiaTheme="minorHAnsi" w:hAnsi="Times New Roman" w:cs="Times New Roman"/>
          <w:kern w:val="0"/>
          <w:sz w:val="18"/>
          <w:szCs w:val="18"/>
          <w:lang w:val="en-GB" w:eastAsia="en-US"/>
        </w:rPr>
        <w:t>/TiO</w:t>
      </w:r>
      <w:r w:rsidRPr="00223217">
        <w:rPr>
          <w:rFonts w:ascii="Times New Roman" w:eastAsiaTheme="minorHAnsi" w:hAnsi="Times New Roman" w:cs="Times New Roman"/>
          <w:kern w:val="0"/>
          <w:sz w:val="18"/>
          <w:szCs w:val="18"/>
          <w:vertAlign w:val="subscript"/>
          <w:lang w:val="en-GB" w:eastAsia="en-US"/>
        </w:rPr>
        <w:t>2</w:t>
      </w:r>
      <w:r w:rsidRPr="00223217">
        <w:rPr>
          <w:rFonts w:ascii="Times New Roman" w:eastAsiaTheme="minorHAnsi" w:hAnsi="Times New Roman" w:cs="Times New Roman"/>
          <w:kern w:val="0"/>
          <w:sz w:val="18"/>
          <w:szCs w:val="18"/>
          <w:lang w:val="en-GB" w:eastAsia="en-US"/>
        </w:rPr>
        <w:t xml:space="preserve">-GA </w:t>
      </w:r>
      <w:r w:rsidRPr="00223217">
        <w:rPr>
          <w:rFonts w:ascii="Times New Roman" w:hAnsi="Times New Roman" w:cs="Times New Roman"/>
          <w:sz w:val="18"/>
          <w:szCs w:val="18"/>
          <w:lang w:val="en-GB"/>
        </w:rPr>
        <w:t xml:space="preserve">was consistently higher than that of </w:t>
      </w:r>
      <w:proofErr w:type="spellStart"/>
      <w:r w:rsidRPr="00223217">
        <w:rPr>
          <w:rFonts w:ascii="Times New Roman" w:hAnsi="Times New Roman" w:cs="Times New Roman"/>
          <w:sz w:val="18"/>
          <w:szCs w:val="18"/>
          <w:lang w:val="en-GB"/>
        </w:rPr>
        <w:t>PtRu</w:t>
      </w:r>
      <w:proofErr w:type="spellEnd"/>
      <w:r w:rsidRPr="00223217">
        <w:rPr>
          <w:rFonts w:ascii="Times New Roman" w:hAnsi="Times New Roman" w:cs="Times New Roman"/>
          <w:sz w:val="18"/>
          <w:szCs w:val="18"/>
          <w:lang w:val="en-GB"/>
        </w:rPr>
        <w:t xml:space="preserve">/C. The superior electrocatalytic performance of </w:t>
      </w:r>
      <w:proofErr w:type="spellStart"/>
      <w:r w:rsidRPr="00223217">
        <w:rPr>
          <w:rFonts w:ascii="Times New Roman" w:eastAsiaTheme="minorHAnsi" w:hAnsi="Times New Roman" w:cs="Times New Roman"/>
          <w:kern w:val="0"/>
          <w:sz w:val="18"/>
          <w:szCs w:val="18"/>
          <w:lang w:val="en-GB" w:eastAsia="en-US"/>
        </w:rPr>
        <w:t>PtRu</w:t>
      </w:r>
      <w:proofErr w:type="spellEnd"/>
      <w:r w:rsidRPr="00223217">
        <w:rPr>
          <w:rFonts w:ascii="Times New Roman" w:eastAsiaTheme="minorHAnsi" w:hAnsi="Times New Roman" w:cs="Times New Roman"/>
          <w:kern w:val="0"/>
          <w:sz w:val="18"/>
          <w:szCs w:val="18"/>
          <w:lang w:val="en-GB" w:eastAsia="en-US"/>
        </w:rPr>
        <w:t>/TiO</w:t>
      </w:r>
      <w:r w:rsidRPr="00223217">
        <w:rPr>
          <w:rFonts w:ascii="Times New Roman" w:eastAsiaTheme="minorHAnsi" w:hAnsi="Times New Roman" w:cs="Times New Roman"/>
          <w:kern w:val="0"/>
          <w:sz w:val="18"/>
          <w:szCs w:val="18"/>
          <w:vertAlign w:val="subscript"/>
          <w:lang w:val="en-GB" w:eastAsia="en-US"/>
        </w:rPr>
        <w:t>2</w:t>
      </w:r>
      <w:r w:rsidRPr="00223217">
        <w:rPr>
          <w:rFonts w:ascii="Times New Roman" w:eastAsiaTheme="minorHAnsi" w:hAnsi="Times New Roman" w:cs="Times New Roman"/>
          <w:kern w:val="0"/>
          <w:sz w:val="18"/>
          <w:szCs w:val="18"/>
          <w:lang w:val="en-GB" w:eastAsia="en-US"/>
        </w:rPr>
        <w:t xml:space="preserve">-GA </w:t>
      </w:r>
      <w:r w:rsidRPr="00223217">
        <w:rPr>
          <w:rFonts w:ascii="Times New Roman" w:hAnsi="Times New Roman" w:cs="Times New Roman"/>
          <w:sz w:val="18"/>
          <w:szCs w:val="18"/>
          <w:lang w:val="en-GB"/>
        </w:rPr>
        <w:t>towards methanol oxidation demonstrates its use in practical application as a promising anode material for DMFCs</w:t>
      </w:r>
    </w:p>
    <w:p w14:paraId="2E196233" w14:textId="77777777" w:rsidR="00AC3B7D" w:rsidRPr="00223217" w:rsidRDefault="00AC3B7D" w:rsidP="00785CA6">
      <w:pPr>
        <w:outlineLvl w:val="0"/>
        <w:rPr>
          <w:rFonts w:ascii="Times New Roman" w:hAnsi="Times New Roman" w:cs="Times New Roman"/>
          <w:sz w:val="18"/>
          <w:szCs w:val="18"/>
        </w:rPr>
      </w:pPr>
    </w:p>
    <w:p w14:paraId="3D11F6B1" w14:textId="3D0C5B63" w:rsidR="00785CA6" w:rsidRPr="00223217" w:rsidRDefault="00785CA6" w:rsidP="00223217">
      <w:pPr>
        <w:ind w:left="851" w:hanging="851"/>
        <w:outlineLvl w:val="0"/>
        <w:rPr>
          <w:rFonts w:ascii="Times New Roman" w:hAnsi="Times New Roman" w:cs="Times New Roman"/>
          <w:b/>
          <w:sz w:val="18"/>
          <w:szCs w:val="18"/>
        </w:rPr>
      </w:pPr>
      <w:r w:rsidRPr="00223217">
        <w:rPr>
          <w:rFonts w:ascii="Times New Roman" w:hAnsi="Times New Roman" w:cs="Times New Roman"/>
          <w:b/>
          <w:sz w:val="18"/>
          <w:szCs w:val="18"/>
        </w:rPr>
        <w:t>Keyword</w:t>
      </w:r>
      <w:r w:rsidR="009C4E07" w:rsidRPr="00223217">
        <w:rPr>
          <w:rFonts w:ascii="Times New Roman" w:hAnsi="Times New Roman" w:cs="Times New Roman"/>
          <w:b/>
          <w:sz w:val="18"/>
          <w:szCs w:val="18"/>
        </w:rPr>
        <w:t>s</w:t>
      </w:r>
      <w:r w:rsidRPr="00223217">
        <w:rPr>
          <w:rFonts w:ascii="Times New Roman" w:hAnsi="Times New Roman" w:cs="Times New Roman"/>
          <w:b/>
          <w:bCs/>
          <w:sz w:val="18"/>
          <w:szCs w:val="18"/>
        </w:rPr>
        <w:t>:</w:t>
      </w:r>
      <w:r w:rsidRPr="00223217">
        <w:rPr>
          <w:rFonts w:ascii="Times New Roman" w:hAnsi="Times New Roman" w:cs="Times New Roman"/>
          <w:b/>
          <w:bCs/>
        </w:rPr>
        <w:t xml:space="preserve"> </w:t>
      </w:r>
      <w:r w:rsidR="00607F26" w:rsidRPr="00223217">
        <w:rPr>
          <w:rFonts w:ascii="Times New Roman" w:hAnsi="Times New Roman" w:cs="Times New Roman"/>
          <w:sz w:val="18"/>
          <w:szCs w:val="18"/>
          <w:lang w:val="en-GB"/>
        </w:rPr>
        <w:t>3D titanium dioxide-graphene aerogel, platinum-ruthenium nanoparticles, electrocatalysis, methanol electro-oxidation</w:t>
      </w:r>
    </w:p>
    <w:p w14:paraId="7531C076" w14:textId="77777777" w:rsidR="00785CA6" w:rsidRPr="00223217" w:rsidRDefault="00785CA6" w:rsidP="00785CA6">
      <w:pPr>
        <w:jc w:val="center"/>
        <w:outlineLvl w:val="0"/>
        <w:rPr>
          <w:rFonts w:ascii="Times New Roman" w:hAnsi="Times New Roman" w:cs="Times New Roman"/>
          <w:b/>
          <w:noProof/>
          <w:sz w:val="18"/>
          <w:szCs w:val="18"/>
          <w:lang w:val="ms-MY"/>
        </w:rPr>
      </w:pPr>
      <w:r w:rsidRPr="00223217">
        <w:rPr>
          <w:rFonts w:ascii="Times New Roman" w:hAnsi="Times New Roman" w:cs="Times New Roman"/>
          <w:b/>
          <w:noProof/>
          <w:sz w:val="18"/>
          <w:szCs w:val="18"/>
          <w:lang w:val="ms-MY"/>
        </w:rPr>
        <w:t>Abstrak</w:t>
      </w:r>
    </w:p>
    <w:p w14:paraId="438591AA" w14:textId="7BF1F5AC" w:rsidR="0026268A" w:rsidRPr="00223217" w:rsidRDefault="0026268A" w:rsidP="0026268A">
      <w:pPr>
        <w:outlineLvl w:val="0"/>
        <w:rPr>
          <w:rFonts w:ascii="Times New Roman" w:hAnsi="Times New Roman" w:cs="Times New Roman"/>
          <w:noProof/>
          <w:sz w:val="18"/>
          <w:szCs w:val="18"/>
          <w:lang w:val="ms-MY"/>
        </w:rPr>
      </w:pPr>
      <w:r w:rsidRPr="00223217">
        <w:rPr>
          <w:rFonts w:ascii="Times New Roman" w:hAnsi="Times New Roman" w:cs="Times New Roman"/>
          <w:noProof/>
          <w:sz w:val="18"/>
          <w:szCs w:val="18"/>
          <w:lang w:val="ms-MY"/>
        </w:rPr>
        <w:t>Sokongan mangkin biasanya dilaksanakan untuk meningkatkan aktiviti pemangkin dalam sel bahan api metanol langsung (SFML). Oleh itu, kajian ini memberi tumpuan kepada novel sokongan pada 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-gra</w:t>
      </w:r>
      <w:r w:rsidR="00C62060" w:rsidRPr="00223217">
        <w:rPr>
          <w:rFonts w:ascii="Times New Roman" w:hAnsi="Times New Roman" w:cs="Times New Roman"/>
          <w:noProof/>
          <w:sz w:val="18"/>
          <w:szCs w:val="18"/>
          <w:lang w:val="ms-MY"/>
        </w:rPr>
        <w:t>fin</w:t>
      </w:r>
      <w:r w:rsidRPr="00223217">
        <w:rPr>
          <w:rFonts w:ascii="Times New Roman" w:hAnsi="Times New Roman" w:cs="Times New Roman"/>
          <w:noProof/>
          <w:sz w:val="18"/>
          <w:szCs w:val="18"/>
          <w:lang w:val="ms-MY"/>
        </w:rPr>
        <w:t xml:space="preserve"> aerogel berliang hierarki 3D telah ditubuhkan dengan gabungan kaedah hidroterma dan kaedah pengeringan beku. XRD, spektrum Raman dan FESEM digunakan untuk mengkaji PtRu/TiO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Anggaran saiz zarah PtRu/TiO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yang ditentukan daripada analisis XRD adalah kurang daripada komposit 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Kewujudan bahan sokongan karbon telah disahkan oleh spektrum Raman dalam semua sampel yang dihasilkan. Dalam elektromangkin dan 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nilai nisbah jalur D kepada jalur G (I</w:t>
      </w:r>
      <w:r w:rsidRPr="00223217">
        <w:rPr>
          <w:rFonts w:ascii="Times New Roman" w:hAnsi="Times New Roman" w:cs="Times New Roman"/>
          <w:noProof/>
          <w:sz w:val="18"/>
          <w:szCs w:val="18"/>
          <w:vertAlign w:val="subscript"/>
          <w:lang w:val="ms-MY"/>
        </w:rPr>
        <w:t>D</w:t>
      </w:r>
      <w:r w:rsidRPr="00223217">
        <w:rPr>
          <w:rFonts w:ascii="Times New Roman" w:hAnsi="Times New Roman" w:cs="Times New Roman"/>
          <w:noProof/>
          <w:sz w:val="18"/>
          <w:szCs w:val="18"/>
          <w:lang w:val="ms-MY"/>
        </w:rPr>
        <w:t>/I</w:t>
      </w:r>
      <w:r w:rsidRPr="00223217">
        <w:rPr>
          <w:rFonts w:ascii="Times New Roman" w:hAnsi="Times New Roman" w:cs="Times New Roman"/>
          <w:noProof/>
          <w:sz w:val="18"/>
          <w:szCs w:val="18"/>
          <w:vertAlign w:val="subscript"/>
          <w:lang w:val="ms-MY"/>
        </w:rPr>
        <w:t>G</w:t>
      </w:r>
      <w:r w:rsidRPr="00223217">
        <w:rPr>
          <w:rFonts w:ascii="Times New Roman" w:hAnsi="Times New Roman" w:cs="Times New Roman"/>
          <w:noProof/>
          <w:sz w:val="18"/>
          <w:szCs w:val="18"/>
          <w:lang w:val="ms-MY"/>
        </w:rPr>
        <w:t>) tidak berbeza dengan ketara. Nilai I</w:t>
      </w:r>
      <w:r w:rsidRPr="00223217">
        <w:rPr>
          <w:rFonts w:ascii="Times New Roman" w:hAnsi="Times New Roman" w:cs="Times New Roman"/>
          <w:noProof/>
          <w:sz w:val="18"/>
          <w:szCs w:val="18"/>
          <w:vertAlign w:val="subscript"/>
          <w:lang w:val="ms-MY"/>
        </w:rPr>
        <w:t>D</w:t>
      </w:r>
      <w:r w:rsidRPr="00223217">
        <w:rPr>
          <w:rFonts w:ascii="Times New Roman" w:hAnsi="Times New Roman" w:cs="Times New Roman"/>
          <w:noProof/>
          <w:sz w:val="18"/>
          <w:szCs w:val="18"/>
          <w:lang w:val="ms-MY"/>
        </w:rPr>
        <w:t>/I</w:t>
      </w:r>
      <w:r w:rsidRPr="00223217">
        <w:rPr>
          <w:rFonts w:ascii="Times New Roman" w:hAnsi="Times New Roman" w:cs="Times New Roman"/>
          <w:noProof/>
          <w:sz w:val="18"/>
          <w:szCs w:val="18"/>
          <w:vertAlign w:val="subscript"/>
          <w:lang w:val="ms-MY"/>
        </w:rPr>
        <w:t>G</w:t>
      </w:r>
      <w:r w:rsidRPr="00223217">
        <w:rPr>
          <w:rFonts w:ascii="Times New Roman" w:hAnsi="Times New Roman" w:cs="Times New Roman"/>
          <w:noProof/>
          <w:sz w:val="18"/>
          <w:szCs w:val="18"/>
          <w:lang w:val="ms-MY"/>
        </w:rPr>
        <w:t xml:space="preserve"> yang dikira untuk elektromangkin 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dan PtRu/TiO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ialah 0.99 dan 1.02, masing-masing. 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 xml:space="preserve">-GA terbaik akan didop dengan mangkin PtRu untuk ujian elektrokimia dan prestasi </w:t>
      </w:r>
      <w:r w:rsidR="00C62060" w:rsidRPr="00223217">
        <w:rPr>
          <w:rFonts w:ascii="Times New Roman" w:hAnsi="Times New Roman" w:cs="Times New Roman"/>
          <w:noProof/>
          <w:sz w:val="18"/>
          <w:szCs w:val="18"/>
          <w:lang w:val="ms-MY"/>
        </w:rPr>
        <w:t>SFML</w:t>
      </w:r>
      <w:r w:rsidRPr="00223217">
        <w:rPr>
          <w:rFonts w:ascii="Times New Roman" w:hAnsi="Times New Roman" w:cs="Times New Roman"/>
          <w:noProof/>
          <w:sz w:val="18"/>
          <w:szCs w:val="18"/>
          <w:lang w:val="ms-MY"/>
        </w:rPr>
        <w:t xml:space="preserve"> berdasarkan pencirian FESEM. PtRu/ 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mempamerkan aktiviti elektrokatalitik yang lebih baik, serta peningkatan kestabilan kecekapan penggunaan PtRu dan tindak balas pengoksidaan metanol. Terutama, nilai ECSA adalah sekitar 76.01 m</w:t>
      </w:r>
      <w:r w:rsidRPr="00223217">
        <w:rPr>
          <w:rFonts w:ascii="Times New Roman" w:hAnsi="Times New Roman" w:cs="Times New Roman"/>
          <w:noProof/>
          <w:sz w:val="18"/>
          <w:szCs w:val="18"/>
          <w:vertAlign w:val="superscript"/>
          <w:lang w:val="ms-MY"/>
        </w:rPr>
        <w:t>2</w:t>
      </w:r>
      <w:r w:rsidRPr="00223217">
        <w:rPr>
          <w:rFonts w:ascii="Times New Roman" w:hAnsi="Times New Roman" w:cs="Times New Roman"/>
          <w:noProof/>
          <w:sz w:val="18"/>
          <w:szCs w:val="18"/>
          <w:lang w:val="ms-MY"/>
        </w:rPr>
        <w:t>g</w:t>
      </w:r>
      <w:r w:rsidRPr="00223217">
        <w:rPr>
          <w:rFonts w:ascii="Times New Roman" w:hAnsi="Times New Roman" w:cs="Times New Roman"/>
          <w:noProof/>
          <w:sz w:val="18"/>
          <w:szCs w:val="18"/>
          <w:vertAlign w:val="superscript"/>
          <w:lang w:val="ms-MY"/>
        </w:rPr>
        <w:t>-1</w:t>
      </w:r>
      <w:r w:rsidRPr="00223217">
        <w:rPr>
          <w:rFonts w:ascii="Times New Roman" w:hAnsi="Times New Roman" w:cs="Times New Roman"/>
          <w:noProof/>
          <w:sz w:val="18"/>
          <w:szCs w:val="18"/>
          <w:lang w:val="ms-MY"/>
        </w:rPr>
        <w:t>, aktiviti jisim (957.15 mAmg</w:t>
      </w:r>
      <w:r w:rsidRPr="00223217">
        <w:rPr>
          <w:rFonts w:ascii="Times New Roman" w:hAnsi="Times New Roman" w:cs="Times New Roman"/>
          <w:noProof/>
          <w:sz w:val="18"/>
          <w:szCs w:val="18"/>
          <w:vertAlign w:val="superscript"/>
          <w:lang w:val="ms-MY"/>
        </w:rPr>
        <w:t>-1</w:t>
      </w:r>
      <w:r w:rsidRPr="00223217">
        <w:rPr>
          <w:rFonts w:ascii="Times New Roman" w:hAnsi="Times New Roman" w:cs="Times New Roman"/>
          <w:noProof/>
          <w:sz w:val="18"/>
          <w:szCs w:val="18"/>
          <w:lang w:val="ms-MY"/>
        </w:rPr>
        <w:t>) adalah lebih tinggi daripada komersial dengan pemuatan yang sama (20%) PtRu/C (110.79 mAmg</w:t>
      </w:r>
      <w:r w:rsidRPr="00223217">
        <w:rPr>
          <w:rFonts w:ascii="Times New Roman" w:hAnsi="Times New Roman" w:cs="Times New Roman"/>
          <w:noProof/>
          <w:sz w:val="18"/>
          <w:szCs w:val="18"/>
          <w:vertAlign w:val="superscript"/>
          <w:lang w:val="ms-MY"/>
        </w:rPr>
        <w:t>-1</w:t>
      </w:r>
      <w:r w:rsidRPr="00223217">
        <w:rPr>
          <w:rFonts w:ascii="Times New Roman" w:hAnsi="Times New Roman" w:cs="Times New Roman"/>
          <w:noProof/>
          <w:sz w:val="18"/>
          <w:szCs w:val="18"/>
          <w:lang w:val="ms-MY"/>
        </w:rPr>
        <w:t>). Menariknya selepas minit ke-2000 saat, ketumpatan semasa PtRu/TiO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sentiasa lebih tinggi daripada PtRu/C. Prestasi elektrokatalitik unggul PtRu/TiO</w:t>
      </w:r>
      <w:r w:rsidRPr="00223217">
        <w:rPr>
          <w:rFonts w:ascii="Times New Roman" w:hAnsi="Times New Roman" w:cs="Times New Roman"/>
          <w:noProof/>
          <w:sz w:val="18"/>
          <w:szCs w:val="18"/>
          <w:vertAlign w:val="subscript"/>
          <w:lang w:val="ms-MY"/>
        </w:rPr>
        <w:t>2</w:t>
      </w:r>
      <w:r w:rsidRPr="00223217">
        <w:rPr>
          <w:rFonts w:ascii="Times New Roman" w:hAnsi="Times New Roman" w:cs="Times New Roman"/>
          <w:noProof/>
          <w:sz w:val="18"/>
          <w:szCs w:val="18"/>
          <w:lang w:val="ms-MY"/>
        </w:rPr>
        <w:t>-GA terhadap pengoksidaan metanol boleh digunakan dalam aplikasi praktikal sebagai bahan anod yang menjanjikan untuk DMFC.</w:t>
      </w:r>
    </w:p>
    <w:p w14:paraId="7EA63DD2" w14:textId="77777777" w:rsidR="00785CA6" w:rsidRPr="00223217" w:rsidRDefault="00785CA6" w:rsidP="00785CA6">
      <w:pPr>
        <w:outlineLvl w:val="0"/>
        <w:rPr>
          <w:rFonts w:ascii="Times New Roman" w:hAnsi="Times New Roman" w:cs="Times New Roman"/>
          <w:noProof/>
          <w:sz w:val="18"/>
          <w:szCs w:val="18"/>
          <w:lang w:val="ms-MY"/>
        </w:rPr>
      </w:pPr>
    </w:p>
    <w:p w14:paraId="6F03F5EA" w14:textId="47B7F248" w:rsidR="00785CA6" w:rsidRPr="00223217" w:rsidRDefault="00785CA6" w:rsidP="00223217">
      <w:pPr>
        <w:ind w:left="993" w:hanging="993"/>
        <w:outlineLvl w:val="0"/>
        <w:rPr>
          <w:rFonts w:ascii="Times New Roman" w:hAnsi="Times New Roman" w:cs="Times New Roman"/>
          <w:b/>
          <w:noProof/>
          <w:kern w:val="0"/>
          <w:sz w:val="18"/>
          <w:szCs w:val="18"/>
          <w:lang w:val="ms-MY"/>
        </w:rPr>
      </w:pPr>
      <w:r w:rsidRPr="00223217">
        <w:rPr>
          <w:rFonts w:ascii="Times New Roman" w:hAnsi="Times New Roman" w:cs="Times New Roman"/>
          <w:b/>
          <w:noProof/>
          <w:sz w:val="18"/>
          <w:szCs w:val="18"/>
          <w:lang w:val="ms-MY"/>
        </w:rPr>
        <w:t xml:space="preserve">Kata kunci: </w:t>
      </w:r>
      <w:r w:rsidR="0026268A" w:rsidRPr="00223217">
        <w:rPr>
          <w:rFonts w:ascii="Times New Roman" w:hAnsi="Times New Roman" w:cs="Times New Roman"/>
          <w:bCs/>
          <w:noProof/>
          <w:sz w:val="18"/>
          <w:szCs w:val="18"/>
          <w:lang w:val="ms-MY"/>
        </w:rPr>
        <w:t>3D titanium dioksida-grafin aerogel, nanopartikel platinum-ruthenium, elektromangkin, elektro-pengoksidaan metanol</w:t>
      </w:r>
    </w:p>
    <w:p w14:paraId="05FE15E3" w14:textId="77777777" w:rsidR="003F3701" w:rsidRPr="00223217" w:rsidRDefault="003F3701" w:rsidP="003F3701">
      <w:pPr>
        <w:jc w:val="center"/>
        <w:outlineLvl w:val="0"/>
        <w:rPr>
          <w:rFonts w:ascii="Times New Roman" w:hAnsi="Times New Roman" w:cs="Times New Roman"/>
          <w:b/>
          <w:szCs w:val="20"/>
        </w:rPr>
      </w:pPr>
    </w:p>
    <w:p w14:paraId="7F9A4CF3" w14:textId="77777777" w:rsidR="00785CA6" w:rsidRPr="00223217" w:rsidRDefault="00785CA6" w:rsidP="00785CA6">
      <w:pPr>
        <w:jc w:val="center"/>
        <w:outlineLvl w:val="0"/>
        <w:rPr>
          <w:rFonts w:ascii="Times New Roman" w:hAnsi="Times New Roman" w:cs="Times New Roman"/>
          <w:b/>
        </w:rPr>
      </w:pPr>
      <w:r w:rsidRPr="00223217">
        <w:rPr>
          <w:rFonts w:ascii="Times New Roman" w:hAnsi="Times New Roman" w:cs="Times New Roman"/>
          <w:b/>
        </w:rPr>
        <w:t>Introduction</w:t>
      </w:r>
    </w:p>
    <w:p w14:paraId="60D36AD4" w14:textId="1FB394BB" w:rsidR="0026268A" w:rsidRPr="00223217" w:rsidRDefault="0026268A" w:rsidP="0026268A">
      <w:pPr>
        <w:rPr>
          <w:rFonts w:ascii="Times New Roman" w:hAnsi="Times New Roman" w:cs="Times New Roman"/>
          <w:szCs w:val="20"/>
          <w:lang w:val="en-GB"/>
        </w:rPr>
      </w:pPr>
      <w:r w:rsidRPr="00223217">
        <w:rPr>
          <w:rFonts w:ascii="Times New Roman" w:hAnsi="Times New Roman" w:cs="Times New Roman"/>
          <w:szCs w:val="20"/>
          <w:lang w:val="en-GB"/>
        </w:rPr>
        <w:t xml:space="preserve">Direct methanol fuel cells (DMFCs) have gained traction recently due to their technological advances through a variety of characteristics: low emissions, excellent energy conversion efficiency, liquid fuel handling convenience, and low operating temperature. These are the results of the increasing use of mobile devices and the prerequisite of affording sufficient energy and power for the application </w:t>
      </w:r>
      <w:r w:rsidR="00223217">
        <w:rPr>
          <w:rFonts w:ascii="Times New Roman" w:hAnsi="Times New Roman" w:cs="Times New Roman"/>
          <w:szCs w:val="20"/>
          <w:lang w:val="en-GB"/>
        </w:rPr>
        <w:t xml:space="preserve">[1,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{"citationItems":[{"id":"ITEM-1","itemData":{"DOI":"10.1016/j.apenergy.2010.11.012","ISSN":"03062619","abstract":"Due to the increasing demand for electricity, clean, renewable energy resources must be developed. Thus, the objective of the present study was to develop a passive direct methanol fuel cell (DMFC) for portable electronic devices. The power output of six dual DMFCs connected in series with an active area of 4cm2was approximately 600mW, and the power density of the DMFCs was 25mWcm-2. The DMFCs were evaluated as a power source for mobile phone chargers and media players. The results indicated that the open circuit voltage of the DMFC was between 6.0V and 6.5V, and the voltage under operating conditions was 4.0V. The fuel cell was tested on a variety of cell phone chargers, media players and PDAs. The cost of energy consumption by the proposed DMFC was estimated to be USD 20W-1, and the cost of methanol is USD 4kWh. Alternatively, the local conventional electricity tariff is USD 2kWh. However, for the large-scale production of electronic devices, the cost of methanol will be significantly lower. Moreover, the electricity tariff is expected to increase due to the constraints of fossil fuel resources and pollution. As a result, DMFCs will become competitive with conventional power sources. © 2010 Elsevier Ltd.","author":[{"dropping-particle":"","family":"Achmad","given":"F.","non-dropping-particle":"","parse-names":false,"suffix":""},{"dropping-particle":"","family":"Kamarudin","given":"S. K.","non-dropping-particle":"","parse-names":false,"suffix":""},{"dropping-particle":"","family":"Daud","given":"W. R.W.","non-dropping-particle":"","parse-names":false,"suffix":""},{"dropping-particle":"","family":"Majlan","given":"E. H.","non-dropping-particle":"","parse-names":false,"suffix":""}],"container-title":"Applied Energy","id":"ITEM-1","issue":"5","issued":{"date-parts":[["2011"]]},"page":"1681-1689","publisher":"Elsevier Ltd","title":"Passive direct methanol fuel cells for portable electronic devices","type":"article-journal","volume":"88"},"uris":["http://www.mendeley.com/documents/?uuid=d5130ff7-e537-4f84-8cc4-cc2453f5b569"]}],"mendeley":{"formattedCitation":"[2]","plainTextFormattedCitation":"[2]","previouslyFormattedCitation":"[2]"},"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2]</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The electrochemical reaction in a direct methanol fuel cell is represented as follows:</w:t>
      </w:r>
    </w:p>
    <w:p w14:paraId="29B64127" w14:textId="77777777" w:rsidR="0026268A" w:rsidRPr="00223217" w:rsidRDefault="0026268A" w:rsidP="0026268A">
      <w:pPr>
        <w:adjustRightInd w:val="0"/>
        <w:rPr>
          <w:rFonts w:ascii="Times New Roman" w:hAnsi="Times New Roman" w:cs="Times New Roman"/>
          <w:szCs w:val="20"/>
          <w:lang w:val="en-GB"/>
        </w:rPr>
      </w:pPr>
    </w:p>
    <w:p w14:paraId="4FEE2B7E" w14:textId="77777777" w:rsidR="0026268A" w:rsidRPr="00223217" w:rsidRDefault="0026268A" w:rsidP="0026268A">
      <w:pPr>
        <w:adjustRightInd w:val="0"/>
        <w:jc w:val="center"/>
        <w:rPr>
          <w:rFonts w:ascii="Times New Roman" w:hAnsi="Times New Roman" w:cs="Times New Roman"/>
          <w:szCs w:val="20"/>
          <w:lang w:val="en-GB"/>
        </w:rPr>
      </w:pPr>
      <w:r w:rsidRPr="00223217">
        <w:rPr>
          <w:rFonts w:ascii="Times New Roman" w:hAnsi="Times New Roman" w:cs="Times New Roman"/>
          <w:szCs w:val="20"/>
          <w:lang w:val="en-GB"/>
        </w:rPr>
        <w:t>CH</w:t>
      </w:r>
      <w:r w:rsidRPr="00223217">
        <w:rPr>
          <w:rFonts w:ascii="Times New Roman" w:hAnsi="Times New Roman" w:cs="Times New Roman"/>
          <w:szCs w:val="20"/>
          <w:vertAlign w:val="subscript"/>
          <w:lang w:val="en-GB"/>
        </w:rPr>
        <w:t>3</w:t>
      </w:r>
      <w:r w:rsidRPr="00223217">
        <w:rPr>
          <w:rFonts w:ascii="Times New Roman" w:hAnsi="Times New Roman" w:cs="Times New Roman"/>
          <w:szCs w:val="20"/>
          <w:lang w:val="en-GB"/>
        </w:rPr>
        <w:t>OH + H</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O → CO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+ 6H</w:t>
      </w:r>
      <w:r w:rsidRPr="00223217">
        <w:rPr>
          <w:rFonts w:ascii="Times New Roman" w:hAnsi="Times New Roman" w:cs="Times New Roman"/>
          <w:szCs w:val="20"/>
          <w:vertAlign w:val="superscript"/>
          <w:lang w:val="en-GB"/>
        </w:rPr>
        <w:t>+</w:t>
      </w:r>
      <w:r w:rsidRPr="00223217">
        <w:rPr>
          <w:rFonts w:ascii="Times New Roman" w:hAnsi="Times New Roman" w:cs="Times New Roman"/>
          <w:szCs w:val="20"/>
          <w:lang w:val="en-GB"/>
        </w:rPr>
        <w:t xml:space="preserve"> + 6e</w:t>
      </w:r>
      <w:r w:rsidRPr="00223217">
        <w:rPr>
          <w:rFonts w:ascii="Times New Roman" w:hAnsi="Times New Roman" w:cs="Times New Roman"/>
          <w:szCs w:val="20"/>
          <w:vertAlign w:val="superscript"/>
          <w:lang w:val="en-GB"/>
        </w:rPr>
        <w:t>−</w:t>
      </w:r>
      <w:r w:rsidRPr="00223217">
        <w:rPr>
          <w:rFonts w:ascii="Times New Roman" w:hAnsi="Times New Roman" w:cs="Times New Roman"/>
          <w:szCs w:val="20"/>
          <w:lang w:val="en-GB"/>
        </w:rPr>
        <w:tab/>
      </w:r>
      <w:r w:rsidRPr="00223217">
        <w:rPr>
          <w:rFonts w:ascii="Times New Roman" w:hAnsi="Times New Roman" w:cs="Times New Roman"/>
          <w:szCs w:val="20"/>
          <w:lang w:val="en-GB"/>
        </w:rPr>
        <w:tab/>
        <w:t>E° =0:016V (vs: SHE) (Anode reaction)</w:t>
      </w:r>
    </w:p>
    <w:p w14:paraId="7F074EB2" w14:textId="77777777" w:rsidR="0026268A" w:rsidRPr="00223217" w:rsidRDefault="0026268A" w:rsidP="0026268A">
      <w:pPr>
        <w:adjustRightInd w:val="0"/>
        <w:jc w:val="center"/>
        <w:rPr>
          <w:rFonts w:ascii="Times New Roman" w:hAnsi="Times New Roman" w:cs="Times New Roman"/>
          <w:szCs w:val="20"/>
          <w:lang w:val="en-GB"/>
        </w:rPr>
      </w:pPr>
      <w:r w:rsidRPr="00223217">
        <w:rPr>
          <w:rFonts w:ascii="Times New Roman" w:hAnsi="Times New Roman" w:cs="Times New Roman"/>
          <w:szCs w:val="20"/>
          <w:lang w:val="en-GB"/>
        </w:rPr>
        <w:t xml:space="preserve">   3/2O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+ 6H</w:t>
      </w:r>
      <w:r w:rsidRPr="00223217">
        <w:rPr>
          <w:rFonts w:ascii="Times New Roman" w:hAnsi="Times New Roman" w:cs="Times New Roman"/>
          <w:szCs w:val="20"/>
          <w:vertAlign w:val="superscript"/>
          <w:lang w:val="en-GB"/>
        </w:rPr>
        <w:t>+</w:t>
      </w:r>
      <w:r w:rsidRPr="00223217">
        <w:rPr>
          <w:rFonts w:ascii="Times New Roman" w:hAnsi="Times New Roman" w:cs="Times New Roman"/>
          <w:szCs w:val="20"/>
          <w:lang w:val="en-GB"/>
        </w:rPr>
        <w:t xml:space="preserve"> + 6e</w:t>
      </w:r>
      <w:r w:rsidRPr="00223217">
        <w:rPr>
          <w:rFonts w:ascii="Times New Roman" w:hAnsi="Times New Roman" w:cs="Times New Roman"/>
          <w:szCs w:val="20"/>
          <w:vertAlign w:val="superscript"/>
          <w:lang w:val="en-GB"/>
        </w:rPr>
        <w:t>−</w:t>
      </w:r>
      <w:r w:rsidRPr="00223217">
        <w:rPr>
          <w:rFonts w:ascii="Times New Roman" w:hAnsi="Times New Roman" w:cs="Times New Roman"/>
          <w:szCs w:val="20"/>
          <w:lang w:val="en-GB"/>
        </w:rPr>
        <w:t xml:space="preserve"> → 3H</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O </w:t>
      </w:r>
      <w:r w:rsidRPr="00223217">
        <w:rPr>
          <w:rFonts w:ascii="Times New Roman" w:hAnsi="Times New Roman" w:cs="Times New Roman"/>
          <w:szCs w:val="20"/>
          <w:lang w:val="en-GB"/>
        </w:rPr>
        <w:tab/>
        <w:t xml:space="preserve">   </w:t>
      </w:r>
      <w:r w:rsidRPr="00223217">
        <w:rPr>
          <w:rFonts w:ascii="Times New Roman" w:hAnsi="Times New Roman" w:cs="Times New Roman"/>
          <w:szCs w:val="20"/>
          <w:lang w:val="en-GB"/>
        </w:rPr>
        <w:tab/>
        <w:t xml:space="preserve">   E° =1:229V (vs: SHE) (Cathode reaction)</w:t>
      </w:r>
    </w:p>
    <w:p w14:paraId="5662FF45" w14:textId="77777777" w:rsidR="0026268A" w:rsidRPr="00223217" w:rsidRDefault="0026268A" w:rsidP="0026268A">
      <w:pPr>
        <w:adjustRightInd w:val="0"/>
        <w:jc w:val="center"/>
        <w:rPr>
          <w:rFonts w:ascii="Times New Roman" w:hAnsi="Times New Roman" w:cs="Times New Roman"/>
          <w:szCs w:val="20"/>
          <w:lang w:val="en-GB"/>
        </w:rPr>
      </w:pPr>
      <w:r w:rsidRPr="00223217">
        <w:rPr>
          <w:rFonts w:ascii="Times New Roman" w:hAnsi="Times New Roman" w:cs="Times New Roman"/>
          <w:szCs w:val="20"/>
          <w:lang w:val="en-GB"/>
        </w:rPr>
        <w:t xml:space="preserve">  CH</w:t>
      </w:r>
      <w:r w:rsidRPr="00223217">
        <w:rPr>
          <w:rFonts w:ascii="Times New Roman" w:hAnsi="Times New Roman" w:cs="Times New Roman"/>
          <w:szCs w:val="20"/>
          <w:vertAlign w:val="subscript"/>
          <w:lang w:val="en-GB"/>
        </w:rPr>
        <w:t>3</w:t>
      </w:r>
      <w:r w:rsidRPr="00223217">
        <w:rPr>
          <w:rFonts w:ascii="Times New Roman" w:hAnsi="Times New Roman" w:cs="Times New Roman"/>
          <w:szCs w:val="20"/>
          <w:lang w:val="en-GB"/>
        </w:rPr>
        <w:t>OH + H</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O → CO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+ 6H</w:t>
      </w:r>
      <w:r w:rsidRPr="00223217">
        <w:rPr>
          <w:rFonts w:ascii="Times New Roman" w:hAnsi="Times New Roman" w:cs="Times New Roman"/>
          <w:szCs w:val="20"/>
          <w:vertAlign w:val="superscript"/>
          <w:lang w:val="en-GB"/>
        </w:rPr>
        <w:t>+</w:t>
      </w:r>
      <w:r w:rsidRPr="00223217">
        <w:rPr>
          <w:rFonts w:ascii="Times New Roman" w:hAnsi="Times New Roman" w:cs="Times New Roman"/>
          <w:szCs w:val="20"/>
          <w:lang w:val="en-GB"/>
        </w:rPr>
        <w:t xml:space="preserve"> + 6e</w:t>
      </w:r>
      <w:r w:rsidRPr="00223217">
        <w:rPr>
          <w:rFonts w:ascii="Times New Roman" w:hAnsi="Times New Roman" w:cs="Times New Roman"/>
          <w:szCs w:val="20"/>
          <w:vertAlign w:val="superscript"/>
          <w:lang w:val="en-GB"/>
        </w:rPr>
        <w:t>−</w:t>
      </w:r>
      <w:r w:rsidRPr="00223217">
        <w:rPr>
          <w:rFonts w:ascii="Times New Roman" w:hAnsi="Times New Roman" w:cs="Times New Roman"/>
          <w:szCs w:val="20"/>
          <w:lang w:val="en-GB"/>
        </w:rPr>
        <w:tab/>
        <w:t xml:space="preserve">  E° =1:245V (vs: SHE) (Overall reaction)</w:t>
      </w:r>
    </w:p>
    <w:p w14:paraId="440E1791" w14:textId="31145366" w:rsidR="00785CA6" w:rsidRPr="00223217" w:rsidRDefault="00785CA6" w:rsidP="006651EF">
      <w:pPr>
        <w:outlineLvl w:val="0"/>
        <w:rPr>
          <w:rFonts w:ascii="Times New Roman" w:hAnsi="Times New Roman" w:cs="Times New Roman"/>
          <w:sz w:val="16"/>
          <w:szCs w:val="18"/>
          <w:lang w:val="en-GB"/>
        </w:rPr>
      </w:pPr>
    </w:p>
    <w:p w14:paraId="5590EACE" w14:textId="56D1666F" w:rsidR="006651EF" w:rsidRPr="00223217" w:rsidRDefault="006651EF" w:rsidP="006651EF">
      <w:pPr>
        <w:rPr>
          <w:rFonts w:ascii="Times New Roman" w:hAnsi="Times New Roman" w:cs="Times New Roman"/>
          <w:szCs w:val="20"/>
          <w:lang w:val="en-GB"/>
        </w:rPr>
      </w:pPr>
      <w:r w:rsidRPr="00223217">
        <w:rPr>
          <w:rFonts w:ascii="Times New Roman" w:hAnsi="Times New Roman" w:cs="Times New Roman"/>
          <w:szCs w:val="20"/>
          <w:lang w:val="en-GB"/>
        </w:rPr>
        <w:t xml:space="preserve">The need for highly active catalysts for the oxidation process of hydrogen-rich liquid fuels is one of the major driving forces behind the development of DMFC technology. The electrocatalyst selection is critical for DMFC because the quality of the reaction kinetics of catalyst influences current density and cell lifespan. Improved catalyst activity and durability can be achieved through the development of novel support materials or the use of innovative catalytic metals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{"citationItems":[{"id":"ITEM-1","itemData":{"DOI":"10.1016/J.ELECTACTA.2015.12.072","ISSN":"0013-4686","abstract":"Three-dimensional (3D) structured Pt/C/graphene aerogel (Pt/C/GA) hybrid as a remarkable high stability electrocatalyst is synthesized through a facile and green hydrothermal process. Thanks to the unique 3D graphene framework structure, Pt/C/GA hybrid catalyst demonstrated enhanced stability towards methanol electrooxidation with no decrease of electrocatalytic activity. Besides, Pt/C/GA hybrid catalyst also exhibits a significantly enhanced stability to scavenge crossover methanol under the high potential in acid solution compared with the standard Pt/C catalyst: Pt/C catalyst lost nearly 40% of its initial activity after 1000 cyclic voltammetry cycles, by contrast, only 16% for Pt/C/GA. Moreover, it is noteworthy that after 200 cycles, the mass activity of Pt/C/GA is always much higher than that of Pt/C. A significant stability enhancement is achieved due to the unique 3D macroporous graphene structure as well as the efficient assembly between the Pt/C catalyst and graphene aerogel. Importantly, our synthetic strategy can be easily applied to the commercial PtRu/C catalyst to improve its durability. This simple, convenient and green synthetic method highlights the potential in fabrication of high durable electrocatalyst for fuel cell applications.","author":[{"dropping-particle":"","family":"Zhao","given":"Lei","non-dropping-particle":"","parse-names":false,"suffix":""},{"dropping-particle":"","family":"Wang","given":"Zhen Bo","non-dropping-particle":"","parse-names":false,"suffix":""},{"dropping-particle":"","family":"Li","given":"Jia Long","non-dropping-particle":"","parse-names":false,"suffix":""},{"dropping-particle":"","family":"Zhang","given":"Jing Jia","non-dropping-particle":"","parse-names":false,"suffix":""},{"dropping-particle":"","family":"Sui","given":"Xu Lei","non-dropping-particle":"","parse-names":false,"suffix":""},{"dropping-particle":"","family":"Zhang","given":"Li Mei","non-dropping-particle":"","parse-names":false,"suffix":""}],"container-title":"Electrochimica Acta","id":"ITEM-1","issued":{"date-parts":[["2016","1","20"]]},"page":"175-183","publisher":"Pergamon","title":"Hybrid of carbon-supported Pt nanoparticles and three dimensional graphene aerogel as high stable electrocatalyst for methanol electrooxidation","type":"article-journal","volume":"189"},"uris":["http://www.mendeley.com/documents/?uuid=611b96d8-18e4-3849-87e6-fe11b6ceafa6"]}],"mendeley":{"formattedCitation":"[3]","plainTextFormattedCitation":"[3]","previouslyFormattedCitation":"[3]"},"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[3]</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Due to their increased catalytic activity in the electrooxidation of methanol, platinum group metals (PGMs) are the most used anode catalysts in DMFCs [4-8]. Platinum is costly, thus finding a replacement catalyst will necessitate further research. The best catalyst for DMFCs right now is bimetallic platinum-ruthenium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Pt loading can be lowered by reducing the electrocatalyst costs in DMFC using only the corresponding ratio of 1:1. Additionally, bimetallic Ru catalyst works in catalytic operations by eliminating carbon monoxide (CO) from the active site for HOR, where this catalyst </w:t>
      </w:r>
      <w:r w:rsidR="00092B1E" w:rsidRPr="00223217">
        <w:rPr>
          <w:rFonts w:ascii="Times New Roman" w:hAnsi="Times New Roman" w:cs="Times New Roman"/>
          <w:szCs w:val="20"/>
          <w:lang w:val="en-GB"/>
        </w:rPr>
        <w:t>can</w:t>
      </w:r>
      <w:r w:rsidRPr="00223217">
        <w:rPr>
          <w:rFonts w:ascii="Times New Roman" w:hAnsi="Times New Roman" w:cs="Times New Roman"/>
          <w:szCs w:val="20"/>
          <w:lang w:val="en-GB"/>
        </w:rPr>
        <w:t xml:space="preserve"> reduce CO poisoning [11, 12].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demonstrated a higher catalytic activity in the DMFC according to research by Bock et al.</w:t>
      </w:r>
      <w:r w:rsidR="00EC2064">
        <w:rPr>
          <w:rFonts w:ascii="Times New Roman" w:hAnsi="Times New Roman" w:cs="Times New Roman"/>
          <w:szCs w:val="20"/>
          <w:lang w:val="en-GB"/>
        </w:rPr>
        <w:t xml:space="preserve">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{"citationItems":[{"id":"ITEM-1","itemData":{"DOI":"10.1021/JA0495819","ISSN":"0002-7863","PMID":"15212553","abstract":"A rapid synthesis method for the preparation of PtRu colloids and their subsequent deposition on high surface area carbons is presented. The reaction mechanism is shown to involve the oxidation of the solvent, ethylene glycol, to mainly glycolic acid or, depending on the pH, its anion, glycolate, while the Pt(+IV) and Ru(+III) precursor salts are reduced. Glycolate acts as a stabilizer for the PtRu colloids and the glycolate concentration, and hence the size of the resulting noble metal colloids is controlled via the pH of the synthesis solution. Carbon-supported PtRu catalysts of controlled size can be prepared within the range of 0.7-4 nm. Slow scan X-ray diffraction and high-resolution transmission electron microscopy show the PtRu catalysts to be crystalline. The Ru is partly dissolved in the face-centered cubic Pt lattice, but the catalysts also consist of a separate, hexagonal Ru phase. The PtRu catalysts appear to be of the same composition independent of the catalyst size in the range of 1.2-4 nm. Particular PtRu catalysts prepared in this work display enhanced activities for the CH3OH electro-oxidation reaction when compared to two commercial catalysts.","author":[{"dropping-particle":"","family":"Bock","given":"Christina","non-dropping-particle":"","parse-names":false,"suffix":""},{"dropping-particle":"","family":"Paquet","given":"Chantal","non-dropping-particle":"","parse-names":false,"suffix":""},{"dropping-particle":"","family":"Couillard","given":"Martin","non-dropping-particle":"","parse-names":false,"suffix":""},{"dropping-particle":"","family":"Botton","given":"Gianluigi A.","non-dropping-particle":"","parse-names":false,"suffix":""},{"dropping-particle":"","family":"MacDougall","given":"Barry R.","non-dropping-particle":"","parse-names":false,"suffix":""}],"container-title":"Journal of the American Chemical Society","id":"ITEM-1","issue":"25","issued":{"date-parts":[["2004","6","30"]]},"page":"8028-8037","publisher":"J Am Chem Soc","title":"Size-selected synthesis of PtRu nano-catalysts: reaction and size control mechanism","type":"article-journal","volume":"126"},"uris":["http://www.mendeley.com/documents/?uuid=d5111384-50e0-3b8b-9b6d-0fce9f5edadb"]}],"mendeley":{"formattedCitation":"[4]","plainTextFormattedCitation":"[4]","previouslyFormattedCitation":"[4]"},"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[4]</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and it was evident that the catalytic performance was significantly dependent on the distribution of Pt and Ru sites at the atomic level. However,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catalyst cannot solve the problem of low methanol oxidation. Further catalyst modifications are required to help the fuel cell sector.</w:t>
      </w:r>
    </w:p>
    <w:p w14:paraId="7D1EC044" w14:textId="272AE70D" w:rsidR="006651EF" w:rsidRPr="00223217" w:rsidRDefault="006651EF" w:rsidP="006651EF">
      <w:pPr>
        <w:rPr>
          <w:rFonts w:ascii="Times New Roman" w:hAnsi="Times New Roman" w:cs="Times New Roman"/>
          <w:szCs w:val="20"/>
          <w:lang w:val="en-GB"/>
        </w:rPr>
      </w:pPr>
    </w:p>
    <w:p w14:paraId="60AE7984" w14:textId="5D5B0B6D" w:rsidR="006651EF" w:rsidRPr="00223217" w:rsidRDefault="006651EF" w:rsidP="006651EF">
      <w:pPr>
        <w:rPr>
          <w:rFonts w:ascii="Times New Roman" w:hAnsi="Times New Roman" w:cs="Times New Roman"/>
          <w:szCs w:val="20"/>
          <w:lang w:val="en-GB"/>
        </w:rPr>
      </w:pPr>
      <w:r w:rsidRPr="00223217">
        <w:rPr>
          <w:rFonts w:ascii="Times New Roman" w:hAnsi="Times New Roman" w:cs="Times New Roman"/>
          <w:szCs w:val="20"/>
          <w:lang w:val="en-GB"/>
        </w:rPr>
        <w:t xml:space="preserve">The DMFC has been in progress for a decade with the creation of several catalyst-based solutions. Alternative support materials are stable and cost-effective, and they have been identified and developed with great effort [28–30]. Novel carbon supports, for example carbon nanotubes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{"citationItems":[{"id":"ITEM-1","itemData":{"DOI":"10.1016/J.JALLCOM.2021.159017","ISSN":"0925-8388","abstract":"Developing anode catalyst with highly active and CO tolerance of direct methanol fuel cells is of prime importance. In this work, the polyaniline/carbon nanotube composites were fabricated via in situ electrochemical method. The Pt–Ru alloy nanoclusters were well-distributed on polyaniline/carbon nanotubes supporting materials by co-electrodeposition method. SEM, HRTEM and XPS were employed to investigate the surface features of composites. The results indicated that Pt-Ru/polyaniline/carbon nanotubes composites were formed three-layer tubular structure. The Pt9.8Ru1/polyaniline/carbon nanotubes catalyst displayed good performance along with the lower peak potential of forward-scanning methanol oxidation, longer-term stability and higher current density compared to Pt/C, Pt-Ru/carbon nanotube composites and other Pt-Ru/polyaniline/carbon nanotube composites. The current density of the Pt9.8Ru1/PANI/CNTs catalyst for methanol oxidation was 8.9 folds higher than that for Pt/C and 2.4 folds higher for Pt9.8Ru1/CNTs catalyst, which indicated that this catalyst had a high number of active sites and surface Ru sites could effectively facilitate the removal of COad. Our data showed that the prepared Pt-Ru/polyaniline/carbon nanotubes composites are potential candidate as bimetallic electro-catalysts for methanol oxidation reaction.","author":[{"dropping-particle":"","family":"Zhang","given":"Xiaoling","non-dropping-particle":"","parse-names":false,"suffix":""},{"dropping-particle":"","family":"Ma","given":"Jing","non-dropping-particle":"","parse-names":false,"suffix":""},{"dropping-particle":"","family":"Yan","given":"Ruiwen","non-dropping-particle":"","parse-names":false,"suffix":""},{"dropping-particle":"","family":"Cheng","given":"Wangxin","non-dropping-particle":"","parse-names":false,"suffix":""},{"dropping-particle":"","family":"Zheng","given":"Jun","non-dropping-particle":"","parse-names":false,"suffix":""},{"dropping-particle":"","family":"Jin","given":"Baokang","non-dropping-particle":"","parse-names":false,"suffix":""}],"container-title":"Journal of Alloys and Compounds","id":"ITEM-1","issued":{"date-parts":[["2021","6","25"]]},"page":"159017","publisher":"Elsevier","title":"Pt-Ru/polyaniline/carbon nanotube composites with three-layer tubular structure for efficient methanol oxidation","type":"article-journal","volume":"867"},"uris":["http://www.mendeley.com/documents/?uuid=ac4931d9-89d7-34c1-ad6f-37721b0325fe"]}],"mendeley":{"formattedCitation":"[5]","plainTextFormattedCitation":"[5]","previouslyFormattedCitation":"[5]"},"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[5]</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mesoporous carbon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{"citationItems":[{"id":"ITEM-1","itemData":{"DOI":"10.1016/J.JRE.2020.05.006","ISSN":"1002-0721","abstract":"The development of direct methanol fuel cells (DMFCs) is partially limited by the poor kinetics of methanol oxidation reaction (MOR) at the anode side. It was reported that the interaction between Pt and CeO2 enhances the electrocatalytic performance of Pt catalyst for MOR. In this work, a hybrid material (CeO2–C) composed of CeO2 and carbon was successfully prepared by a simple hydrothermal method followed by calcination in inert atmosphere. The hierarchically porous nanostructure and especially good electronic conductivity of CeO2–C make it an excellent support for Pt particles for application in electrocatalytic process. TEM investigation reveals that triple-phase interface of Pt, carbon and CeO2 forms in Pt/CeO2–C catalyst. Performance of the as-prepared catalyst for MOR was studied in alkaline medium. The Pt/CeO2–C catalyst shows superior catalytic performance for MOR compared with Pt/CeO2 and the physical mixture of Pt/CeO2 and acetylene black (Pt/CeO2+C). The significantly improved performance can be attributed to the synergetic effect between Pt particles and CeO2–C support, and the better conductivity of CeO2–C. This study provides a possible method to expand the application potential of CeO2 materials in MOR, and may also be used in other electrocatalytic process.","author":[{"dropping-particle":"","family":"Li","given":"Weili","non-dropping-particle":"","parse-names":false,"suffix":""},{"dropping-particle":"","family":"Wang","given":"Qi","non-dropping-particle":"","parse-names":false,"suffix":""},{"dropping-particle":"","family":"Wang","given":"Lei","non-dropping-particle":"","parse-names":false,"suffix":""},{"dropping-particle":"","family":"Fu","given":"Xian Zhu","non-dropping-particle":"","parse-names":false,"suffix":""},{"dropping-particle":"","family":"Luo","given":"Jing Li","non-dropping-particle":"","parse-names":false,"suffix":""}],"container-title":"Journal of Rare Earths","id":"ITEM-1","issue":"6","issued":{"date-parts":[["2021","6","1"]]},"page":"674-681","publisher":"Elsevier","title":"Mesoporous CeO2–C hybrid spheres as efficient support for platinum nanoparticles towards methanol electrocatalytic oxidation","type":"article-journal","volume":"39"},"uris":["http://www.mendeley.com/documents/?uuid=85192290-19ce-3fd7-a2fe-dfcc4ea74cd9"]}],"mendeley":{"formattedCitation":"[6]","plainTextFormattedCitation":"[6]","previouslyFormattedCitation":"[6]"},"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[6]</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graphene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{"citationItems":[{"id":"ITEM-1","itemData":{"DOI":"10.1016/J.JCIS.2021.03.129","ISSN":"0021-9797","abstract":"A perfect PtCu nanocube with partial hollow structure was prepared by hydrothermal reaction and its electrocatalytic methanol oxidation reaction (MOR) was studied. The appropriate concentration of shape-control additives KI and triblock pluronic copolymers, poly(ethylene oxide)-poly(propylene oxide)-poly(ethylene oxide) (PEO19-PPO69-PEO19) (P123) play crucial roles in the final product morphology. The PtCu nanocubes can be perfectly in situ immobilizedonto graphene under the action of P123 while the structure and cubic morphologyremain unchanged. The electrochemical tests suggest that the obtained PtCu nanocube (PtCu-NCb) exhibits better MOR activity and stability than PtCu hexagon nanosheet (PtCu-NSt), PtCu nanoellipsoid (PtCu-NEs) and commercial Pt/C in alkaline medium. When in situ immobilized onto graphene, the MOR catalytic activity and stability of PtCu cubes are further improved. The markedly enhanced electrocatalytic activity and durability maybe attributed to the special cubic morphology with partial hollow structure enclosed by highly efficient facet and the probably the synergistic effect of PtCu and intermediate state CuI decorated on the surface and graphene.","author":[{"dropping-particle":"","family":"Yang","given":"Yi","non-dropping-particle":"","parse-names":false,"suffix":""},{"dropping-particle":"","family":"Guo","given":"Yi Fei","non-dropping-particle":"","parse-names":false,"suffix":""},{"dropping-particle":"","family":"Fu","given":"Ce","non-dropping-particle":"","parse-names":false,"suffix":""},{"dropping-particle":"","family":"Zhang","given":"Rong Hua","non-dropping-particle":"","parse-names":false,"suffix":""},{"dropping-particle":"","family":"Zhan","given":"Wei","non-dropping-particle":"","parse-names":false,"suffix":""},{"dropping-particle":"","family":"Wang","given":"Pan","non-dropping-particle":"","parse-names":false,"suffix":""},{"dropping-particle":"","family":"Zhang","given":"Xin","non-dropping-particle":"","parse-names":false,"suffix":""},{"dropping-particle":"","family":"Wang","given":"Qi","non-dropping-particle":"","parse-names":false,"suffix":""},{"dropping-particle":"","family":"Zhou","given":"Xin Wen","non-dropping-particle":"","parse-names":false,"suffix":""}],"container-title":"Journal of Colloid and Interface Science","id":"ITEM-1","issued":{"date-parts":[["2021","8","1"]]},"page":"107-117","publisher":"Academic Press","title":"In-situ loading synthesis of graphene supported PtCu nanocube and its high activity and stability for methanol oxidation reaction","type":"article-journal","volume":"595"},"uris":["http://www.mendeley.com/documents/?uuid=de2706dc-9917-3f5a-bb1b-3792546292be"]}],"mendeley":{"formattedCitation":"[7]","plainTextFormattedCitation":"[7]","previouslyFormattedCitation":"[7]"},"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[7]</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noncarbon materials, and nonconductive whiskers, due to their strong corrosion-resistance, have been explored as carbon alternatives. Graphene is the best candidate for catalyst support in fuel cells because of its chemical resistance, large and sufficient porosity, high conductivity, and diversity of topologies (network, aerogel, foam, etc.)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{"citationItems":[{"id":"ITEM-1","itemData":{"DOI":"10.1039/c9se00460b","ISSN":"23984902","abstract":"Due to the growing demand for energy and impending environmental issues, fuel cells have attracted significant attention as an alternative to conventional energy technologies. As cost is the main inhibitor of this technology, low cost catalysts with high activity and stable catalytic performance are the key to large scale application of fuel cells. The development and recent advancements of Pt and Pt-based electrocatalysts are discussed in this review. Discussion is mainly focused on the structure and composition of Pt and Pt-based electrocatalysts, which significantly affect the catalytic activities and durability of fuel cell catalysts. The electrocatalysts including Pt single metal, Pt-based alloys (including noble alloys, non-noble alloys, metal oxide alloys, and non-metal alloys), and structure-controlled alloys (nanopolyhedra, nanodendrites, and hollow and core-shell structures) were discussed. The activity, stability, and efficiency of Pt and Pt-based catalysts for both the oxygen reduction reaction (ORR) and methanol oxidation reaction (MOR) as well as the correlation between the catalytic performance, structure optimization, and composition modulation of catalysts are also discussed.","author":[{"dropping-particle":"","family":"Ren","given":"Xuefeng","non-dropping-particle":"","parse-names":false,"suffix":""},{"dropping-particle":"","family":"Lv","given":"Qianyuan","non-dropping-particle":"","parse-names":false,"suffix":""},{"dropping-particle":"","family":"Liu","given":"Lifen","non-dropping-particle":"","parse-names":false,"suffix":""},{"dropping-particle":"","family":"Liu","given":"Bihe","non-dropping-particle":"","parse-names":false,"suffix":""},{"dropping-particle":"","family":"Wang","given":"Yiran","non-dropping-particle":"","parse-names":false,"suffix":""},{"dropping-particle":"","family":"Liu","given":"Anmin","non-dropping-particle":"","parse-names":false,"suffix":""},{"dropping-particle":"","family":"Wu","given":"Gang","non-dropping-particle":"","parse-names":false,"suffix":""}],"container-title":"Sustainable Energy and Fuels","id":"ITEM-1","issue":"1","issued":{"date-parts":[["2019","12","18"]]},"page":"15-30","publisher":"Royal Society of Chemistry","title":"Current progress of Pt and Pt-based electrocatalysts used for fuel cells","type":"article-journal","volume":"4"},"uris":["http://www.mendeley.com/documents/?uuid=b383920e-a078-3382-9e4d-2f06120f6209"]}],"mendeley":{"formattedCitation":"[8]","plainTextFormattedCitation":"[8]","previouslyFormattedCitation":"[8]"},"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[8</w:t>
      </w:r>
      <w:r w:rsidR="00EC2064">
        <w:rPr>
          <w:rFonts w:ascii="Times New Roman" w:hAnsi="Times New Roman" w:cs="Times New Roman"/>
          <w:noProof/>
          <w:szCs w:val="20"/>
          <w:lang w:val="en-GB"/>
        </w:rPr>
        <w:t>, 9</w:t>
      </w:r>
      <w:r w:rsidR="00C62060" w:rsidRPr="00223217">
        <w:rPr>
          <w:rFonts w:ascii="Times New Roman" w:hAnsi="Times New Roman" w:cs="Times New Roman"/>
          <w:noProof/>
          <w:szCs w:val="20"/>
          <w:lang w:val="en-GB"/>
        </w:rPr>
        <w:t>]</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In general, the graphene aerogel (GA), which has a three-dimensional (3D) structure, has received a lot of attention due to its extensive </w:t>
      </w:r>
      <w:proofErr w:type="spellStart"/>
      <w:r w:rsidRPr="00223217">
        <w:rPr>
          <w:rFonts w:ascii="Times New Roman" w:hAnsi="Times New Roman" w:cs="Times New Roman"/>
          <w:szCs w:val="20"/>
          <w:lang w:val="en-GB"/>
        </w:rPr>
        <w:t>macroporosity</w:t>
      </w:r>
      <w:proofErr w:type="spellEnd"/>
      <w:r w:rsidRPr="00223217">
        <w:rPr>
          <w:rFonts w:ascii="Times New Roman" w:hAnsi="Times New Roman" w:cs="Times New Roman"/>
          <w:szCs w:val="20"/>
          <w:lang w:val="en-GB"/>
        </w:rPr>
        <w:t xml:space="preserve"> and multidimensional electron transport pathways, making it ideal for catalysis and energy storage devices</w:t>
      </w:r>
      <w:r w:rsidR="00EC2064">
        <w:rPr>
          <w:rFonts w:ascii="Times New Roman" w:hAnsi="Times New Roman" w:cs="Times New Roman"/>
          <w:szCs w:val="20"/>
          <w:lang w:val="en-GB"/>
        </w:rPr>
        <w:t xml:space="preserve"> [10, 11]</w:t>
      </w:r>
      <w:r w:rsidRPr="00223217">
        <w:rPr>
          <w:rFonts w:ascii="Times New Roman" w:hAnsi="Times New Roman" w:cs="Times New Roman"/>
          <w:szCs w:val="20"/>
          <w:lang w:val="en-GB"/>
        </w:rPr>
        <w:t>. In the advancement of DMFCs, applying additional materials to the catalyst, including the formation of new hybrid catalysts, has become a trend [4–6]. However, issues such as electronic and protonic functioning, poor catalytic activity, stability, and conductivity are still persistent.</w:t>
      </w:r>
    </w:p>
    <w:p w14:paraId="20789718" w14:textId="77777777" w:rsidR="006651EF" w:rsidRPr="00223217" w:rsidRDefault="006651EF" w:rsidP="006651EF">
      <w:pPr>
        <w:rPr>
          <w:rFonts w:ascii="Times New Roman" w:hAnsi="Times New Roman" w:cs="Times New Roman"/>
          <w:szCs w:val="20"/>
          <w:lang w:val="en-GB"/>
        </w:rPr>
      </w:pPr>
    </w:p>
    <w:p w14:paraId="4D493AE6" w14:textId="39F5F4A4" w:rsidR="006651EF" w:rsidRPr="00223217" w:rsidRDefault="006651EF" w:rsidP="006651EF">
      <w:pPr>
        <w:rPr>
          <w:rFonts w:ascii="Times New Roman" w:hAnsi="Times New Roman" w:cs="Times New Roman"/>
          <w:szCs w:val="20"/>
          <w:lang w:val="en-GB"/>
        </w:rPr>
      </w:pPr>
      <w:r w:rsidRPr="00223217">
        <w:rPr>
          <w:rFonts w:ascii="Times New Roman" w:hAnsi="Times New Roman" w:cs="Times New Roman"/>
          <w:szCs w:val="20"/>
          <w:lang w:val="en-GB"/>
        </w:rPr>
        <w:t>The most used materials to improve the electrocatalysis of DMFCs are metal oxides. Titanium dioxide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is a type of inorganic substance, non-flammable, corrosion-resistant, and fundamentally stable. Furthermore,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crystal structures are thermodynamically stable, contributing to the production of a composite material that is thermally and electrochemically stable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{"citationItems":[{"id":"ITEM-1","itemData":{"DOI":"10.5772/intechopen.69357","abstract":"Abstract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Siwińska-Stefańska","given":"Katarzyna","non-dropping-particle":"","parse-names":false,"suffix":""},{"dropping-particle":"","family":"Jesionowski","given":"Teofil","non-dropping-particle":"","parse-names":false,"suffix":""}],"container-title":"Titanium Dioxide","id":"ITEM-1","issued":{"date-parts":[["2017","7","26"]]},"publisher":"InTech","title":"Advanced Hybrid Materials Based on Titanium Dioxide for Environmental and Electrochemical Applications","type":"chapter"},"uris":["http://www.mendeley.com/documents/?uuid=7b94c388-65a2-4790-b84c-e4b129f7f038"]}],"mendeley":{"formattedCitation":"[12]","plainTextFormattedCitation":"[12]","previouslyFormattedCitation":"[12]"},"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[12]</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Anatase stimulates charge carriers deeper within the bulk material, leading more in surface reactions and rising catalytic activity with time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{"citationItems":[{"id":"ITEM-1","itemData":{"DOI":"10.1002/cssc.201500298","ISSN":"1864564X","PMID":"25998373","abstract":"A tale of two polymorphs: Anatase is typically a more effective photocatalyst than rutile, however no consensus exists upon the reasons for this difference. Highlighted is a recent development in this area, which gives new insight into the desorption of reactive species from the surface of anatase and rutile. Following presentation of key methods and results of the highlighted work, the wider implications to other similar semiconductor photocatalysts are considered.","author":[{"dropping-particle":"","family":"Odling","given":"Gylen","non-dropping-particle":"","parse-names":false,"suffix":""},{"dropping-particle":"","family":"Robertson","given":"Neil","non-dropping-particle":"","parse-names":false,"suffix":""}],"container-title":"ChemSusChem","id":"ITEM-1","issue":"11","issued":{"date-parts":[["2015","6","1"]]},"page":"1838-1840","publisher":"Wiley-VCH Verlag","title":"Why is anatase a better photocatalyst than rutile? the importance of free hydroxyl radicals","type":"article-journal","volume":"8"},"uris":["http://www.mendeley.com/documents/?uuid=5086b1e6-b96e-3bc9-8f1c-e55958b522b8"]}],"mendeley":{"formattedCitation":"[13]","plainTextFormattedCitation":"[13]","previouslyFormattedCitation":"[13]"},"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[13]</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Additionally, when the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metal oxide interacts with another component, the electrical behaviour of the materials improves as well. Instead of lowering CO oxidation potentials, this material can also support to increase oxidation activity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{"citationItems":[{"id":"ITEM-1","itemData":{"DOI":"10.1016/j.crgsc.2020.100022","ISSN":"26660865","abstract":"Carbon monoxide (CO) is one of the very poisonous gasses and major sources of CO produced into the environment by the automobile vehicles exhaust. There are various types of catalysts have been used in the catalytic converter for CO oxidation. The titanium dioxide (TiO2) is one of the best transitional metal oxides catalysts for lower temperature CO oxidation. A small amount of TiO2 was deposited on the mesoporous Al2O3 using atomic layer deposition and subsequent oxidation at the different temperatures. The lightly reduced support improves the high catalytic activity of the adparticles, a strongly reduced one quenches the CO oxidation. The quenching is due to thermally activated diffusion of Ti3+ interstitials from the bulk to the surface where they deplete the oxygen adsorbed onto the clusters by the formation of TiOx (x ​</w:instrText>
      </w:r>
      <w:r w:rsidR="00C62060" w:rsidRPr="00223217">
        <w:rPr>
          <w:rFonts w:ascii="Cambria Math" w:hAnsi="Cambria Math" w:cs="Cambria Math"/>
          <w:szCs w:val="20"/>
          <w:lang w:val="en-GB"/>
        </w:rPr>
        <w:instrText>≃</w:instrText>
      </w:r>
      <w:r w:rsidR="00C62060" w:rsidRPr="00223217">
        <w:rPr>
          <w:rFonts w:ascii="Times New Roman" w:hAnsi="Times New Roman" w:cs="Times New Roman"/>
          <w:szCs w:val="20"/>
          <w:lang w:val="en-GB"/>
        </w:rPr>
        <w:instrText> ​2) structures. The additions of promoters and support in titanium oxide catalysts improved their performances and reduced their stability. The bulk reduction state of TiO2 strongly affects the catalytic activity of supported metal clusters in the chemical reactions between oxygen and other molecules. The certain attention has been paid on the recovery of TiO2 catalysts from reaction systems and their reuse for various times without losses of catalytic activity in CO oxidation. This investigation will shown scientific basis for potential design of Ti-oxide nano-particle catalysts for lower temperature CO oxidation.","author":[{"dropping-particle":"","family":"Dey","given":"S.","non-dropping-particle":"","parse-names":false,"suffix":""},{"dropping-particle":"","family":"Mehta","given":"Niraj Singh","non-dropping-particle":"","parse-names":false,"suffix":""}],"container-title":"Current Research in Green and Sustainable Chemistry","id":"ITEM-1","issued":{"date-parts":[["2020","6","1"]]},"page":"100022","publisher":"Elsevier BV","title":"Synthesis and applications of titanium oxide catalysts for lower temperature CO oxidation","type":"article-journal","volume":"3"},"uris":["http://www.mendeley.com/documents/?uuid=a2518e3d-e7be-3a7e-b579-c2e58d686dad"]}],"mendeley":{"formattedCitation":"[14]","plainTextFormattedCitation":"[14]","previouslyFormattedCitation":"[14]"},"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[14]</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The metal catalyst is supported by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which impacts the reaction kinetics and mechanism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{"citationItems":[{"id":"ITEM-1","itemData":{"DOI":"10.1155/2014/727496","ISSN":"1537744X","PMID":"25383380","abstract":"The lack of stability is a challenge for most heterogeneous catalysts. During operations, the agglomeration of particles may block the active sites of the catalyst, which is believed to contribute to its instability. Recently, titanium oxide (TiO2) was introduced as an alternative support material for heterogeneous catalyst due to the effect of its high surface area stabilizing the catalysts in its mesoporous structure. TiO2 supported metal catalysts have attracted interest due to TiO2 nanoparticles high activity for various reduction and oxidation reactions at low pressures and temperatures. Furthermore, TiO2 was found to be a good metal oxide catalyst support due to the strong metal support interaction, chemical stability, and acid-base property. The aforementioned properties make heterogeneous TiO2 supported catalysts show a high potential in photocatalyst-related applications, electrodes for wet solar cells, synthesis of fine chemicals, and others. This review focuses on TiO2 as a support material for heterogeneous catalysts and its potential applications.","author":[{"dropping-particle":"","family":"Bagheri","given":"Samira","non-dropping-particle":"","parse-names":false,"suffix":""},{"dropping-particle":"","family":"Muhd Julkapli","given":"Nurhidayatullaili","non-dropping-particle":"","parse-names":false,"suffix":""},{"dropping-particle":"","family":"Bee Abd Hamid","given":"Sharifah","non-dropping-particle":"","parse-names":false,"suffix":""}],"container-title":"Scientific World Journal","id":"ITEM-1","issued":{"date-parts":[["2014"]]},"publisher":"Hindawi Limited","title":"Titanium dioxide as a catalyst support in heterogeneous catalysis","type":"article","volume":"2014"},"uris":["http://www.mendeley.com/documents/?uuid=50113761-507a-3150-a241-8633ddde2ab3"]}],"mendeley":{"formattedCitation":"[15]","plainTextFormattedCitation":"[15]","previouslyFormattedCitation":"[15]"},"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[15]</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has all the advantages recorded above and it can be used in a variety of industries. Despite these benefits, the low conductivity of material prevents it from being widely used in fuel cell applications.</w:t>
      </w:r>
    </w:p>
    <w:p w14:paraId="33EE9505" w14:textId="5C60D41D" w:rsidR="006651EF" w:rsidRPr="00223217" w:rsidRDefault="006651EF" w:rsidP="006651EF">
      <w:pPr>
        <w:rPr>
          <w:rFonts w:ascii="Times New Roman" w:hAnsi="Times New Roman" w:cs="Times New Roman"/>
          <w:szCs w:val="20"/>
          <w:lang w:val="en-GB"/>
        </w:rPr>
      </w:pPr>
    </w:p>
    <w:p w14:paraId="09B63FF8" w14:textId="08D233E9" w:rsidR="003816E6" w:rsidRPr="00223217" w:rsidRDefault="003816E6" w:rsidP="00092B1E">
      <w:pPr>
        <w:widowControl/>
        <w:wordWrap/>
        <w:adjustRightInd w:val="0"/>
        <w:rPr>
          <w:rFonts w:ascii="Times New Roman" w:hAnsi="Times New Roman" w:cs="Times New Roman"/>
          <w:szCs w:val="20"/>
          <w:lang w:val="en-GB"/>
        </w:rPr>
      </w:pPr>
      <w:r w:rsidRPr="00223217">
        <w:rPr>
          <w:rFonts w:ascii="Times New Roman" w:hAnsi="Times New Roman" w:cs="Times New Roman"/>
          <w:szCs w:val="20"/>
          <w:lang w:val="en-GB"/>
        </w:rPr>
        <w:t>Significant loading of a Pt catalyst on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made from an electrically conductive substance like N-doped carbon, as well as the use of sub-stoichiometric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is necessary to overcome this obstacle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[16]</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In 2018, Abdullah et al.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[16]</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developed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alloys on a nanofiber catalyst structure with metal oxide as the catalyst support;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-embedded carbon nanofiber (CNF)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/TECNF) was designed by Ito et al.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{"citationItems":[{"id":"ITEM-1","itemData":{"DOI":"10.1016/J.JPOWSOUR.2013.05.064","ISSN":"03787753","abstract":"A TiO2-embedded carbon nanofiber (TECNF) was proposed as a promising support of the PtRu nanocatalyst for the methanol oxidation reaction. The nanofiber support was prepared by the electrospinning of polyacrylonitrile (PAN) with TiO2 nanoparticles followed by carbonization and steam activation of the nanofiber, and lastly, the PtRu nanoparticles deposition. Cyclic voltammetry (CV) revealed a significantly high MOR activity for the PtRu/TECNF compared to that of the PtRu nanoparticles deposited on different supports, i.e., carbon black (C), TiO2 nanoparticles (TiO 2), a mixture of these nanoparticles (C + TiO2) and carbon nanofiber (CNF). The MOR activity was high in the order of PtRu/TECNF &gt; PtRu/CNF &gt; PtRu/(C + TiO2) &gt; PtRu/C &gt;&gt; PtRu/TiO 2. The activity of PtRu/TECNF increased with an increase in the weight ratio of Ti/C for TECNF up to 1.0 and then decreased. The MOR mass activity of PtRu/TECNF at the optimum Ti/C ratio was 4 times higher than that of PtRu/C. The ultrahigh catalytic activity of PtRu/TECNF is attributed to the metal-support interaction, which efficiently occurs at the PtRu/TECNF structure. The ultrahigh catalytic activity was also confirmed by the two-times higher DMFC power output using PtRu/TECNF, in spite of quarter the PtRu loading on the electrode, compared to that using the commercial PtRu/C. © 2013 Elsevier B.V. All rights reserved.","author":[{"dropping-particle":"","family":"Ito","given":"Yudai","non-dropping-particle":"","parse-names":false,"suffix":""},{"dropping-particle":"","family":"Takeuchi","given":"Taizo","non-dropping-particle":"","parse-names":false,"suffix":""},{"dropping-particle":"","family":"Tsujiguchi","given":"Takuya","non-dropping-particle":"","parse-names":false,"suffix":""},{"dropping-particle":"","family":"Abdelkareem","given":"Mohammad Ali","non-dropping-particle":"","parse-names":false,"suffix":""},{"dropping-particle":"","family":"Nakagawa","given":"Nobuyoshi","non-dropping-particle":"","parse-names":false,"suffix":""}],"id":"ITEM-1","issued":{"date-parts":[["2013"]]},"page":"280-288","title":"Ultrahigh methanol electro-oxidation activity of PtRu nanoparticles prepared on TiO2-embedded carbon nanofiber support","type":"article-journal","volume":"242"},"uris":["http://www.mendeley.com/documents/?uuid=b81e00aa-ac7f-4ab3-8d77-676f3d233eef"]}],"mendeley":{"formattedCitation":"[17]","plainTextFormattedCitation":"[17]","previouslyFormattedCitation":"[17]"},"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[17]</w:t>
      </w:r>
      <w:r w:rsidRPr="00223217">
        <w:rPr>
          <w:rFonts w:ascii="Times New Roman" w:hAnsi="Times New Roman" w:cs="Times New Roman"/>
          <w:szCs w:val="20"/>
          <w:lang w:val="en-GB"/>
        </w:rPr>
        <w:fldChar w:fldCharType="end"/>
      </w:r>
      <w:r w:rsidR="00092B1E" w:rsidRPr="00223217">
        <w:rPr>
          <w:rFonts w:ascii="Times New Roman" w:hAnsi="Times New Roman" w:cs="Times New Roman"/>
          <w:szCs w:val="20"/>
          <w:lang w:val="en-GB"/>
        </w:rPr>
        <w:t>,</w:t>
      </w:r>
      <w:r w:rsidRPr="00223217">
        <w:rPr>
          <w:rFonts w:ascii="Times New Roman" w:hAnsi="Times New Roman" w:cs="Times New Roman"/>
          <w:szCs w:val="20"/>
          <w:lang w:val="en-GB"/>
        </w:rPr>
        <w:t xml:space="preserve"> and </w:t>
      </w:r>
      <w:proofErr w:type="spellStart"/>
      <w:r w:rsidRPr="00223217">
        <w:rPr>
          <w:rFonts w:ascii="Times New Roman" w:hAnsi="Times New Roman" w:cs="Times New Roman"/>
          <w:szCs w:val="20"/>
          <w:lang w:val="en-GB"/>
        </w:rPr>
        <w:t>Ercelik</w:t>
      </w:r>
      <w:proofErr w:type="spellEnd"/>
      <w:r w:rsidRPr="00223217">
        <w:rPr>
          <w:rFonts w:ascii="Times New Roman" w:hAnsi="Times New Roman" w:cs="Times New Roman"/>
          <w:szCs w:val="20"/>
          <w:lang w:val="en-GB"/>
        </w:rPr>
        <w:t xml:space="preserve"> et al.</w:t>
      </w:r>
      <w:r w:rsidR="00EC2064">
        <w:rPr>
          <w:rFonts w:ascii="Times New Roman" w:hAnsi="Times New Roman" w:cs="Times New Roman"/>
          <w:szCs w:val="20"/>
          <w:lang w:val="en-GB"/>
        </w:rPr>
        <w:t xml:space="preserve"> </w:t>
      </w:r>
      <w:r w:rsidRPr="00223217">
        <w:rPr>
          <w:rFonts w:ascii="Times New Roman" w:hAnsi="Times New Roman" w:cs="Times New Roman"/>
          <w:szCs w:val="20"/>
          <w:lang w:val="en-GB"/>
        </w:rPr>
        <w:fldChar w:fldCharType="begin" w:fldLock="1"/>
      </w:r>
      <w:r w:rsidR="00C62060" w:rsidRPr="00223217">
        <w:rPr>
          <w:rFonts w:ascii="Times New Roman" w:hAnsi="Times New Roman" w:cs="Times New Roman"/>
          <w:szCs w:val="20"/>
          <w:lang w:val="en-GB"/>
        </w:rPr>
        <w:instrText>ADDIN CSL_CITATION {"citationItems":[{"id":"ITEM-1","itemData":{"DOI":"10.1016/J.IJHYDENE.2016.12.020","ISSN":"0360-3199","abstract":"In this study, the effect of introduction of titania (TiO2) material into Pt[sbnd]Ru/C anode electrocatalyst on the performance of direct methanol fuel cells (DMFCs) was investigated. TiO2 materials were first synthesized applying a sol–gel method and then incorporated directly into commercial Pt[sbnd]Ru/C anode electrocatalyst with different TiO2 weight ratios (5, 15, and 25 wt.%) to improve the performance of the DMFC. For comparison, the anode electrocatalysts with the same TiO2 weight ratios were also prepared using commercial TiO2 materials. The performance tests of the DMFCs based on these composite anode electrocatalysts were conducted and their performances were also compared to that of a DMFC based on a traditional anode electrocatalyst (Pt[sbnd]Ru/C) under various operating conditions. In addition, 4 h short-term stability tests were conducted for all the manufactured DMFCs. The highest power densities were found as 705.12 W/m2 and 709.32 W/m2 at 80 °C and 1 M for the DMFCs based on Pt[sbnd]Ru/C[sbnd]TiO2 anode electrocatalysts containing 5 wt.% of commercial and in-house TiO2, respectively. The results of the short-term stability tests showed that introduction of 5 wt.% of commercial TiO2 into commercial Pt[sbnd]Ru/C anode electrocatalyst improved its stability characteristics significantly.","author":[{"dropping-particle":"","family":"Ercelik","given":"Mustafa","non-dropping-particle":"","parse-names":false,"suffix":""},{"dropping-particle":"","family":"Ozden","given":"Adnan","non-dropping-particle":"","parse-names":false,"suffix":""},{"dropping-particle":"","family":"Seker","given":"Erol","non-dropping-particle":"","parse-names":false,"suffix":""},{"dropping-particle":"","family":"Colpan","given":"C. Ozgur","non-dropping-particle":"","parse-names":false,"suffix":""}],"container-title":"International Journal of Hydrogen Energy","id":"ITEM-1","issue":"33","issued":{"date-parts":[["2017","8","17"]]},"page":"21518-21529","publisher":"Pergamon","title":"Characterization and performance evaluation of PtRu/CTiO2 anode electrocatalyst for DMFC applications","type":"article-journal","volume":"42"},"uris":["http://www.mendeley.com/documents/?uuid=09df4630-9c97-49e7-bb97-963c3511dc9b"]}],"mendeley":{"formattedCitation":"[18]","plainTextFormattedCitation":"[18]","previouslyFormattedCitation":"[18]"},"properties":{"noteIndex":0},"schema":"https://github.com/citation-style-language/schema/raw/master/csl-citation.json"}</w:instrText>
      </w:r>
      <w:r w:rsidRPr="00223217">
        <w:rPr>
          <w:rFonts w:ascii="Times New Roman" w:hAnsi="Times New Roman" w:cs="Times New Roman"/>
          <w:szCs w:val="20"/>
          <w:lang w:val="en-GB"/>
        </w:rPr>
        <w:fldChar w:fldCharType="separate"/>
      </w:r>
      <w:r w:rsidR="00C62060" w:rsidRPr="00223217">
        <w:rPr>
          <w:rFonts w:ascii="Times New Roman" w:hAnsi="Times New Roman" w:cs="Times New Roman"/>
          <w:noProof/>
          <w:szCs w:val="20"/>
          <w:lang w:val="en-GB"/>
        </w:rPr>
        <w:t>[18]</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 xml:space="preserve"> demonstrated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C-TiO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as an electrocatalyst in DMFC technology; the result indicated that the performance of this new composite electrocatalyst was superior to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catalyst. The above-mentioned performance is due to the homogeneous dispersion of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nanoparticles on the support material. Consequently, combining a powerful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catalyst with a rational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and graphene aerogel structure has </w:t>
      </w:r>
      <w:r w:rsidR="00092B1E" w:rsidRPr="00223217">
        <w:rPr>
          <w:rFonts w:ascii="Times New Roman" w:eastAsia="TimesNewRomanPSMT" w:hAnsi="Times New Roman" w:cs="Times New Roman"/>
          <w:kern w:val="0"/>
          <w:szCs w:val="20"/>
          <w:lang w:eastAsia="en-US"/>
        </w:rPr>
        <w:t>unique properties and high surface area, it has developed as the latest support material, with the possibility to increase electrocatalytic activity in MOR.</w:t>
      </w:r>
      <w:r w:rsidR="00092B1E" w:rsidRPr="00223217">
        <w:rPr>
          <w:rFonts w:ascii="Times New Roman" w:hAnsi="Times New Roman" w:cs="Times New Roman"/>
          <w:szCs w:val="20"/>
          <w:lang w:val="en-GB"/>
        </w:rPr>
        <w:t xml:space="preserve"> </w:t>
      </w:r>
    </w:p>
    <w:p w14:paraId="73D04BC4" w14:textId="77777777" w:rsidR="006651EF" w:rsidRPr="00223217" w:rsidRDefault="006651EF" w:rsidP="006651EF">
      <w:pPr>
        <w:outlineLvl w:val="0"/>
        <w:rPr>
          <w:rFonts w:ascii="Times New Roman" w:hAnsi="Times New Roman" w:cs="Times New Roman"/>
          <w:szCs w:val="20"/>
        </w:rPr>
      </w:pPr>
    </w:p>
    <w:p w14:paraId="6BAAFDAD" w14:textId="77777777" w:rsidR="00785CA6" w:rsidRPr="00223217" w:rsidRDefault="00DE73D6" w:rsidP="00785CA6">
      <w:pPr>
        <w:jc w:val="center"/>
        <w:outlineLvl w:val="0"/>
        <w:rPr>
          <w:rFonts w:ascii="Times New Roman" w:hAnsi="Times New Roman" w:cs="Times New Roman"/>
          <w:b/>
          <w:szCs w:val="20"/>
        </w:rPr>
      </w:pPr>
      <w:r w:rsidRPr="00223217">
        <w:rPr>
          <w:rFonts w:ascii="Times New Roman" w:hAnsi="Times New Roman" w:cs="Times New Roman"/>
          <w:b/>
          <w:szCs w:val="20"/>
        </w:rPr>
        <w:t>Materials and Methods</w:t>
      </w:r>
    </w:p>
    <w:p w14:paraId="10C64BB8" w14:textId="77777777" w:rsidR="00C62060" w:rsidRPr="00223217" w:rsidRDefault="00C62060" w:rsidP="00C62060">
      <w:pPr>
        <w:outlineLvl w:val="0"/>
        <w:rPr>
          <w:rFonts w:ascii="Times New Roman" w:hAnsi="Times New Roman" w:cs="Times New Roman"/>
          <w:b/>
          <w:szCs w:val="20"/>
          <w:lang w:val="en-GB"/>
        </w:rPr>
      </w:pPr>
      <w:r w:rsidRPr="00223217">
        <w:rPr>
          <w:rFonts w:ascii="Times New Roman" w:hAnsi="Times New Roman" w:cs="Times New Roman"/>
          <w:b/>
          <w:bCs/>
          <w:szCs w:val="20"/>
          <w:lang w:val="en-GB"/>
        </w:rPr>
        <w:t>Preparation of TiO</w:t>
      </w:r>
      <w:r w:rsidRPr="00223217">
        <w:rPr>
          <w:rFonts w:ascii="Times New Roman" w:hAnsi="Times New Roman" w:cs="Times New Roman"/>
          <w:b/>
          <w:bCs/>
          <w:szCs w:val="20"/>
          <w:vertAlign w:val="subscript"/>
          <w:lang w:val="en-GB"/>
        </w:rPr>
        <w:t>2</w:t>
      </w:r>
      <w:r w:rsidRPr="00223217">
        <w:rPr>
          <w:rFonts w:ascii="Times New Roman" w:hAnsi="Times New Roman" w:cs="Times New Roman"/>
          <w:b/>
          <w:bCs/>
          <w:szCs w:val="20"/>
          <w:lang w:val="en-GB"/>
        </w:rPr>
        <w:t>-GA and electrocatalyst</w:t>
      </w:r>
    </w:p>
    <w:p w14:paraId="22538386" w14:textId="77777777" w:rsidR="00C62060" w:rsidRPr="00223217" w:rsidRDefault="00C62060" w:rsidP="00C62060">
      <w:pPr>
        <w:outlineLvl w:val="0"/>
        <w:rPr>
          <w:rFonts w:ascii="Times New Roman" w:hAnsi="Times New Roman" w:cs="Times New Roman"/>
          <w:szCs w:val="20"/>
          <w:lang w:val="en-GB"/>
        </w:rPr>
      </w:pPr>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was produced hydrothermally, then freeze-dried in a typical experiment. Firstly, 20 mg of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were homogeneously disseminated into 10 mL of GO solution (2 mg/mL) using moderate ultrasonication for 2 hours. After that, the solution was placed in a 50mL of Teflon-lined autoclave and kept at 200°C for 12 hours. To make a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composite, the produced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-graphene hydrogel was thoroughly rinsed with deionized water before being freeze-dried for 24 hours. The steps of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production are depicted schematically in Figure 1.</w:t>
      </w:r>
    </w:p>
    <w:p w14:paraId="78E96F90" w14:textId="77777777" w:rsidR="00C62060" w:rsidRPr="00223217" w:rsidRDefault="00C62060" w:rsidP="00C62060">
      <w:pPr>
        <w:outlineLvl w:val="0"/>
        <w:rPr>
          <w:rFonts w:ascii="Times New Roman" w:hAnsi="Times New Roman" w:cs="Times New Roman"/>
          <w:szCs w:val="20"/>
          <w:lang w:val="en-GB"/>
        </w:rPr>
      </w:pPr>
    </w:p>
    <w:p w14:paraId="3A13B525" w14:textId="36C7E4D5" w:rsidR="00C62060" w:rsidRDefault="00C62060" w:rsidP="00C62060">
      <w:pPr>
        <w:outlineLvl w:val="0"/>
        <w:rPr>
          <w:rFonts w:ascii="Times New Roman" w:hAnsi="Times New Roman" w:cs="Times New Roman"/>
          <w:szCs w:val="20"/>
          <w:lang w:val="en-GB"/>
        </w:rPr>
      </w:pPr>
      <w:r w:rsidRPr="00223217">
        <w:rPr>
          <w:rFonts w:ascii="Times New Roman" w:hAnsi="Times New Roman" w:cs="Times New Roman"/>
          <w:szCs w:val="20"/>
          <w:lang w:val="en-GB"/>
        </w:rPr>
        <w:t>For electrocatalyst synthesis, a microwave-assisted alcohol reduction approach was used. The optimal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support doped with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catalyst was chosen specifically for this study. On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support, 20 wt</w:t>
      </w:r>
      <w:r w:rsidR="00EC2064">
        <w:rPr>
          <w:rFonts w:ascii="Times New Roman" w:hAnsi="Times New Roman" w:cs="Times New Roman"/>
          <w:szCs w:val="20"/>
          <w:lang w:val="en-GB"/>
        </w:rPr>
        <w:t>.</w:t>
      </w:r>
      <w:r w:rsidRPr="00223217">
        <w:rPr>
          <w:rFonts w:ascii="Times New Roman" w:hAnsi="Times New Roman" w:cs="Times New Roman"/>
          <w:szCs w:val="20"/>
          <w:lang w:val="en-GB"/>
        </w:rPr>
        <w:t xml:space="preserve">% Pt-Ru with an atomic ratio of 1:1 was loaded. To begin, Ethylene Glycol (EG) solutions were combined with ruthenium </w:t>
      </w:r>
      <w:r w:rsidRPr="00223217">
        <w:rPr>
          <w:rFonts w:ascii="Times New Roman" w:hAnsi="Times New Roman" w:cs="Times New Roman"/>
          <w:szCs w:val="20"/>
          <w:lang w:val="en-GB"/>
        </w:rPr>
        <w:lastRenderedPageBreak/>
        <w:t>chloride precursors and chloroplatinic acid precursors, and were homogenized for 15 minutes. After that, the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powder that had been produced was mixed into the cooperation precursor solutions and agitated for 30 minutes to ensure that everything was well mixed. After that, the pH of the solution was adjusted to 10 using a 1 M NaOH solution. In addition, the mixture was microwaved for 1 minute, and was left to accomplish the reduction process for 1 minute twice. Finally, before being dried in a 120 °C oven for 3 hours, the sample was filtered and rinsed a few times with ethanol and DI water to remove the impurities.</w:t>
      </w:r>
    </w:p>
    <w:p w14:paraId="2DA28298" w14:textId="77777777" w:rsidR="00EC2064" w:rsidRPr="00223217" w:rsidRDefault="00EC2064" w:rsidP="00C62060">
      <w:pPr>
        <w:outlineLvl w:val="0"/>
        <w:rPr>
          <w:rFonts w:ascii="Times New Roman" w:hAnsi="Times New Roman" w:cs="Times New Roman"/>
          <w:szCs w:val="20"/>
          <w:lang w:val="en-GB"/>
        </w:rPr>
      </w:pPr>
    </w:p>
    <w:p w14:paraId="339944D0" w14:textId="0B0F13ED" w:rsidR="00C62060" w:rsidRPr="00223217" w:rsidRDefault="00C62060" w:rsidP="00C62060">
      <w:pPr>
        <w:jc w:val="center"/>
        <w:outlineLvl w:val="0"/>
        <w:rPr>
          <w:rFonts w:ascii="Times New Roman" w:hAnsi="Times New Roman" w:cs="Times New Roman"/>
          <w:b/>
          <w:szCs w:val="20"/>
        </w:rPr>
      </w:pPr>
      <w:r w:rsidRPr="00223217">
        <w:rPr>
          <w:noProof/>
          <w:lang w:val="en-MY" w:eastAsia="en-MY"/>
        </w:rPr>
        <w:drawing>
          <wp:anchor distT="0" distB="0" distL="114300" distR="114300" simplePos="0" relativeHeight="251660288" behindDoc="0" locked="0" layoutInCell="1" allowOverlap="1" wp14:anchorId="6EE1F539" wp14:editId="07D90FA1">
            <wp:simplePos x="0" y="0"/>
            <wp:positionH relativeFrom="column">
              <wp:posOffset>561975</wp:posOffset>
            </wp:positionH>
            <wp:positionV relativeFrom="paragraph">
              <wp:posOffset>40640</wp:posOffset>
            </wp:positionV>
            <wp:extent cx="4373880" cy="1991360"/>
            <wp:effectExtent l="0" t="0" r="7620" b="8890"/>
            <wp:wrapSquare wrapText="bothSides"/>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4373880" cy="1991360"/>
                    </a:xfrm>
                    <a:prstGeom prst="rect">
                      <a:avLst/>
                    </a:prstGeom>
                  </pic:spPr>
                </pic:pic>
              </a:graphicData>
            </a:graphic>
            <wp14:sizeRelH relativeFrom="page">
              <wp14:pctWidth>0</wp14:pctWidth>
            </wp14:sizeRelH>
            <wp14:sizeRelV relativeFrom="page">
              <wp14:pctHeight>0</wp14:pctHeight>
            </wp14:sizeRelV>
          </wp:anchor>
        </w:drawing>
      </w:r>
    </w:p>
    <w:p w14:paraId="19F1ACD1" w14:textId="520B0015" w:rsidR="00C62060" w:rsidRPr="00223217" w:rsidRDefault="00C62060" w:rsidP="00C62060">
      <w:pPr>
        <w:pStyle w:val="Caption"/>
        <w:rPr>
          <w:color w:val="auto"/>
        </w:rPr>
      </w:pPr>
    </w:p>
    <w:p w14:paraId="4B66A8FA" w14:textId="77777777" w:rsidR="00C62060" w:rsidRPr="00223217" w:rsidRDefault="00C62060" w:rsidP="00C62060">
      <w:pPr>
        <w:pStyle w:val="Caption"/>
        <w:jc w:val="center"/>
        <w:rPr>
          <w:rFonts w:ascii="Times New Roman" w:hAnsi="Times New Roman" w:cs="Times New Roman"/>
          <w:i w:val="0"/>
          <w:iCs w:val="0"/>
          <w:color w:val="auto"/>
        </w:rPr>
      </w:pPr>
    </w:p>
    <w:p w14:paraId="55703C78" w14:textId="77777777" w:rsidR="00C62060" w:rsidRPr="00223217" w:rsidRDefault="00C62060" w:rsidP="00C62060">
      <w:pPr>
        <w:pStyle w:val="Caption"/>
        <w:jc w:val="center"/>
        <w:rPr>
          <w:rFonts w:ascii="Times New Roman" w:hAnsi="Times New Roman" w:cs="Times New Roman"/>
          <w:i w:val="0"/>
          <w:iCs w:val="0"/>
          <w:color w:val="auto"/>
        </w:rPr>
      </w:pPr>
    </w:p>
    <w:p w14:paraId="6C3FE7C5" w14:textId="77777777" w:rsidR="00C62060" w:rsidRPr="00223217" w:rsidRDefault="00C62060" w:rsidP="00C62060">
      <w:pPr>
        <w:pStyle w:val="Caption"/>
        <w:jc w:val="center"/>
        <w:rPr>
          <w:rFonts w:ascii="Times New Roman" w:hAnsi="Times New Roman" w:cs="Times New Roman"/>
          <w:i w:val="0"/>
          <w:iCs w:val="0"/>
          <w:color w:val="auto"/>
        </w:rPr>
      </w:pPr>
    </w:p>
    <w:p w14:paraId="61C3CFBF" w14:textId="77777777" w:rsidR="00C62060" w:rsidRPr="00223217" w:rsidRDefault="00C62060" w:rsidP="00C62060">
      <w:pPr>
        <w:pStyle w:val="Caption"/>
        <w:jc w:val="center"/>
        <w:rPr>
          <w:rFonts w:ascii="Times New Roman" w:hAnsi="Times New Roman" w:cs="Times New Roman"/>
          <w:i w:val="0"/>
          <w:iCs w:val="0"/>
          <w:color w:val="auto"/>
        </w:rPr>
      </w:pPr>
    </w:p>
    <w:p w14:paraId="0EE642AE" w14:textId="77777777" w:rsidR="00C62060" w:rsidRPr="00223217" w:rsidRDefault="00C62060" w:rsidP="00C62060">
      <w:pPr>
        <w:pStyle w:val="Caption"/>
        <w:jc w:val="center"/>
        <w:rPr>
          <w:rFonts w:ascii="Times New Roman" w:hAnsi="Times New Roman" w:cs="Times New Roman"/>
          <w:i w:val="0"/>
          <w:iCs w:val="0"/>
          <w:color w:val="auto"/>
        </w:rPr>
      </w:pPr>
    </w:p>
    <w:p w14:paraId="3EB527B6" w14:textId="25148ED1" w:rsidR="00C62060" w:rsidRPr="00223217" w:rsidRDefault="00C62060" w:rsidP="00C62060">
      <w:pPr>
        <w:pStyle w:val="Caption"/>
        <w:jc w:val="center"/>
        <w:rPr>
          <w:rFonts w:ascii="Times New Roman" w:hAnsi="Times New Roman" w:cs="Times New Roman"/>
          <w:i w:val="0"/>
          <w:iCs w:val="0"/>
          <w:color w:val="auto"/>
        </w:rPr>
      </w:pPr>
    </w:p>
    <w:p w14:paraId="20B7A226" w14:textId="77777777" w:rsidR="00C62060" w:rsidRPr="00223217" w:rsidRDefault="00C62060" w:rsidP="00C62060"/>
    <w:p w14:paraId="0CFDAEF6" w14:textId="737F0A3A" w:rsidR="00C62060" w:rsidRPr="00223217" w:rsidRDefault="00C62060" w:rsidP="00C62060">
      <w:pPr>
        <w:pStyle w:val="Caption"/>
        <w:jc w:val="center"/>
        <w:rPr>
          <w:rFonts w:ascii="Times New Roman" w:hAnsi="Times New Roman" w:cs="Times New Roman"/>
          <w:i w:val="0"/>
          <w:iCs w:val="0"/>
          <w:color w:val="auto"/>
          <w:sz w:val="20"/>
          <w:szCs w:val="20"/>
        </w:rPr>
      </w:pPr>
      <w:r w:rsidRPr="00223217">
        <w:rPr>
          <w:rFonts w:ascii="Times New Roman" w:hAnsi="Times New Roman" w:cs="Times New Roman"/>
          <w:i w:val="0"/>
          <w:iCs w:val="0"/>
          <w:color w:val="auto"/>
          <w:sz w:val="20"/>
          <w:szCs w:val="20"/>
        </w:rPr>
        <w:t xml:space="preserve">Figure </w:t>
      </w:r>
      <w:r w:rsidRPr="00223217">
        <w:rPr>
          <w:rFonts w:ascii="Times New Roman" w:hAnsi="Times New Roman" w:cs="Times New Roman"/>
          <w:i w:val="0"/>
          <w:iCs w:val="0"/>
          <w:color w:val="auto"/>
          <w:sz w:val="20"/>
          <w:szCs w:val="20"/>
        </w:rPr>
        <w:fldChar w:fldCharType="begin"/>
      </w:r>
      <w:r w:rsidRPr="00223217">
        <w:rPr>
          <w:rFonts w:ascii="Times New Roman" w:hAnsi="Times New Roman" w:cs="Times New Roman"/>
          <w:i w:val="0"/>
          <w:iCs w:val="0"/>
          <w:color w:val="auto"/>
          <w:sz w:val="20"/>
          <w:szCs w:val="20"/>
        </w:rPr>
        <w:instrText xml:space="preserve"> SEQ Figure \* ARABIC </w:instrText>
      </w:r>
      <w:r w:rsidRPr="00223217">
        <w:rPr>
          <w:rFonts w:ascii="Times New Roman" w:hAnsi="Times New Roman" w:cs="Times New Roman"/>
          <w:i w:val="0"/>
          <w:iCs w:val="0"/>
          <w:color w:val="auto"/>
          <w:sz w:val="20"/>
          <w:szCs w:val="20"/>
        </w:rPr>
        <w:fldChar w:fldCharType="separate"/>
      </w:r>
      <w:r w:rsidRPr="00223217">
        <w:rPr>
          <w:rFonts w:ascii="Times New Roman" w:hAnsi="Times New Roman" w:cs="Times New Roman"/>
          <w:i w:val="0"/>
          <w:iCs w:val="0"/>
          <w:noProof/>
          <w:color w:val="auto"/>
          <w:sz w:val="20"/>
          <w:szCs w:val="20"/>
        </w:rPr>
        <w:t>1</w:t>
      </w:r>
      <w:r w:rsidRPr="00223217">
        <w:rPr>
          <w:rFonts w:ascii="Times New Roman" w:hAnsi="Times New Roman" w:cs="Times New Roman"/>
          <w:i w:val="0"/>
          <w:iCs w:val="0"/>
          <w:color w:val="auto"/>
          <w:sz w:val="20"/>
          <w:szCs w:val="20"/>
        </w:rPr>
        <w:fldChar w:fldCharType="end"/>
      </w:r>
      <w:r w:rsidR="00EC2064">
        <w:rPr>
          <w:rFonts w:ascii="Times New Roman" w:hAnsi="Times New Roman" w:cs="Times New Roman"/>
          <w:i w:val="0"/>
          <w:iCs w:val="0"/>
          <w:color w:val="auto"/>
          <w:sz w:val="20"/>
          <w:szCs w:val="20"/>
        </w:rPr>
        <w:t xml:space="preserve">. </w:t>
      </w:r>
      <w:r w:rsidRPr="00223217">
        <w:rPr>
          <w:rFonts w:ascii="Times New Roman" w:hAnsi="Times New Roman" w:cs="Times New Roman"/>
          <w:i w:val="0"/>
          <w:iCs w:val="0"/>
          <w:color w:val="auto"/>
          <w:sz w:val="20"/>
          <w:szCs w:val="20"/>
        </w:rPr>
        <w:t>Design of the preparation of 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-GA composite</w:t>
      </w:r>
    </w:p>
    <w:p w14:paraId="222EA58C" w14:textId="77777777" w:rsidR="00C62060" w:rsidRPr="00223217" w:rsidRDefault="00C62060" w:rsidP="00C62060">
      <w:pPr>
        <w:pStyle w:val="Heading2"/>
        <w:spacing w:line="240" w:lineRule="auto"/>
        <w:rPr>
          <w:rFonts w:ascii="Times New Roman" w:hAnsi="Times New Roman" w:cs="Times New Roman"/>
          <w:b/>
          <w:bCs/>
          <w:color w:val="auto"/>
          <w:sz w:val="20"/>
          <w:szCs w:val="20"/>
          <w:lang w:val="en-GB"/>
        </w:rPr>
      </w:pPr>
      <w:r w:rsidRPr="00223217">
        <w:rPr>
          <w:rFonts w:ascii="Times New Roman" w:hAnsi="Times New Roman" w:cs="Times New Roman"/>
          <w:b/>
          <w:bCs/>
          <w:color w:val="auto"/>
          <w:sz w:val="20"/>
          <w:szCs w:val="20"/>
          <w:lang w:val="en-GB"/>
        </w:rPr>
        <w:t>Characterizations</w:t>
      </w:r>
    </w:p>
    <w:p w14:paraId="7291A2C7" w14:textId="17710C6C" w:rsidR="00C62060" w:rsidRPr="00223217" w:rsidRDefault="00C62060" w:rsidP="00C62060">
      <w:pPr>
        <w:adjustRightInd w:val="0"/>
        <w:rPr>
          <w:rFonts w:ascii="Times New Roman" w:eastAsia="TimesNewRomanPSMT" w:hAnsi="Times New Roman" w:cs="Times New Roman"/>
          <w:szCs w:val="20"/>
          <w:lang w:val="en-GB"/>
        </w:rPr>
      </w:pPr>
      <w:r w:rsidRPr="00223217">
        <w:rPr>
          <w:rFonts w:ascii="Times New Roman" w:eastAsia="TimesNewRomanPSMT" w:hAnsi="Times New Roman" w:cs="Times New Roman"/>
          <w:szCs w:val="20"/>
          <w:lang w:val="en-GB"/>
        </w:rPr>
        <w:t>To prove crystallinity in the manufactured tests for characterization uses, X-</w:t>
      </w:r>
      <w:r w:rsidR="00EC2064">
        <w:rPr>
          <w:rFonts w:ascii="Times New Roman" w:eastAsia="TimesNewRomanPSMT" w:hAnsi="Times New Roman" w:cs="Times New Roman"/>
          <w:szCs w:val="20"/>
          <w:lang w:val="en-GB"/>
        </w:rPr>
        <w:t>r</w:t>
      </w:r>
      <w:r w:rsidRPr="00223217">
        <w:rPr>
          <w:rFonts w:ascii="Times New Roman" w:eastAsia="TimesNewRomanPSMT" w:hAnsi="Times New Roman" w:cs="Times New Roman"/>
          <w:szCs w:val="20"/>
          <w:lang w:val="en-GB"/>
        </w:rPr>
        <w:t>ay Diffraction (XRD) is a powerful physical description method. Using a D8 Advance/Bruker, AXS Germany model, all fabricated tests were examined at 2</w:t>
      </w:r>
      <w:r w:rsidRPr="00EC2064">
        <w:rPr>
          <w:rFonts w:ascii="Times New Roman" w:eastAsia="TimesNewRomanPSMT" w:hAnsi="Times New Roman" w:cs="Times New Roman"/>
          <w:i/>
          <w:iCs/>
          <w:szCs w:val="20"/>
          <w:lang w:val="en-GB"/>
        </w:rPr>
        <w:t>θ</w:t>
      </w:r>
      <w:r w:rsidRPr="00223217">
        <w:rPr>
          <w:rFonts w:ascii="Times New Roman" w:eastAsia="TimesNewRomanPSMT" w:hAnsi="Times New Roman" w:cs="Times New Roman"/>
          <w:szCs w:val="20"/>
          <w:lang w:val="en-GB"/>
        </w:rPr>
        <w:t xml:space="preserve"> from 5° to 100°. Moreover, the degree of graphitization was described using Raman spectrum analysis. The surface morphology and forms of the samples were explored using a Field Emission Scanning Electron Microscope (FESEM).</w:t>
      </w:r>
    </w:p>
    <w:p w14:paraId="581EB1F7" w14:textId="77777777" w:rsidR="00C62060" w:rsidRPr="00223217" w:rsidRDefault="00C62060" w:rsidP="00C62060">
      <w:pPr>
        <w:adjustRightInd w:val="0"/>
        <w:rPr>
          <w:rFonts w:ascii="Times New Roman" w:eastAsia="TimesNewRomanPSMT" w:hAnsi="Times New Roman" w:cs="Times New Roman"/>
          <w:szCs w:val="20"/>
          <w:lang w:val="en-GB"/>
        </w:rPr>
      </w:pPr>
    </w:p>
    <w:p w14:paraId="2C9E2C5F" w14:textId="138AF2DB" w:rsidR="00C62060" w:rsidRPr="00223217" w:rsidRDefault="00C62060" w:rsidP="00C62060">
      <w:pPr>
        <w:pStyle w:val="Heading2"/>
        <w:spacing w:line="240" w:lineRule="auto"/>
        <w:rPr>
          <w:rFonts w:ascii="Times New Roman" w:hAnsi="Times New Roman" w:cs="Times New Roman"/>
          <w:b/>
          <w:bCs/>
          <w:color w:val="auto"/>
          <w:sz w:val="20"/>
          <w:szCs w:val="20"/>
          <w:lang w:val="en-GB"/>
        </w:rPr>
      </w:pPr>
      <w:r w:rsidRPr="00223217">
        <w:rPr>
          <w:rFonts w:ascii="Times New Roman" w:hAnsi="Times New Roman" w:cs="Times New Roman"/>
          <w:b/>
          <w:bCs/>
          <w:color w:val="auto"/>
          <w:sz w:val="20"/>
          <w:szCs w:val="20"/>
          <w:lang w:val="en-GB"/>
        </w:rPr>
        <w:t xml:space="preserve">Electrochemical </w:t>
      </w:r>
      <w:r w:rsidR="00EC2064" w:rsidRPr="00223217">
        <w:rPr>
          <w:rFonts w:ascii="Times New Roman" w:hAnsi="Times New Roman" w:cs="Times New Roman"/>
          <w:b/>
          <w:bCs/>
          <w:color w:val="auto"/>
          <w:sz w:val="20"/>
          <w:szCs w:val="20"/>
          <w:lang w:val="en-GB"/>
        </w:rPr>
        <w:t>characterization and performance test</w:t>
      </w:r>
    </w:p>
    <w:p w14:paraId="4B18F19B" w14:textId="6AF63161" w:rsidR="00C62060" w:rsidRPr="00223217" w:rsidRDefault="00C62060" w:rsidP="00C62060">
      <w:pPr>
        <w:widowControl/>
        <w:wordWrap/>
        <w:adjustRightInd w:val="0"/>
        <w:rPr>
          <w:rFonts w:ascii="AdvOT569473da" w:eastAsiaTheme="minorHAnsi" w:hAnsi="AdvOT569473da" w:cs="AdvOT569473da"/>
          <w:kern w:val="0"/>
          <w:szCs w:val="20"/>
          <w:lang w:val="en-GB" w:eastAsia="en-US"/>
        </w:rPr>
      </w:pPr>
      <w:r w:rsidRPr="00223217">
        <w:rPr>
          <w:rFonts w:ascii="Times New Roman" w:eastAsia="TimesNewRomanPSMT" w:hAnsi="Times New Roman" w:cs="Times New Roman"/>
          <w:szCs w:val="20"/>
          <w:lang w:val="en-GB"/>
        </w:rPr>
        <w:t>In a 0.5 M H</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SO</w:t>
      </w:r>
      <w:r w:rsidRPr="00223217">
        <w:rPr>
          <w:rFonts w:ascii="Times New Roman" w:eastAsia="TimesNewRomanPSMT" w:hAnsi="Times New Roman" w:cs="Times New Roman"/>
          <w:szCs w:val="20"/>
          <w:vertAlign w:val="subscript"/>
          <w:lang w:val="en-GB"/>
        </w:rPr>
        <w:t xml:space="preserve">4 </w:t>
      </w:r>
      <w:r w:rsidRPr="00223217">
        <w:rPr>
          <w:rFonts w:ascii="Times New Roman" w:eastAsia="TimesNewRomanPSMT" w:hAnsi="Times New Roman" w:cs="Times New Roman"/>
          <w:szCs w:val="20"/>
          <w:lang w:val="en-GB"/>
        </w:rPr>
        <w:t xml:space="preserve">the electrocatalyst performance was estimated by determining the electrochemical surface area, ECSA, cyclic voltammetry (CV), and </w:t>
      </w:r>
      <w:r w:rsidRPr="00223217">
        <w:rPr>
          <w:rFonts w:ascii="Times New Roman" w:eastAsiaTheme="minorHAnsi" w:hAnsi="Times New Roman" w:cs="Times New Roman"/>
          <w:kern w:val="0"/>
          <w:szCs w:val="20"/>
          <w:lang w:val="en-GB" w:eastAsia="en-US"/>
        </w:rPr>
        <w:t>catalyst stability measured with a chronoamperometry (CA) test</w:t>
      </w:r>
      <w:r w:rsidRPr="00223217">
        <w:rPr>
          <w:rFonts w:ascii="Times New Roman" w:eastAsia="TimesNewRomanPSMT" w:hAnsi="Times New Roman" w:cs="Times New Roman"/>
          <w:szCs w:val="20"/>
          <w:lang w:val="en-GB"/>
        </w:rPr>
        <w:t xml:space="preserve">. Three-electrode cell systems were used at room temperature: a working electrode with a glassy carbon electrode (3 mm Ø), reference electrodes noted as Ag/AgCl electrodes, and counter platinum-based electrode. Furthermore, 3 mg of electrocatalyst of </w:t>
      </w:r>
      <w:proofErr w:type="spellStart"/>
      <w:r w:rsidRPr="00223217">
        <w:rPr>
          <w:rFonts w:ascii="Times New Roman" w:eastAsia="TimesNewRomanPSMT" w:hAnsi="Times New Roman" w:cs="Times New Roman"/>
          <w:szCs w:val="20"/>
          <w:lang w:val="en-GB"/>
        </w:rPr>
        <w:t>PtRu</w:t>
      </w:r>
      <w:proofErr w:type="spellEnd"/>
      <w:r w:rsidRPr="00223217">
        <w:rPr>
          <w:rFonts w:ascii="Times New Roman" w:eastAsia="TimesNewRomanPSMT" w:hAnsi="Times New Roman" w:cs="Times New Roman"/>
          <w:szCs w:val="20"/>
          <w:lang w:val="en-GB"/>
        </w:rPr>
        <w:t>/TiO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-GA and commercial catalyst were dispersed in 150 m</w:t>
      </w:r>
      <w:r w:rsidR="00EC2064">
        <w:rPr>
          <w:rFonts w:ascii="Times New Roman" w:eastAsia="TimesNewRomanPSMT" w:hAnsi="Times New Roman" w:cs="Times New Roman"/>
          <w:szCs w:val="20"/>
          <w:lang w:val="en-GB"/>
        </w:rPr>
        <w:t>L</w:t>
      </w:r>
      <w:r w:rsidRPr="00223217">
        <w:rPr>
          <w:rFonts w:ascii="Times New Roman" w:eastAsia="TimesNewRomanPSMT" w:hAnsi="Times New Roman" w:cs="Times New Roman"/>
          <w:szCs w:val="20"/>
          <w:lang w:val="en-GB"/>
        </w:rPr>
        <w:t xml:space="preserve"> DI water, 150 m</w:t>
      </w:r>
      <w:r w:rsidR="00EC2064">
        <w:rPr>
          <w:rFonts w:ascii="Times New Roman" w:eastAsia="TimesNewRomanPSMT" w:hAnsi="Times New Roman" w:cs="Times New Roman"/>
          <w:szCs w:val="20"/>
          <w:lang w:val="en-GB"/>
        </w:rPr>
        <w:t>L</w:t>
      </w:r>
      <w:r w:rsidRPr="00223217">
        <w:rPr>
          <w:rFonts w:ascii="Times New Roman" w:eastAsia="TimesNewRomanPSMT" w:hAnsi="Times New Roman" w:cs="Times New Roman"/>
          <w:szCs w:val="20"/>
          <w:lang w:val="en-GB"/>
        </w:rPr>
        <w:t xml:space="preserve"> IPA, and 50 m</w:t>
      </w:r>
      <w:r w:rsidR="00EC2064">
        <w:rPr>
          <w:rFonts w:ascii="Times New Roman" w:eastAsia="TimesNewRomanPSMT" w:hAnsi="Times New Roman" w:cs="Times New Roman"/>
          <w:szCs w:val="20"/>
          <w:lang w:val="en-GB"/>
        </w:rPr>
        <w:t>L</w:t>
      </w:r>
      <w:r w:rsidRPr="00223217">
        <w:rPr>
          <w:rFonts w:ascii="Times New Roman" w:eastAsia="TimesNewRomanPSMT" w:hAnsi="Times New Roman" w:cs="Times New Roman"/>
          <w:szCs w:val="20"/>
          <w:lang w:val="en-GB"/>
        </w:rPr>
        <w:t xml:space="preserve"> </w:t>
      </w:r>
      <w:proofErr w:type="spellStart"/>
      <w:r w:rsidRPr="00223217">
        <w:rPr>
          <w:rFonts w:ascii="Times New Roman" w:eastAsia="TimesNewRomanPSMT" w:hAnsi="Times New Roman" w:cs="Times New Roman"/>
          <w:szCs w:val="20"/>
          <w:lang w:val="en-GB"/>
        </w:rPr>
        <w:t>Nafion</w:t>
      </w:r>
      <w:proofErr w:type="spellEnd"/>
      <w:r w:rsidRPr="00223217">
        <w:rPr>
          <w:rFonts w:ascii="Times New Roman" w:eastAsia="TimesNewRomanPSMT" w:hAnsi="Times New Roman" w:cs="Times New Roman"/>
          <w:szCs w:val="20"/>
          <w:lang w:val="en-GB"/>
        </w:rPr>
        <w:t xml:space="preserve"> (5 wt</w:t>
      </w:r>
      <w:r w:rsidR="00EC2064">
        <w:rPr>
          <w:rFonts w:ascii="Times New Roman" w:eastAsia="TimesNewRomanPSMT" w:hAnsi="Times New Roman" w:cs="Times New Roman"/>
          <w:szCs w:val="20"/>
          <w:lang w:val="en-GB"/>
        </w:rPr>
        <w:t>.</w:t>
      </w:r>
      <w:r w:rsidRPr="00223217">
        <w:rPr>
          <w:rFonts w:ascii="Times New Roman" w:eastAsia="TimesNewRomanPSMT" w:hAnsi="Times New Roman" w:cs="Times New Roman"/>
          <w:szCs w:val="20"/>
          <w:lang w:val="en-GB"/>
        </w:rPr>
        <w:t>%) solution to make the electrocatalyst ink for the working electrode. On the glassy electrode, there was a catalyst loading of 0.0503 mg cm</w:t>
      </w:r>
      <w:r w:rsidRPr="00223217">
        <w:rPr>
          <w:rFonts w:ascii="Times New Roman" w:eastAsia="TimesNewRomanPSMT" w:hAnsi="Times New Roman" w:cs="Times New Roman"/>
          <w:szCs w:val="20"/>
          <w:vertAlign w:val="superscript"/>
          <w:lang w:val="en-GB"/>
        </w:rPr>
        <w:t>-2</w:t>
      </w:r>
      <w:r w:rsidRPr="00223217">
        <w:rPr>
          <w:rFonts w:ascii="Times New Roman" w:eastAsia="TimesNewRomanPSMT" w:hAnsi="Times New Roman" w:cs="Times New Roman"/>
          <w:szCs w:val="20"/>
          <w:lang w:val="en-GB"/>
        </w:rPr>
        <w:t>. The CV was measured at a 50 mVs</w:t>
      </w:r>
      <w:r w:rsidRPr="00223217">
        <w:rPr>
          <w:rFonts w:ascii="Times New Roman" w:eastAsia="TimesNewRomanPSMT" w:hAnsi="Times New Roman" w:cs="Times New Roman"/>
          <w:szCs w:val="20"/>
          <w:vertAlign w:val="superscript"/>
          <w:lang w:val="en-GB"/>
        </w:rPr>
        <w:t>-1</w:t>
      </w:r>
      <w:r w:rsidRPr="00223217">
        <w:rPr>
          <w:rFonts w:ascii="Times New Roman" w:eastAsia="TimesNewRomanPSMT" w:hAnsi="Times New Roman" w:cs="Times New Roman"/>
          <w:szCs w:val="20"/>
          <w:lang w:val="en-GB"/>
        </w:rPr>
        <w:t xml:space="preserve"> scan rate with potentials ranging from -0.2 to 1.0 V vs. Ag/AgCl. Note that in this analysis, the potentials ranged from -0.2 to 1.0 V vs. Ag/AgCl, while CV was recorded at a 50 mVs</w:t>
      </w:r>
      <w:r w:rsidRPr="00223217">
        <w:rPr>
          <w:rFonts w:ascii="Times New Roman" w:eastAsia="TimesNewRomanPSMT" w:hAnsi="Times New Roman" w:cs="Times New Roman"/>
          <w:szCs w:val="20"/>
          <w:vertAlign w:val="superscript"/>
          <w:lang w:val="en-GB"/>
        </w:rPr>
        <w:t>-1</w:t>
      </w:r>
      <w:r w:rsidRPr="00223217">
        <w:rPr>
          <w:rFonts w:ascii="Times New Roman" w:eastAsia="TimesNewRomanPSMT" w:hAnsi="Times New Roman" w:cs="Times New Roman"/>
          <w:szCs w:val="20"/>
          <w:lang w:val="en-GB"/>
        </w:rPr>
        <w:t xml:space="preserve"> scan rate. The long- term performance of all electrocatalysts was assessed using chronoamperometry (CA) in the electrolyte solution at a potential of 0.6 V for 2000 s.</w:t>
      </w:r>
    </w:p>
    <w:p w14:paraId="212FF82E" w14:textId="77777777" w:rsidR="00C62060" w:rsidRPr="00223217" w:rsidRDefault="00C62060" w:rsidP="00C62060">
      <w:pPr>
        <w:outlineLvl w:val="0"/>
        <w:rPr>
          <w:rFonts w:ascii="Times New Roman" w:hAnsi="Times New Roman" w:cs="Times New Roman"/>
          <w:b/>
          <w:szCs w:val="20"/>
        </w:rPr>
      </w:pPr>
    </w:p>
    <w:p w14:paraId="32C56018" w14:textId="01D13387" w:rsidR="00785CA6" w:rsidRPr="00223217" w:rsidRDefault="00785CA6" w:rsidP="00785CA6">
      <w:pPr>
        <w:jc w:val="center"/>
        <w:outlineLvl w:val="0"/>
        <w:rPr>
          <w:rFonts w:ascii="Times New Roman" w:hAnsi="Times New Roman" w:cs="Times New Roman"/>
          <w:b/>
          <w:szCs w:val="20"/>
        </w:rPr>
      </w:pPr>
      <w:r w:rsidRPr="00223217">
        <w:rPr>
          <w:rFonts w:ascii="Times New Roman" w:hAnsi="Times New Roman" w:cs="Times New Roman"/>
          <w:b/>
          <w:szCs w:val="20"/>
        </w:rPr>
        <w:t>Result</w:t>
      </w:r>
      <w:r w:rsidR="00EC2064">
        <w:rPr>
          <w:rFonts w:ascii="Times New Roman" w:hAnsi="Times New Roman" w:cs="Times New Roman"/>
          <w:b/>
          <w:szCs w:val="20"/>
        </w:rPr>
        <w:t>s</w:t>
      </w:r>
      <w:r w:rsidRPr="00223217">
        <w:rPr>
          <w:rFonts w:ascii="Times New Roman" w:hAnsi="Times New Roman" w:cs="Times New Roman"/>
          <w:b/>
          <w:szCs w:val="20"/>
        </w:rPr>
        <w:t xml:space="preserve"> and Discussion</w:t>
      </w:r>
    </w:p>
    <w:p w14:paraId="6FF4700E" w14:textId="348214E7" w:rsidR="00C62060" w:rsidRDefault="00C62060" w:rsidP="00C62060">
      <w:pPr>
        <w:widowControl/>
        <w:wordWrap/>
        <w:adjustRightInd w:val="0"/>
        <w:rPr>
          <w:rFonts w:ascii="Times New Roman" w:eastAsia="TimesNewRomanPSMT" w:hAnsi="Times New Roman" w:cs="Times New Roman"/>
          <w:szCs w:val="20"/>
          <w:lang w:val="en-GB"/>
        </w:rPr>
      </w:pPr>
      <w:r w:rsidRPr="00223217">
        <w:rPr>
          <w:rFonts w:ascii="Times New Roman" w:eastAsia="TimesNewRomanPSMT" w:hAnsi="Times New Roman" w:cs="Times New Roman"/>
          <w:szCs w:val="20"/>
          <w:lang w:val="en-GB"/>
        </w:rPr>
        <w:t>The crystal structure and pattern of the built catalyst support and electrocatalyst were investigated using XRD analysis. As a result, the 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-GA support was synthesized by hydrothermal at 200</w:t>
      </w:r>
      <w:r w:rsidR="00EC2064">
        <w:rPr>
          <w:rFonts w:ascii="Times New Roman" w:eastAsia="TimesNewRomanPSMT" w:hAnsi="Times New Roman" w:cs="Times New Roman"/>
          <w:szCs w:val="20"/>
          <w:lang w:val="en-GB"/>
        </w:rPr>
        <w:t xml:space="preserve"> </w:t>
      </w:r>
      <w:r w:rsidRPr="00223217">
        <w:rPr>
          <w:rFonts w:ascii="Times New Roman" w:eastAsia="TimesNewRomanPSMT" w:hAnsi="Times New Roman" w:cs="Times New Roman"/>
          <w:szCs w:val="20"/>
          <w:lang w:val="en-GB"/>
        </w:rPr>
        <w:t xml:space="preserve">°C. The microwave-assisted alcohol reduction approach was used to make the </w:t>
      </w:r>
      <w:proofErr w:type="spellStart"/>
      <w:r w:rsidRPr="00223217">
        <w:rPr>
          <w:rFonts w:ascii="Times New Roman" w:eastAsia="TimesNewRomanPSMT" w:hAnsi="Times New Roman" w:cs="Times New Roman"/>
          <w:szCs w:val="20"/>
          <w:lang w:val="en-GB"/>
        </w:rPr>
        <w:t>PtRu</w:t>
      </w:r>
      <w:proofErr w:type="spellEnd"/>
      <w:r w:rsidRPr="00223217">
        <w:rPr>
          <w:rFonts w:ascii="Times New Roman" w:eastAsia="TimesNewRomanPSMT" w:hAnsi="Times New Roman" w:cs="Times New Roman"/>
          <w:szCs w:val="20"/>
          <w:lang w:val="en-GB"/>
        </w:rPr>
        <w:t>/TiO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 xml:space="preserve">-GA and </w:t>
      </w:r>
      <w:proofErr w:type="spellStart"/>
      <w:r w:rsidRPr="00223217">
        <w:rPr>
          <w:rFonts w:ascii="Times New Roman" w:eastAsia="TimesNewRomanPSMT" w:hAnsi="Times New Roman" w:cs="Times New Roman"/>
          <w:szCs w:val="20"/>
          <w:lang w:val="en-GB"/>
        </w:rPr>
        <w:t>PtRu</w:t>
      </w:r>
      <w:proofErr w:type="spellEnd"/>
      <w:r w:rsidRPr="00223217">
        <w:rPr>
          <w:rFonts w:ascii="Times New Roman" w:eastAsia="TimesNewRomanPSMT" w:hAnsi="Times New Roman" w:cs="Times New Roman"/>
          <w:szCs w:val="20"/>
          <w:lang w:val="en-GB"/>
        </w:rPr>
        <w:t xml:space="preserve">/C marketable. The </w:t>
      </w:r>
      <w:r w:rsidRPr="00223217">
        <w:rPr>
          <w:rFonts w:ascii="Times New Roman" w:hAnsi="Times New Roman"/>
          <w:szCs w:val="20"/>
          <w:lang w:val="en-GB"/>
        </w:rPr>
        <w:t xml:space="preserve">analysis of the diffraction peak for the associated sample and comparative samples of XRD pattern for </w:t>
      </w:r>
      <w:proofErr w:type="spellStart"/>
      <w:r w:rsidRPr="00223217">
        <w:rPr>
          <w:rFonts w:ascii="Times New Roman" w:hAnsi="Times New Roman"/>
          <w:szCs w:val="20"/>
          <w:lang w:val="en-GB"/>
        </w:rPr>
        <w:t>PtRu</w:t>
      </w:r>
      <w:proofErr w:type="spellEnd"/>
      <w:r w:rsidRPr="00223217">
        <w:rPr>
          <w:rFonts w:ascii="Times New Roman" w:hAnsi="Times New Roman"/>
          <w:szCs w:val="20"/>
          <w:lang w:val="en-GB"/>
        </w:rPr>
        <w:t>/</w:t>
      </w:r>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i/>
          <w:iCs/>
          <w:szCs w:val="20"/>
          <w:lang w:val="en-GB"/>
        </w:rPr>
        <w:t>-</w:t>
      </w:r>
      <w:r w:rsidRPr="00223217">
        <w:rPr>
          <w:rFonts w:ascii="Times New Roman" w:hAnsi="Times New Roman" w:cs="Times New Roman"/>
          <w:szCs w:val="20"/>
          <w:lang w:val="en-GB"/>
        </w:rPr>
        <w:t>GA</w:t>
      </w:r>
      <w:r w:rsidRPr="00223217">
        <w:rPr>
          <w:rFonts w:ascii="Times New Roman" w:hAnsi="Times New Roman"/>
          <w:szCs w:val="20"/>
          <w:lang w:val="en-GB"/>
        </w:rPr>
        <w:t xml:space="preserve"> electrocatalyst is shown in Figure 2(a). </w:t>
      </w:r>
      <w:r w:rsidRPr="00223217">
        <w:rPr>
          <w:rFonts w:ascii="Times New Roman" w:eastAsia="TimesNewRomanPSMT" w:hAnsi="Times New Roman" w:cs="Times New Roman"/>
          <w:szCs w:val="20"/>
          <w:lang w:val="en-GB"/>
        </w:rPr>
        <w:t>Peaks at 25.3°, 37.8°, 48.0°, 53.9°, 55.1°, 62.7°, 68.8°, 70.3°, and 75.0° are indexed to (101), (004), (200), (105), (211), (204), (116), (220), and (215) crystal planes of 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 xml:space="preserve"> anatase, respectively based on XRD examination for 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 xml:space="preserve">-GA support sample </w:t>
      </w:r>
      <w:r w:rsidRPr="00223217">
        <w:rPr>
          <w:rFonts w:ascii="Times New Roman" w:hAnsi="Times New Roman" w:cs="Times New Roman"/>
          <w:szCs w:val="20"/>
          <w:lang w:val="en-GB"/>
        </w:rPr>
        <w:fldChar w:fldCharType="begin" w:fldLock="1"/>
      </w:r>
      <w:r w:rsidRPr="00223217">
        <w:rPr>
          <w:rFonts w:ascii="Times New Roman" w:hAnsi="Times New Roman" w:cs="Times New Roman"/>
          <w:szCs w:val="20"/>
          <w:lang w:val="en-GB"/>
        </w:rPr>
        <w:instrText>ADDIN CSL_CITATION {"citationItems":[{"id":"ITEM-1","itemData":{"DOI":"10.1016/j.electacta.2015.01.012","ISSN":"00134686","abstract":"TiO2 nanorod/graphene oxide (TiO2 nanorod/GO) composites with different TiO2/GO weight ratios were successfully prepared by self-assembly of GO and ready-made TiO2 nanorods under room temperature conditions. TiO2 nanorods were synthesized via the hydrothermal method, and GO was obtained via a modified Hummers method. X-ray diffraction, atomic force microscopy, and high-resolution transmission electron microscopy indicated that rutile TiO2 nanorods were loaded on the GO nanosheet without obvious aggregation. The electrochemical performance of the TiO2 nanorod/GO composites was confirmed by cyclic voltammetry, galvanostatic charge-discharge, and electrochemical impedance spectroscopy in 1 mol L-1 Na2SO4 aqueous electrolyte. The ratio of TiO2 nanorods to GO in composite materials has significant influence on electrochemical performance of composite electrodes. TiO2 nanorod/GO composites with 4.00 wt.% GO have excellent electrochemical performance. The maximum specific capacitance of this composite electrode was 100 F g-1 at 5 mV s-1 scan rate. The TiO2 nanorod/GO composites also exhibited good electrochemical stability with a capacitance degradation of less than 20% over 3000 cycles. The electrochemical performance of the as-prepared nanocomposites could be enhanced by increasing chemical interactions between TiO2 and GO.","author":[{"dropping-particle":"","family":"Liu","given":"Ruirui","non-dropping-particle":"","parse-names":false,"suffix":""},{"dropping-particle":"","family":"Guo","given":"Wenjun","non-dropping-particle":"","parse-names":false,"suffix":""},{"dropping-particle":"","family":"Sun","given":"Bin","non-dropping-particle":"","parse-names":false,"suffix":""},{"dropping-particle":"","family":"Pang","given":"Jinli","non-dropping-particle":"","parse-names":false,"suffix":""},{"dropping-particle":"","family":"Pei","given":"Meishan","non-dropping-particle":"","parse-names":false,"suffix":""},{"dropping-particle":"","family":"Zhou","given":"Guowei","non-dropping-particle":"","parse-names":false,"suffix":""}],"container-title":"Electrochimica Acta","id":"ITEM-1","issued":{"date-parts":[["2015","2","20"]]},"page":"274-282","publisher":"Elsevier Ltd","title":"Composites of rutile TiO2 nanorods loaded on graphene oxide nanosheet with enhanced electrochemical performance","type":"article-journal","volume":"156"},"uris":["http://www.mendeley.com/documents/?uuid=8a915e56-98fc-3490-9333-31b833a85818"]}],"mendeley":{"formattedCitation":"[19]","plainTextFormattedCitation":"[19]","previouslyFormattedCitation":"[19]"},"properties":{"noteIndex":0},"schema":"https://github.com/citation-style-language/schema/raw/master/csl-citation.json"}</w:instrText>
      </w:r>
      <w:r w:rsidRPr="00223217">
        <w:rPr>
          <w:rFonts w:ascii="Times New Roman" w:hAnsi="Times New Roman" w:cs="Times New Roman"/>
          <w:szCs w:val="20"/>
          <w:lang w:val="en-GB"/>
        </w:rPr>
        <w:fldChar w:fldCharType="separate"/>
      </w:r>
      <w:r w:rsidRPr="00223217">
        <w:rPr>
          <w:rFonts w:ascii="Times New Roman" w:hAnsi="Times New Roman" w:cs="Times New Roman"/>
          <w:noProof/>
          <w:szCs w:val="20"/>
          <w:lang w:val="en-GB"/>
        </w:rPr>
        <w:t>[19</w:t>
      </w:r>
      <w:r w:rsidR="00EC2064">
        <w:rPr>
          <w:rFonts w:ascii="Times New Roman" w:hAnsi="Times New Roman" w:cs="Times New Roman"/>
          <w:noProof/>
          <w:szCs w:val="20"/>
          <w:lang w:val="en-GB"/>
        </w:rPr>
        <w:t>, 20</w:t>
      </w:r>
      <w:r w:rsidRPr="00223217">
        <w:rPr>
          <w:rFonts w:ascii="Times New Roman" w:hAnsi="Times New Roman" w:cs="Times New Roman"/>
          <w:noProof/>
          <w:szCs w:val="20"/>
          <w:lang w:val="en-GB"/>
        </w:rPr>
        <w:t>]</w:t>
      </w:r>
      <w:r w:rsidRPr="00223217">
        <w:rPr>
          <w:rFonts w:ascii="Times New Roman" w:hAnsi="Times New Roman" w:cs="Times New Roman"/>
          <w:szCs w:val="20"/>
          <w:lang w:val="en-GB"/>
        </w:rPr>
        <w:fldChar w:fldCharType="end"/>
      </w:r>
      <w:r w:rsidRPr="00223217">
        <w:rPr>
          <w:rFonts w:ascii="Times New Roman" w:eastAsia="TimesNewRomanPSMT" w:hAnsi="Times New Roman" w:cs="Times New Roman"/>
          <w:szCs w:val="20"/>
          <w:lang w:val="en-GB"/>
        </w:rPr>
        <w:t>. The 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-GA hydrothermal at 200</w:t>
      </w:r>
      <w:r w:rsidR="00EC2064">
        <w:rPr>
          <w:rFonts w:ascii="Times New Roman" w:eastAsia="TimesNewRomanPSMT" w:hAnsi="Times New Roman" w:cs="Times New Roman"/>
          <w:szCs w:val="20"/>
          <w:lang w:val="en-GB"/>
        </w:rPr>
        <w:t xml:space="preserve"> </w:t>
      </w:r>
      <w:r w:rsidRPr="00223217">
        <w:rPr>
          <w:rFonts w:ascii="Times New Roman" w:eastAsia="TimesNewRomanPSMT" w:hAnsi="Times New Roman" w:cs="Times New Roman"/>
          <w:szCs w:val="20"/>
          <w:lang w:val="en-GB"/>
        </w:rPr>
        <w:t>°C was chosen as the best-produced 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 xml:space="preserve">-GA and was doped with </w:t>
      </w:r>
      <w:proofErr w:type="spellStart"/>
      <w:r w:rsidRPr="00223217">
        <w:rPr>
          <w:rFonts w:ascii="Times New Roman" w:eastAsia="TimesNewRomanPSMT" w:hAnsi="Times New Roman" w:cs="Times New Roman"/>
          <w:szCs w:val="20"/>
          <w:lang w:val="en-GB"/>
        </w:rPr>
        <w:t>PtRu</w:t>
      </w:r>
      <w:proofErr w:type="spellEnd"/>
      <w:r w:rsidRPr="00223217">
        <w:rPr>
          <w:rFonts w:ascii="Times New Roman" w:eastAsia="TimesNewRomanPSMT" w:hAnsi="Times New Roman" w:cs="Times New Roman"/>
          <w:szCs w:val="20"/>
          <w:lang w:val="en-GB"/>
        </w:rPr>
        <w:t xml:space="preserve"> catalyst. </w:t>
      </w:r>
      <w:r w:rsidRPr="00223217">
        <w:rPr>
          <w:rFonts w:ascii="Times New Roman" w:eastAsia="TimesNewRomanPSMT" w:hAnsi="Times New Roman" w:cs="Times New Roman"/>
          <w:kern w:val="0"/>
          <w:szCs w:val="20"/>
          <w:lang w:val="en-GB" w:eastAsia="en-US"/>
        </w:rPr>
        <w:t xml:space="preserve">The XRD results for the synthesized </w:t>
      </w:r>
      <w:proofErr w:type="spellStart"/>
      <w:r w:rsidRPr="00223217">
        <w:rPr>
          <w:rFonts w:ascii="Times New Roman" w:eastAsia="TimesNewRomanPSMT" w:hAnsi="Times New Roman" w:cs="Times New Roman"/>
          <w:kern w:val="0"/>
          <w:szCs w:val="20"/>
          <w:lang w:val="en-GB" w:eastAsia="en-US"/>
        </w:rPr>
        <w:t>PtRu</w:t>
      </w:r>
      <w:proofErr w:type="spellEnd"/>
      <w:r w:rsidRPr="00223217">
        <w:rPr>
          <w:rFonts w:ascii="Times New Roman" w:eastAsia="TimesNewRomanPSMT" w:hAnsi="Times New Roman" w:cs="Times New Roman"/>
          <w:kern w:val="0"/>
          <w:szCs w:val="20"/>
          <w:lang w:val="en-GB" w:eastAsia="en-US"/>
        </w:rPr>
        <w:t>/</w:t>
      </w:r>
      <w:r w:rsidRPr="00223217">
        <w:rPr>
          <w:rFonts w:ascii="Times New Roman" w:eastAsia="TimesNewRomanPSMT" w:hAnsi="Times New Roman" w:cs="Times New Roman"/>
          <w:szCs w:val="20"/>
          <w:lang w:val="en-GB"/>
        </w:rPr>
        <w:t>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-GA</w:t>
      </w:r>
      <w:r w:rsidRPr="00223217">
        <w:rPr>
          <w:rFonts w:ascii="Times New Roman" w:eastAsia="TimesNewRomanPSMT" w:hAnsi="Times New Roman" w:cs="Times New Roman"/>
          <w:kern w:val="0"/>
          <w:szCs w:val="20"/>
          <w:lang w:val="en-GB" w:eastAsia="en-US"/>
        </w:rPr>
        <w:t xml:space="preserve"> showed the presence of all particles, </w:t>
      </w:r>
      <w:proofErr w:type="spellStart"/>
      <w:r w:rsidRPr="00223217">
        <w:rPr>
          <w:rFonts w:ascii="Times New Roman" w:eastAsia="TimesNewRomanPSMT" w:hAnsi="Times New Roman" w:cs="Times New Roman"/>
          <w:kern w:val="0"/>
          <w:szCs w:val="20"/>
          <w:lang w:val="en-GB" w:eastAsia="en-US"/>
        </w:rPr>
        <w:t>PtRu</w:t>
      </w:r>
      <w:proofErr w:type="spellEnd"/>
      <w:r w:rsidRPr="00223217">
        <w:rPr>
          <w:rFonts w:ascii="Times New Roman" w:eastAsia="TimesNewRomanPSMT" w:hAnsi="Times New Roman" w:cs="Times New Roman"/>
          <w:kern w:val="0"/>
          <w:szCs w:val="20"/>
          <w:lang w:val="en-GB" w:eastAsia="en-US"/>
        </w:rPr>
        <w:t xml:space="preserve">, and C support. </w:t>
      </w:r>
      <w:r w:rsidRPr="00223217">
        <w:rPr>
          <w:rFonts w:ascii="Times New Roman" w:hAnsi="Times New Roman" w:cs="Times New Roman"/>
          <w:szCs w:val="20"/>
          <w:lang w:val="en-GB"/>
        </w:rPr>
        <w:t>The Pt particles peaked at 39.7° (111), 46.2° (200), 67. 5° (220), and 81.3° (311). The diffraction peaks for Ru were 40.7° (111), 47° (200), 69° (220), and 83.7° (311)</w:t>
      </w:r>
      <w:r w:rsidRPr="00223217">
        <w:rPr>
          <w:rFonts w:ascii="Times New Roman" w:eastAsia="TimesNewRomanPSMT" w:hAnsi="Times New Roman" w:cs="Times New Roman"/>
          <w:szCs w:val="20"/>
          <w:lang w:val="en-GB"/>
        </w:rPr>
        <w:t xml:space="preserve">. The structure of both metals was cubic, and in the electrocatalyst sample, high Bragg angles were detected in the range of 25°–60°, indicating that the catalyst possessed bimetallic or alloy interaction </w:t>
      </w:r>
      <w:r w:rsidRPr="00223217">
        <w:rPr>
          <w:rFonts w:ascii="Times New Roman" w:hAnsi="Times New Roman"/>
          <w:szCs w:val="20"/>
          <w:lang w:val="en-GB"/>
        </w:rPr>
        <w:fldChar w:fldCharType="begin" w:fldLock="1"/>
      </w:r>
      <w:r w:rsidRPr="00223217">
        <w:rPr>
          <w:rFonts w:ascii="Times New Roman" w:hAnsi="Times New Roman"/>
          <w:szCs w:val="20"/>
          <w:lang w:val="en-GB"/>
        </w:rPr>
        <w:instrText>ADDIN CSL_CITATION {"citationItems":[{"id":"ITEM-1","itemData":{"DOI":"10.1016/S0169-4332(03)00841-9","ISSN":"01694332","abstract":"An X-ray diffraction study was carried out on powders of a series of catalysts prepared from aqueous solutions of H 2 PtCl 6 and PdCl 4 and amorphous SiO 2 with different concentrations in weight of Pt and Pd at about 4% in overall metallic weight. Measurements of the position of high angle Bragg reflections in the diffractograms show evidence of the fact that the small catalyst particles are bi-metallic Pt-Pd crystals having a face-centred cubic Bravais lattice. The lattice constant of these crystals was found to change with the relative concentration of Pt and Pd by following the Vegard's rule. This correlation leads to the conclusion that the bi-metallic catalyst particles are made of a single solid solution of Pt and Pd atoms in the whole range of relative concentrations. Relative concentrations of these metals in the samples under study were determined by using energy dispersive X-ray spectrometry and their values were found to be close to the stochiometric relative concentrations in weight of the metals in the precursor aqueous solution. An average size of about 96Å was estimated for the bi-metallic particles from the full-width at half-maximum value measured for the (2 0 0) diffractometric curve. © 2003 Elsevier B.V. All rights reserved.","author":[{"dropping-particle":"","family":"Cordero-Borboa","given":"A. E.","non-dropping-particle":"","parse-names":false,"suffix":""},{"dropping-particle":"","family":"Sterling-Black","given":"E.","non-dropping-particle":"","parse-names":false,"suffix":""},{"dropping-particle":"","family":"Gómez-Cortés","given":"A.","non-dropping-particle":"","parse-names":false,"suffix":""},{"dropping-particle":"","family":"Vázquez-Zavala","given":"A.","non-dropping-particle":"","parse-names":false,"suffix":""}],"container-title":"Applied Surface Science","id":"ITEM-1","issue":"1-4","issued":{"date-parts":[["2003","12","30"]]},"page":"169-174","publisher":"Elsevier","title":"X-ray diffraction evidence of the single solid solution character of bi-metallic Pt-Pd catalyst particles on an amorphous SiO 2 substrate","type":"article-journal","volume":"220"},"uris":["http://www.mendeley.com/documents/?uuid=3842fbb7-080a-391b-92c7-b2ae45ec3aff"]}],"mendeley":{"formattedCitation":"[21]","plainTextFormattedCitation":"[21]","previouslyFormattedCitation":"[21]"},"properties":{"noteIndex":0},"schema":"https://github.com/citation-style-language/schema/raw/master/csl-citation.json"}</w:instrText>
      </w:r>
      <w:r w:rsidRPr="00223217">
        <w:rPr>
          <w:rFonts w:ascii="Times New Roman" w:hAnsi="Times New Roman"/>
          <w:szCs w:val="20"/>
          <w:lang w:val="en-GB"/>
        </w:rPr>
        <w:fldChar w:fldCharType="separate"/>
      </w:r>
      <w:r w:rsidRPr="00223217">
        <w:rPr>
          <w:rFonts w:ascii="Times New Roman" w:hAnsi="Times New Roman"/>
          <w:noProof/>
          <w:szCs w:val="20"/>
          <w:lang w:val="en-GB"/>
        </w:rPr>
        <w:t>[21]</w:t>
      </w:r>
      <w:r w:rsidRPr="00223217">
        <w:rPr>
          <w:rFonts w:ascii="Times New Roman" w:hAnsi="Times New Roman"/>
          <w:szCs w:val="20"/>
          <w:lang w:val="en-GB"/>
        </w:rPr>
        <w:fldChar w:fldCharType="end"/>
      </w:r>
      <w:r w:rsidRPr="00223217">
        <w:rPr>
          <w:rFonts w:ascii="Times New Roman" w:hAnsi="Times New Roman"/>
          <w:szCs w:val="20"/>
          <w:lang w:val="en-GB"/>
        </w:rPr>
        <w:t xml:space="preserve">. </w:t>
      </w:r>
      <w:r w:rsidRPr="00223217">
        <w:rPr>
          <w:rFonts w:ascii="Times New Roman" w:eastAsia="TimesNewRomanPSMT" w:hAnsi="Times New Roman" w:cs="Times New Roman"/>
          <w:szCs w:val="20"/>
          <w:lang w:val="en-GB"/>
        </w:rPr>
        <w:t xml:space="preserve">Additionally, the estimated crystallite size of </w:t>
      </w:r>
      <w:proofErr w:type="spellStart"/>
      <w:r w:rsidRPr="00223217">
        <w:rPr>
          <w:rFonts w:ascii="Times New Roman" w:eastAsia="TimesNewRomanPSMT" w:hAnsi="Times New Roman" w:cs="Times New Roman"/>
          <w:szCs w:val="20"/>
          <w:lang w:val="en-GB"/>
        </w:rPr>
        <w:t>PtRu</w:t>
      </w:r>
      <w:proofErr w:type="spellEnd"/>
      <w:r w:rsidRPr="00223217">
        <w:rPr>
          <w:rFonts w:ascii="Times New Roman" w:eastAsia="TimesNewRomanPSMT" w:hAnsi="Times New Roman" w:cs="Times New Roman"/>
          <w:szCs w:val="20"/>
          <w:lang w:val="en-GB"/>
        </w:rPr>
        <w:t xml:space="preserve"> was computed using Scherrer's equation, which revealed that </w:t>
      </w:r>
      <w:proofErr w:type="spellStart"/>
      <w:r w:rsidRPr="00223217">
        <w:rPr>
          <w:rFonts w:ascii="Times New Roman" w:eastAsia="TimesNewRomanPSMT" w:hAnsi="Times New Roman" w:cs="Times New Roman"/>
          <w:szCs w:val="20"/>
          <w:lang w:val="en-GB"/>
        </w:rPr>
        <w:t>PtRu</w:t>
      </w:r>
      <w:proofErr w:type="spellEnd"/>
      <w:r w:rsidRPr="00223217">
        <w:rPr>
          <w:rFonts w:ascii="Times New Roman" w:eastAsia="TimesNewRomanPSMT" w:hAnsi="Times New Roman" w:cs="Times New Roman"/>
          <w:szCs w:val="20"/>
          <w:lang w:val="en-GB"/>
        </w:rPr>
        <w:t>/TiO</w:t>
      </w:r>
      <w:r w:rsidRPr="00223217">
        <w:rPr>
          <w:rFonts w:ascii="Times New Roman" w:eastAsia="TimesNewRomanPSMT" w:hAnsi="Times New Roman" w:cs="Times New Roman"/>
          <w:szCs w:val="20"/>
          <w:vertAlign w:val="subscript"/>
          <w:lang w:val="en-GB"/>
        </w:rPr>
        <w:t>2</w:t>
      </w:r>
      <w:r w:rsidRPr="00223217">
        <w:rPr>
          <w:rFonts w:ascii="Times New Roman" w:eastAsia="TimesNewRomanPSMT" w:hAnsi="Times New Roman" w:cs="Times New Roman"/>
          <w:szCs w:val="20"/>
          <w:lang w:val="en-GB"/>
        </w:rPr>
        <w:t xml:space="preserve">-GA particles were smaller than </w:t>
      </w:r>
      <w:proofErr w:type="spellStart"/>
      <w:r w:rsidRPr="00223217">
        <w:rPr>
          <w:rFonts w:ascii="Times New Roman" w:eastAsia="TimesNewRomanPSMT" w:hAnsi="Times New Roman" w:cs="Times New Roman"/>
          <w:szCs w:val="20"/>
          <w:lang w:val="en-GB"/>
        </w:rPr>
        <w:t>PtRu</w:t>
      </w:r>
      <w:proofErr w:type="spellEnd"/>
      <w:r w:rsidRPr="00223217">
        <w:rPr>
          <w:rFonts w:ascii="Times New Roman" w:eastAsia="TimesNewRomanPSMT" w:hAnsi="Times New Roman" w:cs="Times New Roman"/>
          <w:szCs w:val="20"/>
          <w:lang w:val="en-GB"/>
        </w:rPr>
        <w:t xml:space="preserve">/C particles </w:t>
      </w:r>
      <w:r w:rsidRPr="00223217">
        <w:rPr>
          <w:rFonts w:ascii="Times New Roman" w:eastAsia="TimesNewRomanPSMT" w:hAnsi="Times New Roman" w:cs="Times New Roman"/>
          <w:szCs w:val="20"/>
          <w:lang w:val="en-GB"/>
        </w:rPr>
        <w:fldChar w:fldCharType="begin" w:fldLock="1"/>
      </w:r>
      <w:r w:rsidRPr="00223217">
        <w:rPr>
          <w:rFonts w:ascii="Times New Roman" w:eastAsia="TimesNewRomanPSMT" w:hAnsi="Times New Roman" w:cs="Times New Roman"/>
          <w:szCs w:val="20"/>
          <w:lang w:val="en-GB"/>
        </w:rPr>
        <w:instrText>ADDIN CSL_CITATION {"citationItems":[{"id":"ITEM-1","itemData":{"DOI":"10.17586/2220-8054-2018-9-3-364-369","abstract":"The lower limit of the applicability of the Scherrer formula has been established by calculating the diffraction patterns from model nanoparticles by the Debye formula. Particle size was calculated using the Scherrer formula for different hkl-peaks. The obtained data of particle sizes were compared with \"real\" sizes of model particles in the same hkl-directions. The form-factor K hkl was analyzed as main correction of Scherrer formula. It was shown that the Scherrer formula error increases nonlinearly at particle sizes less than 4 nm. For any hkl direction, the absolute error of average particle size determination using formula does not exceed 0.3 nm. Analysis shows that average particle size can be determined by Scherrer formula from single diffraction peak of experimental pattern for center-symmetrical particles.","author":[{"dropping-particle":"","family":"Vorokh","given":"A.S.","non-dropping-particle":"","parse-names":false,"suffix":""}],"container-title":"Nanosystems: Physics, Chemistry, Mathematics","id":"ITEM-1","issued":{"date-parts":[["2018","6","24"]]},"page":"364-369","publisher":"ITMO University","title":"Scherrer formula: estimation of error in determining small nanoparticle size","type":"article-journal"},"uris":["http://www.mendeley.com/documents/?uuid=d18693be-2282-37b3-88a3-146a5970cc05"]}],"mendeley":{"formattedCitation":"[22]","plainTextFormattedCitation":"[22]","previouslyFormattedCitation":"[22]"},"properties":{"noteIndex":0},"schema":"https://github.com/citation-style-language/schema/raw/master/csl-citation.json"}</w:instrText>
      </w:r>
      <w:r w:rsidRPr="00223217">
        <w:rPr>
          <w:rFonts w:ascii="Times New Roman" w:eastAsia="TimesNewRomanPSMT" w:hAnsi="Times New Roman" w:cs="Times New Roman"/>
          <w:szCs w:val="20"/>
          <w:lang w:val="en-GB"/>
        </w:rPr>
        <w:fldChar w:fldCharType="separate"/>
      </w:r>
      <w:r w:rsidRPr="00223217">
        <w:rPr>
          <w:rFonts w:ascii="Times New Roman" w:eastAsia="TimesNewRomanPSMT" w:hAnsi="Times New Roman" w:cs="Times New Roman"/>
          <w:noProof/>
          <w:szCs w:val="20"/>
          <w:lang w:val="en-GB"/>
        </w:rPr>
        <w:t>[22]</w:t>
      </w:r>
      <w:r w:rsidRPr="00223217">
        <w:rPr>
          <w:rFonts w:ascii="Times New Roman" w:eastAsia="TimesNewRomanPSMT" w:hAnsi="Times New Roman" w:cs="Times New Roman"/>
          <w:szCs w:val="20"/>
          <w:lang w:val="en-GB"/>
        </w:rPr>
        <w:fldChar w:fldCharType="end"/>
      </w:r>
      <w:r w:rsidRPr="00223217">
        <w:rPr>
          <w:rFonts w:ascii="Times New Roman" w:eastAsia="TimesNewRomanPSMT" w:hAnsi="Times New Roman" w:cs="Times New Roman"/>
          <w:szCs w:val="20"/>
          <w:lang w:val="en-GB"/>
        </w:rPr>
        <w:t xml:space="preserve">. As shown in Table 1, the particle size of Pt and Ru can also be predicted using the crystallite size. In general, smaller particles perform better in MOR electrocatalysis reactions than larger particles, since smaller catalyst particles contribute to a higher particle </w:t>
      </w:r>
      <w:r w:rsidRPr="00223217">
        <w:rPr>
          <w:rFonts w:ascii="Times New Roman" w:eastAsia="TimesNewRomanPSMT" w:hAnsi="Times New Roman" w:cs="Times New Roman"/>
          <w:szCs w:val="20"/>
          <w:lang w:val="en-GB"/>
        </w:rPr>
        <w:lastRenderedPageBreak/>
        <w:t xml:space="preserve">surface area. Furthermore, the smaller catalyst particle size may allow for a reduction in the use of Pt in electrocatalyst, as well as a reduction in the overall cost of DMFC production. The decreased size of </w:t>
      </w:r>
      <w:proofErr w:type="spellStart"/>
      <w:r w:rsidRPr="00223217">
        <w:rPr>
          <w:rFonts w:ascii="Times New Roman" w:eastAsia="TimesNewRomanPSMT" w:hAnsi="Times New Roman" w:cs="Times New Roman"/>
          <w:szCs w:val="20"/>
          <w:lang w:val="en-GB"/>
        </w:rPr>
        <w:t>PtRu</w:t>
      </w:r>
      <w:proofErr w:type="spellEnd"/>
      <w:r w:rsidRPr="00223217">
        <w:rPr>
          <w:rFonts w:ascii="Times New Roman" w:eastAsia="TimesNewRomanPSMT" w:hAnsi="Times New Roman" w:cs="Times New Roman"/>
          <w:szCs w:val="20"/>
          <w:lang w:val="en-GB"/>
        </w:rPr>
        <w:t xml:space="preserve"> particles found in the electrocatalyst sample could potentially be due to the lower crystalline structure.</w:t>
      </w:r>
    </w:p>
    <w:p w14:paraId="7D68C186" w14:textId="77777777" w:rsidR="00EC2064" w:rsidRPr="00223217" w:rsidRDefault="00EC2064" w:rsidP="00C62060">
      <w:pPr>
        <w:widowControl/>
        <w:wordWrap/>
        <w:adjustRightInd w:val="0"/>
        <w:rPr>
          <w:rFonts w:ascii="Times New Roman" w:eastAsia="TimesNewRomanPSMT" w:hAnsi="Times New Roman" w:cs="Times New Roman"/>
          <w:szCs w:val="20"/>
          <w:lang w:val="en-GB"/>
        </w:rPr>
      </w:pPr>
    </w:p>
    <w:p w14:paraId="5220EFA7" w14:textId="1C47D763" w:rsidR="00C62060" w:rsidRPr="00223217" w:rsidRDefault="00C62060" w:rsidP="00EC2064">
      <w:pPr>
        <w:pStyle w:val="Caption"/>
        <w:keepNext/>
        <w:jc w:val="center"/>
        <w:rPr>
          <w:rFonts w:ascii="Times New Roman" w:hAnsi="Times New Roman" w:cs="Times New Roman"/>
          <w:i w:val="0"/>
          <w:iCs w:val="0"/>
          <w:color w:val="auto"/>
          <w:sz w:val="20"/>
          <w:szCs w:val="20"/>
        </w:rPr>
      </w:pPr>
      <w:bookmarkStart w:id="1" w:name="_Hlk77511689"/>
      <w:r w:rsidRPr="00223217">
        <w:rPr>
          <w:rFonts w:ascii="Times New Roman" w:hAnsi="Times New Roman" w:cs="Times New Roman"/>
          <w:i w:val="0"/>
          <w:iCs w:val="0"/>
          <w:color w:val="auto"/>
          <w:sz w:val="20"/>
          <w:szCs w:val="20"/>
        </w:rPr>
        <w:t xml:space="preserve">Table </w:t>
      </w:r>
      <w:r w:rsidRPr="00223217">
        <w:rPr>
          <w:rFonts w:ascii="Times New Roman" w:hAnsi="Times New Roman" w:cs="Times New Roman"/>
          <w:i w:val="0"/>
          <w:iCs w:val="0"/>
          <w:color w:val="auto"/>
          <w:sz w:val="20"/>
          <w:szCs w:val="20"/>
        </w:rPr>
        <w:fldChar w:fldCharType="begin"/>
      </w:r>
      <w:r w:rsidRPr="00223217">
        <w:rPr>
          <w:rFonts w:ascii="Times New Roman" w:hAnsi="Times New Roman" w:cs="Times New Roman"/>
          <w:i w:val="0"/>
          <w:iCs w:val="0"/>
          <w:color w:val="auto"/>
          <w:sz w:val="20"/>
          <w:szCs w:val="20"/>
        </w:rPr>
        <w:instrText xml:space="preserve"> SEQ Table \* ARABIC </w:instrText>
      </w:r>
      <w:r w:rsidRPr="00223217">
        <w:rPr>
          <w:rFonts w:ascii="Times New Roman" w:hAnsi="Times New Roman" w:cs="Times New Roman"/>
          <w:i w:val="0"/>
          <w:iCs w:val="0"/>
          <w:color w:val="auto"/>
          <w:sz w:val="20"/>
          <w:szCs w:val="20"/>
        </w:rPr>
        <w:fldChar w:fldCharType="separate"/>
      </w:r>
      <w:r w:rsidRPr="00223217">
        <w:rPr>
          <w:rFonts w:ascii="Times New Roman" w:hAnsi="Times New Roman" w:cs="Times New Roman"/>
          <w:i w:val="0"/>
          <w:iCs w:val="0"/>
          <w:noProof/>
          <w:color w:val="auto"/>
          <w:sz w:val="20"/>
          <w:szCs w:val="20"/>
        </w:rPr>
        <w:t>1</w:t>
      </w:r>
      <w:r w:rsidRPr="00223217">
        <w:rPr>
          <w:rFonts w:ascii="Times New Roman" w:hAnsi="Times New Roman" w:cs="Times New Roman"/>
          <w:i w:val="0"/>
          <w:iCs w:val="0"/>
          <w:color w:val="auto"/>
          <w:sz w:val="20"/>
          <w:szCs w:val="20"/>
        </w:rPr>
        <w:fldChar w:fldCharType="end"/>
      </w:r>
      <w:r w:rsidR="00EC2064">
        <w:rPr>
          <w:rFonts w:ascii="Times New Roman" w:hAnsi="Times New Roman" w:cs="Times New Roman"/>
          <w:i w:val="0"/>
          <w:iCs w:val="0"/>
          <w:color w:val="auto"/>
          <w:sz w:val="20"/>
          <w:szCs w:val="20"/>
        </w:rPr>
        <w:t xml:space="preserve">. </w:t>
      </w:r>
      <w:r w:rsidRPr="00223217">
        <w:rPr>
          <w:rFonts w:ascii="Times New Roman" w:hAnsi="Times New Roman" w:cs="Times New Roman"/>
          <w:i w:val="0"/>
          <w:iCs w:val="0"/>
          <w:color w:val="auto"/>
          <w:sz w:val="20"/>
          <w:szCs w:val="20"/>
        </w:rPr>
        <w:t>Estimated crystallite size of 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-GA and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-GA on XRD analysis</w:t>
      </w:r>
    </w:p>
    <w:tbl>
      <w:tblPr>
        <w:tblW w:w="0" w:type="auto"/>
        <w:jc w:val="center"/>
        <w:tblLook w:val="04A0" w:firstRow="1" w:lastRow="0" w:firstColumn="1" w:lastColumn="0" w:noHBand="0" w:noVBand="1"/>
      </w:tblPr>
      <w:tblGrid>
        <w:gridCol w:w="1408"/>
        <w:gridCol w:w="2460"/>
      </w:tblGrid>
      <w:tr w:rsidR="00223217" w:rsidRPr="00223217" w14:paraId="3B80CCDF" w14:textId="77777777" w:rsidTr="00EC2064">
        <w:trPr>
          <w:trHeight w:val="288"/>
          <w:jc w:val="center"/>
        </w:trPr>
        <w:tc>
          <w:tcPr>
            <w:tcW w:w="0" w:type="auto"/>
            <w:tcBorders>
              <w:top w:val="single" w:sz="4" w:space="0" w:color="auto"/>
              <w:bottom w:val="single" w:sz="4" w:space="0" w:color="auto"/>
            </w:tcBorders>
            <w:shd w:val="clear" w:color="auto" w:fill="auto"/>
            <w:noWrap/>
            <w:vAlign w:val="center"/>
            <w:hideMark/>
          </w:tcPr>
          <w:p w14:paraId="5496B9BA" w14:textId="77777777" w:rsidR="00C62060" w:rsidRPr="00223217" w:rsidRDefault="00C62060" w:rsidP="00655015">
            <w:pPr>
              <w:rPr>
                <w:rFonts w:ascii="Times New Roman" w:eastAsia="Times New Roman" w:hAnsi="Times New Roman"/>
                <w:b/>
                <w:bCs/>
                <w:szCs w:val="20"/>
              </w:rPr>
            </w:pPr>
            <w:r w:rsidRPr="00223217">
              <w:rPr>
                <w:rFonts w:ascii="Times New Roman" w:eastAsia="Times New Roman" w:hAnsi="Times New Roman"/>
                <w:b/>
                <w:bCs/>
                <w:szCs w:val="20"/>
              </w:rPr>
              <w:t>Samples</w:t>
            </w:r>
          </w:p>
        </w:tc>
        <w:tc>
          <w:tcPr>
            <w:tcW w:w="0" w:type="auto"/>
            <w:tcBorders>
              <w:top w:val="single" w:sz="4" w:space="0" w:color="auto"/>
              <w:bottom w:val="single" w:sz="4" w:space="0" w:color="auto"/>
            </w:tcBorders>
            <w:shd w:val="clear" w:color="auto" w:fill="auto"/>
            <w:noWrap/>
            <w:vAlign w:val="center"/>
            <w:hideMark/>
          </w:tcPr>
          <w:p w14:paraId="355FE92A" w14:textId="4960374D" w:rsidR="00C62060" w:rsidRPr="00223217" w:rsidRDefault="00C62060" w:rsidP="00655015">
            <w:pPr>
              <w:jc w:val="center"/>
              <w:rPr>
                <w:rFonts w:ascii="Times New Roman" w:eastAsia="Times New Roman" w:hAnsi="Times New Roman"/>
                <w:b/>
                <w:bCs/>
                <w:szCs w:val="20"/>
              </w:rPr>
            </w:pPr>
            <w:r w:rsidRPr="00223217">
              <w:rPr>
                <w:rFonts w:ascii="Times New Roman" w:eastAsia="Times New Roman" w:hAnsi="Times New Roman"/>
                <w:b/>
                <w:bCs/>
                <w:szCs w:val="20"/>
              </w:rPr>
              <w:t xml:space="preserve">XRD/Crystallite </w:t>
            </w:r>
            <w:r w:rsidR="00EC2064">
              <w:rPr>
                <w:rFonts w:ascii="Times New Roman" w:eastAsia="Times New Roman" w:hAnsi="Times New Roman"/>
                <w:b/>
                <w:bCs/>
                <w:szCs w:val="20"/>
              </w:rPr>
              <w:t>S</w:t>
            </w:r>
            <w:r w:rsidRPr="00223217">
              <w:rPr>
                <w:rFonts w:ascii="Times New Roman" w:eastAsia="Times New Roman" w:hAnsi="Times New Roman"/>
                <w:b/>
                <w:bCs/>
                <w:szCs w:val="20"/>
              </w:rPr>
              <w:t>ize (nm)</w:t>
            </w:r>
          </w:p>
        </w:tc>
      </w:tr>
      <w:tr w:rsidR="00223217" w:rsidRPr="00223217" w14:paraId="56374D97" w14:textId="77777777" w:rsidTr="00EC2064">
        <w:trPr>
          <w:trHeight w:val="288"/>
          <w:jc w:val="center"/>
        </w:trPr>
        <w:tc>
          <w:tcPr>
            <w:tcW w:w="0" w:type="auto"/>
            <w:tcBorders>
              <w:top w:val="single" w:sz="4" w:space="0" w:color="auto"/>
            </w:tcBorders>
            <w:shd w:val="clear" w:color="auto" w:fill="auto"/>
            <w:noWrap/>
            <w:vAlign w:val="center"/>
            <w:hideMark/>
          </w:tcPr>
          <w:p w14:paraId="57404DF8" w14:textId="77777777" w:rsidR="00C62060" w:rsidRPr="00223217" w:rsidRDefault="00C62060" w:rsidP="00655015">
            <w:pPr>
              <w:rPr>
                <w:rFonts w:ascii="Times New Roman" w:eastAsia="Times New Roman" w:hAnsi="Times New Roman"/>
                <w:szCs w:val="20"/>
              </w:rPr>
            </w:pPr>
            <w:r w:rsidRPr="00223217">
              <w:rPr>
                <w:rFonts w:ascii="Times New Roman" w:eastAsia="Times New Roman" w:hAnsi="Times New Roman"/>
                <w:szCs w:val="20"/>
              </w:rPr>
              <w:t>TiO</w:t>
            </w:r>
            <w:r w:rsidRPr="00223217">
              <w:rPr>
                <w:rFonts w:ascii="Times New Roman" w:eastAsia="Times New Roman" w:hAnsi="Times New Roman"/>
                <w:szCs w:val="20"/>
                <w:vertAlign w:val="subscript"/>
              </w:rPr>
              <w:t>2</w:t>
            </w:r>
            <w:r w:rsidRPr="00223217">
              <w:rPr>
                <w:rFonts w:ascii="Times New Roman" w:eastAsia="Times New Roman" w:hAnsi="Times New Roman"/>
                <w:szCs w:val="20"/>
              </w:rPr>
              <w:t>-GA</w:t>
            </w:r>
          </w:p>
        </w:tc>
        <w:tc>
          <w:tcPr>
            <w:tcW w:w="0" w:type="auto"/>
            <w:tcBorders>
              <w:top w:val="single" w:sz="4" w:space="0" w:color="auto"/>
            </w:tcBorders>
            <w:shd w:val="clear" w:color="auto" w:fill="auto"/>
            <w:noWrap/>
            <w:vAlign w:val="bottom"/>
            <w:hideMark/>
          </w:tcPr>
          <w:p w14:paraId="58FBFD75" w14:textId="77777777" w:rsidR="00C62060" w:rsidRPr="00223217" w:rsidRDefault="00C62060" w:rsidP="00655015">
            <w:pPr>
              <w:jc w:val="center"/>
              <w:rPr>
                <w:rFonts w:ascii="Times New Roman" w:eastAsia="Times New Roman" w:hAnsi="Times New Roman"/>
                <w:szCs w:val="20"/>
              </w:rPr>
            </w:pPr>
            <w:r w:rsidRPr="00223217">
              <w:rPr>
                <w:rFonts w:ascii="Times New Roman" w:eastAsia="Times New Roman" w:hAnsi="Times New Roman"/>
                <w:szCs w:val="20"/>
              </w:rPr>
              <w:t>7.9</w:t>
            </w:r>
          </w:p>
        </w:tc>
      </w:tr>
      <w:tr w:rsidR="00223217" w:rsidRPr="00223217" w14:paraId="5497DA67" w14:textId="77777777" w:rsidTr="00EC2064">
        <w:trPr>
          <w:trHeight w:val="288"/>
          <w:jc w:val="center"/>
        </w:trPr>
        <w:tc>
          <w:tcPr>
            <w:tcW w:w="0" w:type="auto"/>
            <w:shd w:val="clear" w:color="auto" w:fill="auto"/>
            <w:noWrap/>
            <w:vAlign w:val="center"/>
          </w:tcPr>
          <w:p w14:paraId="22A87CC3" w14:textId="77777777" w:rsidR="00C62060" w:rsidRPr="00223217" w:rsidRDefault="00C62060" w:rsidP="00655015">
            <w:pPr>
              <w:rPr>
                <w:rFonts w:ascii="Times New Roman" w:eastAsia="Times New Roman" w:hAnsi="Times New Roman"/>
                <w:szCs w:val="20"/>
              </w:rPr>
            </w:pPr>
            <w:proofErr w:type="spellStart"/>
            <w:r w:rsidRPr="00223217">
              <w:rPr>
                <w:rFonts w:ascii="Times New Roman" w:eastAsia="Times New Roman" w:hAnsi="Times New Roman"/>
                <w:szCs w:val="20"/>
              </w:rPr>
              <w:t>PtRu</w:t>
            </w:r>
            <w:proofErr w:type="spellEnd"/>
            <w:r w:rsidRPr="00223217">
              <w:rPr>
                <w:rFonts w:ascii="Times New Roman" w:eastAsia="Times New Roman" w:hAnsi="Times New Roman"/>
                <w:szCs w:val="20"/>
              </w:rPr>
              <w:t>/TiO</w:t>
            </w:r>
            <w:r w:rsidRPr="00223217">
              <w:rPr>
                <w:rFonts w:ascii="Times New Roman" w:eastAsia="Times New Roman" w:hAnsi="Times New Roman"/>
                <w:szCs w:val="20"/>
                <w:vertAlign w:val="subscript"/>
              </w:rPr>
              <w:t>2</w:t>
            </w:r>
            <w:r w:rsidRPr="00223217">
              <w:rPr>
                <w:rFonts w:ascii="Times New Roman" w:eastAsia="Times New Roman" w:hAnsi="Times New Roman"/>
                <w:szCs w:val="20"/>
              </w:rPr>
              <w:t>-GA</w:t>
            </w:r>
          </w:p>
        </w:tc>
        <w:tc>
          <w:tcPr>
            <w:tcW w:w="0" w:type="auto"/>
            <w:shd w:val="clear" w:color="auto" w:fill="auto"/>
            <w:noWrap/>
            <w:vAlign w:val="bottom"/>
          </w:tcPr>
          <w:p w14:paraId="34C715B0" w14:textId="77777777" w:rsidR="00C62060" w:rsidRPr="00223217" w:rsidRDefault="00C62060" w:rsidP="00655015">
            <w:pPr>
              <w:jc w:val="center"/>
              <w:rPr>
                <w:rFonts w:ascii="Times New Roman" w:eastAsia="Times New Roman" w:hAnsi="Times New Roman"/>
                <w:szCs w:val="20"/>
              </w:rPr>
            </w:pPr>
            <w:r w:rsidRPr="00223217">
              <w:rPr>
                <w:rFonts w:ascii="Times New Roman" w:eastAsia="Times New Roman" w:hAnsi="Times New Roman"/>
                <w:szCs w:val="20"/>
              </w:rPr>
              <w:t>3.8</w:t>
            </w:r>
          </w:p>
        </w:tc>
      </w:tr>
      <w:tr w:rsidR="00EC2064" w:rsidRPr="00223217" w14:paraId="35976879" w14:textId="77777777" w:rsidTr="00EC2064">
        <w:trPr>
          <w:trHeight w:val="288"/>
          <w:jc w:val="center"/>
        </w:trPr>
        <w:tc>
          <w:tcPr>
            <w:tcW w:w="0" w:type="auto"/>
            <w:tcBorders>
              <w:bottom w:val="single" w:sz="4" w:space="0" w:color="auto"/>
            </w:tcBorders>
            <w:shd w:val="clear" w:color="auto" w:fill="auto"/>
            <w:noWrap/>
            <w:vAlign w:val="center"/>
          </w:tcPr>
          <w:p w14:paraId="60A2769C" w14:textId="77777777" w:rsidR="00C62060" w:rsidRPr="00223217" w:rsidRDefault="00C62060" w:rsidP="00655015">
            <w:pPr>
              <w:rPr>
                <w:rFonts w:ascii="Times New Roman" w:eastAsia="Times New Roman" w:hAnsi="Times New Roman"/>
                <w:szCs w:val="20"/>
              </w:rPr>
            </w:pPr>
            <w:proofErr w:type="spellStart"/>
            <w:r w:rsidRPr="00223217">
              <w:rPr>
                <w:rFonts w:ascii="Times New Roman" w:eastAsia="Times New Roman" w:hAnsi="Times New Roman"/>
                <w:szCs w:val="20"/>
              </w:rPr>
              <w:t>PtRu</w:t>
            </w:r>
            <w:proofErr w:type="spellEnd"/>
            <w:r w:rsidRPr="00223217">
              <w:rPr>
                <w:rFonts w:ascii="Times New Roman" w:eastAsia="Times New Roman" w:hAnsi="Times New Roman"/>
                <w:szCs w:val="20"/>
              </w:rPr>
              <w:t>/C</w:t>
            </w:r>
          </w:p>
        </w:tc>
        <w:tc>
          <w:tcPr>
            <w:tcW w:w="0" w:type="auto"/>
            <w:tcBorders>
              <w:bottom w:val="single" w:sz="4" w:space="0" w:color="auto"/>
            </w:tcBorders>
            <w:shd w:val="clear" w:color="auto" w:fill="auto"/>
            <w:noWrap/>
            <w:vAlign w:val="bottom"/>
          </w:tcPr>
          <w:p w14:paraId="53AD2CAA" w14:textId="77777777" w:rsidR="00C62060" w:rsidRPr="00223217" w:rsidRDefault="00C62060" w:rsidP="00655015">
            <w:pPr>
              <w:jc w:val="center"/>
              <w:rPr>
                <w:rFonts w:ascii="Times New Roman" w:eastAsia="Times New Roman" w:hAnsi="Times New Roman"/>
                <w:szCs w:val="20"/>
              </w:rPr>
            </w:pPr>
            <w:r w:rsidRPr="00223217">
              <w:rPr>
                <w:rFonts w:ascii="Times New Roman" w:eastAsia="Times New Roman" w:hAnsi="Times New Roman"/>
                <w:szCs w:val="20"/>
              </w:rPr>
              <w:t>3.9</w:t>
            </w:r>
          </w:p>
        </w:tc>
      </w:tr>
      <w:bookmarkEnd w:id="1"/>
    </w:tbl>
    <w:p w14:paraId="357F5E76" w14:textId="77777777" w:rsidR="00C62060" w:rsidRPr="00223217" w:rsidRDefault="00C62060" w:rsidP="00C62060">
      <w:pPr>
        <w:widowControl/>
        <w:wordWrap/>
        <w:adjustRightInd w:val="0"/>
        <w:rPr>
          <w:rFonts w:ascii="Times New Roman" w:eastAsia="TimesNewRomanPSMT" w:hAnsi="Times New Roman" w:cs="Times New Roman"/>
          <w:szCs w:val="20"/>
          <w:lang w:val="en-GB"/>
        </w:rPr>
      </w:pPr>
    </w:p>
    <w:p w14:paraId="0F7BCC70" w14:textId="0B366196" w:rsidR="00C62060" w:rsidRDefault="00C62060" w:rsidP="00C62060">
      <w:pPr>
        <w:rPr>
          <w:rFonts w:ascii="Times New Roman" w:hAnsi="Times New Roman"/>
          <w:szCs w:val="20"/>
          <w:lang w:val="en-GB"/>
        </w:rPr>
      </w:pPr>
      <w:r w:rsidRPr="00223217">
        <w:rPr>
          <w:rFonts w:ascii="Times New Roman" w:hAnsi="Times New Roman" w:cs="Times New Roman"/>
          <w:szCs w:val="20"/>
          <w:shd w:val="clear" w:color="auto" w:fill="FFFFFF"/>
          <w:lang w:val="en-GB"/>
        </w:rPr>
        <w:t>In terms of the chemical and structural information offered by the shift in wavelength of inelastically scattered radiation,</w:t>
      </w:r>
      <w:r w:rsidRPr="00223217">
        <w:rPr>
          <w:rFonts w:ascii="Times New Roman" w:eastAsia="TimesNewRomanPSMT" w:hAnsi="Times New Roman" w:cs="Times New Roman"/>
          <w:szCs w:val="20"/>
          <w:lang w:val="en-GB"/>
        </w:rPr>
        <w:t xml:space="preserve"> the D and G bands were 1350 and 1590 cm</w:t>
      </w:r>
      <w:r w:rsidRPr="00223217">
        <w:rPr>
          <w:rFonts w:ascii="Times New Roman" w:eastAsia="TimesNewRomanPSMT" w:hAnsi="Times New Roman" w:cs="Times New Roman"/>
          <w:szCs w:val="20"/>
          <w:vertAlign w:val="superscript"/>
          <w:lang w:val="en-GB"/>
        </w:rPr>
        <w:t>-1</w:t>
      </w:r>
      <w:r w:rsidRPr="00223217">
        <w:rPr>
          <w:rFonts w:ascii="Times New Roman" w:eastAsia="TimesNewRomanPSMT" w:hAnsi="Times New Roman" w:cs="Times New Roman"/>
          <w:szCs w:val="20"/>
          <w:lang w:val="en-GB"/>
        </w:rPr>
        <w:t xml:space="preserve">. The two separate peaks in the Raman spectra for the samples in Figure 2(b) indicated that the D band was linked to crystal boundary vibrations and the G band reflected perfect sp2 vibrations of graphitic crystals. </w:t>
      </w:r>
      <w:r w:rsidRPr="00223217">
        <w:rPr>
          <w:rFonts w:ascii="Times New Roman" w:eastAsiaTheme="minorHAnsi" w:hAnsi="Times New Roman" w:cs="Times New Roman"/>
          <w:kern w:val="0"/>
          <w:szCs w:val="20"/>
          <w:lang w:val="en-GB" w:eastAsia="en-US"/>
        </w:rPr>
        <w:t>From the Raman spectrum analysis</w:t>
      </w:r>
      <w:r w:rsidRPr="00223217">
        <w:rPr>
          <w:rFonts w:ascii="Times New Roman" w:eastAsia="TimesNewRomanPSMT" w:hAnsi="Times New Roman" w:cs="Times New Roman"/>
          <w:szCs w:val="20"/>
          <w:lang w:val="en-GB"/>
        </w:rPr>
        <w:t>, the intensity ratio of the D to G band (</w:t>
      </w:r>
      <w:r w:rsidRPr="00223217">
        <w:rPr>
          <w:rFonts w:ascii="Times New Roman" w:eastAsiaTheme="minorHAnsi" w:hAnsi="Times New Roman" w:cs="Times New Roman"/>
          <w:kern w:val="0"/>
          <w:szCs w:val="20"/>
          <w:lang w:val="en-GB" w:eastAsia="en-US"/>
        </w:rPr>
        <w:t>I</w:t>
      </w:r>
      <w:r w:rsidRPr="00223217">
        <w:rPr>
          <w:rFonts w:ascii="Times New Roman" w:eastAsiaTheme="minorHAnsi" w:hAnsi="Times New Roman" w:cs="Times New Roman"/>
          <w:kern w:val="0"/>
          <w:szCs w:val="20"/>
          <w:vertAlign w:val="subscript"/>
          <w:lang w:val="en-GB" w:eastAsia="en-US"/>
        </w:rPr>
        <w:t>D</w:t>
      </w:r>
      <w:r w:rsidRPr="00223217">
        <w:rPr>
          <w:rFonts w:ascii="Times New Roman" w:eastAsiaTheme="minorHAnsi" w:hAnsi="Times New Roman" w:cs="Times New Roman"/>
          <w:kern w:val="0"/>
          <w:szCs w:val="20"/>
          <w:lang w:val="en-GB" w:eastAsia="en-US"/>
        </w:rPr>
        <w:t>/I</w:t>
      </w:r>
      <w:r w:rsidRPr="00223217">
        <w:rPr>
          <w:rFonts w:ascii="Times New Roman" w:eastAsiaTheme="minorHAnsi" w:hAnsi="Times New Roman" w:cs="Times New Roman"/>
          <w:kern w:val="0"/>
          <w:szCs w:val="20"/>
          <w:vertAlign w:val="subscript"/>
          <w:lang w:val="en-GB" w:eastAsia="en-US"/>
        </w:rPr>
        <w:t>G</w:t>
      </w:r>
      <w:r w:rsidRPr="00223217">
        <w:rPr>
          <w:rFonts w:ascii="Times New Roman" w:eastAsia="TimesNewRomanPSMT" w:hAnsi="Times New Roman" w:cs="Times New Roman"/>
          <w:szCs w:val="20"/>
          <w:lang w:val="en-GB"/>
        </w:rPr>
        <w:t xml:space="preserve">) had a </w:t>
      </w:r>
      <w:r w:rsidRPr="00223217">
        <w:rPr>
          <w:rFonts w:ascii="Times New Roman" w:hAnsi="Times New Roman" w:cs="Times New Roman"/>
          <w:szCs w:val="20"/>
          <w:lang w:val="en-GB"/>
        </w:rPr>
        <w:t>descending order:</w:t>
      </w:r>
      <w:r w:rsidRPr="00223217">
        <w:rPr>
          <w:rFonts w:ascii="Times New Roman" w:eastAsia="TimesNewRomanPSMT" w:hAnsi="Times New Roman" w:cs="Times New Roman"/>
          <w:szCs w:val="20"/>
          <w:lang w:val="en-GB"/>
        </w:rPr>
        <w:t xml:space="preserve"> </w:t>
      </w:r>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(1.02),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(0.99) and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/C (0.98). The band fluctuated depending on the relative intensity of the D and G bands on the type of graphite material, and it could be used to estimate the degree of graphitization</w:t>
      </w:r>
      <w:r w:rsidRPr="00223217">
        <w:rPr>
          <w:rStyle w:val="changed"/>
          <w:rFonts w:ascii="Times New Roman" w:hAnsi="Times New Roman"/>
          <w:szCs w:val="20"/>
          <w:shd w:val="clear" w:color="auto" w:fill="FFFFFF"/>
          <w:lang w:val="en-GB"/>
        </w:rPr>
        <w:t>.</w:t>
      </w:r>
      <w:r w:rsidRPr="00223217">
        <w:rPr>
          <w:rFonts w:ascii="Times New Roman" w:hAnsi="Times New Roman"/>
          <w:szCs w:val="20"/>
          <w:lang w:val="en-GB"/>
        </w:rPr>
        <w:t xml:space="preserve"> The I</w:t>
      </w:r>
      <w:r w:rsidRPr="00223217">
        <w:rPr>
          <w:rFonts w:ascii="Times New Roman" w:hAnsi="Times New Roman"/>
          <w:szCs w:val="20"/>
          <w:vertAlign w:val="subscript"/>
          <w:lang w:val="en-GB"/>
        </w:rPr>
        <w:t>D</w:t>
      </w:r>
      <w:r w:rsidRPr="00223217">
        <w:rPr>
          <w:rFonts w:ascii="Times New Roman" w:hAnsi="Times New Roman"/>
          <w:szCs w:val="20"/>
          <w:lang w:val="en-GB"/>
        </w:rPr>
        <w:t>/I</w:t>
      </w:r>
      <w:r w:rsidRPr="00223217">
        <w:rPr>
          <w:rFonts w:ascii="Times New Roman" w:hAnsi="Times New Roman"/>
          <w:szCs w:val="20"/>
          <w:vertAlign w:val="subscript"/>
          <w:lang w:val="en-GB"/>
        </w:rPr>
        <w:t>G</w:t>
      </w:r>
      <w:r w:rsidRPr="00223217">
        <w:rPr>
          <w:rFonts w:ascii="Times New Roman" w:hAnsi="Times New Roman"/>
          <w:szCs w:val="20"/>
          <w:lang w:val="en-GB"/>
        </w:rPr>
        <w:t xml:space="preserve"> ratio observed in this work showed that the aerogel was successfully achieved after the catalyst was disseminated at TiO</w:t>
      </w:r>
      <w:r w:rsidRPr="00223217">
        <w:rPr>
          <w:rFonts w:ascii="Times New Roman" w:hAnsi="Times New Roman"/>
          <w:szCs w:val="20"/>
          <w:vertAlign w:val="subscript"/>
          <w:lang w:val="en-GB"/>
        </w:rPr>
        <w:t>2</w:t>
      </w:r>
      <w:r w:rsidRPr="00223217">
        <w:rPr>
          <w:rFonts w:ascii="Times New Roman" w:hAnsi="Times New Roman"/>
          <w:szCs w:val="20"/>
          <w:lang w:val="en-GB"/>
        </w:rPr>
        <w:t xml:space="preserve">-GA </w:t>
      </w:r>
      <w:r w:rsidRPr="00223217">
        <w:rPr>
          <w:rFonts w:ascii="Times New Roman" w:hAnsi="Times New Roman"/>
          <w:szCs w:val="20"/>
          <w:lang w:val="en-GB"/>
        </w:rPr>
        <w:fldChar w:fldCharType="begin" w:fldLock="1"/>
      </w:r>
      <w:r w:rsidRPr="00223217">
        <w:rPr>
          <w:rFonts w:ascii="Times New Roman" w:hAnsi="Times New Roman"/>
          <w:szCs w:val="20"/>
          <w:lang w:val="en-GB"/>
        </w:rPr>
        <w:instrText>ADDIN CSL_CITATION {"citationItems":[{"id":"ITEM-1","itemData":{"DOI":"10.1016/j.carbon.2007.02.034","ISSN":"00086223","abstract":"Reduction of a colloidal suspension of exfoliated graphene oxide sheets in water with hydrazine hydrate results in their aggregation and subsequent formation of a high-surface-area carbon material which consists of thin graphene-based sheets. The reduced material was characterized by elemental analysis, thermo-gravimetric analysis, scanning electron microscopy, X-ray photoelectron spectroscopy, NMR spectroscopy, Raman spectroscopy, and by electrical conductivity measurements. © 2007 Elsevier Ltd. All rights reserved.","author":[{"dropping-particle":"","family":"Stankovich","given":"Sasha","non-dropping-particle":"","parse-names":false,"suffix":""},{"dropping-particle":"","family":"Dikin","given":"Dmitriy A.","non-dropping-particle":"","parse-names":false,"suffix":""},{"dropping-particle":"","family":"Piner","given":"Richard D.","non-dropping-particle":"","parse-names":false,"suffix":""},{"dropping-particle":"","family":"Kohlhaas","given":"Kevin A.","non-dropping-particle":"","parse-names":false,"suffix":""},{"dropping-particle":"","family":"Kleinhammes","given":"Alfred","non-dropping-particle":"","parse-names":false,"suffix":""},{"dropping-particle":"","family":"Jia","given":"Yuanyuan","non-dropping-particle":"","parse-names":false,"suffix":""},{"dropping-particle":"","family":"Wu","given":"Yue","non-dropping-particle":"","parse-names":false,"suffix":""},{"dropping-particle":"","family":"Nguyen","given":"Son Binh T.","non-dropping-particle":"","parse-names":false,"suffix":""},{"dropping-particle":"","family":"Ruoff","given":"Rodney S.","non-dropping-particle":"","parse-names":false,"suffix":""}],"container-title":"Carbon","id":"ITEM-1","issue":"7","issued":{"date-parts":[["2007","6","1"]]},"page":"1558-1565","title":"Synthesis of graphene-based nanosheets via chemical reduction of exfoliated graphite oxide","type":"article-journal","volume":"45"},"uris":["http://www.mendeley.com/documents/?uuid=22cf2c3e-37ba-458f-a2f9-ec085256a22f"]},{"id":"ITEM-2","itemData":{"DOI":"10.1002/adma.201001068","ISSN":"09359648","PMID":"20706983","abstract":"There is intense interest in graphene in fields such as physics, chemistry, and materials science, among others. Interest in graphene's exceptional physical properties, chemical tunability, and potential for applications has generated thousands of publications and an accelerating pace of research, making review of such research timely. Here is an overview of the synthesis, properties, and applications of graphene and related materials (primarily, graphite oxide and its colloidal suspensions and materials made from them), from a materials science perspective. © 2010 WILEY-VCH Verlag GmbH &amp; Co. KGaA.","author":[{"dropping-particle":"","family":"Zhu","given":"Yanwu","non-dropping-particle":"","parse-names":false,"suffix":""},{"dropping-particle":"","family":"Murali","given":"Shanthi","non-dropping-particle":"","parse-names":false,"suffix":""},{"dropping-particle":"","family":"Cai","given":"Weiwei","non-dropping-particle":"","parse-names":false,"suffix":""},{"dropping-particle":"","family":"Li","given":"Xuesong","non-dropping-particle":"","parse-names":false,"suffix":""},{"dropping-particle":"","family":"Suk","given":"Ji Won","non-dropping-particle":"","parse-names":false,"suffix":""},{"dropping-particle":"","family":"Potts","given":"Jeffrey R.","non-dropping-particle":"","parse-names":false,"suffix":""},{"dropping-particle":"","family":"Ruoff","given":"Rodney S.","non-dropping-particle":"","parse-names":false,"suffix":""}],"container-title":"Advanced Materials","id":"ITEM-2","issue":"35","issued":{"date-parts":[["2010","9","15"]]},"page":"3906-3924","publisher":"John Wiley &amp; Sons, Ltd","title":"Graphene and graphene oxide: Synthesis, properties, and applications","type":"article-journal","volume":"22"},"uris":["http://www.mendeley.com/documents/?uuid=dc9a43f8-63f9-331e-aee8-e528700ebdb1"]}],"mendeley":{"formattedCitation":"[23], [24]","plainTextFormattedCitation":"[23], [24]","previouslyFormattedCitation":"[23], [24]"},"properties":{"noteIndex":0},"schema":"https://github.com/citation-style-language/schema/raw/master/csl-citation.json"}</w:instrText>
      </w:r>
      <w:r w:rsidRPr="00223217">
        <w:rPr>
          <w:rFonts w:ascii="Times New Roman" w:hAnsi="Times New Roman"/>
          <w:szCs w:val="20"/>
          <w:lang w:val="en-GB"/>
        </w:rPr>
        <w:fldChar w:fldCharType="separate"/>
      </w:r>
      <w:r w:rsidRPr="00223217">
        <w:rPr>
          <w:rFonts w:ascii="Times New Roman" w:hAnsi="Times New Roman"/>
          <w:noProof/>
          <w:szCs w:val="20"/>
          <w:lang w:val="en-GB"/>
        </w:rPr>
        <w:t>[23], [24]</w:t>
      </w:r>
      <w:r w:rsidRPr="00223217">
        <w:rPr>
          <w:rFonts w:ascii="Times New Roman" w:hAnsi="Times New Roman"/>
          <w:szCs w:val="20"/>
          <w:lang w:val="en-GB"/>
        </w:rPr>
        <w:fldChar w:fldCharType="end"/>
      </w:r>
      <w:r w:rsidRPr="00223217">
        <w:rPr>
          <w:rFonts w:ascii="Times New Roman" w:hAnsi="Times New Roman"/>
          <w:szCs w:val="20"/>
          <w:lang w:val="en-GB"/>
        </w:rPr>
        <w:t>. Ultimately, in the disintegrated region and structure of TiO</w:t>
      </w:r>
      <w:r w:rsidRPr="00223217">
        <w:rPr>
          <w:rFonts w:ascii="Times New Roman" w:hAnsi="Times New Roman"/>
          <w:szCs w:val="20"/>
          <w:vertAlign w:val="subscript"/>
          <w:lang w:val="en-GB"/>
        </w:rPr>
        <w:t>2</w:t>
      </w:r>
      <w:r w:rsidRPr="00223217">
        <w:rPr>
          <w:rFonts w:ascii="Times New Roman" w:hAnsi="Times New Roman"/>
          <w:szCs w:val="20"/>
          <w:lang w:val="en-GB"/>
        </w:rPr>
        <w:t>-GA, the carbon layer in these electrocatalysis samples was not significantly different. The weak Raman shift bands at 152 cm</w:t>
      </w:r>
      <w:r w:rsidRPr="00223217">
        <w:rPr>
          <w:rFonts w:ascii="Times New Roman" w:hAnsi="Times New Roman"/>
          <w:szCs w:val="20"/>
          <w:vertAlign w:val="superscript"/>
          <w:lang w:val="en-GB"/>
        </w:rPr>
        <w:t>-1</w:t>
      </w:r>
      <w:r w:rsidRPr="00223217">
        <w:rPr>
          <w:rFonts w:ascii="Times New Roman" w:hAnsi="Times New Roman"/>
          <w:szCs w:val="20"/>
          <w:lang w:val="en-GB"/>
        </w:rPr>
        <w:t xml:space="preserve"> and 154 cm</w:t>
      </w:r>
      <w:r w:rsidRPr="00223217">
        <w:rPr>
          <w:rFonts w:ascii="Times New Roman" w:hAnsi="Times New Roman"/>
          <w:szCs w:val="20"/>
          <w:vertAlign w:val="superscript"/>
          <w:lang w:val="en-GB"/>
        </w:rPr>
        <w:t>-1</w:t>
      </w:r>
      <w:r w:rsidRPr="00223217">
        <w:rPr>
          <w:rFonts w:ascii="Times New Roman" w:hAnsi="Times New Roman"/>
          <w:szCs w:val="20"/>
          <w:lang w:val="en-GB"/>
        </w:rPr>
        <w:t xml:space="preserve"> were identified in TiO</w:t>
      </w:r>
      <w:r w:rsidRPr="00223217">
        <w:rPr>
          <w:rFonts w:ascii="Times New Roman" w:hAnsi="Times New Roman"/>
          <w:szCs w:val="20"/>
          <w:vertAlign w:val="subscript"/>
          <w:lang w:val="en-GB"/>
        </w:rPr>
        <w:t>2</w:t>
      </w:r>
      <w:r w:rsidRPr="00223217">
        <w:rPr>
          <w:rFonts w:ascii="Times New Roman" w:hAnsi="Times New Roman"/>
          <w:szCs w:val="20"/>
          <w:lang w:val="en-GB"/>
        </w:rPr>
        <w:t xml:space="preserve">-GA and </w:t>
      </w:r>
      <w:proofErr w:type="spellStart"/>
      <w:r w:rsidRPr="00223217">
        <w:rPr>
          <w:rFonts w:ascii="Times New Roman" w:hAnsi="Times New Roman"/>
          <w:szCs w:val="20"/>
          <w:lang w:val="en-GB"/>
        </w:rPr>
        <w:t>PtRu</w:t>
      </w:r>
      <w:proofErr w:type="spellEnd"/>
      <w:r w:rsidRPr="00223217">
        <w:rPr>
          <w:rFonts w:ascii="Times New Roman" w:hAnsi="Times New Roman"/>
          <w:szCs w:val="20"/>
          <w:lang w:val="en-GB"/>
        </w:rPr>
        <w:t>/TiO</w:t>
      </w:r>
      <w:r w:rsidRPr="00223217">
        <w:rPr>
          <w:rFonts w:ascii="Times New Roman" w:hAnsi="Times New Roman"/>
          <w:szCs w:val="20"/>
          <w:vertAlign w:val="subscript"/>
          <w:lang w:val="en-GB"/>
        </w:rPr>
        <w:t>2</w:t>
      </w:r>
      <w:r w:rsidRPr="00223217">
        <w:rPr>
          <w:rFonts w:ascii="Times New Roman" w:hAnsi="Times New Roman"/>
          <w:szCs w:val="20"/>
          <w:lang w:val="en-GB"/>
        </w:rPr>
        <w:t>-GA, respectively, and were linked to unique characteristics of TiO</w:t>
      </w:r>
      <w:r w:rsidRPr="00223217">
        <w:rPr>
          <w:rFonts w:ascii="Times New Roman" w:hAnsi="Times New Roman"/>
          <w:szCs w:val="20"/>
          <w:vertAlign w:val="subscript"/>
          <w:lang w:val="en-GB"/>
        </w:rPr>
        <w:t>2</w:t>
      </w:r>
      <w:r w:rsidRPr="00223217">
        <w:rPr>
          <w:rFonts w:ascii="Times New Roman" w:hAnsi="Times New Roman"/>
          <w:szCs w:val="20"/>
          <w:lang w:val="en-GB"/>
        </w:rPr>
        <w:t xml:space="preserve"> anatase </w:t>
      </w:r>
      <w:r w:rsidRPr="00223217">
        <w:rPr>
          <w:rFonts w:ascii="Times New Roman" w:hAnsi="Times New Roman"/>
          <w:szCs w:val="20"/>
          <w:lang w:val="en-GB"/>
        </w:rPr>
        <w:fldChar w:fldCharType="begin" w:fldLock="1"/>
      </w:r>
      <w:r w:rsidRPr="00223217">
        <w:rPr>
          <w:rFonts w:ascii="Times New Roman" w:hAnsi="Times New Roman"/>
          <w:szCs w:val="20"/>
          <w:lang w:val="en-GB"/>
        </w:rPr>
        <w:instrText>ADDIN CSL_CITATION {"citationItems":[{"id":"ITEM-1","itemData":{"DOI":"10.1021/acsami.6b09479","ISSN":"19448252","abstract":"Rechargeable lithium-sulfur (Li-S) batteries are promising in high-energy storage due to the large specific energy density of about 2600 W h kg-1. However, the low conductivity of sulfur and discharge products as well as polysulfide-shuttle effect between the cathode and anode hamper applications of Li-S batteries. Herein, we describe a novel and efficient S host material consisting of mesoporous TiO2 nanocrystals (NCs) fabricated in situ on reduced graphene oxide (rGO) for Li-S batteries. The TiO2@rGO hybrid can be loaded with 72 wt % sulfur. The strong chemisorption ability of the TiO2 NCs toward polysulfide combined with high electrical conductivity of rGO effectively localize the soluble polysulfide species within the cathode and facilitate electron and Li ions transport to/from the cathode materials. The sulfur-incorporated TiO2@rGO hybrid (S/TiO2@rGO) shows large capacities of 1116 and 917 mA h g-1 at the current densities of 0.2 and 1 C (1 C = 1675 mA g-1) after 100 cycles, respectively. When the current density is increased 20 times from 0.2 to 4 C, 60% capacity is retained, thereby demonstrating good cycling stability and rate capability. The synergistic effects of TiO2 NCs toward effective chemisorption of polysulfides and conductive rGO with high electron mobility make a promising application of S/TiO2@rGO hybrid in high-performance Li-S batteries.","author":[{"dropping-particle":"","family":"Li","given":"Yuanyuan","non-dropping-particle":"","parse-names":false,"suffix":""},{"dropping-particle":"","family":"Cai","given":"Qifa","non-dropping-particle":"","parse-names":false,"suffix":""},{"dropping-particle":"","family":"Wang","given":"Lei","non-dropping-particle":"","parse-names":false,"suffix":""},{"dropping-particle":"","family":"Li","given":"Qingwei","non-dropping-particle":"","parse-names":false,"suffix":""},{"dropping-particle":"","family":"Peng","given":"Xiang","non-dropping-particle":"","parse-names":false,"suffix":""},{"dropping-particle":"","family":"Gao","given":"Biao","non-dropping-particle":"","parse-names":false,"suffix":""},{"dropping-particle":"","family":"Huo","given":"Kaifu","non-dropping-particle":"","parse-names":false,"suffix":""},{"dropping-particle":"","family":"Chu","given":"Paul K.","non-dropping-particle":"","parse-names":false,"suffix":""}],"container-title":"ACS Applied Materials and Interfaces","id":"ITEM-1","issue":"36","issued":{"date-parts":[["2016","9","14"]]},"page":"23784-23792","publisher":"American Chemical Society","title":"Mesoporous TiO2 Nanocrystals/Graphene as an Efficient Sulfur Host Material for High-Performance Lithium-Sulfur Batteries","type":"article-journal","volume":"8"},"uris":["http://www.mendeley.com/documents/?uuid=90f62939-a9de-3cf9-9d91-5bf2b92ae8fe"]}],"mendeley":{"formattedCitation":"[25]","plainTextFormattedCitation":"[25]","previouslyFormattedCitation":"[25]"},"properties":{"noteIndex":0},"schema":"https://github.com/citation-style-language/schema/raw/master/csl-citation.json"}</w:instrText>
      </w:r>
      <w:r w:rsidRPr="00223217">
        <w:rPr>
          <w:rFonts w:ascii="Times New Roman" w:hAnsi="Times New Roman"/>
          <w:szCs w:val="20"/>
          <w:lang w:val="en-GB"/>
        </w:rPr>
        <w:fldChar w:fldCharType="separate"/>
      </w:r>
      <w:r w:rsidRPr="00223217">
        <w:rPr>
          <w:rFonts w:ascii="Times New Roman" w:hAnsi="Times New Roman"/>
          <w:noProof/>
          <w:szCs w:val="20"/>
          <w:lang w:val="en-GB"/>
        </w:rPr>
        <w:t>[25]</w:t>
      </w:r>
      <w:r w:rsidRPr="00223217">
        <w:rPr>
          <w:rFonts w:ascii="Times New Roman" w:hAnsi="Times New Roman"/>
          <w:szCs w:val="20"/>
          <w:lang w:val="en-GB"/>
        </w:rPr>
        <w:fldChar w:fldCharType="end"/>
      </w:r>
      <w:r w:rsidRPr="00223217">
        <w:rPr>
          <w:rFonts w:ascii="Times New Roman" w:hAnsi="Times New Roman"/>
          <w:szCs w:val="20"/>
          <w:lang w:val="en-GB"/>
        </w:rPr>
        <w:t>.</w:t>
      </w:r>
    </w:p>
    <w:p w14:paraId="404A7E73" w14:textId="77777777" w:rsidR="00EC2064" w:rsidRPr="00223217" w:rsidRDefault="00EC2064" w:rsidP="00C62060">
      <w:pPr>
        <w:rPr>
          <w:rFonts w:ascii="Times New Roman" w:hAnsi="Times New Roman"/>
          <w:szCs w:val="20"/>
          <w:lang w:val="en-GB"/>
        </w:rPr>
      </w:pPr>
    </w:p>
    <w:p w14:paraId="0AF8DA28" w14:textId="433F7902" w:rsidR="00C62060" w:rsidRDefault="00C62060" w:rsidP="00C62060">
      <w:pPr>
        <w:keepNext/>
        <w:jc w:val="center"/>
        <w:rPr>
          <w:sz w:val="16"/>
          <w:szCs w:val="18"/>
        </w:rPr>
      </w:pPr>
      <w:r w:rsidRPr="00223217">
        <w:rPr>
          <w:noProof/>
        </w:rPr>
        <w:drawing>
          <wp:inline distT="0" distB="0" distL="0" distR="0" wp14:anchorId="34FD625D" wp14:editId="2FD6170F">
            <wp:extent cx="5071840" cy="2160000"/>
            <wp:effectExtent l="19050" t="19050" r="14605"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1840" cy="2160000"/>
                    </a:xfrm>
                    <a:prstGeom prst="rect">
                      <a:avLst/>
                    </a:prstGeom>
                    <a:ln>
                      <a:solidFill>
                        <a:schemeClr val="tx1"/>
                      </a:solidFill>
                    </a:ln>
                  </pic:spPr>
                </pic:pic>
              </a:graphicData>
            </a:graphic>
          </wp:inline>
        </w:drawing>
      </w:r>
    </w:p>
    <w:p w14:paraId="75122467" w14:textId="77777777" w:rsidR="00EC2064" w:rsidRPr="00223217" w:rsidRDefault="00EC2064" w:rsidP="00C62060">
      <w:pPr>
        <w:keepNext/>
        <w:jc w:val="center"/>
        <w:rPr>
          <w:sz w:val="16"/>
          <w:szCs w:val="18"/>
        </w:rPr>
      </w:pPr>
    </w:p>
    <w:p w14:paraId="1B5EA833" w14:textId="71729C1E" w:rsidR="00C62060" w:rsidRPr="00F3665B" w:rsidRDefault="00C62060" w:rsidP="00F3665B">
      <w:pPr>
        <w:pStyle w:val="Caption"/>
        <w:ind w:left="851" w:hanging="851"/>
        <w:rPr>
          <w:rFonts w:ascii="Times New Roman" w:hAnsi="Times New Roman" w:cs="Times New Roman"/>
          <w:i w:val="0"/>
          <w:iCs w:val="0"/>
          <w:color w:val="auto"/>
          <w:sz w:val="20"/>
          <w:szCs w:val="20"/>
        </w:rPr>
      </w:pPr>
      <w:r w:rsidRPr="00223217">
        <w:rPr>
          <w:rFonts w:ascii="Times New Roman" w:hAnsi="Times New Roman" w:cs="Times New Roman"/>
          <w:i w:val="0"/>
          <w:iCs w:val="0"/>
          <w:color w:val="auto"/>
          <w:sz w:val="20"/>
          <w:szCs w:val="20"/>
        </w:rPr>
        <w:t xml:space="preserve">Figure </w:t>
      </w:r>
      <w:r w:rsidRPr="00223217">
        <w:rPr>
          <w:rFonts w:ascii="Times New Roman" w:hAnsi="Times New Roman" w:cs="Times New Roman"/>
          <w:i w:val="0"/>
          <w:iCs w:val="0"/>
          <w:color w:val="auto"/>
          <w:sz w:val="20"/>
          <w:szCs w:val="20"/>
        </w:rPr>
        <w:fldChar w:fldCharType="begin"/>
      </w:r>
      <w:r w:rsidRPr="00223217">
        <w:rPr>
          <w:rFonts w:ascii="Times New Roman" w:hAnsi="Times New Roman" w:cs="Times New Roman"/>
          <w:i w:val="0"/>
          <w:iCs w:val="0"/>
          <w:color w:val="auto"/>
          <w:sz w:val="20"/>
          <w:szCs w:val="20"/>
        </w:rPr>
        <w:instrText xml:space="preserve"> SEQ Figure \* ARABIC </w:instrText>
      </w:r>
      <w:r w:rsidRPr="00223217">
        <w:rPr>
          <w:rFonts w:ascii="Times New Roman" w:hAnsi="Times New Roman" w:cs="Times New Roman"/>
          <w:i w:val="0"/>
          <w:iCs w:val="0"/>
          <w:color w:val="auto"/>
          <w:sz w:val="20"/>
          <w:szCs w:val="20"/>
        </w:rPr>
        <w:fldChar w:fldCharType="separate"/>
      </w:r>
      <w:r w:rsidRPr="00223217">
        <w:rPr>
          <w:rFonts w:ascii="Times New Roman" w:hAnsi="Times New Roman" w:cs="Times New Roman"/>
          <w:i w:val="0"/>
          <w:iCs w:val="0"/>
          <w:noProof/>
          <w:color w:val="auto"/>
          <w:sz w:val="20"/>
          <w:szCs w:val="20"/>
        </w:rPr>
        <w:t>2</w:t>
      </w:r>
      <w:r w:rsidRPr="00223217">
        <w:rPr>
          <w:rFonts w:ascii="Times New Roman" w:hAnsi="Times New Roman" w:cs="Times New Roman"/>
          <w:i w:val="0"/>
          <w:iCs w:val="0"/>
          <w:color w:val="auto"/>
          <w:sz w:val="20"/>
          <w:szCs w:val="20"/>
        </w:rPr>
        <w:fldChar w:fldCharType="end"/>
      </w:r>
      <w:r w:rsidR="00F3665B">
        <w:rPr>
          <w:rFonts w:ascii="Times New Roman" w:hAnsi="Times New Roman" w:cs="Times New Roman"/>
          <w:i w:val="0"/>
          <w:iCs w:val="0"/>
          <w:color w:val="auto"/>
          <w:sz w:val="20"/>
          <w:szCs w:val="20"/>
        </w:rPr>
        <w:t xml:space="preserve">. </w:t>
      </w:r>
      <w:r w:rsidRPr="00223217">
        <w:rPr>
          <w:rFonts w:ascii="Times New Roman" w:hAnsi="Times New Roman" w:cs="Times New Roman"/>
          <w:i w:val="0"/>
          <w:iCs w:val="0"/>
          <w:color w:val="auto"/>
          <w:sz w:val="20"/>
          <w:szCs w:val="20"/>
        </w:rPr>
        <w:t>(a) XRD patterns of 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-GA composite and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-GA electrocatalyst (b) Raman spectra of 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-GA composite and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-GA electrocatalyst</w:t>
      </w:r>
    </w:p>
    <w:p w14:paraId="19677942" w14:textId="1B43199D" w:rsidR="00C62060" w:rsidRPr="00223217" w:rsidRDefault="00C62060" w:rsidP="00C62060">
      <w:pPr>
        <w:adjustRightInd w:val="0"/>
        <w:rPr>
          <w:rFonts w:ascii="Times New Roman" w:eastAsia="TimesNewRomanPSMT" w:hAnsi="Times New Roman" w:cs="Times New Roman"/>
          <w:szCs w:val="20"/>
          <w:lang w:val="en-GB"/>
        </w:rPr>
      </w:pPr>
      <w:r w:rsidRPr="00223217">
        <w:rPr>
          <w:rFonts w:ascii="Times New Roman" w:hAnsi="Times New Roman" w:cs="Times New Roman"/>
          <w:szCs w:val="20"/>
          <w:lang w:val="en-GB"/>
        </w:rPr>
        <w:t xml:space="preserve">FESEM was used to </w:t>
      </w:r>
      <w:proofErr w:type="spellStart"/>
      <w:r w:rsidRPr="00223217">
        <w:rPr>
          <w:rFonts w:ascii="Times New Roman" w:hAnsi="Times New Roman" w:cs="Times New Roman"/>
          <w:szCs w:val="20"/>
          <w:lang w:val="en-GB"/>
        </w:rPr>
        <w:t>analyze</w:t>
      </w:r>
      <w:proofErr w:type="spellEnd"/>
      <w:r w:rsidRPr="00223217">
        <w:rPr>
          <w:rFonts w:ascii="Times New Roman" w:hAnsi="Times New Roman" w:cs="Times New Roman"/>
          <w:szCs w:val="20"/>
          <w:lang w:val="en-GB"/>
        </w:rPr>
        <w:t xml:space="preserve"> the dispersion surface, morphologies, and sizes of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and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produced using a microwave-assisted alcohol-reduction technique.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had a 3D-porous cellular structure, exhibiting constant porosity of sizes ranging from micrometres to sub micrometres as seen in Figure 3. Furthermore, the tight inspection revealed an evenly adorned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nanoparticles in a 3D porous cellular structure, demonstrating a strong interaction among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-carbon building block. Interestingly,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images revealed that these carbon-supporting materials were spherical. </w:t>
      </w:r>
      <w:r w:rsidRPr="00223217">
        <w:rPr>
          <w:rFonts w:ascii="Times New Roman" w:eastAsia="TimesNewRomanPSMT" w:hAnsi="Times New Roman" w:cs="Times New Roman"/>
          <w:szCs w:val="20"/>
          <w:lang w:val="en-GB"/>
        </w:rPr>
        <w:fldChar w:fldCharType="begin" w:fldLock="1"/>
      </w:r>
      <w:r w:rsidRPr="00223217">
        <w:rPr>
          <w:rFonts w:ascii="Times New Roman" w:eastAsia="TimesNewRomanPSMT" w:hAnsi="Times New Roman" w:cs="Times New Roman"/>
          <w:szCs w:val="20"/>
          <w:lang w:val="en-GB"/>
        </w:rPr>
        <w:instrText>ADDIN CSL_CITATION {"citationItems":[{"id":"ITEM-1","itemData":{"DOI":"10.17576/MJAS-2017-2103-19","abstract":"In this study, Aurum (Au) was used as the second metal in palladium catalyst (Pd) and carbon nanofiber (CNF) as catalyst support for glycerol oxidation. Second metal and catalyst support will help to improve catalytic activity and decrease adsorbed oxidation intermediates species. Carbon nanofiber supported PdAu nanoparticles was synthesized by using trisodium citrate as stabilizing agent and sodium borohydride as reducing agent. Physicochemical characterizations of the catalyst were performed by X-ray Diffraction (XRD), Transmission Electron Microscope (TEM), Field Emission Scanning Electron Microscope (FESEM) and Brunauer-Emmett-Teller (BET) to study the nature of the catalysts. The electrochemical activity for oxidation of glycerol on PdAu/CNF was evaluated in half cell under alkaline media by cyclic voltammetry potentiostat. The densities and mass activity obtained from half-cell analysis were 73.81 mA cm-2@ 492.04 mA mg-1, 63.82 mA cm-2 @ 425.44 mA mg-1 and 55.73 mA cm-2 @ 371.54 mA mg-1 for PdAu/CNF, Pd/CNF and Au/CNF, respectively in 1 M KOH + 0.5 M glycerol electrolyte. The electrochemical study, exhibited the superior performance of bimetallic PdAu/CNF catalyst as compared to monometallic Pd/CNF. This indicate that the electronic coupling between Pd and Au can promote the electrocatalytic activity for glycerol oxidation.","author":[{"dropping-particle":"","family":"Norilhamiah","given":"Yahya","non-dropping-particle":"","parse-names":false,"suffix":""},{"dropping-particle":"","family":"Kamaruddin","given":"Siti Kartom","non-dropping-particle":"","parse-names":false,"suffix":""},{"dropping-particle":"","family":"Karim","given":"Nabila Abdul","non-dropping-particle":"","parse-names":false,"suffix":""},{"dropping-particle":"","family":"Masdar","given":"Mohd Shahbudin","non-dropping-particle":"","parse-names":false,"suffix":""},{"dropping-particle":"","family":"Loh","given":"Kee Shyuan","non-dropping-particle":"","parse-names":false,"suffix":""}],"container-title":"Malaysian Journal of Analytical Sciences","id":"ITEM-1","issue":"3","issued":{"date-parts":[["2017"]]},"page":"700-708","publisher":"Malaysian Society of Analytical Sciences","title":"Kajian awal ke atas mangkin berasaskan pd disokong dengan gentian nano karbon untuk pengoksidaan elektro gliserol","type":"article-journal","volume":"21"},"uris":["http://www.mendeley.com/documents/?uuid=a25e6a63-4907-3f55-b00e-ab1045808143"]}],"mendeley":{"formattedCitation":"[26]","plainTextFormattedCitation":"[26]","previouslyFormattedCitation":"[26]"},"properties":{"noteIndex":0},"schema":"https://github.com/citation-style-language/schema/raw/master/csl-citation.json"}</w:instrText>
      </w:r>
      <w:r w:rsidRPr="00223217">
        <w:rPr>
          <w:rFonts w:ascii="Times New Roman" w:eastAsia="TimesNewRomanPSMT" w:hAnsi="Times New Roman" w:cs="Times New Roman"/>
          <w:szCs w:val="20"/>
          <w:lang w:val="en-GB"/>
        </w:rPr>
        <w:fldChar w:fldCharType="separate"/>
      </w:r>
      <w:r w:rsidRPr="00223217">
        <w:rPr>
          <w:rFonts w:ascii="Times New Roman" w:eastAsia="TimesNewRomanPSMT" w:hAnsi="Times New Roman" w:cs="Times New Roman"/>
          <w:noProof/>
          <w:szCs w:val="20"/>
          <w:lang w:val="en-GB"/>
        </w:rPr>
        <w:t>[26]</w:t>
      </w:r>
      <w:r w:rsidRPr="00223217">
        <w:rPr>
          <w:rFonts w:ascii="Times New Roman" w:eastAsia="TimesNewRomanPSMT" w:hAnsi="Times New Roman" w:cs="Times New Roman"/>
          <w:szCs w:val="20"/>
          <w:lang w:val="en-GB"/>
        </w:rPr>
        <w:fldChar w:fldCharType="end"/>
      </w:r>
      <w:r w:rsidRPr="00223217">
        <w:rPr>
          <w:rFonts w:ascii="Times New Roman" w:eastAsia="TimesNewRomanPSMT" w:hAnsi="Times New Roman" w:cs="Times New Roman"/>
          <w:szCs w:val="20"/>
          <w:lang w:val="en-GB"/>
        </w:rPr>
        <w:t xml:space="preserve">. The findings indicated that the samples were agglomerated with a diameter of 120-150 nm, which was available in the nanoscale range. The Van der Waals interaction surrounded by the particles could be causing the aggregation </w:t>
      </w:r>
      <w:r w:rsidRPr="00223217">
        <w:rPr>
          <w:rFonts w:ascii="Times New Roman" w:eastAsia="TimesNewRomanPSMT" w:hAnsi="Times New Roman" w:cs="Times New Roman"/>
          <w:szCs w:val="20"/>
          <w:lang w:val="en-GB"/>
        </w:rPr>
        <w:fldChar w:fldCharType="begin" w:fldLock="1"/>
      </w:r>
      <w:r w:rsidRPr="00223217">
        <w:rPr>
          <w:rFonts w:ascii="Times New Roman" w:eastAsia="TimesNewRomanPSMT" w:hAnsi="Times New Roman" w:cs="Times New Roman"/>
          <w:szCs w:val="20"/>
          <w:lang w:val="en-GB"/>
        </w:rPr>
        <w:instrText>ADDIN CSL_CITATION {"citationItems":[{"id":"ITEM-1","itemData":{"DOI":"10.30880/IJIE.2019.11.05.011","abstract":"Titanium dioxide (TiO2) is well known due to it usage and has potential in purification methods of water and air pollution. In this study, TiO2 nanoparticle doped with iron (Fe) was synthesized by hydrothermal method. Effect of aging time during hydrothermal treatment on the formation of TiO2 and the performance of photocatalytic activity under visible and ultraviolet light irradiation were investigated. The structure and properties of the sample were evaluated - by X-Ray Diffraction (XRD), Energy Dispersive X-Ray (EDX), Field Emission Scanning Electron Microscope (FE-SEM) and UV-Visible Spectroscopy (UV-Vis). XRD analysis showed the studied samples consisted of anatase phase. FE-SEM images showed an agglomeration of grains with various sizes ranged 30-35 nm. Increasing aging time resulted in a narrower band gap energy and higher photocatalytic activity as compared to pure TiO2. The result showed Fe-TiO2 aged for 4 h provided the highest percentage (66%) of Methyl Orange (MO) degradation under visible light irradiation. The current finding suggested that, Fe-TiO2 has high potential to degrade organic compound in water pollution.","author":[{"dropping-particle":"","family":"Ibrahim","given":"Siti Aida","non-dropping-particle":"","parse-names":false,"suffix":""},{"dropping-particle":"","family":"Anwar","given":"Mohamad Khairul","non-dropping-particle":"","parse-names":false,"suffix":""},{"dropping-particle":"","family":"Ainuddin","given":"Ainun Rahmahwati","non-dropping-particle":"","parse-names":false,"suffix":""},{"dropping-particle":"","family":"Hariri","given":"Azian","non-dropping-particle":"","parse-names":false,"suffix":""},{"dropping-particle":"","family":"Rus","given":"Anika Zafiah M.","non-dropping-particle":"","parse-names":false,"suffix":""},{"dropping-particle":"","family":"Kamdi","given":"Zakiah","non-dropping-particle":"","parse-names":false,"suffix":""},{"dropping-particle":"","family":"Yunos","given":"Muhamad Zaini","non-dropping-particle":"","parse-names":false,"suffix":""},{"dropping-particle":"","family":"Harun","given":"Zawati","non-dropping-particle":"","parse-names":false,"suffix":""}],"container-title":"International Journal of Integrated Engineering","id":"ITEM-1","issue":"5","issued":{"date-parts":[["2019"]]},"page":"80-85","publisher":"Penerbit UTHM","title":"Synthesis and characterization of visible light active Fe-TiO2 using hydrothermal method","type":"article-journal","volume":"11"},"uris":["http://www.mendeley.com/documents/?uuid=34faf3ff-d4de-31db-a13e-9e315ff78e78"]}],"mendeley":{"formattedCitation":"[27]","plainTextFormattedCitation":"[27]","previouslyFormattedCitation":"[27]"},"properties":{"noteIndex":0},"schema":"https://github.com/citation-style-language/schema/raw/master/csl-citation.json"}</w:instrText>
      </w:r>
      <w:r w:rsidRPr="00223217">
        <w:rPr>
          <w:rFonts w:ascii="Times New Roman" w:eastAsia="TimesNewRomanPSMT" w:hAnsi="Times New Roman" w:cs="Times New Roman"/>
          <w:szCs w:val="20"/>
          <w:lang w:val="en-GB"/>
        </w:rPr>
        <w:fldChar w:fldCharType="separate"/>
      </w:r>
      <w:r w:rsidRPr="00223217">
        <w:rPr>
          <w:rFonts w:ascii="Times New Roman" w:eastAsia="TimesNewRomanPSMT" w:hAnsi="Times New Roman" w:cs="Times New Roman"/>
          <w:noProof/>
          <w:szCs w:val="20"/>
          <w:lang w:val="en-GB"/>
        </w:rPr>
        <w:t>[27]</w:t>
      </w:r>
      <w:r w:rsidRPr="00223217">
        <w:rPr>
          <w:rFonts w:ascii="Times New Roman" w:eastAsia="TimesNewRomanPSMT" w:hAnsi="Times New Roman" w:cs="Times New Roman"/>
          <w:szCs w:val="20"/>
          <w:lang w:val="en-GB"/>
        </w:rPr>
        <w:fldChar w:fldCharType="end"/>
      </w:r>
      <w:r w:rsidRPr="00223217">
        <w:rPr>
          <w:rFonts w:ascii="Times New Roman" w:eastAsia="TimesNewRomanPSMT" w:hAnsi="Times New Roman" w:cs="Times New Roman"/>
          <w:szCs w:val="20"/>
          <w:lang w:val="en-GB"/>
        </w:rPr>
        <w:t>.</w:t>
      </w:r>
    </w:p>
    <w:p w14:paraId="2B130B20" w14:textId="77777777" w:rsidR="00C62060" w:rsidRPr="00223217" w:rsidRDefault="00C62060" w:rsidP="00C62060">
      <w:pPr>
        <w:keepNext/>
        <w:rPr>
          <w:sz w:val="16"/>
          <w:szCs w:val="18"/>
        </w:rPr>
      </w:pPr>
      <w:r w:rsidRPr="00223217">
        <w:rPr>
          <w:noProof/>
          <w:sz w:val="16"/>
          <w:szCs w:val="18"/>
          <w:lang w:val="en-MY" w:eastAsia="en-MY"/>
        </w:rPr>
        <w:lastRenderedPageBreak/>
        <w:drawing>
          <wp:inline distT="0" distB="0" distL="0" distR="0" wp14:anchorId="2135A7A7" wp14:editId="259705C7">
            <wp:extent cx="5514073" cy="1980000"/>
            <wp:effectExtent l="19050" t="19050" r="10795" b="20320"/>
            <wp:docPr id="3" name="Picture 3" descr="A picture containing text, s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ale&#10;&#10;Description automatically generated"/>
                    <pic:cNvPicPr/>
                  </pic:nvPicPr>
                  <pic:blipFill>
                    <a:blip r:embed="rId11"/>
                    <a:stretch>
                      <a:fillRect/>
                    </a:stretch>
                  </pic:blipFill>
                  <pic:spPr>
                    <a:xfrm>
                      <a:off x="0" y="0"/>
                      <a:ext cx="5514073" cy="1980000"/>
                    </a:xfrm>
                    <a:prstGeom prst="rect">
                      <a:avLst/>
                    </a:prstGeom>
                    <a:ln>
                      <a:solidFill>
                        <a:schemeClr val="tx1"/>
                      </a:solidFill>
                    </a:ln>
                  </pic:spPr>
                </pic:pic>
              </a:graphicData>
            </a:graphic>
          </wp:inline>
        </w:drawing>
      </w:r>
    </w:p>
    <w:p w14:paraId="0B4A5F71" w14:textId="77777777" w:rsidR="00F3665B" w:rsidRDefault="00F3665B" w:rsidP="00C62060">
      <w:pPr>
        <w:pStyle w:val="Caption"/>
        <w:jc w:val="center"/>
        <w:rPr>
          <w:rFonts w:ascii="Times New Roman" w:hAnsi="Times New Roman" w:cs="Times New Roman"/>
          <w:i w:val="0"/>
          <w:iCs w:val="0"/>
          <w:color w:val="auto"/>
          <w:sz w:val="20"/>
          <w:szCs w:val="20"/>
        </w:rPr>
      </w:pPr>
    </w:p>
    <w:p w14:paraId="31A38C74" w14:textId="033329CD" w:rsidR="00C62060" w:rsidRPr="00223217" w:rsidRDefault="00C62060" w:rsidP="00C62060">
      <w:pPr>
        <w:pStyle w:val="Caption"/>
        <w:jc w:val="center"/>
        <w:rPr>
          <w:rFonts w:ascii="Times New Roman" w:hAnsi="Times New Roman" w:cs="Times New Roman"/>
          <w:i w:val="0"/>
          <w:iCs w:val="0"/>
          <w:color w:val="auto"/>
          <w:sz w:val="20"/>
          <w:szCs w:val="20"/>
        </w:rPr>
      </w:pPr>
      <w:r w:rsidRPr="00223217">
        <w:rPr>
          <w:rFonts w:ascii="Times New Roman" w:hAnsi="Times New Roman" w:cs="Times New Roman"/>
          <w:i w:val="0"/>
          <w:iCs w:val="0"/>
          <w:color w:val="auto"/>
          <w:sz w:val="20"/>
          <w:szCs w:val="20"/>
        </w:rPr>
        <w:t xml:space="preserve">Figure </w:t>
      </w:r>
      <w:r w:rsidRPr="00223217">
        <w:rPr>
          <w:rFonts w:ascii="Times New Roman" w:hAnsi="Times New Roman" w:cs="Times New Roman"/>
          <w:i w:val="0"/>
          <w:iCs w:val="0"/>
          <w:color w:val="auto"/>
          <w:sz w:val="20"/>
          <w:szCs w:val="20"/>
        </w:rPr>
        <w:fldChar w:fldCharType="begin"/>
      </w:r>
      <w:r w:rsidRPr="00223217">
        <w:rPr>
          <w:rFonts w:ascii="Times New Roman" w:hAnsi="Times New Roman" w:cs="Times New Roman"/>
          <w:i w:val="0"/>
          <w:iCs w:val="0"/>
          <w:color w:val="auto"/>
          <w:sz w:val="20"/>
          <w:szCs w:val="20"/>
        </w:rPr>
        <w:instrText xml:space="preserve"> SEQ Figure \* ARABIC </w:instrText>
      </w:r>
      <w:r w:rsidRPr="00223217">
        <w:rPr>
          <w:rFonts w:ascii="Times New Roman" w:hAnsi="Times New Roman" w:cs="Times New Roman"/>
          <w:i w:val="0"/>
          <w:iCs w:val="0"/>
          <w:color w:val="auto"/>
          <w:sz w:val="20"/>
          <w:szCs w:val="20"/>
        </w:rPr>
        <w:fldChar w:fldCharType="separate"/>
      </w:r>
      <w:r w:rsidRPr="00223217">
        <w:rPr>
          <w:rFonts w:ascii="Times New Roman" w:hAnsi="Times New Roman" w:cs="Times New Roman"/>
          <w:i w:val="0"/>
          <w:iCs w:val="0"/>
          <w:noProof/>
          <w:color w:val="auto"/>
          <w:sz w:val="20"/>
          <w:szCs w:val="20"/>
        </w:rPr>
        <w:t>3</w:t>
      </w:r>
      <w:r w:rsidRPr="00223217">
        <w:rPr>
          <w:rFonts w:ascii="Times New Roman" w:hAnsi="Times New Roman" w:cs="Times New Roman"/>
          <w:i w:val="0"/>
          <w:iCs w:val="0"/>
          <w:color w:val="auto"/>
          <w:sz w:val="20"/>
          <w:szCs w:val="20"/>
        </w:rPr>
        <w:fldChar w:fldCharType="end"/>
      </w:r>
      <w:r w:rsidR="00F3665B">
        <w:rPr>
          <w:rFonts w:ascii="Times New Roman" w:hAnsi="Times New Roman" w:cs="Times New Roman"/>
          <w:i w:val="0"/>
          <w:iCs w:val="0"/>
          <w:color w:val="auto"/>
          <w:sz w:val="20"/>
          <w:szCs w:val="20"/>
        </w:rPr>
        <w:t>.</w:t>
      </w:r>
      <w:r w:rsidRPr="00223217">
        <w:rPr>
          <w:rFonts w:ascii="Times New Roman" w:hAnsi="Times New Roman" w:cs="Times New Roman"/>
          <w:i w:val="0"/>
          <w:iCs w:val="0"/>
          <w:color w:val="auto"/>
          <w:sz w:val="20"/>
          <w:szCs w:val="20"/>
        </w:rPr>
        <w:t xml:space="preserve"> FESEM image of the prepared (a)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-GA and (b)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/C</w:t>
      </w:r>
    </w:p>
    <w:p w14:paraId="6A500FCF" w14:textId="77777777" w:rsidR="00C62060" w:rsidRPr="00223217" w:rsidRDefault="00C62060" w:rsidP="00F3665B">
      <w:pPr>
        <w:pStyle w:val="Heading2"/>
        <w:spacing w:line="240" w:lineRule="auto"/>
        <w:rPr>
          <w:rFonts w:ascii="Times New Roman" w:hAnsi="Times New Roman" w:cs="Times New Roman"/>
          <w:b/>
          <w:bCs/>
          <w:color w:val="auto"/>
          <w:sz w:val="20"/>
          <w:szCs w:val="20"/>
          <w:lang w:val="en-GB"/>
        </w:rPr>
      </w:pPr>
      <w:r w:rsidRPr="00223217">
        <w:rPr>
          <w:rFonts w:ascii="Times New Roman" w:hAnsi="Times New Roman" w:cs="Times New Roman"/>
          <w:b/>
          <w:bCs/>
          <w:color w:val="auto"/>
          <w:sz w:val="20"/>
          <w:szCs w:val="20"/>
          <w:lang w:val="en-GB"/>
        </w:rPr>
        <w:t>Electrocatalytic performance</w:t>
      </w:r>
    </w:p>
    <w:p w14:paraId="16A660B3" w14:textId="5D3A97E0" w:rsidR="00785CA6" w:rsidRDefault="00C62060" w:rsidP="00C62060">
      <w:pPr>
        <w:rPr>
          <w:rFonts w:ascii="Times New Roman" w:hAnsi="Times New Roman" w:cs="Times New Roman"/>
          <w:szCs w:val="20"/>
          <w:lang w:val="en-GB"/>
        </w:rPr>
      </w:pPr>
      <w:r w:rsidRPr="00223217">
        <w:rPr>
          <w:rFonts w:ascii="Times New Roman" w:hAnsi="Times New Roman" w:cs="Times New Roman"/>
          <w:szCs w:val="20"/>
          <w:lang w:val="en-GB"/>
        </w:rPr>
        <w:t xml:space="preserve">In recent decades, DMFCs have been intensively explored and gained increasing attention in the electrooxidation by methanol. For the methanol oxidation in acid media, the electrochemical efficiency of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catalyst has been explored.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CV curves and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/C catalysts in N</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with 0.5M H</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SO</w:t>
      </w:r>
      <w:r w:rsidRPr="00223217">
        <w:rPr>
          <w:rFonts w:ascii="Times New Roman" w:hAnsi="Times New Roman" w:cs="Times New Roman"/>
          <w:szCs w:val="20"/>
          <w:vertAlign w:val="subscript"/>
          <w:lang w:val="en-GB"/>
        </w:rPr>
        <w:t>4</w:t>
      </w:r>
      <w:r w:rsidRPr="00223217">
        <w:rPr>
          <w:rFonts w:ascii="Times New Roman" w:hAnsi="Times New Roman" w:cs="Times New Roman"/>
          <w:szCs w:val="20"/>
          <w:lang w:val="en-GB"/>
        </w:rPr>
        <w:t xml:space="preserve"> saturated solutions are displayed in </w:t>
      </w:r>
      <w:r w:rsidR="00F3665B">
        <w:rPr>
          <w:rFonts w:ascii="Times New Roman" w:hAnsi="Times New Roman" w:cs="Times New Roman"/>
          <w:szCs w:val="20"/>
          <w:lang w:val="en-GB"/>
        </w:rPr>
        <w:t>F</w:t>
      </w:r>
      <w:r w:rsidRPr="00223217">
        <w:rPr>
          <w:rFonts w:ascii="Times New Roman" w:hAnsi="Times New Roman" w:cs="Times New Roman"/>
          <w:szCs w:val="20"/>
          <w:lang w:val="en-GB"/>
        </w:rPr>
        <w:t xml:space="preserve">igure 4(a). In the area from -0.2 V to 1.0 V vs Ag/AgCl, both electrics demonstrated the characteristics of hydrogen adsorption-desorption. The ECSAs computed for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and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/C amount was about 68.44 m</w:t>
      </w:r>
      <w:r w:rsidRPr="00223217">
        <w:rPr>
          <w:rFonts w:ascii="Times New Roman" w:hAnsi="Times New Roman" w:cs="Times New Roman"/>
          <w:szCs w:val="20"/>
          <w:vertAlign w:val="superscript"/>
          <w:lang w:val="en-GB"/>
        </w:rPr>
        <w:t>2</w:t>
      </w:r>
      <w:r w:rsidRPr="00223217">
        <w:rPr>
          <w:rFonts w:ascii="Times New Roman" w:hAnsi="Times New Roman" w:cs="Times New Roman"/>
          <w:szCs w:val="20"/>
          <w:lang w:val="en-GB"/>
        </w:rPr>
        <w:t xml:space="preserve"> g</w:t>
      </w:r>
      <w:r w:rsidRPr="00223217">
        <w:rPr>
          <w:rFonts w:ascii="Times New Roman" w:hAnsi="Times New Roman" w:cs="Times New Roman"/>
          <w:szCs w:val="20"/>
          <w:vertAlign w:val="superscript"/>
          <w:lang w:val="en-GB"/>
        </w:rPr>
        <w:t>-1</w:t>
      </w:r>
      <w:r w:rsidRPr="00223217">
        <w:rPr>
          <w:rFonts w:ascii="Times New Roman" w:hAnsi="Times New Roman" w:cs="Times New Roman"/>
          <w:szCs w:val="20"/>
          <w:lang w:val="en-GB"/>
        </w:rPr>
        <w:t xml:space="preserve"> and 20.44 m</w:t>
      </w:r>
      <w:r w:rsidRPr="00223217">
        <w:rPr>
          <w:rFonts w:ascii="Times New Roman" w:hAnsi="Times New Roman" w:cs="Times New Roman"/>
          <w:szCs w:val="20"/>
          <w:vertAlign w:val="superscript"/>
          <w:lang w:val="en-GB"/>
        </w:rPr>
        <w:t>2</w:t>
      </w:r>
      <w:r w:rsidRPr="00223217">
        <w:rPr>
          <w:rFonts w:ascii="Times New Roman" w:hAnsi="Times New Roman" w:cs="Times New Roman"/>
          <w:szCs w:val="20"/>
          <w:lang w:val="en-GB"/>
        </w:rPr>
        <w:t xml:space="preserve"> g</w:t>
      </w:r>
      <w:r w:rsidRPr="00223217">
        <w:rPr>
          <w:rFonts w:ascii="Times New Roman" w:hAnsi="Times New Roman" w:cs="Times New Roman"/>
          <w:szCs w:val="20"/>
          <w:vertAlign w:val="superscript"/>
          <w:lang w:val="en-GB"/>
        </w:rPr>
        <w:t>-1</w:t>
      </w:r>
      <w:r w:rsidRPr="00223217">
        <w:rPr>
          <w:rFonts w:ascii="Times New Roman" w:hAnsi="Times New Roman" w:cs="Times New Roman"/>
          <w:szCs w:val="20"/>
          <w:lang w:val="en-GB"/>
        </w:rPr>
        <w:t xml:space="preserve">, respectively. The ECSA for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was 3 times that of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and 30 % greater than that for commercial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/C. This finding demonstrates that retaining a bimetallic 3D structure in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helps to increase the ECSA of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nanoparticles and improve catalyst utilization. This is owing to the differences in crystallite size between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and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as shown in Table 1 from the XRD analysis: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crystallite size for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was the lowest and it had a superior ECSA value. Hence, the catalyst and reaction surface area can be increased by using the smallest crystallite size.</w:t>
      </w:r>
    </w:p>
    <w:p w14:paraId="2BE15354" w14:textId="7E468704" w:rsidR="00F3665B" w:rsidRDefault="00F3665B" w:rsidP="00C62060">
      <w:pPr>
        <w:rPr>
          <w:rFonts w:ascii="Times New Roman" w:hAnsi="Times New Roman" w:cs="Times New Roman"/>
          <w:szCs w:val="20"/>
          <w:lang w:val="en-GB"/>
        </w:rPr>
      </w:pPr>
    </w:p>
    <w:p w14:paraId="1AC6F66C" w14:textId="49175DDF" w:rsidR="00F3665B" w:rsidRDefault="00F3665B" w:rsidP="00F3665B">
      <w:pPr>
        <w:keepNext/>
        <w:jc w:val="center"/>
        <w:rPr>
          <w:sz w:val="16"/>
          <w:szCs w:val="18"/>
        </w:rPr>
      </w:pPr>
      <w:r w:rsidRPr="00223217">
        <w:rPr>
          <w:noProof/>
        </w:rPr>
        <w:drawing>
          <wp:inline distT="0" distB="0" distL="0" distR="0" wp14:anchorId="35996EAA" wp14:editId="6614DAB6">
            <wp:extent cx="4036179" cy="3060000"/>
            <wp:effectExtent l="19050" t="19050" r="2159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6179" cy="3060000"/>
                    </a:xfrm>
                    <a:prstGeom prst="rect">
                      <a:avLst/>
                    </a:prstGeom>
                    <a:ln>
                      <a:solidFill>
                        <a:schemeClr val="tx1"/>
                      </a:solidFill>
                    </a:ln>
                  </pic:spPr>
                </pic:pic>
              </a:graphicData>
            </a:graphic>
          </wp:inline>
        </w:drawing>
      </w:r>
    </w:p>
    <w:p w14:paraId="2079011D" w14:textId="77777777" w:rsidR="00F3665B" w:rsidRPr="00223217" w:rsidRDefault="00F3665B" w:rsidP="00F3665B">
      <w:pPr>
        <w:keepNext/>
        <w:jc w:val="center"/>
        <w:rPr>
          <w:sz w:val="16"/>
          <w:szCs w:val="18"/>
        </w:rPr>
      </w:pPr>
    </w:p>
    <w:p w14:paraId="5DE85889" w14:textId="4C022B40" w:rsidR="00F3665B" w:rsidRPr="00223217" w:rsidRDefault="00F3665B" w:rsidP="00F3665B">
      <w:pPr>
        <w:pStyle w:val="Caption"/>
        <w:ind w:left="851" w:hanging="851"/>
        <w:rPr>
          <w:rFonts w:ascii="Times New Roman" w:hAnsi="Times New Roman" w:cs="Times New Roman"/>
          <w:i w:val="0"/>
          <w:iCs w:val="0"/>
          <w:color w:val="auto"/>
          <w:sz w:val="24"/>
          <w:szCs w:val="24"/>
        </w:rPr>
      </w:pPr>
      <w:r w:rsidRPr="00223217">
        <w:rPr>
          <w:rFonts w:ascii="Times New Roman" w:hAnsi="Times New Roman" w:cs="Times New Roman"/>
          <w:i w:val="0"/>
          <w:iCs w:val="0"/>
          <w:color w:val="auto"/>
          <w:sz w:val="20"/>
          <w:szCs w:val="20"/>
        </w:rPr>
        <w:t xml:space="preserve">Figure </w:t>
      </w:r>
      <w:r w:rsidRPr="00223217">
        <w:rPr>
          <w:rFonts w:ascii="Times New Roman" w:hAnsi="Times New Roman" w:cs="Times New Roman"/>
          <w:i w:val="0"/>
          <w:iCs w:val="0"/>
          <w:color w:val="auto"/>
          <w:sz w:val="20"/>
          <w:szCs w:val="20"/>
        </w:rPr>
        <w:fldChar w:fldCharType="begin"/>
      </w:r>
      <w:r w:rsidRPr="00223217">
        <w:rPr>
          <w:rFonts w:ascii="Times New Roman" w:hAnsi="Times New Roman" w:cs="Times New Roman"/>
          <w:i w:val="0"/>
          <w:iCs w:val="0"/>
          <w:color w:val="auto"/>
          <w:sz w:val="20"/>
          <w:szCs w:val="20"/>
        </w:rPr>
        <w:instrText xml:space="preserve"> SEQ Figure \* ARABIC </w:instrText>
      </w:r>
      <w:r w:rsidRPr="00223217">
        <w:rPr>
          <w:rFonts w:ascii="Times New Roman" w:hAnsi="Times New Roman" w:cs="Times New Roman"/>
          <w:i w:val="0"/>
          <w:iCs w:val="0"/>
          <w:color w:val="auto"/>
          <w:sz w:val="20"/>
          <w:szCs w:val="20"/>
        </w:rPr>
        <w:fldChar w:fldCharType="separate"/>
      </w:r>
      <w:r w:rsidRPr="00223217">
        <w:rPr>
          <w:rFonts w:ascii="Times New Roman" w:hAnsi="Times New Roman" w:cs="Times New Roman"/>
          <w:i w:val="0"/>
          <w:iCs w:val="0"/>
          <w:noProof/>
          <w:color w:val="auto"/>
          <w:sz w:val="20"/>
          <w:szCs w:val="20"/>
        </w:rPr>
        <w:t>4</w:t>
      </w:r>
      <w:r w:rsidRPr="00223217">
        <w:rPr>
          <w:rFonts w:ascii="Times New Roman" w:hAnsi="Times New Roman" w:cs="Times New Roman"/>
          <w:i w:val="0"/>
          <w:iCs w:val="0"/>
          <w:color w:val="auto"/>
          <w:sz w:val="20"/>
          <w:szCs w:val="20"/>
        </w:rPr>
        <w:fldChar w:fldCharType="end"/>
      </w:r>
      <w:r>
        <w:rPr>
          <w:rFonts w:ascii="Times New Roman" w:hAnsi="Times New Roman" w:cs="Times New Roman"/>
          <w:i w:val="0"/>
          <w:iCs w:val="0"/>
          <w:color w:val="auto"/>
          <w:sz w:val="20"/>
          <w:szCs w:val="20"/>
        </w:rPr>
        <w:t xml:space="preserve">. </w:t>
      </w:r>
      <w:r w:rsidRPr="00223217">
        <w:rPr>
          <w:rFonts w:ascii="Times New Roman" w:hAnsi="Times New Roman" w:cs="Times New Roman"/>
          <w:i w:val="0"/>
          <w:iCs w:val="0"/>
          <w:color w:val="auto"/>
          <w:sz w:val="20"/>
          <w:szCs w:val="20"/>
        </w:rPr>
        <w:t xml:space="preserve">(a) CVs of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-GA and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/C in N</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 saturated 0.5 M H</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SO</w:t>
      </w:r>
      <w:r w:rsidRPr="00223217">
        <w:rPr>
          <w:rFonts w:ascii="Times New Roman" w:hAnsi="Times New Roman" w:cs="Times New Roman"/>
          <w:i w:val="0"/>
          <w:iCs w:val="0"/>
          <w:color w:val="auto"/>
          <w:sz w:val="20"/>
          <w:szCs w:val="20"/>
          <w:vertAlign w:val="subscript"/>
        </w:rPr>
        <w:t>4</w:t>
      </w:r>
      <w:r w:rsidRPr="00223217">
        <w:rPr>
          <w:rFonts w:ascii="Times New Roman" w:hAnsi="Times New Roman" w:cs="Times New Roman"/>
          <w:i w:val="0"/>
          <w:iCs w:val="0"/>
          <w:color w:val="auto"/>
          <w:sz w:val="20"/>
          <w:szCs w:val="20"/>
        </w:rPr>
        <w:t xml:space="preserve"> solution at scan rate 50 mVs</w:t>
      </w:r>
      <w:r w:rsidRPr="00223217">
        <w:rPr>
          <w:rFonts w:ascii="Times New Roman" w:hAnsi="Times New Roman" w:cs="Times New Roman"/>
          <w:i w:val="0"/>
          <w:iCs w:val="0"/>
          <w:color w:val="auto"/>
          <w:sz w:val="20"/>
          <w:szCs w:val="20"/>
          <w:vertAlign w:val="superscript"/>
        </w:rPr>
        <w:t>-1</w:t>
      </w:r>
      <w:r w:rsidRPr="00223217">
        <w:rPr>
          <w:rFonts w:ascii="Times New Roman" w:hAnsi="Times New Roman" w:cs="Times New Roman"/>
          <w:i w:val="0"/>
          <w:iCs w:val="0"/>
          <w:color w:val="auto"/>
          <w:sz w:val="20"/>
          <w:szCs w:val="20"/>
        </w:rPr>
        <w:t xml:space="preserve">, (b) CVs of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/TiO</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-GA and </w:t>
      </w:r>
      <w:proofErr w:type="spellStart"/>
      <w:r w:rsidRPr="00223217">
        <w:rPr>
          <w:rFonts w:ascii="Times New Roman" w:hAnsi="Times New Roman" w:cs="Times New Roman"/>
          <w:i w:val="0"/>
          <w:iCs w:val="0"/>
          <w:color w:val="auto"/>
          <w:sz w:val="20"/>
          <w:szCs w:val="20"/>
        </w:rPr>
        <w:t>PtRu</w:t>
      </w:r>
      <w:proofErr w:type="spellEnd"/>
      <w:r w:rsidRPr="00223217">
        <w:rPr>
          <w:rFonts w:ascii="Times New Roman" w:hAnsi="Times New Roman" w:cs="Times New Roman"/>
          <w:i w:val="0"/>
          <w:iCs w:val="0"/>
          <w:color w:val="auto"/>
          <w:sz w:val="20"/>
          <w:szCs w:val="20"/>
        </w:rPr>
        <w:t>/C in N</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 saturated 0.5 M H</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SO</w:t>
      </w:r>
      <w:r w:rsidRPr="00223217">
        <w:rPr>
          <w:rFonts w:ascii="Times New Roman" w:hAnsi="Times New Roman" w:cs="Times New Roman"/>
          <w:i w:val="0"/>
          <w:iCs w:val="0"/>
          <w:color w:val="auto"/>
          <w:sz w:val="20"/>
          <w:szCs w:val="20"/>
          <w:vertAlign w:val="subscript"/>
        </w:rPr>
        <w:t>4</w:t>
      </w:r>
      <w:r w:rsidRPr="00223217">
        <w:rPr>
          <w:rFonts w:ascii="Times New Roman" w:hAnsi="Times New Roman" w:cs="Times New Roman"/>
          <w:i w:val="0"/>
          <w:iCs w:val="0"/>
          <w:color w:val="auto"/>
          <w:sz w:val="20"/>
          <w:szCs w:val="20"/>
        </w:rPr>
        <w:t xml:space="preserve"> solution containing 1 M CH</w:t>
      </w:r>
      <w:r w:rsidRPr="00223217">
        <w:rPr>
          <w:rFonts w:ascii="Times New Roman" w:hAnsi="Times New Roman" w:cs="Times New Roman"/>
          <w:i w:val="0"/>
          <w:iCs w:val="0"/>
          <w:color w:val="auto"/>
          <w:sz w:val="20"/>
          <w:szCs w:val="20"/>
          <w:vertAlign w:val="subscript"/>
        </w:rPr>
        <w:t>3</w:t>
      </w:r>
      <w:r w:rsidRPr="00223217">
        <w:rPr>
          <w:rFonts w:ascii="Times New Roman" w:hAnsi="Times New Roman" w:cs="Times New Roman"/>
          <w:i w:val="0"/>
          <w:iCs w:val="0"/>
          <w:color w:val="auto"/>
          <w:sz w:val="20"/>
          <w:szCs w:val="20"/>
        </w:rPr>
        <w:t>OH at scan rate 50 mVs</w:t>
      </w:r>
      <w:r w:rsidRPr="00223217">
        <w:rPr>
          <w:rFonts w:ascii="Times New Roman" w:hAnsi="Times New Roman" w:cs="Times New Roman"/>
          <w:i w:val="0"/>
          <w:iCs w:val="0"/>
          <w:color w:val="auto"/>
          <w:sz w:val="20"/>
          <w:szCs w:val="20"/>
          <w:vertAlign w:val="superscript"/>
        </w:rPr>
        <w:t>-1</w:t>
      </w:r>
      <w:r w:rsidRPr="00223217">
        <w:rPr>
          <w:rFonts w:ascii="Times New Roman" w:hAnsi="Times New Roman" w:cs="Times New Roman"/>
          <w:i w:val="0"/>
          <w:iCs w:val="0"/>
          <w:color w:val="auto"/>
          <w:sz w:val="20"/>
          <w:szCs w:val="20"/>
        </w:rPr>
        <w:t>, and (c) Chronoamperometric curves of H</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SO</w:t>
      </w:r>
      <w:r w:rsidRPr="00223217">
        <w:rPr>
          <w:rFonts w:ascii="Times New Roman" w:hAnsi="Times New Roman" w:cs="Times New Roman"/>
          <w:i w:val="0"/>
          <w:iCs w:val="0"/>
          <w:color w:val="auto"/>
          <w:sz w:val="20"/>
          <w:szCs w:val="20"/>
          <w:vertAlign w:val="subscript"/>
        </w:rPr>
        <w:t>4</w:t>
      </w:r>
      <w:r w:rsidRPr="00223217">
        <w:rPr>
          <w:rFonts w:ascii="Times New Roman" w:hAnsi="Times New Roman" w:cs="Times New Roman"/>
          <w:i w:val="0"/>
          <w:iCs w:val="0"/>
          <w:color w:val="auto"/>
          <w:sz w:val="20"/>
          <w:szCs w:val="20"/>
        </w:rPr>
        <w:t xml:space="preserve"> in N</w:t>
      </w:r>
      <w:r w:rsidRPr="00223217">
        <w:rPr>
          <w:rFonts w:ascii="Times New Roman" w:hAnsi="Times New Roman" w:cs="Times New Roman"/>
          <w:i w:val="0"/>
          <w:iCs w:val="0"/>
          <w:color w:val="auto"/>
          <w:sz w:val="20"/>
          <w:szCs w:val="20"/>
          <w:vertAlign w:val="subscript"/>
        </w:rPr>
        <w:t>2</w:t>
      </w:r>
      <w:r w:rsidRPr="00223217">
        <w:rPr>
          <w:rFonts w:ascii="Times New Roman" w:hAnsi="Times New Roman" w:cs="Times New Roman"/>
          <w:i w:val="0"/>
          <w:iCs w:val="0"/>
          <w:color w:val="auto"/>
          <w:sz w:val="20"/>
          <w:szCs w:val="20"/>
        </w:rPr>
        <w:t xml:space="preserve"> saturated containing 1 M CH</w:t>
      </w:r>
      <w:r w:rsidRPr="00223217">
        <w:rPr>
          <w:rFonts w:ascii="Times New Roman" w:hAnsi="Times New Roman" w:cs="Times New Roman"/>
          <w:i w:val="0"/>
          <w:iCs w:val="0"/>
          <w:color w:val="auto"/>
          <w:sz w:val="20"/>
          <w:szCs w:val="20"/>
          <w:vertAlign w:val="subscript"/>
        </w:rPr>
        <w:t>3</w:t>
      </w:r>
      <w:r w:rsidRPr="00223217">
        <w:rPr>
          <w:rFonts w:ascii="Times New Roman" w:hAnsi="Times New Roman" w:cs="Times New Roman"/>
          <w:i w:val="0"/>
          <w:iCs w:val="0"/>
          <w:color w:val="auto"/>
          <w:sz w:val="20"/>
          <w:szCs w:val="20"/>
        </w:rPr>
        <w:t>OH</w:t>
      </w:r>
    </w:p>
    <w:p w14:paraId="72B6ABEC" w14:textId="28D1FC40" w:rsidR="00F3665B" w:rsidRPr="00223217" w:rsidRDefault="00F3665B" w:rsidP="00C62060">
      <w:pPr>
        <w:rPr>
          <w:rFonts w:ascii="Times New Roman" w:hAnsi="Times New Roman" w:cs="Times New Roman"/>
          <w:szCs w:val="20"/>
          <w:lang w:val="en-GB"/>
        </w:rPr>
      </w:pPr>
    </w:p>
    <w:p w14:paraId="6F550A3B" w14:textId="582C5570" w:rsidR="00C62060" w:rsidRPr="00223217" w:rsidRDefault="00C62060" w:rsidP="00C62060">
      <w:pPr>
        <w:rPr>
          <w:rFonts w:ascii="Times New Roman" w:hAnsi="Times New Roman" w:cs="Times New Roman"/>
          <w:szCs w:val="20"/>
          <w:lang w:val="en-GB"/>
        </w:rPr>
      </w:pPr>
    </w:p>
    <w:p w14:paraId="53BECE19" w14:textId="7C9656C8" w:rsidR="00C62060" w:rsidRPr="00223217" w:rsidRDefault="00C62060" w:rsidP="00C62060">
      <w:pPr>
        <w:rPr>
          <w:rFonts w:ascii="Times New Roman" w:hAnsi="Times New Roman" w:cs="Times New Roman"/>
          <w:szCs w:val="20"/>
          <w:lang w:val="en-GB"/>
        </w:rPr>
      </w:pPr>
      <w:r w:rsidRPr="00223217">
        <w:rPr>
          <w:rFonts w:ascii="Times New Roman" w:hAnsi="Times New Roman" w:cs="Times New Roman"/>
          <w:szCs w:val="20"/>
          <w:lang w:val="en-GB"/>
        </w:rPr>
        <w:lastRenderedPageBreak/>
        <w:t xml:space="preserve">Figure 4(b) illustrates that the peak mass activity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is greater than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The CV values are indicated in Table 2 for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and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electrocatalyst. For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catalyst, the value for mass activity was 957.15 mA mg</w:t>
      </w:r>
      <w:r w:rsidRPr="00223217">
        <w:rPr>
          <w:rFonts w:ascii="Times New Roman" w:hAnsi="Times New Roman" w:cs="Times New Roman"/>
          <w:szCs w:val="20"/>
          <w:vertAlign w:val="superscript"/>
          <w:lang w:val="en-GB"/>
        </w:rPr>
        <w:t>-1</w:t>
      </w:r>
      <w:r w:rsidRPr="00223217">
        <w:rPr>
          <w:rFonts w:ascii="Times New Roman" w:hAnsi="Times New Roman" w:cs="Times New Roman"/>
          <w:szCs w:val="20"/>
          <w:lang w:val="en-GB"/>
        </w:rPr>
        <w:t xml:space="preserv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12 times greater than that of the commercial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/C catalyst. This reveals that the support for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is a superior replacement for carbon catalyst support. Throughout the carbonization process, the aerogel mixture can boost the electrical and thermal leads of the catalyst </w:t>
      </w:r>
      <w:r w:rsidRPr="00223217">
        <w:rPr>
          <w:rFonts w:ascii="Times New Roman" w:hAnsi="Times New Roman" w:cs="Times New Roman"/>
          <w:szCs w:val="20"/>
          <w:lang w:val="en-GB"/>
        </w:rPr>
        <w:fldChar w:fldCharType="begin" w:fldLock="1"/>
      </w:r>
      <w:r w:rsidRPr="00223217">
        <w:rPr>
          <w:rFonts w:ascii="Times New Roman" w:hAnsi="Times New Roman" w:cs="Times New Roman"/>
          <w:szCs w:val="20"/>
          <w:lang w:val="en-GB"/>
        </w:rPr>
        <w:instrText>ADDIN CSL_CITATION {"citationItems":[{"id":"ITEM-1","itemData":{"DOI":"10.1002/er.4423","ISSN":"1099114X","abstract":"Aerogel is known as one of today's 10 advanced structures that have earned a special place in industry or research based on its very high porosity, high active surface area, and low density. There are various methods that can be used to produce it as well as make it easily produced in bulk as subtopics in this paper in Section 2.0. At present, aerogels are widely used in catalytic applications, energy storage, photocatalysts, membrane separation, and fuel cells. Aerogel application in fuel cell has been discussed in Section 3.0 which include carbon-based aerogel, graphene-based aerogel, other aerogel based, and non-noble catalyst with aerogel. This article is a reference for researchers to identify the advantages and opportunities available to lower costs and improve the performance of fuel cell systems that rely heavily on cost-rich catalysts such as platinum. Opportunities and challenges in developing aerogel structures in the future are also explained in Section 5.0 in this paper.","author":[{"dropping-particle":"","family":"Norazuwana Shaari","given":"Siti Kartom Kamarudin","non-dropping-particle":"","parse-names":false,"suffix":""},{"dropping-particle":"","family":"Shaari","given":"Norazuwana","non-dropping-particle":"","parse-names":false,"suffix":""},{"dropping-particle":"","family":"Kamarudin","given":"Siti Kartom","non-dropping-particle":"","parse-names":false,"suffix":""}],"container-title":"International Journal of Energy Research","id":"ITEM-1","issue":"7","issued":{"date-parts":[["2019","2","21"]]},"page":"2447-2467","publisher":"John Wiley &amp; Sons, Ltd","title":"Current status, opportunities, and challenges in fuel cell catalytic application of aerogels","type":"article-journal","volume":"43"},"uris":["http://www.mendeley.com/documents/?uuid=ca07f1a2-bd99-49b7-af2d-b1a2adaf9682"]}],"mendeley":{"formattedCitation":"[28]","plainTextFormattedCitation":"[28]","previouslyFormattedCitation":"[28]"},"properties":{"noteIndex":0},"schema":"https://github.com/citation-style-language/schema/raw/master/csl-citation.json"}</w:instrText>
      </w:r>
      <w:r w:rsidRPr="00223217">
        <w:rPr>
          <w:rFonts w:ascii="Times New Roman" w:hAnsi="Times New Roman" w:cs="Times New Roman"/>
          <w:szCs w:val="20"/>
          <w:lang w:val="en-GB"/>
        </w:rPr>
        <w:fldChar w:fldCharType="separate"/>
      </w:r>
      <w:r w:rsidRPr="00223217">
        <w:rPr>
          <w:rFonts w:ascii="Times New Roman" w:hAnsi="Times New Roman" w:cs="Times New Roman"/>
          <w:noProof/>
          <w:szCs w:val="20"/>
          <w:lang w:val="en-GB"/>
        </w:rPr>
        <w:t>[28]</w:t>
      </w:r>
      <w:r w:rsidRPr="00223217">
        <w:rPr>
          <w:rFonts w:ascii="Times New Roman" w:hAnsi="Times New Roman" w:cs="Times New Roman"/>
          <w:szCs w:val="20"/>
          <w:lang w:val="en-GB"/>
        </w:rPr>
        <w:fldChar w:fldCharType="end"/>
      </w:r>
      <w:r w:rsidRPr="00223217">
        <w:rPr>
          <w:rFonts w:ascii="Times New Roman" w:hAnsi="Times New Roman" w:cs="Times New Roman"/>
          <w:szCs w:val="20"/>
          <w:lang w:val="en-GB"/>
        </w:rPr>
        <w:t>.</w:t>
      </w:r>
    </w:p>
    <w:p w14:paraId="59F565DA" w14:textId="77777777" w:rsidR="00C62060" w:rsidRPr="00223217" w:rsidRDefault="00C62060" w:rsidP="00C62060">
      <w:pPr>
        <w:rPr>
          <w:rFonts w:ascii="Times New Roman" w:hAnsi="Times New Roman" w:cs="Times New Roman"/>
          <w:szCs w:val="20"/>
          <w:lang w:val="en-GB"/>
        </w:rPr>
      </w:pPr>
    </w:p>
    <w:p w14:paraId="3651550E" w14:textId="3C6233D7" w:rsidR="00C62060" w:rsidRDefault="00C62060" w:rsidP="00C62060">
      <w:pPr>
        <w:rPr>
          <w:rFonts w:ascii="Times New Roman" w:hAnsi="Times New Roman" w:cs="Times New Roman"/>
          <w:szCs w:val="20"/>
          <w:lang w:val="en-GB"/>
        </w:rPr>
      </w:pPr>
      <w:r w:rsidRPr="00223217">
        <w:rPr>
          <w:rFonts w:ascii="Times New Roman" w:hAnsi="Times New Roman" w:cs="Times New Roman"/>
          <w:szCs w:val="20"/>
          <w:lang w:val="en-GB"/>
        </w:rPr>
        <w:t>In a composite electrocatalyst, using an aerogel structure can increase the overall surface area as well as the active reaction site on the surface of the electrocatalyst. An additional benefit is the high anatase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composition, as determined by the XRD measurements. Anatase has a higher electrocatalytic activity than rutile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Besides increasing peak current density, the metal-support interaction also shows a favourable effect, and the material combination of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and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is an effective electrocatalyst in DMFCs. The performance of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is significantly poorer than that of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agglomeration, where the ECSA value as well as the crystallite size as determined by XRD are emphasized. Such state reduces the possibility of the electrocatalyst surface to be an active site and lowers the performance of the electrocatalysts.</w:t>
      </w:r>
    </w:p>
    <w:p w14:paraId="1E6BA310" w14:textId="77777777" w:rsidR="00F3665B" w:rsidRPr="00223217" w:rsidRDefault="00F3665B" w:rsidP="00C62060">
      <w:pPr>
        <w:rPr>
          <w:rFonts w:ascii="Times New Roman" w:hAnsi="Times New Roman" w:cs="Times New Roman"/>
          <w:szCs w:val="20"/>
          <w:lang w:val="en-GB"/>
        </w:rPr>
      </w:pPr>
    </w:p>
    <w:p w14:paraId="75DF6F05" w14:textId="6BD957EC" w:rsidR="00C62060" w:rsidRPr="00223217" w:rsidRDefault="00C62060" w:rsidP="00F3665B">
      <w:pPr>
        <w:pStyle w:val="Caption"/>
        <w:keepNext/>
        <w:jc w:val="center"/>
        <w:rPr>
          <w:rFonts w:ascii="Times New Roman" w:hAnsi="Times New Roman" w:cs="Times New Roman"/>
          <w:i w:val="0"/>
          <w:iCs w:val="0"/>
          <w:color w:val="auto"/>
          <w:sz w:val="20"/>
          <w:szCs w:val="20"/>
        </w:rPr>
      </w:pPr>
      <w:bookmarkStart w:id="2" w:name="_Hlk77511703"/>
      <w:r w:rsidRPr="00223217">
        <w:rPr>
          <w:rFonts w:ascii="Times New Roman" w:hAnsi="Times New Roman" w:cs="Times New Roman"/>
          <w:i w:val="0"/>
          <w:iCs w:val="0"/>
          <w:color w:val="auto"/>
          <w:sz w:val="20"/>
          <w:szCs w:val="20"/>
        </w:rPr>
        <w:t xml:space="preserve">Table </w:t>
      </w:r>
      <w:r w:rsidRPr="00223217">
        <w:rPr>
          <w:rFonts w:ascii="Times New Roman" w:hAnsi="Times New Roman" w:cs="Times New Roman"/>
          <w:i w:val="0"/>
          <w:iCs w:val="0"/>
          <w:color w:val="auto"/>
          <w:sz w:val="20"/>
          <w:szCs w:val="20"/>
        </w:rPr>
        <w:fldChar w:fldCharType="begin"/>
      </w:r>
      <w:r w:rsidRPr="00223217">
        <w:rPr>
          <w:rFonts w:ascii="Times New Roman" w:hAnsi="Times New Roman" w:cs="Times New Roman"/>
          <w:i w:val="0"/>
          <w:iCs w:val="0"/>
          <w:color w:val="auto"/>
          <w:sz w:val="20"/>
          <w:szCs w:val="20"/>
        </w:rPr>
        <w:instrText xml:space="preserve"> SEQ Table \* ARABIC </w:instrText>
      </w:r>
      <w:r w:rsidRPr="00223217">
        <w:rPr>
          <w:rFonts w:ascii="Times New Roman" w:hAnsi="Times New Roman" w:cs="Times New Roman"/>
          <w:i w:val="0"/>
          <w:iCs w:val="0"/>
          <w:color w:val="auto"/>
          <w:sz w:val="20"/>
          <w:szCs w:val="20"/>
        </w:rPr>
        <w:fldChar w:fldCharType="separate"/>
      </w:r>
      <w:r w:rsidRPr="00223217">
        <w:rPr>
          <w:rFonts w:ascii="Times New Roman" w:hAnsi="Times New Roman" w:cs="Times New Roman"/>
          <w:i w:val="0"/>
          <w:iCs w:val="0"/>
          <w:noProof/>
          <w:color w:val="auto"/>
          <w:sz w:val="20"/>
          <w:szCs w:val="20"/>
        </w:rPr>
        <w:t>2</w:t>
      </w:r>
      <w:r w:rsidRPr="00223217">
        <w:rPr>
          <w:rFonts w:ascii="Times New Roman" w:hAnsi="Times New Roman" w:cs="Times New Roman"/>
          <w:i w:val="0"/>
          <w:iCs w:val="0"/>
          <w:color w:val="auto"/>
          <w:sz w:val="20"/>
          <w:szCs w:val="20"/>
        </w:rPr>
        <w:fldChar w:fldCharType="end"/>
      </w:r>
      <w:r w:rsidR="00F3665B">
        <w:rPr>
          <w:rFonts w:ascii="Times New Roman" w:hAnsi="Times New Roman" w:cs="Times New Roman"/>
          <w:i w:val="0"/>
          <w:iCs w:val="0"/>
          <w:color w:val="auto"/>
          <w:sz w:val="20"/>
          <w:szCs w:val="20"/>
        </w:rPr>
        <w:t xml:space="preserve">. </w:t>
      </w:r>
      <w:r w:rsidRPr="00223217">
        <w:rPr>
          <w:rFonts w:ascii="Times New Roman" w:hAnsi="Times New Roman" w:cs="Times New Roman"/>
          <w:i w:val="0"/>
          <w:iCs w:val="0"/>
          <w:color w:val="auto"/>
          <w:sz w:val="20"/>
          <w:szCs w:val="20"/>
        </w:rPr>
        <w:t>Assessment of the performance outcomes with the previous research</w:t>
      </w:r>
    </w:p>
    <w:tbl>
      <w:tblPr>
        <w:tblW w:w="0" w:type="auto"/>
        <w:jc w:val="center"/>
        <w:tblLook w:val="04A0" w:firstRow="1" w:lastRow="0" w:firstColumn="1" w:lastColumn="0" w:noHBand="0" w:noVBand="1"/>
      </w:tblPr>
      <w:tblGrid>
        <w:gridCol w:w="1783"/>
        <w:gridCol w:w="1839"/>
        <w:gridCol w:w="1598"/>
        <w:gridCol w:w="1272"/>
      </w:tblGrid>
      <w:tr w:rsidR="00223217" w:rsidRPr="00223217" w14:paraId="16FC1F9A" w14:textId="77777777" w:rsidTr="00537626">
        <w:trPr>
          <w:trHeight w:val="395"/>
          <w:jc w:val="center"/>
        </w:trPr>
        <w:tc>
          <w:tcPr>
            <w:tcW w:w="0" w:type="auto"/>
            <w:tcBorders>
              <w:top w:val="single" w:sz="4" w:space="0" w:color="auto"/>
              <w:bottom w:val="single" w:sz="4" w:space="0" w:color="auto"/>
            </w:tcBorders>
            <w:shd w:val="clear" w:color="auto" w:fill="auto"/>
            <w:noWrap/>
            <w:vAlign w:val="center"/>
            <w:hideMark/>
          </w:tcPr>
          <w:p w14:paraId="17B2F98C" w14:textId="77777777" w:rsidR="00C62060" w:rsidRPr="00537626" w:rsidRDefault="00C62060" w:rsidP="00655015">
            <w:pPr>
              <w:jc w:val="center"/>
              <w:rPr>
                <w:rFonts w:ascii="Times New Roman" w:eastAsia="Times New Roman" w:hAnsi="Times New Roman"/>
                <w:b/>
                <w:bCs/>
                <w:szCs w:val="20"/>
              </w:rPr>
            </w:pPr>
            <w:r w:rsidRPr="00537626">
              <w:rPr>
                <w:rFonts w:ascii="Times New Roman" w:eastAsia="Times New Roman" w:hAnsi="Times New Roman"/>
                <w:b/>
                <w:bCs/>
                <w:szCs w:val="20"/>
              </w:rPr>
              <w:t>Research</w:t>
            </w:r>
          </w:p>
        </w:tc>
        <w:tc>
          <w:tcPr>
            <w:tcW w:w="0" w:type="auto"/>
            <w:tcBorders>
              <w:top w:val="single" w:sz="4" w:space="0" w:color="auto"/>
              <w:bottom w:val="single" w:sz="4" w:space="0" w:color="auto"/>
            </w:tcBorders>
            <w:vAlign w:val="center"/>
          </w:tcPr>
          <w:p w14:paraId="481C2489" w14:textId="58975738" w:rsidR="00C62060" w:rsidRPr="00537626" w:rsidRDefault="00C62060" w:rsidP="00655015">
            <w:pPr>
              <w:jc w:val="center"/>
              <w:rPr>
                <w:rFonts w:ascii="Times New Roman" w:eastAsia="Times New Roman" w:hAnsi="Times New Roman"/>
                <w:b/>
                <w:bCs/>
                <w:szCs w:val="20"/>
              </w:rPr>
            </w:pPr>
            <w:r w:rsidRPr="00537626">
              <w:rPr>
                <w:rFonts w:ascii="Times New Roman" w:eastAsia="Times New Roman" w:hAnsi="Times New Roman"/>
                <w:b/>
                <w:bCs/>
                <w:szCs w:val="20"/>
              </w:rPr>
              <w:t xml:space="preserve">Type </w:t>
            </w:r>
            <w:r w:rsidR="00537626" w:rsidRPr="00537626">
              <w:rPr>
                <w:rFonts w:ascii="Times New Roman" w:eastAsia="Times New Roman" w:hAnsi="Times New Roman"/>
                <w:b/>
                <w:bCs/>
                <w:szCs w:val="20"/>
              </w:rPr>
              <w:t>of Catalyst</w:t>
            </w:r>
          </w:p>
        </w:tc>
        <w:tc>
          <w:tcPr>
            <w:tcW w:w="0" w:type="auto"/>
            <w:tcBorders>
              <w:top w:val="single" w:sz="4" w:space="0" w:color="auto"/>
              <w:bottom w:val="single" w:sz="4" w:space="0" w:color="auto"/>
            </w:tcBorders>
            <w:shd w:val="clear" w:color="auto" w:fill="auto"/>
            <w:vAlign w:val="center"/>
            <w:hideMark/>
          </w:tcPr>
          <w:p w14:paraId="7AB269D7" w14:textId="77777777" w:rsidR="00C62060" w:rsidRPr="00537626" w:rsidRDefault="00C62060" w:rsidP="00655015">
            <w:pPr>
              <w:jc w:val="center"/>
              <w:rPr>
                <w:rFonts w:ascii="Times New Roman" w:eastAsia="Times New Roman" w:hAnsi="Times New Roman"/>
                <w:b/>
                <w:bCs/>
                <w:szCs w:val="20"/>
              </w:rPr>
            </w:pPr>
            <w:r w:rsidRPr="00537626">
              <w:rPr>
                <w:rFonts w:ascii="Times New Roman" w:eastAsia="Times New Roman" w:hAnsi="Times New Roman"/>
                <w:b/>
                <w:bCs/>
                <w:szCs w:val="20"/>
              </w:rPr>
              <w:t>ECSA (m</w:t>
            </w:r>
            <w:r w:rsidRPr="00537626">
              <w:rPr>
                <w:rFonts w:ascii="Times New Roman" w:eastAsia="Times New Roman" w:hAnsi="Times New Roman"/>
                <w:b/>
                <w:bCs/>
                <w:szCs w:val="20"/>
                <w:vertAlign w:val="superscript"/>
              </w:rPr>
              <w:t>2</w:t>
            </w:r>
            <w:r w:rsidRPr="00537626">
              <w:rPr>
                <w:rFonts w:ascii="Times New Roman" w:eastAsia="Times New Roman" w:hAnsi="Times New Roman"/>
                <w:b/>
                <w:bCs/>
                <w:szCs w:val="20"/>
              </w:rPr>
              <w:t>/</w:t>
            </w:r>
            <w:proofErr w:type="spellStart"/>
            <w:r w:rsidRPr="00537626">
              <w:rPr>
                <w:rFonts w:ascii="Times New Roman" w:eastAsia="Times New Roman" w:hAnsi="Times New Roman"/>
                <w:b/>
                <w:bCs/>
                <w:szCs w:val="20"/>
              </w:rPr>
              <w:t>g</w:t>
            </w:r>
            <w:r w:rsidRPr="00537626">
              <w:rPr>
                <w:rFonts w:ascii="Times New Roman" w:eastAsia="Times New Roman" w:hAnsi="Times New Roman"/>
                <w:b/>
                <w:bCs/>
                <w:szCs w:val="20"/>
                <w:vertAlign w:val="subscript"/>
              </w:rPr>
              <w:t>PtRu</w:t>
            </w:r>
            <w:proofErr w:type="spellEnd"/>
            <w:r w:rsidRPr="00537626">
              <w:rPr>
                <w:rFonts w:ascii="Times New Roman" w:eastAsia="Times New Roman" w:hAnsi="Times New Roman"/>
                <w:b/>
                <w:bCs/>
                <w:szCs w:val="20"/>
              </w:rPr>
              <w:t>)</w:t>
            </w:r>
          </w:p>
        </w:tc>
        <w:tc>
          <w:tcPr>
            <w:tcW w:w="0" w:type="auto"/>
            <w:tcBorders>
              <w:top w:val="single" w:sz="4" w:space="0" w:color="auto"/>
              <w:bottom w:val="single" w:sz="4" w:space="0" w:color="auto"/>
            </w:tcBorders>
            <w:shd w:val="clear" w:color="auto" w:fill="auto"/>
            <w:vAlign w:val="center"/>
            <w:hideMark/>
          </w:tcPr>
          <w:p w14:paraId="299367A6" w14:textId="40F9ED90" w:rsidR="00C62060" w:rsidRPr="00537626" w:rsidRDefault="00C62060" w:rsidP="00655015">
            <w:pPr>
              <w:jc w:val="center"/>
              <w:rPr>
                <w:rFonts w:ascii="Times New Roman" w:eastAsia="Times New Roman" w:hAnsi="Times New Roman"/>
                <w:b/>
                <w:bCs/>
                <w:szCs w:val="20"/>
              </w:rPr>
            </w:pPr>
            <w:r w:rsidRPr="00537626">
              <w:rPr>
                <w:rFonts w:ascii="Times New Roman" w:eastAsia="Times New Roman" w:hAnsi="Times New Roman"/>
                <w:b/>
                <w:bCs/>
                <w:szCs w:val="20"/>
              </w:rPr>
              <w:t xml:space="preserve">Mass </w:t>
            </w:r>
            <w:proofErr w:type="spellStart"/>
            <w:r w:rsidRPr="00537626">
              <w:rPr>
                <w:rFonts w:ascii="Times New Roman" w:eastAsia="Times New Roman" w:hAnsi="Times New Roman"/>
                <w:b/>
                <w:bCs/>
                <w:szCs w:val="20"/>
              </w:rPr>
              <w:t>ativity</w:t>
            </w:r>
            <w:proofErr w:type="spellEnd"/>
            <w:r w:rsidRPr="00537626">
              <w:rPr>
                <w:rFonts w:ascii="Times New Roman" w:eastAsia="Times New Roman" w:hAnsi="Times New Roman"/>
                <w:b/>
                <w:bCs/>
                <w:szCs w:val="20"/>
              </w:rPr>
              <w:t xml:space="preserve"> </w:t>
            </w:r>
            <w:r w:rsidRPr="00537626">
              <w:rPr>
                <w:rFonts w:ascii="Times New Roman" w:eastAsia="Times New Roman" w:hAnsi="Times New Roman"/>
                <w:b/>
                <w:bCs/>
                <w:szCs w:val="20"/>
              </w:rPr>
              <w:br/>
              <w:t>(mA/</w:t>
            </w:r>
            <w:proofErr w:type="spellStart"/>
            <w:r w:rsidRPr="00537626">
              <w:rPr>
                <w:rFonts w:ascii="Times New Roman" w:eastAsia="Times New Roman" w:hAnsi="Times New Roman"/>
                <w:b/>
                <w:bCs/>
                <w:szCs w:val="20"/>
              </w:rPr>
              <w:t>mg</w:t>
            </w:r>
            <w:r w:rsidRPr="00537626">
              <w:rPr>
                <w:rFonts w:ascii="Times New Roman" w:eastAsia="Times New Roman" w:hAnsi="Times New Roman"/>
                <w:b/>
                <w:bCs/>
                <w:szCs w:val="20"/>
                <w:vertAlign w:val="subscript"/>
              </w:rPr>
              <w:t>PtRu</w:t>
            </w:r>
            <w:proofErr w:type="spellEnd"/>
            <w:r w:rsidRPr="00537626">
              <w:rPr>
                <w:rFonts w:ascii="Times New Roman" w:eastAsia="Times New Roman" w:hAnsi="Times New Roman"/>
                <w:b/>
                <w:bCs/>
                <w:szCs w:val="20"/>
              </w:rPr>
              <w:t>)</w:t>
            </w:r>
          </w:p>
        </w:tc>
      </w:tr>
      <w:tr w:rsidR="00223217" w:rsidRPr="00223217" w14:paraId="06A82D30" w14:textId="77777777" w:rsidTr="00537626">
        <w:trPr>
          <w:trHeight w:val="288"/>
          <w:jc w:val="center"/>
        </w:trPr>
        <w:tc>
          <w:tcPr>
            <w:tcW w:w="0" w:type="auto"/>
            <w:tcBorders>
              <w:top w:val="single" w:sz="4" w:space="0" w:color="auto"/>
              <w:left w:val="nil"/>
              <w:bottom w:val="nil"/>
              <w:right w:val="nil"/>
            </w:tcBorders>
            <w:shd w:val="clear" w:color="auto" w:fill="auto"/>
            <w:noWrap/>
            <w:vAlign w:val="center"/>
            <w:hideMark/>
          </w:tcPr>
          <w:p w14:paraId="615517AF" w14:textId="77777777" w:rsidR="00C62060" w:rsidRPr="00223217" w:rsidRDefault="00C62060" w:rsidP="00655015">
            <w:pPr>
              <w:rPr>
                <w:rFonts w:ascii="Times New Roman" w:eastAsia="Times New Roman" w:hAnsi="Times New Roman" w:cs="Times New Roman"/>
                <w:szCs w:val="20"/>
              </w:rPr>
            </w:pPr>
            <w:r w:rsidRPr="00223217">
              <w:rPr>
                <w:rFonts w:ascii="Times New Roman" w:eastAsia="Times New Roman" w:hAnsi="Times New Roman" w:cs="Times New Roman"/>
                <w:szCs w:val="20"/>
              </w:rPr>
              <w:t>This study</w:t>
            </w:r>
          </w:p>
        </w:tc>
        <w:tc>
          <w:tcPr>
            <w:tcW w:w="0" w:type="auto"/>
            <w:tcBorders>
              <w:top w:val="single" w:sz="4" w:space="0" w:color="auto"/>
              <w:left w:val="nil"/>
              <w:bottom w:val="nil"/>
              <w:right w:val="nil"/>
            </w:tcBorders>
            <w:vAlign w:val="center"/>
          </w:tcPr>
          <w:p w14:paraId="187A6C05" w14:textId="77777777" w:rsidR="00C62060" w:rsidRPr="00223217" w:rsidRDefault="00C62060" w:rsidP="00655015">
            <w:pPr>
              <w:jc w:val="right"/>
              <w:rPr>
                <w:rFonts w:ascii="Times New Roman" w:eastAsia="Times New Roman" w:hAnsi="Times New Roman" w:cs="Times New Roman"/>
                <w:szCs w:val="20"/>
              </w:rPr>
            </w:pPr>
            <w:proofErr w:type="spellStart"/>
            <w:r w:rsidRPr="00223217">
              <w:rPr>
                <w:rFonts w:ascii="Times New Roman" w:eastAsia="Times New Roman" w:hAnsi="Times New Roman" w:cs="Times New Roman"/>
                <w:szCs w:val="20"/>
              </w:rPr>
              <w:t>PtRu</w:t>
            </w:r>
            <w:proofErr w:type="spellEnd"/>
            <w:r w:rsidRPr="00223217">
              <w:rPr>
                <w:rFonts w:ascii="Times New Roman" w:eastAsia="Times New Roman" w:hAnsi="Times New Roman" w:cs="Times New Roman"/>
                <w:szCs w:val="20"/>
              </w:rPr>
              <w:t>/</w:t>
            </w:r>
            <w:r w:rsidRPr="00223217">
              <w:rPr>
                <w:rFonts w:ascii="Times New Roman" w:hAnsi="Times New Roman" w:cs="Times New Roman"/>
                <w:szCs w:val="20"/>
              </w:rPr>
              <w:t>TiO</w:t>
            </w:r>
            <w:r w:rsidRPr="00223217">
              <w:rPr>
                <w:rFonts w:ascii="Times New Roman" w:hAnsi="Times New Roman" w:cs="Times New Roman"/>
                <w:szCs w:val="20"/>
                <w:vertAlign w:val="subscript"/>
              </w:rPr>
              <w:t>2</w:t>
            </w:r>
            <w:r w:rsidRPr="00223217">
              <w:rPr>
                <w:rFonts w:ascii="Times New Roman" w:hAnsi="Times New Roman" w:cs="Times New Roman"/>
                <w:szCs w:val="20"/>
              </w:rPr>
              <w:t>-GA</w:t>
            </w:r>
          </w:p>
        </w:tc>
        <w:tc>
          <w:tcPr>
            <w:tcW w:w="0" w:type="auto"/>
            <w:tcBorders>
              <w:top w:val="single" w:sz="4" w:space="0" w:color="auto"/>
              <w:left w:val="nil"/>
              <w:bottom w:val="nil"/>
              <w:right w:val="nil"/>
            </w:tcBorders>
            <w:shd w:val="clear" w:color="auto" w:fill="auto"/>
            <w:noWrap/>
            <w:vAlign w:val="center"/>
            <w:hideMark/>
          </w:tcPr>
          <w:p w14:paraId="2B8EAE52"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imes New Roman" w:hAnsi="Times New Roman" w:cs="Times New Roman"/>
                <w:szCs w:val="20"/>
              </w:rPr>
              <w:t>68.44</w:t>
            </w:r>
          </w:p>
        </w:tc>
        <w:tc>
          <w:tcPr>
            <w:tcW w:w="0" w:type="auto"/>
            <w:tcBorders>
              <w:top w:val="single" w:sz="4" w:space="0" w:color="auto"/>
              <w:left w:val="nil"/>
              <w:bottom w:val="nil"/>
              <w:right w:val="nil"/>
            </w:tcBorders>
            <w:shd w:val="clear" w:color="auto" w:fill="auto"/>
            <w:noWrap/>
            <w:vAlign w:val="center"/>
            <w:hideMark/>
          </w:tcPr>
          <w:p w14:paraId="1BC2439A"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imes New Roman" w:hAnsi="Times New Roman" w:cs="Times New Roman"/>
                <w:szCs w:val="20"/>
              </w:rPr>
              <w:t>957.15</w:t>
            </w:r>
          </w:p>
        </w:tc>
      </w:tr>
      <w:tr w:rsidR="00223217" w:rsidRPr="00223217" w14:paraId="29FDBF7E" w14:textId="77777777" w:rsidTr="00537626">
        <w:trPr>
          <w:trHeight w:val="252"/>
          <w:jc w:val="center"/>
        </w:trPr>
        <w:tc>
          <w:tcPr>
            <w:tcW w:w="0" w:type="auto"/>
            <w:tcBorders>
              <w:top w:val="nil"/>
              <w:left w:val="nil"/>
              <w:bottom w:val="nil"/>
              <w:right w:val="nil"/>
            </w:tcBorders>
            <w:shd w:val="clear" w:color="auto" w:fill="auto"/>
            <w:noWrap/>
            <w:vAlign w:val="center"/>
            <w:hideMark/>
          </w:tcPr>
          <w:p w14:paraId="7CDA2D6D" w14:textId="77777777" w:rsidR="00C62060" w:rsidRPr="00223217" w:rsidRDefault="00C62060" w:rsidP="00655015">
            <w:pPr>
              <w:rPr>
                <w:rFonts w:ascii="Times New Roman" w:eastAsia="Times New Roman" w:hAnsi="Times New Roman" w:cs="Times New Roman"/>
                <w:szCs w:val="20"/>
              </w:rPr>
            </w:pPr>
            <w:r w:rsidRPr="00223217">
              <w:rPr>
                <w:rFonts w:ascii="Times New Roman" w:eastAsia="Times New Roman" w:hAnsi="Times New Roman" w:cs="Times New Roman"/>
                <w:szCs w:val="20"/>
              </w:rPr>
              <w:t>This study</w:t>
            </w:r>
          </w:p>
        </w:tc>
        <w:tc>
          <w:tcPr>
            <w:tcW w:w="0" w:type="auto"/>
            <w:tcBorders>
              <w:top w:val="nil"/>
              <w:left w:val="nil"/>
              <w:bottom w:val="nil"/>
              <w:right w:val="nil"/>
            </w:tcBorders>
            <w:vAlign w:val="center"/>
          </w:tcPr>
          <w:p w14:paraId="590DA821" w14:textId="77777777" w:rsidR="00C62060" w:rsidRPr="00223217" w:rsidRDefault="00C62060" w:rsidP="00655015">
            <w:pPr>
              <w:jc w:val="right"/>
              <w:rPr>
                <w:rFonts w:ascii="Times New Roman" w:eastAsia="Times New Roman" w:hAnsi="Times New Roman" w:cs="Times New Roman"/>
                <w:szCs w:val="20"/>
              </w:rPr>
            </w:pPr>
            <w:proofErr w:type="spellStart"/>
            <w:r w:rsidRPr="00223217">
              <w:rPr>
                <w:rFonts w:ascii="Times New Roman" w:eastAsia="Times New Roman" w:hAnsi="Times New Roman" w:cs="Times New Roman"/>
                <w:szCs w:val="20"/>
              </w:rPr>
              <w:t>PtRu</w:t>
            </w:r>
            <w:proofErr w:type="spellEnd"/>
            <w:r w:rsidRPr="00223217">
              <w:rPr>
                <w:rFonts w:ascii="Times New Roman" w:eastAsia="Times New Roman" w:hAnsi="Times New Roman" w:cs="Times New Roman"/>
                <w:szCs w:val="20"/>
              </w:rPr>
              <w:t>/C</w:t>
            </w:r>
          </w:p>
        </w:tc>
        <w:tc>
          <w:tcPr>
            <w:tcW w:w="0" w:type="auto"/>
            <w:tcBorders>
              <w:top w:val="nil"/>
              <w:left w:val="nil"/>
              <w:bottom w:val="nil"/>
              <w:right w:val="nil"/>
            </w:tcBorders>
            <w:shd w:val="clear" w:color="auto" w:fill="auto"/>
            <w:noWrap/>
            <w:vAlign w:val="center"/>
            <w:hideMark/>
          </w:tcPr>
          <w:p w14:paraId="7BF7EBCD"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imes New Roman" w:hAnsi="Times New Roman" w:cs="Times New Roman"/>
                <w:szCs w:val="20"/>
              </w:rPr>
              <w:t>20.44</w:t>
            </w:r>
          </w:p>
        </w:tc>
        <w:tc>
          <w:tcPr>
            <w:tcW w:w="0" w:type="auto"/>
            <w:tcBorders>
              <w:top w:val="nil"/>
              <w:left w:val="nil"/>
              <w:bottom w:val="nil"/>
              <w:right w:val="nil"/>
            </w:tcBorders>
            <w:shd w:val="clear" w:color="auto" w:fill="auto"/>
            <w:noWrap/>
            <w:vAlign w:val="center"/>
            <w:hideMark/>
          </w:tcPr>
          <w:p w14:paraId="711E144D"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imes New Roman" w:hAnsi="Times New Roman" w:cs="Times New Roman"/>
                <w:szCs w:val="20"/>
              </w:rPr>
              <w:t>79.11</w:t>
            </w:r>
          </w:p>
        </w:tc>
      </w:tr>
      <w:tr w:rsidR="00223217" w:rsidRPr="00223217" w14:paraId="48AB5E3E" w14:textId="77777777" w:rsidTr="00537626">
        <w:trPr>
          <w:trHeight w:val="252"/>
          <w:jc w:val="center"/>
        </w:trPr>
        <w:tc>
          <w:tcPr>
            <w:tcW w:w="0" w:type="auto"/>
            <w:tcBorders>
              <w:top w:val="nil"/>
              <w:left w:val="nil"/>
              <w:bottom w:val="nil"/>
              <w:right w:val="nil"/>
            </w:tcBorders>
            <w:shd w:val="clear" w:color="auto" w:fill="auto"/>
            <w:noWrap/>
            <w:vAlign w:val="center"/>
          </w:tcPr>
          <w:p w14:paraId="06A7FF72" w14:textId="14BDA6D9" w:rsidR="00C62060" w:rsidRPr="00223217" w:rsidRDefault="00C62060" w:rsidP="00655015">
            <w:pPr>
              <w:rPr>
                <w:rFonts w:ascii="Times New Roman" w:eastAsia="Times New Roman" w:hAnsi="Times New Roman" w:cs="Times New Roman"/>
                <w:szCs w:val="20"/>
              </w:rPr>
            </w:pPr>
            <w:r w:rsidRPr="00223217">
              <w:rPr>
                <w:rFonts w:ascii="Times New Roman" w:eastAsia="Times New Roman" w:hAnsi="Times New Roman" w:cs="Times New Roman"/>
                <w:szCs w:val="20"/>
              </w:rPr>
              <w:t xml:space="preserve">Abdullah et al. </w:t>
            </w:r>
            <w:r w:rsidRPr="00223217">
              <w:rPr>
                <w:rFonts w:ascii="Times New Roman" w:eastAsia="Times New Roman" w:hAnsi="Times New Roman" w:cs="Times New Roman"/>
                <w:szCs w:val="20"/>
              </w:rPr>
              <w:fldChar w:fldCharType="begin" w:fldLock="1"/>
            </w:r>
            <w:r w:rsidRPr="00223217">
              <w:rPr>
                <w:rFonts w:ascii="Times New Roman" w:eastAsia="Times New Roman" w:hAnsi="Times New Roman" w:cs="Times New Roman"/>
                <w:szCs w:val="20"/>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223217">
              <w:rPr>
                <w:rFonts w:ascii="Times New Roman" w:eastAsia="Times New Roman" w:hAnsi="Times New Roman" w:cs="Times New Roman"/>
                <w:szCs w:val="20"/>
              </w:rPr>
              <w:fldChar w:fldCharType="separate"/>
            </w:r>
            <w:r w:rsidRPr="00223217">
              <w:rPr>
                <w:rFonts w:ascii="Times New Roman" w:eastAsia="Times New Roman" w:hAnsi="Times New Roman" w:cs="Times New Roman"/>
                <w:noProof/>
                <w:szCs w:val="20"/>
              </w:rPr>
              <w:t>[16]</w:t>
            </w:r>
            <w:r w:rsidRPr="00223217">
              <w:rPr>
                <w:rFonts w:ascii="Times New Roman" w:eastAsia="Times New Roman" w:hAnsi="Times New Roman" w:cs="Times New Roman"/>
                <w:szCs w:val="20"/>
              </w:rPr>
              <w:fldChar w:fldCharType="end"/>
            </w:r>
          </w:p>
        </w:tc>
        <w:tc>
          <w:tcPr>
            <w:tcW w:w="0" w:type="auto"/>
            <w:tcBorders>
              <w:top w:val="nil"/>
              <w:left w:val="nil"/>
              <w:bottom w:val="nil"/>
              <w:right w:val="nil"/>
            </w:tcBorders>
            <w:vAlign w:val="center"/>
          </w:tcPr>
          <w:p w14:paraId="75FF7481" w14:textId="77777777" w:rsidR="00C62060" w:rsidRPr="00223217" w:rsidRDefault="00C62060" w:rsidP="00655015">
            <w:pPr>
              <w:jc w:val="right"/>
              <w:rPr>
                <w:rFonts w:ascii="Times New Roman" w:eastAsia="Times New Roman" w:hAnsi="Times New Roman" w:cs="Times New Roman"/>
                <w:szCs w:val="20"/>
              </w:rPr>
            </w:pPr>
            <w:proofErr w:type="spellStart"/>
            <w:r w:rsidRPr="00223217">
              <w:rPr>
                <w:rFonts w:ascii="Times New Roman" w:eastAsia="Times New Roman" w:hAnsi="Times New Roman" w:cs="Times New Roman"/>
                <w:szCs w:val="20"/>
              </w:rPr>
              <w:t>PtRu</w:t>
            </w:r>
            <w:proofErr w:type="spellEnd"/>
            <w:r w:rsidRPr="00223217">
              <w:rPr>
                <w:rFonts w:ascii="Times New Roman" w:eastAsia="Times New Roman" w:hAnsi="Times New Roman" w:cs="Times New Roman"/>
                <w:szCs w:val="20"/>
              </w:rPr>
              <w:t>/TiO</w:t>
            </w:r>
            <w:r w:rsidRPr="00223217">
              <w:rPr>
                <w:rFonts w:ascii="Times New Roman" w:eastAsia="Times New Roman" w:hAnsi="Times New Roman" w:cs="Times New Roman"/>
                <w:szCs w:val="20"/>
                <w:vertAlign w:val="subscript"/>
              </w:rPr>
              <w:t>2</w:t>
            </w:r>
            <w:r w:rsidRPr="00223217">
              <w:rPr>
                <w:rFonts w:ascii="Times New Roman" w:eastAsia="Times New Roman" w:hAnsi="Times New Roman" w:cs="Times New Roman"/>
                <w:szCs w:val="20"/>
              </w:rPr>
              <w:t>-CNF</w:t>
            </w:r>
          </w:p>
        </w:tc>
        <w:tc>
          <w:tcPr>
            <w:tcW w:w="0" w:type="auto"/>
            <w:tcBorders>
              <w:top w:val="nil"/>
              <w:left w:val="nil"/>
              <w:bottom w:val="nil"/>
              <w:right w:val="nil"/>
            </w:tcBorders>
            <w:shd w:val="clear" w:color="auto" w:fill="auto"/>
            <w:noWrap/>
            <w:vAlign w:val="center"/>
          </w:tcPr>
          <w:p w14:paraId="64256CA0"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imes New Roman" w:hAnsi="Times New Roman" w:cs="Times New Roman"/>
                <w:szCs w:val="20"/>
              </w:rPr>
              <w:t>10.4</w:t>
            </w:r>
          </w:p>
        </w:tc>
        <w:tc>
          <w:tcPr>
            <w:tcW w:w="0" w:type="auto"/>
            <w:tcBorders>
              <w:top w:val="nil"/>
              <w:left w:val="nil"/>
              <w:bottom w:val="nil"/>
              <w:right w:val="nil"/>
            </w:tcBorders>
            <w:shd w:val="clear" w:color="auto" w:fill="auto"/>
            <w:noWrap/>
            <w:vAlign w:val="center"/>
          </w:tcPr>
          <w:p w14:paraId="0AC52865"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imes New Roman" w:hAnsi="Times New Roman" w:cs="Times New Roman"/>
                <w:szCs w:val="20"/>
              </w:rPr>
              <w:t>345.64</w:t>
            </w:r>
          </w:p>
        </w:tc>
      </w:tr>
      <w:tr w:rsidR="00223217" w:rsidRPr="00223217" w14:paraId="0E59AD60" w14:textId="77777777" w:rsidTr="00537626">
        <w:trPr>
          <w:trHeight w:val="252"/>
          <w:jc w:val="center"/>
        </w:trPr>
        <w:tc>
          <w:tcPr>
            <w:tcW w:w="0" w:type="auto"/>
            <w:tcBorders>
              <w:top w:val="nil"/>
              <w:left w:val="nil"/>
              <w:bottom w:val="nil"/>
              <w:right w:val="nil"/>
            </w:tcBorders>
            <w:shd w:val="clear" w:color="auto" w:fill="auto"/>
            <w:noWrap/>
            <w:vAlign w:val="center"/>
          </w:tcPr>
          <w:p w14:paraId="714B4929" w14:textId="50A732CF" w:rsidR="00C62060" w:rsidRPr="00223217" w:rsidRDefault="00C62060" w:rsidP="00655015">
            <w:pPr>
              <w:rPr>
                <w:rFonts w:ascii="Times New Roman" w:eastAsia="Times New Roman" w:hAnsi="Times New Roman" w:cs="Times New Roman"/>
                <w:szCs w:val="20"/>
              </w:rPr>
            </w:pPr>
            <w:proofErr w:type="spellStart"/>
            <w:r w:rsidRPr="00223217">
              <w:rPr>
                <w:rFonts w:ascii="Times New Roman" w:eastAsia="Times New Roman" w:hAnsi="Times New Roman" w:cs="Times New Roman"/>
                <w:szCs w:val="20"/>
              </w:rPr>
              <w:t>Basri</w:t>
            </w:r>
            <w:proofErr w:type="spellEnd"/>
            <w:r w:rsidRPr="00223217">
              <w:rPr>
                <w:rFonts w:ascii="Times New Roman" w:eastAsia="Times New Roman" w:hAnsi="Times New Roman" w:cs="Times New Roman"/>
                <w:szCs w:val="20"/>
              </w:rPr>
              <w:t xml:space="preserve"> et al. </w:t>
            </w:r>
            <w:r w:rsidRPr="00223217">
              <w:rPr>
                <w:rFonts w:ascii="Times New Roman" w:eastAsia="Times New Roman" w:hAnsi="Times New Roman" w:cs="Times New Roman"/>
                <w:szCs w:val="20"/>
              </w:rPr>
              <w:fldChar w:fldCharType="begin" w:fldLock="1"/>
            </w:r>
            <w:r w:rsidRPr="00223217">
              <w:rPr>
                <w:rFonts w:ascii="Times New Roman" w:eastAsia="Times New Roman" w:hAnsi="Times New Roman" w:cs="Times New Roman"/>
                <w:szCs w:val="20"/>
              </w:rPr>
              <w:instrText>ADDIN CSL_CITATION {"citationItems":[{"id":"ITEM-1","itemData":{"DOI":"10.1155/2014/547604","ISSN":"1537-744X","PMID":"24883406","abstract":"PtRu catalyst is a promising anodic catalyst for direct methanol fuel cells (DMFCs) but the slow reaction kinetics reduce the performance of DMFCs. Therefore, this study attempts to improve the performance of PtRu catalysts by adding nickel (Ni) and iron (Fe). Multiwalled carbon nanotubes (MWCNTs) are used to increase the active area of the catalyst and to improve the catalyst performance. Electrochemical analysis techniques, such as energy dispersive X-ray spectrometry (EDX), X-ray diffraction (XRD), field emission scanning electron microscopy (FESEM), and X-ray photoelectron spectroscopy (XPS), are used to characterize the kinetic parameters of the hybrid catalyst. Cyclic voltammetry (CV) is used to investigate the effects of adding Fe and Ni to the catalyst on the reaction kinetics. Additionally, chronoamperometry (CA) tests were conducted to study the long-term performance of the catalyst for catalyzing the methanol oxidation reaction (MOR). The binding energies of the reactants and products are compared to determine the kinetics and potential surface energy for methanol oxidation. The FESEM analysis results indicate that well-dispersed nanoscale (2-5 nm) PtRu particles are formed on the MWCNTs. Finally, PtRuFeNi/MWCNT improves the reaction kinetics of anode catalysts for DMFCs and obtains a mass current of 31 A g(-1) catalyst.","author":[{"dropping-particle":"","family":"Basri","given":"S.","non-dropping-particle":"","parse-names":false,"suffix":""},{"dropping-particle":"","family":"Kamarudin","given":"S. K.","non-dropping-particle":"","parse-names":false,"suffix":""},{"dropping-particle":"","family":"Daud","given":"W. R.W. W","non-dropping-particle":"","parse-names":false,"suffix":""},{"dropping-particle":"","family":"Yaakob","given":"Z.","non-dropping-particle":"","parse-names":false,"suffix":""},{"dropping-particle":"","family":"Kadhum","given":"A. A.H. H","non-dropping-particle":"","parse-names":false,"suffix":""}],"container-title":"TheScientificWorldJournal","id":"ITEM-1","issue":"547604","issued":{"date-parts":[["2014","4","27"]]},"page":"547604","publisher":"Hindawi","title":"Novel anode catalyst for direct methanol fuel cells.","type":"article-journal","volume":"2014"},"uris":["http://www.mendeley.com/documents/?uuid=0bf94f53-5e99-4bc8-b7be-f1a27eaca733"]}],"mendeley":{"formattedCitation":"[29]","plainTextFormattedCitation":"[29]","previouslyFormattedCitation":"[29]"},"properties":{"noteIndex":0},"schema":"https://github.com/citation-style-language/schema/raw/master/csl-citation.json"}</w:instrText>
            </w:r>
            <w:r w:rsidRPr="00223217">
              <w:rPr>
                <w:rFonts w:ascii="Times New Roman" w:eastAsia="Times New Roman" w:hAnsi="Times New Roman" w:cs="Times New Roman"/>
                <w:szCs w:val="20"/>
              </w:rPr>
              <w:fldChar w:fldCharType="separate"/>
            </w:r>
            <w:r w:rsidRPr="00223217">
              <w:rPr>
                <w:rFonts w:ascii="Times New Roman" w:eastAsia="Times New Roman" w:hAnsi="Times New Roman" w:cs="Times New Roman"/>
                <w:noProof/>
                <w:szCs w:val="20"/>
              </w:rPr>
              <w:t>[29]</w:t>
            </w:r>
            <w:r w:rsidRPr="00223217">
              <w:rPr>
                <w:rFonts w:ascii="Times New Roman" w:eastAsia="Times New Roman" w:hAnsi="Times New Roman" w:cs="Times New Roman"/>
                <w:szCs w:val="20"/>
              </w:rPr>
              <w:fldChar w:fldCharType="end"/>
            </w:r>
          </w:p>
        </w:tc>
        <w:tc>
          <w:tcPr>
            <w:tcW w:w="0" w:type="auto"/>
            <w:tcBorders>
              <w:top w:val="nil"/>
              <w:left w:val="nil"/>
              <w:bottom w:val="nil"/>
              <w:right w:val="nil"/>
            </w:tcBorders>
            <w:vAlign w:val="center"/>
          </w:tcPr>
          <w:p w14:paraId="7042A586" w14:textId="77777777" w:rsidR="00C62060" w:rsidRPr="00223217" w:rsidRDefault="00C62060" w:rsidP="00655015">
            <w:pPr>
              <w:jc w:val="right"/>
              <w:rPr>
                <w:rFonts w:ascii="Times New Roman" w:eastAsia="Times New Roman" w:hAnsi="Times New Roman" w:cs="Times New Roman"/>
                <w:szCs w:val="20"/>
              </w:rPr>
            </w:pPr>
            <w:proofErr w:type="spellStart"/>
            <w:r w:rsidRPr="00223217">
              <w:rPr>
                <w:rFonts w:ascii="Times New Roman" w:eastAsia="Times New Roman" w:hAnsi="Times New Roman" w:cs="Times New Roman"/>
                <w:szCs w:val="20"/>
              </w:rPr>
              <w:t>PtRuNiFe</w:t>
            </w:r>
            <w:proofErr w:type="spellEnd"/>
            <w:r w:rsidRPr="00223217">
              <w:rPr>
                <w:rFonts w:ascii="Times New Roman" w:eastAsia="Times New Roman" w:hAnsi="Times New Roman" w:cs="Times New Roman"/>
                <w:szCs w:val="20"/>
              </w:rPr>
              <w:t>/MWCNT</w:t>
            </w:r>
          </w:p>
        </w:tc>
        <w:tc>
          <w:tcPr>
            <w:tcW w:w="0" w:type="auto"/>
            <w:tcBorders>
              <w:top w:val="nil"/>
              <w:left w:val="nil"/>
              <w:bottom w:val="nil"/>
              <w:right w:val="nil"/>
            </w:tcBorders>
            <w:shd w:val="clear" w:color="auto" w:fill="auto"/>
            <w:noWrap/>
            <w:vAlign w:val="center"/>
          </w:tcPr>
          <w:p w14:paraId="47D4FACB"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imes New Roman" w:hAnsi="Times New Roman" w:cs="Times New Roman"/>
                <w:szCs w:val="20"/>
              </w:rPr>
              <w:t>-</w:t>
            </w:r>
          </w:p>
        </w:tc>
        <w:tc>
          <w:tcPr>
            <w:tcW w:w="0" w:type="auto"/>
            <w:tcBorders>
              <w:top w:val="nil"/>
              <w:left w:val="nil"/>
              <w:bottom w:val="nil"/>
              <w:right w:val="nil"/>
            </w:tcBorders>
            <w:shd w:val="clear" w:color="auto" w:fill="auto"/>
            <w:noWrap/>
            <w:vAlign w:val="center"/>
          </w:tcPr>
          <w:p w14:paraId="50A613FD"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imes New Roman" w:hAnsi="Times New Roman" w:cs="Times New Roman"/>
                <w:szCs w:val="20"/>
              </w:rPr>
              <w:t>151.47</w:t>
            </w:r>
          </w:p>
        </w:tc>
      </w:tr>
      <w:tr w:rsidR="00537626" w:rsidRPr="00223217" w14:paraId="343F2E7B" w14:textId="77777777" w:rsidTr="00537626">
        <w:trPr>
          <w:trHeight w:val="252"/>
          <w:jc w:val="center"/>
        </w:trPr>
        <w:tc>
          <w:tcPr>
            <w:tcW w:w="0" w:type="auto"/>
            <w:tcBorders>
              <w:top w:val="nil"/>
              <w:left w:val="nil"/>
              <w:bottom w:val="single" w:sz="8" w:space="0" w:color="auto"/>
              <w:right w:val="nil"/>
            </w:tcBorders>
            <w:shd w:val="clear" w:color="auto" w:fill="auto"/>
            <w:noWrap/>
            <w:vAlign w:val="center"/>
          </w:tcPr>
          <w:p w14:paraId="215CF4E6" w14:textId="0EF544BD" w:rsidR="00C62060" w:rsidRPr="00223217" w:rsidRDefault="00C62060" w:rsidP="00655015">
            <w:pPr>
              <w:rPr>
                <w:rFonts w:ascii="Times New Roman" w:eastAsia="Times New Roman" w:hAnsi="Times New Roman" w:cs="Times New Roman"/>
                <w:szCs w:val="20"/>
              </w:rPr>
            </w:pPr>
            <w:r w:rsidRPr="00223217">
              <w:rPr>
                <w:rFonts w:ascii="Times New Roman" w:eastAsia="Times New Roman" w:hAnsi="Times New Roman" w:cs="Times New Roman"/>
                <w:szCs w:val="20"/>
              </w:rPr>
              <w:t xml:space="preserve">Ramli et al. </w:t>
            </w:r>
            <w:r w:rsidRPr="00223217">
              <w:rPr>
                <w:rFonts w:ascii="Times New Roman" w:eastAsia="Times New Roman" w:hAnsi="Times New Roman" w:cs="Times New Roman"/>
                <w:szCs w:val="20"/>
              </w:rPr>
              <w:fldChar w:fldCharType="begin" w:fldLock="1"/>
            </w:r>
            <w:r w:rsidRPr="00223217">
              <w:rPr>
                <w:rFonts w:ascii="Times New Roman" w:eastAsia="Times New Roman" w:hAnsi="Times New Roman" w:cs="Times New Roman"/>
                <w:szCs w:val="20"/>
              </w:rPr>
              <w:instrText>ADDIN CSL_CITATION {"citationItems":[{"id":"ITEM-1","itemData":{"DOI":"10.1002/ER.5621","ISSN":"1099114X","abstract":"In this study, we introduce the potential for a new catalyst support, namely, carbon nanocages (CNCs) for anodic direct methanol fuel cell (DMFC). The synthesis, characterization and catalytic activities of four electrocatalysts, PtRu/CNC, PtNi/CNC, PtFe/CNC and PtCo/CNC, have been investigated. These electrocatalysts are synthesized using pyrolysis, followed by a microwave-assisted ethylene glycol reduction method. From X-ray diffraction analysis, PtNi/CNC and PtRu/CNC showed the smallest crystallite particle size of Pt-alloy, which corresponded to the (111) plane. The Raman spectra confirmed the presence of the carbon support material in all prepared electrocatalysts. The ratio value of the D band and G band (ID/IG) of all prepared samples was not much different within the electrocatalyst and CNC. The ID/IG values calculated for the CNC, PtNi/CNC, PtRu/CNC, PtCo/CNC and PtFe/CNC electrocatalysts were 0.90, 0.89, 0.83, 0.78 and 0.77, respectively. Therefore, the number of defects of graphitization in increasing order (ID/IG) was PtFe/CNC &lt; PtCo/CNC &lt; PtRu/CNC &lt; PtNi/CNC &lt; CNC. Brunauer-Emmett-Teller analysis revealed that the CNC support has a mesoporous-type structure with a high surface area of 416 m2 g−1, which indicates that this support has a high potential to act as an excellent catalyst support. From the cyclic voltammetry curve, PtRu/CNC showed the highest catalytic activity in methanol electro-oxidation and reached a value of 427 mA mg−1, followed by PtNi/CNC (384.11 mA mg−1), PtCo/CNC (150.53 mA mg−1) and PtFe/CNC (144.11 mA mg−1). PtFe/CNC exhibited a higher ratio value of If/Ib (3.24) compared with PtRu/CNC (2.34), PtNi/CNC (1.43) and PtCo/CNC (1.62). These values show that the combination of Pt and Fe catalysts in PtFe/CNC had better CO tolerance than PtRu/CNC, PtNi/CNC and PtCo/CNC electrocatalysts. The higher performance of PtRu/CNC was attributed to the fact that it had the smallest bimetallic-Pt crystallite; there was a smooth distribution of bimetallic-Pt on its CNC support, as shown by field emission scanning electron microscopy; it had the highest electrochemical surface area value (16.23 m2 g−1); and it had an overall catalytic performance enhanced by the advantages of the unique and large surface area from the CNC as support material. In passive DMFC mode, PtRu/CNC showed a maximum power density of 3.35 mW cm−2, which is 1.72 times higher than that of the PtRu/C commercial electrocatalyst.","author":[{"dropping-particle":"","family":"Ramli","given":"Zatil A.C.","non-dropping-particle":"","parse-names":false,"suffix":""},{"dropping-particle":"","family":"Kamarudin","given":"S. K.","non-dropping-particle":"","parse-names":false,"suffix":""},{"dropping-particle":"","family":"Basri","given":"Sahriah","non-dropping-particle":"","parse-names":false,"suffix":""},{"dropping-particle":"","family":"Zainoodin","given":"Azran M.","non-dropping-particle":"","parse-names":false,"suffix":""}],"container-title":"International Journal of Energy Research","id":"ITEM-1","issue":"13","issued":{"date-parts":[["2020","10","25"]]},"page":"10071-10086","publisher":"John Wiley and Sons Ltd","title":"The potential of novel carbon nanocages as a carbon support for an enhanced methanol electro-oxidation reaction in a direct methanol fuel cell","type":"article-journal","volume":"44"},"uris":["http://www.mendeley.com/documents/?uuid=5122f7cd-7e51-4ac8-afc2-eb278a86f825"]}],"mendeley":{"formattedCitation":"[30]","plainTextFormattedCitation":"[30]","previouslyFormattedCitation":"[30]"},"properties":{"noteIndex":0},"schema":"https://github.com/citation-style-language/schema/raw/master/csl-citation.json"}</w:instrText>
            </w:r>
            <w:r w:rsidRPr="00223217">
              <w:rPr>
                <w:rFonts w:ascii="Times New Roman" w:eastAsia="Times New Roman" w:hAnsi="Times New Roman" w:cs="Times New Roman"/>
                <w:szCs w:val="20"/>
              </w:rPr>
              <w:fldChar w:fldCharType="separate"/>
            </w:r>
            <w:r w:rsidRPr="00223217">
              <w:rPr>
                <w:rFonts w:ascii="Times New Roman" w:eastAsia="Times New Roman" w:hAnsi="Times New Roman" w:cs="Times New Roman"/>
                <w:noProof/>
                <w:szCs w:val="20"/>
              </w:rPr>
              <w:t>[30]</w:t>
            </w:r>
            <w:r w:rsidRPr="00223217">
              <w:rPr>
                <w:rFonts w:ascii="Times New Roman" w:eastAsia="Times New Roman" w:hAnsi="Times New Roman" w:cs="Times New Roman"/>
                <w:szCs w:val="20"/>
              </w:rPr>
              <w:fldChar w:fldCharType="end"/>
            </w:r>
          </w:p>
        </w:tc>
        <w:tc>
          <w:tcPr>
            <w:tcW w:w="0" w:type="auto"/>
            <w:tcBorders>
              <w:top w:val="nil"/>
              <w:left w:val="nil"/>
              <w:bottom w:val="single" w:sz="8" w:space="0" w:color="auto"/>
              <w:right w:val="nil"/>
            </w:tcBorders>
            <w:vAlign w:val="center"/>
          </w:tcPr>
          <w:p w14:paraId="062BD7CD" w14:textId="77777777" w:rsidR="00C62060" w:rsidRPr="00223217" w:rsidRDefault="00C62060" w:rsidP="00655015">
            <w:pPr>
              <w:jc w:val="right"/>
              <w:rPr>
                <w:rFonts w:ascii="Times New Roman" w:eastAsia="Times New Roman" w:hAnsi="Times New Roman" w:cs="Times New Roman"/>
                <w:szCs w:val="20"/>
              </w:rPr>
            </w:pPr>
            <w:proofErr w:type="spellStart"/>
            <w:r w:rsidRPr="00223217">
              <w:rPr>
                <w:rFonts w:ascii="Times New Roman" w:eastAsiaTheme="minorHAnsi" w:hAnsi="Times New Roman" w:cs="Times New Roman"/>
                <w:kern w:val="0"/>
                <w:szCs w:val="20"/>
                <w:lang w:eastAsia="en-US"/>
              </w:rPr>
              <w:t>PtRu</w:t>
            </w:r>
            <w:proofErr w:type="spellEnd"/>
            <w:r w:rsidRPr="00223217">
              <w:rPr>
                <w:rFonts w:ascii="Times New Roman" w:eastAsiaTheme="minorHAnsi" w:hAnsi="Times New Roman" w:cs="Times New Roman"/>
                <w:kern w:val="0"/>
                <w:szCs w:val="20"/>
                <w:lang w:eastAsia="en-US"/>
              </w:rPr>
              <w:t>/CNC</w:t>
            </w:r>
          </w:p>
        </w:tc>
        <w:tc>
          <w:tcPr>
            <w:tcW w:w="0" w:type="auto"/>
            <w:tcBorders>
              <w:top w:val="nil"/>
              <w:left w:val="nil"/>
              <w:bottom w:val="single" w:sz="8" w:space="0" w:color="auto"/>
              <w:right w:val="nil"/>
            </w:tcBorders>
            <w:shd w:val="clear" w:color="auto" w:fill="auto"/>
            <w:noWrap/>
            <w:vAlign w:val="center"/>
          </w:tcPr>
          <w:p w14:paraId="5B028872"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heme="minorHAnsi" w:hAnsi="Times New Roman" w:cs="Times New Roman"/>
                <w:kern w:val="0"/>
                <w:szCs w:val="20"/>
                <w:lang w:eastAsia="en-US"/>
              </w:rPr>
              <w:t>16.23</w:t>
            </w:r>
          </w:p>
        </w:tc>
        <w:tc>
          <w:tcPr>
            <w:tcW w:w="0" w:type="auto"/>
            <w:tcBorders>
              <w:top w:val="nil"/>
              <w:left w:val="nil"/>
              <w:bottom w:val="single" w:sz="8" w:space="0" w:color="auto"/>
              <w:right w:val="nil"/>
            </w:tcBorders>
            <w:shd w:val="clear" w:color="auto" w:fill="auto"/>
            <w:noWrap/>
            <w:vAlign w:val="center"/>
          </w:tcPr>
          <w:p w14:paraId="0B39675E" w14:textId="77777777" w:rsidR="00C62060" w:rsidRPr="00223217" w:rsidRDefault="00C62060" w:rsidP="00655015">
            <w:pPr>
              <w:jc w:val="right"/>
              <w:rPr>
                <w:rFonts w:ascii="Times New Roman" w:eastAsia="Times New Roman" w:hAnsi="Times New Roman" w:cs="Times New Roman"/>
                <w:szCs w:val="20"/>
              </w:rPr>
            </w:pPr>
            <w:r w:rsidRPr="00223217">
              <w:rPr>
                <w:rFonts w:ascii="Times New Roman" w:eastAsiaTheme="minorHAnsi" w:hAnsi="Times New Roman" w:cs="Times New Roman"/>
                <w:kern w:val="0"/>
                <w:szCs w:val="20"/>
                <w:lang w:eastAsia="en-US"/>
              </w:rPr>
              <w:t>427.00</w:t>
            </w:r>
          </w:p>
        </w:tc>
      </w:tr>
      <w:bookmarkEnd w:id="2"/>
    </w:tbl>
    <w:p w14:paraId="37D68986" w14:textId="37823152" w:rsidR="00C62060" w:rsidRPr="00223217" w:rsidRDefault="00C62060" w:rsidP="00C62060">
      <w:pPr>
        <w:rPr>
          <w:rFonts w:ascii="Times New Roman" w:hAnsi="Times New Roman" w:cs="Times New Roman"/>
          <w:szCs w:val="20"/>
          <w:lang w:val="en-GB"/>
        </w:rPr>
      </w:pPr>
    </w:p>
    <w:p w14:paraId="77B11AD3" w14:textId="54024526" w:rsidR="00C62060" w:rsidRPr="00223217" w:rsidRDefault="00C62060" w:rsidP="00C62060">
      <w:pPr>
        <w:rPr>
          <w:rFonts w:ascii="Times New Roman" w:eastAsia="Times New Roman" w:hAnsi="Times New Roman" w:cs="Times New Roman"/>
          <w:szCs w:val="20"/>
          <w:lang w:val="en-GB"/>
        </w:rPr>
      </w:pPr>
      <w:r w:rsidRPr="00223217">
        <w:rPr>
          <w:rFonts w:ascii="Times New Roman" w:hAnsi="Times New Roman" w:cs="Times New Roman"/>
          <w:szCs w:val="20"/>
          <w:lang w:val="en-GB"/>
        </w:rPr>
        <w:t>CA tests were carried out to verify the stability of electrocatalyst and endurance for long-term MOR performance in a 1M methanol solution containing 0.5 M H</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SO</w:t>
      </w:r>
      <w:r w:rsidRPr="00223217">
        <w:rPr>
          <w:rFonts w:ascii="Times New Roman" w:hAnsi="Times New Roman" w:cs="Times New Roman"/>
          <w:szCs w:val="20"/>
          <w:vertAlign w:val="subscript"/>
          <w:lang w:val="en-GB"/>
        </w:rPr>
        <w:t>4</w:t>
      </w:r>
      <w:r w:rsidRPr="00223217">
        <w:rPr>
          <w:rFonts w:ascii="Times New Roman" w:hAnsi="Times New Roman" w:cs="Times New Roman"/>
          <w:szCs w:val="20"/>
          <w:lang w:val="en-GB"/>
        </w:rPr>
        <w:t xml:space="preserve"> for 2000 seconds. At 0.6 V, the potential was kept constant. The CA curves electrocatalysts for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and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are shown in Figure 4(c). The current density of electrocatalysts indicates a dramatic decline at the beginning of the experiment probably due to methanol oxidation mediation poisoning. The limiting current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was higher than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across the entire duration, indicating better stability. </w:t>
      </w:r>
      <w:r w:rsidRPr="00223217">
        <w:rPr>
          <w:rFonts w:ascii="Times New Roman" w:eastAsia="Times New Roman" w:hAnsi="Times New Roman" w:cs="Times New Roman"/>
          <w:szCs w:val="20"/>
          <w:lang w:val="en-GB"/>
        </w:rPr>
        <w:t xml:space="preserve">The result demonstrated that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w:t>
      </w:r>
      <w:r w:rsidRPr="00223217">
        <w:rPr>
          <w:rFonts w:ascii="Times New Roman" w:eastAsia="Times New Roman" w:hAnsi="Times New Roman" w:cs="Times New Roman"/>
          <w:szCs w:val="20"/>
          <w:lang w:val="en-GB"/>
        </w:rPr>
        <w:t xml:space="preserve">catalyst showed higher stability than </w:t>
      </w:r>
      <w:proofErr w:type="spellStart"/>
      <w:r w:rsidRPr="00223217">
        <w:rPr>
          <w:rFonts w:ascii="Times New Roman" w:eastAsia="Times New Roman" w:hAnsi="Times New Roman" w:cs="Times New Roman"/>
          <w:szCs w:val="20"/>
          <w:lang w:val="en-GB"/>
        </w:rPr>
        <w:t>PtRu</w:t>
      </w:r>
      <w:proofErr w:type="spellEnd"/>
      <w:r w:rsidRPr="00223217">
        <w:rPr>
          <w:rFonts w:ascii="Times New Roman" w:eastAsia="Times New Roman" w:hAnsi="Times New Roman" w:cs="Times New Roman"/>
          <w:szCs w:val="20"/>
          <w:lang w:val="en-GB"/>
        </w:rPr>
        <w:t xml:space="preserve">/C. </w:t>
      </w:r>
      <w:r w:rsidRPr="00223217">
        <w:rPr>
          <w:rFonts w:ascii="Times New Roman" w:hAnsi="Times New Roman" w:cs="Times New Roman"/>
          <w:szCs w:val="20"/>
          <w:lang w:val="en-GB"/>
        </w:rPr>
        <w:t xml:space="preserve">Consequently, it is assumed that the synergistic effects of combining Pt and Ru help to reduce poisoning rates </w:t>
      </w:r>
      <w:r w:rsidRPr="00223217">
        <w:rPr>
          <w:rFonts w:ascii="Times New Roman" w:eastAsia="Times New Roman" w:hAnsi="Times New Roman" w:cs="Times New Roman"/>
          <w:szCs w:val="20"/>
          <w:lang w:val="en-GB"/>
        </w:rPr>
        <w:fldChar w:fldCharType="begin" w:fldLock="1"/>
      </w:r>
      <w:r w:rsidRPr="00223217">
        <w:rPr>
          <w:rFonts w:ascii="Times New Roman" w:eastAsia="Times New Roman" w:hAnsi="Times New Roman" w:cs="Times New Roman"/>
          <w:szCs w:val="20"/>
          <w:lang w:val="en-GB"/>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223217">
        <w:rPr>
          <w:rFonts w:ascii="Times New Roman" w:eastAsia="Times New Roman" w:hAnsi="Times New Roman" w:cs="Times New Roman"/>
          <w:szCs w:val="20"/>
          <w:lang w:val="en-GB"/>
        </w:rPr>
        <w:fldChar w:fldCharType="separate"/>
      </w:r>
      <w:r w:rsidRPr="00223217">
        <w:rPr>
          <w:rFonts w:ascii="Times New Roman" w:eastAsia="Times New Roman" w:hAnsi="Times New Roman" w:cs="Times New Roman"/>
          <w:noProof/>
          <w:szCs w:val="20"/>
          <w:lang w:val="en-GB"/>
        </w:rPr>
        <w:t>[16]</w:t>
      </w:r>
      <w:r w:rsidRPr="00223217">
        <w:rPr>
          <w:rFonts w:ascii="Times New Roman" w:eastAsia="Times New Roman" w:hAnsi="Times New Roman" w:cs="Times New Roman"/>
          <w:szCs w:val="20"/>
          <w:lang w:val="en-GB"/>
        </w:rPr>
        <w:fldChar w:fldCharType="end"/>
      </w:r>
      <w:r w:rsidRPr="00223217">
        <w:rPr>
          <w:rFonts w:ascii="Times New Roman" w:eastAsia="Times New Roman" w:hAnsi="Times New Roman" w:cs="Times New Roman"/>
          <w:szCs w:val="20"/>
          <w:lang w:val="en-GB"/>
        </w:rPr>
        <w:t>. Hence, the 3D</w:t>
      </w:r>
      <w:r w:rsidRPr="00223217">
        <w:rPr>
          <w:rFonts w:ascii="Times New Roman" w:hAnsi="Times New Roman" w:cs="Times New Roman"/>
          <w:szCs w:val="20"/>
          <w:lang w:val="en-GB"/>
        </w:rPr>
        <w:t xml:space="preserve"> hierarchical porous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-graphene aerogel</w:t>
      </w:r>
      <w:r w:rsidRPr="00223217">
        <w:rPr>
          <w:rFonts w:ascii="Times New Roman" w:eastAsia="Times New Roman" w:hAnsi="Times New Roman" w:cs="Times New Roman"/>
          <w:szCs w:val="20"/>
          <w:lang w:val="en-GB"/>
        </w:rPr>
        <w:t xml:space="preserve"> encapsulation structure is important in enhancing the durability. This unique structure can be extensively applicable to commercial catalytic products. It was also shown that TiO</w:t>
      </w:r>
      <w:r w:rsidRPr="00223217">
        <w:rPr>
          <w:rFonts w:ascii="Times New Roman" w:eastAsia="Times New Roman" w:hAnsi="Times New Roman" w:cs="Times New Roman"/>
          <w:szCs w:val="20"/>
          <w:vertAlign w:val="subscript"/>
          <w:lang w:val="en-GB"/>
        </w:rPr>
        <w:t>2</w:t>
      </w:r>
      <w:r w:rsidRPr="00223217">
        <w:rPr>
          <w:rFonts w:ascii="Times New Roman" w:eastAsia="Times New Roman" w:hAnsi="Times New Roman" w:cs="Times New Roman"/>
          <w:szCs w:val="20"/>
          <w:lang w:val="en-GB"/>
        </w:rPr>
        <w:t>-GA as support was a better alternative to bimetallic support since the mesoporous structure of TiO</w:t>
      </w:r>
      <w:r w:rsidRPr="00223217">
        <w:rPr>
          <w:rFonts w:ascii="Times New Roman" w:eastAsia="Times New Roman" w:hAnsi="Times New Roman" w:cs="Times New Roman"/>
          <w:szCs w:val="20"/>
          <w:vertAlign w:val="subscript"/>
          <w:lang w:val="en-GB"/>
        </w:rPr>
        <w:t>2</w:t>
      </w:r>
      <w:r w:rsidRPr="00223217">
        <w:rPr>
          <w:rFonts w:ascii="Times New Roman" w:eastAsia="Times New Roman" w:hAnsi="Times New Roman" w:cs="Times New Roman"/>
          <w:szCs w:val="20"/>
          <w:lang w:val="en-GB"/>
        </w:rPr>
        <w:t>-GA could improve the total surface area on the electrocatalyst surface area.</w:t>
      </w:r>
    </w:p>
    <w:p w14:paraId="62F55B6F" w14:textId="77777777" w:rsidR="00537626" w:rsidRDefault="00537626" w:rsidP="00785CA6">
      <w:pPr>
        <w:jc w:val="center"/>
        <w:outlineLvl w:val="0"/>
        <w:rPr>
          <w:rFonts w:ascii="Times New Roman" w:hAnsi="Times New Roman" w:cs="Times New Roman"/>
          <w:b/>
          <w:szCs w:val="20"/>
        </w:rPr>
      </w:pPr>
    </w:p>
    <w:p w14:paraId="3260525A" w14:textId="038D68AD" w:rsidR="00785CA6" w:rsidRPr="00223217" w:rsidRDefault="00785CA6" w:rsidP="00785CA6">
      <w:pPr>
        <w:jc w:val="center"/>
        <w:outlineLvl w:val="0"/>
        <w:rPr>
          <w:rFonts w:ascii="Times New Roman" w:hAnsi="Times New Roman" w:cs="Times New Roman"/>
          <w:b/>
          <w:szCs w:val="20"/>
        </w:rPr>
      </w:pPr>
      <w:r w:rsidRPr="00223217">
        <w:rPr>
          <w:rFonts w:ascii="Times New Roman" w:hAnsi="Times New Roman" w:cs="Times New Roman"/>
          <w:b/>
          <w:szCs w:val="20"/>
        </w:rPr>
        <w:t>Conclusion</w:t>
      </w:r>
    </w:p>
    <w:p w14:paraId="762CE202" w14:textId="77777777" w:rsidR="00C62060" w:rsidRPr="00223217" w:rsidRDefault="00C62060" w:rsidP="00C62060">
      <w:pPr>
        <w:outlineLvl w:val="0"/>
        <w:rPr>
          <w:rFonts w:ascii="Times New Roman" w:hAnsi="Times New Roman" w:cs="Times New Roman"/>
          <w:szCs w:val="20"/>
          <w:lang w:val="en-GB"/>
        </w:rPr>
      </w:pPr>
      <w:r w:rsidRPr="00223217">
        <w:rPr>
          <w:rFonts w:ascii="Times New Roman" w:hAnsi="Times New Roman" w:cs="Times New Roman"/>
          <w:szCs w:val="20"/>
          <w:lang w:val="en-GB"/>
        </w:rPr>
        <w:t>The novel 3D hierarchical porous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-graphene aerogel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was synthesized using hydrothermal technique and then freeze-dried before being used as a catalytic support for an anodic catalyst in the DMFC. Therefore, the catalytic activity of electrocatalyst was determined by comparing it to that of commercial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/C. The maximal mass activity of the manufactured electrocatalyst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was 12 times that of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/C commercial electrocatalyst. The catalyst support of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 and the graphene aerogel catalyst structure resulted in the maximum catalytic activity. The reaction between the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 xml:space="preserve"> and 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 xml:space="preserve">-GA catalysts at the metal-support interface serves to advance the characteristics of catalyst layers. Therefore, </w:t>
      </w:r>
      <w:proofErr w:type="spellStart"/>
      <w:r w:rsidRPr="00223217">
        <w:rPr>
          <w:rFonts w:ascii="Times New Roman" w:hAnsi="Times New Roman" w:cs="Times New Roman"/>
          <w:szCs w:val="20"/>
          <w:lang w:val="en-GB"/>
        </w:rPr>
        <w:t>PtRu</w:t>
      </w:r>
      <w:proofErr w:type="spellEnd"/>
      <w:r w:rsidRPr="00223217">
        <w:rPr>
          <w:rFonts w:ascii="Times New Roman" w:hAnsi="Times New Roman" w:cs="Times New Roman"/>
          <w:szCs w:val="20"/>
          <w:lang w:val="en-GB"/>
        </w:rPr>
        <w:t>/TiO</w:t>
      </w:r>
      <w:r w:rsidRPr="00223217">
        <w:rPr>
          <w:rFonts w:ascii="Times New Roman" w:hAnsi="Times New Roman" w:cs="Times New Roman"/>
          <w:szCs w:val="20"/>
          <w:vertAlign w:val="subscript"/>
          <w:lang w:val="en-GB"/>
        </w:rPr>
        <w:t>2</w:t>
      </w:r>
      <w:r w:rsidRPr="00223217">
        <w:rPr>
          <w:rFonts w:ascii="Times New Roman" w:hAnsi="Times New Roman" w:cs="Times New Roman"/>
          <w:szCs w:val="20"/>
          <w:lang w:val="en-GB"/>
        </w:rPr>
        <w:t>-GA is a viable choice for anode catalyst support in DMFCs.</w:t>
      </w:r>
    </w:p>
    <w:p w14:paraId="326D92CA" w14:textId="77777777" w:rsidR="003A2A26" w:rsidRPr="00223217" w:rsidRDefault="003A2A26" w:rsidP="003A2A26">
      <w:pPr>
        <w:jc w:val="center"/>
        <w:outlineLvl w:val="0"/>
        <w:rPr>
          <w:rFonts w:ascii="Times New Roman" w:hAnsi="Times New Roman" w:cs="Times New Roman"/>
          <w:szCs w:val="20"/>
        </w:rPr>
      </w:pPr>
    </w:p>
    <w:p w14:paraId="30A52ADF" w14:textId="77777777" w:rsidR="00785CA6" w:rsidRPr="00223217" w:rsidRDefault="00785CA6" w:rsidP="00785CA6">
      <w:pPr>
        <w:jc w:val="center"/>
        <w:outlineLvl w:val="0"/>
        <w:rPr>
          <w:rFonts w:ascii="Times New Roman" w:hAnsi="Times New Roman" w:cs="Times New Roman"/>
          <w:b/>
          <w:szCs w:val="20"/>
        </w:rPr>
      </w:pPr>
      <w:r w:rsidRPr="00223217">
        <w:rPr>
          <w:rFonts w:ascii="Times New Roman" w:hAnsi="Times New Roman" w:cs="Times New Roman"/>
          <w:b/>
          <w:szCs w:val="20"/>
        </w:rPr>
        <w:t>Acknowledgement</w:t>
      </w:r>
    </w:p>
    <w:p w14:paraId="26C0FD72" w14:textId="77777777" w:rsidR="00C62060" w:rsidRPr="00223217" w:rsidRDefault="00C62060" w:rsidP="00C62060">
      <w:pPr>
        <w:rPr>
          <w:rFonts w:ascii="Times New Roman" w:hAnsi="Times New Roman" w:cs="Times New Roman"/>
          <w:szCs w:val="20"/>
        </w:rPr>
      </w:pPr>
      <w:r w:rsidRPr="00223217">
        <w:rPr>
          <w:rFonts w:ascii="Times New Roman" w:hAnsi="Times New Roman" w:cs="Times New Roman"/>
          <w:szCs w:val="20"/>
        </w:rPr>
        <w:t xml:space="preserve">The authors gratefully acknowledge the financial support for this work by The Ministry of Higher Education (MOHE) MALAYSIA and </w:t>
      </w:r>
      <w:proofErr w:type="spellStart"/>
      <w:r w:rsidRPr="00223217">
        <w:rPr>
          <w:rFonts w:ascii="Times New Roman" w:hAnsi="Times New Roman" w:cs="Times New Roman"/>
          <w:szCs w:val="20"/>
        </w:rPr>
        <w:t>Universiti</w:t>
      </w:r>
      <w:proofErr w:type="spellEnd"/>
      <w:r w:rsidRPr="00223217">
        <w:rPr>
          <w:rFonts w:ascii="Times New Roman" w:hAnsi="Times New Roman" w:cs="Times New Roman"/>
          <w:szCs w:val="20"/>
        </w:rPr>
        <w:t xml:space="preserve"> </w:t>
      </w:r>
      <w:proofErr w:type="spellStart"/>
      <w:r w:rsidRPr="00223217">
        <w:rPr>
          <w:rFonts w:ascii="Times New Roman" w:hAnsi="Times New Roman" w:cs="Times New Roman"/>
          <w:szCs w:val="20"/>
        </w:rPr>
        <w:t>Kebangsaan</w:t>
      </w:r>
      <w:proofErr w:type="spellEnd"/>
      <w:r w:rsidRPr="00223217">
        <w:rPr>
          <w:rFonts w:ascii="Times New Roman" w:hAnsi="Times New Roman" w:cs="Times New Roman"/>
          <w:szCs w:val="20"/>
        </w:rPr>
        <w:t xml:space="preserve"> Malaysia under Grant No: KKP/2020/UKM-UKM/3/1.</w:t>
      </w:r>
    </w:p>
    <w:p w14:paraId="4025762D" w14:textId="77777777" w:rsidR="003A2A26" w:rsidRPr="00223217" w:rsidRDefault="003A2A26" w:rsidP="00C62060">
      <w:pPr>
        <w:outlineLvl w:val="0"/>
        <w:rPr>
          <w:rFonts w:ascii="Times New Roman" w:hAnsi="Times New Roman" w:cs="Times New Roman"/>
          <w:b/>
          <w:szCs w:val="20"/>
        </w:rPr>
      </w:pPr>
    </w:p>
    <w:p w14:paraId="78336759" w14:textId="79A0E947" w:rsidR="00785CA6" w:rsidRPr="00223217" w:rsidRDefault="00785CA6" w:rsidP="003A2A26">
      <w:pPr>
        <w:jc w:val="center"/>
        <w:outlineLvl w:val="0"/>
        <w:rPr>
          <w:rFonts w:ascii="Times New Roman" w:hAnsi="Times New Roman" w:cs="Times New Roman"/>
          <w:b/>
          <w:szCs w:val="20"/>
        </w:rPr>
      </w:pPr>
      <w:r w:rsidRPr="00223217">
        <w:rPr>
          <w:rFonts w:ascii="Times New Roman" w:hAnsi="Times New Roman" w:cs="Times New Roman"/>
          <w:b/>
          <w:szCs w:val="20"/>
        </w:rPr>
        <w:t>References</w:t>
      </w:r>
    </w:p>
    <w:p w14:paraId="69E0CAA7" w14:textId="07FD3A62" w:rsidR="00C62060" w:rsidRDefault="00C62060" w:rsidP="009B2F79">
      <w:pPr>
        <w:pStyle w:val="ListParagraph"/>
        <w:numPr>
          <w:ilvl w:val="0"/>
          <w:numId w:val="3"/>
        </w:numPr>
        <w:adjustRightInd w:val="0"/>
        <w:ind w:hanging="720"/>
        <w:rPr>
          <w:rFonts w:ascii="Times New Roman" w:hAnsi="Times New Roman" w:cs="Times New Roman"/>
          <w:noProof/>
          <w:szCs w:val="24"/>
        </w:rPr>
      </w:pPr>
      <w:r w:rsidRPr="00223217">
        <w:rPr>
          <w:rFonts w:ascii="Times New Roman" w:hAnsi="Times New Roman" w:cs="Times New Roman"/>
          <w:b/>
          <w:szCs w:val="20"/>
        </w:rPr>
        <w:fldChar w:fldCharType="begin" w:fldLock="1"/>
      </w:r>
      <w:r w:rsidRPr="009B2F79">
        <w:rPr>
          <w:rFonts w:ascii="Times New Roman" w:hAnsi="Times New Roman" w:cs="Times New Roman"/>
          <w:b/>
          <w:szCs w:val="20"/>
        </w:rPr>
        <w:instrText xml:space="preserve">ADDIN Mendeley Bibliography CSL_BIBLIOGRAPHY </w:instrText>
      </w:r>
      <w:r w:rsidRPr="00223217">
        <w:rPr>
          <w:rFonts w:ascii="Times New Roman" w:hAnsi="Times New Roman" w:cs="Times New Roman"/>
          <w:b/>
          <w:szCs w:val="20"/>
        </w:rPr>
        <w:fldChar w:fldCharType="separate"/>
      </w:r>
      <w:r w:rsidR="009B2F79" w:rsidRPr="009B2F79">
        <w:rPr>
          <w:rFonts w:ascii="Times New Roman" w:hAnsi="Times New Roman" w:cs="Times New Roman"/>
          <w:noProof/>
          <w:szCs w:val="24"/>
        </w:rPr>
        <w:t>Rashidi, R., Dincer, I., Naterer, G. F.</w:t>
      </w:r>
      <w:r w:rsidR="009B2F79">
        <w:rPr>
          <w:rFonts w:ascii="Times New Roman" w:hAnsi="Times New Roman" w:cs="Times New Roman"/>
          <w:noProof/>
          <w:szCs w:val="24"/>
        </w:rPr>
        <w:t xml:space="preserve"> and </w:t>
      </w:r>
      <w:r w:rsidR="009B2F79" w:rsidRPr="009B2F79">
        <w:rPr>
          <w:rFonts w:ascii="Times New Roman" w:hAnsi="Times New Roman" w:cs="Times New Roman"/>
          <w:noProof/>
          <w:szCs w:val="24"/>
        </w:rPr>
        <w:t xml:space="preserve">Berg, P. (2009). Performance evaluation of direct methanol fuel cells for portable applications. </w:t>
      </w:r>
      <w:r w:rsidR="009B2F79" w:rsidRPr="009B2F79">
        <w:rPr>
          <w:rFonts w:ascii="Times New Roman" w:hAnsi="Times New Roman" w:cs="Times New Roman"/>
          <w:i/>
          <w:iCs/>
          <w:noProof/>
          <w:szCs w:val="24"/>
        </w:rPr>
        <w:t>Journal of Power Sources,</w:t>
      </w:r>
      <w:r w:rsidR="009B2F79" w:rsidRPr="009B2F79">
        <w:rPr>
          <w:rFonts w:ascii="Times New Roman" w:hAnsi="Times New Roman" w:cs="Times New Roman"/>
          <w:noProof/>
          <w:szCs w:val="24"/>
        </w:rPr>
        <w:t xml:space="preserve"> 187(2)</w:t>
      </w:r>
      <w:r w:rsidR="009B2F79">
        <w:rPr>
          <w:rFonts w:ascii="Times New Roman" w:hAnsi="Times New Roman" w:cs="Times New Roman"/>
          <w:noProof/>
          <w:szCs w:val="24"/>
        </w:rPr>
        <w:t xml:space="preserve">: </w:t>
      </w:r>
      <w:r w:rsidR="009B2F79" w:rsidRPr="009B2F79">
        <w:rPr>
          <w:rFonts w:ascii="Times New Roman" w:hAnsi="Times New Roman" w:cs="Times New Roman"/>
          <w:noProof/>
          <w:szCs w:val="24"/>
        </w:rPr>
        <w:t>509-516.</w:t>
      </w:r>
    </w:p>
    <w:p w14:paraId="6FCB6891" w14:textId="640849AD" w:rsidR="00C62060" w:rsidRDefault="009B2F79" w:rsidP="009B2F79">
      <w:pPr>
        <w:pStyle w:val="ListParagraph"/>
        <w:numPr>
          <w:ilvl w:val="0"/>
          <w:numId w:val="3"/>
        </w:numPr>
        <w:adjustRightInd w:val="0"/>
        <w:ind w:hanging="720"/>
        <w:rPr>
          <w:rFonts w:ascii="Times New Roman" w:hAnsi="Times New Roman" w:cs="Times New Roman"/>
          <w:noProof/>
          <w:szCs w:val="24"/>
        </w:rPr>
      </w:pPr>
      <w:r w:rsidRPr="009B2F79">
        <w:rPr>
          <w:rFonts w:ascii="Times New Roman" w:hAnsi="Times New Roman" w:cs="Times New Roman"/>
          <w:noProof/>
          <w:szCs w:val="24"/>
        </w:rPr>
        <w:t>Achmad, F., Kamarudin, S. K., Daud, W. R. W.</w:t>
      </w:r>
      <w:r>
        <w:rPr>
          <w:rFonts w:ascii="Times New Roman" w:hAnsi="Times New Roman" w:cs="Times New Roman"/>
          <w:noProof/>
          <w:szCs w:val="24"/>
        </w:rPr>
        <w:t xml:space="preserve"> and </w:t>
      </w:r>
      <w:r w:rsidRPr="009B2F79">
        <w:rPr>
          <w:rFonts w:ascii="Times New Roman" w:hAnsi="Times New Roman" w:cs="Times New Roman"/>
          <w:noProof/>
          <w:szCs w:val="24"/>
        </w:rPr>
        <w:t xml:space="preserve">Majlan, E. H. (2011). Passive direct methanol fuel cells for portable electronic devices. </w:t>
      </w:r>
      <w:r w:rsidRPr="009B2F79">
        <w:rPr>
          <w:rFonts w:ascii="Times New Roman" w:hAnsi="Times New Roman" w:cs="Times New Roman"/>
          <w:i/>
          <w:iCs/>
          <w:noProof/>
          <w:szCs w:val="24"/>
        </w:rPr>
        <w:t xml:space="preserve">Applied Energy, </w:t>
      </w:r>
      <w:r w:rsidRPr="009B2F79">
        <w:rPr>
          <w:rFonts w:ascii="Times New Roman" w:hAnsi="Times New Roman" w:cs="Times New Roman"/>
          <w:noProof/>
          <w:szCs w:val="24"/>
        </w:rPr>
        <w:t>88(5)</w:t>
      </w:r>
      <w:r>
        <w:rPr>
          <w:rFonts w:ascii="Times New Roman" w:hAnsi="Times New Roman" w:cs="Times New Roman"/>
          <w:noProof/>
          <w:szCs w:val="24"/>
        </w:rPr>
        <w:t xml:space="preserve">: </w:t>
      </w:r>
      <w:r w:rsidRPr="009B2F79">
        <w:rPr>
          <w:rFonts w:ascii="Times New Roman" w:hAnsi="Times New Roman" w:cs="Times New Roman"/>
          <w:noProof/>
          <w:szCs w:val="24"/>
        </w:rPr>
        <w:t>1681-1689.</w:t>
      </w:r>
    </w:p>
    <w:p w14:paraId="69778533" w14:textId="4E259021" w:rsidR="00C62060" w:rsidRDefault="009B2F79" w:rsidP="003A7D9E">
      <w:pPr>
        <w:pStyle w:val="ListParagraph"/>
        <w:numPr>
          <w:ilvl w:val="0"/>
          <w:numId w:val="3"/>
        </w:numPr>
        <w:adjustRightInd w:val="0"/>
        <w:ind w:hanging="720"/>
        <w:rPr>
          <w:rFonts w:ascii="Times New Roman" w:hAnsi="Times New Roman" w:cs="Times New Roman"/>
          <w:noProof/>
          <w:szCs w:val="24"/>
        </w:rPr>
      </w:pPr>
      <w:r w:rsidRPr="009B2F79">
        <w:rPr>
          <w:rFonts w:ascii="Times New Roman" w:hAnsi="Times New Roman" w:cs="Times New Roman"/>
          <w:noProof/>
          <w:szCs w:val="24"/>
        </w:rPr>
        <w:t>Zhao, L., Wang, Z. B., Li, J. L., Zhang, J. J., Sui, X. L.</w:t>
      </w:r>
      <w:r>
        <w:rPr>
          <w:rFonts w:ascii="Times New Roman" w:hAnsi="Times New Roman" w:cs="Times New Roman"/>
          <w:noProof/>
          <w:szCs w:val="24"/>
        </w:rPr>
        <w:t xml:space="preserve"> and </w:t>
      </w:r>
      <w:r w:rsidRPr="009B2F79">
        <w:rPr>
          <w:rFonts w:ascii="Times New Roman" w:hAnsi="Times New Roman" w:cs="Times New Roman"/>
          <w:noProof/>
          <w:szCs w:val="24"/>
        </w:rPr>
        <w:t xml:space="preserve">Zhang, L. M. (2016). Hybrid of carbon-supported Pt nanoparticles and three dimensional graphene aerogel as high stable electrocatalyst for methanol electrooxidation. </w:t>
      </w:r>
      <w:r w:rsidRPr="009B2F79">
        <w:rPr>
          <w:rFonts w:ascii="Times New Roman" w:hAnsi="Times New Roman" w:cs="Times New Roman"/>
          <w:i/>
          <w:iCs/>
          <w:noProof/>
          <w:szCs w:val="24"/>
        </w:rPr>
        <w:t xml:space="preserve">Electrochimica Acta, </w:t>
      </w:r>
      <w:r w:rsidRPr="009B2F79">
        <w:rPr>
          <w:rFonts w:ascii="Times New Roman" w:hAnsi="Times New Roman" w:cs="Times New Roman"/>
          <w:noProof/>
          <w:szCs w:val="24"/>
        </w:rPr>
        <w:t>189</w:t>
      </w:r>
      <w:r>
        <w:rPr>
          <w:rFonts w:ascii="Times New Roman" w:hAnsi="Times New Roman" w:cs="Times New Roman"/>
          <w:noProof/>
          <w:szCs w:val="24"/>
        </w:rPr>
        <w:t>:</w:t>
      </w:r>
      <w:r w:rsidRPr="009B2F79">
        <w:rPr>
          <w:rFonts w:ascii="Times New Roman" w:hAnsi="Times New Roman" w:cs="Times New Roman"/>
          <w:noProof/>
          <w:szCs w:val="24"/>
        </w:rPr>
        <w:t xml:space="preserve"> 175-183.</w:t>
      </w:r>
    </w:p>
    <w:p w14:paraId="293DDF8D" w14:textId="01FC83A5" w:rsidR="00C62060" w:rsidRDefault="003A7D9E" w:rsidP="003A7D9E">
      <w:pPr>
        <w:pStyle w:val="ListParagraph"/>
        <w:numPr>
          <w:ilvl w:val="0"/>
          <w:numId w:val="3"/>
        </w:numPr>
        <w:adjustRightInd w:val="0"/>
        <w:ind w:hanging="720"/>
        <w:rPr>
          <w:rFonts w:ascii="Times New Roman" w:hAnsi="Times New Roman" w:cs="Times New Roman"/>
          <w:noProof/>
          <w:szCs w:val="24"/>
        </w:rPr>
      </w:pPr>
      <w:r w:rsidRPr="003A7D9E">
        <w:rPr>
          <w:rFonts w:ascii="Times New Roman" w:hAnsi="Times New Roman" w:cs="Times New Roman"/>
          <w:noProof/>
          <w:szCs w:val="24"/>
        </w:rPr>
        <w:lastRenderedPageBreak/>
        <w:t>Bock, C., Paquet, C., Couillard, M., Botton, G. A.</w:t>
      </w:r>
      <w:r>
        <w:rPr>
          <w:rFonts w:ascii="Times New Roman" w:hAnsi="Times New Roman" w:cs="Times New Roman"/>
          <w:noProof/>
          <w:szCs w:val="24"/>
        </w:rPr>
        <w:t xml:space="preserve"> and </w:t>
      </w:r>
      <w:r w:rsidRPr="003A7D9E">
        <w:rPr>
          <w:rFonts w:ascii="Times New Roman" w:hAnsi="Times New Roman" w:cs="Times New Roman"/>
          <w:noProof/>
          <w:szCs w:val="24"/>
        </w:rPr>
        <w:t xml:space="preserve">MacDougall, B. R. (2004). Size-selected synthesis of PtRu nano-catalysts: reaction and size control mechanism. </w:t>
      </w:r>
      <w:r w:rsidRPr="003A7D9E">
        <w:rPr>
          <w:rFonts w:ascii="Times New Roman" w:hAnsi="Times New Roman" w:cs="Times New Roman"/>
          <w:i/>
          <w:iCs/>
          <w:noProof/>
          <w:szCs w:val="24"/>
        </w:rPr>
        <w:t xml:space="preserve">Journal of the American Chemical Society, </w:t>
      </w:r>
      <w:r w:rsidRPr="003A7D9E">
        <w:rPr>
          <w:rFonts w:ascii="Times New Roman" w:hAnsi="Times New Roman" w:cs="Times New Roman"/>
          <w:noProof/>
          <w:szCs w:val="24"/>
        </w:rPr>
        <w:t>126(25)</w:t>
      </w:r>
      <w:r>
        <w:rPr>
          <w:rFonts w:ascii="Times New Roman" w:hAnsi="Times New Roman" w:cs="Times New Roman"/>
          <w:noProof/>
          <w:szCs w:val="24"/>
        </w:rPr>
        <w:t xml:space="preserve">: </w:t>
      </w:r>
      <w:r w:rsidRPr="003A7D9E">
        <w:rPr>
          <w:rFonts w:ascii="Times New Roman" w:hAnsi="Times New Roman" w:cs="Times New Roman"/>
          <w:noProof/>
          <w:szCs w:val="24"/>
        </w:rPr>
        <w:t>8028-8037.</w:t>
      </w:r>
    </w:p>
    <w:p w14:paraId="45B5FEE3" w14:textId="61E1774C" w:rsidR="00C62060" w:rsidRDefault="003A7D9E" w:rsidP="003A7D9E">
      <w:pPr>
        <w:pStyle w:val="ListParagraph"/>
        <w:numPr>
          <w:ilvl w:val="0"/>
          <w:numId w:val="3"/>
        </w:numPr>
        <w:adjustRightInd w:val="0"/>
        <w:ind w:hanging="720"/>
        <w:rPr>
          <w:rFonts w:ascii="Times New Roman" w:hAnsi="Times New Roman" w:cs="Times New Roman"/>
          <w:noProof/>
          <w:szCs w:val="24"/>
        </w:rPr>
      </w:pPr>
      <w:r w:rsidRPr="003A7D9E">
        <w:rPr>
          <w:rFonts w:ascii="Times New Roman" w:hAnsi="Times New Roman" w:cs="Times New Roman"/>
          <w:noProof/>
          <w:szCs w:val="24"/>
        </w:rPr>
        <w:t>Zhang, X., Ma, J., Yan, R., Cheng, W., Zheng, J.</w:t>
      </w:r>
      <w:r>
        <w:rPr>
          <w:rFonts w:ascii="Times New Roman" w:hAnsi="Times New Roman" w:cs="Times New Roman"/>
          <w:noProof/>
          <w:szCs w:val="24"/>
        </w:rPr>
        <w:t xml:space="preserve"> and </w:t>
      </w:r>
      <w:r w:rsidRPr="003A7D9E">
        <w:rPr>
          <w:rFonts w:ascii="Times New Roman" w:hAnsi="Times New Roman" w:cs="Times New Roman"/>
          <w:noProof/>
          <w:szCs w:val="24"/>
        </w:rPr>
        <w:t xml:space="preserve">Jin, B. (2021). Pt-Ru/polyaniline/carbon nanotube composites with three-layer tubular structure for efficient methanol oxidation. </w:t>
      </w:r>
      <w:r w:rsidRPr="003A7D9E">
        <w:rPr>
          <w:rFonts w:ascii="Times New Roman" w:hAnsi="Times New Roman" w:cs="Times New Roman"/>
          <w:i/>
          <w:iCs/>
          <w:noProof/>
          <w:szCs w:val="24"/>
        </w:rPr>
        <w:t>Journal of Alloys and Compounds,</w:t>
      </w:r>
      <w:r w:rsidRPr="003A7D9E">
        <w:rPr>
          <w:rFonts w:ascii="Times New Roman" w:hAnsi="Times New Roman" w:cs="Times New Roman"/>
          <w:noProof/>
          <w:szCs w:val="24"/>
        </w:rPr>
        <w:t xml:space="preserve"> 867</w:t>
      </w:r>
      <w:r>
        <w:rPr>
          <w:rFonts w:ascii="Times New Roman" w:hAnsi="Times New Roman" w:cs="Times New Roman"/>
          <w:noProof/>
          <w:szCs w:val="24"/>
        </w:rPr>
        <w:t xml:space="preserve">: </w:t>
      </w:r>
      <w:r w:rsidRPr="003A7D9E">
        <w:rPr>
          <w:rFonts w:ascii="Times New Roman" w:hAnsi="Times New Roman" w:cs="Times New Roman"/>
          <w:noProof/>
          <w:szCs w:val="24"/>
        </w:rPr>
        <w:t>159017.</w:t>
      </w:r>
    </w:p>
    <w:p w14:paraId="72001C0F" w14:textId="6A9D3593" w:rsidR="00C62060" w:rsidRDefault="003A7D9E" w:rsidP="004B06E9">
      <w:pPr>
        <w:pStyle w:val="ListParagraph"/>
        <w:numPr>
          <w:ilvl w:val="0"/>
          <w:numId w:val="3"/>
        </w:numPr>
        <w:adjustRightInd w:val="0"/>
        <w:ind w:hanging="720"/>
        <w:rPr>
          <w:rFonts w:ascii="Times New Roman" w:hAnsi="Times New Roman" w:cs="Times New Roman"/>
          <w:noProof/>
          <w:szCs w:val="24"/>
        </w:rPr>
      </w:pPr>
      <w:r w:rsidRPr="003A7D9E">
        <w:rPr>
          <w:rFonts w:ascii="Times New Roman" w:hAnsi="Times New Roman" w:cs="Times New Roman"/>
          <w:noProof/>
          <w:szCs w:val="24"/>
        </w:rPr>
        <w:t>Li, W., Wang, Q., Wang, L., Fu, X. Z.</w:t>
      </w:r>
      <w:r>
        <w:rPr>
          <w:rFonts w:ascii="Times New Roman" w:hAnsi="Times New Roman" w:cs="Times New Roman"/>
          <w:noProof/>
          <w:szCs w:val="24"/>
        </w:rPr>
        <w:t xml:space="preserve"> and </w:t>
      </w:r>
      <w:r w:rsidRPr="003A7D9E">
        <w:rPr>
          <w:rFonts w:ascii="Times New Roman" w:hAnsi="Times New Roman" w:cs="Times New Roman"/>
          <w:noProof/>
          <w:szCs w:val="24"/>
        </w:rPr>
        <w:t>Luo, J. L. (2021). Mesoporous CeO</w:t>
      </w:r>
      <w:r w:rsidRPr="003A7D9E">
        <w:rPr>
          <w:rFonts w:ascii="Times New Roman" w:hAnsi="Times New Roman" w:cs="Times New Roman"/>
          <w:noProof/>
          <w:szCs w:val="24"/>
          <w:vertAlign w:val="subscript"/>
        </w:rPr>
        <w:t>2</w:t>
      </w:r>
      <w:r w:rsidRPr="003A7D9E">
        <w:rPr>
          <w:rFonts w:ascii="Times New Roman" w:hAnsi="Times New Roman" w:cs="Times New Roman"/>
          <w:noProof/>
          <w:szCs w:val="24"/>
        </w:rPr>
        <w:t>–C hybrid spheres as efficient support for platinum nanoparticles towards methanol electrocatalytic oxidation. J</w:t>
      </w:r>
      <w:r w:rsidRPr="003A7D9E">
        <w:rPr>
          <w:rFonts w:ascii="Times New Roman" w:hAnsi="Times New Roman" w:cs="Times New Roman"/>
          <w:i/>
          <w:iCs/>
          <w:noProof/>
          <w:szCs w:val="24"/>
        </w:rPr>
        <w:t>ournal of Rare Earths,</w:t>
      </w:r>
      <w:r w:rsidRPr="003A7D9E">
        <w:rPr>
          <w:rFonts w:ascii="Times New Roman" w:hAnsi="Times New Roman" w:cs="Times New Roman"/>
          <w:noProof/>
          <w:szCs w:val="24"/>
        </w:rPr>
        <w:t xml:space="preserve"> 39(6)</w:t>
      </w:r>
      <w:r>
        <w:rPr>
          <w:rFonts w:ascii="Times New Roman" w:hAnsi="Times New Roman" w:cs="Times New Roman"/>
          <w:noProof/>
          <w:szCs w:val="24"/>
        </w:rPr>
        <w:t>:</w:t>
      </w:r>
      <w:r w:rsidRPr="003A7D9E">
        <w:rPr>
          <w:rFonts w:ascii="Times New Roman" w:hAnsi="Times New Roman" w:cs="Times New Roman"/>
          <w:noProof/>
          <w:szCs w:val="24"/>
        </w:rPr>
        <w:t xml:space="preserve"> 674-681.</w:t>
      </w:r>
    </w:p>
    <w:p w14:paraId="0941643D" w14:textId="00810D49" w:rsidR="00C62060" w:rsidRDefault="004B06E9" w:rsidP="004B06E9">
      <w:pPr>
        <w:pStyle w:val="ListParagraph"/>
        <w:numPr>
          <w:ilvl w:val="0"/>
          <w:numId w:val="3"/>
        </w:numPr>
        <w:adjustRightInd w:val="0"/>
        <w:ind w:hanging="720"/>
        <w:rPr>
          <w:rFonts w:ascii="Times New Roman" w:hAnsi="Times New Roman" w:cs="Times New Roman"/>
          <w:noProof/>
          <w:szCs w:val="24"/>
        </w:rPr>
      </w:pPr>
      <w:r w:rsidRPr="004B06E9">
        <w:rPr>
          <w:rFonts w:ascii="Times New Roman" w:hAnsi="Times New Roman" w:cs="Times New Roman"/>
          <w:noProof/>
          <w:szCs w:val="24"/>
        </w:rPr>
        <w:t xml:space="preserve">Yang, Y., Guo, Y. F., Fu, C., Zhang, R. H., Zhan, W., Wang, P., ... &amp; Zhou, X. W. (2021). In-situ loading synthesis of graphene supported PtCu nanocube and its high activity and stability for methanol oxidation reaction. </w:t>
      </w:r>
      <w:r w:rsidRPr="004B06E9">
        <w:rPr>
          <w:rFonts w:ascii="Times New Roman" w:hAnsi="Times New Roman" w:cs="Times New Roman"/>
          <w:i/>
          <w:iCs/>
          <w:noProof/>
          <w:szCs w:val="24"/>
        </w:rPr>
        <w:t>Journal of Colloid and Interface Science,</w:t>
      </w:r>
      <w:r w:rsidRPr="004B06E9">
        <w:rPr>
          <w:rFonts w:ascii="Times New Roman" w:hAnsi="Times New Roman" w:cs="Times New Roman"/>
          <w:noProof/>
          <w:szCs w:val="24"/>
        </w:rPr>
        <w:t xml:space="preserve"> 595</w:t>
      </w:r>
      <w:r>
        <w:rPr>
          <w:rFonts w:ascii="Times New Roman" w:hAnsi="Times New Roman" w:cs="Times New Roman"/>
          <w:noProof/>
          <w:szCs w:val="24"/>
        </w:rPr>
        <w:t>:</w:t>
      </w:r>
      <w:r w:rsidRPr="004B06E9">
        <w:rPr>
          <w:rFonts w:ascii="Times New Roman" w:hAnsi="Times New Roman" w:cs="Times New Roman"/>
          <w:noProof/>
          <w:szCs w:val="24"/>
        </w:rPr>
        <w:t xml:space="preserve"> 107-117.</w:t>
      </w:r>
    </w:p>
    <w:p w14:paraId="2CAF2425" w14:textId="04A93DD1" w:rsidR="00C62060" w:rsidRDefault="004B06E9" w:rsidP="004B06E9">
      <w:pPr>
        <w:pStyle w:val="ListParagraph"/>
        <w:numPr>
          <w:ilvl w:val="0"/>
          <w:numId w:val="3"/>
        </w:numPr>
        <w:adjustRightInd w:val="0"/>
        <w:ind w:hanging="720"/>
        <w:rPr>
          <w:rFonts w:ascii="Times New Roman" w:hAnsi="Times New Roman" w:cs="Times New Roman"/>
          <w:noProof/>
          <w:szCs w:val="24"/>
        </w:rPr>
      </w:pPr>
      <w:r w:rsidRPr="004B06E9">
        <w:rPr>
          <w:rFonts w:ascii="Times New Roman" w:hAnsi="Times New Roman" w:cs="Times New Roman"/>
          <w:noProof/>
          <w:szCs w:val="24"/>
        </w:rPr>
        <w:t>Ren, X., Lv, Q., Liu, L., Liu, B., Wang, Y., Liu, A.</w:t>
      </w:r>
      <w:r>
        <w:rPr>
          <w:rFonts w:ascii="Times New Roman" w:hAnsi="Times New Roman" w:cs="Times New Roman"/>
          <w:noProof/>
          <w:szCs w:val="24"/>
        </w:rPr>
        <w:t xml:space="preserve"> and </w:t>
      </w:r>
      <w:r w:rsidRPr="004B06E9">
        <w:rPr>
          <w:rFonts w:ascii="Times New Roman" w:hAnsi="Times New Roman" w:cs="Times New Roman"/>
          <w:noProof/>
          <w:szCs w:val="24"/>
        </w:rPr>
        <w:t xml:space="preserve">Wu, G. (2020). Current progress of Pt and Pt-based electrocatalysts used for fuel cells. </w:t>
      </w:r>
      <w:r w:rsidRPr="004B06E9">
        <w:rPr>
          <w:rFonts w:ascii="Times New Roman" w:hAnsi="Times New Roman" w:cs="Times New Roman"/>
          <w:i/>
          <w:iCs/>
          <w:noProof/>
          <w:szCs w:val="24"/>
        </w:rPr>
        <w:t xml:space="preserve">Sustainable Energy &amp; Fuels, </w:t>
      </w:r>
      <w:r w:rsidRPr="004B06E9">
        <w:rPr>
          <w:rFonts w:ascii="Times New Roman" w:hAnsi="Times New Roman" w:cs="Times New Roman"/>
          <w:noProof/>
          <w:szCs w:val="24"/>
        </w:rPr>
        <w:t>4(1)</w:t>
      </w:r>
      <w:r>
        <w:rPr>
          <w:rFonts w:ascii="Times New Roman" w:hAnsi="Times New Roman" w:cs="Times New Roman"/>
          <w:noProof/>
          <w:szCs w:val="24"/>
        </w:rPr>
        <w:t xml:space="preserve">: </w:t>
      </w:r>
      <w:r w:rsidRPr="004B06E9">
        <w:rPr>
          <w:rFonts w:ascii="Times New Roman" w:hAnsi="Times New Roman" w:cs="Times New Roman"/>
          <w:noProof/>
          <w:szCs w:val="24"/>
        </w:rPr>
        <w:t>15-30.</w:t>
      </w:r>
    </w:p>
    <w:p w14:paraId="560A6AD1" w14:textId="69168B51" w:rsidR="00C62060" w:rsidRDefault="004B06E9" w:rsidP="004B06E9">
      <w:pPr>
        <w:pStyle w:val="ListParagraph"/>
        <w:numPr>
          <w:ilvl w:val="0"/>
          <w:numId w:val="3"/>
        </w:numPr>
        <w:adjustRightInd w:val="0"/>
        <w:ind w:hanging="720"/>
        <w:rPr>
          <w:rFonts w:ascii="Times New Roman" w:hAnsi="Times New Roman" w:cs="Times New Roman"/>
          <w:noProof/>
          <w:szCs w:val="24"/>
        </w:rPr>
      </w:pPr>
      <w:r w:rsidRPr="004B06E9">
        <w:rPr>
          <w:rFonts w:ascii="Times New Roman" w:hAnsi="Times New Roman" w:cs="Times New Roman"/>
          <w:noProof/>
          <w:szCs w:val="24"/>
        </w:rPr>
        <w:t xml:space="preserve">Karuppanan, K. K., Raghu, A. V., Panthalingal, M. K., Thiruvenkatam, V., Karthikeyan, P. </w:t>
      </w:r>
      <w:r>
        <w:rPr>
          <w:rFonts w:ascii="Times New Roman" w:hAnsi="Times New Roman" w:cs="Times New Roman"/>
          <w:noProof/>
          <w:szCs w:val="24"/>
        </w:rPr>
        <w:t xml:space="preserve">and </w:t>
      </w:r>
      <w:r w:rsidRPr="004B06E9">
        <w:rPr>
          <w:rFonts w:ascii="Times New Roman" w:hAnsi="Times New Roman" w:cs="Times New Roman"/>
          <w:noProof/>
          <w:szCs w:val="24"/>
        </w:rPr>
        <w:t xml:space="preserve">Pullithadathil, B. (2019). 3D-porous electrocatalytic foam based on Pt@ N-doped graphene for high performance and durable polymer electrolyte membrane fuel cells. </w:t>
      </w:r>
      <w:r w:rsidRPr="004B06E9">
        <w:rPr>
          <w:rFonts w:ascii="Times New Roman" w:hAnsi="Times New Roman" w:cs="Times New Roman"/>
          <w:i/>
          <w:iCs/>
          <w:noProof/>
          <w:szCs w:val="24"/>
        </w:rPr>
        <w:t xml:space="preserve">Sustainable Energy &amp; Fuels, </w:t>
      </w:r>
      <w:r w:rsidRPr="004B06E9">
        <w:rPr>
          <w:rFonts w:ascii="Times New Roman" w:hAnsi="Times New Roman" w:cs="Times New Roman"/>
          <w:noProof/>
          <w:szCs w:val="24"/>
        </w:rPr>
        <w:t>3(4)</w:t>
      </w:r>
      <w:r>
        <w:rPr>
          <w:rFonts w:ascii="Times New Roman" w:hAnsi="Times New Roman" w:cs="Times New Roman"/>
          <w:noProof/>
          <w:szCs w:val="24"/>
        </w:rPr>
        <w:t>:</w:t>
      </w:r>
      <w:r w:rsidRPr="004B06E9">
        <w:rPr>
          <w:rFonts w:ascii="Times New Roman" w:hAnsi="Times New Roman" w:cs="Times New Roman"/>
          <w:noProof/>
          <w:szCs w:val="24"/>
        </w:rPr>
        <w:t xml:space="preserve"> 996-1011.</w:t>
      </w:r>
    </w:p>
    <w:p w14:paraId="68B0C9C9" w14:textId="38A2E78A" w:rsidR="00C62060" w:rsidRDefault="004B06E9" w:rsidP="004B06E9">
      <w:pPr>
        <w:pStyle w:val="ListParagraph"/>
        <w:numPr>
          <w:ilvl w:val="0"/>
          <w:numId w:val="3"/>
        </w:numPr>
        <w:adjustRightInd w:val="0"/>
        <w:ind w:hanging="720"/>
        <w:rPr>
          <w:rFonts w:ascii="Times New Roman" w:hAnsi="Times New Roman" w:cs="Times New Roman"/>
          <w:noProof/>
          <w:szCs w:val="24"/>
        </w:rPr>
      </w:pPr>
      <w:r w:rsidRPr="004B06E9">
        <w:rPr>
          <w:rFonts w:ascii="Times New Roman" w:hAnsi="Times New Roman" w:cs="Times New Roman"/>
          <w:noProof/>
          <w:szCs w:val="24"/>
        </w:rPr>
        <w:t>Gorgolis, G.</w:t>
      </w:r>
      <w:r>
        <w:rPr>
          <w:rFonts w:ascii="Times New Roman" w:hAnsi="Times New Roman" w:cs="Times New Roman"/>
          <w:noProof/>
          <w:szCs w:val="24"/>
        </w:rPr>
        <w:t xml:space="preserve"> and </w:t>
      </w:r>
      <w:r w:rsidRPr="004B06E9">
        <w:rPr>
          <w:rFonts w:ascii="Times New Roman" w:hAnsi="Times New Roman" w:cs="Times New Roman"/>
          <w:noProof/>
          <w:szCs w:val="24"/>
        </w:rPr>
        <w:t xml:space="preserve">Galiotis, C. (2017). Graphene aerogels: a review. </w:t>
      </w:r>
      <w:r w:rsidRPr="004B06E9">
        <w:rPr>
          <w:rFonts w:ascii="Times New Roman" w:hAnsi="Times New Roman" w:cs="Times New Roman"/>
          <w:i/>
          <w:iCs/>
          <w:noProof/>
          <w:szCs w:val="24"/>
        </w:rPr>
        <w:t>2D Materials,</w:t>
      </w:r>
      <w:r w:rsidRPr="004B06E9">
        <w:rPr>
          <w:rFonts w:ascii="Times New Roman" w:hAnsi="Times New Roman" w:cs="Times New Roman"/>
          <w:noProof/>
          <w:szCs w:val="24"/>
        </w:rPr>
        <w:t xml:space="preserve"> 4(3)</w:t>
      </w:r>
      <w:r>
        <w:rPr>
          <w:rFonts w:ascii="Times New Roman" w:hAnsi="Times New Roman" w:cs="Times New Roman"/>
          <w:noProof/>
          <w:szCs w:val="24"/>
        </w:rPr>
        <w:t>:</w:t>
      </w:r>
      <w:r w:rsidRPr="004B06E9">
        <w:rPr>
          <w:rFonts w:ascii="Times New Roman" w:hAnsi="Times New Roman" w:cs="Times New Roman"/>
          <w:noProof/>
          <w:szCs w:val="24"/>
        </w:rPr>
        <w:t xml:space="preserve"> 032001.</w:t>
      </w:r>
    </w:p>
    <w:p w14:paraId="613A1981" w14:textId="6322090C" w:rsidR="00C62060" w:rsidRDefault="004B06E9" w:rsidP="004B06E9">
      <w:pPr>
        <w:pStyle w:val="ListParagraph"/>
        <w:numPr>
          <w:ilvl w:val="0"/>
          <w:numId w:val="3"/>
        </w:numPr>
        <w:adjustRightInd w:val="0"/>
        <w:ind w:hanging="720"/>
        <w:rPr>
          <w:rFonts w:ascii="Times New Roman" w:hAnsi="Times New Roman" w:cs="Times New Roman"/>
          <w:noProof/>
          <w:szCs w:val="24"/>
        </w:rPr>
      </w:pPr>
      <w:r w:rsidRPr="004B06E9">
        <w:rPr>
          <w:rFonts w:ascii="Times New Roman" w:hAnsi="Times New Roman" w:cs="Times New Roman"/>
          <w:noProof/>
          <w:szCs w:val="24"/>
        </w:rPr>
        <w:t>Mao, J., Iocozzia, J., Huang, J., Meng, K., Lai, Y.</w:t>
      </w:r>
      <w:r>
        <w:rPr>
          <w:rFonts w:ascii="Times New Roman" w:hAnsi="Times New Roman" w:cs="Times New Roman"/>
          <w:noProof/>
          <w:szCs w:val="24"/>
        </w:rPr>
        <w:t xml:space="preserve"> and </w:t>
      </w:r>
      <w:r w:rsidRPr="004B06E9">
        <w:rPr>
          <w:rFonts w:ascii="Times New Roman" w:hAnsi="Times New Roman" w:cs="Times New Roman"/>
          <w:noProof/>
          <w:szCs w:val="24"/>
        </w:rPr>
        <w:t xml:space="preserve">Lin, Z. (2018). Graphene aerogels for efficient energy storage and conversion. </w:t>
      </w:r>
      <w:r w:rsidRPr="004B06E9">
        <w:rPr>
          <w:rFonts w:ascii="Times New Roman" w:hAnsi="Times New Roman" w:cs="Times New Roman"/>
          <w:i/>
          <w:iCs/>
          <w:noProof/>
          <w:szCs w:val="24"/>
        </w:rPr>
        <w:t xml:space="preserve">Energy &amp; Environmental Science, </w:t>
      </w:r>
      <w:r w:rsidRPr="004B06E9">
        <w:rPr>
          <w:rFonts w:ascii="Times New Roman" w:hAnsi="Times New Roman" w:cs="Times New Roman"/>
          <w:noProof/>
          <w:szCs w:val="24"/>
        </w:rPr>
        <w:t>11(4)</w:t>
      </w:r>
      <w:r>
        <w:rPr>
          <w:rFonts w:ascii="Times New Roman" w:hAnsi="Times New Roman" w:cs="Times New Roman"/>
          <w:noProof/>
          <w:szCs w:val="24"/>
        </w:rPr>
        <w:t xml:space="preserve">: </w:t>
      </w:r>
      <w:r w:rsidRPr="004B06E9">
        <w:rPr>
          <w:rFonts w:ascii="Times New Roman" w:hAnsi="Times New Roman" w:cs="Times New Roman"/>
          <w:noProof/>
          <w:szCs w:val="24"/>
        </w:rPr>
        <w:t>772-799.</w:t>
      </w:r>
    </w:p>
    <w:p w14:paraId="0CF162E0" w14:textId="2E240EC9" w:rsidR="00C62060" w:rsidRDefault="004B06E9" w:rsidP="004B06E9">
      <w:pPr>
        <w:pStyle w:val="ListParagraph"/>
        <w:numPr>
          <w:ilvl w:val="0"/>
          <w:numId w:val="3"/>
        </w:numPr>
        <w:adjustRightInd w:val="0"/>
        <w:ind w:hanging="720"/>
        <w:rPr>
          <w:rFonts w:ascii="Times New Roman" w:hAnsi="Times New Roman" w:cs="Times New Roman"/>
          <w:noProof/>
          <w:szCs w:val="24"/>
        </w:rPr>
      </w:pPr>
      <w:r w:rsidRPr="004B06E9">
        <w:rPr>
          <w:rFonts w:ascii="Times New Roman" w:hAnsi="Times New Roman" w:cs="Times New Roman"/>
          <w:noProof/>
          <w:szCs w:val="24"/>
        </w:rPr>
        <w:t>Siwińska-Stefańska, K.</w:t>
      </w:r>
      <w:r>
        <w:rPr>
          <w:rFonts w:ascii="Times New Roman" w:hAnsi="Times New Roman" w:cs="Times New Roman"/>
          <w:noProof/>
          <w:szCs w:val="24"/>
        </w:rPr>
        <w:t xml:space="preserve"> and </w:t>
      </w:r>
      <w:r w:rsidRPr="004B06E9">
        <w:rPr>
          <w:rFonts w:ascii="Times New Roman" w:hAnsi="Times New Roman" w:cs="Times New Roman"/>
          <w:noProof/>
          <w:szCs w:val="24"/>
        </w:rPr>
        <w:t>Jesionowski, T. (2017). Advanced hybrid materials based on titanium dioxide for environmental and electrochemical applications. In Titanium Dioxide. IntechOpen.</w:t>
      </w:r>
    </w:p>
    <w:p w14:paraId="236AEC44" w14:textId="43500116" w:rsidR="00C62060" w:rsidRDefault="004B06E9" w:rsidP="00616DC7">
      <w:pPr>
        <w:pStyle w:val="ListParagraph"/>
        <w:numPr>
          <w:ilvl w:val="0"/>
          <w:numId w:val="3"/>
        </w:numPr>
        <w:adjustRightInd w:val="0"/>
        <w:ind w:hanging="720"/>
        <w:rPr>
          <w:rFonts w:ascii="Times New Roman" w:hAnsi="Times New Roman" w:cs="Times New Roman"/>
          <w:noProof/>
          <w:szCs w:val="24"/>
        </w:rPr>
      </w:pPr>
      <w:r w:rsidRPr="004B06E9">
        <w:rPr>
          <w:rFonts w:ascii="Times New Roman" w:hAnsi="Times New Roman" w:cs="Times New Roman"/>
          <w:noProof/>
          <w:szCs w:val="24"/>
        </w:rPr>
        <w:t>Odling, G.</w:t>
      </w:r>
      <w:r>
        <w:rPr>
          <w:rFonts w:ascii="Times New Roman" w:hAnsi="Times New Roman" w:cs="Times New Roman"/>
          <w:noProof/>
          <w:szCs w:val="24"/>
        </w:rPr>
        <w:t xml:space="preserve"> and </w:t>
      </w:r>
      <w:r w:rsidRPr="004B06E9">
        <w:rPr>
          <w:rFonts w:ascii="Times New Roman" w:hAnsi="Times New Roman" w:cs="Times New Roman"/>
          <w:noProof/>
          <w:szCs w:val="24"/>
        </w:rPr>
        <w:t xml:space="preserve">Robertson, N. (2015). Why is anatase a better photocatalyst than rutile? The importance of free hydroxyl radicals. </w:t>
      </w:r>
      <w:r w:rsidRPr="00616DC7">
        <w:rPr>
          <w:rFonts w:ascii="Times New Roman" w:hAnsi="Times New Roman" w:cs="Times New Roman"/>
          <w:i/>
          <w:iCs/>
          <w:noProof/>
          <w:szCs w:val="24"/>
        </w:rPr>
        <w:t>ChemSusChem,</w:t>
      </w:r>
      <w:r w:rsidRPr="004B06E9">
        <w:rPr>
          <w:rFonts w:ascii="Times New Roman" w:hAnsi="Times New Roman" w:cs="Times New Roman"/>
          <w:noProof/>
          <w:szCs w:val="24"/>
        </w:rPr>
        <w:t xml:space="preserve"> 8(11)</w:t>
      </w:r>
      <w:r w:rsidR="00616DC7">
        <w:rPr>
          <w:rFonts w:ascii="Times New Roman" w:hAnsi="Times New Roman" w:cs="Times New Roman"/>
          <w:noProof/>
          <w:szCs w:val="24"/>
        </w:rPr>
        <w:t>:</w:t>
      </w:r>
      <w:r w:rsidRPr="004B06E9">
        <w:rPr>
          <w:rFonts w:ascii="Times New Roman" w:hAnsi="Times New Roman" w:cs="Times New Roman"/>
          <w:noProof/>
          <w:szCs w:val="24"/>
        </w:rPr>
        <w:t xml:space="preserve"> 1838-1840.</w:t>
      </w:r>
    </w:p>
    <w:p w14:paraId="57F6ABB7" w14:textId="6E461520" w:rsidR="00C62060" w:rsidRDefault="00616DC7" w:rsidP="00616DC7">
      <w:pPr>
        <w:pStyle w:val="ListParagraph"/>
        <w:numPr>
          <w:ilvl w:val="0"/>
          <w:numId w:val="3"/>
        </w:numPr>
        <w:adjustRightInd w:val="0"/>
        <w:ind w:hanging="720"/>
        <w:rPr>
          <w:rFonts w:ascii="Times New Roman" w:hAnsi="Times New Roman" w:cs="Times New Roman"/>
          <w:noProof/>
          <w:szCs w:val="24"/>
        </w:rPr>
      </w:pPr>
      <w:r w:rsidRPr="00616DC7">
        <w:rPr>
          <w:rFonts w:ascii="Times New Roman" w:hAnsi="Times New Roman" w:cs="Times New Roman"/>
          <w:noProof/>
          <w:szCs w:val="24"/>
        </w:rPr>
        <w:t>Dey, S.</w:t>
      </w:r>
      <w:r>
        <w:rPr>
          <w:rFonts w:ascii="Times New Roman" w:hAnsi="Times New Roman" w:cs="Times New Roman"/>
          <w:noProof/>
          <w:szCs w:val="24"/>
        </w:rPr>
        <w:t xml:space="preserve"> and </w:t>
      </w:r>
      <w:r w:rsidRPr="00616DC7">
        <w:rPr>
          <w:rFonts w:ascii="Times New Roman" w:hAnsi="Times New Roman" w:cs="Times New Roman"/>
          <w:noProof/>
          <w:szCs w:val="24"/>
        </w:rPr>
        <w:t xml:space="preserve">Mehta, N. S. (2020). Synthesis and applications of titanium oxide catalysts for lower temperature CO oxidation. </w:t>
      </w:r>
      <w:r w:rsidRPr="00616DC7">
        <w:rPr>
          <w:rFonts w:ascii="Times New Roman" w:hAnsi="Times New Roman" w:cs="Times New Roman"/>
          <w:i/>
          <w:iCs/>
          <w:noProof/>
          <w:szCs w:val="24"/>
        </w:rPr>
        <w:t xml:space="preserve">Current Research in Green and Sustainable Chemistry, </w:t>
      </w:r>
      <w:r w:rsidRPr="00616DC7">
        <w:rPr>
          <w:rFonts w:ascii="Times New Roman" w:hAnsi="Times New Roman" w:cs="Times New Roman"/>
          <w:noProof/>
          <w:szCs w:val="24"/>
        </w:rPr>
        <w:t>3</w:t>
      </w:r>
      <w:r>
        <w:rPr>
          <w:rFonts w:ascii="Times New Roman" w:hAnsi="Times New Roman" w:cs="Times New Roman"/>
          <w:noProof/>
          <w:szCs w:val="24"/>
        </w:rPr>
        <w:t xml:space="preserve">: </w:t>
      </w:r>
      <w:r w:rsidRPr="00616DC7">
        <w:rPr>
          <w:rFonts w:ascii="Times New Roman" w:hAnsi="Times New Roman" w:cs="Times New Roman"/>
          <w:noProof/>
          <w:szCs w:val="24"/>
        </w:rPr>
        <w:t>100022.</w:t>
      </w:r>
    </w:p>
    <w:p w14:paraId="2D268278" w14:textId="20B757EC" w:rsidR="00C62060" w:rsidRDefault="00616DC7" w:rsidP="00616DC7">
      <w:pPr>
        <w:pStyle w:val="ListParagraph"/>
        <w:numPr>
          <w:ilvl w:val="0"/>
          <w:numId w:val="3"/>
        </w:numPr>
        <w:adjustRightInd w:val="0"/>
        <w:ind w:hanging="720"/>
        <w:rPr>
          <w:rFonts w:ascii="Times New Roman" w:hAnsi="Times New Roman" w:cs="Times New Roman"/>
          <w:noProof/>
          <w:szCs w:val="24"/>
        </w:rPr>
      </w:pPr>
      <w:r w:rsidRPr="00616DC7">
        <w:rPr>
          <w:rFonts w:ascii="Times New Roman" w:hAnsi="Times New Roman" w:cs="Times New Roman"/>
          <w:noProof/>
          <w:szCs w:val="24"/>
        </w:rPr>
        <w:t>Bagheri, S., Muhd Julkapli, N.</w:t>
      </w:r>
      <w:r>
        <w:rPr>
          <w:rFonts w:ascii="Times New Roman" w:hAnsi="Times New Roman" w:cs="Times New Roman"/>
          <w:noProof/>
          <w:szCs w:val="24"/>
        </w:rPr>
        <w:t xml:space="preserve"> and </w:t>
      </w:r>
      <w:r w:rsidRPr="00616DC7">
        <w:rPr>
          <w:rFonts w:ascii="Times New Roman" w:hAnsi="Times New Roman" w:cs="Times New Roman"/>
          <w:noProof/>
          <w:szCs w:val="24"/>
        </w:rPr>
        <w:t xml:space="preserve">Bee Abd Hamid, S. (2014). Titanium dioxide as a catalyst support in heterogeneous catalysis. </w:t>
      </w:r>
      <w:r w:rsidRPr="00616DC7">
        <w:rPr>
          <w:rFonts w:ascii="Times New Roman" w:hAnsi="Times New Roman" w:cs="Times New Roman"/>
          <w:i/>
          <w:iCs/>
          <w:noProof/>
          <w:szCs w:val="24"/>
        </w:rPr>
        <w:t xml:space="preserve">The </w:t>
      </w:r>
      <w:r w:rsidRPr="00616DC7">
        <w:rPr>
          <w:rFonts w:ascii="Times New Roman" w:hAnsi="Times New Roman" w:cs="Times New Roman"/>
          <w:i/>
          <w:iCs/>
          <w:noProof/>
          <w:szCs w:val="24"/>
        </w:rPr>
        <w:t xml:space="preserve">Scientific World Journal, </w:t>
      </w:r>
      <w:r w:rsidRPr="00616DC7">
        <w:rPr>
          <w:rFonts w:ascii="Times New Roman" w:hAnsi="Times New Roman" w:cs="Times New Roman"/>
          <w:noProof/>
          <w:szCs w:val="24"/>
        </w:rPr>
        <w:t>2014</w:t>
      </w:r>
      <w:r>
        <w:rPr>
          <w:rFonts w:ascii="Times New Roman" w:hAnsi="Times New Roman" w:cs="Times New Roman"/>
          <w:noProof/>
          <w:szCs w:val="24"/>
        </w:rPr>
        <w:t xml:space="preserve">: </w:t>
      </w:r>
      <w:r w:rsidRPr="00616DC7">
        <w:rPr>
          <w:rFonts w:ascii="Times New Roman" w:hAnsi="Times New Roman" w:cs="Times New Roman"/>
          <w:noProof/>
          <w:szCs w:val="24"/>
        </w:rPr>
        <w:t>727496.</w:t>
      </w:r>
    </w:p>
    <w:p w14:paraId="3967FA27" w14:textId="3B6BF02F" w:rsidR="00C62060" w:rsidRDefault="00616DC7" w:rsidP="00616DC7">
      <w:pPr>
        <w:pStyle w:val="ListParagraph"/>
        <w:numPr>
          <w:ilvl w:val="0"/>
          <w:numId w:val="3"/>
        </w:numPr>
        <w:adjustRightInd w:val="0"/>
        <w:ind w:hanging="720"/>
        <w:rPr>
          <w:rFonts w:ascii="Times New Roman" w:hAnsi="Times New Roman" w:cs="Times New Roman"/>
          <w:noProof/>
          <w:szCs w:val="24"/>
        </w:rPr>
      </w:pPr>
      <w:r w:rsidRPr="00616DC7">
        <w:rPr>
          <w:rFonts w:ascii="Times New Roman" w:hAnsi="Times New Roman" w:cs="Times New Roman"/>
          <w:noProof/>
          <w:szCs w:val="24"/>
        </w:rPr>
        <w:t>Abdullah, N., Kamarudin, S. K.</w:t>
      </w:r>
      <w:r>
        <w:rPr>
          <w:rFonts w:ascii="Times New Roman" w:hAnsi="Times New Roman" w:cs="Times New Roman"/>
          <w:noProof/>
          <w:szCs w:val="24"/>
        </w:rPr>
        <w:t xml:space="preserve"> and </w:t>
      </w:r>
      <w:r w:rsidRPr="00616DC7">
        <w:rPr>
          <w:rFonts w:ascii="Times New Roman" w:hAnsi="Times New Roman" w:cs="Times New Roman"/>
          <w:noProof/>
          <w:szCs w:val="24"/>
        </w:rPr>
        <w:t xml:space="preserve">Shyuan, L. K. (2018). Novel anodic catalyst support for direct methanol fuel cell: characterizations and single-cell performances. </w:t>
      </w:r>
      <w:r w:rsidRPr="00616DC7">
        <w:rPr>
          <w:rFonts w:ascii="Times New Roman" w:hAnsi="Times New Roman" w:cs="Times New Roman"/>
          <w:i/>
          <w:iCs/>
          <w:noProof/>
          <w:szCs w:val="24"/>
        </w:rPr>
        <w:t xml:space="preserve">Nanoscale </w:t>
      </w:r>
      <w:r w:rsidRPr="00616DC7">
        <w:rPr>
          <w:rFonts w:ascii="Times New Roman" w:hAnsi="Times New Roman" w:cs="Times New Roman"/>
          <w:i/>
          <w:iCs/>
          <w:noProof/>
          <w:szCs w:val="24"/>
        </w:rPr>
        <w:t xml:space="preserve">Research Letters, </w:t>
      </w:r>
      <w:r w:rsidRPr="00616DC7">
        <w:rPr>
          <w:rFonts w:ascii="Times New Roman" w:hAnsi="Times New Roman" w:cs="Times New Roman"/>
          <w:noProof/>
          <w:szCs w:val="24"/>
        </w:rPr>
        <w:t>13(1)</w:t>
      </w:r>
      <w:r>
        <w:rPr>
          <w:rFonts w:ascii="Times New Roman" w:hAnsi="Times New Roman" w:cs="Times New Roman"/>
          <w:noProof/>
          <w:szCs w:val="24"/>
        </w:rPr>
        <w:t>:</w:t>
      </w:r>
      <w:r w:rsidRPr="00616DC7">
        <w:rPr>
          <w:rFonts w:ascii="Times New Roman" w:hAnsi="Times New Roman" w:cs="Times New Roman"/>
          <w:noProof/>
          <w:szCs w:val="24"/>
        </w:rPr>
        <w:t xml:space="preserve"> 1-13.</w:t>
      </w:r>
    </w:p>
    <w:p w14:paraId="64F48BB9" w14:textId="456D6F5C" w:rsidR="00C62060" w:rsidRDefault="00616DC7" w:rsidP="00616DC7">
      <w:pPr>
        <w:pStyle w:val="ListParagraph"/>
        <w:numPr>
          <w:ilvl w:val="0"/>
          <w:numId w:val="3"/>
        </w:numPr>
        <w:adjustRightInd w:val="0"/>
        <w:ind w:hanging="720"/>
        <w:rPr>
          <w:rFonts w:ascii="Times New Roman" w:hAnsi="Times New Roman" w:cs="Times New Roman"/>
          <w:noProof/>
          <w:szCs w:val="24"/>
        </w:rPr>
      </w:pPr>
      <w:r w:rsidRPr="00616DC7">
        <w:rPr>
          <w:rFonts w:ascii="Times New Roman" w:hAnsi="Times New Roman" w:cs="Times New Roman"/>
          <w:noProof/>
          <w:szCs w:val="24"/>
        </w:rPr>
        <w:t>Ito, Y., Takeuchi, T., Tsujiguchi, T., Abdelkareem, M. A.</w:t>
      </w:r>
      <w:r>
        <w:rPr>
          <w:rFonts w:ascii="Times New Roman" w:hAnsi="Times New Roman" w:cs="Times New Roman"/>
          <w:noProof/>
          <w:szCs w:val="24"/>
        </w:rPr>
        <w:t xml:space="preserve"> and </w:t>
      </w:r>
      <w:r w:rsidRPr="00616DC7">
        <w:rPr>
          <w:rFonts w:ascii="Times New Roman" w:hAnsi="Times New Roman" w:cs="Times New Roman"/>
          <w:noProof/>
          <w:szCs w:val="24"/>
        </w:rPr>
        <w:t>Nakagawa, N. (2013). Ultrahigh methanol electro-oxidation activity of PtRu nanoparticles prepared on TiO</w:t>
      </w:r>
      <w:r w:rsidRPr="00616DC7">
        <w:rPr>
          <w:rFonts w:ascii="Times New Roman" w:hAnsi="Times New Roman" w:cs="Times New Roman"/>
          <w:noProof/>
          <w:szCs w:val="24"/>
          <w:vertAlign w:val="subscript"/>
        </w:rPr>
        <w:t>2</w:t>
      </w:r>
      <w:r w:rsidRPr="00616DC7">
        <w:rPr>
          <w:rFonts w:ascii="Times New Roman" w:hAnsi="Times New Roman" w:cs="Times New Roman"/>
          <w:noProof/>
          <w:szCs w:val="24"/>
        </w:rPr>
        <w:t xml:space="preserve">-embedded carbon nanofiber support. </w:t>
      </w:r>
      <w:r w:rsidRPr="00616DC7">
        <w:rPr>
          <w:rFonts w:ascii="Times New Roman" w:hAnsi="Times New Roman" w:cs="Times New Roman"/>
          <w:i/>
          <w:iCs/>
          <w:noProof/>
          <w:szCs w:val="24"/>
        </w:rPr>
        <w:t xml:space="preserve">Journal </w:t>
      </w:r>
      <w:r>
        <w:rPr>
          <w:rFonts w:ascii="Times New Roman" w:hAnsi="Times New Roman" w:cs="Times New Roman"/>
          <w:i/>
          <w:iCs/>
          <w:noProof/>
          <w:szCs w:val="24"/>
        </w:rPr>
        <w:t>o</w:t>
      </w:r>
      <w:r w:rsidRPr="00616DC7">
        <w:rPr>
          <w:rFonts w:ascii="Times New Roman" w:hAnsi="Times New Roman" w:cs="Times New Roman"/>
          <w:i/>
          <w:iCs/>
          <w:noProof/>
          <w:szCs w:val="24"/>
        </w:rPr>
        <w:t>f Power Sources,</w:t>
      </w:r>
      <w:r w:rsidRPr="00616DC7">
        <w:rPr>
          <w:rFonts w:ascii="Times New Roman" w:hAnsi="Times New Roman" w:cs="Times New Roman"/>
          <w:noProof/>
          <w:szCs w:val="24"/>
        </w:rPr>
        <w:t xml:space="preserve"> </w:t>
      </w:r>
      <w:r w:rsidRPr="00616DC7">
        <w:rPr>
          <w:rFonts w:ascii="Times New Roman" w:hAnsi="Times New Roman" w:cs="Times New Roman"/>
          <w:noProof/>
          <w:szCs w:val="24"/>
        </w:rPr>
        <w:t>242</w:t>
      </w:r>
      <w:r>
        <w:rPr>
          <w:rFonts w:ascii="Times New Roman" w:hAnsi="Times New Roman" w:cs="Times New Roman"/>
          <w:noProof/>
          <w:szCs w:val="24"/>
        </w:rPr>
        <w:t xml:space="preserve">: </w:t>
      </w:r>
      <w:r w:rsidRPr="00616DC7">
        <w:rPr>
          <w:rFonts w:ascii="Times New Roman" w:hAnsi="Times New Roman" w:cs="Times New Roman"/>
          <w:noProof/>
          <w:szCs w:val="24"/>
        </w:rPr>
        <w:t>280-288.</w:t>
      </w:r>
    </w:p>
    <w:p w14:paraId="14A12515" w14:textId="20D69DF4" w:rsidR="00C62060" w:rsidRDefault="00616DC7" w:rsidP="00616DC7">
      <w:pPr>
        <w:pStyle w:val="ListParagraph"/>
        <w:numPr>
          <w:ilvl w:val="0"/>
          <w:numId w:val="3"/>
        </w:numPr>
        <w:adjustRightInd w:val="0"/>
        <w:ind w:hanging="720"/>
        <w:rPr>
          <w:rFonts w:ascii="Times New Roman" w:hAnsi="Times New Roman" w:cs="Times New Roman"/>
          <w:noProof/>
          <w:szCs w:val="24"/>
        </w:rPr>
      </w:pPr>
      <w:r w:rsidRPr="00616DC7">
        <w:rPr>
          <w:rFonts w:ascii="Times New Roman" w:hAnsi="Times New Roman" w:cs="Times New Roman"/>
          <w:noProof/>
          <w:szCs w:val="24"/>
        </w:rPr>
        <w:t>Ercelik, M., Ozden, A., Seker, E.</w:t>
      </w:r>
      <w:r>
        <w:rPr>
          <w:rFonts w:ascii="Times New Roman" w:hAnsi="Times New Roman" w:cs="Times New Roman"/>
          <w:noProof/>
          <w:szCs w:val="24"/>
        </w:rPr>
        <w:t xml:space="preserve"> and </w:t>
      </w:r>
      <w:r w:rsidRPr="00616DC7">
        <w:rPr>
          <w:rFonts w:ascii="Times New Roman" w:hAnsi="Times New Roman" w:cs="Times New Roman"/>
          <w:noProof/>
          <w:szCs w:val="24"/>
        </w:rPr>
        <w:t>Colpan, C. O. (2017). Characterization and performance evaluation of PtRu/CTiO</w:t>
      </w:r>
      <w:r w:rsidRPr="00616DC7">
        <w:rPr>
          <w:rFonts w:ascii="Times New Roman" w:hAnsi="Times New Roman" w:cs="Times New Roman"/>
          <w:noProof/>
          <w:szCs w:val="24"/>
          <w:vertAlign w:val="subscript"/>
        </w:rPr>
        <w:t>2</w:t>
      </w:r>
      <w:r w:rsidRPr="00616DC7">
        <w:rPr>
          <w:rFonts w:ascii="Times New Roman" w:hAnsi="Times New Roman" w:cs="Times New Roman"/>
          <w:noProof/>
          <w:szCs w:val="24"/>
        </w:rPr>
        <w:t xml:space="preserve"> anode electrocatalyst for DMFC applications. </w:t>
      </w:r>
      <w:r w:rsidRPr="00616DC7">
        <w:rPr>
          <w:rFonts w:ascii="Times New Roman" w:hAnsi="Times New Roman" w:cs="Times New Roman"/>
          <w:i/>
          <w:iCs/>
          <w:noProof/>
          <w:szCs w:val="24"/>
        </w:rPr>
        <w:t xml:space="preserve">International Journal </w:t>
      </w:r>
      <w:r>
        <w:rPr>
          <w:rFonts w:ascii="Times New Roman" w:hAnsi="Times New Roman" w:cs="Times New Roman"/>
          <w:i/>
          <w:iCs/>
          <w:noProof/>
          <w:szCs w:val="24"/>
        </w:rPr>
        <w:t>o</w:t>
      </w:r>
      <w:r w:rsidRPr="00616DC7">
        <w:rPr>
          <w:rFonts w:ascii="Times New Roman" w:hAnsi="Times New Roman" w:cs="Times New Roman"/>
          <w:i/>
          <w:iCs/>
          <w:noProof/>
          <w:szCs w:val="24"/>
        </w:rPr>
        <w:t xml:space="preserve">f Hydrogen Energy, </w:t>
      </w:r>
      <w:r w:rsidRPr="00616DC7">
        <w:rPr>
          <w:rFonts w:ascii="Times New Roman" w:hAnsi="Times New Roman" w:cs="Times New Roman"/>
          <w:noProof/>
          <w:szCs w:val="24"/>
        </w:rPr>
        <w:t>42(33)</w:t>
      </w:r>
      <w:r>
        <w:rPr>
          <w:rFonts w:ascii="Times New Roman" w:hAnsi="Times New Roman" w:cs="Times New Roman"/>
          <w:noProof/>
          <w:szCs w:val="24"/>
        </w:rPr>
        <w:t xml:space="preserve">: </w:t>
      </w:r>
      <w:r w:rsidRPr="00616DC7">
        <w:rPr>
          <w:rFonts w:ascii="Times New Roman" w:hAnsi="Times New Roman" w:cs="Times New Roman"/>
          <w:noProof/>
          <w:szCs w:val="24"/>
        </w:rPr>
        <w:t>21518-21529.</w:t>
      </w:r>
    </w:p>
    <w:p w14:paraId="05184730" w14:textId="6133D4F1" w:rsidR="00C62060" w:rsidRDefault="00616DC7" w:rsidP="00616DC7">
      <w:pPr>
        <w:pStyle w:val="ListParagraph"/>
        <w:numPr>
          <w:ilvl w:val="0"/>
          <w:numId w:val="3"/>
        </w:numPr>
        <w:adjustRightInd w:val="0"/>
        <w:ind w:hanging="720"/>
        <w:rPr>
          <w:rFonts w:ascii="Times New Roman" w:hAnsi="Times New Roman" w:cs="Times New Roman"/>
          <w:noProof/>
          <w:szCs w:val="24"/>
        </w:rPr>
      </w:pPr>
      <w:r w:rsidRPr="00616DC7">
        <w:rPr>
          <w:rFonts w:ascii="Times New Roman" w:hAnsi="Times New Roman" w:cs="Times New Roman"/>
          <w:noProof/>
          <w:szCs w:val="24"/>
        </w:rPr>
        <w:t>Liu, R., Guo, W., Sun, B., Pang, J., Pei, M.</w:t>
      </w:r>
      <w:r>
        <w:rPr>
          <w:rFonts w:ascii="Times New Roman" w:hAnsi="Times New Roman" w:cs="Times New Roman"/>
          <w:noProof/>
          <w:szCs w:val="24"/>
        </w:rPr>
        <w:t xml:space="preserve"> and </w:t>
      </w:r>
      <w:r w:rsidRPr="00616DC7">
        <w:rPr>
          <w:rFonts w:ascii="Times New Roman" w:hAnsi="Times New Roman" w:cs="Times New Roman"/>
          <w:noProof/>
          <w:szCs w:val="24"/>
        </w:rPr>
        <w:t>Zhou, G. (2015). Composites of rutile TiO</w:t>
      </w:r>
      <w:r w:rsidRPr="00616DC7">
        <w:rPr>
          <w:rFonts w:ascii="Times New Roman" w:hAnsi="Times New Roman" w:cs="Times New Roman"/>
          <w:noProof/>
          <w:szCs w:val="24"/>
          <w:vertAlign w:val="subscript"/>
        </w:rPr>
        <w:t>2</w:t>
      </w:r>
      <w:r w:rsidRPr="00616DC7">
        <w:rPr>
          <w:rFonts w:ascii="Times New Roman" w:hAnsi="Times New Roman" w:cs="Times New Roman"/>
          <w:noProof/>
          <w:szCs w:val="24"/>
        </w:rPr>
        <w:t xml:space="preserve"> nanorods loaded on graphene oxide nanosheet with enhanced electrochemical performance. </w:t>
      </w:r>
      <w:r w:rsidRPr="00616DC7">
        <w:rPr>
          <w:rFonts w:ascii="Times New Roman" w:hAnsi="Times New Roman" w:cs="Times New Roman"/>
          <w:i/>
          <w:iCs/>
          <w:noProof/>
          <w:szCs w:val="24"/>
        </w:rPr>
        <w:t xml:space="preserve">Electrochimica Acta, </w:t>
      </w:r>
      <w:r w:rsidRPr="00616DC7">
        <w:rPr>
          <w:rFonts w:ascii="Times New Roman" w:hAnsi="Times New Roman" w:cs="Times New Roman"/>
          <w:noProof/>
          <w:szCs w:val="24"/>
        </w:rPr>
        <w:t>156</w:t>
      </w:r>
      <w:r>
        <w:rPr>
          <w:rFonts w:ascii="Times New Roman" w:hAnsi="Times New Roman" w:cs="Times New Roman"/>
          <w:noProof/>
          <w:szCs w:val="24"/>
        </w:rPr>
        <w:t xml:space="preserve">: </w:t>
      </w:r>
      <w:r w:rsidRPr="00616DC7">
        <w:rPr>
          <w:rFonts w:ascii="Times New Roman" w:hAnsi="Times New Roman" w:cs="Times New Roman"/>
          <w:noProof/>
          <w:szCs w:val="24"/>
        </w:rPr>
        <w:t>274-282.</w:t>
      </w:r>
    </w:p>
    <w:p w14:paraId="0F6FA487" w14:textId="5B1F1DBE" w:rsidR="00C62060" w:rsidRDefault="00616DC7" w:rsidP="00616DC7">
      <w:pPr>
        <w:pStyle w:val="ListParagraph"/>
        <w:numPr>
          <w:ilvl w:val="0"/>
          <w:numId w:val="3"/>
        </w:numPr>
        <w:adjustRightInd w:val="0"/>
        <w:ind w:hanging="720"/>
        <w:rPr>
          <w:rFonts w:ascii="Times New Roman" w:hAnsi="Times New Roman" w:cs="Times New Roman"/>
          <w:noProof/>
          <w:szCs w:val="24"/>
        </w:rPr>
      </w:pPr>
      <w:r w:rsidRPr="00616DC7">
        <w:rPr>
          <w:rFonts w:ascii="Times New Roman" w:hAnsi="Times New Roman" w:cs="Times New Roman"/>
          <w:noProof/>
          <w:szCs w:val="24"/>
        </w:rPr>
        <w:t>Xiang, C., Guo, R., Lan, J., Jiang, S., Wang, C., Du, Z.</w:t>
      </w:r>
      <w:r>
        <w:rPr>
          <w:rFonts w:ascii="Times New Roman" w:hAnsi="Times New Roman" w:cs="Times New Roman"/>
          <w:noProof/>
          <w:szCs w:val="24"/>
        </w:rPr>
        <w:t xml:space="preserve"> and </w:t>
      </w:r>
      <w:r w:rsidRPr="00616DC7">
        <w:rPr>
          <w:rFonts w:ascii="Times New Roman" w:hAnsi="Times New Roman" w:cs="Times New Roman"/>
          <w:noProof/>
          <w:szCs w:val="24"/>
        </w:rPr>
        <w:t xml:space="preserve">Cheng, C. (2018). Self-assembling porous 3D titanium dioxide-reduced graphene oxide aerogel for the tunable absorption of oleic acid and RhodamineB dye. </w:t>
      </w:r>
      <w:r w:rsidRPr="00616DC7">
        <w:rPr>
          <w:rFonts w:ascii="Times New Roman" w:hAnsi="Times New Roman" w:cs="Times New Roman"/>
          <w:i/>
          <w:iCs/>
          <w:noProof/>
          <w:szCs w:val="24"/>
        </w:rPr>
        <w:t xml:space="preserve">Journal of Alloys and Compounds, </w:t>
      </w:r>
      <w:r w:rsidRPr="00616DC7">
        <w:rPr>
          <w:rFonts w:ascii="Times New Roman" w:hAnsi="Times New Roman" w:cs="Times New Roman"/>
          <w:noProof/>
          <w:szCs w:val="24"/>
        </w:rPr>
        <w:t>735</w:t>
      </w:r>
      <w:r>
        <w:rPr>
          <w:rFonts w:ascii="Times New Roman" w:hAnsi="Times New Roman" w:cs="Times New Roman"/>
          <w:noProof/>
          <w:szCs w:val="24"/>
        </w:rPr>
        <w:t xml:space="preserve">: </w:t>
      </w:r>
      <w:r w:rsidRPr="00616DC7">
        <w:rPr>
          <w:rFonts w:ascii="Times New Roman" w:hAnsi="Times New Roman" w:cs="Times New Roman"/>
          <w:noProof/>
          <w:szCs w:val="24"/>
        </w:rPr>
        <w:t>246-252.</w:t>
      </w:r>
    </w:p>
    <w:p w14:paraId="53C4E66E" w14:textId="396E7FFD" w:rsidR="00616DC7" w:rsidRDefault="00616DC7" w:rsidP="00616DC7">
      <w:pPr>
        <w:pStyle w:val="ListParagraph"/>
        <w:numPr>
          <w:ilvl w:val="0"/>
          <w:numId w:val="3"/>
        </w:numPr>
        <w:adjustRightInd w:val="0"/>
        <w:ind w:hanging="720"/>
        <w:rPr>
          <w:rFonts w:ascii="Times New Roman" w:hAnsi="Times New Roman" w:cs="Times New Roman"/>
          <w:noProof/>
          <w:szCs w:val="24"/>
        </w:rPr>
      </w:pPr>
      <w:r w:rsidRPr="00616DC7">
        <w:rPr>
          <w:rFonts w:ascii="Times New Roman" w:hAnsi="Times New Roman" w:cs="Times New Roman"/>
          <w:noProof/>
          <w:szCs w:val="24"/>
        </w:rPr>
        <w:t>Cordero-Borboa, A. E., Sterling-Black, E., Gómez-Cortés, A.</w:t>
      </w:r>
      <w:r w:rsidR="002E1646">
        <w:rPr>
          <w:rFonts w:ascii="Times New Roman" w:hAnsi="Times New Roman" w:cs="Times New Roman"/>
          <w:noProof/>
          <w:szCs w:val="24"/>
        </w:rPr>
        <w:t xml:space="preserve"> and </w:t>
      </w:r>
      <w:r w:rsidRPr="00616DC7">
        <w:rPr>
          <w:rFonts w:ascii="Times New Roman" w:hAnsi="Times New Roman" w:cs="Times New Roman"/>
          <w:noProof/>
          <w:szCs w:val="24"/>
        </w:rPr>
        <w:t>Vázquez-Zavala, A. (2003). X-ray diffraction evidence of the single solid solution character of bi-metallic Pt-Pd catalyst particles on an amorphous SiO</w:t>
      </w:r>
      <w:r w:rsidRPr="00B5455B">
        <w:rPr>
          <w:rFonts w:ascii="Times New Roman" w:hAnsi="Times New Roman" w:cs="Times New Roman"/>
          <w:noProof/>
          <w:szCs w:val="24"/>
          <w:vertAlign w:val="subscript"/>
        </w:rPr>
        <w:t>2</w:t>
      </w:r>
      <w:r w:rsidRPr="00616DC7">
        <w:rPr>
          <w:rFonts w:ascii="Times New Roman" w:hAnsi="Times New Roman" w:cs="Times New Roman"/>
          <w:noProof/>
          <w:szCs w:val="24"/>
        </w:rPr>
        <w:t xml:space="preserve"> substrate. </w:t>
      </w:r>
      <w:r w:rsidRPr="00B5455B">
        <w:rPr>
          <w:rFonts w:ascii="Times New Roman" w:hAnsi="Times New Roman" w:cs="Times New Roman"/>
          <w:i/>
          <w:iCs/>
          <w:noProof/>
          <w:szCs w:val="24"/>
        </w:rPr>
        <w:t xml:space="preserve">Applied </w:t>
      </w:r>
      <w:r w:rsidR="00B5455B" w:rsidRPr="00B5455B">
        <w:rPr>
          <w:rFonts w:ascii="Times New Roman" w:hAnsi="Times New Roman" w:cs="Times New Roman"/>
          <w:i/>
          <w:iCs/>
          <w:noProof/>
          <w:szCs w:val="24"/>
        </w:rPr>
        <w:t xml:space="preserve">Surface Science, </w:t>
      </w:r>
      <w:r w:rsidRPr="00616DC7">
        <w:rPr>
          <w:rFonts w:ascii="Times New Roman" w:hAnsi="Times New Roman" w:cs="Times New Roman"/>
          <w:noProof/>
          <w:szCs w:val="24"/>
        </w:rPr>
        <w:t>220(1-4)</w:t>
      </w:r>
      <w:r w:rsidR="00B5455B">
        <w:rPr>
          <w:rFonts w:ascii="Times New Roman" w:hAnsi="Times New Roman" w:cs="Times New Roman"/>
          <w:noProof/>
          <w:szCs w:val="24"/>
        </w:rPr>
        <w:t xml:space="preserve">: </w:t>
      </w:r>
      <w:r w:rsidRPr="00616DC7">
        <w:rPr>
          <w:rFonts w:ascii="Times New Roman" w:hAnsi="Times New Roman" w:cs="Times New Roman"/>
          <w:noProof/>
          <w:szCs w:val="24"/>
        </w:rPr>
        <w:t>169-174.</w:t>
      </w:r>
    </w:p>
    <w:p w14:paraId="412C8E38" w14:textId="74D4BBB9" w:rsidR="00C62060" w:rsidRDefault="00B5455B" w:rsidP="00B5455B">
      <w:pPr>
        <w:pStyle w:val="ListParagraph"/>
        <w:numPr>
          <w:ilvl w:val="0"/>
          <w:numId w:val="3"/>
        </w:numPr>
        <w:adjustRightInd w:val="0"/>
        <w:ind w:hanging="720"/>
        <w:rPr>
          <w:rFonts w:ascii="Times New Roman" w:hAnsi="Times New Roman" w:cs="Times New Roman"/>
          <w:noProof/>
          <w:szCs w:val="24"/>
        </w:rPr>
      </w:pPr>
      <w:r w:rsidRPr="00B5455B">
        <w:rPr>
          <w:rFonts w:ascii="Times New Roman" w:hAnsi="Times New Roman" w:cs="Times New Roman"/>
          <w:noProof/>
          <w:szCs w:val="24"/>
        </w:rPr>
        <w:t xml:space="preserve">Vorokh, A. S. (2018). Scherrer formula: estimation of error in determining small nanoparticle size. </w:t>
      </w:r>
      <w:r w:rsidRPr="00223217">
        <w:rPr>
          <w:rFonts w:ascii="Times New Roman" w:hAnsi="Times New Roman" w:cs="Times New Roman"/>
          <w:i/>
          <w:iCs/>
          <w:noProof/>
          <w:szCs w:val="24"/>
        </w:rPr>
        <w:t>Nanosyst</w:t>
      </w:r>
      <w:r>
        <w:rPr>
          <w:rFonts w:ascii="Times New Roman" w:hAnsi="Times New Roman" w:cs="Times New Roman"/>
          <w:i/>
          <w:iCs/>
          <w:noProof/>
          <w:szCs w:val="24"/>
        </w:rPr>
        <w:t>em</w:t>
      </w:r>
      <w:r w:rsidRPr="00223217">
        <w:rPr>
          <w:rFonts w:ascii="Times New Roman" w:hAnsi="Times New Roman" w:cs="Times New Roman"/>
          <w:i/>
          <w:iCs/>
          <w:noProof/>
          <w:szCs w:val="24"/>
        </w:rPr>
        <w:t xml:space="preserve"> Physics Chem</w:t>
      </w:r>
      <w:r>
        <w:rPr>
          <w:rFonts w:ascii="Times New Roman" w:hAnsi="Times New Roman" w:cs="Times New Roman"/>
          <w:i/>
          <w:iCs/>
          <w:noProof/>
          <w:szCs w:val="24"/>
        </w:rPr>
        <w:t>istry</w:t>
      </w:r>
      <w:r w:rsidRPr="00223217">
        <w:rPr>
          <w:rFonts w:ascii="Times New Roman" w:hAnsi="Times New Roman" w:cs="Times New Roman"/>
          <w:i/>
          <w:iCs/>
          <w:noProof/>
          <w:szCs w:val="24"/>
        </w:rPr>
        <w:t xml:space="preserve"> Math</w:t>
      </w:r>
      <w:r>
        <w:rPr>
          <w:rFonts w:ascii="Times New Roman" w:hAnsi="Times New Roman" w:cs="Times New Roman"/>
          <w:i/>
          <w:iCs/>
          <w:noProof/>
          <w:szCs w:val="24"/>
        </w:rPr>
        <w:t>ematics</w:t>
      </w:r>
      <w:r w:rsidRPr="00223217">
        <w:rPr>
          <w:rFonts w:ascii="Times New Roman" w:hAnsi="Times New Roman" w:cs="Times New Roman"/>
          <w:noProof/>
          <w:szCs w:val="24"/>
        </w:rPr>
        <w:t>, pp. 364</w:t>
      </w:r>
      <w:r>
        <w:rPr>
          <w:rFonts w:ascii="Times New Roman" w:hAnsi="Times New Roman" w:cs="Times New Roman"/>
          <w:noProof/>
          <w:szCs w:val="24"/>
        </w:rPr>
        <w:t>-</w:t>
      </w:r>
      <w:r w:rsidRPr="00223217">
        <w:rPr>
          <w:rFonts w:ascii="Times New Roman" w:hAnsi="Times New Roman" w:cs="Times New Roman"/>
          <w:noProof/>
          <w:szCs w:val="24"/>
        </w:rPr>
        <w:t>369</w:t>
      </w:r>
      <w:r>
        <w:rPr>
          <w:rFonts w:ascii="Times New Roman" w:hAnsi="Times New Roman" w:cs="Times New Roman"/>
          <w:noProof/>
          <w:szCs w:val="24"/>
        </w:rPr>
        <w:t>.</w:t>
      </w:r>
    </w:p>
    <w:p w14:paraId="6558DC59" w14:textId="57B3959C" w:rsidR="00C62060" w:rsidRDefault="00B5455B" w:rsidP="004460C3">
      <w:pPr>
        <w:pStyle w:val="ListParagraph"/>
        <w:numPr>
          <w:ilvl w:val="0"/>
          <w:numId w:val="3"/>
        </w:numPr>
        <w:adjustRightInd w:val="0"/>
        <w:ind w:hanging="720"/>
        <w:rPr>
          <w:rFonts w:ascii="Times New Roman" w:hAnsi="Times New Roman" w:cs="Times New Roman"/>
          <w:noProof/>
          <w:szCs w:val="24"/>
        </w:rPr>
      </w:pPr>
      <w:r w:rsidRPr="00B5455B">
        <w:rPr>
          <w:rFonts w:ascii="Times New Roman" w:hAnsi="Times New Roman" w:cs="Times New Roman"/>
          <w:noProof/>
          <w:szCs w:val="24"/>
        </w:rPr>
        <w:t xml:space="preserve">Stankovich, S., Dikin, D. A., Piner, R. D., Kohlhaas, K. A., Kleinhammes, A., Jia, Y., ... </w:t>
      </w:r>
      <w:r w:rsidR="004460C3">
        <w:rPr>
          <w:rFonts w:ascii="Times New Roman" w:hAnsi="Times New Roman" w:cs="Times New Roman"/>
          <w:noProof/>
          <w:szCs w:val="24"/>
        </w:rPr>
        <w:t xml:space="preserve">and </w:t>
      </w:r>
      <w:r w:rsidRPr="00B5455B">
        <w:rPr>
          <w:rFonts w:ascii="Times New Roman" w:hAnsi="Times New Roman" w:cs="Times New Roman"/>
          <w:noProof/>
          <w:szCs w:val="24"/>
        </w:rPr>
        <w:t>Ruoff, R. S. (2007). Synthesis of graphene-based nanosheets via chemical reduction of exfoliated graphite oxide. carbon, 45(7)</w:t>
      </w:r>
      <w:r w:rsidR="004460C3">
        <w:rPr>
          <w:rFonts w:ascii="Times New Roman" w:hAnsi="Times New Roman" w:cs="Times New Roman"/>
          <w:noProof/>
          <w:szCs w:val="24"/>
        </w:rPr>
        <w:t>:</w:t>
      </w:r>
      <w:r w:rsidRPr="00B5455B">
        <w:rPr>
          <w:rFonts w:ascii="Times New Roman" w:hAnsi="Times New Roman" w:cs="Times New Roman"/>
          <w:noProof/>
          <w:szCs w:val="24"/>
        </w:rPr>
        <w:t xml:space="preserve"> 1558-1565.</w:t>
      </w:r>
    </w:p>
    <w:p w14:paraId="1D0A32A7" w14:textId="64394400" w:rsidR="00C62060" w:rsidRDefault="004460C3" w:rsidP="004460C3">
      <w:pPr>
        <w:pStyle w:val="ListParagraph"/>
        <w:numPr>
          <w:ilvl w:val="0"/>
          <w:numId w:val="3"/>
        </w:numPr>
        <w:adjustRightInd w:val="0"/>
        <w:ind w:hanging="720"/>
        <w:rPr>
          <w:rFonts w:ascii="Times New Roman" w:hAnsi="Times New Roman" w:cs="Times New Roman"/>
          <w:noProof/>
          <w:szCs w:val="24"/>
        </w:rPr>
      </w:pPr>
      <w:r w:rsidRPr="004460C3">
        <w:rPr>
          <w:rFonts w:ascii="Times New Roman" w:hAnsi="Times New Roman" w:cs="Times New Roman"/>
          <w:noProof/>
          <w:szCs w:val="24"/>
        </w:rPr>
        <w:t>Zhu, Y., Murali, S., Cai, W., Li, X., Suk, J. W., Potts, J. R.</w:t>
      </w:r>
      <w:r>
        <w:rPr>
          <w:rFonts w:ascii="Times New Roman" w:hAnsi="Times New Roman" w:cs="Times New Roman"/>
          <w:noProof/>
          <w:szCs w:val="24"/>
        </w:rPr>
        <w:t xml:space="preserve"> and </w:t>
      </w:r>
      <w:r w:rsidRPr="004460C3">
        <w:rPr>
          <w:rFonts w:ascii="Times New Roman" w:hAnsi="Times New Roman" w:cs="Times New Roman"/>
          <w:noProof/>
          <w:szCs w:val="24"/>
        </w:rPr>
        <w:t xml:space="preserve">Ruoff, R. S. (2010). Graphene and graphene oxide: synthesis, properties, and applications. </w:t>
      </w:r>
      <w:r w:rsidRPr="004460C3">
        <w:rPr>
          <w:rFonts w:ascii="Times New Roman" w:hAnsi="Times New Roman" w:cs="Times New Roman"/>
          <w:i/>
          <w:iCs/>
          <w:noProof/>
          <w:szCs w:val="24"/>
        </w:rPr>
        <w:t xml:space="preserve">Advanced </w:t>
      </w:r>
      <w:r w:rsidRPr="004460C3">
        <w:rPr>
          <w:rFonts w:ascii="Times New Roman" w:hAnsi="Times New Roman" w:cs="Times New Roman"/>
          <w:i/>
          <w:iCs/>
          <w:noProof/>
          <w:szCs w:val="24"/>
        </w:rPr>
        <w:t xml:space="preserve">Materials, </w:t>
      </w:r>
      <w:r w:rsidRPr="004460C3">
        <w:rPr>
          <w:rFonts w:ascii="Times New Roman" w:hAnsi="Times New Roman" w:cs="Times New Roman"/>
          <w:noProof/>
          <w:szCs w:val="24"/>
        </w:rPr>
        <w:t>22(35)</w:t>
      </w:r>
      <w:r>
        <w:rPr>
          <w:rFonts w:ascii="Times New Roman" w:hAnsi="Times New Roman" w:cs="Times New Roman"/>
          <w:noProof/>
          <w:szCs w:val="24"/>
        </w:rPr>
        <w:t>:</w:t>
      </w:r>
      <w:r w:rsidRPr="004460C3">
        <w:rPr>
          <w:rFonts w:ascii="Times New Roman" w:hAnsi="Times New Roman" w:cs="Times New Roman"/>
          <w:noProof/>
          <w:szCs w:val="24"/>
        </w:rPr>
        <w:t xml:space="preserve"> 3906-3924.</w:t>
      </w:r>
    </w:p>
    <w:p w14:paraId="704CBA0E" w14:textId="77777777" w:rsidR="004460C3" w:rsidRDefault="004460C3" w:rsidP="004460C3">
      <w:pPr>
        <w:pStyle w:val="ListParagraph"/>
        <w:numPr>
          <w:ilvl w:val="0"/>
          <w:numId w:val="3"/>
        </w:numPr>
        <w:adjustRightInd w:val="0"/>
        <w:ind w:hanging="720"/>
        <w:rPr>
          <w:rFonts w:ascii="Times New Roman" w:hAnsi="Times New Roman" w:cs="Times New Roman"/>
          <w:noProof/>
          <w:szCs w:val="24"/>
        </w:rPr>
      </w:pPr>
      <w:r w:rsidRPr="004460C3">
        <w:rPr>
          <w:rFonts w:ascii="Times New Roman" w:hAnsi="Times New Roman" w:cs="Times New Roman"/>
          <w:noProof/>
          <w:szCs w:val="24"/>
        </w:rPr>
        <w:t xml:space="preserve">Li, Y., Cai, Q., Wang, L., Li, Q., Peng, X., Gao, B., </w:t>
      </w:r>
      <w:r>
        <w:rPr>
          <w:rFonts w:ascii="Times New Roman" w:hAnsi="Times New Roman" w:cs="Times New Roman"/>
          <w:noProof/>
          <w:szCs w:val="24"/>
        </w:rPr>
        <w:t xml:space="preserve">… and </w:t>
      </w:r>
      <w:r w:rsidRPr="004460C3">
        <w:rPr>
          <w:rFonts w:ascii="Times New Roman" w:hAnsi="Times New Roman" w:cs="Times New Roman"/>
          <w:noProof/>
          <w:szCs w:val="24"/>
        </w:rPr>
        <w:t>Chu, P. K. (2016). Mesoporous TiO</w:t>
      </w:r>
      <w:r w:rsidRPr="004460C3">
        <w:rPr>
          <w:rFonts w:ascii="Times New Roman" w:hAnsi="Times New Roman" w:cs="Times New Roman"/>
          <w:noProof/>
          <w:szCs w:val="24"/>
          <w:vertAlign w:val="subscript"/>
        </w:rPr>
        <w:t xml:space="preserve">2 </w:t>
      </w:r>
      <w:r w:rsidRPr="004460C3">
        <w:rPr>
          <w:rFonts w:ascii="Times New Roman" w:hAnsi="Times New Roman" w:cs="Times New Roman"/>
          <w:noProof/>
          <w:szCs w:val="24"/>
        </w:rPr>
        <w:t xml:space="preserve">nanocrystals/graphene as an efficient sulfur host material for high-performance lithium–sulfur batteries. </w:t>
      </w:r>
      <w:r w:rsidRPr="004460C3">
        <w:rPr>
          <w:rFonts w:ascii="Times New Roman" w:hAnsi="Times New Roman" w:cs="Times New Roman"/>
          <w:i/>
          <w:iCs/>
          <w:noProof/>
          <w:szCs w:val="24"/>
        </w:rPr>
        <w:t>ACS Applied Materials &amp; Interfaces,</w:t>
      </w:r>
      <w:r w:rsidRPr="004460C3">
        <w:rPr>
          <w:rFonts w:ascii="Times New Roman" w:hAnsi="Times New Roman" w:cs="Times New Roman"/>
          <w:noProof/>
          <w:szCs w:val="24"/>
        </w:rPr>
        <w:t xml:space="preserve"> 8(36)</w:t>
      </w:r>
      <w:r>
        <w:rPr>
          <w:rFonts w:ascii="Times New Roman" w:hAnsi="Times New Roman" w:cs="Times New Roman"/>
          <w:noProof/>
          <w:szCs w:val="24"/>
        </w:rPr>
        <w:t xml:space="preserve">: </w:t>
      </w:r>
      <w:r w:rsidRPr="004460C3">
        <w:rPr>
          <w:rFonts w:ascii="Times New Roman" w:hAnsi="Times New Roman" w:cs="Times New Roman"/>
          <w:noProof/>
          <w:szCs w:val="24"/>
        </w:rPr>
        <w:t>23784-23792.</w:t>
      </w:r>
    </w:p>
    <w:p w14:paraId="6E07B61D" w14:textId="01ECB0F1" w:rsidR="004460C3" w:rsidRPr="004460C3" w:rsidRDefault="00C62060" w:rsidP="004460C3">
      <w:pPr>
        <w:pStyle w:val="ListParagraph"/>
        <w:numPr>
          <w:ilvl w:val="0"/>
          <w:numId w:val="3"/>
        </w:numPr>
        <w:adjustRightInd w:val="0"/>
        <w:ind w:hanging="720"/>
        <w:rPr>
          <w:rFonts w:ascii="Times New Roman" w:hAnsi="Times New Roman" w:cs="Times New Roman"/>
          <w:noProof/>
          <w:szCs w:val="24"/>
        </w:rPr>
      </w:pPr>
      <w:r w:rsidRPr="004460C3">
        <w:rPr>
          <w:rFonts w:ascii="Times New Roman" w:hAnsi="Times New Roman" w:cs="Times New Roman"/>
          <w:noProof/>
          <w:szCs w:val="24"/>
        </w:rPr>
        <w:t xml:space="preserve">Norilhamiah, </w:t>
      </w:r>
      <w:r w:rsidR="004460C3" w:rsidRPr="004460C3">
        <w:rPr>
          <w:rFonts w:ascii="Times New Roman" w:hAnsi="Times New Roman" w:cs="Times New Roman"/>
          <w:noProof/>
          <w:szCs w:val="24"/>
        </w:rPr>
        <w:t xml:space="preserve">Y., </w:t>
      </w:r>
      <w:r w:rsidRPr="004460C3">
        <w:rPr>
          <w:rFonts w:ascii="Times New Roman" w:hAnsi="Times New Roman" w:cs="Times New Roman"/>
          <w:noProof/>
          <w:szCs w:val="24"/>
        </w:rPr>
        <w:t xml:space="preserve">Kamaruddin, </w:t>
      </w:r>
      <w:r w:rsidR="004460C3" w:rsidRPr="004460C3">
        <w:rPr>
          <w:rFonts w:ascii="Times New Roman" w:hAnsi="Times New Roman" w:cs="Times New Roman"/>
          <w:noProof/>
          <w:szCs w:val="24"/>
        </w:rPr>
        <w:t xml:space="preserve">S. K., </w:t>
      </w:r>
      <w:r w:rsidRPr="004460C3">
        <w:rPr>
          <w:rFonts w:ascii="Times New Roman" w:hAnsi="Times New Roman" w:cs="Times New Roman"/>
          <w:noProof/>
          <w:szCs w:val="24"/>
        </w:rPr>
        <w:t xml:space="preserve">Karim, </w:t>
      </w:r>
      <w:r w:rsidR="004460C3" w:rsidRPr="004460C3">
        <w:rPr>
          <w:rFonts w:ascii="Times New Roman" w:hAnsi="Times New Roman" w:cs="Times New Roman"/>
          <w:noProof/>
          <w:szCs w:val="24"/>
        </w:rPr>
        <w:t xml:space="preserve">N. A.,  </w:t>
      </w:r>
      <w:r w:rsidRPr="004460C3">
        <w:rPr>
          <w:rFonts w:ascii="Times New Roman" w:hAnsi="Times New Roman" w:cs="Times New Roman"/>
          <w:noProof/>
          <w:szCs w:val="24"/>
        </w:rPr>
        <w:t xml:space="preserve">Masdar, </w:t>
      </w:r>
      <w:r w:rsidR="004460C3" w:rsidRPr="004460C3">
        <w:rPr>
          <w:rFonts w:ascii="Times New Roman" w:hAnsi="Times New Roman" w:cs="Times New Roman"/>
          <w:noProof/>
          <w:szCs w:val="24"/>
        </w:rPr>
        <w:t xml:space="preserve">M. S. </w:t>
      </w:r>
      <w:r w:rsidRPr="004460C3">
        <w:rPr>
          <w:rFonts w:ascii="Times New Roman" w:hAnsi="Times New Roman" w:cs="Times New Roman"/>
          <w:noProof/>
          <w:szCs w:val="24"/>
        </w:rPr>
        <w:t xml:space="preserve">and Loh, </w:t>
      </w:r>
      <w:r w:rsidR="004460C3" w:rsidRPr="004460C3">
        <w:rPr>
          <w:rFonts w:ascii="Times New Roman" w:hAnsi="Times New Roman" w:cs="Times New Roman"/>
          <w:noProof/>
          <w:szCs w:val="24"/>
        </w:rPr>
        <w:t xml:space="preserve">K. S. (2017). </w:t>
      </w:r>
      <w:r w:rsidR="004460C3" w:rsidRPr="004460C3">
        <w:rPr>
          <w:rFonts w:ascii="Times New Roman" w:hAnsi="Times New Roman" w:cs="Times New Roman"/>
          <w:noProof/>
          <w:szCs w:val="24"/>
        </w:rPr>
        <w:t xml:space="preserve">Gliserol, P. E. (2017). Preliminary </w:t>
      </w:r>
      <w:r w:rsidR="004460C3" w:rsidRPr="004460C3">
        <w:rPr>
          <w:rFonts w:ascii="Times New Roman" w:hAnsi="Times New Roman" w:cs="Times New Roman"/>
          <w:noProof/>
          <w:szCs w:val="24"/>
        </w:rPr>
        <w:t>study on pd-based binary catalysts supported with carbon nanofiber for the electrooxidation of glycerol.</w:t>
      </w:r>
      <w:r w:rsidR="004460C3" w:rsidRPr="004460C3">
        <w:rPr>
          <w:rFonts w:ascii="Times New Roman" w:hAnsi="Times New Roman" w:cs="Times New Roman"/>
          <w:noProof/>
          <w:szCs w:val="24"/>
        </w:rPr>
        <w:t xml:space="preserve"> </w:t>
      </w:r>
      <w:r w:rsidR="004460C3" w:rsidRPr="004460C3">
        <w:rPr>
          <w:rFonts w:ascii="Times New Roman" w:hAnsi="Times New Roman" w:cs="Times New Roman"/>
          <w:i/>
          <w:iCs/>
          <w:noProof/>
          <w:szCs w:val="24"/>
        </w:rPr>
        <w:t xml:space="preserve">Malaysian Journal of Analytical Sciences, </w:t>
      </w:r>
      <w:r w:rsidR="004460C3" w:rsidRPr="004460C3">
        <w:rPr>
          <w:rFonts w:ascii="Times New Roman" w:hAnsi="Times New Roman" w:cs="Times New Roman"/>
          <w:noProof/>
          <w:szCs w:val="24"/>
        </w:rPr>
        <w:t>21(3)</w:t>
      </w:r>
      <w:r w:rsidR="004460C3" w:rsidRPr="004460C3">
        <w:rPr>
          <w:rFonts w:ascii="Times New Roman" w:hAnsi="Times New Roman" w:cs="Times New Roman"/>
          <w:noProof/>
          <w:szCs w:val="24"/>
        </w:rPr>
        <w:t xml:space="preserve">: </w:t>
      </w:r>
      <w:r w:rsidR="004460C3" w:rsidRPr="004460C3">
        <w:rPr>
          <w:rFonts w:ascii="Times New Roman" w:hAnsi="Times New Roman" w:cs="Times New Roman"/>
          <w:noProof/>
          <w:szCs w:val="24"/>
        </w:rPr>
        <w:t>700-708.</w:t>
      </w:r>
    </w:p>
    <w:p w14:paraId="73142549" w14:textId="764FBB88" w:rsidR="00C62060" w:rsidRDefault="00F85309" w:rsidP="00F85309">
      <w:pPr>
        <w:pStyle w:val="ListParagraph"/>
        <w:numPr>
          <w:ilvl w:val="0"/>
          <w:numId w:val="3"/>
        </w:numPr>
        <w:adjustRightInd w:val="0"/>
        <w:ind w:left="640" w:hanging="640"/>
        <w:rPr>
          <w:rFonts w:ascii="Times New Roman" w:hAnsi="Times New Roman" w:cs="Times New Roman"/>
          <w:noProof/>
          <w:szCs w:val="24"/>
        </w:rPr>
      </w:pPr>
      <w:r w:rsidRPr="00F85309">
        <w:rPr>
          <w:rFonts w:ascii="Times New Roman" w:hAnsi="Times New Roman" w:cs="Times New Roman"/>
          <w:noProof/>
          <w:szCs w:val="24"/>
        </w:rPr>
        <w:lastRenderedPageBreak/>
        <w:t xml:space="preserve">Ibrahim, S. A., Anwar, M. K., Ainuddin, A. R., Hariri, A., Rus, A. Z. M., Kamdi, Z., ... </w:t>
      </w:r>
      <w:r>
        <w:rPr>
          <w:rFonts w:ascii="Times New Roman" w:hAnsi="Times New Roman" w:cs="Times New Roman"/>
          <w:noProof/>
          <w:szCs w:val="24"/>
        </w:rPr>
        <w:t xml:space="preserve">and </w:t>
      </w:r>
      <w:r w:rsidRPr="00F85309">
        <w:rPr>
          <w:rFonts w:ascii="Times New Roman" w:hAnsi="Times New Roman" w:cs="Times New Roman"/>
          <w:noProof/>
          <w:szCs w:val="24"/>
        </w:rPr>
        <w:t>Harun, Z. (2019). Synthesis and characterization of visible light active Fe-TiO</w:t>
      </w:r>
      <w:r w:rsidRPr="00F85309">
        <w:rPr>
          <w:rFonts w:ascii="Times New Roman" w:hAnsi="Times New Roman" w:cs="Times New Roman"/>
          <w:noProof/>
          <w:szCs w:val="24"/>
          <w:vertAlign w:val="subscript"/>
        </w:rPr>
        <w:t>2</w:t>
      </w:r>
      <w:r w:rsidRPr="00F85309">
        <w:rPr>
          <w:rFonts w:ascii="Times New Roman" w:hAnsi="Times New Roman" w:cs="Times New Roman"/>
          <w:noProof/>
          <w:szCs w:val="24"/>
        </w:rPr>
        <w:t xml:space="preserve"> using hydrothermal method. </w:t>
      </w:r>
      <w:r w:rsidRPr="00F85309">
        <w:rPr>
          <w:rFonts w:ascii="Times New Roman" w:hAnsi="Times New Roman" w:cs="Times New Roman"/>
          <w:i/>
          <w:iCs/>
          <w:noProof/>
          <w:szCs w:val="24"/>
        </w:rPr>
        <w:t>International Journal of Integrated Engineering,</w:t>
      </w:r>
      <w:r w:rsidRPr="00F85309">
        <w:rPr>
          <w:rFonts w:ascii="Times New Roman" w:hAnsi="Times New Roman" w:cs="Times New Roman"/>
          <w:noProof/>
          <w:szCs w:val="24"/>
        </w:rPr>
        <w:t xml:space="preserve"> 11(5)</w:t>
      </w:r>
      <w:r>
        <w:rPr>
          <w:rFonts w:ascii="Times New Roman" w:hAnsi="Times New Roman" w:cs="Times New Roman"/>
          <w:noProof/>
          <w:szCs w:val="24"/>
        </w:rPr>
        <w:t>:</w:t>
      </w:r>
      <w:r w:rsidRPr="00F85309">
        <w:rPr>
          <w:rFonts w:ascii="Times New Roman" w:hAnsi="Times New Roman" w:cs="Times New Roman"/>
          <w:noProof/>
          <w:szCs w:val="24"/>
        </w:rPr>
        <w:t xml:space="preserve"> 80-85.</w:t>
      </w:r>
    </w:p>
    <w:p w14:paraId="6BDA497D" w14:textId="3A223A50" w:rsidR="00F85309" w:rsidRDefault="00F85309" w:rsidP="00F85309">
      <w:pPr>
        <w:pStyle w:val="ListParagraph"/>
        <w:numPr>
          <w:ilvl w:val="0"/>
          <w:numId w:val="3"/>
        </w:numPr>
        <w:adjustRightInd w:val="0"/>
        <w:ind w:left="640" w:hanging="640"/>
        <w:rPr>
          <w:rFonts w:ascii="Times New Roman" w:hAnsi="Times New Roman" w:cs="Times New Roman"/>
          <w:noProof/>
          <w:szCs w:val="24"/>
        </w:rPr>
      </w:pPr>
      <w:r w:rsidRPr="00F85309">
        <w:rPr>
          <w:rFonts w:ascii="Times New Roman" w:hAnsi="Times New Roman" w:cs="Times New Roman"/>
          <w:noProof/>
          <w:szCs w:val="24"/>
        </w:rPr>
        <w:t>Shaari, N.</w:t>
      </w:r>
      <w:r>
        <w:rPr>
          <w:rFonts w:ascii="Times New Roman" w:hAnsi="Times New Roman" w:cs="Times New Roman"/>
          <w:noProof/>
          <w:szCs w:val="24"/>
        </w:rPr>
        <w:t xml:space="preserve"> and </w:t>
      </w:r>
      <w:r w:rsidRPr="00F85309">
        <w:rPr>
          <w:rFonts w:ascii="Times New Roman" w:hAnsi="Times New Roman" w:cs="Times New Roman"/>
          <w:noProof/>
          <w:szCs w:val="24"/>
        </w:rPr>
        <w:t xml:space="preserve">Kamarudin, S. K. (2019). Current status, opportunities, and challenges in fuel cell catalytic application of aerogels. </w:t>
      </w:r>
      <w:r w:rsidRPr="00F85309">
        <w:rPr>
          <w:rFonts w:ascii="Times New Roman" w:hAnsi="Times New Roman" w:cs="Times New Roman"/>
          <w:i/>
          <w:iCs/>
          <w:noProof/>
          <w:szCs w:val="24"/>
        </w:rPr>
        <w:t xml:space="preserve">International Journal of Energy Research, </w:t>
      </w:r>
      <w:r w:rsidRPr="00F85309">
        <w:rPr>
          <w:rFonts w:ascii="Times New Roman" w:hAnsi="Times New Roman" w:cs="Times New Roman"/>
          <w:noProof/>
          <w:szCs w:val="24"/>
        </w:rPr>
        <w:t>43(7)</w:t>
      </w:r>
      <w:r>
        <w:rPr>
          <w:rFonts w:ascii="Times New Roman" w:hAnsi="Times New Roman" w:cs="Times New Roman"/>
          <w:noProof/>
          <w:szCs w:val="24"/>
        </w:rPr>
        <w:t>:</w:t>
      </w:r>
      <w:r w:rsidRPr="00F85309">
        <w:rPr>
          <w:rFonts w:ascii="Times New Roman" w:hAnsi="Times New Roman" w:cs="Times New Roman"/>
          <w:noProof/>
          <w:szCs w:val="24"/>
        </w:rPr>
        <w:t xml:space="preserve"> 2447-2467.</w:t>
      </w:r>
    </w:p>
    <w:p w14:paraId="5626C1BF" w14:textId="3B4244FA" w:rsidR="00C62060" w:rsidRDefault="00F85309" w:rsidP="00F85309">
      <w:pPr>
        <w:pStyle w:val="ListParagraph"/>
        <w:numPr>
          <w:ilvl w:val="0"/>
          <w:numId w:val="3"/>
        </w:numPr>
        <w:adjustRightInd w:val="0"/>
        <w:ind w:left="640" w:hanging="640"/>
        <w:rPr>
          <w:rFonts w:ascii="Times New Roman" w:hAnsi="Times New Roman" w:cs="Times New Roman"/>
          <w:noProof/>
          <w:szCs w:val="24"/>
        </w:rPr>
      </w:pPr>
      <w:r w:rsidRPr="00F85309">
        <w:rPr>
          <w:rFonts w:ascii="Times New Roman" w:hAnsi="Times New Roman" w:cs="Times New Roman"/>
          <w:noProof/>
          <w:szCs w:val="24"/>
        </w:rPr>
        <w:t>Basri, S., Kamarudin, S. K., Daud, W. R. W., Yaakob, Z.</w:t>
      </w:r>
      <w:r>
        <w:rPr>
          <w:rFonts w:ascii="Times New Roman" w:hAnsi="Times New Roman" w:cs="Times New Roman"/>
          <w:noProof/>
          <w:szCs w:val="24"/>
        </w:rPr>
        <w:t xml:space="preserve"> and </w:t>
      </w:r>
      <w:r w:rsidRPr="00F85309">
        <w:rPr>
          <w:rFonts w:ascii="Times New Roman" w:hAnsi="Times New Roman" w:cs="Times New Roman"/>
          <w:noProof/>
          <w:szCs w:val="24"/>
        </w:rPr>
        <w:t xml:space="preserve">Kadhum, A. A. H. (2014). Novel anode catalyst for direct methanol fuel cells. </w:t>
      </w:r>
      <w:r w:rsidRPr="00F85309">
        <w:rPr>
          <w:rFonts w:ascii="Times New Roman" w:hAnsi="Times New Roman" w:cs="Times New Roman"/>
          <w:i/>
          <w:iCs/>
          <w:noProof/>
          <w:szCs w:val="24"/>
        </w:rPr>
        <w:t xml:space="preserve">The Scientific World Journal, </w:t>
      </w:r>
      <w:r w:rsidRPr="00F85309">
        <w:rPr>
          <w:rFonts w:ascii="Times New Roman" w:hAnsi="Times New Roman" w:cs="Times New Roman"/>
          <w:noProof/>
          <w:szCs w:val="24"/>
        </w:rPr>
        <w:t>2014</w:t>
      </w:r>
      <w:r>
        <w:rPr>
          <w:rFonts w:ascii="Times New Roman" w:hAnsi="Times New Roman" w:cs="Times New Roman"/>
          <w:noProof/>
          <w:szCs w:val="24"/>
        </w:rPr>
        <w:t xml:space="preserve">: </w:t>
      </w:r>
      <w:r w:rsidR="00C62060" w:rsidRPr="00F85309">
        <w:rPr>
          <w:rFonts w:ascii="Times New Roman" w:hAnsi="Times New Roman" w:cs="Times New Roman"/>
          <w:noProof/>
          <w:szCs w:val="24"/>
        </w:rPr>
        <w:t>547604</w:t>
      </w:r>
      <w:r>
        <w:rPr>
          <w:rFonts w:ascii="Times New Roman" w:hAnsi="Times New Roman" w:cs="Times New Roman"/>
          <w:noProof/>
          <w:szCs w:val="24"/>
        </w:rPr>
        <w:t>.</w:t>
      </w:r>
    </w:p>
    <w:p w14:paraId="785D0C00" w14:textId="6D73E942" w:rsidR="00F85309" w:rsidRPr="00F85309" w:rsidRDefault="00F85309" w:rsidP="00F85309">
      <w:pPr>
        <w:pStyle w:val="ListParagraph"/>
        <w:numPr>
          <w:ilvl w:val="0"/>
          <w:numId w:val="3"/>
        </w:numPr>
        <w:adjustRightInd w:val="0"/>
        <w:ind w:left="640" w:hanging="640"/>
        <w:rPr>
          <w:rFonts w:ascii="Times New Roman" w:hAnsi="Times New Roman" w:cs="Times New Roman"/>
          <w:noProof/>
          <w:szCs w:val="24"/>
        </w:rPr>
      </w:pPr>
      <w:r w:rsidRPr="00F85309">
        <w:rPr>
          <w:rFonts w:ascii="Times New Roman" w:hAnsi="Times New Roman" w:cs="Times New Roman" w:hint="eastAsia"/>
          <w:noProof/>
          <w:szCs w:val="24"/>
        </w:rPr>
        <w:t>Ramli, Z. A., Kamarudin, S. K., Basri, S.</w:t>
      </w:r>
      <w:r>
        <w:rPr>
          <w:rFonts w:ascii="Times New Roman" w:hAnsi="Times New Roman" w:cs="Times New Roman"/>
          <w:noProof/>
          <w:szCs w:val="24"/>
        </w:rPr>
        <w:t xml:space="preserve"> and </w:t>
      </w:r>
      <w:r w:rsidRPr="00F85309">
        <w:rPr>
          <w:rFonts w:ascii="Times New Roman" w:hAnsi="Times New Roman" w:cs="Times New Roman" w:hint="eastAsia"/>
          <w:noProof/>
          <w:szCs w:val="24"/>
        </w:rPr>
        <w:t>Zainoodin, A. M. (2020). The potential of novel carbon nanocages as a carbon support for an enhanced methanol electro</w:t>
      </w:r>
      <w:r>
        <w:rPr>
          <w:rFonts w:ascii="Times New Roman" w:eastAsia="Malgun Gothic" w:hAnsi="Times New Roman" w:cs="Times New Roman" w:hint="eastAsia"/>
          <w:noProof/>
          <w:szCs w:val="24"/>
        </w:rPr>
        <w:t xml:space="preserve"> </w:t>
      </w:r>
      <w:r>
        <w:rPr>
          <w:rFonts w:ascii="Times New Roman" w:eastAsia="Malgun Gothic" w:hAnsi="Times New Roman" w:cs="Times New Roman"/>
          <w:noProof/>
          <w:szCs w:val="24"/>
        </w:rPr>
        <w:t xml:space="preserve">- </w:t>
      </w:r>
      <w:r w:rsidRPr="00F85309">
        <w:rPr>
          <w:rFonts w:ascii="Times New Roman" w:hAnsi="Times New Roman" w:cs="Times New Roman" w:hint="eastAsia"/>
          <w:noProof/>
          <w:szCs w:val="24"/>
        </w:rPr>
        <w:t xml:space="preserve">oxidation reaction in a direct methanol fuel cell. </w:t>
      </w:r>
      <w:r w:rsidRPr="00F85309">
        <w:rPr>
          <w:rFonts w:ascii="Times New Roman" w:hAnsi="Times New Roman" w:cs="Times New Roman" w:hint="eastAsia"/>
          <w:i/>
          <w:iCs/>
          <w:noProof/>
          <w:szCs w:val="24"/>
        </w:rPr>
        <w:t xml:space="preserve">International Journal of Energy Research, </w:t>
      </w:r>
      <w:r w:rsidRPr="00F85309">
        <w:rPr>
          <w:rFonts w:ascii="Times New Roman" w:hAnsi="Times New Roman" w:cs="Times New Roman"/>
          <w:noProof/>
          <w:szCs w:val="24"/>
        </w:rPr>
        <w:t>44(13)</w:t>
      </w:r>
      <w:r>
        <w:rPr>
          <w:rFonts w:ascii="Times New Roman" w:hAnsi="Times New Roman" w:cs="Times New Roman"/>
          <w:noProof/>
          <w:szCs w:val="24"/>
        </w:rPr>
        <w:t xml:space="preserve">: </w:t>
      </w:r>
      <w:r w:rsidRPr="00F85309">
        <w:rPr>
          <w:rFonts w:ascii="Times New Roman" w:hAnsi="Times New Roman" w:cs="Times New Roman"/>
          <w:noProof/>
          <w:szCs w:val="24"/>
        </w:rPr>
        <w:t>10071-10086.</w:t>
      </w:r>
    </w:p>
    <w:p w14:paraId="2D223F8E" w14:textId="4A31D5EF" w:rsidR="00C62060" w:rsidRPr="00223217" w:rsidRDefault="00C62060" w:rsidP="003A2A26">
      <w:pPr>
        <w:jc w:val="center"/>
        <w:outlineLvl w:val="0"/>
        <w:rPr>
          <w:rFonts w:ascii="Times New Roman" w:hAnsi="Times New Roman" w:cs="Times New Roman"/>
          <w:b/>
          <w:szCs w:val="20"/>
        </w:rPr>
      </w:pPr>
      <w:r w:rsidRPr="00223217">
        <w:rPr>
          <w:rFonts w:ascii="Times New Roman" w:hAnsi="Times New Roman" w:cs="Times New Roman"/>
          <w:b/>
          <w:szCs w:val="20"/>
        </w:rPr>
        <w:fldChar w:fldCharType="end"/>
      </w:r>
    </w:p>
    <w:sectPr w:rsidR="00C62060" w:rsidRPr="00223217" w:rsidSect="00223217">
      <w:headerReference w:type="default" r:id="rId13"/>
      <w:footerReference w:type="default" r:id="rId1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D94F" w14:textId="77777777" w:rsidR="0039006B" w:rsidRDefault="0039006B" w:rsidP="006B61BE">
      <w:r>
        <w:separator/>
      </w:r>
    </w:p>
  </w:endnote>
  <w:endnote w:type="continuationSeparator" w:id="0">
    <w:p w14:paraId="108FE274" w14:textId="77777777" w:rsidR="0039006B" w:rsidRDefault="0039006B"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OT569473da">
    <w:altName w:val="Cambria"/>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360CB937" w14:textId="77777777" w:rsidR="00F4378D" w:rsidRDefault="00F4378D">
        <w:pPr>
          <w:pStyle w:val="Footer"/>
          <w:jc w:val="right"/>
        </w:pPr>
        <w:r>
          <w:fldChar w:fldCharType="begin"/>
        </w:r>
        <w:r>
          <w:instrText xml:space="preserve"> PAGE   \* MERGEFORMAT </w:instrText>
        </w:r>
        <w:r>
          <w:fldChar w:fldCharType="separate"/>
        </w:r>
        <w:r w:rsidR="005B64EA">
          <w:rPr>
            <w:noProof/>
          </w:rPr>
          <w:t>3</w:t>
        </w:r>
        <w:r>
          <w:rPr>
            <w:noProof/>
          </w:rPr>
          <w:fldChar w:fldCharType="end"/>
        </w:r>
      </w:p>
    </w:sdtContent>
  </w:sdt>
  <w:p w14:paraId="212A3D3D"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CFF9" w14:textId="77777777" w:rsidR="0039006B" w:rsidRDefault="0039006B" w:rsidP="006B61BE">
      <w:r>
        <w:separator/>
      </w:r>
    </w:p>
  </w:footnote>
  <w:footnote w:type="continuationSeparator" w:id="0">
    <w:p w14:paraId="35D57152" w14:textId="77777777" w:rsidR="0039006B" w:rsidRDefault="0039006B"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1826" w14:textId="57128DD4" w:rsidR="00F4378D" w:rsidRPr="00F4378D" w:rsidRDefault="00F4378D"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w:t>
    </w:r>
  </w:p>
  <w:p w14:paraId="4043522E" w14:textId="77777777" w:rsidR="006B61BE" w:rsidRDefault="006B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D11D5"/>
    <w:multiLevelType w:val="multilevel"/>
    <w:tmpl w:val="1910E73E"/>
    <w:lvl w:ilvl="0">
      <w:start w:val="1"/>
      <w:numFmt w:val="decimal"/>
      <w:lvlText w:val="%1."/>
      <w:lvlJc w:val="left"/>
      <w:pPr>
        <w:ind w:left="720" w:hanging="360"/>
      </w:pPr>
      <w:rPr>
        <w:rFonts w:hint="default"/>
      </w:rPr>
    </w:lvl>
    <w:lvl w:ilvl="1">
      <w:start w:val="1"/>
      <w:numFmt w:val="decimal"/>
      <w:isLgl/>
      <w:lvlText w:val="%1.%2."/>
      <w:lvlJc w:val="left"/>
      <w:pPr>
        <w:ind w:left="105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C3B31B0"/>
    <w:multiLevelType w:val="hybridMultilevel"/>
    <w:tmpl w:val="F33CD3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wtDAzNjKwMDMxtzRV0lEKTi0uzszPAykwrAUAAEQL6CwAAAA="/>
  </w:docVars>
  <w:rsids>
    <w:rsidRoot w:val="00785CA6"/>
    <w:rsid w:val="00022CA8"/>
    <w:rsid w:val="00092B1E"/>
    <w:rsid w:val="001871B4"/>
    <w:rsid w:val="00223217"/>
    <w:rsid w:val="0026268A"/>
    <w:rsid w:val="002E1646"/>
    <w:rsid w:val="00324132"/>
    <w:rsid w:val="003816E6"/>
    <w:rsid w:val="0039006B"/>
    <w:rsid w:val="003A2A26"/>
    <w:rsid w:val="003A6234"/>
    <w:rsid w:val="003A7D9E"/>
    <w:rsid w:val="003F3701"/>
    <w:rsid w:val="00414563"/>
    <w:rsid w:val="004460C3"/>
    <w:rsid w:val="004B06E9"/>
    <w:rsid w:val="004E5EE2"/>
    <w:rsid w:val="00537626"/>
    <w:rsid w:val="005B64EA"/>
    <w:rsid w:val="0060418B"/>
    <w:rsid w:val="00607F26"/>
    <w:rsid w:val="00616DC7"/>
    <w:rsid w:val="0066186E"/>
    <w:rsid w:val="006651EF"/>
    <w:rsid w:val="006752F3"/>
    <w:rsid w:val="00685C81"/>
    <w:rsid w:val="006B61BE"/>
    <w:rsid w:val="00713919"/>
    <w:rsid w:val="00747021"/>
    <w:rsid w:val="00763E99"/>
    <w:rsid w:val="0077276F"/>
    <w:rsid w:val="00785CA6"/>
    <w:rsid w:val="0082319D"/>
    <w:rsid w:val="00855B26"/>
    <w:rsid w:val="00893C65"/>
    <w:rsid w:val="009B2F79"/>
    <w:rsid w:val="009C4E07"/>
    <w:rsid w:val="00A415C1"/>
    <w:rsid w:val="00AC3B7D"/>
    <w:rsid w:val="00B5455B"/>
    <w:rsid w:val="00BD1340"/>
    <w:rsid w:val="00C62060"/>
    <w:rsid w:val="00CB4FE2"/>
    <w:rsid w:val="00CC3BBA"/>
    <w:rsid w:val="00CE4FF9"/>
    <w:rsid w:val="00CF3738"/>
    <w:rsid w:val="00D75333"/>
    <w:rsid w:val="00DE73D6"/>
    <w:rsid w:val="00EC2064"/>
    <w:rsid w:val="00F32069"/>
    <w:rsid w:val="00F3665B"/>
    <w:rsid w:val="00F4378D"/>
    <w:rsid w:val="00F853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6757"/>
  <w15:docId w15:val="{7D38B4BF-CF27-4EC5-B253-27B4E07E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Normal"/>
    <w:link w:val="Heading2Char"/>
    <w:uiPriority w:val="9"/>
    <w:unhideWhenUsed/>
    <w:qFormat/>
    <w:rsid w:val="00C62060"/>
    <w:pPr>
      <w:keepNext/>
      <w:keepLines/>
      <w:widowControl/>
      <w:wordWrap/>
      <w:autoSpaceDE/>
      <w:autoSpaceDN/>
      <w:spacing w:before="40" w:line="259" w:lineRule="auto"/>
      <w:jc w:val="left"/>
      <w:outlineLvl w:val="1"/>
    </w:pPr>
    <w:rPr>
      <w:rFonts w:asciiTheme="majorHAnsi" w:eastAsiaTheme="majorEastAsia" w:hAnsiTheme="majorHAnsi" w:cstheme="majorBidi"/>
      <w:color w:val="365F91" w:themeColor="accent1" w:themeShade="BF"/>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CommentText">
    <w:name w:val="annotation text"/>
    <w:basedOn w:val="Normal"/>
    <w:link w:val="CommentTextChar"/>
    <w:uiPriority w:val="99"/>
    <w:unhideWhenUsed/>
    <w:rsid w:val="00CE4FF9"/>
    <w:rPr>
      <w:szCs w:val="20"/>
    </w:rPr>
  </w:style>
  <w:style w:type="character" w:customStyle="1" w:styleId="CommentTextChar">
    <w:name w:val="Comment Text Char"/>
    <w:basedOn w:val="DefaultParagraphFont"/>
    <w:link w:val="CommentText"/>
    <w:uiPriority w:val="99"/>
    <w:rsid w:val="00CE4FF9"/>
    <w:rPr>
      <w:rFonts w:eastAsiaTheme="minorEastAsia"/>
      <w:kern w:val="2"/>
      <w:sz w:val="20"/>
      <w:szCs w:val="20"/>
      <w:lang w:eastAsia="ko-KR"/>
    </w:rPr>
  </w:style>
  <w:style w:type="character" w:styleId="CommentReference">
    <w:name w:val="annotation reference"/>
    <w:basedOn w:val="DefaultParagraphFont"/>
    <w:uiPriority w:val="99"/>
    <w:semiHidden/>
    <w:unhideWhenUsed/>
    <w:rsid w:val="00CE4FF9"/>
    <w:rPr>
      <w:sz w:val="16"/>
      <w:szCs w:val="16"/>
    </w:rPr>
  </w:style>
  <w:style w:type="paragraph" w:customStyle="1" w:styleId="MediumGrid21">
    <w:name w:val="Medium Grid 21"/>
    <w:uiPriority w:val="1"/>
    <w:qFormat/>
    <w:rsid w:val="00CE4FF9"/>
    <w:pPr>
      <w:spacing w:after="0" w:line="240" w:lineRule="auto"/>
    </w:pPr>
    <w:rPr>
      <w:rFonts w:ascii="Calibri" w:eastAsia="Times New Roman" w:hAnsi="Calibri" w:cs="Times New Roman"/>
    </w:rPr>
  </w:style>
  <w:style w:type="character" w:styleId="LineNumber">
    <w:name w:val="line number"/>
    <w:basedOn w:val="DefaultParagraphFont"/>
    <w:uiPriority w:val="99"/>
    <w:semiHidden/>
    <w:unhideWhenUsed/>
    <w:rsid w:val="006651EF"/>
  </w:style>
  <w:style w:type="character" w:customStyle="1" w:styleId="Heading2Char">
    <w:name w:val="Heading 2 Char"/>
    <w:basedOn w:val="DefaultParagraphFont"/>
    <w:link w:val="Heading2"/>
    <w:uiPriority w:val="9"/>
    <w:rsid w:val="00C62060"/>
    <w:rPr>
      <w:rFonts w:asciiTheme="majorHAnsi" w:eastAsiaTheme="majorEastAsia" w:hAnsiTheme="majorHAnsi" w:cstheme="majorBidi"/>
      <w:color w:val="365F91" w:themeColor="accent1" w:themeShade="BF"/>
      <w:sz w:val="26"/>
      <w:szCs w:val="26"/>
    </w:rPr>
  </w:style>
  <w:style w:type="character" w:customStyle="1" w:styleId="changed">
    <w:name w:val="changed"/>
    <w:basedOn w:val="DefaultParagraphFont"/>
    <w:rsid w:val="00C62060"/>
  </w:style>
  <w:style w:type="paragraph" w:styleId="Caption">
    <w:name w:val="caption"/>
    <w:basedOn w:val="Normal"/>
    <w:next w:val="Normal"/>
    <w:uiPriority w:val="35"/>
    <w:unhideWhenUsed/>
    <w:qFormat/>
    <w:rsid w:val="00C6206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ie@ukm.edu.m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3AFAE-7F66-4666-A594-5625508F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Pages>
  <Words>14748</Words>
  <Characters>84067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9</cp:revision>
  <cp:lastPrinted>2017-03-01T05:33:00Z</cp:lastPrinted>
  <dcterms:created xsi:type="dcterms:W3CDTF">2022-02-24T01:05:00Z</dcterms:created>
  <dcterms:modified xsi:type="dcterms:W3CDTF">2022-05-25T05:36:00Z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http://csl.mendeley.com/styles/66537561/GayaUKM-MelayuMazleha</vt:lpwstr>
  </property>
  <property fmtid="{D5CDD505-2E9C-101B-9397-08002B2CF9AE}" pid="11" name="Mendeley Recent Style Name 4_1">
    <vt:lpwstr>GayaUKM-Melayu-MazlehaMaskin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https://csl.mendeley.com/styles/7570283/institute-of-physics-numeric</vt:lpwstr>
  </property>
  <property fmtid="{D5CDD505-2E9C-101B-9397-08002B2CF9AE}" pid="15" name="Mendeley Recent Style Name 6_1">
    <vt:lpwstr>ISST - Untad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1150ea2a-d56d-378e-bb6d-ce9997a03fd9</vt:lpwstr>
  </property>
  <property fmtid="{D5CDD505-2E9C-101B-9397-08002B2CF9AE}" pid="24" name="Mendeley Citation Style_1">
    <vt:lpwstr>http://www.zotero.org/styles/ieee</vt:lpwstr>
  </property>
</Properties>
</file>