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F73E" w14:textId="1FECB74D" w:rsidR="00D037D1" w:rsidRPr="004A3DD9" w:rsidRDefault="004A3DD9" w:rsidP="004A3DD9">
      <w:pPr>
        <w:spacing w:after="0" w:line="240" w:lineRule="auto"/>
        <w:jc w:val="center"/>
        <w:rPr>
          <w:rFonts w:ascii="Times New Roman" w:hAnsi="Times New Roman" w:cs="Times New Roman"/>
          <w:bCs/>
          <w:iCs/>
          <w:sz w:val="28"/>
        </w:rPr>
      </w:pPr>
      <w:bookmarkStart w:id="0" w:name="_Hlk94006408"/>
      <w:bookmarkStart w:id="1" w:name="_Hlk94680500"/>
      <w:bookmarkStart w:id="2" w:name="_Hlk94722850"/>
      <w:r w:rsidRPr="004A3DD9">
        <w:rPr>
          <w:rFonts w:ascii="Times New Roman" w:hAnsi="Times New Roman" w:cs="Times New Roman"/>
          <w:bCs/>
          <w:iCs/>
          <w:sz w:val="28"/>
        </w:rPr>
        <w:t>BIOSORPTION CAPACITY OF HEAVY METAL LEAD (P</w:t>
      </w:r>
      <w:r>
        <w:rPr>
          <w:rFonts w:ascii="Times New Roman" w:hAnsi="Times New Roman" w:cs="Times New Roman"/>
          <w:bCs/>
          <w:iCs/>
          <w:sz w:val="28"/>
        </w:rPr>
        <w:t>b</w:t>
      </w:r>
      <w:r w:rsidRPr="004A3DD9">
        <w:rPr>
          <w:rFonts w:ascii="Times New Roman" w:hAnsi="Times New Roman" w:cs="Times New Roman"/>
          <w:bCs/>
          <w:iCs/>
          <w:sz w:val="28"/>
        </w:rPr>
        <w:t xml:space="preserve">(II)) </w:t>
      </w:r>
    </w:p>
    <w:p w14:paraId="0655BA5A" w14:textId="1B68535C" w:rsidR="00D037D1" w:rsidRDefault="004A3DD9" w:rsidP="004A3DD9">
      <w:pPr>
        <w:spacing w:after="0" w:line="240" w:lineRule="auto"/>
        <w:jc w:val="center"/>
        <w:rPr>
          <w:rFonts w:ascii="Times New Roman" w:hAnsi="Times New Roman" w:cs="Times New Roman"/>
          <w:b/>
          <w:i/>
          <w:iCs/>
          <w:sz w:val="28"/>
        </w:rPr>
      </w:pPr>
      <w:r w:rsidRPr="004A3DD9">
        <w:rPr>
          <w:rFonts w:ascii="Times New Roman" w:hAnsi="Times New Roman" w:cs="Times New Roman"/>
          <w:bCs/>
          <w:iCs/>
          <w:sz w:val="28"/>
        </w:rPr>
        <w:t xml:space="preserve">USING DRY SEAWEED </w:t>
      </w:r>
      <w:r w:rsidRPr="004A3DD9">
        <w:rPr>
          <w:rFonts w:ascii="Times New Roman" w:hAnsi="Times New Roman" w:cs="Times New Roman"/>
          <w:bCs/>
          <w:i/>
          <w:iCs/>
          <w:sz w:val="28"/>
        </w:rPr>
        <w:t xml:space="preserve">Eucheuma </w:t>
      </w:r>
      <w:r>
        <w:rPr>
          <w:rFonts w:ascii="Times New Roman" w:hAnsi="Times New Roman" w:cs="Times New Roman"/>
          <w:bCs/>
          <w:i/>
          <w:iCs/>
          <w:sz w:val="28"/>
        </w:rPr>
        <w:t>d</w:t>
      </w:r>
      <w:r w:rsidRPr="004A3DD9">
        <w:rPr>
          <w:rFonts w:ascii="Times New Roman" w:hAnsi="Times New Roman" w:cs="Times New Roman"/>
          <w:bCs/>
          <w:i/>
          <w:iCs/>
          <w:sz w:val="28"/>
        </w:rPr>
        <w:t>enticulatum</w:t>
      </w:r>
      <w:r>
        <w:rPr>
          <w:rFonts w:ascii="Times New Roman" w:hAnsi="Times New Roman" w:cs="Times New Roman"/>
          <w:b/>
          <w:i/>
          <w:iCs/>
          <w:sz w:val="28"/>
        </w:rPr>
        <w:t xml:space="preserve"> </w:t>
      </w:r>
    </w:p>
    <w:p w14:paraId="713CA96E" w14:textId="6D52602D" w:rsidR="004A3DD9" w:rsidRDefault="004A3DD9" w:rsidP="004A3DD9">
      <w:pPr>
        <w:spacing w:after="0" w:line="240" w:lineRule="auto"/>
        <w:jc w:val="center"/>
        <w:rPr>
          <w:rFonts w:ascii="Times New Roman" w:hAnsi="Times New Roman" w:cs="Times New Roman"/>
          <w:b/>
          <w:i/>
          <w:iCs/>
          <w:sz w:val="28"/>
        </w:rPr>
      </w:pPr>
    </w:p>
    <w:p w14:paraId="0C40890D" w14:textId="17652FF0" w:rsidR="004A3DD9" w:rsidRPr="004A3DD9" w:rsidRDefault="004A3DD9" w:rsidP="004A3DD9">
      <w:pPr>
        <w:spacing w:after="0" w:line="240" w:lineRule="auto"/>
        <w:jc w:val="center"/>
        <w:rPr>
          <w:rFonts w:ascii="Times New Roman" w:hAnsi="Times New Roman" w:cs="Times New Roman"/>
          <w:bCs/>
          <w:sz w:val="24"/>
          <w:szCs w:val="20"/>
        </w:rPr>
      </w:pPr>
      <w:r w:rsidRPr="004A3DD9">
        <w:rPr>
          <w:rFonts w:ascii="Times New Roman" w:hAnsi="Times New Roman" w:cs="Times New Roman"/>
          <w:bCs/>
          <w:sz w:val="24"/>
          <w:szCs w:val="20"/>
        </w:rPr>
        <w:t>(Kapasiti Biojerapan Logam Berat Plumbum (Pb(II)</w:t>
      </w:r>
      <w:r>
        <w:rPr>
          <w:rFonts w:ascii="Times New Roman" w:hAnsi="Times New Roman" w:cs="Times New Roman"/>
          <w:bCs/>
          <w:sz w:val="24"/>
          <w:szCs w:val="20"/>
        </w:rPr>
        <w:t>)</w:t>
      </w:r>
      <w:r w:rsidRPr="004A3DD9">
        <w:rPr>
          <w:rFonts w:ascii="Times New Roman" w:hAnsi="Times New Roman" w:cs="Times New Roman"/>
          <w:bCs/>
          <w:sz w:val="24"/>
          <w:szCs w:val="20"/>
        </w:rPr>
        <w:t xml:space="preserve"> Mengunakan Rumpai</w:t>
      </w:r>
      <w:r>
        <w:rPr>
          <w:rFonts w:ascii="Times New Roman" w:hAnsi="Times New Roman" w:cs="Times New Roman"/>
          <w:bCs/>
          <w:sz w:val="24"/>
          <w:szCs w:val="20"/>
        </w:rPr>
        <w:t xml:space="preserve"> Laut</w:t>
      </w:r>
      <w:r w:rsidRPr="004A3DD9">
        <w:rPr>
          <w:rFonts w:ascii="Times New Roman" w:hAnsi="Times New Roman" w:cs="Times New Roman"/>
          <w:bCs/>
          <w:sz w:val="24"/>
          <w:szCs w:val="20"/>
        </w:rPr>
        <w:t xml:space="preserve"> Kering </w:t>
      </w:r>
      <w:r w:rsidRPr="004A3DD9">
        <w:rPr>
          <w:rFonts w:ascii="Times New Roman" w:hAnsi="Times New Roman" w:cs="Times New Roman"/>
          <w:bCs/>
          <w:i/>
          <w:iCs/>
          <w:sz w:val="24"/>
          <w:szCs w:val="20"/>
        </w:rPr>
        <w:t xml:space="preserve">Eucheuma </w:t>
      </w:r>
      <w:r>
        <w:rPr>
          <w:rFonts w:ascii="Times New Roman" w:hAnsi="Times New Roman" w:cs="Times New Roman"/>
          <w:bCs/>
          <w:i/>
          <w:iCs/>
          <w:sz w:val="24"/>
          <w:szCs w:val="20"/>
        </w:rPr>
        <w:t>d</w:t>
      </w:r>
      <w:r w:rsidRPr="004A3DD9">
        <w:rPr>
          <w:rFonts w:ascii="Times New Roman" w:hAnsi="Times New Roman" w:cs="Times New Roman"/>
          <w:bCs/>
          <w:i/>
          <w:iCs/>
          <w:sz w:val="24"/>
          <w:szCs w:val="20"/>
        </w:rPr>
        <w:t>enticulatum</w:t>
      </w:r>
      <w:r w:rsidRPr="004A3DD9">
        <w:rPr>
          <w:rFonts w:ascii="Times New Roman" w:hAnsi="Times New Roman" w:cs="Times New Roman"/>
          <w:bCs/>
          <w:sz w:val="24"/>
          <w:szCs w:val="20"/>
        </w:rPr>
        <w:t>)</w:t>
      </w:r>
    </w:p>
    <w:bookmarkEnd w:id="0"/>
    <w:p w14:paraId="21DAC459" w14:textId="77777777" w:rsidR="00D037D1" w:rsidRDefault="00D037D1">
      <w:pPr>
        <w:spacing w:after="0" w:line="240" w:lineRule="auto"/>
        <w:jc w:val="center"/>
        <w:rPr>
          <w:rFonts w:ascii="Times New Roman" w:hAnsi="Times New Roman" w:cs="Times New Roman"/>
          <w:bCs/>
          <w:i/>
          <w:iCs/>
          <w:sz w:val="28"/>
        </w:rPr>
      </w:pPr>
    </w:p>
    <w:p w14:paraId="60AB3FE7" w14:textId="67897C92" w:rsidR="00D037D1" w:rsidRPr="00132E7A" w:rsidRDefault="006541D4">
      <w:pPr>
        <w:spacing w:after="240" w:line="240" w:lineRule="auto"/>
        <w:jc w:val="center"/>
        <w:rPr>
          <w:rFonts w:ascii="Times New Roman" w:hAnsi="Times New Roman" w:cs="Times New Roman"/>
          <w:bCs/>
          <w:iCs/>
          <w:sz w:val="20"/>
          <w:szCs w:val="16"/>
          <w:vertAlign w:val="superscript"/>
        </w:rPr>
      </w:pPr>
      <w:r>
        <w:rPr>
          <w:rFonts w:ascii="Times New Roman" w:hAnsi="Times New Roman" w:cs="Times New Roman"/>
          <w:bCs/>
          <w:iCs/>
          <w:sz w:val="20"/>
          <w:szCs w:val="16"/>
        </w:rPr>
        <w:t xml:space="preserve">Hamad Maalim Sharif </w:t>
      </w:r>
      <w:r>
        <w:rPr>
          <w:rFonts w:ascii="Times New Roman" w:hAnsi="Times New Roman" w:cs="Times New Roman"/>
          <w:bCs/>
          <w:iCs/>
          <w:sz w:val="20"/>
          <w:szCs w:val="16"/>
          <w:vertAlign w:val="superscript"/>
        </w:rPr>
        <w:t>1</w:t>
      </w:r>
      <w:r>
        <w:rPr>
          <w:rFonts w:ascii="Times New Roman" w:hAnsi="Times New Roman" w:cs="Times New Roman"/>
          <w:bCs/>
          <w:iCs/>
          <w:sz w:val="20"/>
          <w:szCs w:val="16"/>
        </w:rPr>
        <w:t xml:space="preserve">, Yahya Makame </w:t>
      </w:r>
      <w:r>
        <w:rPr>
          <w:rFonts w:ascii="Times New Roman" w:hAnsi="Times New Roman" w:cs="Times New Roman"/>
          <w:bCs/>
          <w:iCs/>
          <w:sz w:val="20"/>
          <w:szCs w:val="16"/>
          <w:vertAlign w:val="superscript"/>
        </w:rPr>
        <w:t>2</w:t>
      </w:r>
      <w:r>
        <w:rPr>
          <w:rFonts w:ascii="Times New Roman" w:hAnsi="Times New Roman" w:cs="Times New Roman"/>
          <w:bCs/>
          <w:iCs/>
          <w:sz w:val="20"/>
          <w:szCs w:val="16"/>
        </w:rPr>
        <w:t>,</w:t>
      </w:r>
      <w:r>
        <w:rPr>
          <w:rFonts w:ascii="Times New Roman" w:hAnsi="Times New Roman" w:cs="Times New Roman"/>
          <w:bCs/>
          <w:iCs/>
          <w:sz w:val="20"/>
          <w:szCs w:val="16"/>
          <w:vertAlign w:val="superscript"/>
        </w:rPr>
        <w:t xml:space="preserve"> </w:t>
      </w:r>
      <w:r>
        <w:rPr>
          <w:rFonts w:ascii="Times New Roman" w:hAnsi="Times New Roman" w:cs="Times New Roman"/>
          <w:bCs/>
          <w:iCs/>
          <w:sz w:val="20"/>
          <w:szCs w:val="16"/>
        </w:rPr>
        <w:t xml:space="preserve">Mohammed Ali Sheikh </w:t>
      </w:r>
      <w:r>
        <w:rPr>
          <w:rFonts w:ascii="Times New Roman" w:hAnsi="Times New Roman" w:cs="Times New Roman"/>
          <w:bCs/>
          <w:iCs/>
          <w:sz w:val="20"/>
          <w:szCs w:val="16"/>
          <w:vertAlign w:val="superscript"/>
        </w:rPr>
        <w:t>3</w:t>
      </w:r>
      <w:r w:rsidR="004A3DD9">
        <w:rPr>
          <w:rFonts w:ascii="Times New Roman" w:hAnsi="Times New Roman" w:cs="Times New Roman"/>
          <w:bCs/>
          <w:iCs/>
          <w:sz w:val="20"/>
          <w:szCs w:val="16"/>
        </w:rPr>
        <w:t xml:space="preserve">, </w:t>
      </w:r>
      <w:r>
        <w:rPr>
          <w:rFonts w:ascii="Times New Roman" w:hAnsi="Times New Roman" w:cs="Times New Roman"/>
          <w:bCs/>
          <w:iCs/>
          <w:sz w:val="20"/>
          <w:szCs w:val="16"/>
        </w:rPr>
        <w:t xml:space="preserve">Hasrizal Shaari </w:t>
      </w:r>
      <w:r>
        <w:rPr>
          <w:rFonts w:ascii="Times New Roman" w:hAnsi="Times New Roman" w:cs="Times New Roman"/>
          <w:bCs/>
          <w:iCs/>
          <w:sz w:val="20"/>
          <w:szCs w:val="16"/>
          <w:vertAlign w:val="superscript"/>
        </w:rPr>
        <w:t>1,4</w:t>
      </w:r>
      <w:r w:rsidR="004A3DD9">
        <w:rPr>
          <w:rFonts w:ascii="Times New Roman" w:hAnsi="Times New Roman" w:cs="Times New Roman"/>
          <w:bCs/>
          <w:iCs/>
          <w:sz w:val="20"/>
          <w:szCs w:val="16"/>
          <w:vertAlign w:val="superscript"/>
        </w:rPr>
        <w:t>,*</w:t>
      </w:r>
      <w:r w:rsidR="00132E7A">
        <w:rPr>
          <w:rFonts w:ascii="Times New Roman" w:hAnsi="Times New Roman" w:cs="Times New Roman"/>
          <w:bCs/>
          <w:iCs/>
          <w:sz w:val="20"/>
          <w:szCs w:val="16"/>
        </w:rPr>
        <w:t>, Rokiah Suriadi</w:t>
      </w:r>
      <w:r w:rsidR="00132E7A">
        <w:rPr>
          <w:rFonts w:ascii="Times New Roman" w:hAnsi="Times New Roman" w:cs="Times New Roman"/>
          <w:bCs/>
          <w:iCs/>
          <w:sz w:val="20"/>
          <w:szCs w:val="16"/>
          <w:vertAlign w:val="superscript"/>
        </w:rPr>
        <w:t>1</w:t>
      </w:r>
    </w:p>
    <w:p w14:paraId="24BF7C40" w14:textId="77777777" w:rsidR="00D037D1" w:rsidRDefault="006541D4">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vertAlign w:val="superscript"/>
          <w:lang w:eastAsia="ja-JP"/>
        </w:rPr>
        <w:t>1</w:t>
      </w:r>
      <w:r>
        <w:rPr>
          <w:rFonts w:ascii="Times New Roman" w:hAnsi="Times New Roman" w:cs="Times New Roman"/>
          <w:i/>
          <w:iCs/>
          <w:sz w:val="18"/>
          <w:szCs w:val="18"/>
          <w:lang w:eastAsia="ja-JP"/>
        </w:rPr>
        <w:t>Institute of Oceanography and Environment, Universiti Malaysia Terengganu,</w:t>
      </w:r>
    </w:p>
    <w:p w14:paraId="03C4EE53" w14:textId="63EE89C1" w:rsidR="00D037D1" w:rsidRDefault="006541D4" w:rsidP="004A3DD9">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lang w:eastAsia="ja-JP"/>
        </w:rPr>
        <w:t>21030, Kuala Nerus, Terengganu, Malaysia</w:t>
      </w:r>
    </w:p>
    <w:p w14:paraId="781E20E0" w14:textId="77777777" w:rsidR="004A3DD9" w:rsidRDefault="006541D4">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vertAlign w:val="superscript"/>
          <w:lang w:eastAsia="ja-JP"/>
        </w:rPr>
        <w:t>2</w:t>
      </w:r>
      <w:r>
        <w:rPr>
          <w:rFonts w:ascii="Times New Roman" w:hAnsi="Times New Roman" w:cs="Times New Roman"/>
          <w:i/>
          <w:iCs/>
          <w:sz w:val="18"/>
          <w:szCs w:val="18"/>
          <w:lang w:eastAsia="ja-JP"/>
        </w:rPr>
        <w:t xml:space="preserve">Chemistry Department, School of Natural and Applied Sciences, </w:t>
      </w:r>
    </w:p>
    <w:p w14:paraId="1A298306" w14:textId="6E127147" w:rsidR="00D037D1" w:rsidRDefault="006541D4" w:rsidP="004A3DD9">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lang w:eastAsia="ja-JP"/>
        </w:rPr>
        <w:t xml:space="preserve">University of Dar es Salaam, </w:t>
      </w:r>
      <w:r w:rsidR="004A3DD9">
        <w:rPr>
          <w:rFonts w:ascii="Times New Roman" w:hAnsi="Times New Roman" w:cs="Times New Roman"/>
          <w:i/>
          <w:iCs/>
          <w:sz w:val="18"/>
          <w:szCs w:val="18"/>
          <w:lang w:eastAsia="ja-JP"/>
        </w:rPr>
        <w:t xml:space="preserve">P.O. Box </w:t>
      </w:r>
      <w:r>
        <w:rPr>
          <w:rFonts w:ascii="Times New Roman" w:hAnsi="Times New Roman" w:cs="Times New Roman"/>
          <w:i/>
          <w:iCs/>
          <w:sz w:val="18"/>
          <w:szCs w:val="18"/>
          <w:lang w:eastAsia="ja-JP"/>
        </w:rPr>
        <w:t>35065, Dar es Salaam, Tanzania</w:t>
      </w:r>
    </w:p>
    <w:p w14:paraId="1B2E4EE1" w14:textId="77777777" w:rsidR="004A3DD9" w:rsidRDefault="006541D4">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vertAlign w:val="superscript"/>
          <w:lang w:eastAsia="ja-JP"/>
        </w:rPr>
        <w:t>3</w:t>
      </w:r>
      <w:r>
        <w:rPr>
          <w:rFonts w:ascii="Times New Roman" w:hAnsi="Times New Roman" w:cs="Times New Roman"/>
          <w:i/>
          <w:iCs/>
          <w:sz w:val="18"/>
          <w:szCs w:val="18"/>
          <w:lang w:eastAsia="ja-JP"/>
        </w:rPr>
        <w:t xml:space="preserve">School of Natural and Social Sciences, </w:t>
      </w:r>
    </w:p>
    <w:p w14:paraId="6E036DF2" w14:textId="5490A8E7" w:rsidR="00D037D1" w:rsidRDefault="006541D4" w:rsidP="004A3DD9">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lang w:eastAsia="ja-JP"/>
        </w:rPr>
        <w:t xml:space="preserve">The State University of Zanzibar, </w:t>
      </w:r>
      <w:r w:rsidR="004A3DD9">
        <w:rPr>
          <w:rFonts w:ascii="Times New Roman" w:hAnsi="Times New Roman" w:cs="Times New Roman"/>
          <w:i/>
          <w:iCs/>
          <w:sz w:val="18"/>
          <w:szCs w:val="18"/>
          <w:lang w:eastAsia="ja-JP"/>
        </w:rPr>
        <w:t xml:space="preserve">P. O. Box </w:t>
      </w:r>
      <w:r>
        <w:rPr>
          <w:rFonts w:ascii="Times New Roman" w:hAnsi="Times New Roman" w:cs="Times New Roman"/>
          <w:i/>
          <w:iCs/>
          <w:sz w:val="18"/>
          <w:szCs w:val="18"/>
          <w:lang w:eastAsia="ja-JP"/>
        </w:rPr>
        <w:t>146, Zanzibar, Tanzania</w:t>
      </w:r>
    </w:p>
    <w:p w14:paraId="149DC811" w14:textId="77777777" w:rsidR="00D037D1" w:rsidRDefault="006541D4">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vertAlign w:val="superscript"/>
          <w:lang w:eastAsia="ja-JP"/>
        </w:rPr>
        <w:t>4</w:t>
      </w:r>
      <w:r>
        <w:rPr>
          <w:rFonts w:ascii="Times New Roman" w:hAnsi="Times New Roman" w:cs="Times New Roman"/>
          <w:i/>
          <w:iCs/>
          <w:sz w:val="18"/>
          <w:szCs w:val="18"/>
          <w:lang w:eastAsia="ja-JP"/>
        </w:rPr>
        <w:t>Faculty of Science and Marine Environment, Universiti Malaysia Terengganu,</w:t>
      </w:r>
    </w:p>
    <w:p w14:paraId="0410DE11" w14:textId="77777777" w:rsidR="00D037D1" w:rsidRDefault="006541D4">
      <w:pPr>
        <w:adjustRightInd w:val="0"/>
        <w:snapToGrid w:val="0"/>
        <w:spacing w:after="0" w:line="240" w:lineRule="auto"/>
        <w:jc w:val="center"/>
        <w:rPr>
          <w:rFonts w:ascii="Times New Roman" w:hAnsi="Times New Roman" w:cs="Times New Roman"/>
          <w:i/>
          <w:iCs/>
          <w:sz w:val="18"/>
          <w:szCs w:val="18"/>
          <w:lang w:eastAsia="ja-JP"/>
        </w:rPr>
      </w:pPr>
      <w:r>
        <w:rPr>
          <w:rFonts w:ascii="Times New Roman" w:hAnsi="Times New Roman" w:cs="Times New Roman"/>
          <w:i/>
          <w:iCs/>
          <w:sz w:val="18"/>
          <w:szCs w:val="18"/>
          <w:lang w:eastAsia="ja-JP"/>
        </w:rPr>
        <w:t>21030, Kuala Nerus, Terengganu, Malaysia</w:t>
      </w:r>
    </w:p>
    <w:p w14:paraId="1623D3E5" w14:textId="77777777" w:rsidR="00D037D1" w:rsidRDefault="00D037D1">
      <w:pPr>
        <w:adjustRightInd w:val="0"/>
        <w:snapToGrid w:val="0"/>
        <w:spacing w:after="0" w:line="240" w:lineRule="auto"/>
        <w:jc w:val="center"/>
        <w:rPr>
          <w:rFonts w:ascii="Times New Roman" w:hAnsi="Times New Roman" w:cs="Times New Roman"/>
          <w:i/>
          <w:iCs/>
          <w:sz w:val="18"/>
          <w:szCs w:val="18"/>
          <w:lang w:eastAsia="ja-JP"/>
        </w:rPr>
      </w:pPr>
    </w:p>
    <w:p w14:paraId="3BF91FE9" w14:textId="207CDC3C" w:rsidR="00D037D1" w:rsidRPr="004A3DD9" w:rsidRDefault="004A3DD9" w:rsidP="004A3DD9">
      <w:pPr>
        <w:spacing w:after="0"/>
        <w:jc w:val="center"/>
        <w:outlineLvl w:val="0"/>
        <w:rPr>
          <w:rFonts w:ascii="Times New Roman" w:hAnsi="Times New Roman" w:cs="Times New Roman"/>
          <w:i/>
          <w:color w:val="548DD4" w:themeColor="text2" w:themeTint="99"/>
          <w:sz w:val="18"/>
        </w:rPr>
      </w:pPr>
      <w:r>
        <w:rPr>
          <w:rFonts w:ascii="Times New Roman" w:hAnsi="Times New Roman" w:cs="Times New Roman"/>
          <w:i/>
          <w:sz w:val="18"/>
          <w:vertAlign w:val="superscript"/>
        </w:rPr>
        <w:t>*</w:t>
      </w:r>
      <w:r w:rsidR="006541D4">
        <w:rPr>
          <w:rFonts w:ascii="Times New Roman" w:hAnsi="Times New Roman" w:cs="Times New Roman"/>
          <w:i/>
          <w:sz w:val="18"/>
        </w:rPr>
        <w:t xml:space="preserve">Corresponding author: </w:t>
      </w:r>
      <w:r w:rsidR="00132E7A" w:rsidRPr="00132E7A">
        <w:rPr>
          <w:rFonts w:ascii="Times New Roman" w:hAnsi="Times New Roman" w:cs="Times New Roman"/>
          <w:i/>
          <w:sz w:val="18"/>
        </w:rPr>
        <w:t>riz@umt.edu.my</w:t>
      </w:r>
    </w:p>
    <w:p w14:paraId="5F49EFCE" w14:textId="77777777" w:rsidR="00D037D1" w:rsidRDefault="00D037D1">
      <w:pPr>
        <w:adjustRightInd w:val="0"/>
        <w:snapToGrid w:val="0"/>
        <w:spacing w:after="0" w:line="240" w:lineRule="auto"/>
        <w:jc w:val="center"/>
        <w:rPr>
          <w:rFonts w:ascii="Times New Roman" w:hAnsi="Times New Roman" w:cs="Times New Roman"/>
          <w:i/>
          <w:iCs/>
          <w:sz w:val="18"/>
          <w:szCs w:val="18"/>
          <w:lang w:eastAsia="ja-JP"/>
        </w:rPr>
      </w:pPr>
    </w:p>
    <w:p w14:paraId="32819A96" w14:textId="77777777" w:rsidR="00D037D1" w:rsidRDefault="006541D4">
      <w:pPr>
        <w:pStyle w:val="Heading4"/>
        <w:spacing w:line="240" w:lineRule="auto"/>
        <w:jc w:val="center"/>
        <w:rPr>
          <w:sz w:val="18"/>
          <w:szCs w:val="14"/>
        </w:rPr>
      </w:pPr>
      <w:r>
        <w:rPr>
          <w:sz w:val="18"/>
          <w:szCs w:val="14"/>
        </w:rPr>
        <w:t>Abstract</w:t>
      </w:r>
    </w:p>
    <w:p w14:paraId="311443C9" w14:textId="434A729F" w:rsidR="00D037D1" w:rsidRDefault="006541D4">
      <w:pPr>
        <w:pStyle w:val="Heading4"/>
        <w:spacing w:after="240" w:line="240" w:lineRule="auto"/>
        <w:rPr>
          <w:b w:val="0"/>
          <w:bCs/>
          <w:sz w:val="18"/>
          <w:szCs w:val="14"/>
        </w:rPr>
      </w:pPr>
      <w:r>
        <w:rPr>
          <w:b w:val="0"/>
          <w:sz w:val="18"/>
          <w:szCs w:val="14"/>
        </w:rPr>
        <w:t xml:space="preserve">The seaweed industry plays a significant socio-economic role </w:t>
      </w:r>
      <w:r>
        <w:rPr>
          <w:b w:val="0"/>
          <w:sz w:val="18"/>
          <w:szCs w:val="14"/>
          <w:lang w:val="en-MY"/>
        </w:rPr>
        <w:t xml:space="preserve">in </w:t>
      </w:r>
      <w:r>
        <w:rPr>
          <w:b w:val="0"/>
          <w:sz w:val="18"/>
          <w:szCs w:val="14"/>
        </w:rPr>
        <w:t xml:space="preserve">tropical coastal communities. </w:t>
      </w:r>
      <w:r>
        <w:rPr>
          <w:b w:val="0"/>
          <w:bCs/>
          <w:sz w:val="18"/>
          <w:szCs w:val="14"/>
        </w:rPr>
        <w:t>Th</w:t>
      </w:r>
      <w:r>
        <w:rPr>
          <w:b w:val="0"/>
          <w:bCs/>
          <w:sz w:val="18"/>
          <w:szCs w:val="14"/>
          <w:lang w:val="en-MY"/>
        </w:rPr>
        <w:t>is</w:t>
      </w:r>
      <w:r>
        <w:rPr>
          <w:b w:val="0"/>
          <w:bCs/>
          <w:sz w:val="18"/>
          <w:szCs w:val="14"/>
        </w:rPr>
        <w:t xml:space="preserve"> study presents the biosorption beha</w:t>
      </w:r>
      <w:r>
        <w:rPr>
          <w:b w:val="0"/>
          <w:bCs/>
          <w:sz w:val="18"/>
          <w:szCs w:val="14"/>
          <w:lang w:val="en-MY"/>
        </w:rPr>
        <w:t>viour</w:t>
      </w:r>
      <w:r>
        <w:rPr>
          <w:b w:val="0"/>
          <w:bCs/>
          <w:sz w:val="18"/>
          <w:szCs w:val="14"/>
        </w:rPr>
        <w:t xml:space="preserve"> of Pb(II) aqueous solution onto seaweed </w:t>
      </w:r>
      <w:r>
        <w:rPr>
          <w:b w:val="0"/>
          <w:bCs/>
          <w:i/>
          <w:sz w:val="18"/>
          <w:szCs w:val="14"/>
        </w:rPr>
        <w:t>E. denticulatum</w:t>
      </w:r>
      <w:r>
        <w:rPr>
          <w:b w:val="0"/>
          <w:bCs/>
          <w:sz w:val="18"/>
          <w:szCs w:val="14"/>
        </w:rPr>
        <w:t xml:space="preserve">. The impact of pH contact time, </w:t>
      </w:r>
      <w:r>
        <w:rPr>
          <w:b w:val="0"/>
          <w:bCs/>
          <w:sz w:val="18"/>
          <w:szCs w:val="14"/>
          <w:lang w:val="en-MY"/>
        </w:rPr>
        <w:t xml:space="preserve">the </w:t>
      </w:r>
      <w:r>
        <w:rPr>
          <w:b w:val="0"/>
          <w:bCs/>
          <w:sz w:val="18"/>
          <w:szCs w:val="14"/>
        </w:rPr>
        <w:t xml:space="preserve">initial concentration of the metals, and the adsorption-desorption </w:t>
      </w:r>
      <w:r>
        <w:rPr>
          <w:b w:val="0"/>
          <w:bCs/>
          <w:sz w:val="18"/>
          <w:szCs w:val="14"/>
          <w:lang w:val="en-MY"/>
        </w:rPr>
        <w:t xml:space="preserve">activities </w:t>
      </w:r>
      <w:r>
        <w:rPr>
          <w:b w:val="0"/>
          <w:bCs/>
          <w:sz w:val="18"/>
          <w:szCs w:val="14"/>
        </w:rPr>
        <w:t xml:space="preserve">were studied. The findings demonstrated that </w:t>
      </w:r>
      <w:r>
        <w:rPr>
          <w:b w:val="0"/>
          <w:bCs/>
          <w:sz w:val="18"/>
          <w:szCs w:val="14"/>
          <w:lang w:val="en-MY"/>
        </w:rPr>
        <w:t xml:space="preserve">the </w:t>
      </w:r>
      <w:r>
        <w:rPr>
          <w:b w:val="0"/>
          <w:bCs/>
          <w:sz w:val="18"/>
          <w:szCs w:val="14"/>
        </w:rPr>
        <w:t xml:space="preserve">Pb(II) uptake rate </w:t>
      </w:r>
      <w:r>
        <w:rPr>
          <w:b w:val="0"/>
          <w:bCs/>
          <w:sz w:val="18"/>
          <w:szCs w:val="14"/>
          <w:lang w:val="en-MY"/>
        </w:rPr>
        <w:t xml:space="preserve">rose </w:t>
      </w:r>
      <w:r>
        <w:rPr>
          <w:b w:val="0"/>
          <w:bCs/>
          <w:sz w:val="18"/>
          <w:szCs w:val="14"/>
        </w:rPr>
        <w:t>with increased concentration and contact time. The Pb(II) uptake reached saturation at 1000 mg/</w:t>
      </w:r>
      <w:r w:rsidR="004A3DD9">
        <w:rPr>
          <w:b w:val="0"/>
          <w:bCs/>
          <w:sz w:val="18"/>
          <w:szCs w:val="14"/>
        </w:rPr>
        <w:t>L</w:t>
      </w:r>
      <w:r>
        <w:rPr>
          <w:b w:val="0"/>
          <w:bCs/>
          <w:sz w:val="18"/>
          <w:szCs w:val="14"/>
        </w:rPr>
        <w:t xml:space="preserve"> after 120 min at room temperature. Pb(II) biosorption onto </w:t>
      </w:r>
      <w:r>
        <w:rPr>
          <w:b w:val="0"/>
          <w:bCs/>
          <w:i/>
          <w:iCs/>
          <w:sz w:val="18"/>
          <w:szCs w:val="14"/>
        </w:rPr>
        <w:t>Eucheuma</w:t>
      </w:r>
      <w:r>
        <w:rPr>
          <w:b w:val="0"/>
          <w:bCs/>
          <w:i/>
          <w:sz w:val="18"/>
          <w:szCs w:val="14"/>
        </w:rPr>
        <w:t xml:space="preserve"> denticulatum</w:t>
      </w:r>
      <w:r>
        <w:rPr>
          <w:b w:val="0"/>
          <w:bCs/>
          <w:sz w:val="18"/>
          <w:szCs w:val="14"/>
        </w:rPr>
        <w:t xml:space="preserve"> fitted well to </w:t>
      </w:r>
      <w:r>
        <w:rPr>
          <w:b w:val="0"/>
          <w:bCs/>
          <w:sz w:val="18"/>
          <w:szCs w:val="14"/>
          <w:lang w:val="en-MY"/>
        </w:rPr>
        <w:t xml:space="preserve">the </w:t>
      </w:r>
      <w:r>
        <w:rPr>
          <w:b w:val="0"/>
          <w:bCs/>
          <w:sz w:val="18"/>
          <w:szCs w:val="14"/>
        </w:rPr>
        <w:t>Langmuir isotherm</w:t>
      </w:r>
      <w:r>
        <w:rPr>
          <w:b w:val="0"/>
          <w:bCs/>
          <w:sz w:val="18"/>
          <w:szCs w:val="14"/>
          <w:lang w:val="en-MY"/>
        </w:rPr>
        <w:t>,</w:t>
      </w:r>
      <w:r>
        <w:rPr>
          <w:b w:val="0"/>
          <w:bCs/>
          <w:sz w:val="18"/>
          <w:szCs w:val="14"/>
        </w:rPr>
        <w:t xml:space="preserve"> with a maximum adsorption capacity (</w:t>
      </w:r>
      <w:r>
        <w:rPr>
          <w:b w:val="0"/>
          <w:bCs/>
          <w:i/>
          <w:sz w:val="18"/>
          <w:szCs w:val="14"/>
        </w:rPr>
        <w:t>q</w:t>
      </w:r>
      <w:r>
        <w:rPr>
          <w:b w:val="0"/>
          <w:bCs/>
          <w:sz w:val="18"/>
          <w:szCs w:val="14"/>
          <w:vertAlign w:val="subscript"/>
        </w:rPr>
        <w:t>max</w:t>
      </w:r>
      <w:r>
        <w:rPr>
          <w:b w:val="0"/>
          <w:bCs/>
          <w:sz w:val="18"/>
          <w:szCs w:val="14"/>
        </w:rPr>
        <w:t>) of 416.67 mg/g. The results suggest that th</w:t>
      </w:r>
      <w:r>
        <w:rPr>
          <w:b w:val="0"/>
          <w:bCs/>
          <w:sz w:val="18"/>
          <w:szCs w:val="14"/>
          <w:lang w:val="en-MY"/>
        </w:rPr>
        <w:t>is type of</w:t>
      </w:r>
      <w:r>
        <w:rPr>
          <w:b w:val="0"/>
          <w:bCs/>
          <w:sz w:val="18"/>
          <w:szCs w:val="14"/>
        </w:rPr>
        <w:t xml:space="preserve"> seaweed</w:t>
      </w:r>
      <w:r>
        <w:rPr>
          <w:b w:val="0"/>
          <w:bCs/>
          <w:sz w:val="18"/>
          <w:szCs w:val="14"/>
          <w:lang w:val="en-MY"/>
        </w:rPr>
        <w:t>,</w:t>
      </w:r>
      <w:r>
        <w:rPr>
          <w:b w:val="0"/>
          <w:bCs/>
          <w:sz w:val="18"/>
          <w:szCs w:val="14"/>
        </w:rPr>
        <w:t xml:space="preserve"> </w:t>
      </w:r>
      <w:r>
        <w:rPr>
          <w:b w:val="0"/>
          <w:bCs/>
          <w:i/>
          <w:sz w:val="18"/>
          <w:szCs w:val="14"/>
        </w:rPr>
        <w:t>E. denticulatum</w:t>
      </w:r>
      <w:r>
        <w:rPr>
          <w:b w:val="0"/>
          <w:bCs/>
          <w:sz w:val="18"/>
          <w:szCs w:val="14"/>
          <w:lang w:val="en-MY"/>
        </w:rPr>
        <w:t xml:space="preserve">, </w:t>
      </w:r>
      <w:r>
        <w:rPr>
          <w:b w:val="0"/>
          <w:bCs/>
          <w:sz w:val="18"/>
          <w:szCs w:val="14"/>
        </w:rPr>
        <w:t>is an effective biosorbent for removing Pb (II) and may control toxic metal pollution in tropical aquatic ecosystems.</w:t>
      </w:r>
    </w:p>
    <w:p w14:paraId="717940F2" w14:textId="6B1294F9" w:rsidR="00D037D1" w:rsidRPr="004A3DD9" w:rsidRDefault="006541D4">
      <w:pPr>
        <w:pStyle w:val="Heading4"/>
        <w:spacing w:after="240" w:line="240" w:lineRule="auto"/>
        <w:rPr>
          <w:b w:val="0"/>
          <w:sz w:val="18"/>
          <w:szCs w:val="14"/>
        </w:rPr>
      </w:pPr>
      <w:r w:rsidRPr="004A3DD9">
        <w:rPr>
          <w:bCs/>
          <w:iCs/>
          <w:sz w:val="18"/>
          <w:szCs w:val="14"/>
        </w:rPr>
        <w:t>Keywords</w:t>
      </w:r>
      <w:r w:rsidRPr="004A3DD9">
        <w:rPr>
          <w:bCs/>
          <w:iCs/>
          <w:sz w:val="18"/>
          <w:szCs w:val="18"/>
        </w:rPr>
        <w:t>:</w:t>
      </w:r>
      <w:r>
        <w:rPr>
          <w:bCs/>
          <w:i/>
          <w:sz w:val="18"/>
          <w:szCs w:val="18"/>
        </w:rPr>
        <w:t xml:space="preserve"> </w:t>
      </w:r>
      <w:r w:rsidR="004A3DD9" w:rsidRPr="004A3DD9">
        <w:rPr>
          <w:b w:val="0"/>
          <w:sz w:val="18"/>
          <w:szCs w:val="18"/>
        </w:rPr>
        <w:t xml:space="preserve">biosorption, </w:t>
      </w:r>
      <w:r w:rsidR="004A3DD9" w:rsidRPr="004A3DD9">
        <w:rPr>
          <w:b w:val="0"/>
          <w:i/>
          <w:sz w:val="18"/>
          <w:szCs w:val="18"/>
        </w:rPr>
        <w:t>eucheuma denticulatum</w:t>
      </w:r>
      <w:r w:rsidR="004A3DD9" w:rsidRPr="004A3DD9">
        <w:rPr>
          <w:b w:val="0"/>
          <w:sz w:val="18"/>
          <w:szCs w:val="18"/>
        </w:rPr>
        <w:t xml:space="preserve">, heavy metals, </w:t>
      </w:r>
      <w:r w:rsidR="004A3DD9">
        <w:rPr>
          <w:b w:val="0"/>
          <w:sz w:val="18"/>
          <w:szCs w:val="18"/>
        </w:rPr>
        <w:t>Langmuir and Freundlich</w:t>
      </w:r>
      <w:r w:rsidR="004A3DD9" w:rsidRPr="004A3DD9">
        <w:rPr>
          <w:b w:val="0"/>
          <w:sz w:val="18"/>
          <w:szCs w:val="18"/>
        </w:rPr>
        <w:t xml:space="preserve"> models</w:t>
      </w:r>
    </w:p>
    <w:bookmarkEnd w:id="1"/>
    <w:p w14:paraId="53BD7654" w14:textId="77777777" w:rsidR="00D037D1" w:rsidRDefault="006541D4">
      <w:pPr>
        <w:pStyle w:val="Heading4"/>
        <w:spacing w:line="240" w:lineRule="auto"/>
        <w:jc w:val="center"/>
        <w:rPr>
          <w:bCs/>
          <w:sz w:val="18"/>
          <w:szCs w:val="14"/>
        </w:rPr>
      </w:pPr>
      <w:r>
        <w:rPr>
          <w:bCs/>
          <w:sz w:val="18"/>
          <w:szCs w:val="14"/>
        </w:rPr>
        <w:t>Abstrak</w:t>
      </w:r>
    </w:p>
    <w:p w14:paraId="643F04C4" w14:textId="42E9F663" w:rsidR="00D037D1" w:rsidRDefault="006541D4" w:rsidP="004A3DD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Industri rumpai laut memainkan peranan sosio-ekonomi yang sangat penting bagi masyarakat pesisir pantai tropika. Kajian ini menunjukkan tingkah laku bio</w:t>
      </w:r>
      <w:r w:rsidR="004A3DD9">
        <w:rPr>
          <w:rFonts w:ascii="Times New Roman" w:hAnsi="Times New Roman" w:cs="Times New Roman"/>
          <w:sz w:val="18"/>
          <w:szCs w:val="18"/>
        </w:rPr>
        <w:t>jerapan</w:t>
      </w:r>
      <w:r>
        <w:rPr>
          <w:rFonts w:ascii="Times New Roman" w:hAnsi="Times New Roman" w:cs="Times New Roman"/>
          <w:sz w:val="18"/>
          <w:szCs w:val="18"/>
        </w:rPr>
        <w:t xml:space="preserve"> larutan akues Pb(II) ke atas </w:t>
      </w:r>
      <w:r>
        <w:rPr>
          <w:rFonts w:ascii="Times New Roman" w:hAnsi="Times New Roman" w:cs="Times New Roman"/>
          <w:i/>
          <w:sz w:val="18"/>
          <w:szCs w:val="18"/>
        </w:rPr>
        <w:t>Eucheuma denticulatum</w:t>
      </w:r>
      <w:r>
        <w:rPr>
          <w:rFonts w:ascii="Times New Roman" w:hAnsi="Times New Roman" w:cs="Times New Roman"/>
          <w:sz w:val="18"/>
          <w:szCs w:val="18"/>
        </w:rPr>
        <w:t>. Pengaruh hubungan masa pH, kepekatan awal logam, dan kajian penjerapan-penyerapan telah dilakukan. Hasil kajian menunjukkan bahawa kadar pengambilan Pb(II) meningkat dengan peningkatan kepekatan dan masa hubungan. Pengambilan Pb(II) mencapai titik tepu pada 1000 mg/</w:t>
      </w:r>
      <w:r w:rsidR="004A3DD9">
        <w:rPr>
          <w:rFonts w:ascii="Times New Roman" w:hAnsi="Times New Roman" w:cs="Times New Roman"/>
          <w:sz w:val="18"/>
          <w:szCs w:val="18"/>
        </w:rPr>
        <w:t>L</w:t>
      </w:r>
      <w:r>
        <w:rPr>
          <w:rFonts w:ascii="Times New Roman" w:hAnsi="Times New Roman" w:cs="Times New Roman"/>
          <w:sz w:val="18"/>
          <w:szCs w:val="18"/>
        </w:rPr>
        <w:t xml:space="preserve"> setelah 120 minit pada suhu bilik. Bio</w:t>
      </w:r>
      <w:r w:rsidR="004A3DD9">
        <w:rPr>
          <w:rFonts w:ascii="Times New Roman" w:hAnsi="Times New Roman" w:cs="Times New Roman"/>
          <w:sz w:val="18"/>
          <w:szCs w:val="18"/>
        </w:rPr>
        <w:t>jerapan</w:t>
      </w:r>
      <w:r>
        <w:rPr>
          <w:rFonts w:ascii="Times New Roman" w:hAnsi="Times New Roman" w:cs="Times New Roman"/>
          <w:sz w:val="18"/>
          <w:szCs w:val="18"/>
        </w:rPr>
        <w:t xml:space="preserve"> Pb(II) ke atas </w:t>
      </w:r>
      <w:r>
        <w:rPr>
          <w:rFonts w:ascii="Times New Roman" w:hAnsi="Times New Roman" w:cs="Times New Roman"/>
          <w:i/>
          <w:sz w:val="18"/>
          <w:szCs w:val="18"/>
        </w:rPr>
        <w:t>E. denticulatum</w:t>
      </w:r>
      <w:r>
        <w:rPr>
          <w:rFonts w:ascii="Times New Roman" w:hAnsi="Times New Roman" w:cs="Times New Roman"/>
          <w:sz w:val="18"/>
          <w:szCs w:val="18"/>
        </w:rPr>
        <w:t xml:space="preserve"> dipasang dengan baik pada isoterm Langmuir dengan kapasiti penjerapan maksimum (</w:t>
      </w:r>
      <w:r w:rsidRPr="004A3DD9">
        <w:rPr>
          <w:rFonts w:ascii="Times New Roman" w:hAnsi="Times New Roman" w:cs="Times New Roman"/>
          <w:i/>
          <w:iCs/>
          <w:sz w:val="18"/>
          <w:szCs w:val="18"/>
        </w:rPr>
        <w:t>q</w:t>
      </w:r>
      <w:r w:rsidRPr="004A3DD9">
        <w:rPr>
          <w:rFonts w:ascii="Times New Roman" w:hAnsi="Times New Roman" w:cs="Times New Roman"/>
          <w:sz w:val="18"/>
          <w:szCs w:val="18"/>
          <w:vertAlign w:val="subscript"/>
        </w:rPr>
        <w:t>max</w:t>
      </w:r>
      <w:r>
        <w:rPr>
          <w:rFonts w:ascii="Times New Roman" w:hAnsi="Times New Roman" w:cs="Times New Roman"/>
          <w:sz w:val="18"/>
          <w:szCs w:val="18"/>
        </w:rPr>
        <w:t xml:space="preserve">) 416.67 mg/g. Hasilnya menunjukkan bahawa rumpai laut </w:t>
      </w:r>
      <w:r>
        <w:rPr>
          <w:rFonts w:ascii="Times New Roman" w:hAnsi="Times New Roman" w:cs="Times New Roman"/>
          <w:i/>
          <w:sz w:val="18"/>
          <w:szCs w:val="18"/>
        </w:rPr>
        <w:t>E. denticulatum</w:t>
      </w:r>
      <w:r>
        <w:rPr>
          <w:rFonts w:ascii="Times New Roman" w:hAnsi="Times New Roman" w:cs="Times New Roman"/>
          <w:sz w:val="18"/>
          <w:szCs w:val="18"/>
        </w:rPr>
        <w:t xml:space="preserve"> adalah bio</w:t>
      </w:r>
      <w:r w:rsidR="004A3DD9">
        <w:rPr>
          <w:rFonts w:ascii="Times New Roman" w:hAnsi="Times New Roman" w:cs="Times New Roman"/>
          <w:sz w:val="18"/>
          <w:szCs w:val="18"/>
        </w:rPr>
        <w:t>penjerap</w:t>
      </w:r>
      <w:r>
        <w:rPr>
          <w:rFonts w:ascii="Times New Roman" w:hAnsi="Times New Roman" w:cs="Times New Roman"/>
          <w:sz w:val="18"/>
          <w:szCs w:val="18"/>
        </w:rPr>
        <w:t xml:space="preserve"> yang berkesan untuk menghilangkan Pb(II) dan mungkin boleh digunakan untuk mengawal pencemaran logam toksik di ekosistem perairan tropika.</w:t>
      </w:r>
      <w:bookmarkStart w:id="3" w:name="_Hlk94680532"/>
    </w:p>
    <w:p w14:paraId="249E1D64" w14:textId="58EC6141" w:rsidR="004A3DD9" w:rsidRDefault="004A3DD9" w:rsidP="004A3DD9">
      <w:pPr>
        <w:spacing w:after="0" w:line="240" w:lineRule="auto"/>
        <w:jc w:val="both"/>
        <w:rPr>
          <w:rFonts w:ascii="Times New Roman" w:hAnsi="Times New Roman" w:cs="Times New Roman"/>
          <w:sz w:val="18"/>
          <w:szCs w:val="18"/>
        </w:rPr>
      </w:pPr>
    </w:p>
    <w:p w14:paraId="356F59E0" w14:textId="15CBAA6C" w:rsidR="004A3DD9" w:rsidRPr="004A3DD9" w:rsidRDefault="004A3DD9" w:rsidP="004A3DD9">
      <w:pPr>
        <w:pStyle w:val="Heading4"/>
        <w:spacing w:after="240" w:line="240" w:lineRule="auto"/>
        <w:rPr>
          <w:b w:val="0"/>
          <w:sz w:val="18"/>
          <w:szCs w:val="14"/>
        </w:rPr>
      </w:pPr>
      <w:r w:rsidRPr="004A3DD9">
        <w:rPr>
          <w:bCs/>
          <w:iCs/>
          <w:sz w:val="18"/>
          <w:szCs w:val="14"/>
        </w:rPr>
        <w:t>K</w:t>
      </w:r>
      <w:r>
        <w:rPr>
          <w:bCs/>
          <w:iCs/>
          <w:sz w:val="18"/>
          <w:szCs w:val="14"/>
        </w:rPr>
        <w:t>ata kunci</w:t>
      </w:r>
      <w:r w:rsidRPr="004A3DD9">
        <w:rPr>
          <w:bCs/>
          <w:iCs/>
          <w:sz w:val="18"/>
          <w:szCs w:val="18"/>
        </w:rPr>
        <w:t>:</w:t>
      </w:r>
      <w:r>
        <w:rPr>
          <w:bCs/>
          <w:i/>
          <w:sz w:val="18"/>
          <w:szCs w:val="18"/>
        </w:rPr>
        <w:t xml:space="preserve"> </w:t>
      </w:r>
      <w:r w:rsidRPr="004A3DD9">
        <w:rPr>
          <w:b w:val="0"/>
          <w:sz w:val="18"/>
          <w:szCs w:val="18"/>
        </w:rPr>
        <w:t>bio</w:t>
      </w:r>
      <w:r>
        <w:rPr>
          <w:b w:val="0"/>
          <w:sz w:val="18"/>
          <w:szCs w:val="18"/>
        </w:rPr>
        <w:t>jerapan</w:t>
      </w:r>
      <w:r w:rsidRPr="004A3DD9">
        <w:rPr>
          <w:b w:val="0"/>
          <w:sz w:val="18"/>
          <w:szCs w:val="18"/>
        </w:rPr>
        <w:t xml:space="preserve">, </w:t>
      </w:r>
      <w:r>
        <w:rPr>
          <w:b w:val="0"/>
          <w:i/>
          <w:sz w:val="18"/>
          <w:szCs w:val="18"/>
        </w:rPr>
        <w:t>E</w:t>
      </w:r>
      <w:r w:rsidRPr="004A3DD9">
        <w:rPr>
          <w:b w:val="0"/>
          <w:i/>
          <w:sz w:val="18"/>
          <w:szCs w:val="18"/>
        </w:rPr>
        <w:t>ucheuma denticulatum</w:t>
      </w:r>
      <w:r w:rsidRPr="004A3DD9">
        <w:rPr>
          <w:b w:val="0"/>
          <w:sz w:val="18"/>
          <w:szCs w:val="18"/>
        </w:rPr>
        <w:t xml:space="preserve">, </w:t>
      </w:r>
      <w:r>
        <w:rPr>
          <w:b w:val="0"/>
          <w:sz w:val="18"/>
          <w:szCs w:val="18"/>
        </w:rPr>
        <w:t>logam berat</w:t>
      </w:r>
      <w:r w:rsidRPr="004A3DD9">
        <w:rPr>
          <w:b w:val="0"/>
          <w:sz w:val="18"/>
          <w:szCs w:val="18"/>
        </w:rPr>
        <w:t xml:space="preserve">, </w:t>
      </w:r>
      <w:r>
        <w:rPr>
          <w:b w:val="0"/>
          <w:sz w:val="18"/>
          <w:szCs w:val="18"/>
        </w:rPr>
        <w:t>model Langmuir dan Freundlich</w:t>
      </w:r>
    </w:p>
    <w:p w14:paraId="60A6C17F" w14:textId="77777777" w:rsidR="00D037D1" w:rsidRDefault="006541D4">
      <w:pPr>
        <w:pStyle w:val="Heading4"/>
        <w:spacing w:line="240" w:lineRule="auto"/>
        <w:jc w:val="center"/>
        <w:rPr>
          <w:sz w:val="20"/>
        </w:rPr>
      </w:pPr>
      <w:r>
        <w:rPr>
          <w:sz w:val="20"/>
        </w:rPr>
        <w:t>Introduction</w:t>
      </w:r>
    </w:p>
    <w:p w14:paraId="785A0D5C" w14:textId="764A5938" w:rsidR="00D037D1" w:rsidRDefault="006541D4">
      <w:pPr>
        <w:spacing w:after="240" w:line="240" w:lineRule="auto"/>
        <w:jc w:val="both"/>
        <w:rPr>
          <w:rFonts w:ascii="Times New Roman" w:hAnsi="Times New Roman"/>
          <w:sz w:val="20"/>
          <w:szCs w:val="20"/>
        </w:rPr>
      </w:pPr>
      <w:r>
        <w:rPr>
          <w:rFonts w:ascii="Times New Roman" w:hAnsi="Times New Roman"/>
          <w:sz w:val="20"/>
          <w:szCs w:val="20"/>
        </w:rPr>
        <w:t xml:space="preserve">Heavy metal pollution </w:t>
      </w:r>
      <w:r>
        <w:rPr>
          <w:rFonts w:ascii="Times New Roman" w:hAnsi="Times New Roman"/>
          <w:sz w:val="20"/>
          <w:szCs w:val="20"/>
          <w:lang w:val="en-MY"/>
        </w:rPr>
        <w:t>is a</w:t>
      </w:r>
      <w:r>
        <w:rPr>
          <w:rFonts w:ascii="Times New Roman" w:hAnsi="Times New Roman"/>
          <w:sz w:val="20"/>
          <w:szCs w:val="20"/>
        </w:rPr>
        <w:t xml:space="preserve"> serious concern due to its profound impact</w:t>
      </w:r>
      <w:r>
        <w:rPr>
          <w:rFonts w:ascii="Times New Roman" w:hAnsi="Times New Roman"/>
          <w:sz w:val="20"/>
          <w:szCs w:val="20"/>
          <w:lang w:val="en-MY"/>
        </w:rPr>
        <w:t>,</w:t>
      </w:r>
      <w:r>
        <w:rPr>
          <w:rFonts w:ascii="Times New Roman" w:hAnsi="Times New Roman"/>
          <w:sz w:val="20"/>
          <w:szCs w:val="20"/>
        </w:rPr>
        <w:t xml:space="preserve"> even at small concentrations</w:t>
      </w:r>
      <w:r>
        <w:rPr>
          <w:rFonts w:ascii="Times New Roman" w:hAnsi="Times New Roman"/>
          <w:sz w:val="20"/>
          <w:szCs w:val="20"/>
          <w:lang w:val="en-MY"/>
        </w:rPr>
        <w:t>.</w:t>
      </w:r>
      <w:r>
        <w:rPr>
          <w:rFonts w:ascii="Times New Roman" w:hAnsi="Times New Roman"/>
          <w:sz w:val="20"/>
          <w:szCs w:val="20"/>
        </w:rPr>
        <w:t xml:space="preserve"> </w:t>
      </w:r>
      <w:r>
        <w:rPr>
          <w:rFonts w:ascii="Times New Roman" w:hAnsi="Times New Roman"/>
          <w:sz w:val="20"/>
          <w:szCs w:val="20"/>
          <w:lang w:val="en-MY"/>
        </w:rPr>
        <w:t>It is caused</w:t>
      </w:r>
      <w:r>
        <w:rPr>
          <w:rFonts w:ascii="Times New Roman" w:hAnsi="Times New Roman"/>
          <w:sz w:val="20"/>
          <w:szCs w:val="20"/>
        </w:rPr>
        <w:t xml:space="preserve"> </w:t>
      </w:r>
      <w:r>
        <w:rPr>
          <w:rFonts w:ascii="Times New Roman" w:hAnsi="Times New Roman"/>
          <w:sz w:val="20"/>
          <w:szCs w:val="20"/>
          <w:lang w:val="en-MY"/>
        </w:rPr>
        <w:t xml:space="preserve">by </w:t>
      </w:r>
      <w:r>
        <w:rPr>
          <w:rFonts w:ascii="Times New Roman" w:hAnsi="Times New Roman"/>
          <w:sz w:val="20"/>
          <w:szCs w:val="20"/>
        </w:rPr>
        <w:t>enhanced industrial</w:t>
      </w:r>
      <w:r>
        <w:rPr>
          <w:rFonts w:ascii="Times New Roman" w:hAnsi="Times New Roman"/>
          <w:sz w:val="20"/>
          <w:szCs w:val="20"/>
          <w:lang w:val="en-MY"/>
        </w:rPr>
        <w:t>is</w:t>
      </w:r>
      <w:r>
        <w:rPr>
          <w:rFonts w:ascii="Times New Roman" w:hAnsi="Times New Roman"/>
          <w:sz w:val="20"/>
          <w:szCs w:val="20"/>
        </w:rPr>
        <w:t xml:space="preserve">ation and human activities that release </w:t>
      </w:r>
      <w:r>
        <w:rPr>
          <w:rFonts w:ascii="Times New Roman" w:hAnsi="Times New Roman"/>
          <w:sz w:val="20"/>
          <w:szCs w:val="20"/>
          <w:lang w:val="en-MY"/>
        </w:rPr>
        <w:t xml:space="preserve">various </w:t>
      </w:r>
      <w:r>
        <w:rPr>
          <w:rFonts w:ascii="Times New Roman" w:hAnsi="Times New Roman"/>
          <w:sz w:val="20"/>
          <w:szCs w:val="20"/>
        </w:rPr>
        <w:t xml:space="preserve">contaminants </w:t>
      </w:r>
      <w:r>
        <w:rPr>
          <w:rFonts w:ascii="Times New Roman" w:hAnsi="Times New Roman"/>
          <w:sz w:val="20"/>
          <w:szCs w:val="20"/>
          <w:lang w:val="en-MY"/>
        </w:rPr>
        <w:t>in</w:t>
      </w:r>
      <w:r>
        <w:rPr>
          <w:rFonts w:ascii="Times New Roman" w:hAnsi="Times New Roman"/>
          <w:sz w:val="20"/>
          <w:szCs w:val="20"/>
        </w:rPr>
        <w:t>to the environment [1,</w:t>
      </w:r>
      <w:r w:rsidR="004A3DD9">
        <w:rPr>
          <w:rFonts w:ascii="Times New Roman" w:hAnsi="Times New Roman"/>
          <w:sz w:val="20"/>
          <w:szCs w:val="20"/>
        </w:rPr>
        <w:t xml:space="preserve"> </w:t>
      </w:r>
      <w:r>
        <w:rPr>
          <w:rFonts w:ascii="Times New Roman" w:hAnsi="Times New Roman"/>
          <w:sz w:val="20"/>
          <w:szCs w:val="20"/>
        </w:rPr>
        <w:t>2,</w:t>
      </w:r>
      <w:r w:rsidR="004A3DD9">
        <w:rPr>
          <w:rFonts w:ascii="Times New Roman" w:hAnsi="Times New Roman"/>
          <w:sz w:val="20"/>
          <w:szCs w:val="20"/>
        </w:rPr>
        <w:t xml:space="preserve"> </w:t>
      </w:r>
      <w:r>
        <w:rPr>
          <w:rFonts w:ascii="Times New Roman" w:hAnsi="Times New Roman"/>
          <w:sz w:val="20"/>
          <w:szCs w:val="20"/>
        </w:rPr>
        <w:t xml:space="preserve">3]. </w:t>
      </w:r>
      <w:r>
        <w:rPr>
          <w:rFonts w:ascii="Times New Roman" w:hAnsi="Times New Roman"/>
          <w:sz w:val="20"/>
          <w:szCs w:val="20"/>
          <w:lang w:val="en-MY"/>
        </w:rPr>
        <w:t>Heavy metals</w:t>
      </w:r>
      <w:r>
        <w:rPr>
          <w:rFonts w:ascii="Times New Roman" w:hAnsi="Times New Roman"/>
          <w:sz w:val="20"/>
          <w:szCs w:val="20"/>
        </w:rPr>
        <w:t xml:space="preserve"> are considered among the most toxic groups reaching the food chain via waste disposal in water bodies and </w:t>
      </w:r>
      <w:r>
        <w:rPr>
          <w:rFonts w:ascii="Times New Roman" w:hAnsi="Times New Roman"/>
          <w:sz w:val="20"/>
          <w:szCs w:val="20"/>
          <w:lang w:val="en-MY"/>
        </w:rPr>
        <w:t xml:space="preserve">on </w:t>
      </w:r>
      <w:r>
        <w:rPr>
          <w:rFonts w:ascii="Times New Roman" w:hAnsi="Times New Roman"/>
          <w:sz w:val="20"/>
          <w:szCs w:val="20"/>
        </w:rPr>
        <w:t xml:space="preserve">land [4]. Therefore, eliminating heavy metal ions in wastewater is crucial for public health protection. </w:t>
      </w:r>
      <w:r>
        <w:rPr>
          <w:rFonts w:ascii="Times New Roman" w:hAnsi="Times New Roman"/>
          <w:sz w:val="20"/>
          <w:szCs w:val="20"/>
          <w:lang w:val="en-MY"/>
        </w:rPr>
        <w:t>The c</w:t>
      </w:r>
      <w:r>
        <w:rPr>
          <w:rFonts w:ascii="Times New Roman" w:hAnsi="Times New Roman"/>
          <w:sz w:val="20"/>
          <w:szCs w:val="20"/>
        </w:rPr>
        <w:t xml:space="preserve">onventional methods for treating toxic metals are expensive and difficult to </w:t>
      </w:r>
      <w:r>
        <w:rPr>
          <w:rFonts w:ascii="Times New Roman" w:hAnsi="Times New Roman"/>
          <w:sz w:val="20"/>
          <w:szCs w:val="20"/>
          <w:lang w:val="en-MY"/>
        </w:rPr>
        <w:t>manage</w:t>
      </w:r>
      <w:r>
        <w:rPr>
          <w:rFonts w:ascii="Times New Roman" w:hAnsi="Times New Roman"/>
          <w:sz w:val="20"/>
          <w:szCs w:val="20"/>
        </w:rPr>
        <w:t xml:space="preserve">. Some methods lead to ineffective metals removal, restricted tolerance to pH change, slight metal selectivity, and </w:t>
      </w:r>
      <w:r>
        <w:rPr>
          <w:rFonts w:ascii="Times New Roman" w:hAnsi="Times New Roman"/>
          <w:sz w:val="20"/>
          <w:szCs w:val="20"/>
          <w:lang w:val="en-MY"/>
        </w:rPr>
        <w:t xml:space="preserve">the </w:t>
      </w:r>
      <w:r>
        <w:rPr>
          <w:rFonts w:ascii="Times New Roman" w:hAnsi="Times New Roman"/>
          <w:sz w:val="20"/>
          <w:szCs w:val="20"/>
        </w:rPr>
        <w:t>generati</w:t>
      </w:r>
      <w:r>
        <w:rPr>
          <w:rFonts w:ascii="Times New Roman" w:hAnsi="Times New Roman"/>
          <w:sz w:val="20"/>
          <w:szCs w:val="20"/>
          <w:lang w:val="en-MY"/>
        </w:rPr>
        <w:t>on of</w:t>
      </w:r>
      <w:r>
        <w:rPr>
          <w:rFonts w:ascii="Times New Roman" w:hAnsi="Times New Roman"/>
          <w:sz w:val="20"/>
          <w:szCs w:val="20"/>
        </w:rPr>
        <w:t xml:space="preserve"> toxic by-product waste that must be appropriately disposed</w:t>
      </w:r>
      <w:r>
        <w:rPr>
          <w:rFonts w:ascii="Times New Roman" w:hAnsi="Times New Roman"/>
          <w:sz w:val="20"/>
          <w:szCs w:val="20"/>
          <w:lang w:val="en-MY"/>
        </w:rPr>
        <w:t xml:space="preserve"> of</w:t>
      </w:r>
      <w:r>
        <w:rPr>
          <w:rFonts w:ascii="Times New Roman" w:hAnsi="Times New Roman"/>
          <w:sz w:val="20"/>
          <w:szCs w:val="20"/>
        </w:rPr>
        <w:t xml:space="preserve"> [5]. Attention </w:t>
      </w:r>
      <w:r>
        <w:rPr>
          <w:rFonts w:ascii="Times New Roman" w:hAnsi="Times New Roman"/>
          <w:sz w:val="20"/>
          <w:szCs w:val="20"/>
          <w:lang w:val="en-MY"/>
        </w:rPr>
        <w:t>has focused on</w:t>
      </w:r>
      <w:r>
        <w:rPr>
          <w:rFonts w:ascii="Times New Roman" w:hAnsi="Times New Roman"/>
          <w:sz w:val="20"/>
          <w:szCs w:val="20"/>
        </w:rPr>
        <w:t xml:space="preserve"> heavy metals biosorption using various biological materials </w:t>
      </w:r>
      <w:r>
        <w:rPr>
          <w:rFonts w:ascii="Times New Roman" w:hAnsi="Times New Roman"/>
          <w:sz w:val="20"/>
          <w:szCs w:val="20"/>
          <w:lang w:val="en-MY"/>
        </w:rPr>
        <w:t>as this enables a</w:t>
      </w:r>
      <w:r>
        <w:rPr>
          <w:rFonts w:ascii="Times New Roman" w:hAnsi="Times New Roman"/>
          <w:sz w:val="20"/>
          <w:szCs w:val="20"/>
        </w:rPr>
        <w:t xml:space="preserve"> higher metal binding capacity than chemical-based methods [6,</w:t>
      </w:r>
      <w:r w:rsidR="004A3DD9">
        <w:rPr>
          <w:rFonts w:ascii="Times New Roman" w:hAnsi="Times New Roman"/>
          <w:sz w:val="20"/>
          <w:szCs w:val="20"/>
        </w:rPr>
        <w:t xml:space="preserve"> </w:t>
      </w:r>
      <w:r>
        <w:rPr>
          <w:rFonts w:ascii="Times New Roman" w:hAnsi="Times New Roman"/>
          <w:sz w:val="20"/>
          <w:szCs w:val="20"/>
        </w:rPr>
        <w:t>7].</w:t>
      </w:r>
    </w:p>
    <w:p w14:paraId="31BF75AA" w14:textId="4155A8D5" w:rsidR="00D037D1" w:rsidRDefault="006541D4">
      <w:pPr>
        <w:spacing w:after="240" w:line="240" w:lineRule="auto"/>
        <w:jc w:val="both"/>
        <w:rPr>
          <w:rFonts w:ascii="Times New Roman" w:hAnsi="Times New Roman"/>
          <w:sz w:val="20"/>
          <w:szCs w:val="20"/>
        </w:rPr>
      </w:pPr>
      <w:r>
        <w:rPr>
          <w:rFonts w:ascii="Times New Roman" w:hAnsi="Times New Roman"/>
          <w:sz w:val="20"/>
          <w:szCs w:val="20"/>
        </w:rPr>
        <w:t xml:space="preserve">Biosorption is </w:t>
      </w:r>
      <w:r>
        <w:rPr>
          <w:rFonts w:ascii="Times New Roman" w:hAnsi="Times New Roman"/>
          <w:sz w:val="20"/>
          <w:szCs w:val="20"/>
          <w:lang w:val="en-MY"/>
        </w:rPr>
        <w:t xml:space="preserve">a </w:t>
      </w:r>
      <w:r>
        <w:rPr>
          <w:rFonts w:ascii="Times New Roman" w:hAnsi="Times New Roman"/>
          <w:sz w:val="20"/>
          <w:szCs w:val="20"/>
        </w:rPr>
        <w:t xml:space="preserve">subtraction technique </w:t>
      </w:r>
      <w:r>
        <w:rPr>
          <w:rFonts w:ascii="Times New Roman" w:hAnsi="Times New Roman"/>
          <w:sz w:val="20"/>
          <w:szCs w:val="20"/>
          <w:lang w:val="en-MY"/>
        </w:rPr>
        <w:t xml:space="preserve">directed at </w:t>
      </w:r>
      <w:r>
        <w:rPr>
          <w:rFonts w:ascii="Times New Roman" w:hAnsi="Times New Roman"/>
          <w:sz w:val="20"/>
          <w:szCs w:val="20"/>
        </w:rPr>
        <w:t xml:space="preserve">contaminants or pollutants </w:t>
      </w:r>
      <w:r>
        <w:rPr>
          <w:rFonts w:ascii="Times New Roman" w:hAnsi="Times New Roman"/>
          <w:sz w:val="20"/>
          <w:szCs w:val="20"/>
          <w:lang w:val="en-MY"/>
        </w:rPr>
        <w:t xml:space="preserve">through </w:t>
      </w:r>
      <w:r>
        <w:rPr>
          <w:rFonts w:ascii="Times New Roman" w:hAnsi="Times New Roman"/>
          <w:sz w:val="20"/>
          <w:szCs w:val="20"/>
        </w:rPr>
        <w:t>inactive biomass,</w:t>
      </w:r>
      <w:r>
        <w:rPr>
          <w:rFonts w:ascii="Times New Roman" w:hAnsi="Times New Roman"/>
          <w:sz w:val="20"/>
          <w:szCs w:val="20"/>
          <w:lang w:val="en-MY"/>
        </w:rPr>
        <w:t xml:space="preserve"> which</w:t>
      </w:r>
      <w:r>
        <w:rPr>
          <w:rFonts w:ascii="Times New Roman" w:hAnsi="Times New Roman"/>
          <w:sz w:val="20"/>
          <w:szCs w:val="20"/>
        </w:rPr>
        <w:t xml:space="preserve"> allow</w:t>
      </w:r>
      <w:r>
        <w:rPr>
          <w:rFonts w:ascii="Times New Roman" w:hAnsi="Times New Roman"/>
          <w:sz w:val="20"/>
          <w:szCs w:val="20"/>
          <w:lang w:val="en-MY"/>
        </w:rPr>
        <w:t xml:space="preserve">s </w:t>
      </w:r>
      <w:r>
        <w:rPr>
          <w:rFonts w:ascii="Times New Roman" w:hAnsi="Times New Roman"/>
          <w:sz w:val="20"/>
          <w:szCs w:val="20"/>
        </w:rPr>
        <w:t>the contaminants to be passively concentrated and b</w:t>
      </w:r>
      <w:r>
        <w:rPr>
          <w:rFonts w:ascii="Times New Roman" w:hAnsi="Times New Roman"/>
          <w:sz w:val="20"/>
          <w:szCs w:val="20"/>
          <w:lang w:val="en-MY"/>
        </w:rPr>
        <w:t>ou</w:t>
      </w:r>
      <w:r>
        <w:rPr>
          <w:rFonts w:ascii="Times New Roman" w:hAnsi="Times New Roman"/>
          <w:sz w:val="20"/>
          <w:szCs w:val="20"/>
        </w:rPr>
        <w:t xml:space="preserve">nd to their cellular structure. Several absorbent materials have previously been used, </w:t>
      </w:r>
      <w:r>
        <w:rPr>
          <w:rFonts w:ascii="Times New Roman" w:hAnsi="Times New Roman"/>
          <w:sz w:val="20"/>
          <w:szCs w:val="20"/>
          <w:lang w:val="en-MY"/>
        </w:rPr>
        <w:t xml:space="preserve">including </w:t>
      </w:r>
      <w:r>
        <w:rPr>
          <w:rFonts w:ascii="Times New Roman" w:hAnsi="Times New Roman"/>
          <w:sz w:val="20"/>
          <w:szCs w:val="20"/>
        </w:rPr>
        <w:t xml:space="preserve">algae [8], fungi [9], bacteria [10], seaweeds [11], and some higher plants [12]. Several studies have assessed the efficiency of </w:t>
      </w:r>
      <w:r>
        <w:rPr>
          <w:rFonts w:ascii="Times New Roman" w:hAnsi="Times New Roman"/>
          <w:sz w:val="20"/>
          <w:szCs w:val="20"/>
          <w:lang w:val="en-MY"/>
        </w:rPr>
        <w:t xml:space="preserve">using </w:t>
      </w:r>
      <w:r>
        <w:rPr>
          <w:rFonts w:ascii="Times New Roman" w:hAnsi="Times New Roman"/>
          <w:sz w:val="20"/>
          <w:szCs w:val="20"/>
        </w:rPr>
        <w:t xml:space="preserve">different biosorbent materials </w:t>
      </w:r>
      <w:r>
        <w:rPr>
          <w:rFonts w:ascii="Times New Roman" w:hAnsi="Times New Roman"/>
          <w:sz w:val="20"/>
          <w:szCs w:val="20"/>
          <w:lang w:val="en-MY"/>
        </w:rPr>
        <w:t xml:space="preserve">for </w:t>
      </w:r>
      <w:r>
        <w:rPr>
          <w:rFonts w:ascii="Times New Roman" w:hAnsi="Times New Roman"/>
          <w:sz w:val="20"/>
          <w:szCs w:val="20"/>
        </w:rPr>
        <w:t xml:space="preserve">treating heavy metals in wastewater. For example,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{"citationItems":[{"id":"ITEM-1","itemData":{"DOI":"10.1016/j.ibiod.2014.03.022","ISSN":"09648305","abstract":"In this study, the biosorption of lead (II) ions on Sargassum ilicifolium, brown seaweed, was investigated in a batch system. The effects of operating parameters such as initial pH, initial metal ion concentration, and biosorbent concentration on the lead (II) biosorption were studied using response surface methodology (RSM). The optimum biosorption conditions were determined as initial pH 3.7, biosorbent concentration 0.2gl-1, and initial lead (II) ion concentration 200mgl-1. The maximum uptake capacity of S. ilicifolium for lead (II) ions was found to be 195±3.3mgg-1 at optimum conditions. The nature of biomass-metal ion interactions was evaluated by FTIR analysis. The equilibrium biosorption data fit very well with both Langmuir and Freundlich isotherm models. The biosorption performance of S.ilicifolium for lead (II) ions (qmax=195mgg-1) was significantly higher than the Pb(II) biosorption performance reported for other biosorbents. The abundant and economic biomass S. ilicifolium could be used for removal of Pb(II) from wastewater. © 2014 Elsevier Ltd.","author":[{"dropping-particle":"","family":"Tabaraki","given":"Reza","non-dropping-particle":"","parse-names":false,"suffix":""},{"dropping-particle":"","family":"Nateghi","given":"Ashraf","non-dropping-particle":"","parse-names":false,"suffix":""},{"dropping-particle":"","family":"Ahmady-Asbchin","given":"Salman","non-dropping-particle":"","parse-names":false,"suffix":""}],"container-title":"International Biodeterioration and Biodegradation","id":"ITEM-1","issued":{"date-parts":[["2014"]]},"page":"145-152","publisher":"Elsevier Ltd","title":"Biosorption of lead (II) ions on Sargassum ilicifolium: Application of response surface methodology","type":"article-journal","volume":"93"},"uris":["http://www.mendeley.com/documents/?uuid=76440e3f-75f4-41e2-9597-d7431f37235b"]}],"mendeley":{"formattedCitation":"(Tabaraki et al., 2014)","manualFormatting":"Tabaraki et al. ","plainTextFormattedCitation":"(Tabaraki et al., 2014)","previouslyFormattedCitation":"(Tabaraki et al., 2014)"},"properties":{"noteIndex":0},"schema":"https://github.com/citation-style-language/schema/raw/master/csl-citation.json"}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 xml:space="preserve">Tabaraki et al. </w:t>
      </w:r>
      <w:r>
        <w:rPr>
          <w:rFonts w:ascii="Times New Roman" w:hAnsi="Times New Roman"/>
          <w:sz w:val="20"/>
          <w:szCs w:val="20"/>
        </w:rPr>
        <w:fldChar w:fldCharType="end"/>
      </w:r>
      <w:r>
        <w:rPr>
          <w:rFonts w:ascii="Times New Roman" w:hAnsi="Times New Roman"/>
          <w:sz w:val="20"/>
          <w:szCs w:val="20"/>
        </w:rPr>
        <w:t>[13] assessed the efficiency of brown seaweed on Pb(II) ions biosorption. At optimal conditions, they found the maximum seaweed uptake for the Pb(II) ions uptake to be 195±3.3 mg/g. The study of peanut shell efficacy on Pb</w:t>
      </w:r>
      <w:r>
        <w:rPr>
          <w:rFonts w:ascii="Times New Roman" w:hAnsi="Times New Roman"/>
          <w:sz w:val="20"/>
          <w:szCs w:val="20"/>
          <w:vertAlign w:val="superscript"/>
        </w:rPr>
        <w:t>2+</w:t>
      </w:r>
      <w:r>
        <w:rPr>
          <w:rFonts w:ascii="Times New Roman" w:hAnsi="Times New Roman"/>
          <w:sz w:val="20"/>
          <w:szCs w:val="20"/>
        </w:rPr>
        <w:t xml:space="preserve"> ions was carried out by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{"citationItems":[{"id":"ITEM-1","itemData":{"DOI":"10.1016/j.jece.2014.03.015","ISSN":"22133437","abstract":"In this study, the biosorption of Pb(II) ions onto peanut shells from an aqueous solution was studied in a batch system as a function of temperature, pH of the solution, contact time, initial concentration of Pb(II) ions, and peanut shell concentration. It was determined that the biosorption capacity of the peanut shells decreased as the temperature was increased. Several kinetic models were used to determine the biosorption mechanism. It was determined that the biosorption system obeyed the pseudo-second-order kinetic model by taking into account the correlation coefficient value. Calculated activation energy value (Ea) was 33 kJ/mol and indicates that physical biosorption mechanisms occurred. This value indicated that physical biosorption mechanisms occurred. The linear forms of the Freundlich and Langmuir isotherms were applied to the biosorption data, and it was concluded that the Langmuir isotherm gave a better fit than the Freundlich model based on the values of the correlation coefficients (R2). The maximum Langmuir biosorbent capacity (q max) was approximately 39 mg/g. The thermodynamic parameters were calculated for the process by which Pb(II) ions were removed by the peanut shells. According to these parameters, it was observed that the biosorption of Pb(II) ions by the peanut shells is exothermic and spontaneous. © 2014 Elsevier Ltd.","author":[{"dropping-particle":"","family":"Taşar","given":"Şeyda","non-dropping-particle":"","parse-names":false,"suffix":""},{"dropping-particle":"","family":"Kaya","given":"Fatih","non-dropping-particle":"","parse-names":false,"suffix":""},{"dropping-particle":"","family":"Özer","given":"Ahmet","non-dropping-particle":"","parse-names":false,"suffix":""}],"container-title":"Journal of Environmental Chemical Engineering","id":"ITEM-1","issue":"2","issued":{"date-parts":[["2014"]]},"page":"1018-1026","title":"Biosorption of lead(II) ions from aqueous solution by peanut shells: Equilibrium, thermodynamic and kinetic studies","type":"article-journal","volume":"2"},"uris":["http://www.mendeley.com/documents/?uuid=a5f34635-77bd-44a7-9b3b-3a4b8f87a788"]}],"mendeley":{"formattedCitation":"(Taşar et al., 2014)","manualFormatting":"Taşar et al. ","plainTextFormattedCitation":"(Taşar et al., 2014)","previouslyFormattedCitation":"(Taşar et al., 2014)"},"properties":{"noteIndex":0},"schema":"https://github.com/citation-style-language/schema/raw/master/csl-citation.json"}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 xml:space="preserve">Taşar et al. </w:t>
      </w:r>
      <w:r>
        <w:rPr>
          <w:rFonts w:ascii="Times New Roman" w:hAnsi="Times New Roman"/>
          <w:sz w:val="20"/>
          <w:szCs w:val="20"/>
        </w:rPr>
        <w:fldChar w:fldCharType="end"/>
      </w:r>
      <w:r>
        <w:rPr>
          <w:rFonts w:ascii="Times New Roman" w:hAnsi="Times New Roman"/>
          <w:sz w:val="20"/>
          <w:szCs w:val="20"/>
        </w:rPr>
        <w:t xml:space="preserve">[14], and 39 mg/g was </w:t>
      </w:r>
      <w:r>
        <w:rPr>
          <w:rFonts w:ascii="Times New Roman" w:hAnsi="Times New Roman"/>
          <w:sz w:val="20"/>
          <w:szCs w:val="20"/>
          <w:lang w:val="en-MY"/>
        </w:rPr>
        <w:t>the</w:t>
      </w:r>
      <w:r>
        <w:rPr>
          <w:rFonts w:ascii="Times New Roman" w:hAnsi="Times New Roman"/>
          <w:sz w:val="20"/>
          <w:szCs w:val="20"/>
        </w:rPr>
        <w:t xml:space="preserve"> maximum uptake obtained. The biosorption capacities of olive mill solid (OMS) and olive stone (OS) on </w:t>
      </w:r>
      <w:r>
        <w:rPr>
          <w:rFonts w:ascii="Times New Roman" w:hAnsi="Times New Roman"/>
          <w:sz w:val="20"/>
          <w:szCs w:val="20"/>
        </w:rPr>
        <w:lastRenderedPageBreak/>
        <w:t>Pb</w:t>
      </w:r>
      <w:r>
        <w:rPr>
          <w:rFonts w:ascii="Times New Roman" w:hAnsi="Times New Roman"/>
          <w:sz w:val="20"/>
          <w:szCs w:val="20"/>
          <w:vertAlign w:val="superscript"/>
        </w:rPr>
        <w:t>2+</w:t>
      </w:r>
      <w:r>
        <w:rPr>
          <w:rFonts w:ascii="Times New Roman" w:hAnsi="Times New Roman"/>
          <w:sz w:val="20"/>
          <w:szCs w:val="20"/>
        </w:rPr>
        <w:t xml:space="preserve"> ions uptake were examined by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{"citationItems":[{"id":"ITEM-1","itemData":{"DOI":"10.1016/j.cej.2010.03.085","ISSN":"13858947","abstract":"This study examined the lead biosorption capacities of two solid wastes from olive-oil production, two-phase olive mill solid (OMS) and olive stone (OS), using batch experiments at different temperatures. The aim was to determine the isotherms of these wastes and thus their applicability as alternative biosorbents for lead removal. In addition, the solids were characterised by Fourier Transform Infrared (FTIR) spectroscopy.The OS sorption isotherms were characterised as type I. However, a step characteristic of type IV isotherms was observed in the OMS lead ion sorption isotherms. Well-known non-linear isotherm models, such as Langmuir, Freundlich and Sips, were tested for fit to the OS experimental data, whereas a two-step Langmuir-type model and an adaptation of the Dubinin-Astakov model that can mathematically describe multistep-shaped isotherms were used for the OMS data. The maximum lead uptake was 6.57. mg/g for OS and 23.69. mg/g for OMS at 25°C. The FTIR spectra before and after lead biosorption, confirmed that carboxyl groups were the main sorption sites for lead removal on the surface of both biosorbents. © 2010 Elsevier B.V.","author":[{"dropping-particle":"","family":"Blázquez","given":"G.","non-dropping-particle":"","parse-names":false,"suffix":""},{"dropping-particle":"","family":"Calero","given":"M.","non-dropping-particle":"","parse-names":false,"suffix":""},{"dropping-particle":"","family":"Hernáinz","given":"F.","non-dropping-particle":"","parse-names":false,"suffix":""},{"dropping-particle":"","family":"Tenorio","given":"G.","non-dropping-particle":"","parse-names":false,"suffix":""},{"dropping-particle":"","family":"Martín-Lara","given":"M. A.","non-dropping-particle":"","parse-names":false,"suffix":""}],"container-title":"Chemical Engineering Journal","id":"ITEM-1","issue":"2","issued":{"date-parts":[["2010"]]},"page":"615-622","title":"Equilibrium biosorption of lead(II) from aqueous solutions by solid waste from olive-oil production","type":"article-journal","volume":"160"},"uris":["http://www.mendeley.com/documents/?uuid=4115caf8-f892-4af1-b343-f6d64a1fe7ad"]}],"mendeley":{"formattedCitation":"(Blázquez et al., 2010)","manualFormatting":"Blázquez et al. ","plainTextFormattedCitation":"(Blázquez et al., 2010)","previouslyFormattedCitation":"(Blázquez et al., 2010)"},"properties":{"noteIndex":0},"schema":"https://github.com/citation-style-language/schema/raw/master/csl-citation.json"}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 xml:space="preserve">Blázquez et al. </w:t>
      </w:r>
      <w:r>
        <w:rPr>
          <w:rFonts w:ascii="Times New Roman" w:hAnsi="Times New Roman"/>
          <w:sz w:val="20"/>
          <w:szCs w:val="20"/>
        </w:rPr>
        <w:fldChar w:fldCharType="end"/>
      </w:r>
      <w:r>
        <w:rPr>
          <w:rFonts w:ascii="Times New Roman" w:hAnsi="Times New Roman"/>
          <w:sz w:val="20"/>
          <w:szCs w:val="20"/>
        </w:rPr>
        <w:t xml:space="preserve">[15] in batch experiments under varied temperatures. The results revealed that the maximum Pb uptake was 6.57 mg/g on OS and 23.69 mg/g on OMS at 25 </w:t>
      </w:r>
      <w:r>
        <w:rPr>
          <w:rFonts w:ascii="Times New Roman" w:hAnsi="Times New Roman" w:cs="Times New Roman"/>
          <w:sz w:val="20"/>
          <w:szCs w:val="20"/>
        </w:rPr>
        <w:t>º</w:t>
      </w:r>
      <w:r>
        <w:rPr>
          <w:rFonts w:ascii="Times New Roman" w:hAnsi="Times New Roman"/>
          <w:sz w:val="20"/>
          <w:szCs w:val="20"/>
        </w:rPr>
        <w:t xml:space="preserve">C.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{"citationItems":[{"id":"ITEM-1","itemData":{"DOI":"10.1007/s11270-013-1446-z","ISSN":"15732932","abstract":"In this study, residues of passion fruit skin were examined as biosorbent materials, evaluating their capacity to adsorb lead(II) ions in in natura skin (SK-N) and two modified skins, with NaOH (SK-S) and with NaOH and citric acid (SK-SCA). The biomass characterization was done through Fourier transform infrared spectroscopy which confirmed the chemical modification by a peak at 1,730 cm-1. Also, scanning electron microscopy analyses were done, where the increase of residue roughness was observed after the modification. And finally, the values of point of zero charge were determined and were lower than 5.5 for all residues. In the experiments of adsorption in function of pH, it was verified that after pH 4, the adsorbed amount was practically constant. Regarding the necessary time to reach equilibrium, the value that was found was approximately 170 min, and kinetics followed the behavior described by the pseudo-second-order equation. The maximum adsorption capacity was 204 mg g -1 for the SK-SCA biomass. The residues followed Langmuir adsorption model. Through thermodynamic parameters, it was verified that adsorption occurs spontaneously due to the negative values of Gibbs' energy. Moreover, desorption studies showed that adsorbed ions may be recovered in two cycles. Thus, due to the high adsorption capacity of lead ions, passion fruit skin can be utilized in filters to retain this metal in the future. © 2013 Springer Science+Business Media Dordrecht.","author":[{"dropping-particle":"","family":"Gerola","given":"Gislaine Passarella","non-dropping-particle":"","parse-names":false,"suffix":""},{"dropping-particle":"","family":"Boas","given":"Naiza Vilas","non-dropping-particle":"","parse-names":false,"suffix":""},{"dropping-particle":"","family":"Caetano","given":"Josiane","non-dropping-particle":"","parse-names":false,"suffix":""},{"dropping-particle":"","family":"Tarley","given":"César Ricardo Teixeira","non-dropping-particle":"","parse-names":false,"suffix":""},{"dropping-particle":"","family":"Gonçalves","given":"Affonso Celso","non-dropping-particle":"","parse-names":false,"suffix":""},{"dropping-particle":"","family":"Dragunski","given":"Douglas Cardoso","non-dropping-particle":"","parse-names":false,"suffix":""}],"container-title":"Water, Air, and Soil Pollution","id":"ITEM-1","issue":"2","issued":{"date-parts":[["2013"]]},"title":"Utilization of passion fruit skin by-product as Lead(II) Ion biosorbent","type":"article-journal","volume":"224"},"uris":["http://www.mendeley.com/documents/?uuid=b2efed33-641d-449b-8b5c-c79a03e576b3"]}],"mendeley":{"formattedCitation":"(Gerola et al., 2013)","manualFormatting":"Gerola et al.","plainTextFormattedCitation":"(Gerola et al., 2013)","previouslyFormattedCitation":"(Gerola et al., 2013)"},"properties":{"noteIndex":0},"schema":"https://github.com/citation-style-language/schema/raw/master/csl-citation.json"}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Gerola et al.</w:t>
      </w:r>
      <w:r>
        <w:rPr>
          <w:rFonts w:ascii="Times New Roman" w:hAnsi="Times New Roman"/>
          <w:sz w:val="20"/>
          <w:szCs w:val="20"/>
        </w:rPr>
        <w:fldChar w:fldCharType="end"/>
      </w:r>
      <w:r>
        <w:rPr>
          <w:rFonts w:ascii="Times New Roman" w:hAnsi="Times New Roman"/>
          <w:sz w:val="20"/>
          <w:szCs w:val="20"/>
        </w:rPr>
        <w:t xml:space="preserve"> [16] investigated the biosorption capacity of the residue of passionfruit skin onto Pb</w:t>
      </w:r>
      <w:r>
        <w:rPr>
          <w:rFonts w:ascii="Times New Roman" w:hAnsi="Times New Roman"/>
          <w:sz w:val="20"/>
          <w:szCs w:val="20"/>
          <w:vertAlign w:val="superscript"/>
        </w:rPr>
        <w:t>2+</w:t>
      </w:r>
      <w:r>
        <w:rPr>
          <w:rFonts w:ascii="Times New Roman" w:hAnsi="Times New Roman"/>
          <w:sz w:val="20"/>
          <w:szCs w:val="20"/>
        </w:rPr>
        <w:t xml:space="preserve"> ions and found </w:t>
      </w:r>
      <w:r>
        <w:rPr>
          <w:rFonts w:ascii="Times New Roman" w:hAnsi="Times New Roman"/>
          <w:sz w:val="20"/>
          <w:szCs w:val="20"/>
          <w:lang w:val="en-MY"/>
        </w:rPr>
        <w:t xml:space="preserve">that </w:t>
      </w:r>
      <w:r>
        <w:rPr>
          <w:rFonts w:ascii="Times New Roman" w:hAnsi="Times New Roman"/>
          <w:sz w:val="20"/>
          <w:szCs w:val="20"/>
        </w:rPr>
        <w:t xml:space="preserve">the maximum biosorption capacity was 204 mg/g at pH 4 for 170 min.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{"citationItems":[{"id":"ITEM-1","itemData":{"DOI":"10.1016/j.bej.2006.10.020","ISSN":"1369703X","abstract":"Ten different seaweed species were compared on the basis of lead uptake at different pH conditions. The brown seaweed, Turbinaria conoides, exhibited maximum lead uptake (at pH 4.5) and hence was selected for further studies. Sorption isotherms, obtained at different pH (4-5) and temperature (25-35 °C) conditions were fitted using Langmuir and Sips models. According to the Langmuir model, the maximum lead uptake of 439.4 mg/g was obtained at optimum pH (4.5) and temperature (30 °C). The Sips model better described the sorption isotherms with high correlation coefficients at all conditions examined. Various thermodynamic parameters such as ΔG°, ΔH° and ΔS° were calculated indicating that the present system was a spontaneous and endothermic process. Through potentiometric titrations, number of binding sites (carboxyl groups) and pK1 were determined as 4.1 mmol/g and 4.4, respectively. The influence of co-ions (Na+, K+, Mg2+ and Ca2+) on lead uptake was well pronounced in the case of divalent ions compared to monovalent ions. The solution of 0.1 M HCl successfully eluted all lead ions from lead-loaded T. conoides biomass. The regeneration experiments revealed that the alga could be successfully reused for five cycles without any loss in lead biosorption capacity. A glass column (2 cm i.d. and 35 cm height) was used to study the continuous lead biosorption performance of T. conoides. At 25 cm (bed height), 5 ml/min (flow rate) and 100 mg/l (initial lead concentration), T. conoides exhibited lead uptake of 220.1 mg/g. The column was successfully eluted using 0.1 M HCl, with elution efficiency of 99.7%. © 2006 Elsevier B.V. All rights reserved.","author":[{"dropping-particle":"","family":"Senthilkumar","given":"R.","non-dropping-particle":"","parse-names":false,"suffix":""},{"dropping-particle":"","family":"Vijayaraghavan","given":"K.","non-dropping-particle":"","parse-names":false,"suffix":""},{"dropping-particle":"","family":"Thilakavathi","given":"M.","non-dropping-particle":"","parse-names":false,"suffix":""},{"dropping-particle":"","family":"Iyer","given":"P. V.R.","non-dropping-particle":"","parse-names":false,"suffix":""},{"dropping-particle":"","family":"Velan","given":"M.","non-dropping-particle":"","parse-names":false,"suffix":""}],"container-title":"Biochemical Engineering Journal","id":"ITEM-1","issue":"3","issued":{"date-parts":[["2007"]]},"page":"211-216","title":"Application of seaweeds for the removal of lead from aqueous solution","type":"article-journal","volume":"33"},"uris":["http://www.mendeley.com/documents/?uuid=77852f81-aa1e-4689-843b-1fa7c086fd2b"]}],"mendeley":{"formattedCitation":"(Senthilkumar et al., 2007)","manualFormatting":"Senthilkumar et al.","plainTextFormattedCitation":"(Senthilkumar et al., 2007)","previouslyFormattedCitation":"(Senthilkumar et al., 2007)"},"properties":{"noteIndex":0},"schema":"https://github.com/citation-style-language/schema/raw/master/csl-citation.json"}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Senthilkumar et al.</w:t>
      </w:r>
      <w:r>
        <w:rPr>
          <w:rFonts w:ascii="Times New Roman" w:hAnsi="Times New Roman"/>
          <w:sz w:val="20"/>
          <w:szCs w:val="20"/>
        </w:rPr>
        <w:fldChar w:fldCharType="end"/>
      </w:r>
      <w:r>
        <w:rPr>
          <w:rFonts w:ascii="Times New Roman" w:hAnsi="Times New Roman"/>
          <w:sz w:val="20"/>
          <w:szCs w:val="20"/>
        </w:rPr>
        <w:t xml:space="preserve"> [17] evaluated </w:t>
      </w:r>
      <w:r>
        <w:rPr>
          <w:rFonts w:ascii="Times New Roman" w:hAnsi="Times New Roman"/>
          <w:sz w:val="20"/>
          <w:szCs w:val="20"/>
          <w:lang w:val="en-MY"/>
        </w:rPr>
        <w:t xml:space="preserve">the </w:t>
      </w:r>
      <w:r>
        <w:rPr>
          <w:rFonts w:ascii="Times New Roman" w:hAnsi="Times New Roman"/>
          <w:sz w:val="20"/>
          <w:szCs w:val="20"/>
        </w:rPr>
        <w:t>biosorption functions of ten (10) different seaweed species on Pb</w:t>
      </w:r>
      <w:r>
        <w:rPr>
          <w:rFonts w:ascii="Times New Roman" w:hAnsi="Times New Roman"/>
          <w:sz w:val="20"/>
          <w:szCs w:val="20"/>
          <w:vertAlign w:val="superscript"/>
        </w:rPr>
        <w:t>2+</w:t>
      </w:r>
      <w:r>
        <w:rPr>
          <w:rFonts w:ascii="Times New Roman" w:hAnsi="Times New Roman"/>
          <w:sz w:val="20"/>
          <w:szCs w:val="20"/>
        </w:rPr>
        <w:t xml:space="preserve"> ions uptake under varied pH environments. The brown seaweed </w:t>
      </w:r>
      <w:r>
        <w:rPr>
          <w:rFonts w:ascii="Times New Roman" w:hAnsi="Times New Roman"/>
          <w:i/>
          <w:iCs/>
          <w:sz w:val="20"/>
          <w:szCs w:val="20"/>
        </w:rPr>
        <w:t>Turbinaria Conoides</w:t>
      </w:r>
      <w:r>
        <w:rPr>
          <w:rFonts w:ascii="Times New Roman" w:hAnsi="Times New Roman"/>
          <w:sz w:val="20"/>
          <w:szCs w:val="20"/>
        </w:rPr>
        <w:t xml:space="preserve"> displayed optimal Pb</w:t>
      </w:r>
      <w:r>
        <w:rPr>
          <w:rFonts w:ascii="Times New Roman" w:hAnsi="Times New Roman"/>
          <w:sz w:val="20"/>
          <w:szCs w:val="20"/>
          <w:vertAlign w:val="superscript"/>
        </w:rPr>
        <w:t>2+</w:t>
      </w:r>
      <w:r>
        <w:rPr>
          <w:rFonts w:ascii="Times New Roman" w:hAnsi="Times New Roman"/>
          <w:sz w:val="20"/>
          <w:szCs w:val="20"/>
        </w:rPr>
        <w:t xml:space="preserve"> ions uptake of 439.4 mg/g at pH 4.5 and </w:t>
      </w:r>
      <w:r>
        <w:rPr>
          <w:rFonts w:ascii="Times New Roman" w:hAnsi="Times New Roman"/>
          <w:sz w:val="20"/>
          <w:szCs w:val="20"/>
          <w:lang w:val="en-MY"/>
        </w:rPr>
        <w:t xml:space="preserve">a </w:t>
      </w:r>
      <w:r>
        <w:rPr>
          <w:rFonts w:ascii="Times New Roman" w:hAnsi="Times New Roman"/>
          <w:sz w:val="20"/>
          <w:szCs w:val="20"/>
        </w:rPr>
        <w:t>temperature</w:t>
      </w:r>
      <w:r>
        <w:rPr>
          <w:rFonts w:ascii="Times New Roman" w:hAnsi="Times New Roman"/>
          <w:sz w:val="20"/>
          <w:szCs w:val="20"/>
          <w:lang w:val="en-MY"/>
        </w:rPr>
        <w:t xml:space="preserve"> of</w:t>
      </w:r>
      <w:r>
        <w:rPr>
          <w:rFonts w:ascii="Times New Roman" w:hAnsi="Times New Roman"/>
          <w:sz w:val="20"/>
          <w:szCs w:val="20"/>
        </w:rPr>
        <w:t xml:space="preserve"> 30 </w:t>
      </w:r>
      <w:r>
        <w:rPr>
          <w:rFonts w:ascii="Times New Roman" w:hAnsi="Times New Roman" w:cs="Times New Roman"/>
          <w:sz w:val="20"/>
          <w:szCs w:val="20"/>
        </w:rPr>
        <w:t>º</w:t>
      </w:r>
      <w:r>
        <w:rPr>
          <w:rFonts w:ascii="Times New Roman" w:hAnsi="Times New Roman"/>
          <w:sz w:val="20"/>
          <w:szCs w:val="20"/>
        </w:rPr>
        <w:t xml:space="preserve">C. The work of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biomass","type":"article-journal","volume":"4"},"uris":["http://www.mendeley.com/documents/?uuid=45b7d72b-eafe-4b7c-b783-04c0f5d34932"]}],"mendeley":{"formattedCitation":"(Abdel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 xml:space="preserve">Abdel-Aty et al. </w:t>
      </w:r>
      <w:r>
        <w:rPr>
          <w:rFonts w:ascii="Times New Roman" w:hAnsi="Times New Roman"/>
          <w:sz w:val="20"/>
          <w:szCs w:val="20"/>
        </w:rPr>
        <w:fldChar w:fldCharType="end"/>
      </w:r>
      <w:r>
        <w:rPr>
          <w:rFonts w:ascii="Times New Roman" w:hAnsi="Times New Roman"/>
          <w:sz w:val="20"/>
          <w:szCs w:val="20"/>
        </w:rPr>
        <w:t xml:space="preserve">[18] presented the applicability of Blue-Green Alga </w:t>
      </w:r>
      <w:r>
        <w:rPr>
          <w:rFonts w:ascii="Times New Roman" w:hAnsi="Times New Roman"/>
          <w:i/>
          <w:iCs/>
          <w:sz w:val="20"/>
          <w:szCs w:val="20"/>
        </w:rPr>
        <w:t>Anabaena Sphaerica</w:t>
      </w:r>
      <w:r>
        <w:rPr>
          <w:rFonts w:ascii="Times New Roman" w:hAnsi="Times New Roman"/>
          <w:sz w:val="20"/>
          <w:szCs w:val="20"/>
        </w:rPr>
        <w:t xml:space="preserve"> as a biosorbent of Cd</w:t>
      </w:r>
      <w:r>
        <w:rPr>
          <w:rFonts w:ascii="Times New Roman" w:hAnsi="Times New Roman"/>
          <w:sz w:val="20"/>
          <w:szCs w:val="20"/>
          <w:vertAlign w:val="superscript"/>
        </w:rPr>
        <w:t>2+</w:t>
      </w:r>
      <w:r>
        <w:rPr>
          <w:rFonts w:ascii="Times New Roman" w:hAnsi="Times New Roman"/>
          <w:sz w:val="20"/>
          <w:szCs w:val="20"/>
        </w:rPr>
        <w:t xml:space="preserve"> and  Pb</w:t>
      </w:r>
      <w:r>
        <w:rPr>
          <w:rFonts w:ascii="Times New Roman" w:hAnsi="Times New Roman"/>
          <w:sz w:val="20"/>
          <w:szCs w:val="20"/>
          <w:vertAlign w:val="superscript"/>
        </w:rPr>
        <w:t>2+</w:t>
      </w:r>
      <w:r>
        <w:rPr>
          <w:rFonts w:ascii="Times New Roman" w:hAnsi="Times New Roman"/>
          <w:sz w:val="20"/>
          <w:szCs w:val="20"/>
        </w:rPr>
        <w:t xml:space="preserve"> ions from aqueous solutions. The ideal biosorption capacity was 111.1</w:t>
      </w:r>
      <w:r>
        <w:rPr>
          <w:rFonts w:ascii="Times New Roman" w:hAnsi="Times New Roman"/>
          <w:sz w:val="20"/>
          <w:szCs w:val="20"/>
          <w:lang w:val="en-MY"/>
        </w:rPr>
        <w:t xml:space="preserve"> </w:t>
      </w:r>
      <w:r>
        <w:rPr>
          <w:rFonts w:ascii="Times New Roman" w:hAnsi="Times New Roman"/>
          <w:sz w:val="20"/>
          <w:szCs w:val="20"/>
        </w:rPr>
        <w:t xml:space="preserve">mg/g and 121.95 mg/g, respectively, at peak conditions. The adsorption capacities of Macroalgae </w:t>
      </w:r>
      <w:r>
        <w:rPr>
          <w:rFonts w:ascii="Times New Roman" w:hAnsi="Times New Roman"/>
          <w:i/>
          <w:iCs/>
          <w:sz w:val="20"/>
          <w:szCs w:val="20"/>
        </w:rPr>
        <w:t>Eucheuma Spinosum</w:t>
      </w:r>
      <w:r>
        <w:rPr>
          <w:rFonts w:ascii="Times New Roman" w:hAnsi="Times New Roman"/>
          <w:sz w:val="20"/>
          <w:szCs w:val="20"/>
        </w:rPr>
        <w:t xml:space="preserve">, </w:t>
      </w:r>
      <w:r>
        <w:rPr>
          <w:rFonts w:ascii="Times New Roman" w:hAnsi="Times New Roman"/>
          <w:i/>
          <w:iCs/>
          <w:sz w:val="20"/>
          <w:szCs w:val="20"/>
        </w:rPr>
        <w:t>Padina Minor,</w:t>
      </w:r>
      <w:r>
        <w:rPr>
          <w:rFonts w:ascii="Times New Roman" w:hAnsi="Times New Roman"/>
          <w:sz w:val="20"/>
          <w:szCs w:val="20"/>
        </w:rPr>
        <w:t xml:space="preserve"> and </w:t>
      </w:r>
      <w:r>
        <w:rPr>
          <w:rFonts w:ascii="Times New Roman" w:hAnsi="Times New Roman"/>
          <w:i/>
          <w:iCs/>
          <w:sz w:val="20"/>
          <w:szCs w:val="20"/>
        </w:rPr>
        <w:t>Sargassum Crasifollum</w:t>
      </w:r>
      <w:r>
        <w:rPr>
          <w:rFonts w:ascii="Times New Roman" w:hAnsi="Times New Roman"/>
          <w:sz w:val="20"/>
          <w:szCs w:val="20"/>
        </w:rPr>
        <w:t xml:space="preserve"> were assessed by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{"citationItems":[{"id":"ITEM-1","itemData":{"author":[{"dropping-particle":"","family":"Putri","given":"L.S.E","non-dropping-particle":"","parse-names":false,"suffix":""}],"container-title":"Asian Journal of Applied Sciences","id":"ITEM-1","issue":"August","issued":{"date-parts":[["2016"]]},"page":"520-525","title":"Biosorption of lead using macroalgae Eucheuma spinosum, Padina minor and Sargassum crassifolium in aqueous solution","type":"article-journal","volume":"4"},"uris":["http://www.mendeley.com/documents/?uuid=b7216c10-4c8d-4e75-92c4-da370073395e"]}],"mendeley":{"formattedCitation":"(Putri, 2016)","manualFormatting":"Putri ","plainTextFormattedCitation":"(Putri, 2016)","previouslyFormattedCitation":"(Putri, 2016)"},"properties":{"noteIndex":0},"schema":"https://github.com/citation-style-language/schema/raw/master/csl-citation.json"}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 xml:space="preserve">Putri </w:t>
      </w:r>
      <w:r>
        <w:rPr>
          <w:rFonts w:ascii="Times New Roman" w:hAnsi="Times New Roman"/>
          <w:sz w:val="20"/>
          <w:szCs w:val="20"/>
        </w:rPr>
        <w:fldChar w:fldCharType="end"/>
      </w:r>
      <w:r>
        <w:rPr>
          <w:rFonts w:ascii="Times New Roman" w:hAnsi="Times New Roman"/>
          <w:sz w:val="20"/>
          <w:szCs w:val="20"/>
        </w:rPr>
        <w:t xml:space="preserve">[19] </w:t>
      </w:r>
      <w:r>
        <w:rPr>
          <w:rFonts w:ascii="Times New Roman" w:hAnsi="Times New Roman"/>
          <w:sz w:val="20"/>
          <w:szCs w:val="20"/>
          <w:lang w:val="en-MY"/>
        </w:rPr>
        <w:t>for their</w:t>
      </w:r>
      <w:r>
        <w:rPr>
          <w:rFonts w:ascii="Times New Roman" w:hAnsi="Times New Roman"/>
          <w:sz w:val="20"/>
          <w:szCs w:val="20"/>
        </w:rPr>
        <w:t xml:space="preserve"> Pb</w:t>
      </w:r>
      <w:r>
        <w:rPr>
          <w:rFonts w:ascii="Times New Roman" w:hAnsi="Times New Roman"/>
          <w:sz w:val="20"/>
          <w:szCs w:val="20"/>
          <w:vertAlign w:val="superscript"/>
        </w:rPr>
        <w:t>2+</w:t>
      </w:r>
      <w:r>
        <w:rPr>
          <w:rFonts w:ascii="Times New Roman" w:hAnsi="Times New Roman"/>
          <w:sz w:val="20"/>
          <w:szCs w:val="20"/>
        </w:rPr>
        <w:t xml:space="preserve"> biosorption. The maximum biosorption capacity (55.56 mg/g) was </w:t>
      </w:r>
      <w:r>
        <w:rPr>
          <w:rFonts w:ascii="Times New Roman" w:hAnsi="Times New Roman"/>
          <w:sz w:val="20"/>
          <w:szCs w:val="20"/>
          <w:lang w:val="en-MY"/>
        </w:rPr>
        <w:t>demonstrat</w:t>
      </w:r>
      <w:r>
        <w:rPr>
          <w:rFonts w:ascii="Times New Roman" w:hAnsi="Times New Roman"/>
          <w:sz w:val="20"/>
          <w:szCs w:val="20"/>
        </w:rPr>
        <w:t xml:space="preserve">ed by </w:t>
      </w:r>
      <w:r>
        <w:rPr>
          <w:rFonts w:ascii="Times New Roman" w:hAnsi="Times New Roman"/>
          <w:i/>
          <w:iCs/>
          <w:sz w:val="20"/>
          <w:szCs w:val="20"/>
        </w:rPr>
        <w:t>Sargassum Crasifollum</w:t>
      </w:r>
      <w:r>
        <w:rPr>
          <w:rFonts w:ascii="Times New Roman" w:hAnsi="Times New Roman"/>
          <w:sz w:val="20"/>
          <w:szCs w:val="20"/>
          <w:lang w:val="en-MY"/>
        </w:rPr>
        <w:t xml:space="preserve">, </w:t>
      </w:r>
      <w:r>
        <w:rPr>
          <w:rFonts w:ascii="Times New Roman" w:hAnsi="Times New Roman"/>
          <w:sz w:val="20"/>
          <w:szCs w:val="20"/>
        </w:rPr>
        <w:t xml:space="preserve">followed by </w:t>
      </w:r>
      <w:r>
        <w:rPr>
          <w:rFonts w:ascii="Times New Roman" w:hAnsi="Times New Roman"/>
          <w:i/>
          <w:iCs/>
          <w:sz w:val="20"/>
          <w:szCs w:val="20"/>
        </w:rPr>
        <w:t>Padina Minor</w:t>
      </w:r>
      <w:r>
        <w:rPr>
          <w:rFonts w:ascii="Times New Roman" w:hAnsi="Times New Roman"/>
          <w:sz w:val="20"/>
          <w:szCs w:val="20"/>
        </w:rPr>
        <w:t xml:space="preserve"> (40.00 mg/g)</w:t>
      </w:r>
      <w:r>
        <w:rPr>
          <w:rFonts w:ascii="Times New Roman" w:hAnsi="Times New Roman"/>
          <w:sz w:val="20"/>
          <w:szCs w:val="20"/>
          <w:lang w:val="en-MY"/>
        </w:rPr>
        <w:t>,</w:t>
      </w:r>
      <w:r>
        <w:rPr>
          <w:rFonts w:ascii="Times New Roman" w:hAnsi="Times New Roman"/>
          <w:sz w:val="20"/>
          <w:szCs w:val="20"/>
        </w:rPr>
        <w:t xml:space="preserve"> </w:t>
      </w:r>
      <w:r>
        <w:rPr>
          <w:rFonts w:ascii="Times New Roman" w:hAnsi="Times New Roman"/>
          <w:sz w:val="20"/>
          <w:szCs w:val="20"/>
          <w:lang w:val="en-MY"/>
        </w:rPr>
        <w:t>while</w:t>
      </w:r>
      <w:r>
        <w:rPr>
          <w:rFonts w:ascii="Times New Roman" w:hAnsi="Times New Roman"/>
          <w:sz w:val="20"/>
          <w:szCs w:val="20"/>
        </w:rPr>
        <w:t xml:space="preserve"> the l</w:t>
      </w:r>
      <w:r>
        <w:rPr>
          <w:rFonts w:ascii="Times New Roman" w:hAnsi="Times New Roman"/>
          <w:sz w:val="20"/>
          <w:szCs w:val="20"/>
          <w:lang w:val="en-MY"/>
        </w:rPr>
        <w:t>owest</w:t>
      </w:r>
      <w:r>
        <w:rPr>
          <w:rFonts w:ascii="Times New Roman" w:hAnsi="Times New Roman"/>
          <w:sz w:val="20"/>
          <w:szCs w:val="20"/>
        </w:rPr>
        <w:t xml:space="preserve"> (32.26 mg/g)</w:t>
      </w:r>
      <w:r>
        <w:rPr>
          <w:rFonts w:ascii="Times New Roman" w:hAnsi="Times New Roman"/>
          <w:sz w:val="20"/>
          <w:szCs w:val="20"/>
          <w:lang w:val="en-MY"/>
        </w:rPr>
        <w:t xml:space="preserve"> </w:t>
      </w:r>
      <w:r>
        <w:rPr>
          <w:rFonts w:ascii="Times New Roman" w:hAnsi="Times New Roman"/>
          <w:sz w:val="20"/>
          <w:szCs w:val="20"/>
        </w:rPr>
        <w:t xml:space="preserve">was </w:t>
      </w:r>
      <w:r>
        <w:rPr>
          <w:rFonts w:ascii="Times New Roman" w:hAnsi="Times New Roman"/>
          <w:sz w:val="20"/>
          <w:szCs w:val="20"/>
          <w:lang w:val="en-MY"/>
        </w:rPr>
        <w:t>demonstrat</w:t>
      </w:r>
      <w:r>
        <w:rPr>
          <w:rFonts w:ascii="Times New Roman" w:hAnsi="Times New Roman"/>
          <w:sz w:val="20"/>
          <w:szCs w:val="20"/>
        </w:rPr>
        <w:t>ed by</w:t>
      </w:r>
      <w:r>
        <w:rPr>
          <w:rFonts w:ascii="Times New Roman" w:hAnsi="Times New Roman"/>
          <w:sz w:val="20"/>
          <w:szCs w:val="20"/>
          <w:lang w:val="en-MY"/>
        </w:rPr>
        <w:t xml:space="preserve"> </w:t>
      </w:r>
      <w:r>
        <w:rPr>
          <w:rFonts w:ascii="Times New Roman" w:hAnsi="Times New Roman"/>
          <w:i/>
          <w:iCs/>
          <w:sz w:val="20"/>
          <w:szCs w:val="20"/>
        </w:rPr>
        <w:t>Eucheuma Spinosum</w:t>
      </w:r>
      <w:r>
        <w:rPr>
          <w:rFonts w:ascii="Times New Roman" w:hAnsi="Times New Roman"/>
          <w:sz w:val="20"/>
          <w:szCs w:val="20"/>
        </w:rPr>
        <w:t xml:space="preserve">. </w:t>
      </w:r>
      <w:r>
        <w:rPr>
          <w:rFonts w:ascii="Times New Roman" w:hAnsi="Times New Roman"/>
          <w:sz w:val="20"/>
          <w:szCs w:val="20"/>
          <w:lang w:val="en-MY"/>
        </w:rPr>
        <w:t>S</w:t>
      </w:r>
      <w:r>
        <w:rPr>
          <w:rFonts w:ascii="Times New Roman" w:hAnsi="Times New Roman"/>
          <w:sz w:val="20"/>
          <w:szCs w:val="20"/>
        </w:rPr>
        <w:t>tudies on Pb</w:t>
      </w:r>
      <w:r>
        <w:rPr>
          <w:rFonts w:ascii="Times New Roman" w:hAnsi="Times New Roman"/>
          <w:sz w:val="20"/>
          <w:szCs w:val="20"/>
          <w:vertAlign w:val="superscript"/>
        </w:rPr>
        <w:t>2+</w:t>
      </w:r>
      <w:r>
        <w:rPr>
          <w:rFonts w:ascii="Times New Roman" w:hAnsi="Times New Roman"/>
          <w:sz w:val="20"/>
          <w:szCs w:val="20"/>
        </w:rPr>
        <w:t xml:space="preserve"> ions adsorption from aqueous solution</w:t>
      </w:r>
      <w:r>
        <w:rPr>
          <w:rFonts w:ascii="Times New Roman" w:hAnsi="Times New Roman"/>
          <w:sz w:val="20"/>
          <w:szCs w:val="20"/>
          <w:lang w:val="en-MY"/>
        </w:rPr>
        <w:t>s</w:t>
      </w:r>
      <w:r>
        <w:rPr>
          <w:rFonts w:ascii="Times New Roman" w:hAnsi="Times New Roman"/>
          <w:sz w:val="20"/>
          <w:szCs w:val="20"/>
        </w:rPr>
        <w:t xml:space="preserve"> using raw and chemically modified green freshwater algae (</w:t>
      </w:r>
      <w:r>
        <w:rPr>
          <w:rFonts w:ascii="Times New Roman" w:hAnsi="Times New Roman"/>
          <w:i/>
          <w:iCs/>
          <w:sz w:val="20"/>
          <w:szCs w:val="20"/>
        </w:rPr>
        <w:t>Scenedesmus Obliquus</w:t>
      </w:r>
      <w:r>
        <w:rPr>
          <w:rFonts w:ascii="Times New Roman" w:hAnsi="Times New Roman"/>
          <w:sz w:val="20"/>
          <w:szCs w:val="20"/>
        </w:rPr>
        <w:t xml:space="preserve">) were conducted by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{"citationItems":[{"id":"ITEM-1","itemData":{"DOI":"10.1080/19443994.2013.856345","ISSN":"19443986","abstract":"Abstract: Biosorption of lead (Pb) from aqueous solution by biomass of green algae, (Scenedesmus obliquus), was investigated as a function of initial solution pH, contact time, and temperature. Additionally, the effect of CaCl2 pretreatment on the Pb uptake capacity of biomass has been investigated. The Langmuir isotherm analysis revealed that the modified biomass (Qmax = 207.2, 1/b = 19. 10) has a great uptake capacity and higher affinity towards the Pb metal than the raw biomass (Qmax = 112.0, 1/b = 56. 91). The absorption process was complied with Freundlich isotherm (R2 = 0.9938 and 0.9629). The Freundlich isotherm analysis showed that the modified biomass (Kf = 78.10, 1/n = 0.6019) has a great uptake capacity and higher affinity toward Pb than the raw biomass (Kf = 22.35, 1/n = 0.7680). The mean biosorption energy calculated from Dubinin–Radushkevich plot (8.84 and 10.44 kJ/mol) suggested chemical biosorption. FTIR spectra indicated the presence of different functional groups, such as amino, carboxyl, hydroxyl, and carbonyl groups, on the cell wall of the S. obliquus biomass. The change in the band intensity and frequency indicate the involvement of these functional groups in Pb binding. Also, the severe decrease in all band intensity indicates that the CaCl2 increases the biosorption capacity of the S. obliquus biomass. The obtained results proved that treatment with CaCl2 has increased the uptake capacity of the S. obliquus biomass and could be used as a potential biosorbent for the removal of Pb from aqueous solutions.","author":[{"dropping-particle":"","family":"Abdel Ghafar","given":"Hany H.","non-dropping-particle":"","parse-names":false,"suffix":""},{"dropping-particle":"","family":"Abdel-Aty","given":"Azza M.","non-dropping-particle":"","parse-names":false,"suffix":""},{"dropping-particle":"","family":"Ammar","given":"Nabila S.","non-dropping-particle":"","parse-names":false,"suffix":""},{"dropping-particle":"","family":"Embaby","given":"Mohamed A.","non-dropping-particle":"","parse-names":false,"suffix":""}],"container-title":"Desalination and Water Treatment","id":"ITEM-1","issue":"40-42","issued":{"date-parts":[["2014"]]},"page":"7906-7914","title":"Lead biosorption from aqueous solution by raw and chemically modified green fresh water algae Scenedesmus obliquus","type":"article-journal","volume":"52"},"uris":["http://www.mendeley.com/documents/?uuid=7fdba1c1-eb5a-4969-9519-04fc1a51ff28"]}],"mendeley":{"formattedCitation":"(Abdel Ghafar et al., 2014)","manualFormatting":"Abdel Ghafar et al. [20]","plainTextFormattedCitation":"(Abdel Ghafar et al., 2014)","previouslyFormattedCitation":"(Abdel Ghafar et al., 2014)"},"properties":{"noteIndex":0},"schema":"https://github.com/citation-style-language/schema/raw/master/csl-citation.json"}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Abdel Ghafar et al. [20]</w:t>
      </w:r>
      <w:r>
        <w:rPr>
          <w:rFonts w:ascii="Times New Roman" w:hAnsi="Times New Roman"/>
          <w:sz w:val="20"/>
          <w:szCs w:val="20"/>
        </w:rPr>
        <w:fldChar w:fldCharType="end"/>
      </w:r>
      <w:r>
        <w:rPr>
          <w:rFonts w:ascii="Times New Roman" w:hAnsi="Times New Roman"/>
          <w:sz w:val="20"/>
          <w:szCs w:val="20"/>
        </w:rPr>
        <w:t>. The modified biomass was found to have highe</w:t>
      </w:r>
      <w:r>
        <w:rPr>
          <w:rFonts w:ascii="Times New Roman" w:hAnsi="Times New Roman"/>
          <w:sz w:val="20"/>
          <w:szCs w:val="20"/>
          <w:lang w:val="en-MY"/>
        </w:rPr>
        <w:t>r</w:t>
      </w:r>
      <w:r>
        <w:rPr>
          <w:rFonts w:ascii="Times New Roman" w:hAnsi="Times New Roman"/>
          <w:sz w:val="20"/>
          <w:szCs w:val="20"/>
        </w:rPr>
        <w:t xml:space="preserve"> biosorption capacity (207.2 mg/g) compared to raw biomass (112.0 mg/g). Therefore, algae have prove</w:t>
      </w:r>
      <w:r>
        <w:rPr>
          <w:rFonts w:ascii="Times New Roman" w:hAnsi="Times New Roman"/>
          <w:sz w:val="20"/>
          <w:szCs w:val="20"/>
          <w:lang w:val="en-MY"/>
        </w:rPr>
        <w:t>n</w:t>
      </w:r>
      <w:r>
        <w:rPr>
          <w:rFonts w:ascii="Times New Roman" w:hAnsi="Times New Roman"/>
          <w:sz w:val="20"/>
          <w:szCs w:val="20"/>
        </w:rPr>
        <w:t xml:space="preserve"> to be a more efficient and promising biosorbent </w:t>
      </w:r>
      <w:r>
        <w:rPr>
          <w:rFonts w:ascii="Times New Roman" w:hAnsi="Times New Roman"/>
          <w:sz w:val="20"/>
          <w:szCs w:val="20"/>
          <w:lang w:val="en-MY"/>
        </w:rPr>
        <w:t xml:space="preserve">to use </w:t>
      </w:r>
      <w:r>
        <w:rPr>
          <w:rFonts w:ascii="Times New Roman" w:hAnsi="Times New Roman"/>
          <w:sz w:val="20"/>
          <w:szCs w:val="20"/>
        </w:rPr>
        <w:t>for heavy metal removal from wastewater. The biosorption method is comparatively inexpensive</w:t>
      </w:r>
      <w:r>
        <w:rPr>
          <w:rFonts w:ascii="Times New Roman" w:hAnsi="Times New Roman"/>
          <w:sz w:val="20"/>
          <w:szCs w:val="20"/>
          <w:lang w:val="en-MY"/>
        </w:rPr>
        <w:t xml:space="preserve"> and it offers</w:t>
      </w:r>
      <w:r>
        <w:rPr>
          <w:rFonts w:ascii="Times New Roman" w:hAnsi="Times New Roman"/>
          <w:sz w:val="20"/>
          <w:szCs w:val="20"/>
        </w:rPr>
        <w:t xml:space="preserve"> elevated efficiency </w:t>
      </w:r>
      <w:r>
        <w:rPr>
          <w:rFonts w:ascii="Times New Roman" w:hAnsi="Times New Roman"/>
          <w:sz w:val="20"/>
          <w:szCs w:val="20"/>
          <w:lang w:val="en-MY"/>
        </w:rPr>
        <w:t>in terms of</w:t>
      </w:r>
      <w:r>
        <w:rPr>
          <w:rFonts w:ascii="Times New Roman" w:hAnsi="Times New Roman"/>
          <w:sz w:val="20"/>
          <w:szCs w:val="20"/>
        </w:rPr>
        <w:t xml:space="preserve"> metal remova</w:t>
      </w:r>
      <w:r>
        <w:rPr>
          <w:rFonts w:ascii="Times New Roman" w:hAnsi="Times New Roman"/>
          <w:sz w:val="20"/>
          <w:szCs w:val="20"/>
          <w:lang w:val="en-MY"/>
        </w:rPr>
        <w:t>l, as well as</w:t>
      </w:r>
      <w:r>
        <w:rPr>
          <w:rFonts w:ascii="Times New Roman" w:hAnsi="Times New Roman"/>
          <w:sz w:val="20"/>
          <w:szCs w:val="20"/>
        </w:rPr>
        <w:t xml:space="preserve"> minimum chemical and/or biological sludge production, among others [21]. </w:t>
      </w:r>
    </w:p>
    <w:p w14:paraId="58726D27" w14:textId="2C080B38" w:rsidR="00D037D1" w:rsidRPr="001D39DF" w:rsidRDefault="006541D4">
      <w:pPr>
        <w:spacing w:after="240" w:line="240" w:lineRule="auto"/>
        <w:jc w:val="both"/>
        <w:rPr>
          <w:rFonts w:ascii="Times New Roman" w:hAnsi="Times New Roman"/>
          <w:sz w:val="20"/>
          <w:szCs w:val="20"/>
        </w:rPr>
      </w:pPr>
      <w:r>
        <w:rPr>
          <w:rFonts w:ascii="Times New Roman" w:hAnsi="Times New Roman"/>
          <w:sz w:val="20"/>
          <w:szCs w:val="20"/>
        </w:rPr>
        <w:t>Algae biosorbent materials are gaining significant</w:t>
      </w:r>
      <w:r>
        <w:rPr>
          <w:rFonts w:ascii="Times New Roman" w:hAnsi="Times New Roman"/>
          <w:sz w:val="20"/>
          <w:szCs w:val="20"/>
          <w:lang w:val="en-MY"/>
        </w:rPr>
        <w:t xml:space="preserve"> </w:t>
      </w:r>
      <w:r>
        <w:rPr>
          <w:rFonts w:ascii="Times New Roman" w:hAnsi="Times New Roman"/>
          <w:sz w:val="20"/>
          <w:szCs w:val="20"/>
        </w:rPr>
        <w:t xml:space="preserve">attention due to their abundance in the oceanic environment, relative easiness to process, and high accumulated ability of metal content. Algal-like seaweed is sufficient to facilitate a complex solid-liquid separation process, thus making seaweed </w:t>
      </w:r>
      <w:r>
        <w:rPr>
          <w:rFonts w:ascii="Times New Roman" w:hAnsi="Times New Roman"/>
          <w:sz w:val="20"/>
          <w:szCs w:val="20"/>
          <w:lang w:val="en-MY"/>
        </w:rPr>
        <w:t xml:space="preserve">a </w:t>
      </w:r>
      <w:r>
        <w:rPr>
          <w:rFonts w:ascii="Times New Roman" w:hAnsi="Times New Roman"/>
          <w:sz w:val="20"/>
          <w:szCs w:val="20"/>
        </w:rPr>
        <w:t xml:space="preserve">suitable </w:t>
      </w:r>
      <w:r>
        <w:rPr>
          <w:rFonts w:ascii="Times New Roman" w:hAnsi="Times New Roman"/>
          <w:sz w:val="20"/>
          <w:szCs w:val="20"/>
          <w:lang w:val="en-MY"/>
        </w:rPr>
        <w:t xml:space="preserve">form of </w:t>
      </w:r>
      <w:r>
        <w:rPr>
          <w:rFonts w:ascii="Times New Roman" w:hAnsi="Times New Roman"/>
          <w:sz w:val="20"/>
          <w:szCs w:val="20"/>
        </w:rPr>
        <w:t>biomass for heavy metal biosor</w:t>
      </w:r>
      <w:r>
        <w:rPr>
          <w:rFonts w:ascii="Times New Roman" w:hAnsi="Times New Roman"/>
          <w:sz w:val="20"/>
          <w:szCs w:val="20"/>
          <w:lang w:val="en-MY"/>
        </w:rPr>
        <w:t>p</w:t>
      </w:r>
      <w:r>
        <w:rPr>
          <w:rFonts w:ascii="Times New Roman" w:hAnsi="Times New Roman"/>
          <w:sz w:val="20"/>
          <w:szCs w:val="20"/>
        </w:rPr>
        <w:t>tion in the marine environment [22].</w:t>
      </w:r>
      <w:r w:rsidR="001D39DF">
        <w:rPr>
          <w:rFonts w:ascii="Times New Roman" w:hAnsi="Times New Roman"/>
          <w:sz w:val="20"/>
          <w:szCs w:val="20"/>
        </w:rPr>
        <w:t xml:space="preserve"> </w:t>
      </w:r>
      <w:r>
        <w:rPr>
          <w:rFonts w:ascii="Times New Roman" w:hAnsi="Times New Roman"/>
          <w:sz w:val="20"/>
          <w:szCs w:val="20"/>
        </w:rPr>
        <w:t xml:space="preserve">Seaweeds are marine algae found in coastal areas. The red algae </w:t>
      </w:r>
      <w:r>
        <w:rPr>
          <w:rFonts w:ascii="Times New Roman" w:hAnsi="Times New Roman"/>
          <w:i/>
          <w:sz w:val="20"/>
          <w:szCs w:val="20"/>
        </w:rPr>
        <w:t>Eucheuma cottonii</w:t>
      </w:r>
      <w:r>
        <w:rPr>
          <w:rFonts w:ascii="Times New Roman" w:hAnsi="Times New Roman"/>
          <w:sz w:val="20"/>
          <w:szCs w:val="20"/>
        </w:rPr>
        <w:t xml:space="preserve"> and </w:t>
      </w:r>
      <w:r>
        <w:rPr>
          <w:rFonts w:ascii="Times New Roman" w:hAnsi="Times New Roman"/>
          <w:i/>
          <w:sz w:val="20"/>
          <w:szCs w:val="20"/>
        </w:rPr>
        <w:t>Eucheuma denticulatum</w:t>
      </w:r>
      <w:r>
        <w:rPr>
          <w:rFonts w:ascii="Times New Roman" w:hAnsi="Times New Roman"/>
          <w:sz w:val="20"/>
          <w:szCs w:val="20"/>
        </w:rPr>
        <w:t xml:space="preserve"> are grown in eastern Africa's tropical coastal regions [23,</w:t>
      </w:r>
      <w:r w:rsidR="001D39DF">
        <w:rPr>
          <w:rFonts w:ascii="Times New Roman" w:hAnsi="Times New Roman"/>
          <w:sz w:val="20"/>
          <w:szCs w:val="20"/>
        </w:rPr>
        <w:t xml:space="preserve"> </w:t>
      </w:r>
      <w:r>
        <w:rPr>
          <w:rFonts w:ascii="Times New Roman" w:hAnsi="Times New Roman"/>
          <w:sz w:val="20"/>
          <w:szCs w:val="20"/>
        </w:rPr>
        <w:t xml:space="preserve">24]. The seaweed industry in Tanzania employs more than 30,000 people [25]. </w:t>
      </w:r>
      <w:r>
        <w:rPr>
          <w:rFonts w:ascii="Times New Roman" w:hAnsi="Times New Roman"/>
          <w:sz w:val="20"/>
          <w:szCs w:val="20"/>
          <w:lang w:val="en-MY"/>
        </w:rPr>
        <w:t>Approximately</w:t>
      </w:r>
      <w:r>
        <w:rPr>
          <w:rFonts w:ascii="Times New Roman" w:hAnsi="Times New Roman"/>
          <w:sz w:val="20"/>
          <w:szCs w:val="20"/>
        </w:rPr>
        <w:t xml:space="preserve"> 5,000 tons</w:t>
      </w:r>
      <w:r>
        <w:rPr>
          <w:rFonts w:ascii="Times New Roman" w:hAnsi="Times New Roman"/>
          <w:sz w:val="20"/>
          <w:szCs w:val="20"/>
          <w:lang w:val="en-MY"/>
        </w:rPr>
        <w:t xml:space="preserve"> of </w:t>
      </w:r>
      <w:r>
        <w:rPr>
          <w:rFonts w:ascii="Times New Roman" w:hAnsi="Times New Roman"/>
          <w:sz w:val="20"/>
          <w:szCs w:val="20"/>
        </w:rPr>
        <w:t xml:space="preserve">dry seaweed </w:t>
      </w:r>
      <w:r>
        <w:rPr>
          <w:rFonts w:ascii="Times New Roman" w:hAnsi="Times New Roman"/>
          <w:sz w:val="20"/>
          <w:szCs w:val="20"/>
          <w:lang w:val="en-MY"/>
        </w:rPr>
        <w:t xml:space="preserve">are exported annually </w:t>
      </w:r>
      <w:r>
        <w:rPr>
          <w:rFonts w:ascii="Times New Roman" w:hAnsi="Times New Roman"/>
          <w:sz w:val="20"/>
          <w:szCs w:val="20"/>
        </w:rPr>
        <w:t xml:space="preserve">from Tanzania [25]. The high production of seaweed in Tanzania has motivated </w:t>
      </w:r>
      <w:r>
        <w:rPr>
          <w:rFonts w:ascii="Times New Roman" w:hAnsi="Times New Roman"/>
          <w:sz w:val="20"/>
          <w:szCs w:val="20"/>
          <w:lang w:val="en-MY"/>
        </w:rPr>
        <w:t>the authors</w:t>
      </w:r>
      <w:r>
        <w:rPr>
          <w:rFonts w:ascii="Times New Roman" w:hAnsi="Times New Roman"/>
          <w:sz w:val="20"/>
          <w:szCs w:val="20"/>
        </w:rPr>
        <w:t xml:space="preserve"> to propose th</w:t>
      </w:r>
      <w:r>
        <w:rPr>
          <w:rFonts w:ascii="Times New Roman" w:hAnsi="Times New Roman"/>
          <w:sz w:val="20"/>
          <w:szCs w:val="20"/>
          <w:lang w:val="en-MY"/>
        </w:rPr>
        <w:t>is substance</w:t>
      </w:r>
      <w:r>
        <w:rPr>
          <w:rFonts w:ascii="Times New Roman" w:hAnsi="Times New Roman"/>
          <w:sz w:val="20"/>
          <w:szCs w:val="20"/>
        </w:rPr>
        <w:t xml:space="preserve"> as </w:t>
      </w:r>
      <w:r>
        <w:rPr>
          <w:rFonts w:ascii="Times New Roman" w:hAnsi="Times New Roman"/>
          <w:sz w:val="20"/>
          <w:szCs w:val="20"/>
          <w:lang w:val="en-MY"/>
        </w:rPr>
        <w:t xml:space="preserve">a </w:t>
      </w:r>
      <w:r>
        <w:rPr>
          <w:rFonts w:ascii="Times New Roman" w:hAnsi="Times New Roman"/>
          <w:sz w:val="20"/>
          <w:szCs w:val="20"/>
        </w:rPr>
        <w:t>potential biosorption material</w:t>
      </w:r>
      <w:r>
        <w:rPr>
          <w:rFonts w:ascii="Times New Roman" w:hAnsi="Times New Roman"/>
          <w:sz w:val="20"/>
          <w:szCs w:val="20"/>
          <w:lang w:val="en-MY"/>
        </w:rPr>
        <w:t>.</w:t>
      </w:r>
    </w:p>
    <w:p w14:paraId="38D2696E" w14:textId="4E699D06" w:rsidR="00D037D1" w:rsidRDefault="006541D4">
      <w:pPr>
        <w:spacing w:after="240" w:line="240" w:lineRule="auto"/>
        <w:jc w:val="both"/>
        <w:rPr>
          <w:rFonts w:ascii="Times New Roman" w:hAnsi="Times New Roman"/>
          <w:sz w:val="20"/>
          <w:szCs w:val="20"/>
        </w:rPr>
      </w:pPr>
      <w:r>
        <w:rPr>
          <w:rFonts w:ascii="Times New Roman" w:hAnsi="Times New Roman"/>
          <w:sz w:val="20"/>
          <w:szCs w:val="20"/>
        </w:rPr>
        <w:t xml:space="preserve">Heavy metal pollution has recently </w:t>
      </w:r>
      <w:r>
        <w:rPr>
          <w:rFonts w:ascii="Times New Roman" w:hAnsi="Times New Roman"/>
          <w:sz w:val="20"/>
          <w:szCs w:val="20"/>
          <w:lang w:val="en-MY"/>
        </w:rPr>
        <w:t xml:space="preserve">gained </w:t>
      </w:r>
      <w:r>
        <w:rPr>
          <w:rFonts w:ascii="Times New Roman" w:hAnsi="Times New Roman"/>
          <w:sz w:val="20"/>
          <w:szCs w:val="20"/>
        </w:rPr>
        <w:t>scientific attention due to its ubiquit</w:t>
      </w:r>
      <w:r>
        <w:rPr>
          <w:rFonts w:ascii="Times New Roman" w:hAnsi="Times New Roman"/>
          <w:sz w:val="20"/>
          <w:szCs w:val="20"/>
          <w:lang w:val="en-MY"/>
        </w:rPr>
        <w:t>y in</w:t>
      </w:r>
      <w:r>
        <w:rPr>
          <w:rFonts w:ascii="Times New Roman" w:hAnsi="Times New Roman"/>
          <w:sz w:val="20"/>
          <w:szCs w:val="20"/>
        </w:rPr>
        <w:t xml:space="preserve"> marine and coastal ecosystems [26]. </w:t>
      </w:r>
      <w:r>
        <w:rPr>
          <w:rFonts w:ascii="Times New Roman" w:hAnsi="Times New Roman"/>
          <w:sz w:val="20"/>
          <w:szCs w:val="20"/>
          <w:lang w:val="en-MY"/>
        </w:rPr>
        <w:t>H</w:t>
      </w:r>
      <w:r>
        <w:rPr>
          <w:rFonts w:ascii="Times New Roman" w:hAnsi="Times New Roman"/>
          <w:sz w:val="20"/>
          <w:szCs w:val="20"/>
        </w:rPr>
        <w:t>eavy metals</w:t>
      </w:r>
      <w:r>
        <w:rPr>
          <w:rFonts w:ascii="Times New Roman" w:hAnsi="Times New Roman"/>
          <w:sz w:val="20"/>
          <w:szCs w:val="20"/>
          <w:lang w:val="en-MY"/>
        </w:rPr>
        <w:t>’</w:t>
      </w:r>
      <w:r>
        <w:rPr>
          <w:rFonts w:ascii="Times New Roman" w:hAnsi="Times New Roman"/>
          <w:sz w:val="20"/>
          <w:szCs w:val="20"/>
        </w:rPr>
        <w:t xml:space="preserve"> pathways into the human body are through food, water, and air. They are absorbed through the skin or </w:t>
      </w:r>
      <w:r>
        <w:rPr>
          <w:rFonts w:ascii="Times New Roman" w:hAnsi="Times New Roman"/>
          <w:sz w:val="20"/>
          <w:szCs w:val="20"/>
          <w:lang w:val="en-MY"/>
        </w:rPr>
        <w:t xml:space="preserve">by </w:t>
      </w:r>
      <w:r>
        <w:rPr>
          <w:rFonts w:ascii="Times New Roman" w:hAnsi="Times New Roman"/>
          <w:sz w:val="20"/>
          <w:szCs w:val="20"/>
        </w:rPr>
        <w:t>exposure from various agricultur</w:t>
      </w:r>
      <w:r>
        <w:rPr>
          <w:rFonts w:ascii="Times New Roman" w:hAnsi="Times New Roman"/>
          <w:sz w:val="20"/>
          <w:szCs w:val="20"/>
          <w:lang w:val="en-MY"/>
        </w:rPr>
        <w:t xml:space="preserve">al, </w:t>
      </w:r>
      <w:r>
        <w:rPr>
          <w:rFonts w:ascii="Times New Roman" w:hAnsi="Times New Roman"/>
          <w:sz w:val="20"/>
          <w:szCs w:val="20"/>
        </w:rPr>
        <w:t>manufacturing, pharmaceutical, and urban</w:t>
      </w:r>
      <w:r>
        <w:rPr>
          <w:rFonts w:ascii="Times New Roman" w:hAnsi="Times New Roman"/>
          <w:sz w:val="20"/>
          <w:szCs w:val="20"/>
          <w:lang w:val="en-MY"/>
        </w:rPr>
        <w:t>is</w:t>
      </w:r>
      <w:r>
        <w:rPr>
          <w:rFonts w:ascii="Times New Roman" w:hAnsi="Times New Roman"/>
          <w:sz w:val="20"/>
          <w:szCs w:val="20"/>
        </w:rPr>
        <w:t xml:space="preserve">ation activities. Lead (Pb) is among the heavy metals proving </w:t>
      </w:r>
      <w:r>
        <w:rPr>
          <w:rFonts w:ascii="Times New Roman" w:hAnsi="Times New Roman"/>
          <w:sz w:val="20"/>
          <w:szCs w:val="20"/>
          <w:lang w:val="en-MY"/>
        </w:rPr>
        <w:t>to be</w:t>
      </w:r>
      <w:r>
        <w:rPr>
          <w:rFonts w:ascii="Times New Roman" w:hAnsi="Times New Roman"/>
          <w:sz w:val="20"/>
          <w:szCs w:val="20"/>
        </w:rPr>
        <w:t xml:space="preserve"> the </w:t>
      </w:r>
      <w:r>
        <w:rPr>
          <w:rFonts w:ascii="Times New Roman" w:hAnsi="Times New Roman"/>
          <w:sz w:val="20"/>
          <w:szCs w:val="20"/>
          <w:lang w:val="en-MY"/>
        </w:rPr>
        <w:t xml:space="preserve">most </w:t>
      </w:r>
      <w:r>
        <w:rPr>
          <w:rFonts w:ascii="Times New Roman" w:hAnsi="Times New Roman"/>
          <w:sz w:val="20"/>
          <w:szCs w:val="20"/>
        </w:rPr>
        <w:t>serious toxic contaminant in Tanzania [27,</w:t>
      </w:r>
      <w:r w:rsidR="001D39DF">
        <w:rPr>
          <w:rFonts w:ascii="Times New Roman" w:hAnsi="Times New Roman"/>
          <w:sz w:val="20"/>
          <w:szCs w:val="20"/>
        </w:rPr>
        <w:t xml:space="preserve"> </w:t>
      </w:r>
      <w:r>
        <w:rPr>
          <w:rFonts w:ascii="Times New Roman" w:hAnsi="Times New Roman"/>
          <w:sz w:val="20"/>
          <w:szCs w:val="20"/>
        </w:rPr>
        <w:t>28,</w:t>
      </w:r>
      <w:r w:rsidR="001D39DF">
        <w:rPr>
          <w:rFonts w:ascii="Times New Roman" w:hAnsi="Times New Roman"/>
          <w:sz w:val="20"/>
          <w:szCs w:val="20"/>
        </w:rPr>
        <w:t xml:space="preserve"> </w:t>
      </w:r>
      <w:r>
        <w:rPr>
          <w:rFonts w:ascii="Times New Roman" w:hAnsi="Times New Roman"/>
          <w:sz w:val="20"/>
          <w:szCs w:val="20"/>
        </w:rPr>
        <w:t>29].</w:t>
      </w:r>
    </w:p>
    <w:p w14:paraId="187BDB0E" w14:textId="634E1608" w:rsidR="00D037D1" w:rsidRDefault="006541D4">
      <w:pPr>
        <w:spacing w:after="0" w:line="240" w:lineRule="auto"/>
        <w:jc w:val="both"/>
        <w:rPr>
          <w:rFonts w:ascii="Times New Roman" w:hAnsi="Times New Roman"/>
          <w:sz w:val="20"/>
          <w:szCs w:val="20"/>
        </w:rPr>
      </w:pPr>
      <w:r>
        <w:rPr>
          <w:rFonts w:ascii="Times New Roman" w:hAnsi="Times New Roman"/>
          <w:sz w:val="20"/>
          <w:szCs w:val="20"/>
        </w:rPr>
        <w:t>Previous studies have demonstrated the high metal-binding abilities of brown and green seaweeds [30,</w:t>
      </w:r>
      <w:r w:rsidR="001D39DF">
        <w:rPr>
          <w:rFonts w:ascii="Times New Roman" w:hAnsi="Times New Roman"/>
          <w:sz w:val="20"/>
          <w:szCs w:val="20"/>
        </w:rPr>
        <w:t xml:space="preserve"> </w:t>
      </w:r>
      <w:r>
        <w:rPr>
          <w:rFonts w:ascii="Times New Roman" w:hAnsi="Times New Roman"/>
          <w:sz w:val="20"/>
          <w:szCs w:val="20"/>
        </w:rPr>
        <w:t>31,</w:t>
      </w:r>
      <w:r w:rsidR="001D39DF">
        <w:rPr>
          <w:rFonts w:ascii="Times New Roman" w:hAnsi="Times New Roman"/>
          <w:sz w:val="20"/>
          <w:szCs w:val="20"/>
        </w:rPr>
        <w:t xml:space="preserve"> </w:t>
      </w:r>
      <w:r>
        <w:rPr>
          <w:rFonts w:ascii="Times New Roman" w:hAnsi="Times New Roman"/>
          <w:sz w:val="20"/>
          <w:szCs w:val="20"/>
        </w:rPr>
        <w:t xml:space="preserve">32]. </w:t>
      </w:r>
      <w:r>
        <w:rPr>
          <w:rFonts w:ascii="Times New Roman" w:hAnsi="Times New Roman"/>
          <w:sz w:val="20"/>
          <w:szCs w:val="20"/>
          <w:lang w:val="en-MY"/>
        </w:rPr>
        <w:t>However</w:t>
      </w:r>
      <w:r>
        <w:rPr>
          <w:rFonts w:ascii="Times New Roman" w:hAnsi="Times New Roman"/>
          <w:sz w:val="20"/>
          <w:szCs w:val="20"/>
        </w:rPr>
        <w:t>, there is a lack of data on the heavy metal biosorption by red seaweed species (</w:t>
      </w:r>
      <w:r>
        <w:rPr>
          <w:rFonts w:asciiTheme="majorBidi" w:hAnsiTheme="majorBidi" w:cstheme="majorBidi"/>
          <w:bCs/>
          <w:i/>
          <w:sz w:val="20"/>
          <w:szCs w:val="20"/>
        </w:rPr>
        <w:t>E. denticulatum</w:t>
      </w:r>
      <w:r>
        <w:rPr>
          <w:rFonts w:ascii="Times New Roman" w:hAnsi="Times New Roman"/>
          <w:sz w:val="20"/>
          <w:szCs w:val="20"/>
        </w:rPr>
        <w:t>) in Tanzania. Therefore, this study discusses the biosorption beha</w:t>
      </w:r>
      <w:r>
        <w:rPr>
          <w:rFonts w:ascii="Times New Roman" w:hAnsi="Times New Roman"/>
          <w:sz w:val="20"/>
          <w:szCs w:val="20"/>
          <w:lang w:val="en-MY"/>
        </w:rPr>
        <w:t>viour</w:t>
      </w:r>
      <w:r>
        <w:rPr>
          <w:rFonts w:ascii="Times New Roman" w:hAnsi="Times New Roman"/>
          <w:sz w:val="20"/>
          <w:szCs w:val="20"/>
        </w:rPr>
        <w:t xml:space="preserve"> of P</w:t>
      </w:r>
      <w:r>
        <w:rPr>
          <w:rFonts w:asciiTheme="majorBidi" w:hAnsiTheme="majorBidi" w:cstheme="majorBidi"/>
          <w:sz w:val="20"/>
          <w:szCs w:val="20"/>
        </w:rPr>
        <w:t>b</w:t>
      </w:r>
      <w:r>
        <w:rPr>
          <w:rFonts w:asciiTheme="majorBidi" w:hAnsiTheme="majorBidi" w:cstheme="majorBidi"/>
          <w:bCs/>
          <w:sz w:val="20"/>
          <w:szCs w:val="20"/>
        </w:rPr>
        <w:t xml:space="preserve">(II) solution onto </w:t>
      </w:r>
      <w:r>
        <w:rPr>
          <w:rFonts w:asciiTheme="majorBidi" w:hAnsiTheme="majorBidi" w:cstheme="majorBidi"/>
          <w:bCs/>
          <w:i/>
          <w:sz w:val="20"/>
          <w:szCs w:val="20"/>
        </w:rPr>
        <w:t>E. denticulatum</w:t>
      </w:r>
      <w:r>
        <w:rPr>
          <w:rFonts w:asciiTheme="majorBidi" w:hAnsiTheme="majorBidi" w:cstheme="majorBidi"/>
          <w:sz w:val="20"/>
          <w:szCs w:val="20"/>
        </w:rPr>
        <w:t>.</w:t>
      </w:r>
      <w:r>
        <w:rPr>
          <w:rFonts w:ascii="Times New Roman" w:hAnsi="Times New Roman"/>
          <w:sz w:val="20"/>
          <w:szCs w:val="20"/>
        </w:rPr>
        <w:t xml:space="preserve"> The finding</w:t>
      </w:r>
      <w:r>
        <w:rPr>
          <w:rFonts w:ascii="Times New Roman" w:hAnsi="Times New Roman"/>
          <w:sz w:val="20"/>
          <w:szCs w:val="20"/>
          <w:lang w:val="en-MY"/>
        </w:rPr>
        <w:t>s</w:t>
      </w:r>
      <w:r>
        <w:rPr>
          <w:rFonts w:ascii="Times New Roman" w:hAnsi="Times New Roman"/>
          <w:sz w:val="20"/>
          <w:szCs w:val="20"/>
        </w:rPr>
        <w:t xml:space="preserve"> from this study on </w:t>
      </w:r>
      <w:r>
        <w:rPr>
          <w:rFonts w:ascii="Times New Roman" w:hAnsi="Times New Roman"/>
          <w:i/>
          <w:sz w:val="20"/>
          <w:szCs w:val="20"/>
        </w:rPr>
        <w:t>E. denticulatum</w:t>
      </w:r>
      <w:r>
        <w:rPr>
          <w:rFonts w:ascii="Times New Roman" w:hAnsi="Times New Roman"/>
          <w:sz w:val="20"/>
          <w:szCs w:val="20"/>
        </w:rPr>
        <w:t xml:space="preserve"> as </w:t>
      </w:r>
      <w:r>
        <w:rPr>
          <w:rFonts w:ascii="Times New Roman" w:hAnsi="Times New Roman"/>
          <w:sz w:val="20"/>
          <w:szCs w:val="20"/>
          <w:lang w:val="en-MY"/>
        </w:rPr>
        <w:t xml:space="preserve">a </w:t>
      </w:r>
      <w:r>
        <w:rPr>
          <w:rFonts w:ascii="Times New Roman" w:hAnsi="Times New Roman"/>
          <w:sz w:val="20"/>
          <w:szCs w:val="20"/>
        </w:rPr>
        <w:t>potential biosorption material of toxic metals ha</w:t>
      </w:r>
      <w:r>
        <w:rPr>
          <w:rFonts w:ascii="Times New Roman" w:hAnsi="Times New Roman"/>
          <w:sz w:val="20"/>
          <w:szCs w:val="20"/>
          <w:lang w:val="en-MY"/>
        </w:rPr>
        <w:t>ve</w:t>
      </w:r>
      <w:r>
        <w:rPr>
          <w:rFonts w:ascii="Times New Roman" w:hAnsi="Times New Roman"/>
          <w:sz w:val="20"/>
          <w:szCs w:val="20"/>
        </w:rPr>
        <w:t xml:space="preserve"> </w:t>
      </w:r>
      <w:r>
        <w:rPr>
          <w:rFonts w:ascii="Times New Roman" w:hAnsi="Times New Roman"/>
          <w:sz w:val="20"/>
          <w:szCs w:val="20"/>
          <w:lang w:val="en-MY"/>
        </w:rPr>
        <w:t xml:space="preserve">extensive </w:t>
      </w:r>
      <w:r>
        <w:rPr>
          <w:rFonts w:ascii="Times New Roman" w:hAnsi="Times New Roman"/>
          <w:sz w:val="20"/>
          <w:szCs w:val="20"/>
        </w:rPr>
        <w:t xml:space="preserve">consequences for the economy and health of farmers engaged </w:t>
      </w:r>
      <w:r>
        <w:rPr>
          <w:rFonts w:ascii="Times New Roman" w:hAnsi="Times New Roman"/>
          <w:sz w:val="20"/>
          <w:szCs w:val="20"/>
          <w:lang w:val="en-MY"/>
        </w:rPr>
        <w:t xml:space="preserve">in </w:t>
      </w:r>
      <w:r>
        <w:rPr>
          <w:rFonts w:ascii="Times New Roman" w:hAnsi="Times New Roman"/>
          <w:sz w:val="20"/>
          <w:szCs w:val="20"/>
        </w:rPr>
        <w:t xml:space="preserve">seaweed </w:t>
      </w:r>
      <w:r>
        <w:rPr>
          <w:rFonts w:ascii="Times New Roman" w:hAnsi="Times New Roman"/>
          <w:sz w:val="20"/>
          <w:szCs w:val="20"/>
          <w:lang w:val="en-MY"/>
        </w:rPr>
        <w:t>aqua</w:t>
      </w:r>
      <w:r>
        <w:rPr>
          <w:rFonts w:ascii="Times New Roman" w:hAnsi="Times New Roman"/>
          <w:sz w:val="20"/>
          <w:szCs w:val="20"/>
        </w:rPr>
        <w:t>culture in the coastal area</w:t>
      </w:r>
      <w:r>
        <w:rPr>
          <w:rFonts w:ascii="Times New Roman" w:hAnsi="Times New Roman"/>
          <w:sz w:val="20"/>
          <w:szCs w:val="20"/>
          <w:lang w:val="en-MY"/>
        </w:rPr>
        <w:t>s</w:t>
      </w:r>
      <w:r>
        <w:rPr>
          <w:rFonts w:ascii="Times New Roman" w:hAnsi="Times New Roman"/>
          <w:sz w:val="20"/>
          <w:szCs w:val="20"/>
        </w:rPr>
        <w:t xml:space="preserve"> of Tanzania. </w:t>
      </w:r>
    </w:p>
    <w:p w14:paraId="45B01D1A" w14:textId="77777777" w:rsidR="001D39DF" w:rsidRPr="001D39DF" w:rsidRDefault="001D39DF">
      <w:pPr>
        <w:spacing w:after="0" w:line="240" w:lineRule="auto"/>
        <w:jc w:val="both"/>
        <w:rPr>
          <w:rFonts w:ascii="Times New Roman" w:hAnsi="Times New Roman"/>
          <w:sz w:val="20"/>
          <w:szCs w:val="20"/>
        </w:rPr>
      </w:pPr>
    </w:p>
    <w:p w14:paraId="628F7509" w14:textId="77777777" w:rsidR="00D037D1" w:rsidRDefault="006541D4">
      <w:pPr>
        <w:pStyle w:val="Heading1"/>
        <w:spacing w:before="0" w:line="240" w:lineRule="auto"/>
        <w:ind w:left="360"/>
        <w:jc w:val="center"/>
        <w:rPr>
          <w:rFonts w:ascii="Times New Roman" w:eastAsia="Calibri" w:hAnsi="Times New Roman"/>
          <w:color w:val="auto"/>
          <w:sz w:val="20"/>
          <w:szCs w:val="20"/>
        </w:rPr>
      </w:pPr>
      <w:bookmarkStart w:id="4" w:name="_Toc365535239"/>
      <w:bookmarkStart w:id="5" w:name="_Toc361606642"/>
      <w:bookmarkStart w:id="6" w:name="_Toc361714562"/>
      <w:bookmarkStart w:id="7" w:name="_Toc362166988"/>
      <w:r>
        <w:rPr>
          <w:rFonts w:ascii="Times New Roman" w:hAnsi="Times New Roman"/>
          <w:color w:val="auto"/>
          <w:sz w:val="20"/>
          <w:szCs w:val="20"/>
        </w:rPr>
        <w:t>Material and Methods</w:t>
      </w:r>
      <w:bookmarkEnd w:id="4"/>
      <w:bookmarkEnd w:id="5"/>
      <w:bookmarkEnd w:id="6"/>
      <w:bookmarkEnd w:id="7"/>
    </w:p>
    <w:p w14:paraId="3489C904" w14:textId="77777777" w:rsidR="00D037D1" w:rsidRDefault="006541D4" w:rsidP="001D39DF">
      <w:pPr>
        <w:pStyle w:val="Heading2"/>
        <w:spacing w:before="0"/>
      </w:pPr>
      <w:r>
        <w:t xml:space="preserve">Study area </w:t>
      </w:r>
    </w:p>
    <w:p w14:paraId="24F163C4" w14:textId="77777777" w:rsidR="00D037D1" w:rsidRDefault="006541D4">
      <w:pPr>
        <w:spacing w:after="240" w:line="240" w:lineRule="auto"/>
        <w:jc w:val="both"/>
        <w:rPr>
          <w:rFonts w:ascii="Times New Roman" w:eastAsia="Times New Roman" w:hAnsi="Times New Roman"/>
          <w:bCs/>
          <w:sz w:val="20"/>
          <w:szCs w:val="20"/>
        </w:rPr>
      </w:pPr>
      <w:r>
        <w:rPr>
          <w:rFonts w:ascii="Times New Roman" w:hAnsi="Times New Roman"/>
          <w:sz w:val="20"/>
          <w:szCs w:val="20"/>
        </w:rPr>
        <w:t xml:space="preserve">This study was conducted </w:t>
      </w:r>
      <w:r>
        <w:rPr>
          <w:rFonts w:ascii="Times New Roman" w:hAnsi="Times New Roman"/>
          <w:sz w:val="20"/>
          <w:szCs w:val="20"/>
          <w:lang w:val="en-MY"/>
        </w:rPr>
        <w:t>in</w:t>
      </w:r>
      <w:r>
        <w:rPr>
          <w:rFonts w:ascii="Times New Roman" w:hAnsi="Times New Roman"/>
          <w:sz w:val="20"/>
          <w:szCs w:val="20"/>
        </w:rPr>
        <w:t xml:space="preserve"> three locations (Unguja Ukuu, Tumbe, and Kiungoni) along the coastal areas of Zanzibar. </w:t>
      </w:r>
      <w:bookmarkStart w:id="8" w:name="_Toc361606644"/>
      <w:bookmarkStart w:id="9" w:name="_Toc365535241"/>
      <w:bookmarkStart w:id="10" w:name="_Toc361714564"/>
      <w:bookmarkStart w:id="11" w:name="_Toc362166990"/>
      <w:r>
        <w:rPr>
          <w:rFonts w:ascii="Times New Roman" w:hAnsi="Times New Roman"/>
          <w:sz w:val="20"/>
          <w:szCs w:val="20"/>
        </w:rPr>
        <w:t>Tumbe and Kiungoni are located in the northern part of Pemba Island (</w:t>
      </w:r>
      <w:r>
        <w:rPr>
          <w:rFonts w:ascii="Times New Roman" w:hAnsi="Times New Roman"/>
          <w:sz w:val="20"/>
          <w:szCs w:val="20"/>
          <w:lang w:val="en-MY"/>
        </w:rPr>
        <w:t>F</w:t>
      </w:r>
      <w:r>
        <w:rPr>
          <w:rFonts w:ascii="Times New Roman" w:hAnsi="Times New Roman"/>
          <w:sz w:val="20"/>
          <w:szCs w:val="20"/>
        </w:rPr>
        <w:t>igure 1), while Unguja Ukuu is situated in the southern part of Unguja island (</w:t>
      </w:r>
      <w:r>
        <w:rPr>
          <w:rFonts w:ascii="Times New Roman" w:hAnsi="Times New Roman"/>
          <w:sz w:val="20"/>
          <w:szCs w:val="20"/>
          <w:lang w:val="en-MY"/>
        </w:rPr>
        <w:t>F</w:t>
      </w:r>
      <w:r>
        <w:rPr>
          <w:rFonts w:ascii="Times New Roman" w:hAnsi="Times New Roman"/>
          <w:sz w:val="20"/>
          <w:szCs w:val="20"/>
        </w:rPr>
        <w:t>igure 2). Seaweed farming is mainly found in these areas.</w:t>
      </w:r>
      <w:r>
        <w:rPr>
          <w:rFonts w:ascii="Times New Roman" w:hAnsi="Times New Roman"/>
          <w:color w:val="FF0000"/>
          <w:sz w:val="20"/>
          <w:szCs w:val="20"/>
        </w:rPr>
        <w:t xml:space="preserve"> </w:t>
      </w:r>
      <w:r>
        <w:rPr>
          <w:rFonts w:ascii="Times New Roman" w:eastAsia="Times New Roman" w:hAnsi="Times New Roman"/>
          <w:bCs/>
          <w:sz w:val="20"/>
          <w:szCs w:val="20"/>
        </w:rPr>
        <w:t xml:space="preserve">Fresh seaweed </w:t>
      </w:r>
      <w:r>
        <w:rPr>
          <w:rFonts w:asciiTheme="majorBidi" w:hAnsiTheme="majorBidi" w:cstheme="majorBidi"/>
          <w:bCs/>
          <w:i/>
          <w:sz w:val="20"/>
          <w:szCs w:val="20"/>
        </w:rPr>
        <w:t>E. denticulatum</w:t>
      </w:r>
      <w:r>
        <w:rPr>
          <w:rFonts w:ascii="Times New Roman" w:eastAsia="Times New Roman" w:hAnsi="Times New Roman"/>
          <w:bCs/>
          <w:sz w:val="20"/>
          <w:szCs w:val="20"/>
        </w:rPr>
        <w:t xml:space="preserve"> samples were cleaned carefully on-site with ocean water to eliminate impurities.</w:t>
      </w:r>
    </w:p>
    <w:bookmarkEnd w:id="3"/>
    <w:p w14:paraId="5B8D0A5A" w14:textId="77777777" w:rsidR="00D037D1" w:rsidRDefault="006541D4">
      <w:pPr>
        <w:spacing w:after="0" w:line="240" w:lineRule="auto"/>
        <w:jc w:val="both"/>
        <w:rPr>
          <w:rFonts w:ascii="Times New Roman" w:hAnsi="Times New Roman"/>
          <w:color w:val="FF0000"/>
          <w:sz w:val="20"/>
          <w:szCs w:val="20"/>
        </w:rPr>
      </w:pPr>
      <w:r>
        <w:rPr>
          <w:noProof/>
        </w:rPr>
        <w:lastRenderedPageBreak/>
        <w:drawing>
          <wp:inline distT="0" distB="0" distL="0" distR="0" wp14:anchorId="71B9A4F1" wp14:editId="79F99401">
            <wp:extent cx="5732145" cy="405257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2145" cy="4052570"/>
                    </a:xfrm>
                    <a:prstGeom prst="rect">
                      <a:avLst/>
                    </a:prstGeom>
                    <a:noFill/>
                    <a:ln>
                      <a:noFill/>
                    </a:ln>
                  </pic:spPr>
                </pic:pic>
              </a:graphicData>
            </a:graphic>
          </wp:inline>
        </w:drawing>
      </w:r>
    </w:p>
    <w:p w14:paraId="4CD308B8" w14:textId="31327E3C" w:rsidR="00D037D1" w:rsidRDefault="006541D4">
      <w:pPr>
        <w:spacing w:after="240" w:line="240" w:lineRule="auto"/>
        <w:jc w:val="center"/>
        <w:rPr>
          <w:rFonts w:ascii="Times New Roman" w:hAnsi="Times New Roman"/>
          <w:sz w:val="20"/>
          <w:szCs w:val="20"/>
          <w:lang w:val="en-MY"/>
        </w:rPr>
      </w:pPr>
      <w:r>
        <w:rPr>
          <w:rFonts w:ascii="Times New Roman" w:hAnsi="Times New Roman"/>
          <w:sz w:val="20"/>
          <w:szCs w:val="20"/>
        </w:rPr>
        <w:t>Figure 1. The sampling areas in</w:t>
      </w:r>
      <w:r>
        <w:rPr>
          <w:rFonts w:ascii="Times New Roman" w:hAnsi="Times New Roman"/>
          <w:sz w:val="20"/>
          <w:szCs w:val="20"/>
          <w:lang w:val="en-MY"/>
        </w:rPr>
        <w:t xml:space="preserve"> the</w:t>
      </w:r>
      <w:r>
        <w:rPr>
          <w:rFonts w:ascii="Times New Roman" w:hAnsi="Times New Roman"/>
          <w:sz w:val="20"/>
          <w:szCs w:val="20"/>
        </w:rPr>
        <w:t xml:space="preserve"> Pemba Island coastal </w:t>
      </w:r>
      <w:r>
        <w:rPr>
          <w:rFonts w:ascii="Times New Roman" w:hAnsi="Times New Roman"/>
          <w:sz w:val="20"/>
          <w:szCs w:val="20"/>
          <w:lang w:val="en-MY"/>
        </w:rPr>
        <w:t>r</w:t>
      </w:r>
      <w:r>
        <w:rPr>
          <w:rFonts w:ascii="Times New Roman" w:hAnsi="Times New Roman"/>
          <w:sz w:val="20"/>
          <w:szCs w:val="20"/>
        </w:rPr>
        <w:t>egion</w:t>
      </w:r>
    </w:p>
    <w:p w14:paraId="57025582" w14:textId="77777777" w:rsidR="00D037D1" w:rsidRDefault="006541D4">
      <w:pPr>
        <w:spacing w:after="0" w:line="240" w:lineRule="auto"/>
        <w:jc w:val="center"/>
        <w:rPr>
          <w:rFonts w:ascii="Times New Roman" w:hAnsi="Times New Roman"/>
          <w:color w:val="FF0000"/>
          <w:sz w:val="20"/>
          <w:szCs w:val="20"/>
        </w:rPr>
      </w:pPr>
      <w:r>
        <w:rPr>
          <w:noProof/>
        </w:rPr>
        <w:drawing>
          <wp:inline distT="0" distB="0" distL="0" distR="0" wp14:anchorId="76AFDE46" wp14:editId="53EF23A2">
            <wp:extent cx="5732145" cy="40525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4052570"/>
                    </a:xfrm>
                    <a:prstGeom prst="rect">
                      <a:avLst/>
                    </a:prstGeom>
                    <a:noFill/>
                    <a:ln>
                      <a:noFill/>
                    </a:ln>
                  </pic:spPr>
                </pic:pic>
              </a:graphicData>
            </a:graphic>
          </wp:inline>
        </w:drawing>
      </w:r>
    </w:p>
    <w:p w14:paraId="0F972DD4" w14:textId="79219B03" w:rsidR="00D037D1" w:rsidRDefault="006541D4">
      <w:pPr>
        <w:spacing w:after="240" w:line="240" w:lineRule="auto"/>
        <w:jc w:val="center"/>
        <w:rPr>
          <w:rFonts w:ascii="Times New Roman" w:hAnsi="Times New Roman"/>
          <w:color w:val="000000" w:themeColor="text1"/>
          <w:sz w:val="20"/>
          <w:szCs w:val="20"/>
          <w:lang w:val="en-MY"/>
        </w:rPr>
      </w:pPr>
      <w:r>
        <w:rPr>
          <w:rFonts w:ascii="Times New Roman" w:hAnsi="Times New Roman"/>
          <w:color w:val="000000" w:themeColor="text1"/>
          <w:sz w:val="20"/>
          <w:szCs w:val="20"/>
        </w:rPr>
        <w:t>Figure 2. The sampling area in</w:t>
      </w:r>
      <w:r>
        <w:rPr>
          <w:rFonts w:ascii="Times New Roman" w:hAnsi="Times New Roman"/>
          <w:color w:val="000000" w:themeColor="text1"/>
          <w:sz w:val="20"/>
          <w:szCs w:val="20"/>
          <w:lang w:val="en-MY"/>
        </w:rPr>
        <w:t xml:space="preserve"> the</w:t>
      </w:r>
      <w:r>
        <w:rPr>
          <w:rFonts w:ascii="Times New Roman" w:hAnsi="Times New Roman"/>
          <w:color w:val="000000" w:themeColor="text1"/>
          <w:sz w:val="20"/>
          <w:szCs w:val="20"/>
        </w:rPr>
        <w:t xml:space="preserve"> Unguja Island </w:t>
      </w:r>
      <w:r>
        <w:rPr>
          <w:rFonts w:ascii="Times New Roman" w:hAnsi="Times New Roman"/>
          <w:color w:val="000000" w:themeColor="text1"/>
          <w:sz w:val="20"/>
          <w:szCs w:val="20"/>
          <w:lang w:val="en-MY"/>
        </w:rPr>
        <w:t>c</w:t>
      </w:r>
      <w:r>
        <w:rPr>
          <w:rFonts w:ascii="Times New Roman" w:hAnsi="Times New Roman"/>
          <w:color w:val="000000" w:themeColor="text1"/>
          <w:sz w:val="20"/>
          <w:szCs w:val="20"/>
        </w:rPr>
        <w:t xml:space="preserve">oastal </w:t>
      </w:r>
      <w:r>
        <w:rPr>
          <w:rFonts w:ascii="Times New Roman" w:hAnsi="Times New Roman"/>
          <w:color w:val="000000" w:themeColor="text1"/>
          <w:sz w:val="20"/>
          <w:szCs w:val="20"/>
          <w:lang w:val="en-MY"/>
        </w:rPr>
        <w:t>r</w:t>
      </w:r>
      <w:r>
        <w:rPr>
          <w:rFonts w:ascii="Times New Roman" w:hAnsi="Times New Roman"/>
          <w:color w:val="000000" w:themeColor="text1"/>
          <w:sz w:val="20"/>
          <w:szCs w:val="20"/>
        </w:rPr>
        <w:t>egion</w:t>
      </w:r>
    </w:p>
    <w:p w14:paraId="35C5CA13" w14:textId="7A972EC1" w:rsidR="00D037D1" w:rsidRDefault="006541D4">
      <w:pPr>
        <w:pStyle w:val="Heading2"/>
      </w:pPr>
      <w:bookmarkStart w:id="12" w:name="_Hlk94680614"/>
      <w:r>
        <w:lastRenderedPageBreak/>
        <w:t xml:space="preserve">Sample </w:t>
      </w:r>
      <w:r w:rsidR="001D39DF">
        <w:t>p</w:t>
      </w:r>
      <w:r>
        <w:t>reparation</w:t>
      </w:r>
      <w:bookmarkEnd w:id="8"/>
      <w:bookmarkEnd w:id="9"/>
      <w:bookmarkEnd w:id="10"/>
      <w:bookmarkEnd w:id="11"/>
    </w:p>
    <w:p w14:paraId="7FE60D3F" w14:textId="14E99090" w:rsidR="00D037D1" w:rsidRDefault="006541D4">
      <w:pPr>
        <w:autoSpaceDE w:val="0"/>
        <w:autoSpaceDN w:val="0"/>
        <w:adjustRightInd w:val="0"/>
        <w:spacing w:after="240" w:line="240" w:lineRule="auto"/>
        <w:jc w:val="both"/>
        <w:rPr>
          <w:rFonts w:ascii="Times New Roman" w:hAnsi="Times New Roman"/>
          <w:sz w:val="20"/>
          <w:szCs w:val="20"/>
        </w:rPr>
      </w:pPr>
      <w:r>
        <w:rPr>
          <w:rFonts w:ascii="Times New Roman" w:eastAsia="Times New Roman" w:hAnsi="Times New Roman"/>
          <w:bCs/>
          <w:sz w:val="20"/>
          <w:szCs w:val="20"/>
        </w:rPr>
        <w:t>The</w:t>
      </w:r>
      <w:r>
        <w:rPr>
          <w:rFonts w:ascii="Times New Roman" w:hAnsi="Times New Roman"/>
          <w:sz w:val="20"/>
          <w:szCs w:val="20"/>
        </w:rPr>
        <w:t xml:space="preserve"> seaweed samples were washed with tap water</w:t>
      </w:r>
      <w:r>
        <w:rPr>
          <w:rFonts w:ascii="Times New Roman" w:hAnsi="Times New Roman"/>
          <w:sz w:val="20"/>
          <w:szCs w:val="20"/>
          <w:lang w:val="en-MY"/>
        </w:rPr>
        <w:t xml:space="preserve">, before being washed again with </w:t>
      </w:r>
      <w:r>
        <w:rPr>
          <w:rFonts w:ascii="Times New Roman" w:hAnsi="Times New Roman"/>
          <w:sz w:val="20"/>
          <w:szCs w:val="20"/>
        </w:rPr>
        <w:t>deion</w:t>
      </w:r>
      <w:r>
        <w:rPr>
          <w:rFonts w:ascii="Times New Roman" w:hAnsi="Times New Roman"/>
          <w:sz w:val="20"/>
          <w:szCs w:val="20"/>
          <w:lang w:val="en-MY"/>
        </w:rPr>
        <w:t>is</w:t>
      </w:r>
      <w:r>
        <w:rPr>
          <w:rFonts w:ascii="Times New Roman" w:hAnsi="Times New Roman"/>
          <w:sz w:val="20"/>
          <w:szCs w:val="20"/>
        </w:rPr>
        <w:t xml:space="preserve">ed water to eradicate salts and particulate matter from </w:t>
      </w:r>
      <w:r>
        <w:rPr>
          <w:rFonts w:ascii="Times New Roman" w:hAnsi="Times New Roman"/>
          <w:sz w:val="20"/>
          <w:szCs w:val="20"/>
          <w:lang w:val="en-MY"/>
        </w:rPr>
        <w:t xml:space="preserve">the </w:t>
      </w:r>
      <w:r>
        <w:rPr>
          <w:rFonts w:ascii="Times New Roman" w:hAnsi="Times New Roman"/>
          <w:sz w:val="20"/>
          <w:szCs w:val="20"/>
        </w:rPr>
        <w:t>surface</w:t>
      </w:r>
      <w:r>
        <w:rPr>
          <w:rFonts w:ascii="Times New Roman" w:hAnsi="Times New Roman"/>
          <w:sz w:val="20"/>
          <w:szCs w:val="20"/>
          <w:lang w:val="en-MY"/>
        </w:rPr>
        <w:t xml:space="preserve"> of samples</w:t>
      </w:r>
      <w:r>
        <w:rPr>
          <w:rFonts w:ascii="Times New Roman" w:hAnsi="Times New Roman"/>
          <w:sz w:val="20"/>
          <w:szCs w:val="20"/>
        </w:rPr>
        <w:t xml:space="preserve">. The samples were then air-dried for 48 hours and </w:t>
      </w:r>
      <w:r>
        <w:rPr>
          <w:rFonts w:ascii="Times New Roman" w:hAnsi="Times New Roman"/>
          <w:sz w:val="20"/>
          <w:szCs w:val="20"/>
          <w:lang w:val="en-MY"/>
        </w:rPr>
        <w:t>t</w:t>
      </w:r>
      <w:r>
        <w:rPr>
          <w:rFonts w:ascii="Times New Roman" w:hAnsi="Times New Roman"/>
          <w:sz w:val="20"/>
          <w:szCs w:val="20"/>
        </w:rPr>
        <w:t>h</w:t>
      </w:r>
      <w:r>
        <w:rPr>
          <w:rFonts w:ascii="Times New Roman" w:hAnsi="Times New Roman"/>
          <w:sz w:val="20"/>
          <w:szCs w:val="20"/>
          <w:lang w:val="en-MY"/>
        </w:rPr>
        <w:t>en</w:t>
      </w:r>
      <w:r>
        <w:rPr>
          <w:rFonts w:ascii="Times New Roman" w:hAnsi="Times New Roman"/>
          <w:sz w:val="20"/>
          <w:szCs w:val="20"/>
        </w:rPr>
        <w:t xml:space="preserve"> oven-drying at 80</w:t>
      </w:r>
      <w:r w:rsidR="001D39DF">
        <w:rPr>
          <w:rFonts w:ascii="Times New Roman" w:hAnsi="Times New Roman"/>
          <w:sz w:val="20"/>
          <w:szCs w:val="20"/>
        </w:rPr>
        <w:t xml:space="preserve"> </w:t>
      </w:r>
      <w:r>
        <w:rPr>
          <w:rFonts w:ascii="Cambria Math" w:hAnsi="Cambria Math" w:cs="Cambria Math"/>
          <w:bCs/>
          <w:sz w:val="20"/>
          <w:szCs w:val="20"/>
        </w:rPr>
        <w:t xml:space="preserve">℃ </w:t>
      </w:r>
      <w:r>
        <w:rPr>
          <w:rFonts w:ascii="Times New Roman" w:hAnsi="Times New Roman"/>
          <w:sz w:val="20"/>
          <w:szCs w:val="20"/>
        </w:rPr>
        <w:t xml:space="preserve">for 24 hrs. The dried samples were ground into </w:t>
      </w:r>
      <w:r>
        <w:rPr>
          <w:rFonts w:ascii="Times New Roman" w:hAnsi="Times New Roman"/>
          <w:sz w:val="20"/>
          <w:szCs w:val="20"/>
          <w:lang w:val="en-MY"/>
        </w:rPr>
        <w:t xml:space="preserve">a </w:t>
      </w:r>
      <w:r>
        <w:rPr>
          <w:rFonts w:ascii="Times New Roman" w:hAnsi="Times New Roman"/>
          <w:sz w:val="20"/>
          <w:szCs w:val="20"/>
        </w:rPr>
        <w:t xml:space="preserve">homogeneous powder </w:t>
      </w:r>
      <w:r>
        <w:rPr>
          <w:rFonts w:ascii="Times New Roman" w:hAnsi="Times New Roman"/>
          <w:sz w:val="20"/>
          <w:szCs w:val="20"/>
          <w:lang w:val="en-MY"/>
        </w:rPr>
        <w:t>using</w:t>
      </w:r>
      <w:r>
        <w:rPr>
          <w:rFonts w:ascii="Times New Roman" w:hAnsi="Times New Roman"/>
          <w:sz w:val="20"/>
          <w:szCs w:val="20"/>
        </w:rPr>
        <w:t xml:space="preserve"> a laboratory blender and stored in a desiccator before </w:t>
      </w:r>
      <w:r>
        <w:rPr>
          <w:rFonts w:ascii="Times New Roman" w:hAnsi="Times New Roman"/>
          <w:sz w:val="20"/>
          <w:szCs w:val="20"/>
          <w:lang w:val="en-MY"/>
        </w:rPr>
        <w:t xml:space="preserve">the </w:t>
      </w:r>
      <w:r>
        <w:rPr>
          <w:rFonts w:ascii="Times New Roman" w:hAnsi="Times New Roman"/>
          <w:sz w:val="20"/>
          <w:szCs w:val="20"/>
        </w:rPr>
        <w:t>biosorption experiments</w:t>
      </w:r>
      <w:r>
        <w:rPr>
          <w:rFonts w:ascii="Times New Roman" w:hAnsi="Times New Roman"/>
          <w:sz w:val="20"/>
          <w:szCs w:val="20"/>
          <w:lang w:val="en-MY"/>
        </w:rPr>
        <w:t xml:space="preserve"> were </w:t>
      </w:r>
      <w:r>
        <w:rPr>
          <w:rFonts w:ascii="Times New Roman" w:hAnsi="Times New Roman"/>
          <w:sz w:val="20"/>
          <w:szCs w:val="20"/>
        </w:rPr>
        <w:t>conduct</w:t>
      </w:r>
      <w:r>
        <w:rPr>
          <w:rFonts w:ascii="Times New Roman" w:hAnsi="Times New Roman"/>
          <w:sz w:val="20"/>
          <w:szCs w:val="20"/>
          <w:lang w:val="en-MY"/>
        </w:rPr>
        <w:t>ed</w:t>
      </w:r>
      <w:r>
        <w:rPr>
          <w:rFonts w:ascii="Times New Roman" w:hAnsi="Times New Roman"/>
          <w:sz w:val="20"/>
          <w:szCs w:val="20"/>
        </w:rPr>
        <w:t xml:space="preserve">. </w:t>
      </w:r>
    </w:p>
    <w:p w14:paraId="37971BA1" w14:textId="293642E9" w:rsidR="00D037D1" w:rsidRDefault="006541D4">
      <w:pPr>
        <w:pStyle w:val="Heading2"/>
      </w:pPr>
      <w:r>
        <w:t xml:space="preserve">Pb(II) ions </w:t>
      </w:r>
      <w:r w:rsidR="001D39DF">
        <w:t>solution preparation</w:t>
      </w:r>
    </w:p>
    <w:p w14:paraId="3B0BBF23" w14:textId="32647332" w:rsidR="00D037D1" w:rsidRDefault="006541D4">
      <w:pPr>
        <w:spacing w:after="240" w:line="240" w:lineRule="auto"/>
        <w:jc w:val="both"/>
        <w:rPr>
          <w:rFonts w:ascii="Times New Roman" w:hAnsi="Times New Roman"/>
          <w:sz w:val="20"/>
          <w:szCs w:val="20"/>
        </w:rPr>
      </w:pPr>
      <w:r>
        <w:rPr>
          <w:rFonts w:ascii="Times New Roman" w:hAnsi="Times New Roman"/>
          <w:bCs/>
          <w:iCs/>
          <w:sz w:val="20"/>
          <w:szCs w:val="20"/>
        </w:rPr>
        <w:t xml:space="preserve">Pb(II) </w:t>
      </w:r>
      <w:r>
        <w:rPr>
          <w:rFonts w:ascii="Times New Roman" w:hAnsi="Times New Roman"/>
          <w:sz w:val="20"/>
          <w:szCs w:val="20"/>
        </w:rPr>
        <w:t>ions stock solution</w:t>
      </w:r>
      <w:r>
        <w:rPr>
          <w:rFonts w:ascii="Times New Roman" w:hAnsi="Times New Roman"/>
          <w:sz w:val="20"/>
          <w:szCs w:val="20"/>
          <w:vertAlign w:val="superscript"/>
        </w:rPr>
        <w:t xml:space="preserve"> </w:t>
      </w:r>
      <w:r>
        <w:rPr>
          <w:rFonts w:ascii="Times New Roman" w:hAnsi="Times New Roman"/>
          <w:sz w:val="20"/>
          <w:szCs w:val="20"/>
        </w:rPr>
        <w:t>was prepared by dissolving 1.60g of Pb (NO)</w:t>
      </w:r>
      <w:r>
        <w:rPr>
          <w:rFonts w:ascii="Times New Roman" w:hAnsi="Times New Roman"/>
          <w:sz w:val="20"/>
          <w:szCs w:val="20"/>
          <w:vertAlign w:val="subscript"/>
        </w:rPr>
        <w:t xml:space="preserve">3 </w:t>
      </w:r>
      <w:r>
        <w:rPr>
          <w:rFonts w:ascii="Times New Roman" w:hAnsi="Times New Roman"/>
          <w:sz w:val="20"/>
          <w:szCs w:val="20"/>
        </w:rPr>
        <w:t>in 1000 ml of deion</w:t>
      </w:r>
      <w:r>
        <w:rPr>
          <w:rFonts w:ascii="Times New Roman" w:hAnsi="Times New Roman"/>
          <w:sz w:val="20"/>
          <w:szCs w:val="20"/>
          <w:lang w:val="en-MY"/>
        </w:rPr>
        <w:t>is</w:t>
      </w:r>
      <w:r>
        <w:rPr>
          <w:rFonts w:ascii="Times New Roman" w:hAnsi="Times New Roman"/>
          <w:sz w:val="20"/>
          <w:szCs w:val="20"/>
        </w:rPr>
        <w:t>ed water. The different concentrations of Pb(II) solutions (50, 100, 250, 500, 1000, 1500, and 2000 mg/</w:t>
      </w:r>
      <w:r w:rsidR="001D39DF">
        <w:rPr>
          <w:rFonts w:ascii="Times New Roman" w:hAnsi="Times New Roman"/>
          <w:sz w:val="20"/>
          <w:szCs w:val="20"/>
        </w:rPr>
        <w:t>L</w:t>
      </w:r>
      <w:r>
        <w:rPr>
          <w:rFonts w:ascii="Times New Roman" w:hAnsi="Times New Roman"/>
          <w:sz w:val="20"/>
          <w:szCs w:val="20"/>
        </w:rPr>
        <w:t xml:space="preserve"> were prepared by diluting </w:t>
      </w:r>
      <w:r>
        <w:rPr>
          <w:rFonts w:ascii="Times New Roman" w:hAnsi="Times New Roman"/>
          <w:sz w:val="20"/>
          <w:szCs w:val="20"/>
          <w:lang w:val="en-MY"/>
        </w:rPr>
        <w:t xml:space="preserve">the </w:t>
      </w:r>
      <w:r>
        <w:rPr>
          <w:rFonts w:ascii="Times New Roman" w:hAnsi="Times New Roman"/>
          <w:sz w:val="20"/>
          <w:szCs w:val="20"/>
        </w:rPr>
        <w:t>stock solution. The initial pH of the standard solutions was adjusted to the desired value by adding 0.1 M HCl or 0.1 M NaOH. The analytical grade of chemicals from Merck was used in this study.</w:t>
      </w:r>
      <w:bookmarkStart w:id="13" w:name="_Toc361606647"/>
      <w:bookmarkStart w:id="14" w:name="_Toc365535245"/>
      <w:bookmarkStart w:id="15" w:name="_Toc362166995"/>
      <w:bookmarkStart w:id="16" w:name="_Toc361714567"/>
      <w:r>
        <w:rPr>
          <w:rFonts w:ascii="Times New Roman" w:hAnsi="Times New Roman"/>
          <w:sz w:val="20"/>
          <w:szCs w:val="20"/>
        </w:rPr>
        <w:t xml:space="preserve"> </w:t>
      </w:r>
      <w:r>
        <w:rPr>
          <w:rFonts w:ascii="Times New Roman" w:hAnsi="Times New Roman"/>
          <w:bCs/>
          <w:iCs/>
          <w:sz w:val="20"/>
          <w:szCs w:val="20"/>
        </w:rPr>
        <w:t xml:space="preserve">The concentrations of </w:t>
      </w:r>
      <w:r>
        <w:rPr>
          <w:rFonts w:ascii="Times New Roman" w:hAnsi="Times New Roman"/>
          <w:bCs/>
          <w:iCs/>
          <w:sz w:val="20"/>
          <w:szCs w:val="20"/>
          <w:lang w:val="en-MY"/>
        </w:rPr>
        <w:t xml:space="preserve">the </w:t>
      </w:r>
      <w:r>
        <w:rPr>
          <w:rFonts w:ascii="Times New Roman" w:hAnsi="Times New Roman"/>
          <w:bCs/>
          <w:iCs/>
          <w:sz w:val="20"/>
          <w:szCs w:val="20"/>
        </w:rPr>
        <w:t>standard solutions of 0.20, 1.00, 2.00, 7.00, 10.00, and 20.00 mg/</w:t>
      </w:r>
      <w:r w:rsidR="001D39DF">
        <w:rPr>
          <w:rFonts w:ascii="Times New Roman" w:hAnsi="Times New Roman"/>
          <w:bCs/>
          <w:iCs/>
          <w:sz w:val="20"/>
          <w:szCs w:val="20"/>
        </w:rPr>
        <w:t>L</w:t>
      </w:r>
      <w:r>
        <w:rPr>
          <w:rFonts w:ascii="Times New Roman" w:hAnsi="Times New Roman"/>
          <w:bCs/>
          <w:iCs/>
          <w:sz w:val="20"/>
          <w:szCs w:val="20"/>
        </w:rPr>
        <w:t xml:space="preserve"> were precisely prepared</w:t>
      </w:r>
      <w:r>
        <w:rPr>
          <w:rFonts w:ascii="Times New Roman" w:hAnsi="Times New Roman"/>
          <w:bCs/>
          <w:iCs/>
          <w:color w:val="FF0000"/>
          <w:sz w:val="20"/>
          <w:szCs w:val="20"/>
        </w:rPr>
        <w:t xml:space="preserve">. </w:t>
      </w:r>
    </w:p>
    <w:p w14:paraId="4CB07EC6" w14:textId="0931535E" w:rsidR="00D037D1" w:rsidRDefault="006541D4">
      <w:pPr>
        <w:pStyle w:val="Heading2"/>
      </w:pPr>
      <w:r>
        <w:t xml:space="preserve">Preliminary </w:t>
      </w:r>
      <w:r w:rsidR="001D39DF">
        <w:t>c</w:t>
      </w:r>
      <w:r>
        <w:t xml:space="preserve">oncentration of Pb(II) in </w:t>
      </w:r>
      <w:r>
        <w:rPr>
          <w:i/>
        </w:rPr>
        <w:t>E. Denticulatum</w:t>
      </w:r>
      <w:bookmarkEnd w:id="13"/>
      <w:bookmarkEnd w:id="14"/>
      <w:bookmarkEnd w:id="15"/>
      <w:bookmarkEnd w:id="16"/>
    </w:p>
    <w:p w14:paraId="29FC62B3" w14:textId="55765DE1" w:rsidR="00D037D1" w:rsidRDefault="006541D4">
      <w:pPr>
        <w:autoSpaceDE w:val="0"/>
        <w:autoSpaceDN w:val="0"/>
        <w:adjustRightInd w:val="0"/>
        <w:spacing w:after="240" w:line="240" w:lineRule="auto"/>
        <w:jc w:val="both"/>
        <w:rPr>
          <w:rFonts w:ascii="Times New Roman" w:hAnsi="Times New Roman"/>
          <w:sz w:val="20"/>
          <w:szCs w:val="20"/>
        </w:rPr>
      </w:pPr>
      <w:r>
        <w:rPr>
          <w:rFonts w:ascii="Times New Roman" w:hAnsi="Times New Roman"/>
          <w:sz w:val="20"/>
          <w:szCs w:val="20"/>
        </w:rPr>
        <w:t>The initial Pb(II) ions level</w:t>
      </w:r>
      <w:r>
        <w:rPr>
          <w:rFonts w:ascii="Times New Roman" w:hAnsi="Times New Roman"/>
          <w:bCs/>
          <w:iCs/>
          <w:sz w:val="20"/>
          <w:szCs w:val="20"/>
        </w:rPr>
        <w:t>s</w:t>
      </w:r>
      <w:r>
        <w:rPr>
          <w:rFonts w:ascii="Times New Roman" w:hAnsi="Times New Roman"/>
          <w:sz w:val="20"/>
          <w:szCs w:val="20"/>
        </w:rPr>
        <w:t xml:space="preserve"> were determined using a modified </w:t>
      </w:r>
      <w:r>
        <w:rPr>
          <w:rFonts w:ascii="Times New Roman" w:hAnsi="Times New Roman"/>
          <w:sz w:val="20"/>
          <w:szCs w:val="20"/>
          <w:lang w:val="en-MY"/>
        </w:rPr>
        <w:t xml:space="preserve">version of the </w:t>
      </w:r>
      <w:r>
        <w:rPr>
          <w:rFonts w:ascii="Times New Roman" w:hAnsi="Times New Roman"/>
          <w:sz w:val="20"/>
          <w:szCs w:val="20"/>
        </w:rPr>
        <w:t>method</w:t>
      </w:r>
      <w:r>
        <w:rPr>
          <w:rFonts w:ascii="Times New Roman" w:hAnsi="Times New Roman"/>
          <w:sz w:val="20"/>
          <w:szCs w:val="20"/>
          <w:lang w:val="en-MY"/>
        </w:rPr>
        <w:t>s</w:t>
      </w:r>
      <w:r>
        <w:rPr>
          <w:rFonts w:ascii="Times New Roman" w:hAnsi="Times New Roman"/>
          <w:sz w:val="20"/>
          <w:szCs w:val="20"/>
        </w:rPr>
        <w:t xml:space="preserve"> </w:t>
      </w:r>
      <w:r>
        <w:rPr>
          <w:rFonts w:ascii="Times New Roman" w:hAnsi="Times New Roman"/>
          <w:sz w:val="20"/>
          <w:szCs w:val="20"/>
          <w:lang w:val="en-MY"/>
        </w:rPr>
        <w:t>devised by</w:t>
      </w:r>
      <w:r>
        <w:rPr>
          <w:rFonts w:ascii="Times New Roman" w:hAnsi="Times New Roman"/>
          <w:sz w:val="20"/>
          <w:szCs w:val="20"/>
        </w:rPr>
        <w:t xml:space="preserve">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{"citationItems":[{"id":"ITEM-1","itemData":{"DOI":"10.1007/s10661-013-3388-8","ISSN":"01676369","abstract":"Sweet potatoes are a staple in the diet of some people and an excellent source of minerals. Metal monitoring in food, like sweet potatoes, provides basic information on safety aspects in regulatory processes as well as nutritional values. One hundred five samples of three varieties of sweet potatoes were randomly obtained from supermarkets, farmers markets, and farmers' plots in Tenerife (Canary Islands, Spain). The edible portion (pulp) was the only part considered for analysis. Flame atomic absorption spectrometry was used to determine the contents of sodium (Na), potassium (K), calcium (Ca), magnesium (Mg), copper (Cu), iron (Fe), manganese (Mn), and zinc (Zn), while the levels of chromium (Cr), nickel (Ni), cadmium (Cd), and lead (Pb) were determined using graphite furnace atomic absorption spectrometry. The mean concentrations were 500 Na, 4409 K, 564 Ca, 609 Mg, 1.291 Cu, 6.554 Fe, 2.324 Mn, 2.348 Zn, 0.028 Cr, 0.048 Ni, 0.001 Cd, and 0.003 Pb mg/kg, respectively. Potassium presented the highest contents in all varieties of sweet potatoes. Iron was the most abundant microelement. The orange fleshed sweet potato variety offered greater nutritional contributions to the recommended intakes than the rest of the varieties studied. The estimated mean daily intake of Ni (0.72 mg/day) detected in our samples was highly consistent with other studies. Average daily intakes of Cd (0.015 μg/day) and Pb (0.045 μg/day) were below toxicological reference values. In conclusion, the levels of Cd and Pb detected in the sweet potatoes analyzed do not represent any toxicological risk to consumers. © 2013 Springer Science+Business Media Dordrecht.","author":[{"dropping-particle":"","family":"Luis","given":"Gara","non-dropping-particle":"","parse-names":false,"suffix":""},{"dropping-particle":"","family":"Rubio","given":"Carmen","non-dropping-particle":"","parse-names":false,"suffix":""},{"dropping-particle":"","family":"Gutiérrez","given":"Ángel J.","non-dropping-particle":"","parse-names":false,"suffix":""},{"dropping-particle":"","family":"González-Weller","given":"Dailos","non-dropping-particle":"","parse-names":false,"suffix":""},{"dropping-particle":"","family":"Revert","given":"Consuelo","non-dropping-particle":"","parse-names":false,"suffix":""},{"dropping-particle":"","family":"Hardisson","given":"Arturo","non-dropping-particle":"","parse-names":false,"suffix":""}],"container-title":"Environmental Monitoring and Assessment","id":"ITEM-1","issue":"1","issued":{"date-parts":[["2014"]]},"page":"433-440","title":"Evaluation of metals in several varieties of sweet potatoes (Ipomoea batatas L.): Comparative study","type":"article-journal","volume":"186"},"uris":["http://www.mendeley.com/documents/?uuid=22488d15-1de6-43ef-9b57-b7a47e9f917e"]},{"id":"ITEM-2","itemData":{"DOI":"10.1016/j.jpba.2012.07.015","ISSN":"07317085","PMID":"22906691","abstract":"Phytopharmaceuticals are gaining popularity worldwide; however, cases of adverse effects and drug interactions have also increased. One reason is in the high metal content both as ingredients but also as contaminants. Metal monitoring in food, like herbal teas, provides basic information on safety aspects in regulatory processes as well as nutritional values. In the present work, Cd, Pb, K, Na, Ca, Mg, Al, B, Ba, Co, Cr, Cu, Fe, Mn, Zn, Li, Ni, and Mo were determined by inductively coupled plasma spectrometry (ICPS) in 36 samples of Mentha sp. Mint tea bags and loose leaves were randomly obtained from supermarkets, traditional markets, herbal stores, and pharmacies in Tenerife (Canary Islands, Spain). Metal contents varied significantly, dependent on the stores the products were purchased in and on tea packaging (loose leaves versus tea bags). Pb analyses revealed levels (0.65 ± 0.71. mg/kg) below legal limits. The maximum permissible limit for Cd, 0.3. mg/kg, set by the WHO for medicinal plants, was exceeded by 19.44% of the samples (0.22 ± 0.13. mg/kg), but all values were below the limit given in the European Pharmacopoeia for this metal (4. mg/kg). We observed high Al (151.24 ± 162.73. mg/kg) and Li (5.46 ± 3.94. mg/kg) levels. B, Ba, Co, Cr, Cu, Fe, Mn, Ni, Zn, and Mo mean levels were 20.51, 14.15, 0.26, 1.65, 10.65, 406.00, 55.05, 1.72, 33.67, and 0.73. mg/kg, respectively. Mean Ca, Mg, K, and Na were detected in concentrations of 10.32, 3.83, 7.23 and 1.17. g/kg, respectively. In conclusion, metal exposure through herbal mint teas does not seem to be of health concern, as to most of the studied metals, but regulatory limits for Al contents should be imposed. © 2012 Elsevier B.V.","author":[{"dropping-particle":"","family":"Rubio","given":"C.","non-dropping-particle":"","parse-names":false,"suffix":""},{"dropping-particle":"","family":"Lucas","given":"J. R.D.","non-dropping-particle":"","parse-names":false,"suffix":""},{"dropping-particle":"","family":"Gutiérrez","given":"A. J.","non-dropping-particle":"","parse-names":false,"suffix":""},{"dropping-particle":"","family":"Glez-Weller","given":"D.","non-dropping-particle":"","parse-names":false,"suffix":""},{"dropping-particle":"","family":"Pérez Marrero","given":"B.","non-dropping-particle":"","parse-names":false,"suffix":""},{"dropping-particle":"","family":"Caballero","given":"J. M.","non-dropping-particle":"","parse-names":false,"suffix":""},{"dropping-particle":"","family":"Revert","given":"C.","non-dropping-particle":"","parse-names":false,"suffix":""},{"dropping-particle":"","family":"Hardisson","given":"A.","non-dropping-particle":"","parse-names":false,"suffix":""}],"container-title":"Journal of Pharmaceutical and Biomedical Analysis","id":"ITEM-2","issued":{"date-parts":[["2012"]]},"page":"11-17","publisher":"Elsevier B.V.","title":"Evaluation of metal concentrations in mentha herbal teas (Mentha piperita, Mentha pulegium and Mentha species) by inductively coupled plasma spectrometry","type":"article-journal","volume":"71"},"uris":["http://www.mendeley.com/documents/?uuid=c1b3b26a-0101-4ac4-84ba-3e70ae0a66ef"]}],"mendeley":{"formattedCitation":"(Luis et al., 2014; Rubio et al., 2012)","manualFormatting":"(Luis et al., [33] and Rubio et al., ","plainTextFormattedCitation":"(Luis et al., 2014; Rubio et al., 2012)","previouslyFormattedCitation":"(Luis et al., 2014; Rubio et al., 2012)"},"properties":{"noteIndex":0},"schema":"https://github.com/citation-style-language/schema/raw/master/csl-citation.json"}</w:instrText>
      </w:r>
      <w:r>
        <w:rPr>
          <w:rFonts w:ascii="Times New Roman" w:hAnsi="Times New Roman"/>
          <w:sz w:val="20"/>
          <w:szCs w:val="20"/>
        </w:rPr>
        <w:fldChar w:fldCharType="separate"/>
      </w:r>
      <w:r>
        <w:rPr>
          <w:rFonts w:ascii="Times New Roman" w:hAnsi="Times New Roman"/>
          <w:sz w:val="20"/>
          <w:szCs w:val="20"/>
        </w:rPr>
        <w:t xml:space="preserve">Luis et al. [33] and Rubio et al. </w:t>
      </w:r>
      <w:r>
        <w:rPr>
          <w:rFonts w:ascii="Times New Roman" w:hAnsi="Times New Roman"/>
          <w:sz w:val="20"/>
          <w:szCs w:val="20"/>
        </w:rPr>
        <w:fldChar w:fldCharType="end"/>
      </w:r>
      <w:r>
        <w:rPr>
          <w:rFonts w:ascii="Times New Roman" w:hAnsi="Times New Roman"/>
          <w:sz w:val="20"/>
          <w:szCs w:val="20"/>
        </w:rPr>
        <w:t xml:space="preserve">[34]. </w:t>
      </w:r>
      <w:r>
        <w:rPr>
          <w:rFonts w:ascii="Times New Roman" w:hAnsi="Times New Roman"/>
          <w:sz w:val="20"/>
          <w:szCs w:val="20"/>
          <w:lang w:val="en-MY"/>
        </w:rPr>
        <w:t xml:space="preserve">Next, </w:t>
      </w:r>
      <w:r>
        <w:rPr>
          <w:rFonts w:ascii="Times New Roman" w:hAnsi="Times New Roman"/>
          <w:sz w:val="20"/>
          <w:szCs w:val="20"/>
        </w:rPr>
        <w:t xml:space="preserve">25 g of </w:t>
      </w:r>
      <w:r>
        <w:rPr>
          <w:rFonts w:ascii="Times New Roman" w:hAnsi="Times New Roman"/>
          <w:i/>
          <w:iCs/>
          <w:sz w:val="20"/>
          <w:szCs w:val="20"/>
        </w:rPr>
        <w:t>E.</w:t>
      </w:r>
      <w:r>
        <w:rPr>
          <w:rFonts w:ascii="Times New Roman" w:hAnsi="Times New Roman"/>
          <w:i/>
          <w:sz w:val="20"/>
          <w:szCs w:val="20"/>
        </w:rPr>
        <w:t xml:space="preserve"> denticulatum</w:t>
      </w:r>
      <w:r>
        <w:rPr>
          <w:rFonts w:ascii="Times New Roman" w:hAnsi="Times New Roman"/>
          <w:sz w:val="20"/>
          <w:szCs w:val="20"/>
        </w:rPr>
        <w:t xml:space="preserve"> was oven-dried at 70 </w:t>
      </w:r>
      <w:r>
        <w:rPr>
          <w:rFonts w:ascii="Cambria Math" w:hAnsi="Cambria Math" w:cs="Cambria Math"/>
          <w:bCs/>
          <w:sz w:val="20"/>
          <w:szCs w:val="20"/>
        </w:rPr>
        <w:t>℃</w:t>
      </w:r>
      <w:r>
        <w:rPr>
          <w:rFonts w:ascii="Times New Roman" w:hAnsi="Times New Roman"/>
          <w:sz w:val="20"/>
          <w:szCs w:val="20"/>
        </w:rPr>
        <w:t xml:space="preserve"> for 12 hours. Then, the sample was burned in </w:t>
      </w:r>
      <w:r>
        <w:rPr>
          <w:rFonts w:ascii="Times New Roman" w:hAnsi="Times New Roman"/>
          <w:sz w:val="20"/>
          <w:szCs w:val="20"/>
          <w:lang w:val="en-MY"/>
        </w:rPr>
        <w:t xml:space="preserve">a </w:t>
      </w:r>
      <w:r>
        <w:rPr>
          <w:rFonts w:ascii="Times New Roman" w:hAnsi="Times New Roman"/>
          <w:sz w:val="20"/>
          <w:szCs w:val="20"/>
        </w:rPr>
        <w:t xml:space="preserve">furnace at 550 </w:t>
      </w:r>
      <w:r>
        <w:rPr>
          <w:rFonts w:ascii="Cambria Math" w:hAnsi="Cambria Math" w:cs="Cambria Math"/>
          <w:bCs/>
          <w:sz w:val="20"/>
          <w:szCs w:val="20"/>
        </w:rPr>
        <w:t>℃</w:t>
      </w:r>
      <w:r>
        <w:rPr>
          <w:rFonts w:ascii="Times New Roman" w:hAnsi="Times New Roman"/>
          <w:sz w:val="20"/>
          <w:szCs w:val="20"/>
        </w:rPr>
        <w:t xml:space="preserve"> for 20 hours to remove the organic matter. The ash of the sample was digested in 2 m</w:t>
      </w:r>
      <w:r w:rsidR="001D39DF">
        <w:rPr>
          <w:rFonts w:ascii="Times New Roman" w:hAnsi="Times New Roman"/>
          <w:sz w:val="20"/>
          <w:szCs w:val="20"/>
        </w:rPr>
        <w:t>L</w:t>
      </w:r>
      <w:r>
        <w:rPr>
          <w:rFonts w:ascii="Times New Roman" w:hAnsi="Times New Roman"/>
          <w:sz w:val="20"/>
          <w:szCs w:val="20"/>
        </w:rPr>
        <w:t xml:space="preserve"> of HNO</w:t>
      </w:r>
      <w:r>
        <w:rPr>
          <w:rFonts w:ascii="Times New Roman" w:hAnsi="Times New Roman"/>
          <w:sz w:val="20"/>
          <w:szCs w:val="20"/>
          <w:vertAlign w:val="subscript"/>
        </w:rPr>
        <w:t>3</w:t>
      </w:r>
      <w:r>
        <w:rPr>
          <w:rFonts w:ascii="Times New Roman" w:hAnsi="Times New Roman"/>
          <w:sz w:val="20"/>
          <w:szCs w:val="20"/>
        </w:rPr>
        <w:t xml:space="preserve"> (v/v) for 18 hours. The digested solution was filtered with a filter paper (Whatman no 2) and transferred into a 50 m</w:t>
      </w:r>
      <w:r w:rsidR="001D39DF">
        <w:rPr>
          <w:rFonts w:ascii="Times New Roman" w:hAnsi="Times New Roman"/>
          <w:sz w:val="20"/>
          <w:szCs w:val="20"/>
        </w:rPr>
        <w:t>L</w:t>
      </w:r>
      <w:r>
        <w:rPr>
          <w:rFonts w:ascii="Times New Roman" w:hAnsi="Times New Roman"/>
          <w:sz w:val="20"/>
          <w:szCs w:val="20"/>
        </w:rPr>
        <w:t xml:space="preserve"> test tube. The solution was meshed up to 30 m</w:t>
      </w:r>
      <w:r w:rsidR="001D39DF">
        <w:rPr>
          <w:rFonts w:ascii="Times New Roman" w:hAnsi="Times New Roman"/>
          <w:sz w:val="20"/>
          <w:szCs w:val="20"/>
        </w:rPr>
        <w:t>L</w:t>
      </w:r>
      <w:r>
        <w:rPr>
          <w:rFonts w:ascii="Times New Roman" w:hAnsi="Times New Roman"/>
          <w:sz w:val="20"/>
          <w:szCs w:val="20"/>
        </w:rPr>
        <w:t xml:space="preserve"> with deion</w:t>
      </w:r>
      <w:r>
        <w:rPr>
          <w:rFonts w:ascii="Times New Roman" w:hAnsi="Times New Roman"/>
          <w:sz w:val="20"/>
          <w:szCs w:val="20"/>
          <w:lang w:val="en-MY"/>
        </w:rPr>
        <w:t>is</w:t>
      </w:r>
      <w:r>
        <w:rPr>
          <w:rFonts w:ascii="Times New Roman" w:hAnsi="Times New Roman"/>
          <w:sz w:val="20"/>
          <w:szCs w:val="20"/>
        </w:rPr>
        <w:t>ed water. The atomic absorption spectrometer (AAS) Thermo Scientific model iCE 3300 was used to determine the Pb(II) ion concentrations.</w:t>
      </w:r>
    </w:p>
    <w:p w14:paraId="52632EAA" w14:textId="504333F7" w:rsidR="00D037D1" w:rsidRDefault="006541D4">
      <w:pPr>
        <w:pStyle w:val="Heading2"/>
      </w:pPr>
      <w:bookmarkStart w:id="17" w:name="_Toc362166996"/>
      <w:bookmarkStart w:id="18" w:name="_Toc361714568"/>
      <w:bookmarkStart w:id="19" w:name="_Toc365535247"/>
      <w:bookmarkStart w:id="20" w:name="_Toc361606648"/>
      <w:r>
        <w:t xml:space="preserve">Batch </w:t>
      </w:r>
      <w:r w:rsidR="001D39DF">
        <w:t>biosorption experiments</w:t>
      </w:r>
      <w:bookmarkEnd w:id="17"/>
      <w:bookmarkEnd w:id="18"/>
      <w:bookmarkEnd w:id="19"/>
      <w:bookmarkEnd w:id="20"/>
    </w:p>
    <w:p w14:paraId="42020E18" w14:textId="12C212A8" w:rsidR="00D037D1" w:rsidRDefault="006541D4">
      <w:pPr>
        <w:autoSpaceDE w:val="0"/>
        <w:autoSpaceDN w:val="0"/>
        <w:adjustRightInd w:val="0"/>
        <w:spacing w:after="240" w:line="240" w:lineRule="auto"/>
        <w:jc w:val="both"/>
        <w:rPr>
          <w:rFonts w:ascii="Times New Roman" w:hAnsi="Times New Roman"/>
          <w:sz w:val="20"/>
          <w:szCs w:val="20"/>
        </w:rPr>
      </w:pPr>
      <w:r>
        <w:rPr>
          <w:rFonts w:ascii="Times New Roman" w:hAnsi="Times New Roman"/>
          <w:sz w:val="20"/>
          <w:szCs w:val="20"/>
        </w:rPr>
        <w:t xml:space="preserve">The batch biosorption experiments were </w:t>
      </w:r>
      <w:r>
        <w:rPr>
          <w:rFonts w:ascii="Times New Roman" w:hAnsi="Times New Roman"/>
          <w:sz w:val="20"/>
          <w:szCs w:val="20"/>
          <w:lang w:val="en-MY"/>
        </w:rPr>
        <w:t>established</w:t>
      </w:r>
      <w:r>
        <w:rPr>
          <w:rFonts w:ascii="Times New Roman" w:hAnsi="Times New Roman"/>
          <w:sz w:val="20"/>
          <w:szCs w:val="20"/>
        </w:rPr>
        <w:t xml:space="preserve"> using a magnetic stirrer (120 - 180 min) at 120 rpm in a 250 m</w:t>
      </w:r>
      <w:r w:rsidR="001D39DF">
        <w:rPr>
          <w:rFonts w:ascii="Times New Roman" w:hAnsi="Times New Roman"/>
          <w:sz w:val="20"/>
          <w:szCs w:val="20"/>
        </w:rPr>
        <w:t>L</w:t>
      </w:r>
      <w:r>
        <w:rPr>
          <w:rFonts w:ascii="Times New Roman" w:hAnsi="Times New Roman"/>
          <w:sz w:val="20"/>
          <w:szCs w:val="20"/>
        </w:rPr>
        <w:t xml:space="preserve"> beaker. </w:t>
      </w:r>
      <w:r>
        <w:rPr>
          <w:rFonts w:ascii="Times New Roman" w:hAnsi="Times New Roman"/>
          <w:sz w:val="20"/>
          <w:szCs w:val="20"/>
          <w:lang w:val="en-MY"/>
        </w:rPr>
        <w:t xml:space="preserve">Next, </w:t>
      </w:r>
      <w:r>
        <w:rPr>
          <w:rFonts w:ascii="Times New Roman" w:hAnsi="Times New Roman"/>
          <w:sz w:val="20"/>
          <w:szCs w:val="20"/>
        </w:rPr>
        <w:t>50 m</w:t>
      </w:r>
      <w:r w:rsidR="001D39DF">
        <w:rPr>
          <w:rFonts w:ascii="Times New Roman" w:hAnsi="Times New Roman"/>
          <w:sz w:val="20"/>
          <w:szCs w:val="20"/>
        </w:rPr>
        <w:t>L</w:t>
      </w:r>
      <w:r>
        <w:rPr>
          <w:rFonts w:ascii="Times New Roman" w:hAnsi="Times New Roman"/>
          <w:sz w:val="20"/>
          <w:szCs w:val="20"/>
        </w:rPr>
        <w:t xml:space="preserve"> of </w:t>
      </w:r>
      <w:r>
        <w:rPr>
          <w:rFonts w:ascii="Times New Roman" w:hAnsi="Times New Roman"/>
          <w:sz w:val="20"/>
          <w:szCs w:val="20"/>
          <w:lang w:val="en-MY"/>
        </w:rPr>
        <w:t xml:space="preserve">the </w:t>
      </w:r>
      <w:r>
        <w:rPr>
          <w:rFonts w:ascii="Times New Roman" w:hAnsi="Times New Roman"/>
          <w:sz w:val="20"/>
          <w:szCs w:val="20"/>
        </w:rPr>
        <w:t>standard solution was introduced in</w:t>
      </w:r>
      <w:r>
        <w:rPr>
          <w:rFonts w:ascii="Times New Roman" w:hAnsi="Times New Roman"/>
          <w:sz w:val="20"/>
          <w:szCs w:val="20"/>
          <w:lang w:val="en-MY"/>
        </w:rPr>
        <w:t>to</w:t>
      </w:r>
      <w:r>
        <w:rPr>
          <w:rFonts w:ascii="Times New Roman" w:hAnsi="Times New Roman"/>
          <w:sz w:val="20"/>
          <w:szCs w:val="20"/>
        </w:rPr>
        <w:t xml:space="preserve"> </w:t>
      </w:r>
      <w:r>
        <w:rPr>
          <w:rFonts w:ascii="Times New Roman" w:hAnsi="Times New Roman"/>
          <w:sz w:val="20"/>
          <w:szCs w:val="20"/>
          <w:lang w:val="en-MY"/>
        </w:rPr>
        <w:t>the</w:t>
      </w:r>
      <w:r>
        <w:rPr>
          <w:rFonts w:ascii="Times New Roman" w:hAnsi="Times New Roman"/>
          <w:sz w:val="20"/>
          <w:szCs w:val="20"/>
        </w:rPr>
        <w:t xml:space="preserve"> beaker and biosorbent </w:t>
      </w:r>
      <w:r>
        <w:rPr>
          <w:rFonts w:ascii="Times New Roman" w:hAnsi="Times New Roman"/>
          <w:sz w:val="20"/>
          <w:szCs w:val="20"/>
          <w:lang w:val="en-MY"/>
        </w:rPr>
        <w:t xml:space="preserve">was </w:t>
      </w:r>
      <w:r>
        <w:rPr>
          <w:rFonts w:ascii="Times New Roman" w:hAnsi="Times New Roman"/>
          <w:sz w:val="20"/>
          <w:szCs w:val="20"/>
        </w:rPr>
        <w:t>added appropriately. The different parameters were organ</w:t>
      </w:r>
      <w:r>
        <w:rPr>
          <w:rFonts w:ascii="Times New Roman" w:hAnsi="Times New Roman"/>
          <w:sz w:val="20"/>
          <w:szCs w:val="20"/>
          <w:lang w:val="en-MY"/>
        </w:rPr>
        <w:t>is</w:t>
      </w:r>
      <w:r>
        <w:rPr>
          <w:rFonts w:ascii="Times New Roman" w:hAnsi="Times New Roman"/>
          <w:sz w:val="20"/>
          <w:szCs w:val="20"/>
        </w:rPr>
        <w:t>ed as follows</w:t>
      </w:r>
      <w:r>
        <w:rPr>
          <w:rFonts w:ascii="Times New Roman" w:hAnsi="Times New Roman"/>
          <w:sz w:val="20"/>
          <w:szCs w:val="20"/>
          <w:lang w:val="en-MY"/>
        </w:rPr>
        <w:t>:</w:t>
      </w:r>
      <w:r>
        <w:rPr>
          <w:rFonts w:ascii="Times New Roman" w:hAnsi="Times New Roman"/>
          <w:sz w:val="20"/>
          <w:szCs w:val="20"/>
        </w:rPr>
        <w:t xml:space="preserve"> solution pH (2-8), contact time (0-150 minutes), initial </w:t>
      </w:r>
      <w:r>
        <w:rPr>
          <w:rFonts w:ascii="Times New Roman" w:hAnsi="Times New Roman" w:cs="Times New Roman"/>
          <w:sz w:val="20"/>
          <w:szCs w:val="20"/>
        </w:rPr>
        <w:t xml:space="preserve">Pb(II) </w:t>
      </w:r>
      <w:r>
        <w:rPr>
          <w:rFonts w:ascii="Times New Roman" w:hAnsi="Times New Roman"/>
          <w:sz w:val="20"/>
          <w:szCs w:val="20"/>
        </w:rPr>
        <w:t>ion concentration (50-2000 mg/</w:t>
      </w:r>
      <w:r w:rsidR="001D39DF">
        <w:rPr>
          <w:rFonts w:ascii="Times New Roman" w:hAnsi="Times New Roman"/>
          <w:sz w:val="20"/>
          <w:szCs w:val="20"/>
        </w:rPr>
        <w:t>L</w:t>
      </w:r>
      <w:r>
        <w:rPr>
          <w:rFonts w:ascii="Times New Roman" w:hAnsi="Times New Roman"/>
          <w:sz w:val="20"/>
          <w:szCs w:val="20"/>
        </w:rPr>
        <w:t>). The Pb (II) ion biosorption characteristics were evaluated using a biomass weight of 0.5</w:t>
      </w:r>
      <w:r>
        <w:rPr>
          <w:rFonts w:ascii="Times New Roman" w:hAnsi="Times New Roman"/>
          <w:sz w:val="20"/>
          <w:szCs w:val="20"/>
          <w:lang w:val="en-MY"/>
        </w:rPr>
        <w:t xml:space="preserve"> </w:t>
      </w:r>
      <w:r>
        <w:rPr>
          <w:rFonts w:ascii="Times New Roman" w:hAnsi="Times New Roman"/>
          <w:sz w:val="20"/>
          <w:szCs w:val="20"/>
        </w:rPr>
        <w:t xml:space="preserve">g. The solution was separated </w:t>
      </w:r>
      <w:r>
        <w:rPr>
          <w:rFonts w:ascii="Times New Roman" w:hAnsi="Times New Roman"/>
          <w:sz w:val="20"/>
          <w:szCs w:val="20"/>
          <w:lang w:val="en-MY"/>
        </w:rPr>
        <w:t>using a</w:t>
      </w:r>
      <w:r>
        <w:rPr>
          <w:rFonts w:ascii="Times New Roman" w:hAnsi="Times New Roman"/>
          <w:sz w:val="20"/>
          <w:szCs w:val="20"/>
        </w:rPr>
        <w:t xml:space="preserve"> Whatman filter paper No 2 or centrifuging and decanting.</w:t>
      </w:r>
    </w:p>
    <w:p w14:paraId="63E37C7E" w14:textId="6A193AAF" w:rsidR="00D037D1" w:rsidRDefault="006541D4">
      <w:pPr>
        <w:pStyle w:val="Heading2"/>
      </w:pPr>
      <w:bookmarkStart w:id="21" w:name="_Toc365535248"/>
      <w:bookmarkStart w:id="22" w:name="_Toc362166997"/>
      <w:bookmarkStart w:id="23" w:name="_Toc361606649"/>
      <w:bookmarkStart w:id="24" w:name="_Toc361714569"/>
      <w:r>
        <w:t xml:space="preserve">Optimum pH for </w:t>
      </w:r>
      <w:bookmarkEnd w:id="21"/>
      <w:bookmarkEnd w:id="22"/>
      <w:bookmarkEnd w:id="23"/>
      <w:bookmarkEnd w:id="24"/>
      <w:r>
        <w:t xml:space="preserve">Pb(II) </w:t>
      </w:r>
      <w:r w:rsidR="001D39DF">
        <w:t>b</w:t>
      </w:r>
      <w:r>
        <w:t xml:space="preserve">iosorption </w:t>
      </w:r>
    </w:p>
    <w:p w14:paraId="292BDC72" w14:textId="37D5F9F9" w:rsidR="00D037D1" w:rsidRDefault="006541D4">
      <w:pPr>
        <w:autoSpaceDE w:val="0"/>
        <w:autoSpaceDN w:val="0"/>
        <w:adjustRightInd w:val="0"/>
        <w:spacing w:after="240" w:line="240" w:lineRule="auto"/>
        <w:jc w:val="both"/>
        <w:rPr>
          <w:rFonts w:ascii="Times New Roman" w:eastAsia="Calibri" w:hAnsi="Times New Roman" w:cs="Times New Roman"/>
          <w:b/>
          <w:bCs/>
          <w:iCs/>
          <w:sz w:val="20"/>
          <w:szCs w:val="20"/>
          <w:lang w:eastAsia="ja-JP"/>
        </w:rPr>
      </w:pPr>
      <w:r>
        <w:rPr>
          <w:rFonts w:ascii="Times New Roman" w:hAnsi="Times New Roman" w:cs="Times New Roman"/>
          <w:sz w:val="20"/>
          <w:szCs w:val="20"/>
        </w:rPr>
        <w:t xml:space="preserve">The Pb(II) biosorption optimum pH was </w:t>
      </w:r>
      <w:r>
        <w:rPr>
          <w:rFonts w:ascii="Times New Roman" w:hAnsi="Times New Roman" w:cs="Times New Roman"/>
          <w:sz w:val="20"/>
          <w:szCs w:val="20"/>
          <w:lang w:val="en-MY"/>
        </w:rPr>
        <w:t>established</w:t>
      </w:r>
      <w:r>
        <w:rPr>
          <w:rFonts w:ascii="Times New Roman" w:hAnsi="Times New Roman" w:cs="Times New Roman"/>
          <w:sz w:val="20"/>
          <w:szCs w:val="20"/>
        </w:rPr>
        <w:t xml:space="preserve"> by adding 50 m</w:t>
      </w:r>
      <w:r w:rsidR="001D39DF">
        <w:rPr>
          <w:rFonts w:ascii="Times New Roman" w:hAnsi="Times New Roman" w:cs="Times New Roman"/>
          <w:sz w:val="20"/>
          <w:szCs w:val="20"/>
        </w:rPr>
        <w:t>L</w:t>
      </w:r>
      <w:r>
        <w:rPr>
          <w:rFonts w:ascii="Times New Roman" w:hAnsi="Times New Roman" w:cs="Times New Roman"/>
          <w:sz w:val="20"/>
          <w:szCs w:val="20"/>
        </w:rPr>
        <w:t xml:space="preserve"> solutions of 50 mg/</w:t>
      </w:r>
      <w:r w:rsidR="001D39DF">
        <w:rPr>
          <w:rFonts w:ascii="Times New Roman" w:hAnsi="Times New Roman" w:cs="Times New Roman"/>
          <w:sz w:val="20"/>
          <w:szCs w:val="20"/>
        </w:rPr>
        <w:t>L</w:t>
      </w:r>
      <w:r>
        <w:rPr>
          <w:rFonts w:ascii="Times New Roman" w:hAnsi="Times New Roman" w:cs="Times New Roman"/>
          <w:sz w:val="20"/>
          <w:szCs w:val="20"/>
        </w:rPr>
        <w:t xml:space="preserve"> Pb (II) ions into a 100 m</w:t>
      </w:r>
      <w:r w:rsidR="001D39DF">
        <w:rPr>
          <w:rFonts w:ascii="Times New Roman" w:hAnsi="Times New Roman" w:cs="Times New Roman"/>
          <w:sz w:val="20"/>
          <w:szCs w:val="20"/>
        </w:rPr>
        <w:t>L</w:t>
      </w:r>
      <w:r>
        <w:rPr>
          <w:rFonts w:ascii="Times New Roman" w:hAnsi="Times New Roman" w:cs="Times New Roman"/>
          <w:sz w:val="20"/>
          <w:szCs w:val="20"/>
        </w:rPr>
        <w:t xml:space="preserve"> centrifuge tube with 0.5 g of dry seaweed. The samples</w:t>
      </w:r>
      <w:r>
        <w:rPr>
          <w:rFonts w:ascii="Times New Roman" w:hAnsi="Times New Roman" w:cs="Times New Roman"/>
          <w:sz w:val="20"/>
          <w:szCs w:val="20"/>
          <w:lang w:val="en-MY"/>
        </w:rPr>
        <w:t>, which were</w:t>
      </w:r>
      <w:r>
        <w:rPr>
          <w:rFonts w:ascii="Times New Roman" w:hAnsi="Times New Roman" w:cs="Times New Roman"/>
          <w:sz w:val="20"/>
          <w:szCs w:val="20"/>
        </w:rPr>
        <w:t xml:space="preserve"> </w:t>
      </w:r>
      <w:r>
        <w:rPr>
          <w:rFonts w:ascii="Times New Roman" w:hAnsi="Times New Roman" w:cs="Times New Roman"/>
          <w:sz w:val="20"/>
          <w:szCs w:val="20"/>
          <w:lang w:val="en-MY"/>
        </w:rPr>
        <w:t xml:space="preserve">of </w:t>
      </w:r>
      <w:r>
        <w:rPr>
          <w:rFonts w:ascii="Times New Roman" w:hAnsi="Times New Roman" w:cs="Times New Roman"/>
          <w:sz w:val="20"/>
          <w:szCs w:val="20"/>
        </w:rPr>
        <w:t>varying pH (2.0 to 8.0)</w:t>
      </w:r>
      <w:r>
        <w:rPr>
          <w:rFonts w:ascii="Times New Roman" w:hAnsi="Times New Roman" w:cs="Times New Roman"/>
          <w:sz w:val="20"/>
          <w:szCs w:val="20"/>
          <w:lang w:val="en-MY"/>
        </w:rPr>
        <w:t>,</w:t>
      </w:r>
      <w:r>
        <w:rPr>
          <w:rFonts w:ascii="Times New Roman" w:hAnsi="Times New Roman" w:cs="Times New Roman"/>
          <w:sz w:val="20"/>
          <w:szCs w:val="20"/>
        </w:rPr>
        <w:t xml:space="preserve"> were adjusted using 0.1 M NaOH or 0.1 M HNO</w:t>
      </w:r>
      <w:r>
        <w:rPr>
          <w:rFonts w:ascii="Times New Roman" w:hAnsi="Times New Roman" w:cs="Times New Roman"/>
          <w:sz w:val="20"/>
          <w:szCs w:val="20"/>
          <w:vertAlign w:val="subscript"/>
        </w:rPr>
        <w:t>3</w:t>
      </w:r>
      <w:r>
        <w:rPr>
          <w:rFonts w:ascii="Times New Roman" w:hAnsi="Times New Roman" w:cs="Times New Roman"/>
          <w:sz w:val="20"/>
          <w:szCs w:val="20"/>
        </w:rPr>
        <w:t xml:space="preserve"> [35]. The mixtures were stirred for 180 minutes with a magnetic stirrer at room temperature. T</w:t>
      </w:r>
      <w:r>
        <w:rPr>
          <w:rFonts w:ascii="Times New Roman" w:hAnsi="Times New Roman"/>
          <w:sz w:val="20"/>
          <w:szCs w:val="20"/>
        </w:rPr>
        <w:t xml:space="preserve">he supernatant was collected after centrifuging the mixture using the Gallen Kamp Centrifuge 200 at the lowest rate for 10 minutes. The AAS was used to determine the </w:t>
      </w:r>
      <w:r>
        <w:rPr>
          <w:rFonts w:ascii="Times New Roman" w:hAnsi="Times New Roman" w:cs="Times New Roman"/>
          <w:sz w:val="20"/>
          <w:szCs w:val="20"/>
        </w:rPr>
        <w:t xml:space="preserve">Pb(II) ion </w:t>
      </w:r>
      <w:r>
        <w:rPr>
          <w:rFonts w:ascii="Times New Roman" w:hAnsi="Times New Roman"/>
          <w:sz w:val="20"/>
          <w:szCs w:val="20"/>
        </w:rPr>
        <w:t>concentration in the supernatant. The analysis of each sample was performed in a duplication setting.</w:t>
      </w:r>
      <w:bookmarkStart w:id="25" w:name="_Toc361606650"/>
      <w:bookmarkStart w:id="26" w:name="_Toc361714570"/>
      <w:bookmarkStart w:id="27" w:name="_Toc362166998"/>
      <w:bookmarkStart w:id="28" w:name="_Toc365535250"/>
    </w:p>
    <w:p w14:paraId="12B4BFC2" w14:textId="26D0F3BC" w:rsidR="00D037D1" w:rsidRDefault="006541D4">
      <w:pPr>
        <w:pStyle w:val="Heading2"/>
      </w:pPr>
      <w:r>
        <w:t xml:space="preserve">Optimum </w:t>
      </w:r>
      <w:r w:rsidR="001D39DF">
        <w:t xml:space="preserve">contact time for </w:t>
      </w:r>
      <w:r>
        <w:t>Pb(II)</w:t>
      </w:r>
      <w:r>
        <w:rPr>
          <w:vertAlign w:val="superscript"/>
        </w:rPr>
        <w:t xml:space="preserve"> </w:t>
      </w:r>
      <w:r w:rsidR="001D39DF">
        <w:t>a</w:t>
      </w:r>
      <w:r>
        <w:t>dsorption</w:t>
      </w:r>
      <w:bookmarkEnd w:id="25"/>
      <w:bookmarkEnd w:id="26"/>
      <w:bookmarkEnd w:id="27"/>
      <w:bookmarkEnd w:id="28"/>
    </w:p>
    <w:p w14:paraId="3B2D2DC0" w14:textId="65CC0FC0" w:rsidR="00D037D1" w:rsidRDefault="006541D4">
      <w:pPr>
        <w:autoSpaceDE w:val="0"/>
        <w:autoSpaceDN w:val="0"/>
        <w:adjustRightInd w:val="0"/>
        <w:spacing w:after="240" w:line="240" w:lineRule="auto"/>
        <w:jc w:val="both"/>
        <w:rPr>
          <w:rFonts w:ascii="Times New Roman" w:hAnsi="Times New Roman"/>
          <w:color w:val="FF0000"/>
          <w:sz w:val="20"/>
          <w:szCs w:val="20"/>
        </w:rPr>
      </w:pPr>
      <w:r>
        <w:rPr>
          <w:rFonts w:ascii="Times New Roman" w:hAnsi="Times New Roman"/>
          <w:sz w:val="20"/>
          <w:szCs w:val="20"/>
        </w:rPr>
        <w:t xml:space="preserve">The optimum contact time </w:t>
      </w:r>
      <w:r>
        <w:rPr>
          <w:rFonts w:ascii="Times New Roman" w:hAnsi="Times New Roman" w:cs="Times New Roman"/>
          <w:sz w:val="20"/>
          <w:szCs w:val="20"/>
        </w:rPr>
        <w:t>for Pb(II)</w:t>
      </w:r>
      <w:r>
        <w:rPr>
          <w:rFonts w:ascii="Times New Roman" w:hAnsi="Times New Roman"/>
          <w:sz w:val="20"/>
          <w:szCs w:val="20"/>
          <w:vertAlign w:val="superscript"/>
        </w:rPr>
        <w:t xml:space="preserve"> </w:t>
      </w:r>
      <w:r>
        <w:rPr>
          <w:rFonts w:ascii="Times New Roman" w:hAnsi="Times New Roman"/>
          <w:sz w:val="20"/>
          <w:szCs w:val="20"/>
        </w:rPr>
        <w:t>adsorption was determined at optimum pH by adding 0.5 g biomass to 50 m</w:t>
      </w:r>
      <w:r w:rsidR="001D39DF">
        <w:rPr>
          <w:rFonts w:ascii="Times New Roman" w:hAnsi="Times New Roman"/>
          <w:sz w:val="20"/>
          <w:szCs w:val="20"/>
        </w:rPr>
        <w:t>L</w:t>
      </w:r>
      <w:r>
        <w:rPr>
          <w:rFonts w:ascii="Times New Roman" w:hAnsi="Times New Roman"/>
          <w:sz w:val="20"/>
          <w:szCs w:val="20"/>
        </w:rPr>
        <w:t xml:space="preserve"> of </w:t>
      </w:r>
      <w:r>
        <w:rPr>
          <w:rFonts w:ascii="Times New Roman" w:hAnsi="Times New Roman"/>
          <w:sz w:val="20"/>
          <w:szCs w:val="20"/>
          <w:lang w:val="en-MY"/>
        </w:rPr>
        <w:t xml:space="preserve">the </w:t>
      </w:r>
      <w:r>
        <w:rPr>
          <w:rFonts w:ascii="Times New Roman" w:hAnsi="Times New Roman"/>
          <w:sz w:val="20"/>
          <w:szCs w:val="20"/>
        </w:rPr>
        <w:t>50 mg/</w:t>
      </w:r>
      <w:r w:rsidR="001D39DF">
        <w:rPr>
          <w:rFonts w:ascii="Times New Roman" w:hAnsi="Times New Roman"/>
          <w:sz w:val="20"/>
          <w:szCs w:val="20"/>
        </w:rPr>
        <w:t>L</w:t>
      </w:r>
      <w:r>
        <w:rPr>
          <w:rFonts w:ascii="Times New Roman" w:hAnsi="Times New Roman"/>
          <w:sz w:val="20"/>
          <w:szCs w:val="20"/>
        </w:rPr>
        <w:t xml:space="preserve"> metal solution. The mixture was stirred for 180 min using a magnetic stirrer at moderate speed at room temperature. At 5, 10, 30, 60, 120, and 180 min, the samples were removed, centrifuged, decanted</w:t>
      </w:r>
      <w:r>
        <w:rPr>
          <w:rFonts w:ascii="Times New Roman" w:hAnsi="Times New Roman"/>
          <w:sz w:val="20"/>
          <w:szCs w:val="20"/>
          <w:lang w:val="en-MY"/>
        </w:rPr>
        <w:t>.</w:t>
      </w:r>
      <w:r>
        <w:rPr>
          <w:rFonts w:ascii="Times New Roman" w:hAnsi="Times New Roman"/>
          <w:sz w:val="20"/>
          <w:szCs w:val="20"/>
        </w:rPr>
        <w:t xml:space="preserve"> </w:t>
      </w:r>
      <w:r>
        <w:rPr>
          <w:rFonts w:ascii="Times New Roman" w:hAnsi="Times New Roman"/>
          <w:sz w:val="20"/>
          <w:szCs w:val="20"/>
          <w:lang w:val="en-MY"/>
        </w:rPr>
        <w:t xml:space="preserve">The </w:t>
      </w:r>
      <w:r>
        <w:rPr>
          <w:rFonts w:ascii="Times New Roman" w:hAnsi="Times New Roman"/>
          <w:sz w:val="20"/>
          <w:szCs w:val="20"/>
        </w:rPr>
        <w:t xml:space="preserve">supernatant was collected and stored for AAS analysis. The samples were prepared in duplicate. </w:t>
      </w:r>
    </w:p>
    <w:p w14:paraId="4F40E209" w14:textId="00225FE2" w:rsidR="00D037D1" w:rsidRDefault="006541D4">
      <w:pPr>
        <w:pStyle w:val="Heading2"/>
      </w:pPr>
      <w:bookmarkStart w:id="29" w:name="_Toc361714571"/>
      <w:bookmarkStart w:id="30" w:name="_Toc362166999"/>
      <w:bookmarkStart w:id="31" w:name="_Toc361606651"/>
      <w:bookmarkStart w:id="32" w:name="_Toc365535251"/>
      <w:r>
        <w:t xml:space="preserve">The </w:t>
      </w:r>
      <w:r w:rsidR="001D39DF">
        <w:t>e</w:t>
      </w:r>
      <w:r>
        <w:t>ffect of Pb(II)</w:t>
      </w:r>
      <w:r>
        <w:rPr>
          <w:vertAlign w:val="superscript"/>
        </w:rPr>
        <w:t xml:space="preserve"> </w:t>
      </w:r>
      <w:r w:rsidR="001D39DF">
        <w:t>ion concentration on biosorption</w:t>
      </w:r>
      <w:bookmarkEnd w:id="29"/>
      <w:bookmarkEnd w:id="30"/>
      <w:bookmarkEnd w:id="31"/>
      <w:bookmarkEnd w:id="32"/>
    </w:p>
    <w:p w14:paraId="072C5175" w14:textId="7D70C529" w:rsidR="00D037D1" w:rsidRDefault="006541D4">
      <w:pPr>
        <w:autoSpaceDE w:val="0"/>
        <w:autoSpaceDN w:val="0"/>
        <w:adjustRightInd w:val="0"/>
        <w:spacing w:after="240" w:line="240" w:lineRule="auto"/>
        <w:jc w:val="both"/>
        <w:rPr>
          <w:rFonts w:ascii="Times New Roman" w:hAnsi="Times New Roman"/>
          <w:sz w:val="20"/>
          <w:szCs w:val="20"/>
        </w:rPr>
      </w:pPr>
      <w:r>
        <w:rPr>
          <w:rFonts w:ascii="Times New Roman" w:hAnsi="Times New Roman"/>
          <w:sz w:val="20"/>
          <w:szCs w:val="20"/>
        </w:rPr>
        <w:t xml:space="preserve">The effect of </w:t>
      </w:r>
      <w:r>
        <w:rPr>
          <w:rFonts w:ascii="Times New Roman" w:hAnsi="Times New Roman" w:cs="Times New Roman"/>
          <w:sz w:val="20"/>
          <w:szCs w:val="20"/>
        </w:rPr>
        <w:t>Pb(II)</w:t>
      </w:r>
      <w:r>
        <w:rPr>
          <w:rFonts w:ascii="Times New Roman" w:hAnsi="Times New Roman" w:cs="Times New Roman"/>
          <w:sz w:val="20"/>
          <w:szCs w:val="20"/>
          <w:vertAlign w:val="superscript"/>
        </w:rPr>
        <w:t xml:space="preserve"> </w:t>
      </w:r>
      <w:r>
        <w:rPr>
          <w:rFonts w:ascii="Times New Roman" w:hAnsi="Times New Roman" w:cs="Times New Roman"/>
          <w:sz w:val="20"/>
          <w:szCs w:val="20"/>
        </w:rPr>
        <w:t>ion</w:t>
      </w:r>
      <w:r>
        <w:t xml:space="preserve"> </w:t>
      </w:r>
      <w:r>
        <w:rPr>
          <w:rFonts w:ascii="Times New Roman" w:hAnsi="Times New Roman"/>
          <w:sz w:val="20"/>
          <w:szCs w:val="20"/>
        </w:rPr>
        <w:t>concentration on biosorption was investigated by mixing 0.5 g of seaweed and 50 m</w:t>
      </w:r>
      <w:r w:rsidR="001D39DF">
        <w:rPr>
          <w:rFonts w:ascii="Times New Roman" w:hAnsi="Times New Roman"/>
          <w:sz w:val="20"/>
          <w:szCs w:val="20"/>
        </w:rPr>
        <w:t>L</w:t>
      </w:r>
      <w:r>
        <w:rPr>
          <w:rFonts w:ascii="Times New Roman" w:hAnsi="Times New Roman"/>
          <w:sz w:val="20"/>
          <w:szCs w:val="20"/>
        </w:rPr>
        <w:t xml:space="preserve"> of solutions of known concentrations at room temperature. The Pb(II) ion concentration</w:t>
      </w:r>
      <w:r>
        <w:rPr>
          <w:rFonts w:ascii="Times New Roman" w:hAnsi="Times New Roman"/>
          <w:sz w:val="20"/>
          <w:szCs w:val="20"/>
          <w:lang w:val="en-MY"/>
        </w:rPr>
        <w:t xml:space="preserve"> levels </w:t>
      </w:r>
      <w:r>
        <w:rPr>
          <w:rFonts w:ascii="Times New Roman" w:hAnsi="Times New Roman"/>
          <w:sz w:val="20"/>
          <w:szCs w:val="20"/>
        </w:rPr>
        <w:t>w</w:t>
      </w:r>
      <w:r>
        <w:rPr>
          <w:rFonts w:ascii="Times New Roman" w:hAnsi="Times New Roman"/>
          <w:sz w:val="20"/>
          <w:szCs w:val="20"/>
          <w:lang w:val="en-MY"/>
        </w:rPr>
        <w:t>ere</w:t>
      </w:r>
      <w:r>
        <w:rPr>
          <w:rFonts w:ascii="Times New Roman" w:hAnsi="Times New Roman"/>
          <w:sz w:val="20"/>
          <w:szCs w:val="20"/>
        </w:rPr>
        <w:t xml:space="preserve"> 50, 100, 250, 500, 1000, 1500</w:t>
      </w:r>
      <w:r>
        <w:rPr>
          <w:rFonts w:ascii="Times New Roman" w:hAnsi="Times New Roman"/>
          <w:sz w:val="20"/>
          <w:szCs w:val="20"/>
          <w:lang w:val="en-MY"/>
        </w:rPr>
        <w:t>,</w:t>
      </w:r>
      <w:r>
        <w:rPr>
          <w:rFonts w:ascii="Times New Roman" w:hAnsi="Times New Roman"/>
          <w:sz w:val="20"/>
          <w:szCs w:val="20"/>
        </w:rPr>
        <w:t xml:space="preserve"> and 2000 mg/</w:t>
      </w:r>
      <w:r w:rsidR="001D39DF">
        <w:rPr>
          <w:rFonts w:ascii="Times New Roman" w:hAnsi="Times New Roman"/>
          <w:sz w:val="20"/>
          <w:szCs w:val="20"/>
        </w:rPr>
        <w:t>L</w:t>
      </w:r>
      <w:r>
        <w:rPr>
          <w:rFonts w:ascii="Times New Roman" w:hAnsi="Times New Roman"/>
          <w:sz w:val="20"/>
          <w:szCs w:val="20"/>
        </w:rPr>
        <w:t>. The solution mixture was corrected to the required pH with HNO</w:t>
      </w:r>
      <w:r>
        <w:rPr>
          <w:rFonts w:ascii="Times New Roman" w:hAnsi="Times New Roman"/>
          <w:sz w:val="20"/>
          <w:szCs w:val="20"/>
          <w:vertAlign w:val="subscript"/>
        </w:rPr>
        <w:t>3</w:t>
      </w:r>
      <w:r>
        <w:rPr>
          <w:rFonts w:ascii="Times New Roman" w:hAnsi="Times New Roman"/>
          <w:sz w:val="20"/>
          <w:szCs w:val="20"/>
        </w:rPr>
        <w:t xml:space="preserve"> or NaOH solution before </w:t>
      </w:r>
      <w:r>
        <w:rPr>
          <w:rFonts w:ascii="Times New Roman" w:hAnsi="Times New Roman"/>
          <w:sz w:val="20"/>
          <w:szCs w:val="20"/>
          <w:lang w:val="en-MY"/>
        </w:rPr>
        <w:t xml:space="preserve">it was </w:t>
      </w:r>
      <w:r>
        <w:rPr>
          <w:rFonts w:ascii="Times New Roman" w:hAnsi="Times New Roman"/>
          <w:sz w:val="20"/>
          <w:szCs w:val="20"/>
        </w:rPr>
        <w:t>stirr</w:t>
      </w:r>
      <w:r>
        <w:rPr>
          <w:rFonts w:ascii="Times New Roman" w:hAnsi="Times New Roman"/>
          <w:sz w:val="20"/>
          <w:szCs w:val="20"/>
          <w:lang w:val="en-MY"/>
        </w:rPr>
        <w:t xml:space="preserve">ed </w:t>
      </w:r>
      <w:r>
        <w:rPr>
          <w:rFonts w:ascii="Times New Roman" w:hAnsi="Times New Roman"/>
          <w:sz w:val="20"/>
          <w:szCs w:val="20"/>
        </w:rPr>
        <w:t xml:space="preserve">with a magnetic stirrer at moderate speed and room temperature for 120 minutes. The samples were decanted using a Gallen Kamp Centrifuge 200 centrifuge for 20 minutes. The supernatants were then kept in centrifuge tubes and determined using </w:t>
      </w:r>
      <w:r>
        <w:rPr>
          <w:rFonts w:ascii="Times New Roman" w:hAnsi="Times New Roman"/>
          <w:sz w:val="20"/>
          <w:szCs w:val="20"/>
          <w:lang w:val="en-MY"/>
        </w:rPr>
        <w:t xml:space="preserve">the </w:t>
      </w:r>
      <w:r>
        <w:rPr>
          <w:rFonts w:ascii="Times New Roman" w:hAnsi="Times New Roman"/>
          <w:sz w:val="20"/>
          <w:szCs w:val="20"/>
        </w:rPr>
        <w:t>Atomic Absorption Spectrometer (AAS)</w:t>
      </w:r>
      <w:r>
        <w:rPr>
          <w:rFonts w:ascii="Times New Roman" w:hAnsi="Times New Roman"/>
          <w:sz w:val="20"/>
          <w:szCs w:val="20"/>
          <w:lang w:val="en-MY"/>
        </w:rPr>
        <w:t>. This process was performed</w:t>
      </w:r>
      <w:r>
        <w:rPr>
          <w:rFonts w:ascii="Times New Roman" w:hAnsi="Times New Roman"/>
          <w:sz w:val="20"/>
          <w:szCs w:val="20"/>
        </w:rPr>
        <w:t xml:space="preserve"> in duplicate. </w:t>
      </w:r>
      <w:bookmarkStart w:id="33" w:name="_Toc363887638"/>
      <w:bookmarkStart w:id="34" w:name="_Toc364110490"/>
      <w:bookmarkStart w:id="35" w:name="_Toc364109739"/>
      <w:bookmarkStart w:id="36" w:name="_Toc364107184"/>
      <w:bookmarkStart w:id="37" w:name="_Toc362168749"/>
      <w:bookmarkStart w:id="38" w:name="_Toc362175447"/>
      <w:bookmarkStart w:id="39" w:name="_Toc362167000"/>
      <w:bookmarkStart w:id="40" w:name="_Toc362176568"/>
    </w:p>
    <w:bookmarkEnd w:id="33"/>
    <w:bookmarkEnd w:id="34"/>
    <w:bookmarkEnd w:id="35"/>
    <w:bookmarkEnd w:id="36"/>
    <w:bookmarkEnd w:id="37"/>
    <w:bookmarkEnd w:id="38"/>
    <w:bookmarkEnd w:id="39"/>
    <w:bookmarkEnd w:id="40"/>
    <w:p w14:paraId="4A3DB558" w14:textId="02D7CAE6" w:rsidR="00D037D1" w:rsidRDefault="006541D4">
      <w:pPr>
        <w:pStyle w:val="Heading2"/>
      </w:pPr>
      <w:r>
        <w:t xml:space="preserve">Biosorption </w:t>
      </w:r>
      <w:r w:rsidR="001D39DF">
        <w:t>m</w:t>
      </w:r>
      <w:r>
        <w:t>odels</w:t>
      </w:r>
    </w:p>
    <w:p w14:paraId="3C62C184" w14:textId="7B210D2B"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lang w:val="en-MY"/>
        </w:rPr>
        <w:t xml:space="preserve">The </w:t>
      </w:r>
      <w:r>
        <w:rPr>
          <w:rFonts w:ascii="Times New Roman" w:hAnsi="Times New Roman"/>
          <w:bCs/>
          <w:iCs/>
          <w:sz w:val="20"/>
          <w:szCs w:val="20"/>
        </w:rPr>
        <w:t xml:space="preserve">Langmuir and Freundlich isotherm models were used to calculate Pb(II) biosorption from </w:t>
      </w:r>
      <w:r>
        <w:rPr>
          <w:rFonts w:ascii="Times New Roman" w:hAnsi="Times New Roman"/>
          <w:bCs/>
          <w:iCs/>
          <w:sz w:val="20"/>
          <w:szCs w:val="20"/>
          <w:lang w:val="en-MY"/>
        </w:rPr>
        <w:t xml:space="preserve">the </w:t>
      </w:r>
      <w:r>
        <w:rPr>
          <w:rFonts w:ascii="Times New Roman" w:hAnsi="Times New Roman"/>
          <w:bCs/>
          <w:iCs/>
          <w:sz w:val="20"/>
          <w:szCs w:val="20"/>
        </w:rPr>
        <w:t>aqueous solutions. The following is a linear</w:t>
      </w:r>
      <w:r>
        <w:rPr>
          <w:rFonts w:ascii="Times New Roman" w:hAnsi="Times New Roman"/>
          <w:bCs/>
          <w:iCs/>
          <w:sz w:val="20"/>
          <w:szCs w:val="20"/>
          <w:lang w:val="en-MY"/>
        </w:rPr>
        <w:t>is</w:t>
      </w:r>
      <w:r>
        <w:rPr>
          <w:rFonts w:ascii="Times New Roman" w:hAnsi="Times New Roman"/>
          <w:bCs/>
          <w:iCs/>
          <w:sz w:val="20"/>
          <w:szCs w:val="20"/>
        </w:rPr>
        <w:t xml:space="preserve">ed Langmuir equation [36]: </w:t>
      </w:r>
    </w:p>
    <w:p w14:paraId="33A6C8E9" w14:textId="3B400BE5" w:rsidR="00D037D1" w:rsidRPr="001D39DF" w:rsidRDefault="001D39DF" w:rsidP="001D39DF">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b/>
      </w:r>
      <m:oMath>
        <m:f>
          <m:fPr>
            <m:ctrlPr>
              <w:rPr>
                <w:rFonts w:ascii="Cambria Math" w:eastAsia="TimesNewRoman" w:hAnsi="Cambria Math"/>
                <w:i/>
                <w:sz w:val="20"/>
                <w:szCs w:val="20"/>
              </w:rPr>
            </m:ctrlPr>
          </m:fPr>
          <m:num>
            <m:r>
              <w:rPr>
                <w:rFonts w:ascii="Cambria Math" w:eastAsia="TimesNewRoman" w:hAnsi="Cambria Math"/>
                <w:sz w:val="20"/>
                <w:szCs w:val="20"/>
              </w:rPr>
              <m:t xml:space="preserve"> 1</m:t>
            </m:r>
          </m:num>
          <m:den>
            <m:r>
              <w:rPr>
                <w:rFonts w:ascii="Cambria Math" w:eastAsia="TimesNewRoman" w:hAnsi="Cambria Math"/>
                <w:sz w:val="20"/>
                <w:szCs w:val="20"/>
              </w:rPr>
              <m:t>q</m:t>
            </m:r>
          </m:den>
        </m:f>
        <m:r>
          <w:rPr>
            <w:rFonts w:ascii="Cambria Math" w:eastAsia="TimesNewRoman" w:hAnsi="Cambria Math"/>
            <w:sz w:val="20"/>
            <w:szCs w:val="20"/>
          </w:rPr>
          <m:t>=</m:t>
        </m:r>
        <m:f>
          <m:fPr>
            <m:ctrlPr>
              <w:rPr>
                <w:rFonts w:ascii="Cambria Math" w:eastAsia="TimesNewRoman" w:hAnsi="Cambria Math"/>
                <w:i/>
                <w:sz w:val="20"/>
                <w:szCs w:val="20"/>
              </w:rPr>
            </m:ctrlPr>
          </m:fPr>
          <m:num>
            <m:r>
              <w:rPr>
                <w:rFonts w:ascii="Cambria Math" w:eastAsia="TimesNewRoman" w:hAnsi="Cambria Math"/>
                <w:sz w:val="20"/>
                <w:szCs w:val="20"/>
              </w:rPr>
              <m:t>1</m:t>
            </m:r>
          </m:num>
          <m:den>
            <m:sSub>
              <m:sSubPr>
                <m:ctrlPr>
                  <w:rPr>
                    <w:rFonts w:ascii="Cambria Math" w:eastAsia="TimesNewRoman" w:hAnsi="Cambria Math"/>
                    <w:i/>
                    <w:sz w:val="20"/>
                    <w:szCs w:val="20"/>
                  </w:rPr>
                </m:ctrlPr>
              </m:sSubPr>
              <m:e>
                <m:r>
                  <w:rPr>
                    <w:rFonts w:ascii="Cambria Math" w:eastAsia="TimesNewRoman" w:hAnsi="Cambria Math"/>
                    <w:sz w:val="20"/>
                    <w:szCs w:val="20"/>
                  </w:rPr>
                  <m:t>q</m:t>
                </m:r>
              </m:e>
              <m:sub>
                <m:r>
                  <w:rPr>
                    <w:rFonts w:ascii="Cambria Math" w:eastAsia="TimesNewRoman" w:hAnsi="Cambria Math"/>
                    <w:sz w:val="20"/>
                    <w:szCs w:val="20"/>
                  </w:rPr>
                  <m:t>max</m:t>
                </m:r>
              </m:sub>
            </m:sSub>
          </m:den>
        </m:f>
        <m:r>
          <w:rPr>
            <w:rFonts w:ascii="Cambria Math" w:eastAsia="TimesNewRoman" w:hAnsi="Cambria Math"/>
            <w:sz w:val="20"/>
            <w:szCs w:val="20"/>
          </w:rPr>
          <m:t>+</m:t>
        </m:r>
        <m:f>
          <m:fPr>
            <m:ctrlPr>
              <w:rPr>
                <w:rFonts w:ascii="Cambria Math" w:eastAsia="TimesNewRoman" w:hAnsi="Cambria Math"/>
                <w:i/>
                <w:sz w:val="20"/>
                <w:szCs w:val="20"/>
              </w:rPr>
            </m:ctrlPr>
          </m:fPr>
          <m:num>
            <m:r>
              <w:rPr>
                <w:rFonts w:ascii="Cambria Math" w:eastAsia="TimesNewRoman" w:hAnsi="Cambria Math"/>
                <w:sz w:val="20"/>
                <w:szCs w:val="20"/>
              </w:rPr>
              <m:t>1</m:t>
            </m:r>
          </m:num>
          <m:den>
            <m:r>
              <w:rPr>
                <w:rFonts w:ascii="Cambria Math" w:eastAsia="TimesNewRoman" w:hAnsi="Cambria Math"/>
                <w:sz w:val="20"/>
                <w:szCs w:val="20"/>
              </w:rPr>
              <m:t>b.</m:t>
            </m:r>
            <m:sSub>
              <m:sSubPr>
                <m:ctrlPr>
                  <w:rPr>
                    <w:rFonts w:ascii="Cambria Math" w:eastAsia="TimesNewRoman" w:hAnsi="Cambria Math"/>
                    <w:i/>
                    <w:sz w:val="20"/>
                    <w:szCs w:val="20"/>
                  </w:rPr>
                </m:ctrlPr>
              </m:sSubPr>
              <m:e>
                <m:r>
                  <w:rPr>
                    <w:rFonts w:ascii="Cambria Math" w:eastAsia="TimesNewRoman" w:hAnsi="Cambria Math"/>
                    <w:sz w:val="20"/>
                    <w:szCs w:val="20"/>
                  </w:rPr>
                  <m:t>q</m:t>
                </m:r>
              </m:e>
              <m:sub>
                <m:r>
                  <w:rPr>
                    <w:rFonts w:ascii="Cambria Math" w:eastAsia="TimesNewRoman" w:hAnsi="Cambria Math"/>
                    <w:sz w:val="20"/>
                    <w:szCs w:val="20"/>
                  </w:rPr>
                  <m:t>max</m:t>
                </m:r>
              </m:sub>
            </m:sSub>
            <m:sSub>
              <m:sSubPr>
                <m:ctrlPr>
                  <w:rPr>
                    <w:rFonts w:ascii="Cambria Math" w:eastAsia="TimesNewRoman" w:hAnsi="Cambria Math"/>
                    <w:i/>
                    <w:sz w:val="20"/>
                    <w:szCs w:val="20"/>
                  </w:rPr>
                </m:ctrlPr>
              </m:sSubPr>
              <m:e>
                <m:r>
                  <w:rPr>
                    <w:rFonts w:ascii="Cambria Math" w:eastAsia="TimesNewRoman" w:hAnsi="Cambria Math"/>
                    <w:sz w:val="20"/>
                    <w:szCs w:val="20"/>
                  </w:rPr>
                  <m:t>∁</m:t>
                </m:r>
              </m:e>
              <m:sub>
                <m:r>
                  <w:rPr>
                    <w:rFonts w:ascii="Cambria Math" w:eastAsia="TimesNewRoman" w:hAnsi="Cambria Math"/>
                    <w:sz w:val="20"/>
                    <w:szCs w:val="20"/>
                  </w:rPr>
                  <m:t>f</m:t>
                </m:r>
              </m:sub>
            </m:sSub>
          </m:den>
        </m:f>
        <m:r>
          <w:rPr>
            <w:rFonts w:ascii="Cambria Math" w:eastAsia="TimesNewRoman" w:hAnsi="Cambria Math"/>
            <w:sz w:val="20"/>
            <w:szCs w:val="20"/>
          </w:rPr>
          <m:t xml:space="preserve">   </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w:t>
      </w:r>
    </w:p>
    <w:p w14:paraId="375D705F" w14:textId="77777777" w:rsidR="00D037D1" w:rsidRDefault="006541D4">
      <w:pPr>
        <w:tabs>
          <w:tab w:val="left" w:pos="2070"/>
        </w:tabs>
        <w:autoSpaceDE w:val="0"/>
        <w:autoSpaceDN w:val="0"/>
        <w:adjustRightInd w:val="0"/>
        <w:spacing w:before="240" w:line="240" w:lineRule="auto"/>
        <w:jc w:val="both"/>
        <w:rPr>
          <w:rFonts w:ascii="Times New Roman" w:hAnsi="Times New Roman"/>
          <w:bCs/>
          <w:iCs/>
          <w:sz w:val="20"/>
          <w:szCs w:val="20"/>
        </w:rPr>
      </w:pPr>
      <w:r>
        <w:rPr>
          <w:rFonts w:ascii="Times New Roman" w:hAnsi="Times New Roman"/>
          <w:sz w:val="20"/>
          <w:szCs w:val="20"/>
        </w:rPr>
        <w:lastRenderedPageBreak/>
        <w:t>Where q</w:t>
      </w:r>
      <w:r>
        <w:rPr>
          <w:rFonts w:ascii="Times New Roman" w:hAnsi="Times New Roman"/>
          <w:sz w:val="20"/>
          <w:szCs w:val="20"/>
          <w:vertAlign w:val="subscript"/>
        </w:rPr>
        <w:t>max</w:t>
      </w:r>
      <w:r>
        <w:rPr>
          <w:rFonts w:ascii="Times New Roman" w:hAnsi="Times New Roman"/>
          <w:sz w:val="20"/>
          <w:szCs w:val="20"/>
        </w:rPr>
        <w:t xml:space="preserve"> is the Langmuir adsorption capacity (mg/g) and b is the adsorption energy (l/mg). The intercept and slope from the 1/q Vs 1/C</w:t>
      </w:r>
      <w:r>
        <w:rPr>
          <w:rFonts w:ascii="Times New Roman" w:hAnsi="Times New Roman"/>
          <w:sz w:val="20"/>
          <w:szCs w:val="20"/>
          <w:vertAlign w:val="subscript"/>
        </w:rPr>
        <w:t>f</w:t>
      </w:r>
      <w:r>
        <w:rPr>
          <w:rFonts w:ascii="Times New Roman" w:hAnsi="Times New Roman"/>
          <w:sz w:val="20"/>
          <w:szCs w:val="20"/>
        </w:rPr>
        <w:t xml:space="preserve"> graph were used to calculate q</w:t>
      </w:r>
      <w:r>
        <w:rPr>
          <w:rFonts w:ascii="Times New Roman" w:hAnsi="Times New Roman"/>
          <w:sz w:val="20"/>
          <w:szCs w:val="20"/>
          <w:vertAlign w:val="subscript"/>
        </w:rPr>
        <w:t>max</w:t>
      </w:r>
      <w:r>
        <w:rPr>
          <w:rFonts w:ascii="Times New Roman" w:hAnsi="Times New Roman"/>
          <w:sz w:val="20"/>
          <w:szCs w:val="20"/>
        </w:rPr>
        <w:t xml:space="preserve"> and b. </w:t>
      </w:r>
    </w:p>
    <w:p w14:paraId="16ACAC47" w14:textId="77777777" w:rsidR="00D037D1" w:rsidRDefault="006541D4">
      <w:pPr>
        <w:tabs>
          <w:tab w:val="left" w:pos="2070"/>
        </w:tabs>
        <w:autoSpaceDE w:val="0"/>
        <w:autoSpaceDN w:val="0"/>
        <w:adjustRightInd w:val="0"/>
        <w:spacing w:after="240" w:line="240" w:lineRule="auto"/>
        <w:jc w:val="both"/>
        <w:rPr>
          <w:rFonts w:ascii="Times New Roman" w:hAnsi="Times New Roman"/>
          <w:sz w:val="20"/>
          <w:szCs w:val="20"/>
        </w:rPr>
      </w:pPr>
      <w:r>
        <w:rPr>
          <w:rFonts w:ascii="Times New Roman" w:hAnsi="Times New Roman"/>
          <w:sz w:val="20"/>
          <w:szCs w:val="20"/>
        </w:rPr>
        <w:t xml:space="preserve">The following equation represents the Freundlich isotherm linear form </w:t>
      </w:r>
      <w:r>
        <w:rPr>
          <w:rFonts w:ascii="Times New Roman" w:hAnsi="Times New Roman"/>
          <w:bCs/>
          <w:iCs/>
          <w:sz w:val="20"/>
          <w:szCs w:val="20"/>
        </w:rPr>
        <w:t>[37]</w:t>
      </w:r>
      <w:r>
        <w:rPr>
          <w:rFonts w:ascii="Times New Roman" w:hAnsi="Times New Roman"/>
          <w:sz w:val="20"/>
          <w:szCs w:val="20"/>
        </w:rPr>
        <w:t xml:space="preserve">: </w:t>
      </w:r>
    </w:p>
    <w:p w14:paraId="7959E95F" w14:textId="452572E5" w:rsidR="00D037D1" w:rsidRPr="001D39DF" w:rsidRDefault="000F7C9A" w:rsidP="001D39DF">
      <w:pPr>
        <w:tabs>
          <w:tab w:val="left" w:pos="567"/>
        </w:tabs>
        <w:autoSpaceDE w:val="0"/>
        <w:autoSpaceDN w:val="0"/>
        <w:adjustRightInd w:val="0"/>
        <w:spacing w:before="240" w:after="240" w:line="240" w:lineRule="auto"/>
        <w:jc w:val="both"/>
        <w:rPr>
          <w:rFonts w:ascii="Times New Roman" w:hAnsi="Times New Roman"/>
          <w:sz w:val="20"/>
          <w:szCs w:val="20"/>
        </w:rPr>
      </w:pPr>
      <m:oMath>
        <m:func>
          <m:funcPr>
            <m:ctrlPr>
              <w:rPr>
                <w:rFonts w:ascii="Cambria Math" w:hAnsi="Cambria Math"/>
                <w:i/>
                <w:sz w:val="18"/>
                <w:szCs w:val="18"/>
              </w:rPr>
            </m:ctrlPr>
          </m:funcPr>
          <m:fName>
            <m:r>
              <m:rPr>
                <m:sty m:val="p"/>
              </m:rPr>
              <w:rPr>
                <w:rFonts w:ascii="Cambria Math" w:hAnsi="Cambria Math"/>
                <w:sz w:val="18"/>
                <w:szCs w:val="18"/>
              </w:rPr>
              <m:t xml:space="preserve">           log</m:t>
            </m:r>
          </m:fName>
          <m:e>
            <m:r>
              <w:rPr>
                <w:rFonts w:ascii="Cambria Math" w:hAnsi="Cambria Math"/>
                <w:sz w:val="18"/>
                <w:szCs w:val="18"/>
              </w:rPr>
              <m:t>q=logK+</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n</m:t>
                </m:r>
              </m:den>
            </m:f>
          </m:e>
        </m:func>
        <m:r>
          <w:rPr>
            <w:rFonts w:ascii="Cambria Math" w:hAnsi="Cambria Math"/>
            <w:sz w:val="18"/>
            <w:szCs w:val="18"/>
          </w:rPr>
          <m:t xml:space="preserve"> log</m:t>
        </m:r>
        <m:sSub>
          <m:sSubPr>
            <m:ctrlPr>
              <w:rPr>
                <w:rFonts w:ascii="Cambria Math" w:hAnsi="Cambria Math"/>
                <w:i/>
                <w:sz w:val="18"/>
                <w:szCs w:val="18"/>
              </w:rPr>
            </m:ctrlPr>
          </m:sSubPr>
          <m:e>
            <m:r>
              <w:rPr>
                <w:rFonts w:ascii="Cambria Math" w:hAnsi="Cambria Math"/>
                <w:sz w:val="18"/>
                <w:szCs w:val="18"/>
              </w:rPr>
              <m:t>∁</m:t>
            </m:r>
          </m:e>
          <m:sub>
            <m:r>
              <w:rPr>
                <w:rFonts w:ascii="Cambria Math" w:hAnsi="Cambria Math"/>
                <w:sz w:val="18"/>
                <w:szCs w:val="18"/>
              </w:rPr>
              <m:t>f</m:t>
            </m:r>
          </m:sub>
        </m:sSub>
        <m:r>
          <w:rPr>
            <w:rFonts w:ascii="Cambria Math" w:hAnsi="Cambria Math"/>
            <w:sz w:val="18"/>
            <w:szCs w:val="18"/>
          </w:rPr>
          <m:t xml:space="preserve">                                           </m:t>
        </m:r>
      </m:oMath>
      <w:r w:rsidR="001D39DF">
        <w:rPr>
          <w:rFonts w:ascii="Times New Roman" w:hAnsi="Times New Roman"/>
          <w:sz w:val="20"/>
          <w:szCs w:val="20"/>
        </w:rPr>
        <w:tab/>
      </w:r>
      <w:r w:rsidR="001D39DF">
        <w:rPr>
          <w:rFonts w:ascii="Times New Roman" w:hAnsi="Times New Roman"/>
          <w:sz w:val="20"/>
          <w:szCs w:val="20"/>
        </w:rPr>
        <w:tab/>
      </w:r>
      <w:r w:rsidR="001D39DF">
        <w:rPr>
          <w:rFonts w:ascii="Times New Roman" w:hAnsi="Times New Roman"/>
          <w:sz w:val="20"/>
          <w:szCs w:val="20"/>
        </w:rPr>
        <w:tab/>
      </w:r>
      <w:r w:rsidR="001D39DF">
        <w:rPr>
          <w:rFonts w:ascii="Times New Roman" w:hAnsi="Times New Roman"/>
          <w:sz w:val="20"/>
          <w:szCs w:val="20"/>
        </w:rPr>
        <w:tab/>
      </w:r>
      <w:r w:rsidR="001D39DF">
        <w:rPr>
          <w:rFonts w:ascii="Times New Roman" w:hAnsi="Times New Roman"/>
          <w:sz w:val="20"/>
          <w:szCs w:val="20"/>
        </w:rPr>
        <w:tab/>
      </w:r>
      <w:r w:rsidR="001D39DF">
        <w:rPr>
          <w:rFonts w:ascii="Times New Roman" w:hAnsi="Times New Roman"/>
          <w:sz w:val="20"/>
          <w:szCs w:val="20"/>
        </w:rPr>
        <w:tab/>
        <w:t xml:space="preserve">                 (2)</w:t>
      </w:r>
    </w:p>
    <w:p w14:paraId="16FE3795" w14:textId="77777777" w:rsidR="00D037D1" w:rsidRDefault="006541D4">
      <w:pPr>
        <w:tabs>
          <w:tab w:val="left" w:pos="2070"/>
        </w:tabs>
        <w:autoSpaceDE w:val="0"/>
        <w:autoSpaceDN w:val="0"/>
        <w:adjustRightInd w:val="0"/>
        <w:spacing w:after="240" w:line="240" w:lineRule="auto"/>
        <w:jc w:val="both"/>
        <w:rPr>
          <w:rFonts w:ascii="Times New Roman" w:hAnsi="Times New Roman"/>
          <w:sz w:val="20"/>
          <w:szCs w:val="20"/>
        </w:rPr>
      </w:pPr>
      <w:r>
        <w:rPr>
          <w:rFonts w:ascii="Times New Roman" w:hAnsi="Times New Roman"/>
          <w:sz w:val="20"/>
          <w:szCs w:val="20"/>
          <w:lang w:val="en-MY"/>
        </w:rPr>
        <w:t>Where</w:t>
      </w:r>
      <w:r>
        <w:rPr>
          <w:rFonts w:ascii="Times New Roman" w:hAnsi="Times New Roman"/>
          <w:sz w:val="20"/>
          <w:szCs w:val="20"/>
        </w:rPr>
        <w:t xml:space="preserve"> </w:t>
      </w:r>
      <w:r>
        <w:rPr>
          <w:rFonts w:ascii="Times New Roman" w:hAnsi="Times New Roman"/>
          <w:i/>
          <w:sz w:val="20"/>
          <w:szCs w:val="20"/>
        </w:rPr>
        <w:t>K</w:t>
      </w:r>
      <w:r>
        <w:rPr>
          <w:rFonts w:ascii="Times New Roman" w:hAnsi="Times New Roman"/>
          <w:sz w:val="20"/>
          <w:szCs w:val="20"/>
        </w:rPr>
        <w:t xml:space="preserve"> is the Freundlich constant correlated to adsorption capacity, and </w:t>
      </w:r>
      <w:r>
        <w:rPr>
          <w:rFonts w:ascii="Times New Roman" w:hAnsi="Times New Roman"/>
          <w:i/>
          <w:sz w:val="20"/>
          <w:szCs w:val="20"/>
        </w:rPr>
        <w:t>n</w:t>
      </w:r>
      <w:r>
        <w:rPr>
          <w:rFonts w:ascii="Times New Roman" w:hAnsi="Times New Roman"/>
          <w:sz w:val="20"/>
          <w:szCs w:val="20"/>
        </w:rPr>
        <w:t xml:space="preserve"> is the adsorption intensity. Furthermore, the separation factor R</w:t>
      </w:r>
      <w:r>
        <w:rPr>
          <w:rFonts w:ascii="Times New Roman" w:hAnsi="Times New Roman"/>
          <w:sz w:val="20"/>
          <w:szCs w:val="20"/>
        </w:rPr>
        <w:softHyphen/>
      </w:r>
      <w:r>
        <w:rPr>
          <w:rFonts w:ascii="Times New Roman" w:hAnsi="Times New Roman"/>
          <w:sz w:val="20"/>
          <w:szCs w:val="20"/>
          <w:vertAlign w:val="subscript"/>
        </w:rPr>
        <w:t>L</w:t>
      </w:r>
      <w:r>
        <w:rPr>
          <w:rFonts w:ascii="Times New Roman" w:hAnsi="Times New Roman"/>
          <w:sz w:val="20"/>
          <w:szCs w:val="20"/>
        </w:rPr>
        <w:t xml:space="preserve"> describes the essential characteristics of the Langmuir isotherm [38]: </w:t>
      </w:r>
    </w:p>
    <w:p w14:paraId="31A71F3A" w14:textId="2469C3BF" w:rsidR="00D037D1" w:rsidRDefault="000F7C9A" w:rsidP="001D39DF">
      <w:pPr>
        <w:autoSpaceDE w:val="0"/>
        <w:autoSpaceDN w:val="0"/>
        <w:adjustRightInd w:val="0"/>
        <w:spacing w:after="240" w:line="240" w:lineRule="auto"/>
        <w:ind w:firstLine="720"/>
        <w:jc w:val="both"/>
        <w:rPr>
          <w:rFonts w:asciiTheme="majorBidi" w:hAnsiTheme="majorBidi" w:cstheme="majorBidi"/>
          <w:iCs/>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L</m:t>
            </m:r>
          </m:sub>
        </m:sSub>
        <m:r>
          <m:rPr>
            <m:sty m:val="p"/>
          </m:rPr>
          <w:rPr>
            <w:rFonts w:ascii="Cambria Math" w:hAnsi="Cambria Math" w:cstheme="majorBidi"/>
            <w:sz w:val="20"/>
            <w:szCs w:val="20"/>
          </w:rPr>
          <m:t xml:space="preserve">= </m:t>
        </m:r>
        <m:f>
          <m:fPr>
            <m:ctrlPr>
              <w:rPr>
                <w:rFonts w:ascii="Cambria Math" w:hAnsi="Cambria Math" w:cstheme="majorBidi"/>
                <w:iCs/>
                <w:sz w:val="20"/>
                <w:szCs w:val="20"/>
              </w:rPr>
            </m:ctrlPr>
          </m:fPr>
          <m:num>
            <m:r>
              <w:rPr>
                <w:rFonts w:ascii="Cambria Math" w:hAnsi="Cambria Math" w:cstheme="majorBidi"/>
                <w:sz w:val="20"/>
                <w:szCs w:val="20"/>
              </w:rPr>
              <m:t>1</m:t>
            </m:r>
          </m:num>
          <m:den>
            <m:r>
              <w:rPr>
                <w:rFonts w:ascii="Cambria Math" w:hAnsi="Cambria Math" w:cstheme="majorBidi"/>
                <w:sz w:val="20"/>
                <w:szCs w:val="20"/>
              </w:rPr>
              <m:t>1+b</m:t>
            </m:r>
            <m:sSub>
              <m:sSubPr>
                <m:ctrlPr>
                  <w:rPr>
                    <w:rFonts w:ascii="Cambria Math" w:hAnsi="Cambria Math" w:cstheme="majorBidi"/>
                    <w:i/>
                    <w:iCs/>
                    <w:sz w:val="20"/>
                    <w:szCs w:val="20"/>
                  </w:rPr>
                </m:ctrlPr>
              </m:sSubPr>
              <m:e>
                <m:r>
                  <w:rPr>
                    <w:rFonts w:ascii="Cambria Math" w:hAnsi="Cambria Math" w:cstheme="majorBidi"/>
                    <w:sz w:val="20"/>
                    <w:szCs w:val="20"/>
                  </w:rPr>
                  <m:t>q</m:t>
                </m:r>
              </m:e>
              <m:sub>
                <m:r>
                  <w:rPr>
                    <w:rFonts w:ascii="Cambria Math" w:hAnsi="Cambria Math" w:cstheme="majorBidi"/>
                    <w:sz w:val="20"/>
                    <w:szCs w:val="20"/>
                  </w:rPr>
                  <m:t>max</m:t>
                </m:r>
              </m:sub>
            </m:sSub>
          </m:den>
        </m:f>
      </m:oMath>
      <w:r w:rsidR="006541D4">
        <w:rPr>
          <w:iCs/>
          <w:sz w:val="20"/>
          <w:szCs w:val="20"/>
        </w:rPr>
        <w:tab/>
      </w:r>
      <w:r w:rsidR="006541D4">
        <w:rPr>
          <w:iCs/>
          <w:sz w:val="20"/>
          <w:szCs w:val="20"/>
        </w:rPr>
        <w:tab/>
      </w:r>
      <w:r w:rsidR="006541D4">
        <w:rPr>
          <w:iCs/>
          <w:sz w:val="20"/>
          <w:szCs w:val="20"/>
        </w:rPr>
        <w:tab/>
      </w:r>
      <w:r w:rsidR="006541D4">
        <w:rPr>
          <w:iCs/>
          <w:sz w:val="20"/>
          <w:szCs w:val="20"/>
        </w:rPr>
        <w:tab/>
      </w:r>
      <w:r w:rsidR="006541D4">
        <w:rPr>
          <w:iCs/>
          <w:sz w:val="20"/>
          <w:szCs w:val="20"/>
        </w:rPr>
        <w:tab/>
      </w:r>
      <w:r w:rsidR="001D39DF">
        <w:rPr>
          <w:iCs/>
          <w:sz w:val="20"/>
          <w:szCs w:val="20"/>
        </w:rPr>
        <w:t xml:space="preserve">                                                                                   </w:t>
      </w:r>
      <w:r w:rsidR="006541D4">
        <w:rPr>
          <w:rFonts w:asciiTheme="majorBidi" w:hAnsiTheme="majorBidi" w:cstheme="majorBidi"/>
          <w:iCs/>
          <w:sz w:val="20"/>
          <w:szCs w:val="20"/>
        </w:rPr>
        <w:t>(3)</w:t>
      </w:r>
    </w:p>
    <w:p w14:paraId="5AF00B25" w14:textId="77777777" w:rsidR="00D037D1" w:rsidRDefault="006541D4">
      <w:pPr>
        <w:autoSpaceDE w:val="0"/>
        <w:autoSpaceDN w:val="0"/>
        <w:adjustRightInd w:val="0"/>
        <w:spacing w:after="240" w:line="240" w:lineRule="auto"/>
        <w:jc w:val="both"/>
        <w:rPr>
          <w:rFonts w:asciiTheme="majorBidi" w:hAnsiTheme="majorBidi" w:cstheme="majorBidi"/>
          <w:sz w:val="20"/>
          <w:szCs w:val="20"/>
        </w:rPr>
      </w:pPr>
      <w:r>
        <w:rPr>
          <w:rFonts w:asciiTheme="majorBidi" w:hAnsiTheme="majorBidi" w:cstheme="majorBidi"/>
          <w:sz w:val="20"/>
          <w:szCs w:val="20"/>
        </w:rPr>
        <w:t>The values of R</w:t>
      </w:r>
      <w:r>
        <w:rPr>
          <w:rFonts w:asciiTheme="majorBidi" w:hAnsiTheme="majorBidi" w:cstheme="majorBidi"/>
          <w:sz w:val="20"/>
          <w:szCs w:val="20"/>
          <w:vertAlign w:val="subscript"/>
        </w:rPr>
        <w:t xml:space="preserve">L </w:t>
      </w:r>
      <w:r>
        <w:rPr>
          <w:rFonts w:asciiTheme="majorBidi" w:hAnsiTheme="majorBidi" w:cstheme="majorBidi"/>
          <w:sz w:val="20"/>
          <w:szCs w:val="20"/>
        </w:rPr>
        <w:t>show whether the isotherm is linear (R</w:t>
      </w:r>
      <w:r>
        <w:rPr>
          <w:rFonts w:asciiTheme="majorBidi" w:hAnsiTheme="majorBidi" w:cstheme="majorBidi"/>
          <w:sz w:val="20"/>
          <w:szCs w:val="20"/>
          <w:vertAlign w:val="subscript"/>
        </w:rPr>
        <w:t xml:space="preserve">L </w:t>
      </w:r>
      <w:r>
        <w:rPr>
          <w:rFonts w:asciiTheme="majorBidi" w:hAnsiTheme="majorBidi" w:cstheme="majorBidi"/>
          <w:sz w:val="20"/>
          <w:szCs w:val="20"/>
        </w:rPr>
        <w:t>= 1), favo</w:t>
      </w:r>
      <w:r>
        <w:rPr>
          <w:rFonts w:asciiTheme="majorBidi" w:hAnsiTheme="majorBidi" w:cstheme="majorBidi"/>
          <w:sz w:val="20"/>
          <w:szCs w:val="20"/>
          <w:lang w:val="en-MY"/>
        </w:rPr>
        <w:t>u</w:t>
      </w:r>
      <w:r>
        <w:rPr>
          <w:rFonts w:asciiTheme="majorBidi" w:hAnsiTheme="majorBidi" w:cstheme="majorBidi"/>
          <w:sz w:val="20"/>
          <w:szCs w:val="20"/>
        </w:rPr>
        <w:t>rable (0 &lt; R</w:t>
      </w:r>
      <w:r>
        <w:rPr>
          <w:rFonts w:asciiTheme="majorBidi" w:hAnsiTheme="majorBidi" w:cstheme="majorBidi"/>
          <w:sz w:val="20"/>
          <w:szCs w:val="20"/>
          <w:vertAlign w:val="subscript"/>
        </w:rPr>
        <w:t>L</w:t>
      </w:r>
      <w:r>
        <w:rPr>
          <w:rFonts w:asciiTheme="majorBidi" w:hAnsiTheme="majorBidi" w:cstheme="majorBidi"/>
          <w:sz w:val="20"/>
          <w:szCs w:val="20"/>
        </w:rPr>
        <w:t xml:space="preserve"> &lt; 1), irreversible (R</w:t>
      </w:r>
      <w:r>
        <w:rPr>
          <w:rFonts w:asciiTheme="majorBidi" w:hAnsiTheme="majorBidi" w:cstheme="majorBidi"/>
          <w:sz w:val="20"/>
          <w:szCs w:val="20"/>
          <w:vertAlign w:val="subscript"/>
        </w:rPr>
        <w:t xml:space="preserve">L </w:t>
      </w:r>
      <w:r>
        <w:rPr>
          <w:rFonts w:asciiTheme="majorBidi" w:hAnsiTheme="majorBidi" w:cstheme="majorBidi"/>
          <w:sz w:val="20"/>
          <w:szCs w:val="20"/>
        </w:rPr>
        <w:t>= 0)</w:t>
      </w:r>
      <w:r>
        <w:rPr>
          <w:rFonts w:asciiTheme="majorBidi" w:hAnsiTheme="majorBidi" w:cstheme="majorBidi"/>
          <w:sz w:val="20"/>
          <w:szCs w:val="20"/>
          <w:lang w:val="en-MY"/>
        </w:rPr>
        <w:t>,</w:t>
      </w:r>
      <w:r>
        <w:rPr>
          <w:rFonts w:asciiTheme="majorBidi" w:hAnsiTheme="majorBidi" w:cstheme="majorBidi"/>
          <w:sz w:val="20"/>
          <w:szCs w:val="20"/>
        </w:rPr>
        <w:t xml:space="preserve"> or unfavo</w:t>
      </w:r>
      <w:r>
        <w:rPr>
          <w:rFonts w:asciiTheme="majorBidi" w:hAnsiTheme="majorBidi" w:cstheme="majorBidi"/>
          <w:sz w:val="20"/>
          <w:szCs w:val="20"/>
          <w:lang w:val="en-MY"/>
        </w:rPr>
        <w:t>u</w:t>
      </w:r>
      <w:r>
        <w:rPr>
          <w:rFonts w:asciiTheme="majorBidi" w:hAnsiTheme="majorBidi" w:cstheme="majorBidi"/>
          <w:sz w:val="20"/>
          <w:szCs w:val="20"/>
        </w:rPr>
        <w:t>rable (R</w:t>
      </w:r>
      <w:r>
        <w:rPr>
          <w:rFonts w:asciiTheme="majorBidi" w:hAnsiTheme="majorBidi" w:cstheme="majorBidi"/>
          <w:sz w:val="20"/>
          <w:szCs w:val="20"/>
          <w:vertAlign w:val="subscript"/>
        </w:rPr>
        <w:t xml:space="preserve">L &gt; </w:t>
      </w:r>
      <w:r>
        <w:rPr>
          <w:rFonts w:asciiTheme="majorBidi" w:hAnsiTheme="majorBidi" w:cstheme="majorBidi"/>
          <w:sz w:val="20"/>
          <w:szCs w:val="20"/>
        </w:rPr>
        <w:t xml:space="preserve">1). </w:t>
      </w:r>
    </w:p>
    <w:p w14:paraId="45E86627" w14:textId="47A52F32" w:rsidR="00D037D1" w:rsidRDefault="006541D4">
      <w:pPr>
        <w:autoSpaceDE w:val="0"/>
        <w:autoSpaceDN w:val="0"/>
        <w:adjustRightInd w:val="0"/>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t xml:space="preserve">Kinetic </w:t>
      </w:r>
      <w:r w:rsidR="001D39DF">
        <w:rPr>
          <w:rFonts w:asciiTheme="majorBidi" w:hAnsiTheme="majorBidi" w:cstheme="majorBidi"/>
          <w:b/>
          <w:bCs/>
          <w:sz w:val="20"/>
          <w:szCs w:val="20"/>
        </w:rPr>
        <w:t>adsorption study</w:t>
      </w:r>
    </w:p>
    <w:p w14:paraId="62AEDE15" w14:textId="01481E9C" w:rsidR="00055719" w:rsidRDefault="006541D4">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Adsorption kinetics is </w:t>
      </w:r>
      <w:r>
        <w:rPr>
          <w:rFonts w:asciiTheme="majorBidi" w:hAnsiTheme="majorBidi" w:cstheme="majorBidi"/>
          <w:sz w:val="20"/>
          <w:szCs w:val="20"/>
          <w:lang w:val="en-MY"/>
        </w:rPr>
        <w:t>a</w:t>
      </w:r>
      <w:r>
        <w:rPr>
          <w:rFonts w:asciiTheme="majorBidi" w:hAnsiTheme="majorBidi" w:cstheme="majorBidi"/>
          <w:sz w:val="20"/>
          <w:szCs w:val="20"/>
        </w:rPr>
        <w:t xml:space="preserve"> significant aspect of biosorption studies since it presents valuable information concerning adsorption mechanisms and allows the investigation of the controlling biosorption mechanism.</w:t>
      </w:r>
      <w:r w:rsidR="00055719">
        <w:rPr>
          <w:rFonts w:asciiTheme="majorBidi" w:hAnsiTheme="majorBidi" w:cstheme="majorBidi"/>
          <w:sz w:val="20"/>
          <w:szCs w:val="20"/>
        </w:rPr>
        <w:t xml:space="preserve"> </w:t>
      </w:r>
      <w:r>
        <w:rPr>
          <w:rFonts w:asciiTheme="majorBidi" w:hAnsiTheme="majorBidi" w:cstheme="majorBidi"/>
          <w:sz w:val="20"/>
          <w:szCs w:val="20"/>
        </w:rPr>
        <w:t>The assessment of Pb</w:t>
      </w:r>
      <w:r>
        <w:rPr>
          <w:rFonts w:asciiTheme="majorBidi" w:hAnsiTheme="majorBidi" w:cstheme="majorBidi"/>
          <w:sz w:val="20"/>
          <w:szCs w:val="20"/>
          <w:vertAlign w:val="superscript"/>
        </w:rPr>
        <w:t xml:space="preserve">2+ </w:t>
      </w:r>
      <w:r>
        <w:rPr>
          <w:rFonts w:asciiTheme="majorBidi" w:hAnsiTheme="majorBidi" w:cstheme="majorBidi"/>
          <w:sz w:val="20"/>
          <w:szCs w:val="20"/>
        </w:rPr>
        <w:t>ions adsorption kinetics onto</w:t>
      </w:r>
      <w:r>
        <w:rPr>
          <w:rFonts w:asciiTheme="majorBidi" w:hAnsiTheme="majorBidi" w:cstheme="majorBidi"/>
          <w:i/>
          <w:iCs/>
          <w:sz w:val="20"/>
          <w:szCs w:val="20"/>
        </w:rPr>
        <w:t xml:space="preserve"> E denticulatum </w:t>
      </w:r>
      <w:r>
        <w:rPr>
          <w:rFonts w:asciiTheme="majorBidi" w:hAnsiTheme="majorBidi" w:cstheme="majorBidi"/>
          <w:sz w:val="20"/>
          <w:szCs w:val="20"/>
        </w:rPr>
        <w:t xml:space="preserve">was </w:t>
      </w:r>
      <w:r>
        <w:rPr>
          <w:rFonts w:asciiTheme="majorBidi" w:hAnsiTheme="majorBidi" w:cstheme="majorBidi"/>
          <w:sz w:val="20"/>
          <w:szCs w:val="20"/>
          <w:lang w:val="en-MY"/>
        </w:rPr>
        <w:t>conduc</w:t>
      </w:r>
      <w:r>
        <w:rPr>
          <w:rFonts w:asciiTheme="majorBidi" w:hAnsiTheme="majorBidi" w:cstheme="majorBidi"/>
          <w:sz w:val="20"/>
          <w:szCs w:val="20"/>
        </w:rPr>
        <w:t>t</w:t>
      </w:r>
      <w:r>
        <w:rPr>
          <w:rFonts w:asciiTheme="majorBidi" w:hAnsiTheme="majorBidi" w:cstheme="majorBidi"/>
          <w:sz w:val="20"/>
          <w:szCs w:val="20"/>
          <w:lang w:val="en-MY"/>
        </w:rPr>
        <w:t>ed</w:t>
      </w:r>
      <w:r>
        <w:rPr>
          <w:rFonts w:asciiTheme="majorBidi" w:hAnsiTheme="majorBidi" w:cstheme="majorBidi"/>
          <w:sz w:val="20"/>
          <w:szCs w:val="20"/>
        </w:rPr>
        <w:t xml:space="preserve"> using pseudo-first-order and pseudo-second-order kinetics. The pseudo-first-order equation </w:t>
      </w:r>
      <w:r>
        <w:rPr>
          <w:rFonts w:asciiTheme="majorBidi" w:hAnsiTheme="majorBidi" w:cstheme="majorBidi"/>
          <w:sz w:val="20"/>
          <w:szCs w:val="20"/>
          <w:lang w:val="en-MY"/>
        </w:rPr>
        <w:t>was devised</w:t>
      </w:r>
      <w:r>
        <w:rPr>
          <w:rFonts w:asciiTheme="majorBidi" w:hAnsiTheme="majorBidi" w:cstheme="majorBidi"/>
          <w:sz w:val="20"/>
          <w:szCs w:val="20"/>
        </w:rPr>
        <w:t xml:space="preserve"> by </w:t>
      </w:r>
      <w:r>
        <w:rPr>
          <w:rFonts w:asciiTheme="majorBidi" w:hAnsiTheme="majorBidi" w:cstheme="majorBidi"/>
          <w:sz w:val="20"/>
          <w:szCs w:val="20"/>
        </w:rPr>
        <w:fldChar w:fldCharType="begin" w:fldLock="1"/>
      </w:r>
      <w:r>
        <w:rPr>
          <w:rFonts w:asciiTheme="majorBidi" w:hAnsiTheme="majorBidi" w:cstheme="majorBidi"/>
          <w:sz w:val="20"/>
          <w:szCs w:val="20"/>
        </w:rPr>
        <w:instrText>ADDIN CSL_CITATION {"citationItems":[{"id":"ITEM-1","itemData":{"DOI":"10.1016/j.jhazmat.2008.06.042","ISSN":"03043894","PMID":"18656309","abstract":"Distinctive adsorption equilibria and kinetic models are of extensive use in explaining the biosorption of heavy metals, denoting the need to highlight and summarize their essential issues, which is the main purpose of this paper. As a general trend, up until now, most studies on the biosorption of heavy metal ions by miscellaneous biosorbent types have been directed toward the uptake of single metal in preference to multicomponent systems. In particular, Langmuir and Freundlich models are the most common isotherms for correlating biosorption experimental data though other isotherms, which were initially established for gas phase applications, can also be extended onto biosorption system. In kinetic modeling, the pseudo-first and -second order equations are considered as the most celebrated models. © 2008 Elsevier B.V. All rights reserved.","author":[{"dropping-particle":"","family":"Febrianto","given":"Jonathan","non-dropping-particle":"","parse-names":false,"suffix":""},{"dropping-particle":"","family":"Kosasih","given":"Aline Natasia","non-dropping-particle":"","parse-names":false,"suffix":""},{"dropping-particle":"","family":"Sunarso","given":"Jaka","non-dropping-particle":"","parse-names":false,"suffix":""},{"dropping-particle":"","family":"Ju","given":"Yi Hsu","non-dropping-particle":"","parse-names":false,"suffix":""},{"dropping-particle":"","family":"Indraswati","given":"Nani","non-dropping-particle":"","parse-names":false,"suffix":""},{"dropping-particle":"","family":"Ismadji","given":"Suryadi","non-dropping-particle":"","parse-names":false,"suffix":""}],"container-title":"Journal of Hazardous Materials","id":"ITEM-1","issue":"2-3","issued":{"date-parts":[["2009"]]},"page":"616-645","title":"Equilibrium and kinetic studies in adsorption of heavy metals using biosorbent: A summary of recent studies","type":"article-journal","volume":"162"},"uris":["http://www.mendeley.com/documents/?uuid=8fbae8c1-2bdd-4231-be4e-8e0ed2175f02"]}],"mendeley":{"formattedCitation":"(Febrianto et al., 2009)","manualFormatting":"Febrianto et al. ","plainTextFormattedCitation":"(Febrianto et al., 2009)","previouslyFormattedCitation":"(Febrianto et al., 2009)"},"properties":{"noteIndex":0},"schema":"https://github.com/citation-style-language/schema/raw/master/csl-citation.json"}</w:instrText>
      </w:r>
      <w:r>
        <w:rPr>
          <w:rFonts w:asciiTheme="majorBidi" w:hAnsiTheme="majorBidi" w:cstheme="majorBidi"/>
          <w:sz w:val="20"/>
          <w:szCs w:val="20"/>
        </w:rPr>
        <w:fldChar w:fldCharType="separate"/>
      </w:r>
      <w:r>
        <w:rPr>
          <w:rFonts w:asciiTheme="majorBidi" w:hAnsiTheme="majorBidi" w:cstheme="majorBidi"/>
          <w:sz w:val="20"/>
          <w:szCs w:val="20"/>
        </w:rPr>
        <w:t xml:space="preserve">Febrianto et al. </w:t>
      </w:r>
      <w:r>
        <w:rPr>
          <w:rFonts w:asciiTheme="majorBidi" w:hAnsiTheme="majorBidi" w:cstheme="majorBidi"/>
          <w:sz w:val="20"/>
          <w:szCs w:val="20"/>
        </w:rPr>
        <w:fldChar w:fldCharType="end"/>
      </w:r>
      <w:r>
        <w:rPr>
          <w:rFonts w:asciiTheme="majorBidi" w:hAnsiTheme="majorBidi" w:cstheme="majorBidi"/>
          <w:sz w:val="20"/>
          <w:szCs w:val="20"/>
        </w:rPr>
        <w:fldChar w:fldCharType="begin" w:fldLock="1"/>
      </w:r>
      <w:r>
        <w:rPr>
          <w:rFonts w:asciiTheme="majorBidi" w:hAnsiTheme="majorBidi" w:cstheme="majorBidi"/>
          <w:sz w:val="20"/>
          <w:szCs w:val="20"/>
        </w:rPr>
        <w:instrText>ADDIN CSL_CITATION {"citationItems":[{"id":"ITEM-1","itemData":{"DOI":"10.1016/S0043-1354(98)00207-3","ISSN":"00431354","abstract":"The sorption of lead ions from aqueous solution onto peat has been studied. Kinetic studies have been carried out using an agitated batch and the effect of varying process parameters has been investigated; these include initial lead ion concentration, peat particle size, solution temperature and agitation speed. The data were analyzed using a pseudo-first order Lagergren equation and the data were correlated using a two-step first order reaction mechanism.","author":[{"dropping-particle":"","family":"Ho","given":"Y. S.","non-dropping-particle":"","parse-names":false,"suffix":""},{"dropping-particle":"","family":"McKay","given":"G.","non-dropping-particle":"","parse-names":false,"suffix":""}],"container-title":"Water Research","id":"ITEM-1","issue":"2","issued":{"date-parts":[["1999"]]},"page":"578-584","title":"The sorption of lead(II) ions on peat","type":"article-journal","volume":"33"},"uris":["http://www.mendeley.com/documents/?uuid=51df2a3d-db39-4795-a32c-f37ec8eb010c"]}],"mendeley":{"formattedCitation":"(Ho &amp; McKay, 1999)","manualFormatting":" [39]","plainTextFormattedCitation":"(Ho &amp; McKay, 1999)","previouslyFormattedCitation":"(Ho &amp; McKay, 1999)"},"properties":{"noteIndex":0},"schema":"https://github.com/citation-style-language/schema/raw/master/csl-citation.json"}</w:instrText>
      </w:r>
      <w:r>
        <w:rPr>
          <w:rFonts w:asciiTheme="majorBidi" w:hAnsiTheme="majorBidi" w:cstheme="majorBidi"/>
          <w:sz w:val="20"/>
          <w:szCs w:val="20"/>
        </w:rPr>
        <w:fldChar w:fldCharType="separate"/>
      </w:r>
      <w:r>
        <w:rPr>
          <w:rFonts w:asciiTheme="majorBidi" w:hAnsiTheme="majorBidi" w:cstheme="majorBidi"/>
          <w:sz w:val="20"/>
          <w:szCs w:val="20"/>
        </w:rPr>
        <w:t xml:space="preserve"> [39]</w:t>
      </w:r>
      <w:r>
        <w:rPr>
          <w:rFonts w:asciiTheme="majorBidi" w:hAnsiTheme="majorBidi" w:cstheme="majorBidi"/>
          <w:sz w:val="20"/>
          <w:szCs w:val="20"/>
        </w:rPr>
        <w:fldChar w:fldCharType="end"/>
      </w:r>
      <w:r>
        <w:rPr>
          <w:rFonts w:asciiTheme="majorBidi" w:hAnsiTheme="majorBidi" w:cstheme="majorBidi"/>
          <w:sz w:val="20"/>
          <w:szCs w:val="20"/>
        </w:rPr>
        <w:t xml:space="preserve"> </w:t>
      </w:r>
    </w:p>
    <w:p w14:paraId="46CAFD12" w14:textId="77777777" w:rsidR="00055719" w:rsidRDefault="00055719">
      <w:pPr>
        <w:autoSpaceDE w:val="0"/>
        <w:autoSpaceDN w:val="0"/>
        <w:adjustRightInd w:val="0"/>
        <w:spacing w:after="0" w:line="240" w:lineRule="auto"/>
        <w:jc w:val="both"/>
        <w:rPr>
          <w:rFonts w:asciiTheme="majorBidi" w:hAnsiTheme="majorBidi" w:cstheme="majorBidi"/>
          <w:sz w:val="20"/>
          <w:szCs w:val="20"/>
        </w:rPr>
      </w:pPr>
    </w:p>
    <w:p w14:paraId="5606B78B" w14:textId="0002D1DE" w:rsidR="00D037D1" w:rsidRPr="00055719" w:rsidRDefault="000F7C9A" w:rsidP="00055719">
      <w:pPr>
        <w:autoSpaceDE w:val="0"/>
        <w:autoSpaceDN w:val="0"/>
        <w:adjustRightInd w:val="0"/>
        <w:spacing w:after="0" w:line="240" w:lineRule="auto"/>
        <w:ind w:left="720" w:hanging="11"/>
        <w:jc w:val="both"/>
        <w:rPr>
          <w:rFonts w:asciiTheme="majorBidi" w:hAnsiTheme="majorBidi" w:cstheme="majorBidi"/>
          <w:sz w:val="20"/>
          <w:szCs w:val="20"/>
        </w:rPr>
      </w:pPr>
      <m:oMath>
        <m:func>
          <m:funcPr>
            <m:ctrlPr>
              <w:rPr>
                <w:rFonts w:ascii="Cambria Math" w:hAnsi="Cambria Math" w:cstheme="majorBidi"/>
                <w:i/>
                <w:sz w:val="20"/>
                <w:szCs w:val="20"/>
              </w:rPr>
            </m:ctrlPr>
          </m:funcPr>
          <m:fName>
            <m:r>
              <m:rPr>
                <m:sty m:val="p"/>
              </m:rPr>
              <w:rPr>
                <w:rFonts w:ascii="Cambria Math" w:hAnsi="Cambria Math" w:cstheme="majorBidi"/>
                <w:sz w:val="20"/>
                <w:szCs w:val="20"/>
              </w:rPr>
              <m:t>log</m:t>
            </m:r>
          </m:fName>
          <m:e>
            <m:d>
              <m:dPr>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e</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t</m:t>
                    </m:r>
                  </m:sub>
                </m:sSub>
              </m:e>
            </m:d>
          </m:e>
        </m:func>
        <m:r>
          <w:rPr>
            <w:rFonts w:ascii="Cambria Math" w:hAnsi="Cambria Math" w:cstheme="majorBidi"/>
            <w:sz w:val="20"/>
            <w:szCs w:val="20"/>
          </w:rPr>
          <m:t>=</m:t>
        </m:r>
        <m:func>
          <m:funcPr>
            <m:ctrlPr>
              <w:rPr>
                <w:rFonts w:ascii="Cambria Math" w:hAnsi="Cambria Math" w:cstheme="majorBidi"/>
                <w:i/>
                <w:sz w:val="20"/>
                <w:szCs w:val="20"/>
              </w:rPr>
            </m:ctrlPr>
          </m:funcPr>
          <m:fName>
            <m:r>
              <m:rPr>
                <m:sty m:val="p"/>
              </m:rPr>
              <w:rPr>
                <w:rFonts w:ascii="Cambria Math" w:hAnsi="Cambria Math" w:cstheme="majorBidi"/>
                <w:sz w:val="20"/>
                <w:szCs w:val="20"/>
              </w:rPr>
              <m:t>log</m:t>
            </m:r>
          </m:fName>
          <m:e>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e</m:t>
                </m:r>
              </m:sub>
            </m:sSub>
            <m:r>
              <w:rPr>
                <w:rFonts w:ascii="Cambria Math" w:hAnsi="Cambria Math" w:cstheme="majorBidi"/>
                <w:sz w:val="20"/>
                <w:szCs w:val="20"/>
              </w:rPr>
              <m:t xml:space="preserve">- </m:t>
            </m:r>
            <m:f>
              <m:fPr>
                <m:ctrlPr>
                  <w:rPr>
                    <w:rFonts w:ascii="Cambria Math" w:hAnsi="Cambria Math" w:cstheme="majorBidi"/>
                    <w:i/>
                    <w:sz w:val="20"/>
                    <w:szCs w:val="20"/>
                  </w:rPr>
                </m:ctrlPr>
              </m:fPr>
              <m:num>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1</m:t>
                    </m:r>
                  </m:sub>
                </m:sSub>
                <m:r>
                  <w:rPr>
                    <w:rFonts w:ascii="Cambria Math" w:hAnsi="Cambria Math" w:cstheme="majorBidi"/>
                    <w:sz w:val="20"/>
                    <w:szCs w:val="20"/>
                  </w:rPr>
                  <m:t xml:space="preserve"> t </m:t>
                </m:r>
              </m:num>
              <m:den>
                <m:r>
                  <w:rPr>
                    <w:rFonts w:ascii="Cambria Math" w:hAnsi="Cambria Math" w:cstheme="majorBidi"/>
                    <w:sz w:val="20"/>
                    <w:szCs w:val="20"/>
                  </w:rPr>
                  <m:t xml:space="preserve">2.303  </m:t>
                </m:r>
              </m:den>
            </m:f>
            <m:r>
              <w:rPr>
                <w:rFonts w:ascii="Cambria Math" w:hAnsi="Cambria Math" w:cstheme="majorBidi"/>
                <w:sz w:val="20"/>
                <w:szCs w:val="20"/>
              </w:rPr>
              <m:t xml:space="preserve">  </m:t>
            </m:r>
          </m:e>
        </m:func>
      </m:oMath>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t xml:space="preserve">   (4)</w:t>
      </w:r>
    </w:p>
    <w:p w14:paraId="54161685" w14:textId="77777777" w:rsidR="00D037D1" w:rsidRDefault="00D037D1">
      <w:pPr>
        <w:autoSpaceDE w:val="0"/>
        <w:autoSpaceDN w:val="0"/>
        <w:adjustRightInd w:val="0"/>
        <w:spacing w:after="0" w:line="240" w:lineRule="auto"/>
        <w:jc w:val="both"/>
        <w:rPr>
          <w:rFonts w:asciiTheme="majorBidi" w:hAnsiTheme="majorBidi" w:cstheme="majorBidi"/>
          <w:sz w:val="20"/>
          <w:szCs w:val="20"/>
        </w:rPr>
      </w:pPr>
    </w:p>
    <w:p w14:paraId="6E6AD18B" w14:textId="77777777" w:rsidR="00D037D1" w:rsidRDefault="006541D4">
      <w:pPr>
        <w:autoSpaceDE w:val="0"/>
        <w:autoSpaceDN w:val="0"/>
        <w:adjustRightInd w:val="0"/>
        <w:spacing w:after="240" w:line="240" w:lineRule="auto"/>
        <w:jc w:val="both"/>
        <w:rPr>
          <w:rFonts w:asciiTheme="majorBidi" w:hAnsiTheme="majorBidi" w:cstheme="majorBidi"/>
          <w:sz w:val="20"/>
          <w:szCs w:val="20"/>
        </w:rPr>
      </w:pPr>
      <w:r>
        <w:rPr>
          <w:rFonts w:asciiTheme="majorBidi" w:hAnsiTheme="majorBidi" w:cstheme="majorBidi"/>
          <w:sz w:val="20"/>
          <w:szCs w:val="20"/>
        </w:rPr>
        <w:t>Where q</w:t>
      </w:r>
      <w:r>
        <w:rPr>
          <w:rFonts w:asciiTheme="majorBidi" w:hAnsiTheme="majorBidi" w:cstheme="majorBidi"/>
          <w:sz w:val="20"/>
          <w:szCs w:val="20"/>
          <w:vertAlign w:val="subscript"/>
        </w:rPr>
        <w:t xml:space="preserve">e </w:t>
      </w:r>
      <w:r>
        <w:rPr>
          <w:rFonts w:asciiTheme="majorBidi" w:hAnsiTheme="majorBidi" w:cstheme="majorBidi"/>
          <w:sz w:val="20"/>
          <w:szCs w:val="20"/>
        </w:rPr>
        <w:t>and q</w:t>
      </w:r>
      <w:r>
        <w:rPr>
          <w:rFonts w:asciiTheme="majorBidi" w:hAnsiTheme="majorBidi" w:cstheme="majorBidi"/>
          <w:sz w:val="20"/>
          <w:szCs w:val="20"/>
          <w:vertAlign w:val="subscript"/>
        </w:rPr>
        <w:t>t</w:t>
      </w:r>
      <w:r>
        <w:rPr>
          <w:rFonts w:asciiTheme="majorBidi" w:hAnsiTheme="majorBidi" w:cstheme="majorBidi"/>
          <w:sz w:val="20"/>
          <w:szCs w:val="20"/>
        </w:rPr>
        <w:t xml:space="preserve"> (mg/g) are the equilibrium and time t, respectively, </w:t>
      </w:r>
      <w:r>
        <w:rPr>
          <w:rFonts w:asciiTheme="majorBidi" w:hAnsiTheme="majorBidi" w:cstheme="majorBidi"/>
          <w:sz w:val="20"/>
          <w:szCs w:val="20"/>
          <w:lang w:val="en-MY"/>
        </w:rPr>
        <w:t xml:space="preserve">of the </w:t>
      </w:r>
      <w:r>
        <w:rPr>
          <w:rFonts w:asciiTheme="majorBidi" w:hAnsiTheme="majorBidi" w:cstheme="majorBidi"/>
          <w:sz w:val="20"/>
          <w:szCs w:val="20"/>
        </w:rPr>
        <w:t>adsorption capacities. k</w:t>
      </w:r>
      <w:r>
        <w:rPr>
          <w:rFonts w:asciiTheme="majorBidi" w:hAnsiTheme="majorBidi" w:cstheme="majorBidi"/>
          <w:sz w:val="20"/>
          <w:szCs w:val="20"/>
          <w:vertAlign w:val="subscript"/>
        </w:rPr>
        <w:t>1</w:t>
      </w:r>
      <w:r>
        <w:rPr>
          <w:rFonts w:asciiTheme="majorBidi" w:hAnsiTheme="majorBidi" w:cstheme="majorBidi"/>
          <w:sz w:val="20"/>
          <w:szCs w:val="20"/>
        </w:rPr>
        <w:t xml:space="preserve"> (min</w:t>
      </w:r>
      <w:r>
        <w:rPr>
          <w:rFonts w:asciiTheme="majorBidi" w:hAnsiTheme="majorBidi" w:cstheme="majorBidi"/>
          <w:sz w:val="20"/>
          <w:szCs w:val="20"/>
          <w:vertAlign w:val="superscript"/>
        </w:rPr>
        <w:t>-1</w:t>
      </w:r>
      <w:r>
        <w:rPr>
          <w:rFonts w:asciiTheme="majorBidi" w:hAnsiTheme="majorBidi" w:cstheme="majorBidi"/>
          <w:sz w:val="20"/>
          <w:szCs w:val="20"/>
        </w:rPr>
        <w:t xml:space="preserve">) is the pseudo-first-order adsorption rate constant. The linear correlation of </w:t>
      </w:r>
      <m:oMath>
        <m:func>
          <m:funcPr>
            <m:ctrlPr>
              <w:rPr>
                <w:rFonts w:ascii="Cambria Math" w:hAnsi="Cambria Math" w:cstheme="majorBidi"/>
                <w:i/>
                <w:sz w:val="20"/>
                <w:szCs w:val="20"/>
              </w:rPr>
            </m:ctrlPr>
          </m:funcPr>
          <m:fName>
            <m:r>
              <m:rPr>
                <m:sty m:val="p"/>
              </m:rPr>
              <w:rPr>
                <w:rFonts w:ascii="Cambria Math" w:hAnsi="Cambria Math" w:cstheme="majorBidi"/>
                <w:sz w:val="20"/>
                <w:szCs w:val="20"/>
              </w:rPr>
              <m:t>log</m:t>
            </m:r>
          </m:fName>
          <m:e>
            <m:d>
              <m:dPr>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e</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t</m:t>
                    </m:r>
                  </m:sub>
                </m:sSub>
              </m:e>
            </m:d>
          </m:e>
        </m:func>
      </m:oMath>
      <w:r>
        <w:rPr>
          <w:rFonts w:asciiTheme="majorBidi" w:hAnsiTheme="majorBidi" w:cstheme="majorBidi"/>
          <w:sz w:val="20"/>
          <w:szCs w:val="20"/>
          <w:lang w:val="en-MY"/>
        </w:rPr>
        <w:t>v</w:t>
      </w:r>
      <w:r>
        <w:rPr>
          <w:rFonts w:asciiTheme="majorBidi" w:hAnsiTheme="majorBidi" w:cstheme="majorBidi"/>
          <w:sz w:val="20"/>
          <w:szCs w:val="20"/>
        </w:rPr>
        <w:t>ersus t implies that the reaction fits with the pseudo-first-order reaction. The slope and the model's intercept, respectively, give k</w:t>
      </w:r>
      <w:r>
        <w:rPr>
          <w:rFonts w:asciiTheme="majorBidi" w:hAnsiTheme="majorBidi" w:cstheme="majorBidi"/>
          <w:sz w:val="20"/>
          <w:szCs w:val="20"/>
          <w:vertAlign w:val="subscript"/>
        </w:rPr>
        <w:t xml:space="preserve">1 </w:t>
      </w:r>
      <w:r>
        <w:rPr>
          <w:rFonts w:asciiTheme="majorBidi" w:hAnsiTheme="majorBidi" w:cstheme="majorBidi"/>
          <w:sz w:val="20"/>
          <w:szCs w:val="20"/>
        </w:rPr>
        <w:t>and q</w:t>
      </w:r>
      <w:r>
        <w:rPr>
          <w:rFonts w:asciiTheme="majorBidi" w:hAnsiTheme="majorBidi" w:cstheme="majorBidi"/>
          <w:sz w:val="20"/>
          <w:szCs w:val="20"/>
          <w:vertAlign w:val="subscript"/>
        </w:rPr>
        <w:t>e</w:t>
      </w:r>
      <w:r>
        <w:rPr>
          <w:rFonts w:asciiTheme="majorBidi" w:hAnsiTheme="majorBidi" w:cstheme="majorBidi"/>
          <w:sz w:val="20"/>
          <w:szCs w:val="20"/>
        </w:rPr>
        <w:t xml:space="preserve">. </w:t>
      </w:r>
    </w:p>
    <w:p w14:paraId="1437BA5F" w14:textId="77777777" w:rsidR="00D037D1" w:rsidRDefault="006541D4">
      <w:pPr>
        <w:autoSpaceDE w:val="0"/>
        <w:autoSpaceDN w:val="0"/>
        <w:adjustRightInd w:val="0"/>
        <w:spacing w:after="240" w:line="240" w:lineRule="auto"/>
        <w:jc w:val="both"/>
        <w:rPr>
          <w:rFonts w:asciiTheme="majorBidi" w:hAnsiTheme="majorBidi" w:cstheme="majorBidi"/>
          <w:sz w:val="20"/>
          <w:szCs w:val="20"/>
        </w:rPr>
      </w:pPr>
      <w:r>
        <w:rPr>
          <w:rFonts w:asciiTheme="majorBidi" w:hAnsiTheme="majorBidi" w:cstheme="majorBidi"/>
          <w:sz w:val="20"/>
          <w:szCs w:val="20"/>
        </w:rPr>
        <w:t xml:space="preserve">According to Ho </w:t>
      </w:r>
      <w:r>
        <w:rPr>
          <w:rFonts w:asciiTheme="majorBidi" w:hAnsiTheme="majorBidi" w:cstheme="majorBidi"/>
          <w:sz w:val="20"/>
          <w:szCs w:val="20"/>
          <w:lang w:val="en-MY"/>
        </w:rPr>
        <w:t>and</w:t>
      </w:r>
      <w:r>
        <w:rPr>
          <w:rFonts w:asciiTheme="majorBidi" w:hAnsiTheme="majorBidi" w:cstheme="majorBidi"/>
          <w:sz w:val="20"/>
          <w:szCs w:val="20"/>
        </w:rPr>
        <w:t xml:space="preserve"> Ofomaja [40], the pseudo-second-order reaction is expressed as:</w:t>
      </w:r>
    </w:p>
    <w:p w14:paraId="38F59971" w14:textId="331A34C2" w:rsidR="00D037D1" w:rsidRPr="00055719" w:rsidRDefault="006541D4" w:rsidP="00055719">
      <w:pPr>
        <w:autoSpaceDE w:val="0"/>
        <w:autoSpaceDN w:val="0"/>
        <w:adjustRightInd w:val="0"/>
        <w:spacing w:after="240" w:line="240" w:lineRule="auto"/>
        <w:ind w:left="720"/>
        <w:jc w:val="both"/>
        <w:rPr>
          <w:rFonts w:asciiTheme="majorBidi" w:hAnsiTheme="majorBidi" w:cstheme="majorBidi"/>
          <w:sz w:val="20"/>
          <w:szCs w:val="20"/>
        </w:rPr>
      </w:pPr>
      <w:r>
        <w:rPr>
          <w:rFonts w:asciiTheme="majorBidi" w:hAnsiTheme="majorBidi" w:cstheme="majorBidi"/>
          <w:sz w:val="20"/>
          <w:szCs w:val="20"/>
        </w:rPr>
        <w:t xml:space="preserve"> </w:t>
      </w:r>
      <w:r>
        <w:rPr>
          <w:rFonts w:asciiTheme="majorBidi" w:hAnsiTheme="majorBidi" w:cstheme="majorBidi"/>
          <w:sz w:val="20"/>
          <w:szCs w:val="20"/>
        </w:rPr>
        <w:br/>
      </w:r>
      <m:oMath>
        <m:f>
          <m:fPr>
            <m:ctrlPr>
              <w:rPr>
                <w:rFonts w:ascii="Cambria Math" w:hAnsi="Cambria Math" w:cstheme="majorBidi"/>
                <w:i/>
                <w:sz w:val="20"/>
                <w:szCs w:val="20"/>
              </w:rPr>
            </m:ctrlPr>
          </m:fPr>
          <m:num>
            <m:r>
              <w:rPr>
                <w:rFonts w:ascii="Cambria Math" w:hAnsi="Cambria Math" w:cstheme="majorBidi"/>
                <w:sz w:val="20"/>
                <w:szCs w:val="20"/>
              </w:rPr>
              <m:t>t</m:t>
            </m:r>
          </m:num>
          <m:den>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t</m:t>
                </m:r>
              </m:sub>
            </m:sSub>
          </m:den>
        </m:f>
        <m:r>
          <w:rPr>
            <w:rFonts w:ascii="Cambria Math" w:hAnsi="Cambria Math" w:cstheme="majorBidi"/>
            <w:sz w:val="20"/>
            <w:szCs w:val="20"/>
          </w:rPr>
          <m:t xml:space="preserve">= </m:t>
        </m:r>
        <m:f>
          <m:fPr>
            <m:ctrlPr>
              <w:rPr>
                <w:rFonts w:ascii="Cambria Math" w:hAnsi="Cambria Math" w:cstheme="majorBidi"/>
                <w:i/>
                <w:sz w:val="20"/>
                <w:szCs w:val="20"/>
              </w:rPr>
            </m:ctrlPr>
          </m:fPr>
          <m:num>
            <m:r>
              <w:rPr>
                <w:rFonts w:ascii="Cambria Math" w:hAnsi="Cambria Math" w:cstheme="majorBidi"/>
                <w:sz w:val="20"/>
                <w:szCs w:val="20"/>
              </w:rPr>
              <m:t>1</m:t>
            </m:r>
          </m:num>
          <m:den>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2</m:t>
                </m:r>
              </m:sub>
            </m:sSub>
            <m:sSubSup>
              <m:sSubSupPr>
                <m:ctrlPr>
                  <w:rPr>
                    <w:rFonts w:ascii="Cambria Math" w:hAnsi="Cambria Math" w:cstheme="majorBidi"/>
                    <w:i/>
                    <w:sz w:val="20"/>
                    <w:szCs w:val="20"/>
                  </w:rPr>
                </m:ctrlPr>
              </m:sSubSupPr>
              <m:e>
                <m:r>
                  <w:rPr>
                    <w:rFonts w:ascii="Cambria Math" w:hAnsi="Cambria Math" w:cstheme="majorBidi"/>
                    <w:sz w:val="20"/>
                    <w:szCs w:val="20"/>
                  </w:rPr>
                  <m:t>q</m:t>
                </m:r>
              </m:e>
              <m:sub>
                <m:r>
                  <w:rPr>
                    <w:rFonts w:ascii="Cambria Math" w:hAnsi="Cambria Math" w:cstheme="majorBidi"/>
                    <w:sz w:val="20"/>
                    <w:szCs w:val="20"/>
                  </w:rPr>
                  <m:t>e</m:t>
                </m:r>
              </m:sub>
              <m:sup>
                <m:r>
                  <w:rPr>
                    <w:rFonts w:ascii="Cambria Math" w:hAnsi="Cambria Math" w:cstheme="majorBidi"/>
                    <w:sz w:val="20"/>
                    <w:szCs w:val="20"/>
                  </w:rPr>
                  <m:t>2</m:t>
                </m:r>
              </m:sup>
            </m:sSubSup>
            <m:r>
              <w:rPr>
                <w:rFonts w:ascii="Cambria Math" w:hAnsi="Cambria Math" w:cstheme="majorBidi"/>
                <w:sz w:val="20"/>
                <w:szCs w:val="20"/>
              </w:rPr>
              <m:t xml:space="preserve"> </m:t>
            </m:r>
          </m:den>
        </m:f>
        <m:r>
          <w:rPr>
            <w:rFonts w:ascii="Cambria Math" w:hAnsi="Cambria Math" w:cstheme="majorBidi"/>
            <w:sz w:val="20"/>
            <w:szCs w:val="20"/>
          </w:rPr>
          <m:t xml:space="preserve">+ </m:t>
        </m:r>
        <m:f>
          <m:fPr>
            <m:ctrlPr>
              <w:rPr>
                <w:rFonts w:ascii="Cambria Math" w:hAnsi="Cambria Math" w:cstheme="majorBidi"/>
                <w:i/>
                <w:sz w:val="20"/>
                <w:szCs w:val="20"/>
              </w:rPr>
            </m:ctrlPr>
          </m:fPr>
          <m:num>
            <m:r>
              <w:rPr>
                <w:rFonts w:ascii="Cambria Math" w:hAnsi="Cambria Math" w:cstheme="majorBidi"/>
                <w:sz w:val="20"/>
                <w:szCs w:val="20"/>
              </w:rPr>
              <m:t>t</m:t>
            </m:r>
          </m:num>
          <m:den>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e</m:t>
                </m:r>
              </m:sub>
            </m:sSub>
          </m:den>
        </m:f>
        <m:r>
          <w:rPr>
            <w:rFonts w:ascii="Cambria Math" w:hAnsi="Cambria Math" w:cstheme="majorBidi"/>
            <w:sz w:val="20"/>
            <w:szCs w:val="20"/>
          </w:rPr>
          <m:t xml:space="preserve">    </m:t>
        </m:r>
      </m:oMath>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r>
      <w:r w:rsidR="00055719">
        <w:rPr>
          <w:rFonts w:asciiTheme="majorBidi" w:hAnsiTheme="majorBidi" w:cstheme="majorBidi"/>
          <w:sz w:val="20"/>
          <w:szCs w:val="20"/>
        </w:rPr>
        <w:tab/>
        <w:t xml:space="preserve">   (5)</w:t>
      </w:r>
    </w:p>
    <w:p w14:paraId="2D088733" w14:textId="77777777" w:rsidR="00D037D1" w:rsidRDefault="006541D4">
      <w:pPr>
        <w:autoSpaceDE w:val="0"/>
        <w:autoSpaceDN w:val="0"/>
        <w:adjustRightInd w:val="0"/>
        <w:spacing w:after="240" w:line="240" w:lineRule="auto"/>
        <w:jc w:val="both"/>
        <w:rPr>
          <w:rFonts w:asciiTheme="majorBidi" w:hAnsiTheme="majorBidi" w:cstheme="majorBidi"/>
          <w:sz w:val="20"/>
          <w:szCs w:val="20"/>
        </w:rPr>
      </w:pPr>
      <w:r>
        <w:rPr>
          <w:rFonts w:asciiTheme="majorBidi" w:hAnsiTheme="majorBidi" w:cstheme="majorBidi"/>
          <w:sz w:val="20"/>
          <w:szCs w:val="20"/>
        </w:rPr>
        <w:t>Where k</w:t>
      </w:r>
      <w:r>
        <w:rPr>
          <w:rFonts w:asciiTheme="majorBidi" w:hAnsiTheme="majorBidi" w:cstheme="majorBidi"/>
          <w:sz w:val="20"/>
          <w:szCs w:val="20"/>
          <w:vertAlign w:val="subscript"/>
        </w:rPr>
        <w:t>2</w:t>
      </w:r>
      <w:r>
        <w:rPr>
          <w:rFonts w:asciiTheme="majorBidi" w:hAnsiTheme="majorBidi" w:cstheme="majorBidi"/>
          <w:sz w:val="20"/>
          <w:szCs w:val="20"/>
        </w:rPr>
        <w:t xml:space="preserve"> (g mg</w:t>
      </w:r>
      <w:r>
        <w:rPr>
          <w:rFonts w:asciiTheme="majorBidi" w:hAnsiTheme="majorBidi" w:cstheme="majorBidi"/>
          <w:sz w:val="20"/>
          <w:szCs w:val="20"/>
          <w:vertAlign w:val="superscript"/>
        </w:rPr>
        <w:t>-1</w:t>
      </w:r>
      <w:r>
        <w:rPr>
          <w:rFonts w:asciiTheme="majorBidi" w:hAnsiTheme="majorBidi" w:cstheme="majorBidi"/>
          <w:sz w:val="20"/>
          <w:szCs w:val="20"/>
        </w:rPr>
        <w:t>min</w:t>
      </w:r>
      <w:r>
        <w:rPr>
          <w:rFonts w:asciiTheme="majorBidi" w:hAnsiTheme="majorBidi" w:cstheme="majorBidi"/>
          <w:sz w:val="20"/>
          <w:szCs w:val="20"/>
          <w:vertAlign w:val="superscript"/>
        </w:rPr>
        <w:t>-1</w:t>
      </w:r>
      <w:r>
        <w:rPr>
          <w:rFonts w:asciiTheme="majorBidi" w:hAnsiTheme="majorBidi" w:cstheme="majorBidi"/>
          <w:sz w:val="20"/>
          <w:szCs w:val="20"/>
        </w:rPr>
        <w:t xml:space="preserve">) is the rate constant for the pseudo-second-order adsorption model. The linear relationship from the </w:t>
      </w:r>
      <m:oMath>
        <m:f>
          <m:fPr>
            <m:ctrlPr>
              <w:rPr>
                <w:rFonts w:ascii="Cambria Math" w:hAnsi="Cambria Math" w:cstheme="majorBidi"/>
                <w:i/>
                <w:sz w:val="20"/>
                <w:szCs w:val="20"/>
              </w:rPr>
            </m:ctrlPr>
          </m:fPr>
          <m:num>
            <m:r>
              <w:rPr>
                <w:rFonts w:ascii="Cambria Math" w:hAnsi="Cambria Math" w:cstheme="majorBidi"/>
                <w:sz w:val="20"/>
                <w:szCs w:val="20"/>
              </w:rPr>
              <m:t>t</m:t>
            </m:r>
          </m:num>
          <m:den>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t</m:t>
                </m:r>
              </m:sub>
            </m:sSub>
          </m:den>
        </m:f>
      </m:oMath>
      <w:r>
        <w:rPr>
          <w:rFonts w:asciiTheme="majorBidi" w:hAnsiTheme="majorBidi" w:cstheme="majorBidi"/>
          <w:sz w:val="20"/>
          <w:szCs w:val="20"/>
        </w:rPr>
        <w:t xml:space="preserve"> v</w:t>
      </w:r>
      <w:r>
        <w:rPr>
          <w:rFonts w:asciiTheme="majorBidi" w:hAnsiTheme="majorBidi" w:cstheme="majorBidi"/>
          <w:sz w:val="20"/>
          <w:szCs w:val="20"/>
          <w:lang w:val="en-MY"/>
        </w:rPr>
        <w:t>ersus</w:t>
      </w:r>
      <w:r>
        <w:rPr>
          <w:rFonts w:asciiTheme="majorBidi" w:hAnsiTheme="majorBidi" w:cstheme="majorBidi"/>
          <w:sz w:val="20"/>
          <w:szCs w:val="20"/>
        </w:rPr>
        <w:t xml:space="preserve"> t plot gives the values of </w:t>
      </w:r>
      <m:oMath>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e</m:t>
            </m:r>
          </m:sub>
        </m:sSub>
      </m:oMath>
      <w:r>
        <w:rPr>
          <w:rFonts w:asciiTheme="majorBidi" w:hAnsiTheme="majorBidi" w:cstheme="majorBidi"/>
          <w:sz w:val="20"/>
          <w:szCs w:val="20"/>
        </w:rPr>
        <w:t xml:space="preserve"> and k</w:t>
      </w:r>
      <w:r>
        <w:rPr>
          <w:rFonts w:asciiTheme="majorBidi" w:hAnsiTheme="majorBidi" w:cstheme="majorBidi"/>
          <w:sz w:val="20"/>
          <w:szCs w:val="20"/>
          <w:vertAlign w:val="subscript"/>
        </w:rPr>
        <w:t>2</w:t>
      </w:r>
      <w:r>
        <w:rPr>
          <w:rFonts w:asciiTheme="majorBidi" w:hAnsiTheme="majorBidi" w:cstheme="majorBidi"/>
          <w:sz w:val="20"/>
          <w:szCs w:val="20"/>
        </w:rPr>
        <w:t xml:space="preserve"> from the slope and intercept, respectively.</w:t>
      </w:r>
    </w:p>
    <w:p w14:paraId="58DDE00A" w14:textId="77777777" w:rsidR="00D037D1" w:rsidRDefault="006541D4" w:rsidP="00055719">
      <w:pPr>
        <w:pStyle w:val="Heading1"/>
        <w:spacing w:before="0" w:line="240" w:lineRule="auto"/>
        <w:jc w:val="center"/>
        <w:rPr>
          <w:rFonts w:ascii="Times New Roman" w:eastAsia="Calibri" w:hAnsi="Times New Roman"/>
          <w:color w:val="auto"/>
          <w:sz w:val="20"/>
          <w:szCs w:val="20"/>
        </w:rPr>
      </w:pPr>
      <w:bookmarkStart w:id="41" w:name="_Toc361606657"/>
      <w:bookmarkStart w:id="42" w:name="_Toc361714577"/>
      <w:bookmarkStart w:id="43" w:name="_Toc362167006"/>
      <w:bookmarkStart w:id="44" w:name="_Toc365535257"/>
      <w:r>
        <w:rPr>
          <w:rFonts w:ascii="Times New Roman" w:eastAsia="Calibri" w:hAnsi="Times New Roman"/>
          <w:color w:val="auto"/>
          <w:sz w:val="20"/>
          <w:szCs w:val="20"/>
        </w:rPr>
        <w:t>Results and Discussion</w:t>
      </w:r>
      <w:bookmarkStart w:id="45" w:name="_Toc362167007"/>
      <w:bookmarkStart w:id="46" w:name="_Toc361606658"/>
      <w:bookmarkStart w:id="47" w:name="_Toc361714578"/>
      <w:bookmarkStart w:id="48" w:name="_Toc365535258"/>
      <w:bookmarkEnd w:id="41"/>
      <w:bookmarkEnd w:id="42"/>
      <w:bookmarkEnd w:id="43"/>
      <w:bookmarkEnd w:id="44"/>
    </w:p>
    <w:p w14:paraId="52E8C59C" w14:textId="58B0DC25" w:rsidR="00D037D1" w:rsidRDefault="006541D4">
      <w:pPr>
        <w:pStyle w:val="Heading2"/>
      </w:pPr>
      <w:r>
        <w:t xml:space="preserve">The </w:t>
      </w:r>
      <w:r w:rsidR="00AB14EE">
        <w:t xml:space="preserve">initial levels of </w:t>
      </w:r>
      <w:r>
        <w:t xml:space="preserve">Pb(II) </w:t>
      </w:r>
      <w:r w:rsidR="00AB14EE">
        <w:t>in seaweed</w:t>
      </w:r>
      <w:bookmarkEnd w:id="45"/>
      <w:bookmarkEnd w:id="46"/>
      <w:bookmarkEnd w:id="47"/>
      <w:bookmarkEnd w:id="48"/>
    </w:p>
    <w:p w14:paraId="46F1D3AE" w14:textId="13FA6211" w:rsidR="00D037D1" w:rsidRDefault="006541D4">
      <w:pPr>
        <w:tabs>
          <w:tab w:val="left" w:pos="2070"/>
        </w:tabs>
        <w:autoSpaceDE w:val="0"/>
        <w:autoSpaceDN w:val="0"/>
        <w:adjustRightInd w:val="0"/>
        <w:spacing w:after="0" w:line="240" w:lineRule="auto"/>
        <w:jc w:val="both"/>
        <w:rPr>
          <w:rFonts w:ascii="Times New Roman" w:hAnsi="Times New Roman"/>
          <w:bCs/>
          <w:iCs/>
          <w:sz w:val="20"/>
          <w:szCs w:val="20"/>
          <w:u w:val="single"/>
        </w:rPr>
      </w:pPr>
      <w:r>
        <w:rPr>
          <w:rFonts w:ascii="Times New Roman" w:hAnsi="Times New Roman"/>
          <w:bCs/>
          <w:iCs/>
          <w:sz w:val="20"/>
          <w:szCs w:val="20"/>
          <w:lang w:val="en-MY"/>
        </w:rPr>
        <w:t xml:space="preserve">The </w:t>
      </w:r>
      <w:r>
        <w:rPr>
          <w:rFonts w:ascii="Times New Roman" w:hAnsi="Times New Roman"/>
          <w:bCs/>
          <w:iCs/>
          <w:sz w:val="20"/>
          <w:szCs w:val="20"/>
        </w:rPr>
        <w:t>initial concentration</w:t>
      </w:r>
      <w:r>
        <w:rPr>
          <w:rFonts w:ascii="Times New Roman" w:hAnsi="Times New Roman"/>
          <w:bCs/>
          <w:iCs/>
          <w:sz w:val="20"/>
          <w:szCs w:val="20"/>
          <w:lang w:val="en-MY"/>
        </w:rPr>
        <w:t xml:space="preserve"> of </w:t>
      </w:r>
      <w:r>
        <w:rPr>
          <w:rFonts w:ascii="Times New Roman" w:hAnsi="Times New Roman"/>
          <w:bCs/>
          <w:iCs/>
          <w:sz w:val="20"/>
          <w:szCs w:val="20"/>
        </w:rPr>
        <w:t xml:space="preserve">Pb (II) detected in </w:t>
      </w:r>
      <w:r>
        <w:rPr>
          <w:rFonts w:ascii="Times New Roman" w:hAnsi="Times New Roman"/>
          <w:bCs/>
          <w:i/>
          <w:iCs/>
          <w:sz w:val="20"/>
          <w:szCs w:val="20"/>
        </w:rPr>
        <w:t xml:space="preserve">E. </w:t>
      </w:r>
      <w:r>
        <w:rPr>
          <w:rFonts w:ascii="Times New Roman" w:hAnsi="Times New Roman" w:cs="Times New Roman"/>
          <w:bCs/>
          <w:i/>
          <w:iCs/>
          <w:sz w:val="20"/>
          <w:szCs w:val="20"/>
        </w:rPr>
        <w:t>denticulatum</w:t>
      </w:r>
      <w:r>
        <w:rPr>
          <w:rFonts w:ascii="Times New Roman" w:hAnsi="Times New Roman" w:cs="Times New Roman"/>
          <w:bCs/>
          <w:iCs/>
          <w:sz w:val="20"/>
          <w:szCs w:val="20"/>
        </w:rPr>
        <w:t xml:space="preserve"> was 0.084 μg/g. The</w:t>
      </w:r>
      <w:r>
        <w:rPr>
          <w:rFonts w:ascii="Times New Roman" w:hAnsi="Times New Roman"/>
          <w:bCs/>
          <w:iCs/>
          <w:sz w:val="20"/>
          <w:szCs w:val="20"/>
        </w:rPr>
        <w:t xml:space="preserve"> results indicate that only trace amounts of Pb(II) were present in the </w:t>
      </w:r>
      <w:r>
        <w:rPr>
          <w:rFonts w:ascii="Times New Roman" w:hAnsi="Times New Roman"/>
          <w:bCs/>
          <w:i/>
          <w:sz w:val="20"/>
          <w:szCs w:val="20"/>
        </w:rPr>
        <w:t>E. denticulatum</w:t>
      </w:r>
      <w:r>
        <w:rPr>
          <w:rFonts w:ascii="Times New Roman" w:hAnsi="Times New Roman"/>
          <w:bCs/>
          <w:iCs/>
          <w:sz w:val="20"/>
          <w:szCs w:val="20"/>
        </w:rPr>
        <w:t xml:space="preserve"> samples. The lead levels in Zanzibar</w:t>
      </w:r>
      <w:r>
        <w:rPr>
          <w:rFonts w:ascii="Times New Roman" w:hAnsi="Times New Roman"/>
          <w:bCs/>
          <w:iCs/>
          <w:sz w:val="20"/>
          <w:szCs w:val="20"/>
          <w:lang w:val="en-MY"/>
        </w:rPr>
        <w:t>’s</w:t>
      </w:r>
      <w:r>
        <w:rPr>
          <w:rFonts w:ascii="Times New Roman" w:hAnsi="Times New Roman"/>
          <w:bCs/>
          <w:iCs/>
          <w:sz w:val="20"/>
          <w:szCs w:val="20"/>
        </w:rPr>
        <w:t xml:space="preserve"> coastal areas range from 228 to 1150 ppm [41]. </w:t>
      </w:r>
      <w:r>
        <w:rPr>
          <w:rFonts w:ascii="Times New Roman" w:hAnsi="Times New Roman"/>
          <w:bCs/>
          <w:iCs/>
          <w:sz w:val="20"/>
          <w:szCs w:val="20"/>
          <w:lang w:val="en-MY"/>
        </w:rPr>
        <w:t>It was surmised</w:t>
      </w:r>
      <w:r>
        <w:rPr>
          <w:rFonts w:ascii="Times New Roman" w:hAnsi="Times New Roman"/>
          <w:bCs/>
          <w:iCs/>
          <w:sz w:val="20"/>
          <w:szCs w:val="20"/>
        </w:rPr>
        <w:t xml:space="preserve"> that the trace value might be attributed to the anthropogenic sources and/or </w:t>
      </w:r>
      <w:r>
        <w:rPr>
          <w:rFonts w:ascii="Times New Roman" w:hAnsi="Times New Roman"/>
          <w:bCs/>
          <w:iCs/>
          <w:sz w:val="20"/>
          <w:szCs w:val="20"/>
          <w:lang w:val="en-MY"/>
        </w:rPr>
        <w:t xml:space="preserve">the </w:t>
      </w:r>
      <w:r>
        <w:rPr>
          <w:rFonts w:ascii="Times New Roman" w:hAnsi="Times New Roman"/>
          <w:bCs/>
          <w:iCs/>
          <w:sz w:val="20"/>
          <w:szCs w:val="20"/>
        </w:rPr>
        <w:t>natural background value</w:t>
      </w:r>
      <w:r>
        <w:rPr>
          <w:rFonts w:ascii="Times New Roman" w:hAnsi="Times New Roman"/>
          <w:bCs/>
          <w:iCs/>
          <w:sz w:val="20"/>
          <w:szCs w:val="20"/>
          <w:u w:val="single"/>
        </w:rPr>
        <w:t xml:space="preserve">. </w:t>
      </w:r>
    </w:p>
    <w:p w14:paraId="4652842A" w14:textId="10349FB5" w:rsidR="00D037D1" w:rsidRDefault="006541D4">
      <w:pPr>
        <w:pStyle w:val="Heading2"/>
      </w:pPr>
      <w:bookmarkStart w:id="49" w:name="_Toc365535259"/>
      <w:bookmarkStart w:id="50" w:name="_Toc362167008"/>
      <w:bookmarkStart w:id="51" w:name="_Toc361714579"/>
      <w:r>
        <w:t xml:space="preserve">Optimum pH </w:t>
      </w:r>
      <w:r w:rsidR="00AB14EE">
        <w:t xml:space="preserve">for the biosorption of </w:t>
      </w:r>
      <w:r>
        <w:t>Pb(II)</w:t>
      </w:r>
      <w:bookmarkEnd w:id="49"/>
      <w:bookmarkEnd w:id="50"/>
      <w:bookmarkEnd w:id="51"/>
    </w:p>
    <w:p w14:paraId="66A523CF" w14:textId="251E881A"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 xml:space="preserve">The solution pH plays a vital role in controlling </w:t>
      </w:r>
      <w:r>
        <w:rPr>
          <w:rFonts w:ascii="Times New Roman" w:hAnsi="Times New Roman"/>
          <w:bCs/>
          <w:iCs/>
          <w:sz w:val="20"/>
          <w:szCs w:val="20"/>
          <w:lang w:val="en-MY"/>
        </w:rPr>
        <w:t xml:space="preserve">the </w:t>
      </w:r>
      <w:r>
        <w:rPr>
          <w:rFonts w:ascii="Times New Roman" w:hAnsi="Times New Roman"/>
          <w:bCs/>
          <w:iCs/>
          <w:sz w:val="20"/>
          <w:szCs w:val="20"/>
        </w:rPr>
        <w:t xml:space="preserve">metal ions biosorption of metal ions from aqueous solutions [42]. The findings presented in Figure 3 indicate that </w:t>
      </w:r>
      <w:r>
        <w:rPr>
          <w:rFonts w:ascii="Times New Roman" w:hAnsi="Times New Roman"/>
          <w:bCs/>
          <w:iCs/>
          <w:sz w:val="20"/>
          <w:szCs w:val="20"/>
          <w:lang w:val="en-MY"/>
        </w:rPr>
        <w:t xml:space="preserve">the </w:t>
      </w:r>
      <w:r>
        <w:rPr>
          <w:rFonts w:ascii="Times New Roman" w:hAnsi="Times New Roman"/>
          <w:bCs/>
          <w:iCs/>
          <w:sz w:val="20"/>
          <w:szCs w:val="20"/>
        </w:rPr>
        <w:t xml:space="preserve">removal of Pb(II) was low in an acidic medium (pH </w:t>
      </w:r>
      <w:r>
        <w:rPr>
          <w:rFonts w:ascii="Times New Roman" w:hAnsi="Times New Roman" w:cs="Times New Roman"/>
          <w:bCs/>
          <w:iCs/>
          <w:sz w:val="20"/>
          <w:szCs w:val="20"/>
        </w:rPr>
        <w:t xml:space="preserve">&lt; </w:t>
      </w:r>
      <w:r>
        <w:rPr>
          <w:rFonts w:ascii="Times New Roman" w:hAnsi="Times New Roman"/>
          <w:bCs/>
          <w:iCs/>
          <w:sz w:val="20"/>
          <w:szCs w:val="20"/>
        </w:rPr>
        <w:t xml:space="preserve">4). As pH increased, the metal uptake also increased until pH 4. Afterwards (beyond pH </w:t>
      </w:r>
      <w:r>
        <w:rPr>
          <w:rFonts w:ascii="Times New Roman" w:hAnsi="Times New Roman" w:cs="Times New Roman"/>
          <w:bCs/>
          <w:iCs/>
          <w:sz w:val="20"/>
          <w:szCs w:val="20"/>
        </w:rPr>
        <w:t>&gt; 4)</w:t>
      </w:r>
      <w:r>
        <w:rPr>
          <w:rFonts w:ascii="Times New Roman" w:hAnsi="Times New Roman"/>
          <w:bCs/>
          <w:iCs/>
          <w:sz w:val="20"/>
          <w:szCs w:val="20"/>
        </w:rPr>
        <w:t xml:space="preserve">, it showed a rapid decline. At low pH, </w:t>
      </w:r>
      <w:r>
        <w:rPr>
          <w:rFonts w:ascii="Times New Roman" w:hAnsi="Times New Roman"/>
          <w:bCs/>
          <w:iCs/>
          <w:sz w:val="20"/>
          <w:szCs w:val="20"/>
          <w:lang w:val="en-MY"/>
        </w:rPr>
        <w:t xml:space="preserve">the </w:t>
      </w:r>
      <w:r>
        <w:rPr>
          <w:rFonts w:ascii="Times New Roman" w:hAnsi="Times New Roman"/>
          <w:bCs/>
          <w:iCs/>
          <w:sz w:val="20"/>
          <w:szCs w:val="20"/>
        </w:rPr>
        <w:t xml:space="preserve">biosorption capacity </w:t>
      </w:r>
      <w:r>
        <w:rPr>
          <w:rFonts w:ascii="Times New Roman" w:hAnsi="Times New Roman"/>
          <w:bCs/>
          <w:iCs/>
          <w:sz w:val="20"/>
          <w:szCs w:val="20"/>
          <w:lang w:val="en-MY"/>
        </w:rPr>
        <w:t>wa</w:t>
      </w:r>
      <w:r>
        <w:rPr>
          <w:rFonts w:ascii="Times New Roman" w:hAnsi="Times New Roman"/>
          <w:bCs/>
          <w:iCs/>
          <w:sz w:val="20"/>
          <w:szCs w:val="20"/>
        </w:rPr>
        <w:t>s low due to the competition for binding sites on the biomass surface between the H</w:t>
      </w:r>
      <w:r>
        <w:rPr>
          <w:rFonts w:ascii="Times New Roman" w:hAnsi="Times New Roman"/>
          <w:bCs/>
          <w:iCs/>
          <w:sz w:val="20"/>
          <w:szCs w:val="20"/>
          <w:vertAlign w:val="superscript"/>
        </w:rPr>
        <w:t xml:space="preserve">+ </w:t>
      </w:r>
      <w:r>
        <w:rPr>
          <w:rFonts w:ascii="Times New Roman" w:hAnsi="Times New Roman"/>
          <w:bCs/>
          <w:iCs/>
          <w:sz w:val="20"/>
          <w:szCs w:val="20"/>
        </w:rPr>
        <w:t>ions and the metal ions [43,</w:t>
      </w:r>
      <w:r w:rsidR="00AB14EE">
        <w:rPr>
          <w:rFonts w:ascii="Times New Roman" w:hAnsi="Times New Roman"/>
          <w:bCs/>
          <w:iCs/>
          <w:sz w:val="20"/>
          <w:szCs w:val="20"/>
        </w:rPr>
        <w:t xml:space="preserve"> </w:t>
      </w:r>
      <w:r>
        <w:rPr>
          <w:rFonts w:ascii="Times New Roman" w:hAnsi="Times New Roman"/>
          <w:bCs/>
          <w:iCs/>
          <w:sz w:val="20"/>
          <w:szCs w:val="20"/>
        </w:rPr>
        <w:t xml:space="preserve">44]. Therefore, repulsive forces between the metal ions and the protonated biomass cell wall </w:t>
      </w:r>
      <w:r>
        <w:rPr>
          <w:rFonts w:ascii="Times New Roman" w:hAnsi="Times New Roman"/>
          <w:bCs/>
          <w:iCs/>
          <w:sz w:val="20"/>
          <w:szCs w:val="20"/>
          <w:lang w:val="en-MY"/>
        </w:rPr>
        <w:t xml:space="preserve">prevent </w:t>
      </w:r>
      <w:r>
        <w:rPr>
          <w:rFonts w:ascii="Times New Roman" w:hAnsi="Times New Roman"/>
          <w:bCs/>
          <w:iCs/>
          <w:sz w:val="20"/>
          <w:szCs w:val="20"/>
        </w:rPr>
        <w:t xml:space="preserve">the metal ions from approaching the cell wall [38]. </w:t>
      </w:r>
      <w:r>
        <w:rPr>
          <w:rFonts w:ascii="Times New Roman" w:hAnsi="Times New Roman"/>
          <w:bCs/>
          <w:iCs/>
          <w:sz w:val="20"/>
          <w:szCs w:val="20"/>
          <w:lang w:val="en-MY"/>
        </w:rPr>
        <w:t>However</w:t>
      </w:r>
      <w:r>
        <w:rPr>
          <w:rFonts w:ascii="Times New Roman" w:hAnsi="Times New Roman"/>
          <w:bCs/>
          <w:iCs/>
          <w:sz w:val="20"/>
          <w:szCs w:val="20"/>
        </w:rPr>
        <w:t>, as pH increased, the concentration of H</w:t>
      </w:r>
      <w:r>
        <w:rPr>
          <w:rFonts w:ascii="Times New Roman" w:hAnsi="Times New Roman"/>
          <w:bCs/>
          <w:iCs/>
          <w:sz w:val="20"/>
          <w:szCs w:val="20"/>
          <w:vertAlign w:val="superscript"/>
        </w:rPr>
        <w:t>+</w:t>
      </w:r>
      <w:r>
        <w:rPr>
          <w:rFonts w:ascii="Times New Roman" w:hAnsi="Times New Roman"/>
          <w:bCs/>
          <w:iCs/>
          <w:sz w:val="20"/>
          <w:szCs w:val="20"/>
        </w:rPr>
        <w:t xml:space="preserve"> ions declined. The biomass became more negatively charged, resulting in the electrostatic attraction of the positive charge metal ions. Therefore, biosorption </w:t>
      </w:r>
      <w:r>
        <w:rPr>
          <w:rFonts w:ascii="Times New Roman" w:hAnsi="Times New Roman"/>
          <w:bCs/>
          <w:iCs/>
          <w:sz w:val="20"/>
          <w:szCs w:val="20"/>
          <w:lang w:val="en-MY"/>
        </w:rPr>
        <w:t xml:space="preserve">rose </w:t>
      </w:r>
      <w:r>
        <w:rPr>
          <w:rFonts w:ascii="Times New Roman" w:hAnsi="Times New Roman"/>
          <w:bCs/>
          <w:iCs/>
          <w:sz w:val="20"/>
          <w:szCs w:val="20"/>
        </w:rPr>
        <w:t>to its maximum point [45,</w:t>
      </w:r>
      <w:r w:rsidR="00AB14EE">
        <w:rPr>
          <w:rFonts w:ascii="Times New Roman" w:hAnsi="Times New Roman"/>
          <w:bCs/>
          <w:iCs/>
          <w:sz w:val="20"/>
          <w:szCs w:val="20"/>
        </w:rPr>
        <w:t xml:space="preserve"> </w:t>
      </w:r>
      <w:r>
        <w:rPr>
          <w:rFonts w:ascii="Times New Roman" w:hAnsi="Times New Roman"/>
          <w:bCs/>
          <w:iCs/>
          <w:sz w:val="20"/>
          <w:szCs w:val="20"/>
        </w:rPr>
        <w:t>46,</w:t>
      </w:r>
      <w:r w:rsidR="00AB14EE">
        <w:rPr>
          <w:rFonts w:ascii="Times New Roman" w:hAnsi="Times New Roman"/>
          <w:bCs/>
          <w:iCs/>
          <w:sz w:val="20"/>
          <w:szCs w:val="20"/>
        </w:rPr>
        <w:t xml:space="preserve"> </w:t>
      </w:r>
      <w:r>
        <w:rPr>
          <w:rFonts w:ascii="Times New Roman" w:hAnsi="Times New Roman"/>
          <w:bCs/>
          <w:iCs/>
          <w:sz w:val="20"/>
          <w:szCs w:val="20"/>
        </w:rPr>
        <w:t xml:space="preserve">47] before </w:t>
      </w:r>
      <w:r>
        <w:rPr>
          <w:rFonts w:ascii="Times New Roman" w:hAnsi="Times New Roman"/>
          <w:bCs/>
          <w:iCs/>
          <w:sz w:val="20"/>
          <w:szCs w:val="20"/>
          <w:lang w:val="en-MY"/>
        </w:rPr>
        <w:t xml:space="preserve">the </w:t>
      </w:r>
      <w:r>
        <w:rPr>
          <w:rFonts w:ascii="Times New Roman" w:hAnsi="Times New Roman"/>
          <w:bCs/>
          <w:iCs/>
          <w:sz w:val="20"/>
          <w:szCs w:val="20"/>
        </w:rPr>
        <w:t xml:space="preserve">precipitation of metal hydroxides </w:t>
      </w:r>
      <w:r>
        <w:rPr>
          <w:rFonts w:ascii="Times New Roman" w:hAnsi="Times New Roman"/>
          <w:bCs/>
          <w:iCs/>
          <w:sz w:val="20"/>
          <w:szCs w:val="20"/>
          <w:lang w:val="en-MY"/>
        </w:rPr>
        <w:t xml:space="preserve">occurred </w:t>
      </w:r>
      <w:r>
        <w:rPr>
          <w:rFonts w:ascii="Times New Roman" w:hAnsi="Times New Roman"/>
          <w:bCs/>
          <w:iCs/>
          <w:sz w:val="20"/>
          <w:szCs w:val="20"/>
        </w:rPr>
        <w:t>at higher pH due to</w:t>
      </w:r>
      <w:r>
        <w:rPr>
          <w:rFonts w:ascii="Times New Roman" w:hAnsi="Times New Roman"/>
          <w:bCs/>
          <w:iCs/>
          <w:sz w:val="20"/>
          <w:szCs w:val="20"/>
          <w:lang w:val="en-MY"/>
        </w:rPr>
        <w:t xml:space="preserve"> the</w:t>
      </w:r>
      <w:r>
        <w:rPr>
          <w:rFonts w:ascii="Times New Roman" w:hAnsi="Times New Roman"/>
          <w:bCs/>
          <w:iCs/>
          <w:sz w:val="20"/>
          <w:szCs w:val="20"/>
        </w:rPr>
        <w:t xml:space="preserve"> high OH</w:t>
      </w:r>
      <w:r>
        <w:rPr>
          <w:rFonts w:ascii="Times New Roman" w:hAnsi="Times New Roman"/>
          <w:bCs/>
          <w:iCs/>
          <w:sz w:val="20"/>
          <w:szCs w:val="20"/>
          <w:vertAlign w:val="superscript"/>
        </w:rPr>
        <w:t>-</w:t>
      </w:r>
      <w:r>
        <w:rPr>
          <w:rFonts w:ascii="Times New Roman" w:hAnsi="Times New Roman"/>
          <w:bCs/>
          <w:iCs/>
          <w:sz w:val="20"/>
          <w:szCs w:val="20"/>
        </w:rPr>
        <w:t xml:space="preserve"> ion concentration</w:t>
      </w:r>
      <w:r>
        <w:rPr>
          <w:rFonts w:ascii="Times New Roman" w:hAnsi="Times New Roman"/>
          <w:bCs/>
          <w:iCs/>
          <w:sz w:val="20"/>
          <w:szCs w:val="20"/>
          <w:lang w:val="en-MY"/>
        </w:rPr>
        <w:t>. This</w:t>
      </w:r>
      <w:r>
        <w:rPr>
          <w:rFonts w:ascii="Times New Roman" w:hAnsi="Times New Roman"/>
          <w:bCs/>
          <w:iCs/>
          <w:sz w:val="20"/>
          <w:szCs w:val="20"/>
        </w:rPr>
        <w:t xml:space="preserve"> result</w:t>
      </w:r>
      <w:r>
        <w:rPr>
          <w:rFonts w:ascii="Times New Roman" w:hAnsi="Times New Roman"/>
          <w:bCs/>
          <w:iCs/>
          <w:sz w:val="20"/>
          <w:szCs w:val="20"/>
          <w:lang w:val="en-MY"/>
        </w:rPr>
        <w:t>ed</w:t>
      </w:r>
      <w:r>
        <w:rPr>
          <w:rFonts w:ascii="Times New Roman" w:hAnsi="Times New Roman"/>
          <w:bCs/>
          <w:iCs/>
          <w:sz w:val="20"/>
          <w:szCs w:val="20"/>
        </w:rPr>
        <w:t xml:space="preserve"> in </w:t>
      </w:r>
      <w:r>
        <w:rPr>
          <w:rFonts w:ascii="Times New Roman" w:hAnsi="Times New Roman"/>
          <w:bCs/>
          <w:iCs/>
          <w:sz w:val="20"/>
          <w:szCs w:val="20"/>
          <w:lang w:val="en-MY"/>
        </w:rPr>
        <w:t xml:space="preserve">a </w:t>
      </w:r>
      <w:r>
        <w:rPr>
          <w:rFonts w:ascii="Times New Roman" w:hAnsi="Times New Roman"/>
          <w:bCs/>
          <w:iCs/>
          <w:sz w:val="20"/>
          <w:szCs w:val="20"/>
        </w:rPr>
        <w:t>declin</w:t>
      </w:r>
      <w:r>
        <w:rPr>
          <w:rFonts w:ascii="Times New Roman" w:hAnsi="Times New Roman"/>
          <w:bCs/>
          <w:iCs/>
          <w:sz w:val="20"/>
          <w:szCs w:val="20"/>
          <w:lang w:val="en-MY"/>
        </w:rPr>
        <w:t>e</w:t>
      </w:r>
      <w:r>
        <w:rPr>
          <w:rFonts w:ascii="Times New Roman" w:hAnsi="Times New Roman"/>
          <w:bCs/>
          <w:iCs/>
          <w:sz w:val="20"/>
          <w:szCs w:val="20"/>
        </w:rPr>
        <w:t xml:space="preserve"> </w:t>
      </w:r>
      <w:r>
        <w:rPr>
          <w:rFonts w:ascii="Times New Roman" w:hAnsi="Times New Roman"/>
          <w:bCs/>
          <w:iCs/>
          <w:sz w:val="20"/>
          <w:szCs w:val="20"/>
          <w:lang w:val="en-MY"/>
        </w:rPr>
        <w:t xml:space="preserve">in </w:t>
      </w:r>
      <w:r>
        <w:rPr>
          <w:rFonts w:ascii="Times New Roman" w:hAnsi="Times New Roman"/>
          <w:bCs/>
          <w:iCs/>
          <w:sz w:val="20"/>
          <w:szCs w:val="20"/>
        </w:rPr>
        <w:t xml:space="preserve">uptake capacity [48] and the electrostatic repulsion between </w:t>
      </w:r>
      <w:r>
        <w:rPr>
          <w:rFonts w:ascii="Times New Roman" w:hAnsi="Times New Roman"/>
          <w:bCs/>
          <w:iCs/>
          <w:sz w:val="20"/>
          <w:szCs w:val="20"/>
          <w:lang w:val="en-MY"/>
        </w:rPr>
        <w:t xml:space="preserve">the </w:t>
      </w:r>
      <w:r>
        <w:rPr>
          <w:rFonts w:ascii="Times New Roman" w:hAnsi="Times New Roman"/>
          <w:bCs/>
          <w:iCs/>
          <w:sz w:val="20"/>
          <w:szCs w:val="20"/>
        </w:rPr>
        <w:t xml:space="preserve">negatively charged anionic species in the solution [49]. This study revealed that the adsorption rate of Pb(II) ions was optimum at pH 4 </w:t>
      </w:r>
      <w:r>
        <w:rPr>
          <w:rFonts w:ascii="Times New Roman" w:hAnsi="Times New Roman"/>
          <w:bCs/>
          <w:iCs/>
          <w:sz w:val="20"/>
          <w:szCs w:val="20"/>
          <w:lang w:val="en-MY"/>
        </w:rPr>
        <w:t xml:space="preserve">and </w:t>
      </w:r>
      <w:r>
        <w:rPr>
          <w:rFonts w:ascii="Times New Roman" w:hAnsi="Times New Roman"/>
          <w:bCs/>
          <w:iCs/>
          <w:sz w:val="20"/>
          <w:szCs w:val="20"/>
        </w:rPr>
        <w:t xml:space="preserve">with a concentration of 4.7 mg/g. Therefore, the findings suggest </w:t>
      </w:r>
      <w:r>
        <w:rPr>
          <w:rFonts w:ascii="Times New Roman" w:hAnsi="Times New Roman"/>
          <w:bCs/>
          <w:iCs/>
          <w:sz w:val="20"/>
          <w:szCs w:val="20"/>
          <w:lang w:val="en-MY"/>
        </w:rPr>
        <w:t xml:space="preserve">that </w:t>
      </w:r>
      <w:r>
        <w:rPr>
          <w:rFonts w:ascii="Times New Roman" w:hAnsi="Times New Roman"/>
          <w:bCs/>
          <w:iCs/>
          <w:sz w:val="20"/>
          <w:szCs w:val="20"/>
        </w:rPr>
        <w:t xml:space="preserve">pH 4 is the </w:t>
      </w:r>
      <w:r>
        <w:rPr>
          <w:rFonts w:ascii="Times New Roman" w:hAnsi="Times New Roman"/>
          <w:bCs/>
          <w:iCs/>
          <w:sz w:val="20"/>
          <w:szCs w:val="20"/>
          <w:lang w:val="en-MY"/>
        </w:rPr>
        <w:t xml:space="preserve">most effective </w:t>
      </w:r>
      <w:r>
        <w:rPr>
          <w:rFonts w:ascii="Times New Roman" w:hAnsi="Times New Roman"/>
          <w:bCs/>
          <w:iCs/>
          <w:sz w:val="20"/>
          <w:szCs w:val="20"/>
        </w:rPr>
        <w:t xml:space="preserve">pH </w:t>
      </w:r>
      <w:r>
        <w:rPr>
          <w:rFonts w:ascii="Times New Roman" w:hAnsi="Times New Roman"/>
          <w:bCs/>
          <w:iCs/>
          <w:sz w:val="20"/>
          <w:szCs w:val="20"/>
          <w:lang w:val="en-MY"/>
        </w:rPr>
        <w:t xml:space="preserve">to use </w:t>
      </w:r>
      <w:r>
        <w:rPr>
          <w:rFonts w:ascii="Times New Roman" w:hAnsi="Times New Roman"/>
          <w:bCs/>
          <w:iCs/>
          <w:sz w:val="20"/>
          <w:szCs w:val="20"/>
        </w:rPr>
        <w:t>for Pb (II) biosorption</w:t>
      </w:r>
      <w:r>
        <w:rPr>
          <w:rFonts w:ascii="Times New Roman" w:hAnsi="Times New Roman"/>
          <w:bCs/>
          <w:iCs/>
          <w:sz w:val="20"/>
          <w:szCs w:val="20"/>
          <w:lang w:val="en-MY"/>
        </w:rPr>
        <w:t>,</w:t>
      </w:r>
      <w:r>
        <w:rPr>
          <w:rFonts w:ascii="Times New Roman" w:hAnsi="Times New Roman"/>
          <w:bCs/>
          <w:iCs/>
          <w:sz w:val="20"/>
          <w:szCs w:val="20"/>
        </w:rPr>
        <w:t xml:space="preserve"> </w:t>
      </w:r>
      <w:r>
        <w:rPr>
          <w:rFonts w:ascii="Times New Roman" w:hAnsi="Times New Roman"/>
          <w:bCs/>
          <w:iCs/>
          <w:sz w:val="20"/>
          <w:szCs w:val="20"/>
          <w:lang w:val="en-MY"/>
        </w:rPr>
        <w:t xml:space="preserve">based on </w:t>
      </w:r>
      <w:r>
        <w:rPr>
          <w:rFonts w:ascii="Times New Roman" w:hAnsi="Times New Roman"/>
          <w:bCs/>
          <w:iCs/>
          <w:sz w:val="20"/>
          <w:szCs w:val="20"/>
        </w:rPr>
        <w:t>the range investigated (Fig</w:t>
      </w:r>
      <w:r>
        <w:rPr>
          <w:rFonts w:ascii="Times New Roman" w:hAnsi="Times New Roman"/>
          <w:bCs/>
          <w:iCs/>
          <w:sz w:val="20"/>
          <w:szCs w:val="20"/>
          <w:lang w:val="en-MY"/>
        </w:rPr>
        <w:t>ure 3</w:t>
      </w:r>
      <w:r>
        <w:rPr>
          <w:rFonts w:ascii="Times New Roman" w:hAnsi="Times New Roman"/>
          <w:bCs/>
          <w:iCs/>
          <w:sz w:val="20"/>
          <w:szCs w:val="20"/>
        </w:rPr>
        <w:t>).</w:t>
      </w:r>
    </w:p>
    <w:p w14:paraId="063E0E16" w14:textId="1627A273"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lastRenderedPageBreak/>
        <w:t xml:space="preserve">Various biosorption studies employing algal biomass have </w:t>
      </w:r>
      <w:r>
        <w:rPr>
          <w:rFonts w:ascii="Times New Roman" w:hAnsi="Times New Roman"/>
          <w:bCs/>
          <w:iCs/>
          <w:sz w:val="20"/>
          <w:szCs w:val="20"/>
          <w:lang w:val="en-MY"/>
        </w:rPr>
        <w:t xml:space="preserve">demonstrated </w:t>
      </w:r>
      <w:r>
        <w:rPr>
          <w:rFonts w:ascii="Times New Roman" w:hAnsi="Times New Roman"/>
          <w:bCs/>
          <w:iCs/>
          <w:sz w:val="20"/>
          <w:szCs w:val="20"/>
        </w:rPr>
        <w:t>similar results (</w:t>
      </w:r>
      <w:r>
        <w:rPr>
          <w:rFonts w:ascii="Times New Roman" w:hAnsi="Times New Roman"/>
          <w:bCs/>
          <w:iCs/>
          <w:sz w:val="20"/>
          <w:szCs w:val="20"/>
          <w:lang w:val="en-MY"/>
        </w:rPr>
        <w:t xml:space="preserve">that </w:t>
      </w:r>
      <w:r>
        <w:rPr>
          <w:rFonts w:ascii="Times New Roman" w:hAnsi="Times New Roman"/>
          <w:bCs/>
          <w:iCs/>
          <w:sz w:val="20"/>
          <w:szCs w:val="20"/>
        </w:rPr>
        <w:t xml:space="preserve">pH 4 </w:t>
      </w:r>
      <w:r>
        <w:rPr>
          <w:rFonts w:ascii="Times New Roman" w:hAnsi="Times New Roman"/>
          <w:bCs/>
          <w:iCs/>
          <w:sz w:val="20"/>
          <w:szCs w:val="20"/>
          <w:lang w:val="en-MY"/>
        </w:rPr>
        <w:t>i</w:t>
      </w:r>
      <w:r>
        <w:rPr>
          <w:rFonts w:ascii="Times New Roman" w:hAnsi="Times New Roman"/>
          <w:bCs/>
          <w:iCs/>
          <w:sz w:val="20"/>
          <w:szCs w:val="20"/>
        </w:rPr>
        <w:t xml:space="preserve">s </w:t>
      </w:r>
      <w:r>
        <w:rPr>
          <w:rFonts w:ascii="Times New Roman" w:hAnsi="Times New Roman"/>
          <w:bCs/>
          <w:iCs/>
          <w:sz w:val="20"/>
          <w:szCs w:val="20"/>
          <w:lang w:val="en-MY"/>
        </w:rPr>
        <w:t>the</w:t>
      </w:r>
      <w:r>
        <w:rPr>
          <w:rFonts w:ascii="Times New Roman" w:hAnsi="Times New Roman"/>
          <w:bCs/>
          <w:iCs/>
          <w:sz w:val="20"/>
          <w:szCs w:val="20"/>
        </w:rPr>
        <w:t xml:space="preserve"> optimum pH). These include </w:t>
      </w:r>
      <w:r>
        <w:rPr>
          <w:rFonts w:ascii="Times New Roman" w:hAnsi="Times New Roman"/>
          <w:bCs/>
          <w:iCs/>
          <w:sz w:val="20"/>
          <w:szCs w:val="20"/>
        </w:rPr>
        <w:fldChar w:fldCharType="begin" w:fldLock="1"/>
      </w:r>
      <w:r>
        <w:rPr>
          <w:rFonts w:ascii="Times New Roman" w:hAnsi="Times New Roman"/>
          <w:bCs/>
          <w:iCs/>
          <w:sz w:val="20"/>
          <w:szCs w:val="20"/>
        </w:rPr>
        <w:instrText>ADDIN CSL_CITATION {"citationItems":[{"id":"ITEM-1","itemData":{"DOI":"10.1016/j.jhazmat.2010.09.108","ISSN":"03043894","PMID":"21035261","abstract":"Chondracanthus chamissoi is an efficient biosorbent for Pb(II) and Cd(II). The sorption efficiency increases with pH and reaches an optimum around pH 4. Maximum sorption capacity reaches 1.37mmolPbg-1 and 0.76mmolCdg-1. The biosorbent has a marked preference for Pb(II) over Cd(II), though insufficient for separating these metals by a simple sorption step. The uptake kinetics is controlled by the resistance to intraparticle diffusion with a limited impact of particle size, metal concentration and sorbent dosage. In the present case, grinding the biomass does not improve sorption capacity and uptake kinetics. The sorption of metal ions is probably due to their interaction with carrageenan (one of the main constituents of the biosorbent): sulfonic groups (on the sulfated polysaccharide) have a higher affinity for Pb(II) than for Cd(II) according to HSAB rules. © 2010 Elsevier B.V.","author":[{"dropping-particle":"","family":"Yipmantin","given":"Andrea","non-dropping-particle":"","parse-names":false,"suffix":""},{"dropping-particle":"","family":"Maldonado","given":"Holger J.","non-dropping-particle":"","parse-names":false,"suffix":""},{"dropping-particle":"","family":"Ly","given":"Martha","non-dropping-particle":"","parse-names":false,"suffix":""},{"dropping-particle":"","family":"Taulemesse","given":"Jean Marie","non-dropping-particle":"","parse-names":false,"suffix":""},{"dropping-particle":"","family":"Guibal","given":"Eric","non-dropping-particle":"","parse-names":false,"suffix":""}],"container-title":"Journal of Hazardous Materials","id":"ITEM-1","issue":"2-3","issued":{"date-parts":[["2011"]]},"page":"922-929","publisher":"Elsevier B.V.","title":"Pb(II) and Cd(II) biosorption on Chondracanthus chamissoi (a red alga)","type":"article-journal","volume":"185"},"uris":["http://www.mendeley.com/documents/?uuid=85ca7898-5b38-46e7-bc23-5ee48c8b38d7"]}],"mendeley":{"formattedCitation":"(Yipmantin et al., 2011)","manualFormatting":"(Yipmantin et al., ","plainTextFormattedCitation":"(Yipmantin et al., 2011)","previouslyFormattedCitation":"(Yipmantin et al., 2011)"},"properties":{"noteIndex":0},"schema":"https://github.com/citation-style-language/schema/raw/master/csl-citation.json"}</w:instrText>
      </w:r>
      <w:r>
        <w:rPr>
          <w:rFonts w:ascii="Times New Roman" w:hAnsi="Times New Roman"/>
          <w:bCs/>
          <w:iCs/>
          <w:sz w:val="20"/>
          <w:szCs w:val="20"/>
        </w:rPr>
        <w:fldChar w:fldCharType="separate"/>
      </w:r>
      <w:r>
        <w:rPr>
          <w:rFonts w:ascii="Times New Roman" w:hAnsi="Times New Roman"/>
          <w:bCs/>
          <w:iCs/>
          <w:sz w:val="20"/>
          <w:szCs w:val="20"/>
          <w:lang w:val="en-MY"/>
        </w:rPr>
        <w:t xml:space="preserve">the works by </w:t>
      </w:r>
      <w:r>
        <w:rPr>
          <w:rFonts w:ascii="Times New Roman" w:hAnsi="Times New Roman"/>
          <w:bCs/>
          <w:iCs/>
          <w:sz w:val="20"/>
          <w:szCs w:val="20"/>
        </w:rPr>
        <w:t xml:space="preserve">Yipmantin et al. </w:t>
      </w:r>
      <w:r>
        <w:rPr>
          <w:rFonts w:ascii="Times New Roman" w:hAnsi="Times New Roman"/>
          <w:bCs/>
          <w:iCs/>
          <w:sz w:val="20"/>
          <w:szCs w:val="20"/>
        </w:rPr>
        <w:fldChar w:fldCharType="end"/>
      </w:r>
      <w:r>
        <w:rPr>
          <w:rFonts w:ascii="Times New Roman" w:hAnsi="Times New Roman"/>
          <w:bCs/>
          <w:iCs/>
          <w:sz w:val="20"/>
          <w:szCs w:val="20"/>
        </w:rPr>
        <w:t xml:space="preserve">[50] using </w:t>
      </w:r>
      <w:r>
        <w:rPr>
          <w:rFonts w:ascii="Times New Roman" w:hAnsi="Times New Roman"/>
          <w:bCs/>
          <w:i/>
          <w:sz w:val="20"/>
          <w:szCs w:val="20"/>
        </w:rPr>
        <w:t>Chondracanthus</w:t>
      </w:r>
      <w:r>
        <w:rPr>
          <w:rFonts w:ascii="Times New Roman" w:hAnsi="Times New Roman"/>
          <w:bCs/>
          <w:iCs/>
          <w:sz w:val="20"/>
          <w:szCs w:val="20"/>
        </w:rPr>
        <w:t xml:space="preserve"> (red alga); </w:t>
      </w:r>
      <w:r>
        <w:rPr>
          <w:rFonts w:ascii="Times New Roman" w:hAnsi="Times New Roman"/>
          <w:bCs/>
          <w:iCs/>
          <w:sz w:val="20"/>
          <w:szCs w:val="20"/>
        </w:rPr>
        <w:fldChar w:fldCharType="begin" w:fldLock="1"/>
      </w:r>
      <w:r>
        <w:rPr>
          <w:rFonts w:ascii="Times New Roman" w:hAnsi="Times New Roman"/>
          <w:bCs/>
          <w:iCs/>
          <w:sz w:val="20"/>
          <w:szCs w:val="20"/>
        </w:rPr>
        <w:instrText xml:space="preserve">ADDIN CSL_CITATION {"citationItems":[{"id":"ITEM-1","itemData":{"DOI":"10.1007/s12257-011-0578-5","ISSN":"12268372","abstract":"Heavy metal ions (Pb2+, Cd2+, Mn2+, Cu2+, and Cr2O72-) were biosorbed by brown seaweeds (Hizikia fusiformis, Laminaria japonica, and Undaria pinnatifida) collected from the southern coast of South Korea. The biosorption of heavy metal ions was pH-dependent showing a minimum absorption at pH 2 and a maximum biosorption at pH 4 (Pb2+, Cd2+, Mn2+, and Cr2O72-) or pH 6 (Cu2+). Biosorption increased most noticeably for pH changes from 2 to 3. In the latter pH range, biosorption increased, because a higher pH decreased the electrostatic repulsion between metal ions and functional groups on the seaweed. In the pH range of 2 </w:instrText>
      </w:r>
      <w:r>
        <w:rPr>
          <w:rFonts w:ascii="Cambria Math" w:hAnsi="Cambria Math" w:cs="Cambria Math"/>
          <w:bCs/>
          <w:iCs/>
          <w:sz w:val="20"/>
          <w:szCs w:val="20"/>
        </w:rPr>
        <w:instrText>∼</w:instrText>
      </w:r>
      <w:r>
        <w:rPr>
          <w:rFonts w:ascii="Times New Roman" w:hAnsi="Times New Roman"/>
          <w:bCs/>
          <w:iCs/>
          <w:sz w:val="20"/>
          <w:szCs w:val="20"/>
        </w:rPr>
        <w:instrText xml:space="preserve"> 4, biosorption of negativelycharged chromium species (Cr 2O7-2) followed the pattern of positively-charged metal ions (Pb2+, Cd2+, Mn 2+, and Cu2+). This suggests that the most prevalent chromium species were positively-charged Cr3+, reduced from Cr 6+ in Cr2O7-2. Whereas positively-charged heavy metal ions (Pb2+, Cd2+, Mn 2+, and Cu2+) reached a plateau after the maximum level, biosorption of chromium ions decreased noticeably between pH 5 and 8. Kinetic data showed that biosorption by brown seaweed occurred rapidly during the first 10 min, and most of the heavy metals were bound to the seaweed within 30 min. Equilibrium adsorption data for a lead ion could fit well in the Langmuir and Freundlich isotherm models with regression coefficients (R2) between 0.93 and 0.98. © The Korean Society for Biotechnology and Bioengineering and Springer 2012.","author":[{"dropping-particle":"","family":"Lee","given":"Seung Hoon","non-dropping-particle":"","parse-names":false,"suffix":""},{"dropping-particle":"","family":"Park","given":"Chang Ho","non-dropping-particle":"","parse-names":false,"suffix":""}],"container-title":"Biotechnology and Bioprocess Engineering","id":"ITEM-1","issue":"4","issued":{"date-parts":[["2012"]]},"page":"853-861","title":"Biosorption of heavy metal ions by brown seaweeds from southern coast of Korea","type":"article-journal","volume":"17"},"uris":["http://www.mendeley.com/documents/?uuid=0fda944d-7fc2-4174-9038-2d2ad7cfe564"]}],"mendeley":{"formattedCitation":"(Lee &amp; Park, 2012)","manualFormatting":"(Lee &amp; Park, ","plainTextFormattedCitation":"(Lee &amp; Park, 2012)","previouslyFormattedCitation":"(Lee &amp; Park, 2012)"},"properties":{"noteIndex":0},"schema":"https://github.com/citation-style-language/schema/raw/master/csl-citation.json"}</w:instrText>
      </w:r>
      <w:r>
        <w:rPr>
          <w:rFonts w:ascii="Times New Roman" w:hAnsi="Times New Roman"/>
          <w:bCs/>
          <w:iCs/>
          <w:sz w:val="20"/>
          <w:szCs w:val="20"/>
        </w:rPr>
        <w:fldChar w:fldCharType="separate"/>
      </w:r>
      <w:r>
        <w:rPr>
          <w:rFonts w:ascii="Times New Roman" w:hAnsi="Times New Roman"/>
          <w:bCs/>
          <w:iCs/>
          <w:sz w:val="20"/>
          <w:szCs w:val="20"/>
        </w:rPr>
        <w:t xml:space="preserve">Lee </w:t>
      </w:r>
      <w:r>
        <w:rPr>
          <w:rFonts w:ascii="Times New Roman" w:hAnsi="Times New Roman"/>
          <w:bCs/>
          <w:iCs/>
          <w:sz w:val="20"/>
          <w:szCs w:val="20"/>
          <w:lang w:val="en-MY"/>
        </w:rPr>
        <w:t>and</w:t>
      </w:r>
      <w:r>
        <w:rPr>
          <w:rFonts w:ascii="Times New Roman" w:hAnsi="Times New Roman"/>
          <w:bCs/>
          <w:iCs/>
          <w:sz w:val="20"/>
          <w:szCs w:val="20"/>
        </w:rPr>
        <w:t xml:space="preserve"> Park, </w:t>
      </w:r>
      <w:r>
        <w:rPr>
          <w:rFonts w:ascii="Times New Roman" w:hAnsi="Times New Roman"/>
          <w:bCs/>
          <w:iCs/>
          <w:sz w:val="20"/>
          <w:szCs w:val="20"/>
        </w:rPr>
        <w:fldChar w:fldCharType="end"/>
      </w:r>
      <w:r>
        <w:rPr>
          <w:rFonts w:ascii="Times New Roman" w:hAnsi="Times New Roman"/>
          <w:bCs/>
          <w:iCs/>
          <w:sz w:val="20"/>
          <w:szCs w:val="20"/>
        </w:rPr>
        <w:t xml:space="preserve">[51] using brown seaweeds; </w:t>
      </w:r>
      <w:r>
        <w:rPr>
          <w:rFonts w:ascii="Times New Roman" w:hAnsi="Times New Roman"/>
          <w:bCs/>
          <w:iCs/>
          <w:sz w:val="20"/>
          <w:szCs w:val="20"/>
          <w:lang w:val="en-MY"/>
        </w:rPr>
        <w:t xml:space="preserve">and </w:t>
      </w:r>
      <w:r>
        <w:rPr>
          <w:rFonts w:ascii="Times New Roman" w:hAnsi="Times New Roman"/>
          <w:bCs/>
          <w:iCs/>
          <w:sz w:val="20"/>
          <w:szCs w:val="20"/>
        </w:rPr>
        <w:fldChar w:fldCharType="begin" w:fldLock="1"/>
      </w:r>
      <w:r>
        <w:rPr>
          <w:rFonts w:ascii="Times New Roman" w:hAnsi="Times New Roman"/>
          <w:bCs/>
          <w:iCs/>
          <w:sz w:val="20"/>
          <w:szCs w:val="20"/>
        </w:rPr>
        <w:instrText>ADDIN CSL_CITATION {"citationItems":[{"id":"ITEM-1","itemData":{"DOI":"10.1080/02757540.2011.607439","ISSN":"02757540","abstract":"The use of algae (Ulva fasciata, green and Sargassum sp., brown) to reduce lead and cadmium levels from mono-metal solutions was investigated. The brown algae showed higher efficiency for the accumulation of lead (~1.5 times) and cadmium (~2 times) than green algae. The optimum pH value is found to be between 4 and 5.5. Regarding biomass concentration, an increase in metals percentage removal and a decrease in metal uptake capacity coincided with the increase in biomass concentration. All light metals (Ca, Mg and Na) showed a suppressive effect on biosorption capacity. The enhancement of biosorption in the case of NaOH was obvious. The biosorption process (65-90%) occurred within 3 min. Experimental data were in high agreement with the pseudo-second-order kinetic model and Freundlich model for lead and cadmium biosorption using different biosorbents. In the desorption study, 0.2 mol·L -1 HCl recorded the best concentration for the elution of metals from the biomass. The biosorption capacity decreased over the four operational cycles for both lead and cadmium. Infrared analysis showed that amino, hydroxyl and carboxyl functional groups provide the major biosorption sites for metal binding. Use of the above-mentioned algae for cheap metal absorbance is considered as one water treatment criterion. © 2011 Copyright Taylor and Francis Group, LLC.","author":[{"dropping-particle":"","family":"Nessim","given":"Ramzy B.","non-dropping-particle":"","parse-names":false,"suffix":""},{"dropping-particle":"","family":"Bassiouny","given":"Ahmad R.","non-dropping-particle":"","parse-names":false,"suffix":""},{"dropping-particle":"","family":"Zaki","given":"Hermine R.","non-dropping-particle":"","parse-names":false,"suffix":""},{"dropping-particle":"","family":"Moawad","given":"Madelyn N.","non-dropping-particle":"","parse-names":false,"suffix":""},{"dropping-particle":"","family":"Kandeel","given":"Kamal M.","non-dropping-particle":"","parse-names":false,"suffix":""}],"container-title":"Chemistry and Ecology","id":"ITEM-1","issue":"6","issued":{"date-parts":[["2011"]]},"page":"579-594","title":"Biosorption of lead and cadmium using marine algae","type":"article-journal","volume":"27"},"uris":["http://www.mendeley.com/documents/?uuid=6e8b61c7-d37f-40fb-9965-f3f68c92fc0c"]}],"mendeley":{"formattedCitation":"(Nessim et al., 2011)","manualFormatting":"(Nessim et al., ","plainTextFormattedCitation":"(Nessim et al., 2011)","previouslyFormattedCitation":"(Nessim et al., 2011)"},"properties":{"noteIndex":0},"schema":"https://github.com/citation-style-language/schema/raw/master/csl-citation.json"}</w:instrText>
      </w:r>
      <w:r>
        <w:rPr>
          <w:rFonts w:ascii="Times New Roman" w:hAnsi="Times New Roman"/>
          <w:bCs/>
          <w:iCs/>
          <w:sz w:val="20"/>
          <w:szCs w:val="20"/>
        </w:rPr>
        <w:fldChar w:fldCharType="separate"/>
      </w:r>
      <w:r>
        <w:rPr>
          <w:rFonts w:ascii="Times New Roman" w:hAnsi="Times New Roman"/>
          <w:bCs/>
          <w:iCs/>
          <w:sz w:val="20"/>
          <w:szCs w:val="20"/>
        </w:rPr>
        <w:t xml:space="preserve">Nessim et al. </w:t>
      </w:r>
      <w:r>
        <w:rPr>
          <w:rFonts w:ascii="Times New Roman" w:hAnsi="Times New Roman"/>
          <w:bCs/>
          <w:iCs/>
          <w:sz w:val="20"/>
          <w:szCs w:val="20"/>
        </w:rPr>
        <w:fldChar w:fldCharType="end"/>
      </w:r>
      <w:r>
        <w:rPr>
          <w:rFonts w:ascii="Times New Roman" w:hAnsi="Times New Roman"/>
          <w:bCs/>
          <w:iCs/>
          <w:sz w:val="20"/>
          <w:szCs w:val="20"/>
        </w:rPr>
        <w:t xml:space="preserve"> [52] using </w:t>
      </w:r>
      <w:r>
        <w:rPr>
          <w:rFonts w:ascii="Times New Roman" w:hAnsi="Times New Roman"/>
          <w:bCs/>
          <w:i/>
          <w:sz w:val="20"/>
          <w:szCs w:val="20"/>
        </w:rPr>
        <w:t>Ulva fasciata</w:t>
      </w:r>
      <w:r>
        <w:rPr>
          <w:rFonts w:ascii="Times New Roman" w:hAnsi="Times New Roman"/>
          <w:bCs/>
          <w:iCs/>
          <w:sz w:val="20"/>
          <w:szCs w:val="20"/>
        </w:rPr>
        <w:t xml:space="preserve">, green seaweed and </w:t>
      </w:r>
      <w:r>
        <w:rPr>
          <w:rFonts w:ascii="Times New Roman" w:hAnsi="Times New Roman"/>
          <w:bCs/>
          <w:i/>
          <w:sz w:val="20"/>
          <w:szCs w:val="20"/>
        </w:rPr>
        <w:t>Sargassum sp</w:t>
      </w:r>
      <w:r>
        <w:rPr>
          <w:rFonts w:ascii="Times New Roman" w:hAnsi="Times New Roman"/>
          <w:bCs/>
          <w:iCs/>
          <w:sz w:val="20"/>
          <w:szCs w:val="20"/>
        </w:rPr>
        <w:t>., brown seaweed.</w:t>
      </w:r>
    </w:p>
    <w:p w14:paraId="15AF28E1" w14:textId="77777777" w:rsidR="00D037D1" w:rsidRDefault="006541D4">
      <w:pPr>
        <w:tabs>
          <w:tab w:val="left" w:pos="2070"/>
        </w:tabs>
        <w:autoSpaceDE w:val="0"/>
        <w:autoSpaceDN w:val="0"/>
        <w:adjustRightInd w:val="0"/>
        <w:spacing w:after="0" w:line="240" w:lineRule="auto"/>
        <w:jc w:val="center"/>
        <w:rPr>
          <w:rFonts w:ascii="Times New Roman" w:hAnsi="Times New Roman"/>
          <w:b/>
          <w:bCs/>
          <w:i/>
          <w:iCs/>
          <w:sz w:val="20"/>
          <w:szCs w:val="20"/>
        </w:rPr>
      </w:pPr>
      <w:r>
        <w:rPr>
          <w:rFonts w:ascii="Times New Roman" w:hAnsi="Times New Roman"/>
          <w:noProof/>
          <w:sz w:val="20"/>
          <w:szCs w:val="20"/>
        </w:rPr>
        <w:drawing>
          <wp:inline distT="0" distB="0" distL="0" distR="0" wp14:anchorId="1836CF9A" wp14:editId="54A77D14">
            <wp:extent cx="3623945" cy="2486660"/>
            <wp:effectExtent l="0" t="0" r="14605" b="8890"/>
            <wp:docPr id="8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BFECC4" w14:textId="2BB8F8A5" w:rsidR="00D037D1" w:rsidRDefault="006541D4">
      <w:pPr>
        <w:pStyle w:val="Heading2"/>
        <w:jc w:val="center"/>
        <w:rPr>
          <w:rStyle w:val="Heading2Char"/>
          <w:lang w:val="en-MY"/>
        </w:rPr>
      </w:pPr>
      <w:bookmarkStart w:id="52" w:name="_Toc364110500"/>
      <w:bookmarkStart w:id="53" w:name="_Toc365535261"/>
      <w:bookmarkStart w:id="54" w:name="_Toc364107194"/>
      <w:bookmarkStart w:id="55" w:name="_Toc364109749"/>
      <w:r>
        <w:rPr>
          <w:b w:val="0"/>
        </w:rPr>
        <w:t xml:space="preserve">Figure 3. </w:t>
      </w:r>
      <w:r>
        <w:rPr>
          <w:rStyle w:val="Heading2Char"/>
        </w:rPr>
        <w:t xml:space="preserve">Variation of Pb(II) uptake of </w:t>
      </w:r>
      <w:r>
        <w:rPr>
          <w:rStyle w:val="Heading2Char"/>
          <w:i/>
          <w:iCs/>
        </w:rPr>
        <w:t xml:space="preserve">E. denticulatum </w:t>
      </w:r>
      <w:r>
        <w:rPr>
          <w:rStyle w:val="Heading2Char"/>
        </w:rPr>
        <w:t>with pH</w:t>
      </w:r>
      <w:bookmarkStart w:id="56" w:name="_Toc364110502"/>
      <w:bookmarkStart w:id="57" w:name="_Toc365535263"/>
      <w:bookmarkStart w:id="58" w:name="_Toc364107196"/>
      <w:bookmarkStart w:id="59" w:name="_Toc364109751"/>
      <w:bookmarkEnd w:id="52"/>
      <w:bookmarkEnd w:id="53"/>
      <w:bookmarkEnd w:id="54"/>
      <w:bookmarkEnd w:id="55"/>
    </w:p>
    <w:p w14:paraId="0CEB21C7" w14:textId="3BAAF541" w:rsidR="00D037D1" w:rsidRDefault="006541D4">
      <w:pPr>
        <w:pStyle w:val="Heading2"/>
        <w:rPr>
          <w:bCs/>
        </w:rPr>
      </w:pPr>
      <w:bookmarkStart w:id="60" w:name="_Toc362167010"/>
      <w:bookmarkStart w:id="61" w:name="_Toc361714580"/>
      <w:bookmarkStart w:id="62" w:name="_Toc365535264"/>
      <w:bookmarkEnd w:id="56"/>
      <w:bookmarkEnd w:id="57"/>
      <w:bookmarkEnd w:id="58"/>
      <w:bookmarkEnd w:id="59"/>
      <w:r>
        <w:t xml:space="preserve">Optimum </w:t>
      </w:r>
      <w:r w:rsidR="00AB14EE">
        <w:t xml:space="preserve">contact time for </w:t>
      </w:r>
      <w:r>
        <w:t xml:space="preserve">Pb(II) </w:t>
      </w:r>
      <w:r w:rsidR="00AB14EE">
        <w:t>b</w:t>
      </w:r>
      <w:r>
        <w:t xml:space="preserve">iosorption </w:t>
      </w:r>
      <w:bookmarkEnd w:id="60"/>
      <w:bookmarkEnd w:id="61"/>
      <w:bookmarkEnd w:id="62"/>
    </w:p>
    <w:p w14:paraId="337B8B76" w14:textId="288F9468"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 xml:space="preserve">The metal ions biosorption in aqueous solutions is highly influenced by contact time, as shown in Figure 4. The results </w:t>
      </w:r>
      <w:r>
        <w:rPr>
          <w:rFonts w:ascii="Times New Roman" w:hAnsi="Times New Roman"/>
          <w:bCs/>
          <w:iCs/>
          <w:sz w:val="20"/>
          <w:szCs w:val="20"/>
          <w:lang w:val="en-MY"/>
        </w:rPr>
        <w:t>from</w:t>
      </w:r>
      <w:r>
        <w:rPr>
          <w:rFonts w:ascii="Times New Roman" w:hAnsi="Times New Roman"/>
          <w:bCs/>
          <w:iCs/>
          <w:sz w:val="20"/>
          <w:szCs w:val="20"/>
        </w:rPr>
        <w:t xml:space="preserve"> this research study demonstrated that Pb(II) uptake onto </w:t>
      </w:r>
      <w:r>
        <w:rPr>
          <w:rFonts w:ascii="Times New Roman" w:hAnsi="Times New Roman"/>
          <w:bCs/>
          <w:i/>
          <w:iCs/>
          <w:sz w:val="20"/>
          <w:szCs w:val="20"/>
        </w:rPr>
        <w:t>E. denticulatum</w:t>
      </w:r>
      <w:r>
        <w:rPr>
          <w:rFonts w:ascii="Times New Roman" w:hAnsi="Times New Roman"/>
          <w:bCs/>
          <w:iCs/>
          <w:sz w:val="20"/>
          <w:szCs w:val="20"/>
        </w:rPr>
        <w:t xml:space="preserve"> increased with longer contact time</w:t>
      </w:r>
      <w:r>
        <w:rPr>
          <w:rFonts w:ascii="Times New Roman" w:hAnsi="Times New Roman"/>
          <w:bCs/>
          <w:iCs/>
          <w:sz w:val="20"/>
          <w:szCs w:val="20"/>
          <w:lang w:val="en-MY"/>
        </w:rPr>
        <w:t>s</w:t>
      </w:r>
      <w:r>
        <w:rPr>
          <w:rFonts w:ascii="Times New Roman" w:hAnsi="Times New Roman"/>
          <w:bCs/>
          <w:iCs/>
          <w:sz w:val="20"/>
          <w:szCs w:val="20"/>
        </w:rPr>
        <w:t xml:space="preserve">. Initially, during the first 20 minutes, there was a rapid Pb (II) uptake and </w:t>
      </w:r>
      <w:r>
        <w:rPr>
          <w:rFonts w:ascii="Times New Roman" w:hAnsi="Times New Roman"/>
          <w:bCs/>
          <w:iCs/>
          <w:sz w:val="20"/>
          <w:szCs w:val="20"/>
          <w:lang w:val="en-MY"/>
        </w:rPr>
        <w:t xml:space="preserve">a </w:t>
      </w:r>
      <w:r>
        <w:rPr>
          <w:rFonts w:ascii="Times New Roman" w:hAnsi="Times New Roman"/>
          <w:bCs/>
          <w:iCs/>
          <w:sz w:val="20"/>
          <w:szCs w:val="20"/>
        </w:rPr>
        <w:t xml:space="preserve">gradual increase until equilibrium at 120 minutes. </w:t>
      </w:r>
      <w:r>
        <w:rPr>
          <w:rFonts w:ascii="Times New Roman" w:hAnsi="Times New Roman"/>
          <w:bCs/>
          <w:iCs/>
          <w:sz w:val="20"/>
          <w:szCs w:val="20"/>
          <w:lang w:val="en-MY"/>
        </w:rPr>
        <w:t>Meanwhile,</w:t>
      </w:r>
      <w:r>
        <w:rPr>
          <w:rFonts w:ascii="Times New Roman" w:hAnsi="Times New Roman"/>
          <w:bCs/>
          <w:iCs/>
          <w:sz w:val="20"/>
          <w:szCs w:val="20"/>
        </w:rPr>
        <w:t xml:space="preserve"> no further changes in biosorption were noticed beyond 120 minutes. Thus</w:t>
      </w:r>
      <w:r>
        <w:rPr>
          <w:rFonts w:ascii="Times New Roman" w:hAnsi="Times New Roman"/>
          <w:bCs/>
          <w:iCs/>
          <w:sz w:val="20"/>
          <w:szCs w:val="20"/>
          <w:lang w:val="en-MY"/>
        </w:rPr>
        <w:t>,</w:t>
      </w:r>
      <w:r>
        <w:rPr>
          <w:rFonts w:ascii="Times New Roman" w:hAnsi="Times New Roman"/>
          <w:bCs/>
          <w:iCs/>
          <w:sz w:val="20"/>
          <w:szCs w:val="20"/>
        </w:rPr>
        <w:t xml:space="preserve"> 120 minutes </w:t>
      </w:r>
      <w:r>
        <w:rPr>
          <w:rFonts w:ascii="Times New Roman" w:hAnsi="Times New Roman"/>
          <w:bCs/>
          <w:iCs/>
          <w:sz w:val="20"/>
          <w:szCs w:val="20"/>
          <w:lang w:val="en-MY"/>
        </w:rPr>
        <w:t xml:space="preserve">can be </w:t>
      </w:r>
      <w:r>
        <w:rPr>
          <w:rFonts w:ascii="Times New Roman" w:hAnsi="Times New Roman"/>
          <w:bCs/>
          <w:iCs/>
          <w:sz w:val="20"/>
          <w:szCs w:val="20"/>
        </w:rPr>
        <w:t>consider</w:t>
      </w:r>
      <w:r>
        <w:rPr>
          <w:rFonts w:ascii="Times New Roman" w:hAnsi="Times New Roman"/>
          <w:bCs/>
          <w:iCs/>
          <w:sz w:val="20"/>
          <w:szCs w:val="20"/>
          <w:lang w:val="en-MY"/>
        </w:rPr>
        <w:t>ed</w:t>
      </w:r>
      <w:r>
        <w:rPr>
          <w:rFonts w:ascii="Times New Roman" w:hAnsi="Times New Roman"/>
          <w:bCs/>
          <w:iCs/>
          <w:sz w:val="20"/>
          <w:szCs w:val="20"/>
        </w:rPr>
        <w:t xml:space="preserve"> the ideal contact time </w:t>
      </w:r>
      <w:r>
        <w:rPr>
          <w:rFonts w:ascii="Times New Roman" w:hAnsi="Times New Roman"/>
          <w:bCs/>
          <w:iCs/>
          <w:sz w:val="20"/>
          <w:szCs w:val="20"/>
          <w:lang w:val="en-MY"/>
        </w:rPr>
        <w:t xml:space="preserve">in </w:t>
      </w:r>
      <w:r>
        <w:rPr>
          <w:rFonts w:ascii="Times New Roman" w:hAnsi="Times New Roman"/>
          <w:bCs/>
          <w:iCs/>
          <w:sz w:val="20"/>
          <w:szCs w:val="20"/>
        </w:rPr>
        <w:t>other biosorption experiments</w:t>
      </w:r>
      <w:r>
        <w:rPr>
          <w:rFonts w:ascii="Times New Roman" w:hAnsi="Times New Roman"/>
          <w:bCs/>
          <w:sz w:val="20"/>
          <w:szCs w:val="20"/>
        </w:rPr>
        <w:t>.</w:t>
      </w:r>
      <w:r>
        <w:rPr>
          <w:rFonts w:ascii="Times New Roman" w:hAnsi="Times New Roman"/>
          <w:bCs/>
          <w:iCs/>
          <w:sz w:val="20"/>
          <w:szCs w:val="20"/>
        </w:rPr>
        <w:t xml:space="preserve"> </w:t>
      </w:r>
    </w:p>
    <w:p w14:paraId="25A2023D" w14:textId="71D28DDA"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 xml:space="preserve">The sharp increase in biosorption during the early stage was likely due to the high solute concentration gradient [53] and the availability of vacant active sites on the biomass surface. Thus, </w:t>
      </w:r>
      <w:r>
        <w:rPr>
          <w:rFonts w:ascii="Times New Roman" w:hAnsi="Times New Roman"/>
          <w:bCs/>
          <w:iCs/>
          <w:sz w:val="20"/>
          <w:szCs w:val="20"/>
          <w:lang w:val="en-MY"/>
        </w:rPr>
        <w:t xml:space="preserve">the </w:t>
      </w:r>
      <w:r>
        <w:rPr>
          <w:rFonts w:ascii="Times New Roman" w:hAnsi="Times New Roman"/>
          <w:bCs/>
          <w:iCs/>
          <w:sz w:val="20"/>
          <w:szCs w:val="20"/>
        </w:rPr>
        <w:t>adsorption of metal ions took place on these sites [54,</w:t>
      </w:r>
      <w:r w:rsidR="00AB14EE">
        <w:rPr>
          <w:rFonts w:ascii="Times New Roman" w:hAnsi="Times New Roman"/>
          <w:bCs/>
          <w:iCs/>
          <w:sz w:val="20"/>
          <w:szCs w:val="20"/>
        </w:rPr>
        <w:t xml:space="preserve"> </w:t>
      </w:r>
      <w:r>
        <w:rPr>
          <w:rFonts w:ascii="Times New Roman" w:hAnsi="Times New Roman"/>
          <w:bCs/>
          <w:iCs/>
          <w:sz w:val="20"/>
          <w:szCs w:val="20"/>
        </w:rPr>
        <w:t xml:space="preserve">55]. In the subsequent stages, the metal removal declined because the active sites </w:t>
      </w:r>
      <w:r>
        <w:rPr>
          <w:rFonts w:ascii="Times New Roman" w:hAnsi="Times New Roman"/>
          <w:bCs/>
          <w:iCs/>
          <w:sz w:val="20"/>
          <w:szCs w:val="20"/>
          <w:lang w:val="en-MY"/>
        </w:rPr>
        <w:t xml:space="preserve">were </w:t>
      </w:r>
      <w:r>
        <w:rPr>
          <w:rFonts w:ascii="Times New Roman" w:hAnsi="Times New Roman"/>
          <w:bCs/>
          <w:iCs/>
          <w:sz w:val="20"/>
          <w:szCs w:val="20"/>
        </w:rPr>
        <w:t xml:space="preserve">gradually occupied [56] and </w:t>
      </w:r>
      <w:r>
        <w:rPr>
          <w:rFonts w:ascii="Times New Roman" w:hAnsi="Times New Roman"/>
          <w:bCs/>
          <w:iCs/>
          <w:sz w:val="20"/>
          <w:szCs w:val="20"/>
          <w:lang w:val="en-MY"/>
        </w:rPr>
        <w:t xml:space="preserve">there was </w:t>
      </w:r>
      <w:r>
        <w:rPr>
          <w:rFonts w:ascii="Times New Roman" w:hAnsi="Times New Roman"/>
          <w:bCs/>
          <w:iCs/>
          <w:sz w:val="20"/>
          <w:szCs w:val="20"/>
        </w:rPr>
        <w:t xml:space="preserve">difficulty occupying the residual binding spots due to </w:t>
      </w:r>
      <w:r>
        <w:rPr>
          <w:rFonts w:ascii="Times New Roman" w:hAnsi="Times New Roman"/>
          <w:bCs/>
          <w:iCs/>
          <w:sz w:val="20"/>
          <w:szCs w:val="20"/>
          <w:lang w:val="en-MY"/>
        </w:rPr>
        <w:t xml:space="preserve">the </w:t>
      </w:r>
      <w:r>
        <w:rPr>
          <w:rFonts w:ascii="Times New Roman" w:hAnsi="Times New Roman"/>
          <w:bCs/>
          <w:iCs/>
          <w:sz w:val="20"/>
          <w:szCs w:val="20"/>
        </w:rPr>
        <w:t xml:space="preserve">forces between </w:t>
      </w:r>
      <w:r>
        <w:rPr>
          <w:rFonts w:ascii="Times New Roman" w:hAnsi="Times New Roman"/>
          <w:bCs/>
          <w:iCs/>
          <w:sz w:val="20"/>
          <w:szCs w:val="20"/>
          <w:lang w:val="en-MY"/>
        </w:rPr>
        <w:t xml:space="preserve">the </w:t>
      </w:r>
      <w:r>
        <w:rPr>
          <w:rFonts w:ascii="Times New Roman" w:hAnsi="Times New Roman"/>
          <w:bCs/>
          <w:iCs/>
          <w:sz w:val="20"/>
          <w:szCs w:val="20"/>
        </w:rPr>
        <w:t>solid and bulk phases [57,</w:t>
      </w:r>
      <w:r w:rsidR="00AB14EE">
        <w:rPr>
          <w:rFonts w:ascii="Times New Roman" w:hAnsi="Times New Roman"/>
          <w:bCs/>
          <w:iCs/>
          <w:sz w:val="20"/>
          <w:szCs w:val="20"/>
        </w:rPr>
        <w:t xml:space="preserve"> </w:t>
      </w:r>
      <w:r>
        <w:rPr>
          <w:rFonts w:ascii="Times New Roman" w:hAnsi="Times New Roman"/>
          <w:bCs/>
          <w:iCs/>
          <w:sz w:val="20"/>
          <w:szCs w:val="20"/>
        </w:rPr>
        <w:t>58].</w:t>
      </w:r>
    </w:p>
    <w:p w14:paraId="533CA5DE" w14:textId="3598EAEB"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 xml:space="preserve">Several biosorption studies have demonstrated that metal ions adsorption employing algal biomass attained maximum adsorption in the interval between 60 </w:t>
      </w:r>
      <w:r>
        <w:rPr>
          <w:rFonts w:ascii="Times New Roman" w:hAnsi="Times New Roman"/>
          <w:bCs/>
          <w:iCs/>
          <w:sz w:val="20"/>
          <w:szCs w:val="20"/>
          <w:lang w:val="en-MY"/>
        </w:rPr>
        <w:t>and</w:t>
      </w:r>
      <w:r>
        <w:rPr>
          <w:rFonts w:ascii="Times New Roman" w:hAnsi="Times New Roman"/>
          <w:bCs/>
          <w:iCs/>
          <w:sz w:val="20"/>
          <w:szCs w:val="20"/>
        </w:rPr>
        <w:t xml:space="preserve"> 120 min. These include </w:t>
      </w:r>
      <w:r>
        <w:rPr>
          <w:rFonts w:ascii="Times New Roman" w:hAnsi="Times New Roman"/>
          <w:bCs/>
          <w:iCs/>
          <w:sz w:val="20"/>
          <w:szCs w:val="20"/>
          <w:lang w:val="en-MY"/>
        </w:rPr>
        <w:t xml:space="preserve">the works of </w:t>
      </w:r>
      <w:r>
        <w:rPr>
          <w:rFonts w:ascii="Times New Roman" w:hAnsi="Times New Roman"/>
          <w:bCs/>
          <w:iCs/>
          <w:sz w:val="20"/>
          <w:szCs w:val="20"/>
        </w:rPr>
        <w:fldChar w:fldCharType="begin" w:fldLock="1"/>
      </w:r>
      <w:r>
        <w:rPr>
          <w:rFonts w:ascii="Times New Roman" w:hAnsi="Times New Roman"/>
          <w:bCs/>
          <w:iCs/>
          <w:sz w:val="20"/>
          <w:szCs w:val="20"/>
        </w:rPr>
        <w:instrText>ADDIN CSL_CITATION {"citationItems":[{"id":"ITEM-1","itemData":{"DOI":"10.1016/j.jhazmat.2011.07.019","ISSN":"03043894","PMID":"21798665","abstract":"Biosorption is an effective process for the removal and recovery of heavy metal ions from aqueous solutions. The biomass of marine algae has been reported to have high biosorption capacities for a number of heavy metal ions. In this study, four species of red seaweeds Corallina mediterranea, Galaxaura oblongata, Jania rubens and Pterocladia capillacea were examined to remove Co(II), Cd(II), Cr(III) and Pb(II) ions from aqueous solution. The experimental parameters that affect the biosorption process such as pH, contact time and biomass dosage were studied. The maximum biosorption capacity of metal ions was 105.2. mg/g at biomass dosage 10. g/L, pH 5 and contact time 60. min. The biosorption efficiency of algal biomass for the removal of heavy metal ions from industrial wastewater was evaluated for two successive cycles. Galaxaura oblongata biomass was relatively more efficient to remove metal ions with mean biosorption efficiency of 84%. This study demonstrated that these seaweeds constitute a promising, efficient, cheap and biodegradable sorbent biomaterial for lowering the heavy metal pollution in the environment. © 2011 Elsevier B.V.","author":[{"dropping-particle":"","family":"Ibrahim","given":"Wael M.","non-dropping-particle":"","parse-names":false,"suffix":""}],"container-title":"Journal of Hazardous Materials","id":"ITEM-1","issue":"3","issued":{"date-parts":[["2011"]]},"page":"1827-1835","publisher":"Elsevier B.V.","title":"Biosorption of heavy metal ions from aqueous solution by red macroalgae","type":"article-journal","volume":"192"},"uris":["http://www.mendeley.com/documents/?uuid=55a6afec-78c2-4dc0-84b6-af6ec5d6b715"]}],"mendeley":{"formattedCitation":"(Ibrahim, 2011)","manualFormatting":"(Ibrahim, ","plainTextFormattedCitation":"(Ibrahim, 2011)","previouslyFormattedCitation":"(Ibrahim, 2011)"},"properties":{"noteIndex":0},"schema":"https://github.com/citation-style-language/schema/raw/master/csl-citation.json"}</w:instrText>
      </w:r>
      <w:r>
        <w:rPr>
          <w:rFonts w:ascii="Times New Roman" w:hAnsi="Times New Roman"/>
          <w:bCs/>
          <w:iCs/>
          <w:sz w:val="20"/>
          <w:szCs w:val="20"/>
        </w:rPr>
        <w:fldChar w:fldCharType="separate"/>
      </w:r>
      <w:r>
        <w:rPr>
          <w:rFonts w:ascii="Times New Roman" w:hAnsi="Times New Roman"/>
          <w:bCs/>
          <w:iCs/>
          <w:sz w:val="20"/>
          <w:szCs w:val="20"/>
        </w:rPr>
        <w:t xml:space="preserve">Ibrahim, </w:t>
      </w:r>
      <w:r>
        <w:rPr>
          <w:rFonts w:ascii="Times New Roman" w:hAnsi="Times New Roman"/>
          <w:bCs/>
          <w:iCs/>
          <w:sz w:val="20"/>
          <w:szCs w:val="20"/>
        </w:rPr>
        <w:fldChar w:fldCharType="end"/>
      </w:r>
      <w:r>
        <w:rPr>
          <w:rFonts w:ascii="Times New Roman" w:hAnsi="Times New Roman"/>
          <w:bCs/>
          <w:iCs/>
          <w:sz w:val="20"/>
          <w:szCs w:val="20"/>
        </w:rPr>
        <w:t xml:space="preserve">[59] using </w:t>
      </w:r>
      <w:r>
        <w:rPr>
          <w:rFonts w:ascii="Times New Roman" w:hAnsi="Times New Roman"/>
          <w:bCs/>
          <w:i/>
          <w:sz w:val="20"/>
          <w:szCs w:val="20"/>
        </w:rPr>
        <w:t xml:space="preserve">Corallina mediterranea, Galaxaura oblongata, Jania rubens, </w:t>
      </w:r>
      <w:r>
        <w:rPr>
          <w:rFonts w:ascii="Times New Roman" w:hAnsi="Times New Roman"/>
          <w:bCs/>
          <w:iCs/>
          <w:sz w:val="20"/>
          <w:szCs w:val="20"/>
        </w:rPr>
        <w:t xml:space="preserve">and </w:t>
      </w:r>
      <w:r>
        <w:rPr>
          <w:rFonts w:ascii="Times New Roman" w:hAnsi="Times New Roman"/>
          <w:bCs/>
          <w:i/>
          <w:sz w:val="20"/>
          <w:szCs w:val="20"/>
        </w:rPr>
        <w:t>Pterocladia capillacea</w:t>
      </w:r>
      <w:r>
        <w:rPr>
          <w:rFonts w:ascii="Times New Roman" w:hAnsi="Times New Roman"/>
          <w:bCs/>
          <w:iCs/>
          <w:sz w:val="20"/>
          <w:szCs w:val="20"/>
        </w:rPr>
        <w:t xml:space="preserve"> (red macroalgae); </w:t>
      </w:r>
      <w:r>
        <w:rPr>
          <w:rFonts w:ascii="Times New Roman" w:hAnsi="Times New Roman"/>
          <w:bCs/>
          <w:iCs/>
          <w:sz w:val="20"/>
          <w:szCs w:val="20"/>
        </w:rPr>
        <w:fldChar w:fldCharType="begin" w:fldLock="1"/>
      </w:r>
      <w:r>
        <w:rPr>
          <w:rFonts w:ascii="Times New Roman" w:hAnsi="Times New Roman"/>
          <w:bCs/>
          <w:iCs/>
          <w:sz w:val="20"/>
          <w:szCs w:val="20"/>
        </w:rPr>
        <w:instrText>ADDIN CSL_CITATION {"citationItems":[{"id":"ITEM-1","itemData":{"author":[{"dropping-particle":"","family":"Ozudogru","given":"Yeliz","non-dropping-particle":"","parse-names":false,"suffix":""}],"id":"ITEM-1","issue":"April","issued":{"date-parts":[["2017"]]},"title":"pavonica BIOSORPTION OF Cu ( II ) AND Pb ( II ) IONS BY USING MARINE BROWN ALGAE Padina pavonica","type":"article-journal"},"uris":["http://www.mendeley.com/documents/?uuid=24d64df4-15c7-406b-a2c2-a8ac218b695e"]}],"mendeley":{"formattedCitation":"(Ozudogru, 2017)","manualFormatting":"(Ozudogru, ","plainTextFormattedCitation":"(Ozudogru, 2017)","previouslyFormattedCitation":"(Ozudogru, 2017)"},"properties":{"noteIndex":0},"schema":"https://github.com/citation-style-language/schema/raw/master/csl-citation.json"}</w:instrText>
      </w:r>
      <w:r>
        <w:rPr>
          <w:rFonts w:ascii="Times New Roman" w:hAnsi="Times New Roman"/>
          <w:bCs/>
          <w:iCs/>
          <w:sz w:val="20"/>
          <w:szCs w:val="20"/>
        </w:rPr>
        <w:fldChar w:fldCharType="separate"/>
      </w:r>
      <w:r>
        <w:rPr>
          <w:rFonts w:ascii="Times New Roman" w:hAnsi="Times New Roman"/>
          <w:bCs/>
          <w:iCs/>
          <w:sz w:val="20"/>
          <w:szCs w:val="20"/>
        </w:rPr>
        <w:t xml:space="preserve">Ozudogru, </w:t>
      </w:r>
      <w:r>
        <w:rPr>
          <w:rFonts w:ascii="Times New Roman" w:hAnsi="Times New Roman"/>
          <w:bCs/>
          <w:iCs/>
          <w:sz w:val="20"/>
          <w:szCs w:val="20"/>
        </w:rPr>
        <w:fldChar w:fldCharType="end"/>
      </w:r>
      <w:r>
        <w:rPr>
          <w:rFonts w:ascii="Times New Roman" w:hAnsi="Times New Roman"/>
          <w:bCs/>
          <w:iCs/>
          <w:sz w:val="20"/>
          <w:szCs w:val="20"/>
        </w:rPr>
        <w:t xml:space="preserve">[60] using </w:t>
      </w:r>
      <w:r>
        <w:rPr>
          <w:rFonts w:ascii="Times New Roman" w:hAnsi="Times New Roman"/>
          <w:bCs/>
          <w:i/>
          <w:sz w:val="20"/>
          <w:szCs w:val="20"/>
        </w:rPr>
        <w:t xml:space="preserve">Padina pavonica </w:t>
      </w:r>
      <w:r>
        <w:rPr>
          <w:rFonts w:ascii="Times New Roman" w:hAnsi="Times New Roman"/>
          <w:bCs/>
          <w:iCs/>
          <w:sz w:val="20"/>
          <w:szCs w:val="20"/>
        </w:rPr>
        <w:t xml:space="preserve">(brown algae); </w:t>
      </w:r>
      <w:r>
        <w:rPr>
          <w:rFonts w:ascii="Times New Roman" w:hAnsi="Times New Roman"/>
          <w:bCs/>
          <w:iCs/>
          <w:sz w:val="20"/>
          <w:szCs w:val="20"/>
        </w:rPr>
        <w:fldChar w:fldCharType="begin" w:fldLock="1"/>
      </w:r>
      <w:r>
        <w:rPr>
          <w:rFonts w:ascii="Times New Roman" w:hAnsi="Times New Roman"/>
          <w:bCs/>
          <w:iCs/>
          <w:sz w:val="20"/>
          <w:szCs w:val="20"/>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biomass","type":"article-journal","volume":"4"},"uris":["http://www.mendeley.com/documents/?uuid=7e1ae874-a643-4773-a336-0b74017b8c26"]}],"mendeley":{"formattedCitation":"(Abdel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Pr>
          <w:rFonts w:ascii="Times New Roman" w:hAnsi="Times New Roman"/>
          <w:bCs/>
          <w:iCs/>
          <w:sz w:val="20"/>
          <w:szCs w:val="20"/>
        </w:rPr>
        <w:fldChar w:fldCharType="separate"/>
      </w:r>
      <w:r>
        <w:rPr>
          <w:rFonts w:ascii="Times New Roman" w:hAnsi="Times New Roman"/>
          <w:bCs/>
          <w:iCs/>
          <w:sz w:val="20"/>
          <w:szCs w:val="20"/>
          <w:lang w:val="en-MY"/>
        </w:rPr>
        <w:t xml:space="preserve">and </w:t>
      </w:r>
      <w:r>
        <w:rPr>
          <w:rFonts w:ascii="Times New Roman" w:hAnsi="Times New Roman"/>
          <w:bCs/>
          <w:iCs/>
          <w:sz w:val="20"/>
          <w:szCs w:val="20"/>
        </w:rPr>
        <w:t xml:space="preserve">Abdel-Aty et al. </w:t>
      </w:r>
      <w:r>
        <w:rPr>
          <w:rFonts w:ascii="Times New Roman" w:hAnsi="Times New Roman"/>
          <w:bCs/>
          <w:iCs/>
          <w:sz w:val="20"/>
          <w:szCs w:val="20"/>
        </w:rPr>
        <w:fldChar w:fldCharType="end"/>
      </w:r>
      <w:r>
        <w:rPr>
          <w:rFonts w:ascii="Times New Roman" w:hAnsi="Times New Roman"/>
          <w:bCs/>
          <w:iCs/>
          <w:sz w:val="20"/>
          <w:szCs w:val="20"/>
        </w:rPr>
        <w:t xml:space="preserve">[18] using </w:t>
      </w:r>
      <w:r>
        <w:rPr>
          <w:rFonts w:ascii="Times New Roman" w:hAnsi="Times New Roman"/>
          <w:bCs/>
          <w:i/>
          <w:sz w:val="20"/>
          <w:szCs w:val="20"/>
        </w:rPr>
        <w:t>Anabaena sphaerica</w:t>
      </w:r>
      <w:r>
        <w:rPr>
          <w:rFonts w:ascii="Times New Roman" w:hAnsi="Times New Roman"/>
          <w:bCs/>
          <w:iCs/>
          <w:sz w:val="20"/>
          <w:szCs w:val="20"/>
        </w:rPr>
        <w:t xml:space="preserve"> (freshwater alga).</w:t>
      </w:r>
    </w:p>
    <w:p w14:paraId="58B408F8" w14:textId="3C8E0205" w:rsidR="00D037D1" w:rsidRDefault="006541D4">
      <w:pPr>
        <w:tabs>
          <w:tab w:val="left" w:pos="2070"/>
        </w:tabs>
        <w:autoSpaceDE w:val="0"/>
        <w:autoSpaceDN w:val="0"/>
        <w:adjustRightInd w:val="0"/>
        <w:spacing w:after="0" w:line="240" w:lineRule="auto"/>
        <w:jc w:val="center"/>
        <w:rPr>
          <w:rFonts w:ascii="Times New Roman" w:hAnsi="Times New Roman"/>
          <w:b/>
          <w:bCs/>
          <w:i/>
          <w:iCs/>
          <w:sz w:val="20"/>
          <w:szCs w:val="20"/>
        </w:rPr>
      </w:pPr>
      <w:r>
        <w:rPr>
          <w:rFonts w:ascii="Times New Roman" w:hAnsi="Times New Roman"/>
          <w:noProof/>
          <w:sz w:val="20"/>
          <w:szCs w:val="20"/>
        </w:rPr>
        <w:lastRenderedPageBreak/>
        <w:drawing>
          <wp:inline distT="0" distB="0" distL="0" distR="0" wp14:anchorId="327BE7A8" wp14:editId="52CDA771">
            <wp:extent cx="3524885" cy="2665730"/>
            <wp:effectExtent l="0" t="0" r="18415" b="1270"/>
            <wp:docPr id="90"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F04F03" w14:textId="77777777" w:rsidR="00AB14EE" w:rsidRDefault="00AB14EE">
      <w:pPr>
        <w:tabs>
          <w:tab w:val="left" w:pos="2070"/>
        </w:tabs>
        <w:autoSpaceDE w:val="0"/>
        <w:autoSpaceDN w:val="0"/>
        <w:adjustRightInd w:val="0"/>
        <w:spacing w:after="0" w:line="240" w:lineRule="auto"/>
        <w:jc w:val="center"/>
        <w:rPr>
          <w:rFonts w:ascii="Times New Roman" w:hAnsi="Times New Roman"/>
          <w:b/>
          <w:bCs/>
          <w:i/>
          <w:iCs/>
          <w:sz w:val="20"/>
          <w:szCs w:val="20"/>
        </w:rPr>
      </w:pPr>
    </w:p>
    <w:p w14:paraId="0DC8EB56" w14:textId="1B939E90" w:rsidR="00D037D1" w:rsidRDefault="006541D4">
      <w:pPr>
        <w:tabs>
          <w:tab w:val="left" w:pos="0"/>
        </w:tabs>
        <w:autoSpaceDE w:val="0"/>
        <w:autoSpaceDN w:val="0"/>
        <w:adjustRightInd w:val="0"/>
        <w:spacing w:after="0" w:line="240" w:lineRule="auto"/>
        <w:jc w:val="center"/>
        <w:rPr>
          <w:rStyle w:val="Heading2Char"/>
          <w:b w:val="0"/>
          <w:bCs/>
          <w:color w:val="548DD4" w:themeColor="text2" w:themeTint="99"/>
          <w:lang w:val="en-MY"/>
        </w:rPr>
      </w:pPr>
      <w:r>
        <w:rPr>
          <w:rFonts w:ascii="Times New Roman" w:hAnsi="Times New Roman"/>
          <w:iCs/>
          <w:sz w:val="20"/>
          <w:szCs w:val="20"/>
        </w:rPr>
        <w:t xml:space="preserve">Figure 4. </w:t>
      </w:r>
      <w:r>
        <w:rPr>
          <w:rStyle w:val="Heading2Char"/>
          <w:b w:val="0"/>
          <w:bCs/>
        </w:rPr>
        <w:t>Effect of contact time on Pb(II) adsorption</w:t>
      </w:r>
    </w:p>
    <w:p w14:paraId="6FF90287" w14:textId="6B44BBCF" w:rsidR="00D037D1" w:rsidRDefault="006541D4">
      <w:pPr>
        <w:pStyle w:val="Heading2"/>
      </w:pPr>
      <w:bookmarkStart w:id="63" w:name="_Toc361714581"/>
      <w:bookmarkStart w:id="64" w:name="_Toc365535268"/>
      <w:bookmarkStart w:id="65" w:name="_Toc362167011"/>
      <w:r>
        <w:t xml:space="preserve">Effect </w:t>
      </w:r>
      <w:r w:rsidR="0015622A">
        <w:t xml:space="preserve">of initial metal ion concentration on </w:t>
      </w:r>
      <w:r>
        <w:t xml:space="preserve">Pb(II) </w:t>
      </w:r>
      <w:r w:rsidR="0015622A">
        <w:t>biosorption</w:t>
      </w:r>
      <w:bookmarkEnd w:id="63"/>
      <w:bookmarkEnd w:id="64"/>
      <w:bookmarkEnd w:id="65"/>
    </w:p>
    <w:p w14:paraId="3EE2EF67" w14:textId="72CFC2F7"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 xml:space="preserve">The initial metal ion concentration highly affects the biosorption capacity due to a substantial driving force </w:t>
      </w:r>
      <w:r>
        <w:rPr>
          <w:rFonts w:ascii="Times New Roman" w:hAnsi="Times New Roman"/>
          <w:bCs/>
          <w:iCs/>
          <w:sz w:val="20"/>
          <w:szCs w:val="20"/>
          <w:lang w:val="en-MY"/>
        </w:rPr>
        <w:t>that</w:t>
      </w:r>
      <w:r>
        <w:rPr>
          <w:rFonts w:ascii="Times New Roman" w:hAnsi="Times New Roman"/>
          <w:bCs/>
          <w:iCs/>
          <w:sz w:val="20"/>
          <w:szCs w:val="20"/>
        </w:rPr>
        <w:t xml:space="preserve"> eliminate</w:t>
      </w:r>
      <w:r>
        <w:rPr>
          <w:rFonts w:ascii="Times New Roman" w:hAnsi="Times New Roman"/>
          <w:bCs/>
          <w:iCs/>
          <w:sz w:val="20"/>
          <w:szCs w:val="20"/>
          <w:lang w:val="en-MY"/>
        </w:rPr>
        <w:t>s</w:t>
      </w:r>
      <w:r>
        <w:rPr>
          <w:rFonts w:ascii="Times New Roman" w:hAnsi="Times New Roman"/>
          <w:bCs/>
          <w:iCs/>
          <w:sz w:val="20"/>
          <w:szCs w:val="20"/>
        </w:rPr>
        <w:t xml:space="preserve"> the resistance of all </w:t>
      </w:r>
      <w:r>
        <w:rPr>
          <w:rFonts w:ascii="Times New Roman" w:hAnsi="Times New Roman"/>
          <w:bCs/>
          <w:iCs/>
          <w:sz w:val="20"/>
          <w:szCs w:val="20"/>
          <w:lang w:val="en-MY"/>
        </w:rPr>
        <w:t xml:space="preserve">the </w:t>
      </w:r>
      <w:r>
        <w:rPr>
          <w:rFonts w:ascii="Times New Roman" w:hAnsi="Times New Roman"/>
          <w:bCs/>
          <w:iCs/>
          <w:sz w:val="20"/>
          <w:szCs w:val="20"/>
        </w:rPr>
        <w:t xml:space="preserve">metal ions between the aqueous and solid phases [61]. The present study demonstrated a rapid increase in Pb(II) biosorption with increased metal ion concentration until 1000mg/L, as shown in Figure 5. The metal uptake increased slowly, implying that the biomass </w:t>
      </w:r>
      <w:r>
        <w:rPr>
          <w:rFonts w:ascii="Times New Roman" w:hAnsi="Times New Roman"/>
          <w:bCs/>
          <w:iCs/>
          <w:sz w:val="20"/>
          <w:szCs w:val="20"/>
          <w:lang w:val="en-MY"/>
        </w:rPr>
        <w:t xml:space="preserve">had </w:t>
      </w:r>
      <w:r>
        <w:rPr>
          <w:rFonts w:ascii="Times New Roman" w:hAnsi="Times New Roman"/>
          <w:bCs/>
          <w:iCs/>
          <w:sz w:val="20"/>
          <w:szCs w:val="20"/>
        </w:rPr>
        <w:t>approached the saturation point [62].</w:t>
      </w:r>
    </w:p>
    <w:p w14:paraId="23070DB9" w14:textId="18474DC1"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 xml:space="preserve">The increased Pb(II) uptake </w:t>
      </w:r>
      <w:r>
        <w:rPr>
          <w:rFonts w:ascii="Times New Roman" w:hAnsi="Times New Roman"/>
          <w:bCs/>
          <w:iCs/>
          <w:sz w:val="20"/>
          <w:szCs w:val="20"/>
          <w:lang w:val="en-MY"/>
        </w:rPr>
        <w:t>during</w:t>
      </w:r>
      <w:r>
        <w:rPr>
          <w:rFonts w:ascii="Times New Roman" w:hAnsi="Times New Roman"/>
          <w:bCs/>
          <w:iCs/>
          <w:sz w:val="20"/>
          <w:szCs w:val="20"/>
        </w:rPr>
        <w:t xml:space="preserve"> the early stage might be due to the enhanced driving force of metal ions into the biomass surface and the presence of abundant binding spots on the biosorbent surface areas [63,</w:t>
      </w:r>
      <w:r w:rsidR="0015622A">
        <w:rPr>
          <w:rFonts w:ascii="Times New Roman" w:hAnsi="Times New Roman"/>
          <w:bCs/>
          <w:iCs/>
          <w:sz w:val="20"/>
          <w:szCs w:val="20"/>
        </w:rPr>
        <w:t xml:space="preserve"> </w:t>
      </w:r>
      <w:r>
        <w:rPr>
          <w:rFonts w:ascii="Times New Roman" w:hAnsi="Times New Roman"/>
          <w:bCs/>
          <w:iCs/>
          <w:sz w:val="20"/>
          <w:szCs w:val="20"/>
        </w:rPr>
        <w:t>64]. Consequently, when</w:t>
      </w:r>
      <w:r>
        <w:rPr>
          <w:rFonts w:ascii="Times New Roman" w:hAnsi="Times New Roman"/>
          <w:bCs/>
          <w:iCs/>
          <w:sz w:val="20"/>
          <w:szCs w:val="20"/>
          <w:lang w:val="en-MY"/>
        </w:rPr>
        <w:t xml:space="preserve"> the</w:t>
      </w:r>
      <w:r>
        <w:rPr>
          <w:rFonts w:ascii="Times New Roman" w:hAnsi="Times New Roman"/>
          <w:bCs/>
          <w:iCs/>
          <w:sz w:val="20"/>
          <w:szCs w:val="20"/>
        </w:rPr>
        <w:t xml:space="preserve"> Pb(II) ion concentration increases further, the active sites are overburdened by the ions, thereby preventing further metal ions adsorption [64,</w:t>
      </w:r>
      <w:r w:rsidR="0015622A">
        <w:rPr>
          <w:rFonts w:ascii="Times New Roman" w:hAnsi="Times New Roman"/>
          <w:bCs/>
          <w:iCs/>
          <w:sz w:val="20"/>
          <w:szCs w:val="20"/>
        </w:rPr>
        <w:t xml:space="preserve"> </w:t>
      </w:r>
      <w:r>
        <w:rPr>
          <w:rFonts w:ascii="Times New Roman" w:hAnsi="Times New Roman"/>
          <w:bCs/>
          <w:iCs/>
          <w:sz w:val="20"/>
          <w:szCs w:val="20"/>
        </w:rPr>
        <w:t xml:space="preserve">65]. Thus, the metal uptake </w:t>
      </w:r>
      <w:r>
        <w:rPr>
          <w:rFonts w:ascii="Times New Roman" w:hAnsi="Times New Roman"/>
          <w:bCs/>
          <w:iCs/>
          <w:sz w:val="20"/>
          <w:szCs w:val="20"/>
          <w:lang w:val="en-MY"/>
        </w:rPr>
        <w:t xml:space="preserve">was enhanced </w:t>
      </w:r>
      <w:r>
        <w:rPr>
          <w:rFonts w:ascii="Times New Roman" w:hAnsi="Times New Roman"/>
          <w:bCs/>
          <w:iCs/>
          <w:sz w:val="20"/>
          <w:szCs w:val="20"/>
        </w:rPr>
        <w:t xml:space="preserve">with </w:t>
      </w:r>
      <w:r>
        <w:rPr>
          <w:rFonts w:ascii="Times New Roman" w:hAnsi="Times New Roman"/>
          <w:bCs/>
          <w:iCs/>
          <w:sz w:val="20"/>
          <w:szCs w:val="20"/>
          <w:lang w:val="en-MY"/>
        </w:rPr>
        <w:t xml:space="preserve">an </w:t>
      </w:r>
      <w:r>
        <w:rPr>
          <w:rFonts w:ascii="Times New Roman" w:hAnsi="Times New Roman"/>
          <w:bCs/>
          <w:iCs/>
          <w:sz w:val="20"/>
          <w:szCs w:val="20"/>
        </w:rPr>
        <w:t xml:space="preserve">increase in </w:t>
      </w:r>
      <w:r>
        <w:rPr>
          <w:rFonts w:ascii="Times New Roman" w:hAnsi="Times New Roman"/>
          <w:bCs/>
          <w:iCs/>
          <w:sz w:val="20"/>
          <w:szCs w:val="20"/>
          <w:lang w:val="en-MY"/>
        </w:rPr>
        <w:t xml:space="preserve">the </w:t>
      </w:r>
      <w:r>
        <w:rPr>
          <w:rFonts w:ascii="Times New Roman" w:hAnsi="Times New Roman"/>
          <w:bCs/>
          <w:iCs/>
          <w:sz w:val="20"/>
          <w:szCs w:val="20"/>
        </w:rPr>
        <w:t>initial levels of Pb(II) ions</w:t>
      </w:r>
      <w:r>
        <w:rPr>
          <w:rFonts w:ascii="Times New Roman" w:hAnsi="Times New Roman"/>
          <w:bCs/>
          <w:iCs/>
          <w:sz w:val="20"/>
          <w:szCs w:val="20"/>
          <w:lang w:val="en-MY"/>
        </w:rPr>
        <w:t>,</w:t>
      </w:r>
      <w:r>
        <w:rPr>
          <w:rFonts w:ascii="Times New Roman" w:hAnsi="Times New Roman"/>
          <w:bCs/>
          <w:iCs/>
          <w:sz w:val="20"/>
          <w:szCs w:val="20"/>
        </w:rPr>
        <w:t xml:space="preserve"> reach</w:t>
      </w:r>
      <w:r>
        <w:rPr>
          <w:rFonts w:ascii="Times New Roman" w:hAnsi="Times New Roman"/>
          <w:bCs/>
          <w:iCs/>
          <w:sz w:val="20"/>
          <w:szCs w:val="20"/>
          <w:lang w:val="en-MY"/>
        </w:rPr>
        <w:t>ing</w:t>
      </w:r>
      <w:r>
        <w:rPr>
          <w:rFonts w:ascii="Times New Roman" w:hAnsi="Times New Roman"/>
          <w:bCs/>
          <w:iCs/>
          <w:sz w:val="20"/>
          <w:szCs w:val="20"/>
        </w:rPr>
        <w:t xml:space="preserve"> saturation when Pb(II) concentration attained a threshold value. </w:t>
      </w:r>
    </w:p>
    <w:p w14:paraId="60A63ABC" w14:textId="0529D9A4" w:rsidR="00D037D1" w:rsidRDefault="006541D4">
      <w:pPr>
        <w:tabs>
          <w:tab w:val="left" w:pos="2070"/>
        </w:tabs>
        <w:autoSpaceDE w:val="0"/>
        <w:autoSpaceDN w:val="0"/>
        <w:adjustRightInd w:val="0"/>
        <w:spacing w:after="0" w:line="240" w:lineRule="auto"/>
        <w:jc w:val="center"/>
        <w:rPr>
          <w:b/>
          <w:sz w:val="20"/>
          <w:szCs w:val="20"/>
        </w:rPr>
      </w:pPr>
      <w:r>
        <w:rPr>
          <w:rFonts w:ascii="Times New Roman" w:hAnsi="Times New Roman"/>
          <w:noProof/>
          <w:sz w:val="20"/>
          <w:szCs w:val="20"/>
        </w:rPr>
        <w:drawing>
          <wp:inline distT="0" distB="0" distL="0" distR="0" wp14:anchorId="10A7C15A" wp14:editId="4C67F2A6">
            <wp:extent cx="4263390" cy="2676525"/>
            <wp:effectExtent l="0" t="0" r="3810" b="9525"/>
            <wp:docPr id="9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66" w:name="_Toc364107203"/>
      <w:bookmarkStart w:id="67" w:name="_Toc364110509"/>
      <w:bookmarkStart w:id="68" w:name="_Toc365471795"/>
      <w:bookmarkStart w:id="69" w:name="_Toc364109758"/>
    </w:p>
    <w:p w14:paraId="318F1383" w14:textId="77777777" w:rsidR="0015622A" w:rsidRDefault="0015622A">
      <w:pPr>
        <w:tabs>
          <w:tab w:val="left" w:pos="2070"/>
        </w:tabs>
        <w:autoSpaceDE w:val="0"/>
        <w:autoSpaceDN w:val="0"/>
        <w:adjustRightInd w:val="0"/>
        <w:spacing w:after="0" w:line="240" w:lineRule="auto"/>
        <w:jc w:val="center"/>
        <w:rPr>
          <w:b/>
          <w:sz w:val="20"/>
          <w:szCs w:val="20"/>
        </w:rPr>
      </w:pPr>
    </w:p>
    <w:p w14:paraId="642837E7" w14:textId="123047A9" w:rsidR="00D037D1" w:rsidRDefault="006541D4">
      <w:pPr>
        <w:tabs>
          <w:tab w:val="left" w:pos="2070"/>
        </w:tabs>
        <w:autoSpaceDE w:val="0"/>
        <w:autoSpaceDN w:val="0"/>
        <w:adjustRightInd w:val="0"/>
        <w:spacing w:line="240" w:lineRule="auto"/>
        <w:jc w:val="center"/>
        <w:rPr>
          <w:rFonts w:ascii="Times New Roman" w:hAnsi="Times New Roman"/>
          <w:b/>
          <w:iCs/>
          <w:sz w:val="20"/>
          <w:szCs w:val="20"/>
          <w:lang w:val="en-MY"/>
        </w:rPr>
      </w:pPr>
      <w:r>
        <w:rPr>
          <w:rFonts w:ascii="Times New Roman" w:hAnsi="Times New Roman"/>
          <w:bCs/>
          <w:sz w:val="20"/>
          <w:szCs w:val="20"/>
        </w:rPr>
        <w:t>Figure</w:t>
      </w:r>
      <w:r>
        <w:rPr>
          <w:rFonts w:ascii="Times New Roman" w:hAnsi="Times New Roman"/>
          <w:b/>
          <w:sz w:val="20"/>
          <w:szCs w:val="20"/>
        </w:rPr>
        <w:t xml:space="preserve"> </w:t>
      </w:r>
      <w:r>
        <w:rPr>
          <w:rFonts w:ascii="Times New Roman" w:hAnsi="Times New Roman"/>
          <w:bCs/>
          <w:sz w:val="20"/>
          <w:szCs w:val="20"/>
        </w:rPr>
        <w:t>5.</w:t>
      </w:r>
      <w:r>
        <w:rPr>
          <w:rFonts w:ascii="Times New Roman" w:hAnsi="Times New Roman"/>
          <w:b/>
          <w:sz w:val="20"/>
          <w:szCs w:val="20"/>
        </w:rPr>
        <w:t xml:space="preserve"> </w:t>
      </w:r>
      <w:r>
        <w:rPr>
          <w:rStyle w:val="Heading2Char"/>
          <w:b w:val="0"/>
        </w:rPr>
        <w:t xml:space="preserve">Effect of initial Pb (II) concentration on Pb(II) biosorption onto </w:t>
      </w:r>
      <w:r>
        <w:rPr>
          <w:rStyle w:val="Heading2Char"/>
          <w:b w:val="0"/>
          <w:i/>
        </w:rPr>
        <w:t>E. denticulatum</w:t>
      </w:r>
      <w:bookmarkEnd w:id="66"/>
      <w:bookmarkEnd w:id="67"/>
      <w:bookmarkEnd w:id="68"/>
      <w:bookmarkEnd w:id="69"/>
    </w:p>
    <w:p w14:paraId="75F5918D" w14:textId="02C4E339" w:rsidR="00D037D1" w:rsidRDefault="006541D4">
      <w:pPr>
        <w:pStyle w:val="Heading2"/>
      </w:pPr>
      <w:bookmarkStart w:id="70" w:name="_Toc361714584"/>
      <w:bookmarkStart w:id="71" w:name="_Toc362167014"/>
      <w:r>
        <w:t xml:space="preserve">Biosorption </w:t>
      </w:r>
      <w:r w:rsidR="0015622A">
        <w:t>m</w:t>
      </w:r>
      <w:r>
        <w:t xml:space="preserve">odels </w:t>
      </w:r>
      <w:bookmarkEnd w:id="70"/>
      <w:bookmarkEnd w:id="71"/>
    </w:p>
    <w:p w14:paraId="68DDB8FE" w14:textId="77777777" w:rsidR="00D037D1" w:rsidRDefault="006541D4">
      <w:pPr>
        <w:pStyle w:val="ListParagraph"/>
        <w:spacing w:after="0" w:line="240" w:lineRule="auto"/>
        <w:ind w:left="0"/>
        <w:jc w:val="both"/>
        <w:rPr>
          <w:rFonts w:ascii="Times New Roman" w:hAnsi="Times New Roman"/>
          <w:bCs/>
          <w:iCs/>
          <w:sz w:val="20"/>
          <w:szCs w:val="20"/>
        </w:rPr>
      </w:pPr>
      <w:r>
        <w:rPr>
          <w:rFonts w:ascii="Times New Roman" w:hAnsi="Times New Roman"/>
          <w:sz w:val="20"/>
          <w:szCs w:val="20"/>
          <w:lang w:val="en-MY"/>
        </w:rPr>
        <w:t xml:space="preserve">The </w:t>
      </w:r>
      <w:r>
        <w:rPr>
          <w:rFonts w:ascii="Times New Roman" w:hAnsi="Times New Roman"/>
          <w:sz w:val="20"/>
          <w:szCs w:val="20"/>
        </w:rPr>
        <w:t xml:space="preserve">Freundlich and Langmuir </w:t>
      </w:r>
      <w:r>
        <w:rPr>
          <w:rFonts w:ascii="Times New Roman" w:hAnsi="Times New Roman"/>
          <w:sz w:val="20"/>
          <w:szCs w:val="20"/>
          <w:lang w:val="en-MY"/>
        </w:rPr>
        <w:t xml:space="preserve">models </w:t>
      </w:r>
      <w:r>
        <w:rPr>
          <w:rFonts w:ascii="Times New Roman" w:hAnsi="Times New Roman"/>
          <w:sz w:val="20"/>
          <w:szCs w:val="20"/>
        </w:rPr>
        <w:t>are isotherm models used to present the relation between equilibrium metal biosorption (q) and final concentration (C</w:t>
      </w:r>
      <w:r>
        <w:rPr>
          <w:rFonts w:ascii="Times New Roman" w:hAnsi="Times New Roman"/>
          <w:sz w:val="20"/>
          <w:szCs w:val="20"/>
          <w:vertAlign w:val="subscript"/>
        </w:rPr>
        <w:t>f</w:t>
      </w:r>
      <w:r>
        <w:rPr>
          <w:rFonts w:ascii="Times New Roman" w:hAnsi="Times New Roman"/>
          <w:sz w:val="20"/>
          <w:szCs w:val="20"/>
        </w:rPr>
        <w:t xml:space="preserve">) at equilibrium [66]. </w:t>
      </w:r>
      <w:r>
        <w:rPr>
          <w:rFonts w:ascii="Times New Roman" w:hAnsi="Times New Roman"/>
          <w:bCs/>
          <w:iCs/>
          <w:sz w:val="20"/>
          <w:szCs w:val="20"/>
        </w:rPr>
        <w:t xml:space="preserve">Both adsorption models were used to measure the relationship between </w:t>
      </w:r>
      <w:r>
        <w:rPr>
          <w:rFonts w:ascii="Times New Roman" w:hAnsi="Times New Roman"/>
          <w:bCs/>
          <w:iCs/>
          <w:sz w:val="20"/>
          <w:szCs w:val="20"/>
          <w:lang w:val="en-MY"/>
        </w:rPr>
        <w:t xml:space="preserve">the </w:t>
      </w:r>
      <w:r>
        <w:rPr>
          <w:rFonts w:ascii="Times New Roman" w:hAnsi="Times New Roman"/>
          <w:bCs/>
          <w:iCs/>
          <w:sz w:val="20"/>
          <w:szCs w:val="20"/>
        </w:rPr>
        <w:t>Pb (II) uptake capability (</w:t>
      </w:r>
      <w:r>
        <w:rPr>
          <w:rFonts w:ascii="Times New Roman" w:hAnsi="Times New Roman"/>
          <w:bCs/>
          <w:i/>
          <w:iCs/>
          <w:sz w:val="20"/>
          <w:szCs w:val="20"/>
        </w:rPr>
        <w:t>q</w:t>
      </w:r>
      <w:r>
        <w:rPr>
          <w:rFonts w:ascii="Times New Roman" w:hAnsi="Times New Roman"/>
          <w:bCs/>
          <w:iCs/>
          <w:sz w:val="20"/>
          <w:szCs w:val="20"/>
        </w:rPr>
        <w:t>) and equilibrium concentration (</w:t>
      </w:r>
      <w:r>
        <w:rPr>
          <w:rFonts w:ascii="Times New Roman" w:hAnsi="Times New Roman"/>
          <w:bCs/>
          <w:i/>
          <w:iCs/>
          <w:sz w:val="20"/>
          <w:szCs w:val="20"/>
        </w:rPr>
        <w:t>C</w:t>
      </w:r>
      <w:r>
        <w:rPr>
          <w:rFonts w:ascii="Times New Roman" w:hAnsi="Times New Roman"/>
          <w:bCs/>
          <w:i/>
          <w:iCs/>
          <w:sz w:val="20"/>
          <w:szCs w:val="20"/>
          <w:vertAlign w:val="subscript"/>
        </w:rPr>
        <w:t>f</w:t>
      </w:r>
      <w:r>
        <w:rPr>
          <w:rFonts w:ascii="Times New Roman" w:hAnsi="Times New Roman"/>
          <w:bCs/>
          <w:iCs/>
          <w:sz w:val="20"/>
          <w:szCs w:val="20"/>
        </w:rPr>
        <w:t xml:space="preserve">). The constants and </w:t>
      </w:r>
      <w:r>
        <w:rPr>
          <w:rFonts w:ascii="Times New Roman" w:hAnsi="Times New Roman"/>
          <w:bCs/>
          <w:iCs/>
          <w:sz w:val="20"/>
          <w:szCs w:val="20"/>
        </w:rPr>
        <w:lastRenderedPageBreak/>
        <w:t xml:space="preserve">correlation coefficients of the adsorption models </w:t>
      </w:r>
      <w:r>
        <w:rPr>
          <w:rFonts w:ascii="Times New Roman" w:hAnsi="Times New Roman"/>
          <w:bCs/>
          <w:iCs/>
          <w:sz w:val="20"/>
          <w:szCs w:val="20"/>
          <w:lang w:val="en-MY"/>
        </w:rPr>
        <w:t xml:space="preserve">employed </w:t>
      </w:r>
      <w:r>
        <w:rPr>
          <w:rFonts w:ascii="Times New Roman" w:hAnsi="Times New Roman"/>
          <w:bCs/>
          <w:iCs/>
          <w:sz w:val="20"/>
          <w:szCs w:val="20"/>
        </w:rPr>
        <w:t>were determined from the respective adsorption isotherms (Table 1). It was found that the Langmuir model (R</w:t>
      </w:r>
      <w:r>
        <w:rPr>
          <w:rFonts w:ascii="Times New Roman" w:hAnsi="Times New Roman"/>
          <w:bCs/>
          <w:iCs/>
          <w:sz w:val="20"/>
          <w:szCs w:val="20"/>
          <w:vertAlign w:val="superscript"/>
        </w:rPr>
        <w:t>2</w:t>
      </w:r>
      <w:r>
        <w:rPr>
          <w:rFonts w:ascii="Times New Roman" w:hAnsi="Times New Roman"/>
          <w:bCs/>
          <w:iCs/>
          <w:sz w:val="20"/>
          <w:szCs w:val="20"/>
        </w:rPr>
        <w:t xml:space="preserve"> = 0.9935) fitted well</w:t>
      </w:r>
      <w:r>
        <w:rPr>
          <w:rFonts w:ascii="Times New Roman" w:hAnsi="Times New Roman"/>
          <w:bCs/>
          <w:iCs/>
          <w:sz w:val="20"/>
          <w:szCs w:val="20"/>
          <w:lang w:val="en-MY"/>
        </w:rPr>
        <w:t xml:space="preserve">, </w:t>
      </w:r>
      <w:r>
        <w:rPr>
          <w:rFonts w:ascii="Times New Roman" w:hAnsi="Times New Roman"/>
          <w:bCs/>
          <w:iCs/>
          <w:sz w:val="20"/>
          <w:szCs w:val="20"/>
        </w:rPr>
        <w:t>compared with the Freundlich model (R</w:t>
      </w:r>
      <w:r>
        <w:rPr>
          <w:rFonts w:ascii="Times New Roman" w:hAnsi="Times New Roman"/>
          <w:bCs/>
          <w:iCs/>
          <w:sz w:val="20"/>
          <w:szCs w:val="20"/>
          <w:vertAlign w:val="superscript"/>
        </w:rPr>
        <w:t>2</w:t>
      </w:r>
      <w:r>
        <w:rPr>
          <w:rFonts w:ascii="Times New Roman" w:hAnsi="Times New Roman"/>
          <w:bCs/>
          <w:iCs/>
          <w:sz w:val="20"/>
          <w:szCs w:val="20"/>
        </w:rPr>
        <w:t xml:space="preserve"> = 0.9534). The high Langmuir correlation coefficient suggests </w:t>
      </w:r>
      <w:r>
        <w:rPr>
          <w:rFonts w:ascii="Times New Roman" w:hAnsi="Times New Roman"/>
          <w:bCs/>
          <w:iCs/>
          <w:sz w:val="20"/>
          <w:szCs w:val="20"/>
          <w:lang w:val="en-MY"/>
        </w:rPr>
        <w:t xml:space="preserve">the </w:t>
      </w:r>
      <w:r>
        <w:rPr>
          <w:rFonts w:ascii="Times New Roman" w:hAnsi="Times New Roman"/>
          <w:bCs/>
          <w:iCs/>
          <w:sz w:val="20"/>
          <w:szCs w:val="20"/>
        </w:rPr>
        <w:t xml:space="preserve">conformity of the P(II) adsorption to the model, implying the existence of monolayer adsorption conditions in the Pb (II) – </w:t>
      </w:r>
      <w:r>
        <w:rPr>
          <w:rFonts w:ascii="Times New Roman" w:hAnsi="Times New Roman"/>
          <w:bCs/>
          <w:i/>
          <w:iCs/>
          <w:sz w:val="20"/>
          <w:szCs w:val="20"/>
        </w:rPr>
        <w:t xml:space="preserve">E. denticulatum </w:t>
      </w:r>
      <w:r>
        <w:rPr>
          <w:rFonts w:ascii="Times New Roman" w:hAnsi="Times New Roman"/>
          <w:bCs/>
          <w:iCs/>
          <w:sz w:val="20"/>
          <w:szCs w:val="20"/>
        </w:rPr>
        <w:t>system [67].</w:t>
      </w:r>
    </w:p>
    <w:p w14:paraId="1D0EE256" w14:textId="77777777" w:rsidR="00D037D1" w:rsidRDefault="00D037D1">
      <w:pPr>
        <w:pStyle w:val="ListParagraph"/>
        <w:spacing w:after="0" w:line="240" w:lineRule="auto"/>
        <w:ind w:left="0"/>
        <w:jc w:val="both"/>
        <w:rPr>
          <w:rFonts w:ascii="Times New Roman" w:hAnsi="Times New Roman"/>
          <w:bCs/>
          <w:iCs/>
          <w:sz w:val="20"/>
          <w:szCs w:val="20"/>
        </w:rPr>
      </w:pPr>
    </w:p>
    <w:p w14:paraId="5F0DAC98" w14:textId="5669C572" w:rsidR="00D037D1" w:rsidRDefault="006541D4">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The maximum Langmuir monolayer Pb(II) uptake capacity (q</w:t>
      </w:r>
      <w:r>
        <w:rPr>
          <w:rFonts w:ascii="Times New Roman" w:hAnsi="Times New Roman"/>
          <w:bCs/>
          <w:iCs/>
          <w:sz w:val="20"/>
          <w:szCs w:val="20"/>
          <w:vertAlign w:val="subscript"/>
        </w:rPr>
        <w:t>m</w:t>
      </w:r>
      <w:r>
        <w:rPr>
          <w:rFonts w:ascii="Times New Roman" w:hAnsi="Times New Roman"/>
          <w:bCs/>
          <w:iCs/>
          <w:sz w:val="20"/>
          <w:szCs w:val="20"/>
        </w:rPr>
        <w:t xml:space="preserve">) and the Langmuir constant (b) isotherm were 175.13 mg/g and 0.01476 l/mg, </w:t>
      </w:r>
      <w:r>
        <w:rPr>
          <w:rFonts w:ascii="Times New Roman" w:hAnsi="Times New Roman"/>
          <w:bCs/>
          <w:iCs/>
          <w:sz w:val="20"/>
          <w:szCs w:val="20"/>
          <w:lang w:val="en-MY"/>
        </w:rPr>
        <w:t xml:space="preserve">respectively, </w:t>
      </w:r>
      <w:r>
        <w:rPr>
          <w:rFonts w:ascii="Times New Roman" w:hAnsi="Times New Roman"/>
          <w:bCs/>
          <w:iCs/>
          <w:sz w:val="20"/>
          <w:szCs w:val="20"/>
        </w:rPr>
        <w:t xml:space="preserve">implying the high uptake of Pb(II) by the biomass, which might </w:t>
      </w:r>
      <w:r>
        <w:rPr>
          <w:rFonts w:ascii="Times New Roman" w:hAnsi="Times New Roman"/>
          <w:bCs/>
          <w:iCs/>
          <w:sz w:val="20"/>
          <w:szCs w:val="20"/>
          <w:lang w:val="en-MY"/>
        </w:rPr>
        <w:t>have been</w:t>
      </w:r>
      <w:r>
        <w:rPr>
          <w:rFonts w:ascii="Times New Roman" w:hAnsi="Times New Roman"/>
          <w:bCs/>
          <w:iCs/>
          <w:sz w:val="20"/>
          <w:szCs w:val="20"/>
        </w:rPr>
        <w:t xml:space="preserve"> due to its low capability of forming complex [68]. The presence of carboxylate polysaccharides in seaweed promotes </w:t>
      </w:r>
      <w:r>
        <w:rPr>
          <w:rFonts w:ascii="Times New Roman" w:hAnsi="Times New Roman"/>
          <w:bCs/>
          <w:iCs/>
          <w:sz w:val="20"/>
          <w:szCs w:val="20"/>
          <w:lang w:val="en-MY"/>
        </w:rPr>
        <w:t xml:space="preserve">the </w:t>
      </w:r>
      <w:r>
        <w:rPr>
          <w:rFonts w:ascii="Times New Roman" w:hAnsi="Times New Roman"/>
          <w:bCs/>
          <w:iCs/>
          <w:sz w:val="20"/>
          <w:szCs w:val="20"/>
        </w:rPr>
        <w:t xml:space="preserve">binding </w:t>
      </w:r>
      <w:r>
        <w:rPr>
          <w:rFonts w:ascii="Times New Roman" w:hAnsi="Times New Roman"/>
          <w:bCs/>
          <w:iCs/>
          <w:sz w:val="20"/>
          <w:szCs w:val="20"/>
          <w:lang w:val="en-MY"/>
        </w:rPr>
        <w:t xml:space="preserve">of </w:t>
      </w:r>
      <w:r>
        <w:rPr>
          <w:rFonts w:ascii="Times New Roman" w:hAnsi="Times New Roman"/>
          <w:bCs/>
          <w:iCs/>
          <w:sz w:val="20"/>
          <w:szCs w:val="20"/>
        </w:rPr>
        <w:t>cations</w:t>
      </w:r>
      <w:r>
        <w:rPr>
          <w:rFonts w:ascii="Times New Roman" w:hAnsi="Times New Roman"/>
          <w:bCs/>
          <w:iCs/>
          <w:sz w:val="20"/>
          <w:szCs w:val="20"/>
          <w:lang w:val="en-MY"/>
        </w:rPr>
        <w:t xml:space="preserve"> </w:t>
      </w:r>
      <w:r>
        <w:rPr>
          <w:rFonts w:ascii="Times New Roman" w:hAnsi="Times New Roman"/>
          <w:bCs/>
          <w:iCs/>
          <w:sz w:val="20"/>
          <w:szCs w:val="20"/>
        </w:rPr>
        <w:t xml:space="preserve">with large ionic areas [69]. Moreover, the range of </w:t>
      </w:r>
      <w:r>
        <w:rPr>
          <w:rFonts w:ascii="Times New Roman" w:hAnsi="Times New Roman"/>
          <w:bCs/>
          <w:iCs/>
          <w:sz w:val="20"/>
          <w:szCs w:val="20"/>
          <w:lang w:val="en-MY"/>
        </w:rPr>
        <w:t xml:space="preserve">the </w:t>
      </w:r>
      <w:r>
        <w:rPr>
          <w:rFonts w:ascii="Times New Roman" w:hAnsi="Times New Roman"/>
          <w:bCs/>
          <w:iCs/>
          <w:sz w:val="20"/>
          <w:szCs w:val="20"/>
        </w:rPr>
        <w:t>Pb(II) ions separation factor</w:t>
      </w:r>
      <w:r>
        <w:rPr>
          <w:rFonts w:ascii="Times New Roman" w:hAnsi="Times New Roman"/>
          <w:bCs/>
          <w:iCs/>
          <w:sz w:val="20"/>
          <w:szCs w:val="20"/>
          <w:lang w:val="en-MY"/>
        </w:rPr>
        <w:t>,</w:t>
      </w:r>
      <w:r>
        <w:rPr>
          <w:rFonts w:ascii="Times New Roman" w:hAnsi="Times New Roman"/>
          <w:bCs/>
          <w:iCs/>
          <w:sz w:val="20"/>
          <w:szCs w:val="20"/>
        </w:rPr>
        <w:t xml:space="preserve"> R</w:t>
      </w:r>
      <w:r>
        <w:rPr>
          <w:rFonts w:ascii="Times New Roman" w:hAnsi="Times New Roman"/>
          <w:bCs/>
          <w:iCs/>
          <w:sz w:val="20"/>
          <w:szCs w:val="20"/>
          <w:vertAlign w:val="subscript"/>
        </w:rPr>
        <w:t xml:space="preserve">L </w:t>
      </w:r>
      <w:r>
        <w:rPr>
          <w:rFonts w:ascii="Times New Roman" w:hAnsi="Times New Roman"/>
          <w:bCs/>
          <w:iCs/>
          <w:sz w:val="20"/>
          <w:szCs w:val="20"/>
        </w:rPr>
        <w:t>= 0.2789, f</w:t>
      </w:r>
      <w:r>
        <w:rPr>
          <w:rFonts w:ascii="Times New Roman" w:hAnsi="Times New Roman"/>
          <w:bCs/>
          <w:iCs/>
          <w:sz w:val="20"/>
          <w:szCs w:val="20"/>
          <w:lang w:val="en-MY"/>
        </w:rPr>
        <w:t>ell</w:t>
      </w:r>
      <w:r>
        <w:rPr>
          <w:rFonts w:ascii="Times New Roman" w:hAnsi="Times New Roman"/>
          <w:bCs/>
          <w:iCs/>
          <w:sz w:val="20"/>
          <w:szCs w:val="20"/>
        </w:rPr>
        <w:t xml:space="preserve"> between 0 and 1 (0 </w:t>
      </w:r>
      <w:r>
        <w:rPr>
          <w:rFonts w:ascii="Times New Roman" w:hAnsi="Times New Roman" w:cs="Times New Roman"/>
          <w:bCs/>
          <w:iCs/>
          <w:sz w:val="20"/>
          <w:szCs w:val="20"/>
        </w:rPr>
        <w:t xml:space="preserve">&lt; </w:t>
      </w:r>
      <w:r>
        <w:rPr>
          <w:rFonts w:ascii="Times New Roman" w:hAnsi="Times New Roman"/>
          <w:bCs/>
          <w:iCs/>
          <w:sz w:val="20"/>
          <w:szCs w:val="20"/>
        </w:rPr>
        <w:t>R</w:t>
      </w:r>
      <w:r>
        <w:rPr>
          <w:rFonts w:ascii="Times New Roman" w:hAnsi="Times New Roman"/>
          <w:bCs/>
          <w:iCs/>
          <w:sz w:val="20"/>
          <w:szCs w:val="20"/>
          <w:vertAlign w:val="subscript"/>
        </w:rPr>
        <w:t>L</w:t>
      </w:r>
      <w:r>
        <w:rPr>
          <w:rFonts w:ascii="Times New Roman" w:hAnsi="Times New Roman" w:cs="Times New Roman"/>
          <w:bCs/>
          <w:iCs/>
          <w:sz w:val="20"/>
          <w:szCs w:val="20"/>
        </w:rPr>
        <w:t xml:space="preserve">&lt; </w:t>
      </w:r>
      <w:r>
        <w:rPr>
          <w:rFonts w:ascii="Times New Roman" w:hAnsi="Times New Roman"/>
          <w:bCs/>
          <w:iCs/>
          <w:sz w:val="20"/>
          <w:szCs w:val="20"/>
        </w:rPr>
        <w:t>1)</w:t>
      </w:r>
      <w:r>
        <w:rPr>
          <w:rFonts w:ascii="Times New Roman" w:hAnsi="Times New Roman"/>
          <w:bCs/>
          <w:iCs/>
          <w:sz w:val="20"/>
          <w:szCs w:val="20"/>
          <w:lang w:val="en-MY"/>
        </w:rPr>
        <w:t>,</w:t>
      </w:r>
      <w:r>
        <w:rPr>
          <w:rFonts w:ascii="Times New Roman" w:hAnsi="Times New Roman"/>
          <w:bCs/>
          <w:iCs/>
          <w:sz w:val="20"/>
          <w:szCs w:val="20"/>
        </w:rPr>
        <w:t xml:space="preserve"> implying that Pb(II) adsorption is favo</w:t>
      </w:r>
      <w:r>
        <w:rPr>
          <w:rFonts w:ascii="Times New Roman" w:hAnsi="Times New Roman"/>
          <w:bCs/>
          <w:iCs/>
          <w:sz w:val="20"/>
          <w:szCs w:val="20"/>
          <w:lang w:val="en-MY"/>
        </w:rPr>
        <w:t>u</w:t>
      </w:r>
      <w:r>
        <w:rPr>
          <w:rFonts w:ascii="Times New Roman" w:hAnsi="Times New Roman"/>
          <w:bCs/>
          <w:iCs/>
          <w:sz w:val="20"/>
          <w:szCs w:val="20"/>
        </w:rPr>
        <w:t xml:space="preserve">rable at all </w:t>
      </w:r>
      <w:r>
        <w:rPr>
          <w:rFonts w:ascii="Times New Roman" w:hAnsi="Times New Roman"/>
          <w:bCs/>
          <w:iCs/>
          <w:sz w:val="20"/>
          <w:szCs w:val="20"/>
          <w:lang w:val="en-MY"/>
        </w:rPr>
        <w:t xml:space="preserve">the </w:t>
      </w:r>
      <w:r>
        <w:rPr>
          <w:rFonts w:ascii="Times New Roman" w:hAnsi="Times New Roman"/>
          <w:bCs/>
          <w:iCs/>
          <w:sz w:val="20"/>
          <w:szCs w:val="20"/>
        </w:rPr>
        <w:t>concentrations studied [70].</w:t>
      </w:r>
    </w:p>
    <w:p w14:paraId="230C8EC0" w14:textId="296300C5" w:rsidR="00D037D1" w:rsidRPr="00B268F2" w:rsidRDefault="006541D4" w:rsidP="00B268F2">
      <w:pPr>
        <w:tabs>
          <w:tab w:val="left" w:pos="2070"/>
        </w:tabs>
        <w:autoSpaceDE w:val="0"/>
        <w:autoSpaceDN w:val="0"/>
        <w:adjustRightInd w:val="0"/>
        <w:spacing w:after="240" w:line="240" w:lineRule="auto"/>
        <w:jc w:val="both"/>
        <w:rPr>
          <w:rFonts w:ascii="Times New Roman" w:hAnsi="Times New Roman"/>
          <w:bCs/>
          <w:iCs/>
          <w:sz w:val="20"/>
          <w:szCs w:val="20"/>
        </w:rPr>
      </w:pPr>
      <w:r>
        <w:rPr>
          <w:rFonts w:ascii="Times New Roman" w:hAnsi="Times New Roman"/>
          <w:bCs/>
          <w:iCs/>
          <w:sz w:val="20"/>
          <w:szCs w:val="20"/>
        </w:rPr>
        <w:t>The slopes and intercepts from the linear graphs (Figures 6 and 7) were used to compute the Langmuir and Freundlich isotherm constants, and the results are summar</w:t>
      </w:r>
      <w:r>
        <w:rPr>
          <w:rFonts w:ascii="Times New Roman" w:hAnsi="Times New Roman"/>
          <w:bCs/>
          <w:iCs/>
          <w:sz w:val="20"/>
          <w:szCs w:val="20"/>
          <w:lang w:val="en-MY"/>
        </w:rPr>
        <w:t>is</w:t>
      </w:r>
      <w:r>
        <w:rPr>
          <w:rFonts w:ascii="Times New Roman" w:hAnsi="Times New Roman"/>
          <w:bCs/>
          <w:iCs/>
          <w:sz w:val="20"/>
          <w:szCs w:val="20"/>
        </w:rPr>
        <w:t>ed in Table 1.</w:t>
      </w:r>
      <w:bookmarkStart w:id="72" w:name="_Toc364110533"/>
      <w:bookmarkStart w:id="73" w:name="_Toc365535292"/>
      <w:bookmarkStart w:id="74" w:name="_Toc365471819"/>
      <w:bookmarkStart w:id="75" w:name="_Toc364107227"/>
      <w:bookmarkStart w:id="76" w:name="_Toc364109782"/>
    </w:p>
    <w:p w14:paraId="33CD23D5" w14:textId="77777777" w:rsidR="00D037D1" w:rsidRDefault="00D037D1">
      <w:pPr>
        <w:tabs>
          <w:tab w:val="left" w:pos="2070"/>
        </w:tabs>
        <w:autoSpaceDE w:val="0"/>
        <w:autoSpaceDN w:val="0"/>
        <w:adjustRightInd w:val="0"/>
        <w:spacing w:after="0" w:line="240" w:lineRule="auto"/>
        <w:ind w:left="1710" w:hanging="1710"/>
        <w:jc w:val="center"/>
        <w:rPr>
          <w:rFonts w:asciiTheme="majorBidi" w:hAnsiTheme="majorBidi" w:cstheme="majorBidi"/>
          <w:bCs/>
          <w:sz w:val="18"/>
          <w:szCs w:val="18"/>
        </w:rPr>
      </w:pPr>
    </w:p>
    <w:bookmarkEnd w:id="72"/>
    <w:bookmarkEnd w:id="73"/>
    <w:bookmarkEnd w:id="74"/>
    <w:bookmarkEnd w:id="75"/>
    <w:bookmarkEnd w:id="76"/>
    <w:p w14:paraId="5FE4722D" w14:textId="77777777" w:rsidR="00D037D1" w:rsidRDefault="006541D4">
      <w:pPr>
        <w:tabs>
          <w:tab w:val="left" w:pos="2070"/>
        </w:tabs>
        <w:autoSpaceDE w:val="0"/>
        <w:autoSpaceDN w:val="0"/>
        <w:adjustRightInd w:val="0"/>
        <w:spacing w:after="0" w:line="240" w:lineRule="auto"/>
        <w:ind w:left="1710" w:hanging="1710"/>
        <w:jc w:val="center"/>
        <w:rPr>
          <w:rFonts w:asciiTheme="majorBidi" w:hAnsiTheme="majorBidi" w:cstheme="majorBidi"/>
          <w:iCs/>
          <w:sz w:val="20"/>
          <w:szCs w:val="20"/>
        </w:rPr>
      </w:pPr>
      <w:r>
        <w:rPr>
          <w:noProof/>
        </w:rPr>
        <w:drawing>
          <wp:inline distT="0" distB="0" distL="0" distR="0" wp14:anchorId="46A1D7D9" wp14:editId="3B390851">
            <wp:extent cx="4572000" cy="2738120"/>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FD1358" w14:textId="1600EC50" w:rsidR="00D037D1" w:rsidRDefault="006541D4">
      <w:pPr>
        <w:tabs>
          <w:tab w:val="left" w:pos="2070"/>
        </w:tabs>
        <w:autoSpaceDE w:val="0"/>
        <w:autoSpaceDN w:val="0"/>
        <w:adjustRightInd w:val="0"/>
        <w:spacing w:before="240" w:after="0" w:line="240" w:lineRule="auto"/>
        <w:ind w:left="1710" w:hanging="1710"/>
        <w:jc w:val="center"/>
        <w:rPr>
          <w:rFonts w:asciiTheme="majorBidi" w:hAnsiTheme="majorBidi" w:cstheme="majorBidi"/>
          <w:i/>
          <w:sz w:val="20"/>
          <w:szCs w:val="20"/>
          <w:lang w:val="en-MY"/>
        </w:rPr>
      </w:pPr>
      <w:r>
        <w:rPr>
          <w:rFonts w:asciiTheme="majorBidi" w:hAnsiTheme="majorBidi" w:cstheme="majorBidi"/>
          <w:bCs/>
          <w:sz w:val="20"/>
          <w:szCs w:val="20"/>
        </w:rPr>
        <w:t>Figure 6.</w:t>
      </w:r>
      <w:r>
        <w:rPr>
          <w:rFonts w:asciiTheme="majorBidi" w:hAnsiTheme="majorBidi" w:cstheme="majorBidi"/>
          <w:b/>
          <w:sz w:val="20"/>
          <w:szCs w:val="20"/>
        </w:rPr>
        <w:t xml:space="preserve"> </w:t>
      </w:r>
      <w:r>
        <w:rPr>
          <w:rFonts w:asciiTheme="majorBidi" w:hAnsiTheme="majorBidi" w:cstheme="majorBidi"/>
          <w:iCs/>
          <w:sz w:val="20"/>
          <w:szCs w:val="20"/>
        </w:rPr>
        <w:t xml:space="preserve">Langmuir isotherm for Pb (II) biosorption by </w:t>
      </w:r>
      <w:r>
        <w:rPr>
          <w:rFonts w:asciiTheme="majorBidi" w:hAnsiTheme="majorBidi" w:cstheme="majorBidi"/>
          <w:i/>
          <w:sz w:val="20"/>
          <w:szCs w:val="20"/>
        </w:rPr>
        <w:t>E. denticulatum</w:t>
      </w:r>
    </w:p>
    <w:p w14:paraId="7EE56D85" w14:textId="77777777" w:rsidR="00D037D1" w:rsidRDefault="00D037D1" w:rsidP="00B268F2">
      <w:pPr>
        <w:tabs>
          <w:tab w:val="left" w:pos="2070"/>
        </w:tabs>
        <w:autoSpaceDE w:val="0"/>
        <w:autoSpaceDN w:val="0"/>
        <w:adjustRightInd w:val="0"/>
        <w:spacing w:after="0" w:line="240" w:lineRule="auto"/>
        <w:rPr>
          <w:rFonts w:ascii="Times New Roman" w:hAnsi="Times New Roman"/>
          <w:b/>
          <w:sz w:val="20"/>
          <w:szCs w:val="20"/>
        </w:rPr>
      </w:pPr>
    </w:p>
    <w:p w14:paraId="42A784F9" w14:textId="77777777" w:rsidR="00D037D1" w:rsidRDefault="006541D4">
      <w:pPr>
        <w:tabs>
          <w:tab w:val="left" w:pos="2070"/>
        </w:tabs>
        <w:autoSpaceDE w:val="0"/>
        <w:autoSpaceDN w:val="0"/>
        <w:adjustRightInd w:val="0"/>
        <w:spacing w:after="0" w:line="240" w:lineRule="auto"/>
        <w:jc w:val="center"/>
        <w:rPr>
          <w:b/>
          <w:sz w:val="20"/>
          <w:szCs w:val="20"/>
        </w:rPr>
      </w:pPr>
      <w:bookmarkStart w:id="77" w:name="_Toc364107228"/>
      <w:bookmarkStart w:id="78" w:name="_Toc364110534"/>
      <w:bookmarkStart w:id="79" w:name="_Toc365471820"/>
      <w:bookmarkStart w:id="80" w:name="_Toc364109783"/>
      <w:r>
        <w:rPr>
          <w:noProof/>
        </w:rPr>
        <w:drawing>
          <wp:inline distT="0" distB="0" distL="0" distR="0" wp14:anchorId="12DDD094" wp14:editId="5144AA7C">
            <wp:extent cx="4511040" cy="2619375"/>
            <wp:effectExtent l="0" t="0" r="381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A50F76" w14:textId="77777777" w:rsidR="00D037D1" w:rsidRDefault="00D037D1">
      <w:pPr>
        <w:tabs>
          <w:tab w:val="left" w:pos="2070"/>
        </w:tabs>
        <w:autoSpaceDE w:val="0"/>
        <w:autoSpaceDN w:val="0"/>
        <w:adjustRightInd w:val="0"/>
        <w:spacing w:after="0" w:line="240" w:lineRule="auto"/>
        <w:jc w:val="center"/>
        <w:rPr>
          <w:b/>
          <w:sz w:val="20"/>
          <w:szCs w:val="20"/>
        </w:rPr>
      </w:pPr>
    </w:p>
    <w:p w14:paraId="6A4EF4E3" w14:textId="79478461" w:rsidR="00D037D1" w:rsidRDefault="006541D4">
      <w:pPr>
        <w:tabs>
          <w:tab w:val="left" w:pos="2070"/>
        </w:tabs>
        <w:autoSpaceDE w:val="0"/>
        <w:autoSpaceDN w:val="0"/>
        <w:adjustRightInd w:val="0"/>
        <w:spacing w:after="0" w:line="240" w:lineRule="auto"/>
        <w:ind w:left="1710" w:hanging="1710"/>
        <w:jc w:val="center"/>
        <w:rPr>
          <w:rStyle w:val="Heading2Char"/>
          <w:b w:val="0"/>
          <w:lang w:val="en-MY"/>
        </w:rPr>
      </w:pPr>
      <w:r>
        <w:rPr>
          <w:rFonts w:ascii="Times New Roman" w:hAnsi="Times New Roman"/>
          <w:bCs/>
          <w:sz w:val="20"/>
          <w:szCs w:val="20"/>
        </w:rPr>
        <w:t>Figure 7.</w:t>
      </w:r>
      <w:r>
        <w:rPr>
          <w:rStyle w:val="Heading2Char"/>
          <w:b w:val="0"/>
        </w:rPr>
        <w:t xml:space="preserve"> Linear</w:t>
      </w:r>
      <w:r>
        <w:rPr>
          <w:rStyle w:val="Heading2Char"/>
          <w:b w:val="0"/>
          <w:lang w:val="en-MY"/>
        </w:rPr>
        <w:t>is</w:t>
      </w:r>
      <w:r>
        <w:rPr>
          <w:rStyle w:val="Heading2Char"/>
          <w:b w:val="0"/>
        </w:rPr>
        <w:t xml:space="preserve">ed Freundlich isotherm for Pb(II) biosorption by </w:t>
      </w:r>
      <w:r>
        <w:rPr>
          <w:rStyle w:val="Heading2Char"/>
          <w:b w:val="0"/>
          <w:i/>
          <w:iCs w:val="0"/>
        </w:rPr>
        <w:t>E. denticulatum</w:t>
      </w:r>
      <w:bookmarkEnd w:id="77"/>
      <w:bookmarkEnd w:id="78"/>
      <w:bookmarkEnd w:id="79"/>
      <w:bookmarkEnd w:id="80"/>
    </w:p>
    <w:p w14:paraId="72158C31" w14:textId="77777777" w:rsidR="00D037D1" w:rsidRDefault="00D037D1">
      <w:pPr>
        <w:tabs>
          <w:tab w:val="left" w:pos="2070"/>
        </w:tabs>
        <w:autoSpaceDE w:val="0"/>
        <w:autoSpaceDN w:val="0"/>
        <w:adjustRightInd w:val="0"/>
        <w:spacing w:after="0" w:line="240" w:lineRule="auto"/>
        <w:rPr>
          <w:b/>
          <w:sz w:val="20"/>
          <w:szCs w:val="20"/>
        </w:rPr>
      </w:pPr>
      <w:bookmarkStart w:id="81" w:name="_Toc365535293"/>
      <w:bookmarkStart w:id="82" w:name="_Toc364107229"/>
      <w:bookmarkStart w:id="83" w:name="_Toc365471821"/>
      <w:bookmarkStart w:id="84" w:name="_Toc364109784"/>
      <w:bookmarkStart w:id="85" w:name="_Toc364110535"/>
    </w:p>
    <w:p w14:paraId="3FB02AF0" w14:textId="77777777" w:rsidR="00D037D1" w:rsidRDefault="006541D4">
      <w:pPr>
        <w:pStyle w:val="Heading3"/>
        <w:spacing w:after="240" w:line="240" w:lineRule="auto"/>
        <w:ind w:left="810" w:hanging="810"/>
        <w:jc w:val="center"/>
        <w:rPr>
          <w:rStyle w:val="Heading2Char"/>
          <w:iCs w:val="0"/>
          <w:color w:val="auto"/>
          <w:lang w:val="en-MY"/>
        </w:rPr>
      </w:pPr>
      <w:bookmarkStart w:id="86" w:name="_Toc363887669"/>
      <w:bookmarkStart w:id="87" w:name="_Toc364110537"/>
      <w:bookmarkStart w:id="88" w:name="_Toc364107231"/>
      <w:bookmarkStart w:id="89" w:name="_Toc365471823"/>
      <w:bookmarkStart w:id="90" w:name="_Toc362175477"/>
      <w:bookmarkStart w:id="91" w:name="_Toc362176598"/>
      <w:bookmarkStart w:id="92" w:name="_Toc364109786"/>
      <w:bookmarkStart w:id="93" w:name="_Toc365535294"/>
      <w:bookmarkStart w:id="94" w:name="_Hlk94459000"/>
      <w:bookmarkEnd w:id="81"/>
      <w:bookmarkEnd w:id="82"/>
      <w:bookmarkEnd w:id="83"/>
      <w:bookmarkEnd w:id="84"/>
      <w:bookmarkEnd w:id="85"/>
      <w:r>
        <w:rPr>
          <w:rFonts w:ascii="Times New Roman" w:eastAsia="Calibri" w:hAnsi="Times New Roman"/>
          <w:b w:val="0"/>
          <w:bCs w:val="0"/>
          <w:iCs/>
          <w:color w:val="auto"/>
          <w:sz w:val="20"/>
          <w:szCs w:val="20"/>
        </w:rPr>
        <w:lastRenderedPageBreak/>
        <w:t>Table 1.</w:t>
      </w:r>
      <w:r>
        <w:rPr>
          <w:rFonts w:ascii="Times New Roman" w:eastAsia="Calibri" w:hAnsi="Times New Roman"/>
          <w:iCs/>
          <w:color w:val="auto"/>
          <w:sz w:val="20"/>
          <w:szCs w:val="20"/>
        </w:rPr>
        <w:t xml:space="preserve"> </w:t>
      </w:r>
      <w:r>
        <w:rPr>
          <w:rStyle w:val="Heading2Char"/>
          <w:color w:val="auto"/>
        </w:rPr>
        <w:t xml:space="preserve">The Langmuir and Freundlich parameters and correlation coefficients for the biosorption of Pb (II) onto </w:t>
      </w:r>
      <w:bookmarkEnd w:id="86"/>
      <w:bookmarkEnd w:id="87"/>
      <w:bookmarkEnd w:id="88"/>
      <w:bookmarkEnd w:id="89"/>
      <w:bookmarkEnd w:id="90"/>
      <w:bookmarkEnd w:id="91"/>
      <w:bookmarkEnd w:id="92"/>
      <w:bookmarkEnd w:id="93"/>
      <w:r>
        <w:rPr>
          <w:rStyle w:val="Heading2Char"/>
          <w:bCs w:val="0"/>
          <w:i/>
          <w:color w:val="auto"/>
        </w:rPr>
        <w:t>E.</w:t>
      </w:r>
      <w:r>
        <w:rPr>
          <w:rStyle w:val="Heading2Char"/>
          <w:i/>
          <w:color w:val="auto"/>
        </w:rPr>
        <w:t xml:space="preserve"> denticulatum</w:t>
      </w:r>
      <w:r>
        <w:rPr>
          <w:rStyle w:val="Heading2Char"/>
          <w:i/>
          <w:color w:val="auto"/>
          <w:lang w:val="en-MY"/>
        </w:rPr>
        <w:t>.</w:t>
      </w:r>
    </w:p>
    <w:tbl>
      <w:tblPr>
        <w:tblStyle w:val="GridTable1Light-Accent11"/>
        <w:tblW w:w="751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168"/>
        <w:gridCol w:w="1100"/>
        <w:gridCol w:w="780"/>
        <w:gridCol w:w="942"/>
        <w:gridCol w:w="836"/>
        <w:gridCol w:w="720"/>
        <w:gridCol w:w="981"/>
      </w:tblGrid>
      <w:tr w:rsidR="00D037D1" w14:paraId="014DFF47" w14:textId="77777777" w:rsidTr="00B268F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none" w:sz="0" w:space="0" w:color="auto"/>
            </w:tcBorders>
            <w:vAlign w:val="center"/>
          </w:tcPr>
          <w:bookmarkEnd w:id="94"/>
          <w:p w14:paraId="646C0BD5" w14:textId="77777777" w:rsidR="00D037D1" w:rsidRDefault="006541D4" w:rsidP="00B268F2">
            <w:pPr>
              <w:tabs>
                <w:tab w:val="left" w:pos="2070"/>
              </w:tabs>
              <w:autoSpaceDE w:val="0"/>
              <w:autoSpaceDN w:val="0"/>
              <w:adjustRightInd w:val="0"/>
              <w:spacing w:after="0" w:line="240" w:lineRule="auto"/>
              <w:jc w:val="center"/>
              <w:rPr>
                <w:rFonts w:ascii="Times New Roman" w:hAnsi="Times New Roman"/>
                <w:iCs/>
                <w:sz w:val="20"/>
                <w:szCs w:val="20"/>
              </w:rPr>
            </w:pPr>
            <w:r>
              <w:rPr>
                <w:rFonts w:ascii="Times New Roman" w:hAnsi="Times New Roman"/>
                <w:iCs/>
                <w:sz w:val="20"/>
                <w:szCs w:val="20"/>
              </w:rPr>
              <w:t>Metal</w:t>
            </w:r>
          </w:p>
        </w:tc>
        <w:tc>
          <w:tcPr>
            <w:tcW w:w="3048" w:type="dxa"/>
            <w:gridSpan w:val="3"/>
            <w:tcBorders>
              <w:top w:val="single" w:sz="4" w:space="0" w:color="auto"/>
              <w:bottom w:val="single" w:sz="4" w:space="0" w:color="auto"/>
            </w:tcBorders>
            <w:vAlign w:val="center"/>
          </w:tcPr>
          <w:p w14:paraId="200ED1A2" w14:textId="44398187" w:rsidR="00D037D1" w:rsidRDefault="006541D4" w:rsidP="00B268F2">
            <w:pPr>
              <w:tabs>
                <w:tab w:val="left" w:pos="2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 xml:space="preserve">Langmuir </w:t>
            </w:r>
            <w:r w:rsidR="00B268F2">
              <w:rPr>
                <w:rFonts w:ascii="Times New Roman" w:hAnsi="Times New Roman"/>
                <w:iCs/>
                <w:sz w:val="20"/>
                <w:szCs w:val="20"/>
              </w:rPr>
              <w:t>Isotherm Parameters</w:t>
            </w:r>
          </w:p>
        </w:tc>
        <w:tc>
          <w:tcPr>
            <w:tcW w:w="3479" w:type="dxa"/>
            <w:gridSpan w:val="4"/>
            <w:tcBorders>
              <w:top w:val="single" w:sz="4" w:space="0" w:color="auto"/>
              <w:bottom w:val="single" w:sz="4" w:space="0" w:color="auto"/>
            </w:tcBorders>
            <w:vAlign w:val="center"/>
          </w:tcPr>
          <w:p w14:paraId="738CF2DD" w14:textId="0246CDE7" w:rsidR="00D037D1" w:rsidRDefault="006541D4" w:rsidP="00B268F2">
            <w:pPr>
              <w:tabs>
                <w:tab w:val="left" w:pos="2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 xml:space="preserve">Freundlich </w:t>
            </w:r>
            <w:r w:rsidR="00B268F2">
              <w:rPr>
                <w:rFonts w:ascii="Times New Roman" w:hAnsi="Times New Roman"/>
                <w:iCs/>
                <w:sz w:val="20"/>
                <w:szCs w:val="20"/>
              </w:rPr>
              <w:t>Isotherm Parameters</w:t>
            </w:r>
          </w:p>
        </w:tc>
      </w:tr>
      <w:tr w:rsidR="00D037D1" w14:paraId="70371CAC" w14:textId="77777777" w:rsidTr="00B268F2">
        <w:trPr>
          <w:trHeight w:val="70"/>
        </w:trPr>
        <w:tc>
          <w:tcPr>
            <w:cnfStyle w:val="001000000000" w:firstRow="0" w:lastRow="0" w:firstColumn="1" w:lastColumn="0" w:oddVBand="0" w:evenVBand="0" w:oddHBand="0" w:evenHBand="0" w:firstRowFirstColumn="0" w:firstRowLastColumn="0" w:lastRowFirstColumn="0" w:lastRowLastColumn="0"/>
            <w:tcW w:w="992" w:type="dxa"/>
            <w:tcBorders>
              <w:bottom w:val="single" w:sz="4" w:space="0" w:color="auto"/>
            </w:tcBorders>
          </w:tcPr>
          <w:p w14:paraId="2846E4FE" w14:textId="77777777" w:rsidR="00D037D1" w:rsidRDefault="00D037D1" w:rsidP="00B268F2">
            <w:pPr>
              <w:tabs>
                <w:tab w:val="left" w:pos="2070"/>
              </w:tabs>
              <w:autoSpaceDE w:val="0"/>
              <w:autoSpaceDN w:val="0"/>
              <w:adjustRightInd w:val="0"/>
              <w:spacing w:after="0" w:line="240" w:lineRule="auto"/>
              <w:jc w:val="center"/>
              <w:rPr>
                <w:rFonts w:ascii="Times New Roman" w:hAnsi="Times New Roman"/>
                <w:b w:val="0"/>
                <w:bCs w:val="0"/>
                <w:iCs/>
                <w:sz w:val="20"/>
                <w:szCs w:val="20"/>
              </w:rPr>
            </w:pPr>
          </w:p>
        </w:tc>
        <w:tc>
          <w:tcPr>
            <w:tcW w:w="1168" w:type="dxa"/>
            <w:tcBorders>
              <w:top w:val="single" w:sz="4" w:space="0" w:color="auto"/>
              <w:bottom w:val="single" w:sz="4" w:space="0" w:color="auto"/>
            </w:tcBorders>
          </w:tcPr>
          <w:p w14:paraId="42CB9F78"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
                <w:iCs/>
                <w:sz w:val="20"/>
                <w:szCs w:val="20"/>
              </w:rPr>
              <w:t>q</w:t>
            </w:r>
            <w:r>
              <w:rPr>
                <w:rFonts w:ascii="Times New Roman" w:hAnsi="Times New Roman"/>
                <w:i/>
                <w:iCs/>
                <w:sz w:val="20"/>
                <w:szCs w:val="20"/>
                <w:vertAlign w:val="subscript"/>
              </w:rPr>
              <w:t>max</w:t>
            </w:r>
            <w:r>
              <w:rPr>
                <w:rFonts w:ascii="Times New Roman" w:hAnsi="Times New Roman"/>
                <w:iCs/>
                <w:sz w:val="20"/>
                <w:szCs w:val="20"/>
              </w:rPr>
              <w:t>, mg/g</w:t>
            </w:r>
          </w:p>
        </w:tc>
        <w:tc>
          <w:tcPr>
            <w:tcW w:w="1100" w:type="dxa"/>
            <w:tcBorders>
              <w:top w:val="single" w:sz="4" w:space="0" w:color="auto"/>
              <w:bottom w:val="single" w:sz="4" w:space="0" w:color="auto"/>
            </w:tcBorders>
          </w:tcPr>
          <w:p w14:paraId="18B1909B"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
                <w:iCs/>
                <w:sz w:val="20"/>
                <w:szCs w:val="20"/>
              </w:rPr>
              <w:t>b</w:t>
            </w:r>
            <w:r>
              <w:rPr>
                <w:rFonts w:ascii="Times New Roman" w:hAnsi="Times New Roman"/>
                <w:iCs/>
                <w:sz w:val="20"/>
                <w:szCs w:val="20"/>
              </w:rPr>
              <w:t>, l/mg</w:t>
            </w:r>
          </w:p>
        </w:tc>
        <w:tc>
          <w:tcPr>
            <w:tcW w:w="780" w:type="dxa"/>
            <w:tcBorders>
              <w:top w:val="single" w:sz="4" w:space="0" w:color="auto"/>
              <w:bottom w:val="single" w:sz="4" w:space="0" w:color="auto"/>
            </w:tcBorders>
          </w:tcPr>
          <w:p w14:paraId="6F05498C"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
                <w:iCs/>
                <w:sz w:val="20"/>
                <w:szCs w:val="20"/>
              </w:rPr>
              <w:t>R</w:t>
            </w:r>
            <w:r>
              <w:rPr>
                <w:rFonts w:ascii="Times New Roman" w:hAnsi="Times New Roman"/>
                <w:i/>
                <w:iCs/>
                <w:sz w:val="20"/>
                <w:szCs w:val="20"/>
                <w:vertAlign w:val="superscript"/>
              </w:rPr>
              <w:t>2</w:t>
            </w:r>
          </w:p>
        </w:tc>
        <w:tc>
          <w:tcPr>
            <w:tcW w:w="942" w:type="dxa"/>
            <w:tcBorders>
              <w:top w:val="single" w:sz="4" w:space="0" w:color="auto"/>
              <w:bottom w:val="single" w:sz="4" w:space="0" w:color="auto"/>
            </w:tcBorders>
          </w:tcPr>
          <w:p w14:paraId="38E36563"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
                <w:iCs/>
                <w:sz w:val="20"/>
                <w:szCs w:val="20"/>
              </w:rPr>
              <w:t>K</w:t>
            </w:r>
            <w:r>
              <w:rPr>
                <w:rFonts w:ascii="Times New Roman" w:hAnsi="Times New Roman"/>
                <w:iCs/>
                <w:sz w:val="20"/>
                <w:szCs w:val="20"/>
              </w:rPr>
              <w:t>, mg/g</w:t>
            </w:r>
          </w:p>
        </w:tc>
        <w:tc>
          <w:tcPr>
            <w:tcW w:w="836" w:type="dxa"/>
            <w:tcBorders>
              <w:top w:val="single" w:sz="4" w:space="0" w:color="auto"/>
              <w:bottom w:val="single" w:sz="4" w:space="0" w:color="auto"/>
            </w:tcBorders>
          </w:tcPr>
          <w:p w14:paraId="06B5659A"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1/</w:t>
            </w:r>
            <w:r>
              <w:rPr>
                <w:rFonts w:ascii="Times New Roman" w:hAnsi="Times New Roman"/>
                <w:i/>
                <w:iCs/>
                <w:sz w:val="20"/>
                <w:szCs w:val="20"/>
              </w:rPr>
              <w:t>n</w:t>
            </w:r>
          </w:p>
        </w:tc>
        <w:tc>
          <w:tcPr>
            <w:tcW w:w="720" w:type="dxa"/>
            <w:tcBorders>
              <w:top w:val="single" w:sz="4" w:space="0" w:color="auto"/>
              <w:bottom w:val="single" w:sz="4" w:space="0" w:color="auto"/>
            </w:tcBorders>
          </w:tcPr>
          <w:p w14:paraId="7807883A"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
                <w:iCs/>
                <w:sz w:val="20"/>
                <w:szCs w:val="20"/>
              </w:rPr>
              <w:t>n</w:t>
            </w:r>
          </w:p>
        </w:tc>
        <w:tc>
          <w:tcPr>
            <w:tcW w:w="981" w:type="dxa"/>
            <w:tcBorders>
              <w:top w:val="single" w:sz="4" w:space="0" w:color="auto"/>
              <w:bottom w:val="single" w:sz="4" w:space="0" w:color="auto"/>
            </w:tcBorders>
          </w:tcPr>
          <w:p w14:paraId="54021D9E"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
                <w:iCs/>
                <w:sz w:val="20"/>
                <w:szCs w:val="20"/>
              </w:rPr>
              <w:t>R</w:t>
            </w:r>
            <w:r>
              <w:rPr>
                <w:rFonts w:ascii="Times New Roman" w:hAnsi="Times New Roman"/>
                <w:i/>
                <w:iCs/>
                <w:sz w:val="20"/>
                <w:szCs w:val="20"/>
                <w:vertAlign w:val="superscript"/>
              </w:rPr>
              <w:t>2</w:t>
            </w:r>
          </w:p>
        </w:tc>
      </w:tr>
      <w:tr w:rsidR="00D037D1" w14:paraId="672BE8BF" w14:textId="77777777" w:rsidTr="00B268F2">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tcPr>
          <w:p w14:paraId="0D53F05E" w14:textId="77777777" w:rsidR="00D037D1" w:rsidRPr="00B268F2" w:rsidRDefault="006541D4" w:rsidP="00B268F2">
            <w:pPr>
              <w:tabs>
                <w:tab w:val="left" w:pos="2070"/>
              </w:tabs>
              <w:autoSpaceDE w:val="0"/>
              <w:autoSpaceDN w:val="0"/>
              <w:adjustRightInd w:val="0"/>
              <w:spacing w:after="0" w:line="240" w:lineRule="auto"/>
              <w:jc w:val="center"/>
              <w:rPr>
                <w:rFonts w:ascii="Times New Roman" w:hAnsi="Times New Roman"/>
                <w:b w:val="0"/>
                <w:bCs w:val="0"/>
                <w:iCs/>
                <w:sz w:val="20"/>
                <w:szCs w:val="20"/>
              </w:rPr>
            </w:pPr>
            <w:r w:rsidRPr="00B268F2">
              <w:rPr>
                <w:rFonts w:ascii="Times New Roman" w:hAnsi="Times New Roman"/>
                <w:b w:val="0"/>
                <w:bCs w:val="0"/>
                <w:iCs/>
                <w:sz w:val="20"/>
                <w:szCs w:val="20"/>
              </w:rPr>
              <w:t>Pb</w:t>
            </w:r>
          </w:p>
        </w:tc>
        <w:tc>
          <w:tcPr>
            <w:tcW w:w="1168" w:type="dxa"/>
            <w:tcBorders>
              <w:top w:val="single" w:sz="4" w:space="0" w:color="auto"/>
              <w:bottom w:val="single" w:sz="4" w:space="0" w:color="auto"/>
            </w:tcBorders>
          </w:tcPr>
          <w:p w14:paraId="6838FF9E"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175.13</w:t>
            </w:r>
          </w:p>
        </w:tc>
        <w:tc>
          <w:tcPr>
            <w:tcW w:w="1100" w:type="dxa"/>
            <w:tcBorders>
              <w:top w:val="single" w:sz="4" w:space="0" w:color="auto"/>
              <w:bottom w:val="single" w:sz="4" w:space="0" w:color="auto"/>
            </w:tcBorders>
          </w:tcPr>
          <w:p w14:paraId="6DB33673"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0.01476</w:t>
            </w:r>
          </w:p>
        </w:tc>
        <w:tc>
          <w:tcPr>
            <w:tcW w:w="780" w:type="dxa"/>
            <w:tcBorders>
              <w:top w:val="single" w:sz="4" w:space="0" w:color="auto"/>
              <w:bottom w:val="single" w:sz="4" w:space="0" w:color="auto"/>
            </w:tcBorders>
          </w:tcPr>
          <w:p w14:paraId="0F3CC2C1"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0.9991</w:t>
            </w:r>
          </w:p>
        </w:tc>
        <w:tc>
          <w:tcPr>
            <w:tcW w:w="942" w:type="dxa"/>
            <w:tcBorders>
              <w:top w:val="single" w:sz="4" w:space="0" w:color="auto"/>
              <w:bottom w:val="single" w:sz="4" w:space="0" w:color="auto"/>
            </w:tcBorders>
          </w:tcPr>
          <w:p w14:paraId="29082C06"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4.517</w:t>
            </w:r>
          </w:p>
        </w:tc>
        <w:tc>
          <w:tcPr>
            <w:tcW w:w="836" w:type="dxa"/>
            <w:tcBorders>
              <w:top w:val="single" w:sz="4" w:space="0" w:color="auto"/>
              <w:bottom w:val="single" w:sz="4" w:space="0" w:color="auto"/>
            </w:tcBorders>
          </w:tcPr>
          <w:p w14:paraId="398DA7B7"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0.632</w:t>
            </w:r>
          </w:p>
        </w:tc>
        <w:tc>
          <w:tcPr>
            <w:tcW w:w="720" w:type="dxa"/>
            <w:tcBorders>
              <w:top w:val="single" w:sz="4" w:space="0" w:color="auto"/>
              <w:bottom w:val="single" w:sz="4" w:space="0" w:color="auto"/>
            </w:tcBorders>
          </w:tcPr>
          <w:p w14:paraId="0A67E08A"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1.67</w:t>
            </w:r>
          </w:p>
        </w:tc>
        <w:tc>
          <w:tcPr>
            <w:tcW w:w="981" w:type="dxa"/>
            <w:tcBorders>
              <w:top w:val="single" w:sz="4" w:space="0" w:color="auto"/>
              <w:bottom w:val="single" w:sz="4" w:space="0" w:color="auto"/>
            </w:tcBorders>
          </w:tcPr>
          <w:p w14:paraId="4E1DC56E" w14:textId="77777777" w:rsidR="00D037D1" w:rsidRDefault="006541D4" w:rsidP="00B268F2">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Pr>
                <w:rFonts w:ascii="Times New Roman" w:hAnsi="Times New Roman"/>
                <w:iCs/>
                <w:sz w:val="20"/>
                <w:szCs w:val="20"/>
              </w:rPr>
              <w:t>0.9272</w:t>
            </w:r>
          </w:p>
        </w:tc>
      </w:tr>
    </w:tbl>
    <w:p w14:paraId="27CBDDFD" w14:textId="400F1C14" w:rsidR="00D037D1" w:rsidRPr="00B268F2" w:rsidRDefault="006541D4">
      <w:pPr>
        <w:tabs>
          <w:tab w:val="left" w:pos="2070"/>
        </w:tabs>
        <w:autoSpaceDE w:val="0"/>
        <w:autoSpaceDN w:val="0"/>
        <w:adjustRightInd w:val="0"/>
        <w:spacing w:before="240" w:after="0" w:line="240" w:lineRule="auto"/>
        <w:jc w:val="both"/>
        <w:rPr>
          <w:rFonts w:ascii="Times New Roman" w:hAnsi="Times New Roman"/>
          <w:bCs/>
          <w:i/>
          <w:sz w:val="20"/>
          <w:szCs w:val="20"/>
        </w:rPr>
      </w:pPr>
      <w:r>
        <w:rPr>
          <w:rFonts w:ascii="Times New Roman" w:hAnsi="Times New Roman"/>
          <w:bCs/>
          <w:iCs/>
          <w:sz w:val="20"/>
          <w:szCs w:val="20"/>
        </w:rPr>
        <w:t xml:space="preserve">The magnitude of the Freundlich constant </w:t>
      </w:r>
      <w:r>
        <w:rPr>
          <w:rFonts w:ascii="Times New Roman" w:hAnsi="Times New Roman"/>
          <w:bCs/>
          <w:i/>
          <w:sz w:val="20"/>
          <w:szCs w:val="20"/>
        </w:rPr>
        <w:t>K</w:t>
      </w:r>
      <w:r>
        <w:rPr>
          <w:rFonts w:ascii="Times New Roman" w:hAnsi="Times New Roman"/>
          <w:bCs/>
          <w:iCs/>
          <w:sz w:val="20"/>
          <w:szCs w:val="20"/>
        </w:rPr>
        <w:t xml:space="preserve"> suggests the high adsorption capacity of Pb(II) ions on </w:t>
      </w:r>
      <w:r>
        <w:rPr>
          <w:rStyle w:val="Heading2Char"/>
          <w:b w:val="0"/>
          <w:i/>
          <w:iCs w:val="0"/>
        </w:rPr>
        <w:t>E.</w:t>
      </w:r>
      <w:r>
        <w:rPr>
          <w:rStyle w:val="Heading2Char"/>
          <w:bCs/>
          <w:i/>
          <w:iCs w:val="0"/>
        </w:rPr>
        <w:t xml:space="preserve"> </w:t>
      </w:r>
      <w:r>
        <w:rPr>
          <w:rStyle w:val="Heading2Char"/>
          <w:b w:val="0"/>
          <w:i/>
          <w:iCs w:val="0"/>
        </w:rPr>
        <w:t>denticulatum</w:t>
      </w:r>
      <w:r>
        <w:rPr>
          <w:rStyle w:val="Heading2Char"/>
          <w:bCs/>
          <w:i/>
          <w:iCs w:val="0"/>
        </w:rPr>
        <w:t>.</w:t>
      </w:r>
      <w:r>
        <w:rPr>
          <w:rFonts w:ascii="Times New Roman" w:hAnsi="Times New Roman"/>
          <w:bCs/>
          <w:iCs/>
          <w:sz w:val="20"/>
          <w:szCs w:val="20"/>
        </w:rPr>
        <w:t xml:space="preserve"> The value of n = 1.67 (n </w:t>
      </w:r>
      <w:r>
        <w:rPr>
          <w:rFonts w:ascii="Times New Roman" w:hAnsi="Times New Roman" w:cs="Times New Roman"/>
          <w:bCs/>
          <w:iCs/>
          <w:sz w:val="20"/>
          <w:szCs w:val="20"/>
        </w:rPr>
        <w:t>&gt;</w:t>
      </w:r>
      <w:r>
        <w:rPr>
          <w:rFonts w:ascii="Times New Roman" w:hAnsi="Times New Roman"/>
          <w:bCs/>
          <w:iCs/>
          <w:sz w:val="20"/>
          <w:szCs w:val="20"/>
        </w:rPr>
        <w:t xml:space="preserve"> 1) </w:t>
      </w:r>
      <w:r>
        <w:rPr>
          <w:rFonts w:ascii="Times New Roman" w:hAnsi="Times New Roman"/>
          <w:bCs/>
          <w:iCs/>
          <w:sz w:val="20"/>
          <w:szCs w:val="20"/>
          <w:lang w:val="en-MY"/>
        </w:rPr>
        <w:t xml:space="preserve">indicates </w:t>
      </w:r>
      <w:r>
        <w:rPr>
          <w:rFonts w:ascii="Times New Roman" w:hAnsi="Times New Roman"/>
          <w:bCs/>
          <w:iCs/>
          <w:sz w:val="20"/>
          <w:szCs w:val="20"/>
        </w:rPr>
        <w:t xml:space="preserve">that under the given experimental conditions, the heterogeneity of the biomass surface and the metal ions </w:t>
      </w:r>
      <w:r>
        <w:rPr>
          <w:rFonts w:ascii="Times New Roman" w:hAnsi="Times New Roman"/>
          <w:bCs/>
          <w:iCs/>
          <w:sz w:val="20"/>
          <w:szCs w:val="20"/>
          <w:lang w:val="en-MY"/>
        </w:rPr>
        <w:t>we</w:t>
      </w:r>
      <w:r>
        <w:rPr>
          <w:rFonts w:ascii="Times New Roman" w:hAnsi="Times New Roman"/>
          <w:bCs/>
          <w:iCs/>
          <w:sz w:val="20"/>
          <w:szCs w:val="20"/>
        </w:rPr>
        <w:t xml:space="preserve">re adequately and intensively adsorbed by </w:t>
      </w:r>
      <w:r>
        <w:rPr>
          <w:rFonts w:ascii="Times New Roman" w:hAnsi="Times New Roman"/>
          <w:bCs/>
          <w:iCs/>
          <w:sz w:val="20"/>
          <w:szCs w:val="20"/>
          <w:lang w:val="en-MY"/>
        </w:rPr>
        <w:t xml:space="preserve">the </w:t>
      </w:r>
      <w:r>
        <w:rPr>
          <w:rFonts w:ascii="Times New Roman" w:hAnsi="Times New Roman"/>
          <w:bCs/>
          <w:iCs/>
          <w:sz w:val="20"/>
          <w:szCs w:val="20"/>
        </w:rPr>
        <w:t xml:space="preserve">dried seaweed </w:t>
      </w:r>
      <w:r>
        <w:rPr>
          <w:rFonts w:ascii="Times New Roman" w:hAnsi="Times New Roman"/>
          <w:bCs/>
          <w:i/>
          <w:sz w:val="20"/>
          <w:szCs w:val="20"/>
        </w:rPr>
        <w:t xml:space="preserve">E. denticulatum. </w:t>
      </w:r>
    </w:p>
    <w:p w14:paraId="53100AE0" w14:textId="77777777" w:rsidR="00D037D1" w:rsidRDefault="006541D4">
      <w:pPr>
        <w:tabs>
          <w:tab w:val="left" w:pos="2070"/>
        </w:tabs>
        <w:autoSpaceDE w:val="0"/>
        <w:autoSpaceDN w:val="0"/>
        <w:adjustRightInd w:val="0"/>
        <w:spacing w:before="240" w:after="0" w:line="240" w:lineRule="auto"/>
        <w:jc w:val="both"/>
        <w:rPr>
          <w:rFonts w:ascii="Times New Roman" w:hAnsi="Times New Roman"/>
          <w:b/>
          <w:iCs/>
          <w:sz w:val="20"/>
          <w:szCs w:val="20"/>
        </w:rPr>
      </w:pPr>
      <w:r>
        <w:rPr>
          <w:rFonts w:ascii="Times New Roman" w:hAnsi="Times New Roman"/>
          <w:b/>
          <w:iCs/>
          <w:sz w:val="20"/>
          <w:szCs w:val="20"/>
        </w:rPr>
        <w:t>Kinetic studies</w:t>
      </w:r>
    </w:p>
    <w:p w14:paraId="6537F85B" w14:textId="0C46A7F4" w:rsidR="00D037D1" w:rsidRDefault="006541D4" w:rsidP="00B268F2">
      <w:pPr>
        <w:tabs>
          <w:tab w:val="left" w:pos="2070"/>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hAnsi="Times New Roman"/>
          <w:bCs/>
          <w:iCs/>
          <w:sz w:val="20"/>
          <w:szCs w:val="20"/>
        </w:rPr>
        <w:t>The</w:t>
      </w:r>
      <w:r>
        <w:rPr>
          <w:rFonts w:ascii="Times New Roman" w:hAnsi="Times New Roman"/>
          <w:iCs/>
          <w:sz w:val="20"/>
          <w:szCs w:val="20"/>
        </w:rPr>
        <w:t xml:space="preserve"> </w:t>
      </w:r>
      <w:r>
        <w:rPr>
          <w:rFonts w:ascii="Times New Roman" w:eastAsia="Times New Roman" w:hAnsi="Times New Roman" w:cs="Times New Roman"/>
          <w:sz w:val="20"/>
          <w:szCs w:val="20"/>
        </w:rPr>
        <w:t>Pb</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ions adsorption rate onto </w:t>
      </w:r>
      <w:r>
        <w:rPr>
          <w:rFonts w:ascii="Times New Roman" w:eastAsia="Times New Roman" w:hAnsi="Times New Roman" w:cs="Times New Roman"/>
          <w:i/>
          <w:iCs/>
          <w:sz w:val="20"/>
          <w:szCs w:val="20"/>
        </w:rPr>
        <w:t>E.denticulatum</w:t>
      </w:r>
      <w:r>
        <w:rPr>
          <w:rFonts w:ascii="Times New Roman" w:eastAsia="Times New Roman" w:hAnsi="Times New Roman" w:cs="Times New Roman"/>
          <w:sz w:val="20"/>
          <w:szCs w:val="20"/>
        </w:rPr>
        <w:t xml:space="preserve"> was estimated </w:t>
      </w:r>
      <w:r>
        <w:rPr>
          <w:rFonts w:ascii="Times New Roman" w:eastAsia="Times New Roman" w:hAnsi="Times New Roman" w:cs="Times New Roman"/>
          <w:sz w:val="20"/>
          <w:szCs w:val="20"/>
          <w:lang w:val="en-MY"/>
        </w:rPr>
        <w:t>for</w:t>
      </w:r>
      <w:r>
        <w:rPr>
          <w:rFonts w:ascii="Times New Roman" w:eastAsia="Times New Roman" w:hAnsi="Times New Roman" w:cs="Times New Roman"/>
          <w:sz w:val="20"/>
          <w:szCs w:val="20"/>
        </w:rPr>
        <w:t xml:space="preserve"> contact time</w:t>
      </w:r>
      <w:r>
        <w:rPr>
          <w:rFonts w:ascii="Times New Roman" w:eastAsia="Times New Roman" w:hAnsi="Times New Roman" w:cs="Times New Roman"/>
          <w:sz w:val="20"/>
          <w:szCs w:val="20"/>
          <w:lang w:val="en-MY"/>
        </w:rPr>
        <w:t>s</w:t>
      </w:r>
      <w:r>
        <w:rPr>
          <w:rFonts w:ascii="Times New Roman" w:eastAsia="Times New Roman" w:hAnsi="Times New Roman" w:cs="Times New Roman"/>
          <w:sz w:val="20"/>
          <w:szCs w:val="20"/>
        </w:rPr>
        <w:t xml:space="preserve"> rang</w:t>
      </w:r>
      <w:r>
        <w:rPr>
          <w:rFonts w:ascii="Times New Roman" w:eastAsia="Times New Roman" w:hAnsi="Times New Roman" w:cs="Times New Roman"/>
          <w:sz w:val="20"/>
          <w:szCs w:val="20"/>
          <w:lang w:val="en-MY"/>
        </w:rPr>
        <w:t>ing</w:t>
      </w:r>
      <w:r>
        <w:rPr>
          <w:rFonts w:ascii="Times New Roman" w:eastAsia="Times New Roman" w:hAnsi="Times New Roman" w:cs="Times New Roman"/>
          <w:sz w:val="20"/>
          <w:szCs w:val="20"/>
        </w:rPr>
        <w:t xml:space="preserve"> from (0 – 180) min. The experimental data were interpreted using pseudo-first-order and pseudo-second-order kinetic models. The kinetic parameters and regression coefficients were obtained from their corresponding linear graphs (Figures 8 (a) and (b)</w:t>
      </w:r>
      <w:r>
        <w:rPr>
          <w:rFonts w:ascii="Times New Roman" w:eastAsia="Times New Roman" w:hAnsi="Times New Roman" w:cs="Times New Roman"/>
          <w:sz w:val="20"/>
          <w:szCs w:val="20"/>
          <w:lang w:val="en-MY"/>
        </w:rPr>
        <w:t>)</w:t>
      </w:r>
      <w:r>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lang w:val="en-MY"/>
        </w:rPr>
        <w:t xml:space="preserve">these are </w:t>
      </w:r>
      <w:r>
        <w:rPr>
          <w:rFonts w:ascii="Times New Roman" w:eastAsia="Times New Roman" w:hAnsi="Times New Roman" w:cs="Times New Roman"/>
          <w:sz w:val="20"/>
          <w:szCs w:val="20"/>
        </w:rPr>
        <w:t>summar</w:t>
      </w:r>
      <w:r>
        <w:rPr>
          <w:rFonts w:ascii="Times New Roman" w:eastAsia="Times New Roman" w:hAnsi="Times New Roman" w:cs="Times New Roman"/>
          <w:sz w:val="20"/>
          <w:szCs w:val="20"/>
          <w:lang w:val="en-MY"/>
        </w:rPr>
        <w:t>is</w:t>
      </w:r>
      <w:r>
        <w:rPr>
          <w:rFonts w:ascii="Times New Roman" w:eastAsia="Times New Roman" w:hAnsi="Times New Roman" w:cs="Times New Roman"/>
          <w:sz w:val="20"/>
          <w:szCs w:val="20"/>
        </w:rPr>
        <w:t xml:space="preserve">ed in </w:t>
      </w:r>
      <w:r>
        <w:rPr>
          <w:rFonts w:ascii="Times New Roman" w:eastAsia="Times New Roman" w:hAnsi="Times New Roman" w:cs="Times New Roman"/>
          <w:sz w:val="20"/>
          <w:szCs w:val="20"/>
          <w:lang w:val="en-MY"/>
        </w:rPr>
        <w:t>T</w:t>
      </w:r>
      <w:r>
        <w:rPr>
          <w:rFonts w:ascii="Times New Roman" w:eastAsia="Times New Roman" w:hAnsi="Times New Roman" w:cs="Times New Roman"/>
          <w:sz w:val="20"/>
          <w:szCs w:val="20"/>
        </w:rPr>
        <w:t xml:space="preserve">able 2. The </w:t>
      </w:r>
      <m:oMath>
        <m:func>
          <m:funcPr>
            <m:ctrlPr>
              <w:rPr>
                <w:rFonts w:ascii="Cambria Math" w:hAnsi="Cambria Math" w:cstheme="majorBidi"/>
                <w:i/>
                <w:sz w:val="20"/>
                <w:szCs w:val="20"/>
              </w:rPr>
            </m:ctrlPr>
          </m:funcPr>
          <m:fName>
            <m:r>
              <m:rPr>
                <m:sty m:val="p"/>
              </m:rPr>
              <w:rPr>
                <w:rFonts w:ascii="Cambria Math" w:hAnsi="Cambria Math" w:cstheme="majorBidi"/>
                <w:sz w:val="20"/>
                <w:szCs w:val="20"/>
              </w:rPr>
              <m:t>log</m:t>
            </m:r>
          </m:fName>
          <m:e>
            <m:d>
              <m:dPr>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e</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t</m:t>
                    </m:r>
                  </m:sub>
                </m:sSub>
              </m:e>
            </m:d>
          </m:e>
        </m:func>
        <m:r>
          <w:rPr>
            <w:rFonts w:ascii="Cambria Math" w:hAnsi="Cambria Math" w:cstheme="majorBidi"/>
            <w:sz w:val="20"/>
            <w:szCs w:val="20"/>
          </w:rPr>
          <m:t xml:space="preserve"> </m:t>
        </m:r>
      </m:oMath>
      <w:r>
        <w:rPr>
          <w:rFonts w:ascii="Times New Roman" w:eastAsia="Times New Roman" w:hAnsi="Times New Roman" w:cs="Times New Roman"/>
          <w:sz w:val="20"/>
          <w:szCs w:val="20"/>
        </w:rPr>
        <w:t xml:space="preserve"> Vs. t plot gives an approximate line, and the rate constant (k</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and q</w:t>
      </w:r>
      <w:r>
        <w:rPr>
          <w:rFonts w:ascii="Times New Roman" w:eastAsia="Times New Roman" w:hAnsi="Times New Roman" w:cs="Times New Roman"/>
          <w:sz w:val="20"/>
          <w:szCs w:val="20"/>
          <w:vertAlign w:val="subscript"/>
        </w:rPr>
        <w:t>e</w:t>
      </w:r>
      <w:r>
        <w:rPr>
          <w:rFonts w:ascii="Times New Roman" w:eastAsia="Times New Roman" w:hAnsi="Times New Roman" w:cs="Times New Roman"/>
          <w:sz w:val="20"/>
          <w:szCs w:val="20"/>
        </w:rPr>
        <w:t xml:space="preserve"> can be estimated from the slope and the intercept, respectively. The k</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q</w:t>
      </w:r>
      <w:r>
        <w:rPr>
          <w:rFonts w:ascii="Times New Roman" w:eastAsia="Times New Roman" w:hAnsi="Times New Roman" w:cs="Times New Roman"/>
          <w:sz w:val="20"/>
          <w:szCs w:val="20"/>
          <w:vertAlign w:val="subscript"/>
        </w:rPr>
        <w:t>e</w:t>
      </w:r>
      <w:r>
        <w:rPr>
          <w:rFonts w:ascii="Times New Roman" w:eastAsia="Times New Roman" w:hAnsi="Times New Roman" w:cs="Times New Roman"/>
          <w:sz w:val="20"/>
          <w:szCs w:val="20"/>
        </w:rPr>
        <w:t>, and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are shown in </w:t>
      </w:r>
      <w:r>
        <w:rPr>
          <w:rFonts w:ascii="Times New Roman" w:eastAsia="Times New Roman" w:hAnsi="Times New Roman" w:cs="Times New Roman"/>
          <w:sz w:val="20"/>
          <w:szCs w:val="20"/>
          <w:lang w:val="en-MY"/>
        </w:rPr>
        <w:t>T</w:t>
      </w:r>
      <w:r>
        <w:rPr>
          <w:rFonts w:ascii="Times New Roman" w:eastAsia="Times New Roman" w:hAnsi="Times New Roman" w:cs="Times New Roman"/>
          <w:sz w:val="20"/>
          <w:szCs w:val="20"/>
        </w:rPr>
        <w:t>able 2. Even though the plot is linear and the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is 0.911, the value of q</w:t>
      </w:r>
      <w:r>
        <w:rPr>
          <w:rFonts w:ascii="Times New Roman" w:eastAsia="Times New Roman" w:hAnsi="Times New Roman" w:cs="Times New Roman"/>
          <w:sz w:val="20"/>
          <w:szCs w:val="20"/>
          <w:vertAlign w:val="subscript"/>
        </w:rPr>
        <w:t>e</w:t>
      </w:r>
      <w:r>
        <w:rPr>
          <w:rFonts w:ascii="Times New Roman" w:eastAsia="Times New Roman" w:hAnsi="Times New Roman" w:cs="Times New Roman"/>
          <w:sz w:val="20"/>
          <w:szCs w:val="20"/>
        </w:rPr>
        <w:t xml:space="preserve"> does not agree with the experimental q</w:t>
      </w:r>
      <w:r>
        <w:rPr>
          <w:rFonts w:ascii="Times New Roman" w:eastAsia="Times New Roman" w:hAnsi="Times New Roman" w:cs="Times New Roman"/>
          <w:sz w:val="20"/>
          <w:szCs w:val="20"/>
          <w:vertAlign w:val="subscript"/>
        </w:rPr>
        <w:t>e</w:t>
      </w:r>
      <w:r>
        <w:rPr>
          <w:rFonts w:ascii="Times New Roman" w:eastAsia="Times New Roman" w:hAnsi="Times New Roman" w:cs="Times New Roman"/>
          <w:sz w:val="20"/>
          <w:szCs w:val="20"/>
        </w:rPr>
        <w:t xml:space="preserve"> value (4.044). Therefore, Pb(II) adsorption does not follow pseudo-first-order kinetics. </w:t>
      </w:r>
    </w:p>
    <w:p w14:paraId="0DA5F87C" w14:textId="77777777" w:rsidR="00B268F2" w:rsidRDefault="00B268F2" w:rsidP="00B268F2">
      <w:pPr>
        <w:tabs>
          <w:tab w:val="left" w:pos="2070"/>
        </w:tabs>
        <w:autoSpaceDE w:val="0"/>
        <w:autoSpaceDN w:val="0"/>
        <w:adjustRightInd w:val="0"/>
        <w:spacing w:after="0" w:line="240" w:lineRule="auto"/>
        <w:jc w:val="both"/>
        <w:rPr>
          <w:rFonts w:ascii="Times New Roman" w:eastAsia="Times New Roman" w:hAnsi="Times New Roman" w:cs="Times New Roman"/>
          <w:sz w:val="20"/>
          <w:szCs w:val="20"/>
        </w:rPr>
      </w:pPr>
    </w:p>
    <w:p w14:paraId="2D36BD02" w14:textId="77777777" w:rsidR="00D037D1" w:rsidRDefault="006541D4">
      <w:pPr>
        <w:tabs>
          <w:tab w:val="left" w:pos="2070"/>
        </w:tabs>
        <w:autoSpaceDE w:val="0"/>
        <w:autoSpaceDN w:val="0"/>
        <w:adjustRightInd w:val="0"/>
        <w:spacing w:line="240" w:lineRule="auto"/>
        <w:jc w:val="center"/>
        <w:rPr>
          <w:rFonts w:ascii="Times New Roman" w:eastAsia="Times New Roman" w:hAnsi="Times New Roman" w:cs="Times New Roman"/>
          <w:sz w:val="20"/>
          <w:szCs w:val="20"/>
        </w:rPr>
      </w:pPr>
      <w:r>
        <w:rPr>
          <w:noProof/>
        </w:rPr>
        <w:drawing>
          <wp:inline distT="0" distB="0" distL="0" distR="0" wp14:anchorId="684D38C5" wp14:editId="078E4DEA">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FDBE1C" w14:textId="794FB158" w:rsidR="00D037D1" w:rsidRDefault="006541D4">
      <w:pPr>
        <w:tabs>
          <w:tab w:val="left" w:pos="2070"/>
        </w:tabs>
        <w:autoSpaceDE w:val="0"/>
        <w:autoSpaceDN w:val="0"/>
        <w:adjustRightInd w:val="0"/>
        <w:spacing w:line="240" w:lineRule="auto"/>
        <w:jc w:val="center"/>
        <w:rPr>
          <w:rFonts w:ascii="Times New Roman" w:eastAsia="Times New Roman" w:hAnsi="Times New Roman" w:cs="Times New Roman"/>
          <w:sz w:val="20"/>
          <w:szCs w:val="20"/>
          <w:lang w:val="en-MY"/>
        </w:rPr>
      </w:pPr>
      <w:r>
        <w:rPr>
          <w:rFonts w:ascii="Times New Roman" w:eastAsia="Times New Roman" w:hAnsi="Times New Roman" w:cs="Times New Roman"/>
          <w:sz w:val="20"/>
          <w:szCs w:val="20"/>
        </w:rPr>
        <w:t xml:space="preserve">Figure 8(a). Pseudo-first-order for Pb(II) adsorption kinetics onto </w:t>
      </w:r>
      <w:r>
        <w:rPr>
          <w:rFonts w:ascii="Times New Roman" w:eastAsia="Times New Roman" w:hAnsi="Times New Roman" w:cs="Times New Roman"/>
          <w:i/>
          <w:iCs/>
          <w:sz w:val="20"/>
          <w:szCs w:val="20"/>
        </w:rPr>
        <w:t>E. denticulatum</w:t>
      </w:r>
    </w:p>
    <w:p w14:paraId="4C72FD7B" w14:textId="77777777" w:rsidR="00D037D1" w:rsidRDefault="00D037D1">
      <w:pPr>
        <w:tabs>
          <w:tab w:val="left" w:pos="2070"/>
        </w:tabs>
        <w:autoSpaceDE w:val="0"/>
        <w:autoSpaceDN w:val="0"/>
        <w:adjustRightInd w:val="0"/>
        <w:spacing w:line="240" w:lineRule="auto"/>
        <w:jc w:val="both"/>
        <w:rPr>
          <w:rFonts w:ascii="Times New Roman" w:eastAsia="Times New Roman" w:hAnsi="Times New Roman" w:cs="Times New Roman"/>
          <w:sz w:val="20"/>
          <w:szCs w:val="20"/>
        </w:rPr>
      </w:pPr>
    </w:p>
    <w:p w14:paraId="72733232" w14:textId="77777777" w:rsidR="00D037D1" w:rsidRDefault="00D037D1">
      <w:pPr>
        <w:tabs>
          <w:tab w:val="left" w:pos="2070"/>
        </w:tabs>
        <w:autoSpaceDE w:val="0"/>
        <w:autoSpaceDN w:val="0"/>
        <w:adjustRightInd w:val="0"/>
        <w:spacing w:line="240" w:lineRule="auto"/>
        <w:jc w:val="both"/>
        <w:rPr>
          <w:rFonts w:ascii="Times New Roman" w:eastAsia="Times New Roman" w:hAnsi="Times New Roman" w:cs="Times New Roman"/>
          <w:sz w:val="20"/>
          <w:szCs w:val="20"/>
        </w:rPr>
      </w:pPr>
    </w:p>
    <w:p w14:paraId="48599230" w14:textId="77777777" w:rsidR="00D037D1" w:rsidRDefault="006541D4">
      <w:pPr>
        <w:tabs>
          <w:tab w:val="left" w:pos="2070"/>
        </w:tabs>
        <w:autoSpaceDE w:val="0"/>
        <w:autoSpaceDN w:val="0"/>
        <w:adjustRightInd w:val="0"/>
        <w:spacing w:line="240" w:lineRule="auto"/>
        <w:jc w:val="center"/>
        <w:rPr>
          <w:rFonts w:ascii="Times New Roman" w:eastAsia="Times New Roman" w:hAnsi="Times New Roman" w:cs="Times New Roman"/>
          <w:sz w:val="20"/>
          <w:szCs w:val="20"/>
        </w:rPr>
      </w:pPr>
      <w:r>
        <w:rPr>
          <w:noProof/>
        </w:rPr>
        <w:lastRenderedPageBreak/>
        <w:drawing>
          <wp:inline distT="0" distB="0" distL="0" distR="0" wp14:anchorId="7490AB8F" wp14:editId="274684D7">
            <wp:extent cx="4572000" cy="2738120"/>
            <wp:effectExtent l="0" t="0" r="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57E06C" w14:textId="0C74EBC3" w:rsidR="00D037D1" w:rsidRPr="00B268F2" w:rsidRDefault="006541D4" w:rsidP="00B268F2">
      <w:pPr>
        <w:tabs>
          <w:tab w:val="left" w:pos="2070"/>
        </w:tabs>
        <w:autoSpaceDE w:val="0"/>
        <w:autoSpaceDN w:val="0"/>
        <w:adjustRightInd w:val="0"/>
        <w:spacing w:line="240" w:lineRule="auto"/>
        <w:jc w:val="center"/>
        <w:rPr>
          <w:rFonts w:ascii="Times New Roman" w:eastAsia="Times New Roman" w:hAnsi="Times New Roman" w:cs="Times New Roman"/>
          <w:sz w:val="20"/>
          <w:szCs w:val="20"/>
          <w:lang w:val="en-MY"/>
        </w:rPr>
      </w:pPr>
      <w:r>
        <w:rPr>
          <w:rFonts w:ascii="Times New Roman" w:eastAsia="Times New Roman" w:hAnsi="Times New Roman" w:cs="Times New Roman"/>
          <w:sz w:val="20"/>
          <w:szCs w:val="20"/>
        </w:rPr>
        <w:t xml:space="preserve">Figure 8(b). Pseudo-second-order for Pb(II) adsorption kinetics onto </w:t>
      </w:r>
      <w:r>
        <w:rPr>
          <w:rFonts w:ascii="Times New Roman" w:eastAsia="Times New Roman" w:hAnsi="Times New Roman" w:cs="Times New Roman"/>
          <w:i/>
          <w:iCs/>
          <w:sz w:val="20"/>
          <w:szCs w:val="20"/>
        </w:rPr>
        <w:t>E. denticulatum</w:t>
      </w:r>
    </w:p>
    <w:p w14:paraId="4E495717" w14:textId="77777777" w:rsidR="00D037D1" w:rsidRDefault="006541D4" w:rsidP="00B268F2">
      <w:pPr>
        <w:pStyle w:val="Heading3"/>
        <w:spacing w:after="240" w:line="240" w:lineRule="auto"/>
        <w:ind w:left="810" w:hanging="810"/>
        <w:jc w:val="both"/>
        <w:rPr>
          <w:rStyle w:val="Heading2Char"/>
          <w:i/>
          <w:color w:val="auto"/>
        </w:rPr>
      </w:pPr>
      <w:r>
        <w:rPr>
          <w:rFonts w:ascii="Times New Roman" w:eastAsia="Calibri" w:hAnsi="Times New Roman"/>
          <w:b w:val="0"/>
          <w:bCs w:val="0"/>
          <w:iCs/>
          <w:color w:val="auto"/>
          <w:sz w:val="20"/>
          <w:szCs w:val="20"/>
        </w:rPr>
        <w:t>Table 2.</w:t>
      </w:r>
      <w:r>
        <w:rPr>
          <w:rFonts w:ascii="Times New Roman" w:eastAsia="Calibri" w:hAnsi="Times New Roman"/>
          <w:iCs/>
          <w:color w:val="auto"/>
          <w:sz w:val="20"/>
          <w:szCs w:val="20"/>
        </w:rPr>
        <w:t xml:space="preserve"> </w:t>
      </w:r>
      <w:r>
        <w:rPr>
          <w:rStyle w:val="Heading2Char"/>
          <w:color w:val="auto"/>
        </w:rPr>
        <w:t xml:space="preserve">The pseudo-first-order and pseudo-second-order kinetics parameters and correlation coefficients for the Pb (II) adsorption kinetics onto </w:t>
      </w:r>
      <w:r>
        <w:rPr>
          <w:rStyle w:val="Heading2Char"/>
          <w:bCs w:val="0"/>
          <w:i/>
          <w:color w:val="auto"/>
        </w:rPr>
        <w:t>E.</w:t>
      </w:r>
      <w:r>
        <w:rPr>
          <w:rStyle w:val="Heading2Char"/>
          <w:i/>
          <w:color w:val="auto"/>
        </w:rPr>
        <w:t xml:space="preserve"> denticulatum</w:t>
      </w:r>
    </w:p>
    <w:tbl>
      <w:tblPr>
        <w:tblStyle w:val="PlainTable21"/>
        <w:tblW w:w="0" w:type="auto"/>
        <w:jc w:val="center"/>
        <w:tblLook w:val="04A0" w:firstRow="1" w:lastRow="0" w:firstColumn="1" w:lastColumn="0" w:noHBand="0" w:noVBand="1"/>
      </w:tblPr>
      <w:tblGrid>
        <w:gridCol w:w="1471"/>
        <w:gridCol w:w="1214"/>
        <w:gridCol w:w="965"/>
        <w:gridCol w:w="1555"/>
        <w:gridCol w:w="1305"/>
        <w:gridCol w:w="1210"/>
      </w:tblGrid>
      <w:tr w:rsidR="00D037D1" w14:paraId="1ED0F062" w14:textId="77777777" w:rsidTr="00B268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0" w:type="dxa"/>
            <w:gridSpan w:val="3"/>
            <w:tcBorders>
              <w:top w:val="single" w:sz="4" w:space="0" w:color="7F7F7F" w:themeColor="text1" w:themeTint="80"/>
              <w:bottom w:val="single" w:sz="4" w:space="0" w:color="auto"/>
              <w:right w:val="nil"/>
            </w:tcBorders>
          </w:tcPr>
          <w:p w14:paraId="6E9EEE9C" w14:textId="77777777" w:rsidR="00D037D1" w:rsidRDefault="006541D4">
            <w:pPr>
              <w:spacing w:after="0" w:line="360" w:lineRule="auto"/>
              <w:jc w:val="center"/>
              <w:rPr>
                <w:rFonts w:asciiTheme="majorBidi" w:hAnsiTheme="majorBidi" w:cstheme="majorBidi"/>
                <w:sz w:val="20"/>
                <w:szCs w:val="20"/>
              </w:rPr>
            </w:pPr>
            <w:r>
              <w:rPr>
                <w:rFonts w:asciiTheme="majorBidi" w:hAnsiTheme="majorBidi" w:cstheme="majorBidi"/>
                <w:sz w:val="20"/>
                <w:szCs w:val="20"/>
              </w:rPr>
              <w:t>Pseudo-first-order kinetics</w:t>
            </w:r>
          </w:p>
        </w:tc>
        <w:tc>
          <w:tcPr>
            <w:tcW w:w="4070" w:type="dxa"/>
            <w:gridSpan w:val="3"/>
            <w:tcBorders>
              <w:top w:val="single" w:sz="4" w:space="0" w:color="7F7F7F" w:themeColor="text1" w:themeTint="80"/>
              <w:left w:val="nil"/>
              <w:bottom w:val="single" w:sz="4" w:space="0" w:color="auto"/>
            </w:tcBorders>
          </w:tcPr>
          <w:p w14:paraId="6234CE08" w14:textId="77777777" w:rsidR="00D037D1" w:rsidRDefault="006541D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Pseudo-second-order kinetics</w:t>
            </w:r>
          </w:p>
        </w:tc>
      </w:tr>
      <w:tr w:rsidR="00D037D1" w14:paraId="2AB0A815" w14:textId="77777777" w:rsidTr="00B268F2">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nil"/>
              <w:right w:val="nil"/>
            </w:tcBorders>
          </w:tcPr>
          <w:p w14:paraId="50A2B385" w14:textId="77777777" w:rsidR="00D037D1" w:rsidRPr="00B268F2" w:rsidRDefault="006541D4" w:rsidP="00B268F2">
            <w:pPr>
              <w:spacing w:after="0" w:line="240" w:lineRule="auto"/>
              <w:jc w:val="center"/>
              <w:rPr>
                <w:rFonts w:asciiTheme="majorBidi" w:hAnsiTheme="majorBidi" w:cstheme="majorBidi"/>
                <w:b w:val="0"/>
                <w:bCs w:val="0"/>
              </w:rPr>
            </w:pPr>
            <w:r w:rsidRPr="00B268F2">
              <w:rPr>
                <w:rFonts w:asciiTheme="majorBidi" w:hAnsiTheme="majorBidi" w:cstheme="majorBidi"/>
                <w:b w:val="0"/>
                <w:bCs w:val="0"/>
              </w:rPr>
              <w:t>K</w:t>
            </w:r>
            <w:r w:rsidRPr="00B268F2">
              <w:rPr>
                <w:rFonts w:asciiTheme="majorBidi" w:hAnsiTheme="majorBidi" w:cstheme="majorBidi"/>
                <w:b w:val="0"/>
                <w:bCs w:val="0"/>
                <w:vertAlign w:val="subscript"/>
              </w:rPr>
              <w:t>1</w:t>
            </w:r>
            <w:r w:rsidRPr="00B268F2">
              <w:rPr>
                <w:rFonts w:asciiTheme="majorBidi" w:hAnsiTheme="majorBidi" w:cstheme="majorBidi"/>
                <w:b w:val="0"/>
                <w:bCs w:val="0"/>
              </w:rPr>
              <w:t xml:space="preserve"> (min</w:t>
            </w:r>
            <w:r w:rsidRPr="00B268F2">
              <w:rPr>
                <w:rFonts w:asciiTheme="majorBidi" w:hAnsiTheme="majorBidi" w:cstheme="majorBidi"/>
                <w:b w:val="0"/>
                <w:bCs w:val="0"/>
                <w:vertAlign w:val="superscript"/>
              </w:rPr>
              <w:t>-1</w:t>
            </w:r>
            <w:r w:rsidRPr="00B268F2">
              <w:rPr>
                <w:rFonts w:asciiTheme="majorBidi" w:hAnsiTheme="majorBidi" w:cstheme="majorBidi"/>
                <w:b w:val="0"/>
                <w:bCs w:val="0"/>
              </w:rPr>
              <w:t>)</w:t>
            </w:r>
          </w:p>
        </w:tc>
        <w:tc>
          <w:tcPr>
            <w:tcW w:w="1214" w:type="dxa"/>
            <w:tcBorders>
              <w:top w:val="single" w:sz="4" w:space="0" w:color="auto"/>
              <w:left w:val="nil"/>
              <w:bottom w:val="nil"/>
              <w:right w:val="nil"/>
            </w:tcBorders>
          </w:tcPr>
          <w:p w14:paraId="0CCDDFF1"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qe (mg g</w:t>
            </w:r>
            <w:r w:rsidRPr="00B268F2">
              <w:rPr>
                <w:rFonts w:asciiTheme="majorBidi" w:hAnsiTheme="majorBidi" w:cstheme="majorBidi"/>
                <w:sz w:val="20"/>
                <w:szCs w:val="20"/>
                <w:vertAlign w:val="superscript"/>
              </w:rPr>
              <w:t>-1</w:t>
            </w:r>
            <w:r w:rsidRPr="00B268F2">
              <w:rPr>
                <w:rFonts w:asciiTheme="majorBidi" w:hAnsiTheme="majorBidi" w:cstheme="majorBidi"/>
                <w:sz w:val="20"/>
                <w:szCs w:val="20"/>
              </w:rPr>
              <w:t>)</w:t>
            </w:r>
          </w:p>
        </w:tc>
        <w:tc>
          <w:tcPr>
            <w:tcW w:w="965" w:type="dxa"/>
            <w:tcBorders>
              <w:top w:val="single" w:sz="4" w:space="0" w:color="auto"/>
              <w:left w:val="nil"/>
              <w:bottom w:val="nil"/>
              <w:right w:val="nil"/>
            </w:tcBorders>
          </w:tcPr>
          <w:p w14:paraId="5114E63C"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R</w:t>
            </w:r>
            <w:r w:rsidRPr="00B268F2">
              <w:rPr>
                <w:rFonts w:asciiTheme="majorBidi" w:hAnsiTheme="majorBidi" w:cstheme="majorBidi"/>
                <w:sz w:val="20"/>
                <w:szCs w:val="20"/>
                <w:vertAlign w:val="superscript"/>
              </w:rPr>
              <w:t>2</w:t>
            </w:r>
          </w:p>
        </w:tc>
        <w:tc>
          <w:tcPr>
            <w:tcW w:w="1555" w:type="dxa"/>
            <w:tcBorders>
              <w:top w:val="single" w:sz="4" w:space="0" w:color="auto"/>
              <w:left w:val="nil"/>
              <w:bottom w:val="nil"/>
              <w:right w:val="nil"/>
            </w:tcBorders>
          </w:tcPr>
          <w:p w14:paraId="29D162CA"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K</w:t>
            </w:r>
            <w:r w:rsidRPr="00B268F2">
              <w:rPr>
                <w:rFonts w:asciiTheme="majorBidi" w:hAnsiTheme="majorBidi" w:cstheme="majorBidi"/>
                <w:sz w:val="20"/>
                <w:szCs w:val="20"/>
                <w:vertAlign w:val="subscript"/>
              </w:rPr>
              <w:t>2</w:t>
            </w:r>
            <w:r w:rsidRPr="00B268F2">
              <w:rPr>
                <w:rFonts w:asciiTheme="majorBidi" w:hAnsiTheme="majorBidi" w:cstheme="majorBidi"/>
                <w:sz w:val="20"/>
                <w:szCs w:val="20"/>
              </w:rPr>
              <w:t xml:space="preserve"> (g mg</w:t>
            </w:r>
            <w:r w:rsidRPr="00B268F2">
              <w:rPr>
                <w:rFonts w:asciiTheme="majorBidi" w:hAnsiTheme="majorBidi" w:cstheme="majorBidi"/>
                <w:sz w:val="20"/>
                <w:szCs w:val="20"/>
                <w:vertAlign w:val="superscript"/>
              </w:rPr>
              <w:t>-1</w:t>
            </w:r>
            <w:r w:rsidRPr="00B268F2">
              <w:rPr>
                <w:rFonts w:asciiTheme="majorBidi" w:hAnsiTheme="majorBidi" w:cstheme="majorBidi"/>
                <w:sz w:val="20"/>
                <w:szCs w:val="20"/>
              </w:rPr>
              <w:t>min</w:t>
            </w:r>
            <w:r w:rsidRPr="00B268F2">
              <w:rPr>
                <w:rFonts w:asciiTheme="majorBidi" w:hAnsiTheme="majorBidi" w:cstheme="majorBidi"/>
                <w:sz w:val="20"/>
                <w:szCs w:val="20"/>
                <w:vertAlign w:val="superscript"/>
              </w:rPr>
              <w:t>-1</w:t>
            </w:r>
            <w:r w:rsidRPr="00B268F2">
              <w:rPr>
                <w:rFonts w:asciiTheme="majorBidi" w:hAnsiTheme="majorBidi" w:cstheme="majorBidi"/>
                <w:sz w:val="20"/>
                <w:szCs w:val="20"/>
              </w:rPr>
              <w:t>)</w:t>
            </w:r>
          </w:p>
        </w:tc>
        <w:tc>
          <w:tcPr>
            <w:tcW w:w="1305" w:type="dxa"/>
            <w:tcBorders>
              <w:top w:val="single" w:sz="4" w:space="0" w:color="auto"/>
              <w:left w:val="nil"/>
              <w:bottom w:val="nil"/>
              <w:right w:val="nil"/>
            </w:tcBorders>
          </w:tcPr>
          <w:p w14:paraId="60C7B4CD"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q</w:t>
            </w:r>
            <w:r w:rsidRPr="00B268F2">
              <w:rPr>
                <w:rFonts w:asciiTheme="majorBidi" w:hAnsiTheme="majorBidi" w:cstheme="majorBidi"/>
                <w:sz w:val="20"/>
                <w:szCs w:val="20"/>
                <w:vertAlign w:val="subscript"/>
              </w:rPr>
              <w:t>e</w:t>
            </w:r>
            <w:r w:rsidRPr="00B268F2">
              <w:rPr>
                <w:rFonts w:asciiTheme="majorBidi" w:hAnsiTheme="majorBidi" w:cstheme="majorBidi"/>
                <w:sz w:val="20"/>
                <w:szCs w:val="20"/>
              </w:rPr>
              <w:t xml:space="preserve"> (mg g</w:t>
            </w:r>
            <w:r w:rsidRPr="00B268F2">
              <w:rPr>
                <w:rFonts w:asciiTheme="majorBidi" w:hAnsiTheme="majorBidi" w:cstheme="majorBidi"/>
                <w:sz w:val="20"/>
                <w:szCs w:val="20"/>
                <w:vertAlign w:val="superscript"/>
              </w:rPr>
              <w:t>-1</w:t>
            </w:r>
            <w:r w:rsidRPr="00B268F2">
              <w:rPr>
                <w:rFonts w:asciiTheme="majorBidi" w:hAnsiTheme="majorBidi" w:cstheme="majorBidi"/>
                <w:sz w:val="20"/>
                <w:szCs w:val="20"/>
              </w:rPr>
              <w:t>)</w:t>
            </w:r>
          </w:p>
        </w:tc>
        <w:tc>
          <w:tcPr>
            <w:tcW w:w="1210" w:type="dxa"/>
            <w:tcBorders>
              <w:top w:val="single" w:sz="4" w:space="0" w:color="auto"/>
              <w:left w:val="nil"/>
              <w:bottom w:val="nil"/>
              <w:right w:val="nil"/>
            </w:tcBorders>
          </w:tcPr>
          <w:p w14:paraId="686FF902"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vertAlign w:val="superscript"/>
              </w:rPr>
            </w:pPr>
            <w:r w:rsidRPr="00B268F2">
              <w:rPr>
                <w:rFonts w:asciiTheme="majorBidi" w:hAnsiTheme="majorBidi" w:cstheme="majorBidi"/>
                <w:sz w:val="20"/>
                <w:szCs w:val="20"/>
              </w:rPr>
              <w:t>R</w:t>
            </w:r>
            <w:r w:rsidRPr="00B268F2">
              <w:rPr>
                <w:rFonts w:asciiTheme="majorBidi" w:hAnsiTheme="majorBidi" w:cstheme="majorBidi"/>
                <w:sz w:val="20"/>
                <w:szCs w:val="20"/>
                <w:vertAlign w:val="superscript"/>
              </w:rPr>
              <w:t>2</w:t>
            </w:r>
          </w:p>
        </w:tc>
      </w:tr>
      <w:tr w:rsidR="00D037D1" w14:paraId="53287D75" w14:textId="77777777" w:rsidTr="00B268F2">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nil"/>
              <w:left w:val="nil"/>
              <w:bottom w:val="single" w:sz="4" w:space="0" w:color="auto"/>
              <w:right w:val="nil"/>
            </w:tcBorders>
          </w:tcPr>
          <w:p w14:paraId="562CE5C0" w14:textId="77777777" w:rsidR="00D037D1" w:rsidRPr="00B268F2" w:rsidRDefault="006541D4" w:rsidP="00B268F2">
            <w:pPr>
              <w:spacing w:after="0" w:line="240" w:lineRule="auto"/>
              <w:jc w:val="center"/>
              <w:rPr>
                <w:rFonts w:asciiTheme="majorBidi" w:hAnsiTheme="majorBidi" w:cstheme="majorBidi"/>
                <w:b w:val="0"/>
                <w:bCs w:val="0"/>
              </w:rPr>
            </w:pPr>
            <w:r w:rsidRPr="00B268F2">
              <w:rPr>
                <w:rFonts w:asciiTheme="majorBidi" w:hAnsiTheme="majorBidi" w:cstheme="majorBidi"/>
                <w:b w:val="0"/>
                <w:bCs w:val="0"/>
              </w:rPr>
              <w:t>2x20.0237</w:t>
            </w:r>
          </w:p>
        </w:tc>
        <w:tc>
          <w:tcPr>
            <w:tcW w:w="1214" w:type="dxa"/>
            <w:tcBorders>
              <w:top w:val="nil"/>
              <w:left w:val="nil"/>
              <w:bottom w:val="single" w:sz="4" w:space="0" w:color="auto"/>
              <w:right w:val="nil"/>
            </w:tcBorders>
          </w:tcPr>
          <w:p w14:paraId="1376D277"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2.801</w:t>
            </w:r>
          </w:p>
        </w:tc>
        <w:tc>
          <w:tcPr>
            <w:tcW w:w="965" w:type="dxa"/>
            <w:tcBorders>
              <w:top w:val="nil"/>
              <w:left w:val="nil"/>
              <w:bottom w:val="single" w:sz="4" w:space="0" w:color="auto"/>
              <w:right w:val="nil"/>
            </w:tcBorders>
          </w:tcPr>
          <w:p w14:paraId="5074DF4B"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0.911</w:t>
            </w:r>
          </w:p>
        </w:tc>
        <w:tc>
          <w:tcPr>
            <w:tcW w:w="1555" w:type="dxa"/>
            <w:tcBorders>
              <w:top w:val="nil"/>
              <w:left w:val="nil"/>
              <w:bottom w:val="single" w:sz="4" w:space="0" w:color="auto"/>
              <w:right w:val="nil"/>
            </w:tcBorders>
          </w:tcPr>
          <w:p w14:paraId="2EA725B3"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0.0148</w:t>
            </w:r>
          </w:p>
        </w:tc>
        <w:tc>
          <w:tcPr>
            <w:tcW w:w="1305" w:type="dxa"/>
            <w:tcBorders>
              <w:top w:val="nil"/>
              <w:left w:val="nil"/>
              <w:bottom w:val="single" w:sz="4" w:space="0" w:color="auto"/>
              <w:right w:val="nil"/>
            </w:tcBorders>
          </w:tcPr>
          <w:p w14:paraId="5D5E1B9E"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4.3802</w:t>
            </w:r>
          </w:p>
        </w:tc>
        <w:tc>
          <w:tcPr>
            <w:tcW w:w="1210" w:type="dxa"/>
            <w:tcBorders>
              <w:top w:val="nil"/>
              <w:left w:val="nil"/>
              <w:bottom w:val="single" w:sz="4" w:space="0" w:color="auto"/>
              <w:right w:val="nil"/>
            </w:tcBorders>
          </w:tcPr>
          <w:p w14:paraId="7E566332" w14:textId="77777777" w:rsidR="00D037D1" w:rsidRPr="00B268F2" w:rsidRDefault="006541D4" w:rsidP="00B268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268F2">
              <w:rPr>
                <w:rFonts w:asciiTheme="majorBidi" w:hAnsiTheme="majorBidi" w:cstheme="majorBidi"/>
                <w:sz w:val="20"/>
                <w:szCs w:val="20"/>
              </w:rPr>
              <w:t>0.998</w:t>
            </w:r>
          </w:p>
        </w:tc>
      </w:tr>
    </w:tbl>
    <w:p w14:paraId="1759376D" w14:textId="77777777" w:rsidR="00F2139A" w:rsidRDefault="00F2139A" w:rsidP="00F2139A">
      <w:pPr>
        <w:tabs>
          <w:tab w:val="left" w:pos="2070"/>
        </w:tabs>
        <w:autoSpaceDE w:val="0"/>
        <w:autoSpaceDN w:val="0"/>
        <w:adjustRightInd w:val="0"/>
        <w:spacing w:after="0" w:line="240" w:lineRule="auto"/>
        <w:jc w:val="both"/>
        <w:rPr>
          <w:rFonts w:ascii="Times New Roman" w:eastAsia="Times New Roman" w:hAnsi="Times New Roman" w:cs="Times New Roman"/>
          <w:sz w:val="20"/>
          <w:szCs w:val="20"/>
        </w:rPr>
      </w:pPr>
    </w:p>
    <w:p w14:paraId="5361DAED" w14:textId="4D852952" w:rsidR="00D037D1" w:rsidRDefault="006541D4" w:rsidP="00F2139A">
      <w:pPr>
        <w:tabs>
          <w:tab w:val="left" w:pos="2070"/>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pseudo-second-order kinetic model was employed to find a more trustworthy Pb (II) adsorption kinetics description. The results from the </w:t>
      </w:r>
      <m:oMath>
        <m:f>
          <m:fPr>
            <m:ctrlPr>
              <w:rPr>
                <w:rFonts w:ascii="Cambria Math" w:hAnsi="Cambria Math" w:cstheme="majorBidi"/>
                <w:iCs/>
                <w:sz w:val="20"/>
                <w:szCs w:val="20"/>
              </w:rPr>
            </m:ctrlPr>
          </m:fPr>
          <m:num>
            <m:r>
              <m:rPr>
                <m:sty m:val="p"/>
              </m:rPr>
              <w:rPr>
                <w:rFonts w:ascii="Cambria Math" w:hAnsi="Cambria Math" w:cstheme="majorBidi"/>
                <w:sz w:val="20"/>
                <w:szCs w:val="20"/>
              </w:rPr>
              <m:t>t</m:t>
            </m:r>
          </m:num>
          <m:den>
            <m:sSub>
              <m:sSubPr>
                <m:ctrlPr>
                  <w:rPr>
                    <w:rFonts w:ascii="Cambria Math" w:hAnsi="Cambria Math" w:cstheme="majorBidi"/>
                    <w:iCs/>
                    <w:sz w:val="20"/>
                    <w:szCs w:val="20"/>
                  </w:rPr>
                </m:ctrlPr>
              </m:sSubPr>
              <m:e>
                <m:r>
                  <m:rPr>
                    <m:sty m:val="p"/>
                  </m:rPr>
                  <w:rPr>
                    <w:rFonts w:ascii="Cambria Math" w:hAnsi="Cambria Math" w:cstheme="majorBidi"/>
                    <w:sz w:val="20"/>
                    <w:szCs w:val="20"/>
                  </w:rPr>
                  <m:t>q</m:t>
                </m:r>
              </m:e>
              <m:sub>
                <m:r>
                  <m:rPr>
                    <m:sty m:val="p"/>
                  </m:rPr>
                  <w:rPr>
                    <w:rFonts w:ascii="Cambria Math" w:hAnsi="Cambria Math" w:cstheme="majorBidi"/>
                    <w:sz w:val="20"/>
                    <w:szCs w:val="20"/>
                  </w:rPr>
                  <m:t>t</m:t>
                </m:r>
              </m:sub>
            </m:sSub>
          </m:den>
        </m:f>
      </m:oMath>
      <w:r>
        <w:rPr>
          <w:rFonts w:ascii="Times New Roman" w:eastAsia="Times New Roman" w:hAnsi="Times New Roman" w:cs="Times New Roman"/>
          <w:sz w:val="20"/>
          <w:szCs w:val="20"/>
        </w:rPr>
        <w:t xml:space="preserve">  Vs. t plot indicates that the pseudo-second-order kinetic model fits the metal adsorption experiment. The regression coefficient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was 0.998, and the q</w:t>
      </w:r>
      <w:r>
        <w:rPr>
          <w:rFonts w:ascii="Times New Roman" w:eastAsia="Times New Roman" w:hAnsi="Times New Roman" w:cs="Times New Roman"/>
          <w:sz w:val="20"/>
          <w:szCs w:val="20"/>
          <w:vertAlign w:val="subscript"/>
        </w:rPr>
        <w:t>e</w:t>
      </w:r>
      <w:r>
        <w:rPr>
          <w:rFonts w:ascii="Times New Roman" w:eastAsia="Times New Roman" w:hAnsi="Times New Roman" w:cs="Times New Roman"/>
          <w:sz w:val="20"/>
          <w:szCs w:val="20"/>
        </w:rPr>
        <w:t xml:space="preserve"> equals 4.3802 mg/g, which is close to the experimental q</w:t>
      </w:r>
      <w:r>
        <w:rPr>
          <w:rFonts w:ascii="Times New Roman" w:eastAsia="Times New Roman" w:hAnsi="Times New Roman" w:cs="Times New Roman"/>
          <w:sz w:val="20"/>
          <w:szCs w:val="20"/>
          <w:vertAlign w:val="subscript"/>
        </w:rPr>
        <w:t>e</w:t>
      </w:r>
      <w:r>
        <w:rPr>
          <w:rFonts w:ascii="Times New Roman" w:eastAsia="Times New Roman" w:hAnsi="Times New Roman" w:cs="Times New Roman"/>
          <w:sz w:val="20"/>
          <w:szCs w:val="20"/>
        </w:rPr>
        <w:t xml:space="preserve"> (4.044mg/g).</w:t>
      </w:r>
    </w:p>
    <w:p w14:paraId="088F1D2A" w14:textId="77777777" w:rsidR="00F2139A" w:rsidRDefault="00F2139A" w:rsidP="00F2139A">
      <w:pPr>
        <w:tabs>
          <w:tab w:val="left" w:pos="2070"/>
        </w:tabs>
        <w:autoSpaceDE w:val="0"/>
        <w:autoSpaceDN w:val="0"/>
        <w:adjustRightInd w:val="0"/>
        <w:spacing w:after="0" w:line="240" w:lineRule="auto"/>
        <w:jc w:val="both"/>
        <w:rPr>
          <w:rFonts w:ascii="Times New Roman" w:eastAsia="Times New Roman" w:hAnsi="Times New Roman" w:cs="Times New Roman"/>
          <w:sz w:val="20"/>
          <w:szCs w:val="20"/>
        </w:rPr>
      </w:pPr>
    </w:p>
    <w:p w14:paraId="2CCC3822" w14:textId="77777777" w:rsidR="00D037D1" w:rsidRDefault="006541D4" w:rsidP="00F2139A">
      <w:pPr>
        <w:pStyle w:val="Heading1"/>
        <w:spacing w:before="0" w:line="240" w:lineRule="auto"/>
        <w:jc w:val="center"/>
        <w:rPr>
          <w:rFonts w:ascii="Times New Roman" w:hAnsi="Times New Roman"/>
          <w:color w:val="auto"/>
          <w:sz w:val="20"/>
          <w:szCs w:val="20"/>
        </w:rPr>
      </w:pPr>
      <w:bookmarkStart w:id="95" w:name="_Toc365535296"/>
      <w:bookmarkStart w:id="96" w:name="_Toc362167016"/>
      <w:bookmarkStart w:id="97" w:name="_Toc361714586"/>
      <w:bookmarkEnd w:id="12"/>
      <w:r>
        <w:rPr>
          <w:rFonts w:ascii="Times New Roman" w:hAnsi="Times New Roman"/>
          <w:color w:val="auto"/>
          <w:sz w:val="20"/>
          <w:szCs w:val="20"/>
        </w:rPr>
        <w:t>C</w:t>
      </w:r>
      <w:bookmarkEnd w:id="95"/>
      <w:bookmarkEnd w:id="96"/>
      <w:bookmarkEnd w:id="97"/>
      <w:r>
        <w:rPr>
          <w:rFonts w:ascii="Times New Roman" w:hAnsi="Times New Roman"/>
          <w:color w:val="auto"/>
          <w:sz w:val="20"/>
          <w:szCs w:val="20"/>
        </w:rPr>
        <w:t>onclusion</w:t>
      </w:r>
    </w:p>
    <w:p w14:paraId="319236DC" w14:textId="77777777" w:rsidR="00D037D1" w:rsidRDefault="006541D4" w:rsidP="00F2139A">
      <w:pPr>
        <w:spacing w:after="0" w:line="240" w:lineRule="auto"/>
        <w:jc w:val="both"/>
        <w:rPr>
          <w:rFonts w:ascii="Times New Roman" w:eastAsia="Times New Roman" w:hAnsi="Times New Roman"/>
          <w:iCs/>
          <w:sz w:val="20"/>
          <w:szCs w:val="20"/>
        </w:rPr>
      </w:pPr>
      <w:r>
        <w:rPr>
          <w:rFonts w:ascii="Times New Roman" w:eastAsia="Times New Roman" w:hAnsi="Times New Roman"/>
          <w:sz w:val="20"/>
          <w:szCs w:val="20"/>
        </w:rPr>
        <w:t xml:space="preserve">The present study demonstrated that the seaweed </w:t>
      </w:r>
      <w:r>
        <w:rPr>
          <w:rFonts w:ascii="Times New Roman" w:eastAsia="Times New Roman" w:hAnsi="Times New Roman"/>
          <w:i/>
          <w:iCs/>
          <w:sz w:val="20"/>
          <w:szCs w:val="20"/>
        </w:rPr>
        <w:t>E. denticulatum</w:t>
      </w:r>
      <w:r>
        <w:rPr>
          <w:rFonts w:ascii="Times New Roman" w:eastAsia="Times New Roman" w:hAnsi="Times New Roman"/>
          <w:i/>
          <w:sz w:val="20"/>
          <w:szCs w:val="20"/>
        </w:rPr>
        <w:t xml:space="preserve"> </w:t>
      </w:r>
      <w:r>
        <w:rPr>
          <w:rFonts w:ascii="Times New Roman" w:eastAsia="Times New Roman" w:hAnsi="Times New Roman"/>
          <w:iCs/>
          <w:sz w:val="20"/>
          <w:szCs w:val="20"/>
        </w:rPr>
        <w:t>was an effective biosorbent of Pb</w:t>
      </w:r>
      <w:r>
        <w:rPr>
          <w:rFonts w:ascii="Times New Roman" w:eastAsia="Times New Roman" w:hAnsi="Times New Roman"/>
          <w:iCs/>
          <w:sz w:val="20"/>
          <w:szCs w:val="20"/>
          <w:vertAlign w:val="superscript"/>
        </w:rPr>
        <w:t>2+</w:t>
      </w:r>
      <w:r>
        <w:rPr>
          <w:rFonts w:ascii="Times New Roman" w:eastAsia="Times New Roman" w:hAnsi="Times New Roman"/>
          <w:iCs/>
          <w:sz w:val="20"/>
          <w:szCs w:val="20"/>
        </w:rPr>
        <w:t xml:space="preserve"> from aqueous solutions. The availability of biomass and its cost-effectiveness are additional benefits that make it a potential biosorbent for </w:t>
      </w:r>
      <w:r>
        <w:rPr>
          <w:rFonts w:ascii="Times New Roman" w:eastAsia="Times New Roman" w:hAnsi="Times New Roman"/>
          <w:iCs/>
          <w:sz w:val="20"/>
          <w:szCs w:val="20"/>
          <w:lang w:val="en-MY"/>
        </w:rPr>
        <w:t xml:space="preserve">treating </w:t>
      </w:r>
      <w:r>
        <w:rPr>
          <w:rFonts w:ascii="Times New Roman" w:eastAsia="Times New Roman" w:hAnsi="Times New Roman"/>
          <w:iCs/>
          <w:sz w:val="20"/>
          <w:szCs w:val="20"/>
        </w:rPr>
        <w:t>heavy metals in the marine environment. The impact of processing constraints</w:t>
      </w:r>
      <w:r>
        <w:rPr>
          <w:rFonts w:ascii="Times New Roman" w:eastAsia="Times New Roman" w:hAnsi="Times New Roman"/>
          <w:iCs/>
          <w:sz w:val="20"/>
          <w:szCs w:val="20"/>
          <w:lang w:val="en-MY"/>
        </w:rPr>
        <w:t xml:space="preserve"> -</w:t>
      </w:r>
      <w:r>
        <w:rPr>
          <w:rFonts w:ascii="Times New Roman" w:eastAsia="Times New Roman" w:hAnsi="Times New Roman"/>
          <w:iCs/>
          <w:sz w:val="20"/>
          <w:szCs w:val="20"/>
        </w:rPr>
        <w:t xml:space="preserve"> including pH, metal ion concentrations, and absorption period</w:t>
      </w:r>
      <w:r>
        <w:rPr>
          <w:rFonts w:ascii="Times New Roman" w:eastAsia="Times New Roman" w:hAnsi="Times New Roman"/>
          <w:iCs/>
          <w:sz w:val="20"/>
          <w:szCs w:val="20"/>
          <w:lang w:val="en-MY"/>
        </w:rPr>
        <w:t xml:space="preserve"> -</w:t>
      </w:r>
      <w:r>
        <w:rPr>
          <w:rFonts w:ascii="Times New Roman" w:eastAsia="Times New Roman" w:hAnsi="Times New Roman"/>
          <w:iCs/>
          <w:sz w:val="20"/>
          <w:szCs w:val="20"/>
        </w:rPr>
        <w:t xml:space="preserve"> significantly affected the equilibrium process. The Pb</w:t>
      </w:r>
      <w:r>
        <w:rPr>
          <w:rFonts w:ascii="Times New Roman" w:eastAsia="Times New Roman" w:hAnsi="Times New Roman"/>
          <w:iCs/>
          <w:sz w:val="20"/>
          <w:szCs w:val="20"/>
          <w:vertAlign w:val="superscript"/>
        </w:rPr>
        <w:t>2+</w:t>
      </w:r>
      <w:r>
        <w:rPr>
          <w:rFonts w:ascii="Times New Roman" w:eastAsia="Times New Roman" w:hAnsi="Times New Roman"/>
          <w:iCs/>
          <w:sz w:val="20"/>
          <w:szCs w:val="20"/>
        </w:rPr>
        <w:t xml:space="preserve"> uptake increased with the increase in metal ion concentration. It was also </w:t>
      </w:r>
      <w:r>
        <w:rPr>
          <w:rFonts w:ascii="Times New Roman" w:eastAsia="Times New Roman" w:hAnsi="Times New Roman"/>
          <w:iCs/>
          <w:sz w:val="20"/>
          <w:szCs w:val="20"/>
          <w:lang w:val="en-MY"/>
        </w:rPr>
        <w:t xml:space="preserve">ascertained </w:t>
      </w:r>
      <w:r>
        <w:rPr>
          <w:rFonts w:ascii="Times New Roman" w:eastAsia="Times New Roman" w:hAnsi="Times New Roman"/>
          <w:iCs/>
          <w:sz w:val="20"/>
          <w:szCs w:val="20"/>
        </w:rPr>
        <w:t>that the metal uptake increased with the rise in pH until pH 4</w:t>
      </w:r>
      <w:r>
        <w:rPr>
          <w:rFonts w:ascii="Times New Roman" w:eastAsia="Times New Roman" w:hAnsi="Times New Roman"/>
          <w:iCs/>
          <w:sz w:val="20"/>
          <w:szCs w:val="20"/>
          <w:lang w:val="en-MY"/>
        </w:rPr>
        <w:t>;</w:t>
      </w:r>
      <w:r>
        <w:rPr>
          <w:rFonts w:ascii="Times New Roman" w:eastAsia="Times New Roman" w:hAnsi="Times New Roman"/>
          <w:iCs/>
          <w:sz w:val="20"/>
          <w:szCs w:val="20"/>
        </w:rPr>
        <w:t xml:space="preserve"> </w:t>
      </w:r>
      <w:r>
        <w:rPr>
          <w:rFonts w:ascii="Times New Roman" w:eastAsia="Times New Roman" w:hAnsi="Times New Roman"/>
          <w:iCs/>
          <w:sz w:val="20"/>
          <w:szCs w:val="20"/>
          <w:lang w:val="en-MY"/>
        </w:rPr>
        <w:t>t</w:t>
      </w:r>
      <w:r>
        <w:rPr>
          <w:rFonts w:ascii="Times New Roman" w:eastAsia="Times New Roman" w:hAnsi="Times New Roman"/>
          <w:iCs/>
          <w:sz w:val="20"/>
          <w:szCs w:val="20"/>
        </w:rPr>
        <w:t>here</w:t>
      </w:r>
      <w:r>
        <w:rPr>
          <w:rFonts w:ascii="Times New Roman" w:eastAsia="Times New Roman" w:hAnsi="Times New Roman"/>
          <w:iCs/>
          <w:sz w:val="20"/>
          <w:szCs w:val="20"/>
          <w:lang w:val="en-MY"/>
        </w:rPr>
        <w:t>after,</w:t>
      </w:r>
      <w:r>
        <w:rPr>
          <w:rFonts w:ascii="Times New Roman" w:eastAsia="Times New Roman" w:hAnsi="Times New Roman"/>
          <w:iCs/>
          <w:sz w:val="20"/>
          <w:szCs w:val="20"/>
        </w:rPr>
        <w:t xml:space="preserve"> the metal uptake </w:t>
      </w:r>
      <w:r>
        <w:rPr>
          <w:rFonts w:ascii="Times New Roman" w:eastAsia="Times New Roman" w:hAnsi="Times New Roman"/>
          <w:iCs/>
          <w:sz w:val="20"/>
          <w:szCs w:val="20"/>
          <w:lang w:val="en-MY"/>
        </w:rPr>
        <w:t xml:space="preserve">began to </w:t>
      </w:r>
      <w:r>
        <w:rPr>
          <w:rFonts w:ascii="Times New Roman" w:eastAsia="Times New Roman" w:hAnsi="Times New Roman"/>
          <w:iCs/>
          <w:sz w:val="20"/>
          <w:szCs w:val="20"/>
        </w:rPr>
        <w:t>declin</w:t>
      </w:r>
      <w:r>
        <w:rPr>
          <w:rFonts w:ascii="Times New Roman" w:eastAsia="Times New Roman" w:hAnsi="Times New Roman"/>
          <w:iCs/>
          <w:sz w:val="20"/>
          <w:szCs w:val="20"/>
          <w:lang w:val="en-MY"/>
        </w:rPr>
        <w:t>e</w:t>
      </w:r>
      <w:r>
        <w:rPr>
          <w:rFonts w:ascii="Times New Roman" w:eastAsia="Times New Roman" w:hAnsi="Times New Roman"/>
          <w:iCs/>
          <w:sz w:val="20"/>
          <w:szCs w:val="20"/>
        </w:rPr>
        <w:t xml:space="preserve">. The Langmuir </w:t>
      </w:r>
      <w:r>
        <w:rPr>
          <w:rFonts w:ascii="Times New Roman" w:eastAsia="Times New Roman" w:hAnsi="Times New Roman"/>
          <w:iCs/>
          <w:sz w:val="20"/>
          <w:szCs w:val="20"/>
          <w:lang w:val="en-MY"/>
        </w:rPr>
        <w:t>model might</w:t>
      </w:r>
      <w:r>
        <w:rPr>
          <w:rFonts w:ascii="Times New Roman" w:eastAsia="Times New Roman" w:hAnsi="Times New Roman"/>
          <w:iCs/>
          <w:sz w:val="20"/>
          <w:szCs w:val="20"/>
        </w:rPr>
        <w:t xml:space="preserve"> </w:t>
      </w:r>
      <w:r>
        <w:rPr>
          <w:rFonts w:ascii="Times New Roman" w:eastAsia="Times New Roman" w:hAnsi="Times New Roman"/>
          <w:iCs/>
          <w:sz w:val="20"/>
          <w:szCs w:val="20"/>
          <w:lang w:val="en-MY"/>
        </w:rPr>
        <w:t xml:space="preserve">better </w:t>
      </w:r>
      <w:r>
        <w:rPr>
          <w:rFonts w:ascii="Times New Roman" w:eastAsia="Times New Roman" w:hAnsi="Times New Roman"/>
          <w:iCs/>
          <w:sz w:val="20"/>
          <w:szCs w:val="20"/>
        </w:rPr>
        <w:t>represent the adsorption isotherms compared to the Freundlich model. According to these findings, the seaweed</w:t>
      </w:r>
      <w:r>
        <w:rPr>
          <w:rFonts w:ascii="Times New Roman" w:eastAsia="Times New Roman" w:hAnsi="Times New Roman"/>
          <w:i/>
          <w:sz w:val="20"/>
          <w:szCs w:val="20"/>
        </w:rPr>
        <w:t xml:space="preserve"> E. denticulatum</w:t>
      </w:r>
      <w:r>
        <w:rPr>
          <w:rFonts w:ascii="Times New Roman" w:eastAsia="Times New Roman" w:hAnsi="Times New Roman"/>
          <w:iCs/>
          <w:sz w:val="20"/>
          <w:szCs w:val="20"/>
        </w:rPr>
        <w:t xml:space="preserve"> can be considered a potential biosorbent for </w:t>
      </w:r>
      <w:r>
        <w:rPr>
          <w:rFonts w:ascii="Times New Roman" w:eastAsia="Times New Roman" w:hAnsi="Times New Roman"/>
          <w:iCs/>
          <w:sz w:val="20"/>
          <w:szCs w:val="20"/>
          <w:lang w:val="en-MY"/>
        </w:rPr>
        <w:t xml:space="preserve">removing </w:t>
      </w:r>
      <w:r>
        <w:rPr>
          <w:rFonts w:ascii="Times New Roman" w:eastAsia="Times New Roman" w:hAnsi="Times New Roman"/>
          <w:iCs/>
          <w:sz w:val="20"/>
          <w:szCs w:val="20"/>
        </w:rPr>
        <w:t xml:space="preserve">heavy metal from marine and coastal areas due to its high biosorption capability. </w:t>
      </w:r>
    </w:p>
    <w:p w14:paraId="514F6CD7" w14:textId="77777777" w:rsidR="00D037D1" w:rsidRDefault="006541D4">
      <w:pPr>
        <w:pStyle w:val="Heading1"/>
        <w:spacing w:line="240" w:lineRule="auto"/>
        <w:jc w:val="center"/>
        <w:rPr>
          <w:rFonts w:asciiTheme="majorBidi" w:hAnsiTheme="majorBidi" w:cstheme="majorBidi"/>
          <w:color w:val="auto"/>
          <w:sz w:val="20"/>
          <w:szCs w:val="20"/>
          <w:lang w:val="en-MY"/>
        </w:rPr>
      </w:pPr>
      <w:r>
        <w:rPr>
          <w:rFonts w:asciiTheme="majorBidi" w:hAnsiTheme="majorBidi" w:cstheme="majorBidi"/>
          <w:color w:val="auto"/>
          <w:sz w:val="20"/>
          <w:szCs w:val="20"/>
        </w:rPr>
        <w:t>Acknowledgement</w:t>
      </w:r>
      <w:r>
        <w:rPr>
          <w:rFonts w:asciiTheme="majorBidi" w:hAnsiTheme="majorBidi" w:cstheme="majorBidi"/>
          <w:color w:val="auto"/>
          <w:sz w:val="20"/>
          <w:szCs w:val="20"/>
          <w:lang w:val="en-MY"/>
        </w:rPr>
        <w:t>s</w:t>
      </w:r>
    </w:p>
    <w:p w14:paraId="6F0F428E" w14:textId="77777777" w:rsidR="00D037D1" w:rsidRDefault="006541D4">
      <w:pPr>
        <w:spacing w:after="0" w:line="240" w:lineRule="auto"/>
        <w:rPr>
          <w:rFonts w:asciiTheme="majorBidi" w:hAnsiTheme="majorBidi" w:cstheme="majorBidi"/>
          <w:sz w:val="20"/>
          <w:szCs w:val="20"/>
        </w:rPr>
      </w:pPr>
      <w:r>
        <w:rPr>
          <w:rFonts w:asciiTheme="majorBidi" w:hAnsiTheme="majorBidi" w:cstheme="majorBidi"/>
          <w:sz w:val="20"/>
          <w:szCs w:val="20"/>
        </w:rPr>
        <w:t>The authors of this paper are thankful to the Institute of Oceanography and Environment (INOS) and the State University of Zanzibar (SUZA) for their support.</w:t>
      </w:r>
    </w:p>
    <w:bookmarkEnd w:id="2"/>
    <w:p w14:paraId="214700D8" w14:textId="77777777" w:rsidR="00C91957" w:rsidRPr="00C91957" w:rsidRDefault="00C91957" w:rsidP="00C91957">
      <w:pPr>
        <w:pStyle w:val="Heading1"/>
        <w:spacing w:line="240" w:lineRule="auto"/>
        <w:jc w:val="center"/>
        <w:rPr>
          <w:rFonts w:ascii="Times New Roman" w:hAnsi="Times New Roman"/>
          <w:color w:val="000000" w:themeColor="text1"/>
          <w:sz w:val="20"/>
          <w:szCs w:val="20"/>
        </w:rPr>
      </w:pPr>
      <w:r w:rsidRPr="00C91957">
        <w:rPr>
          <w:rFonts w:ascii="Times New Roman" w:hAnsi="Times New Roman"/>
          <w:color w:val="000000" w:themeColor="text1"/>
          <w:sz w:val="20"/>
          <w:szCs w:val="20"/>
        </w:rPr>
        <w:t>References</w:t>
      </w:r>
    </w:p>
    <w:p w14:paraId="3BF82E45" w14:textId="152F49DC"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Asnani, P. U.</w:t>
      </w:r>
      <w:r w:rsidR="0067488C">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Zurbrugg, C. (2007). Improving municipal solid waste management in India: A sourcebook for policymakers and practitioners. World Bank Publications.</w:t>
      </w:r>
    </w:p>
    <w:p w14:paraId="3B13D1B4" w14:textId="00FF793C"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Tian, H. Z., Lu, L., Cheng, K., Hao, J. M., Zhao, D., Wang, Y., Jia, W. X.</w:t>
      </w:r>
      <w:r w:rsidR="0067488C">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Qiu, P. P. (2012). Anthropogenic atmospheric nickel emissions and its distribution characteristics in China. </w:t>
      </w:r>
      <w:r w:rsidRPr="0067488C">
        <w:rPr>
          <w:rFonts w:ascii="Times New Roman" w:hAnsi="Times New Roman" w:cs="Times New Roman"/>
          <w:i/>
          <w:iCs/>
          <w:noProof/>
          <w:color w:val="000000" w:themeColor="text1"/>
          <w:sz w:val="20"/>
          <w:szCs w:val="24"/>
        </w:rPr>
        <w:t xml:space="preserve">Science of the Total Environment, </w:t>
      </w:r>
      <w:r w:rsidRPr="00C91957">
        <w:rPr>
          <w:rFonts w:ascii="Times New Roman" w:hAnsi="Times New Roman" w:cs="Times New Roman"/>
          <w:noProof/>
          <w:color w:val="000000" w:themeColor="text1"/>
          <w:sz w:val="20"/>
          <w:szCs w:val="24"/>
        </w:rPr>
        <w:t>417–418</w:t>
      </w:r>
      <w:r w:rsidR="0067488C">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148</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157.</w:t>
      </w:r>
    </w:p>
    <w:p w14:paraId="0260A88E" w14:textId="6E542CB0"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Yoon, J., Cao, X., Zhou, Q.</w:t>
      </w:r>
      <w:r w:rsidR="00B013E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Ma, L. Q. (2006). Accumulation of Pb, Cu, and Zn in native plants growing on a contaminated Florida site. </w:t>
      </w:r>
      <w:r w:rsidRPr="00B013EB">
        <w:rPr>
          <w:rFonts w:ascii="Times New Roman" w:hAnsi="Times New Roman" w:cs="Times New Roman"/>
          <w:i/>
          <w:iCs/>
          <w:noProof/>
          <w:color w:val="000000" w:themeColor="text1"/>
          <w:sz w:val="20"/>
          <w:szCs w:val="24"/>
        </w:rPr>
        <w:t>Science of the Total Environment,</w:t>
      </w:r>
      <w:r w:rsidRPr="00C91957">
        <w:rPr>
          <w:rFonts w:ascii="Times New Roman" w:hAnsi="Times New Roman" w:cs="Times New Roman"/>
          <w:noProof/>
          <w:color w:val="000000" w:themeColor="text1"/>
          <w:sz w:val="20"/>
          <w:szCs w:val="24"/>
        </w:rPr>
        <w:t xml:space="preserve"> 368(2–3)</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456</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464. </w:t>
      </w:r>
    </w:p>
    <w:p w14:paraId="512F11F9" w14:textId="33F80208"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lastRenderedPageBreak/>
        <w:t>Dixit, R., Wasiullah, Malaviya, D., Pandiyan, K., Singh, U. B., Sahu, A., Shukla, R., Singh, B. P., Rai, J. P., Sharma, P. K., Lade, H.</w:t>
      </w:r>
      <w:r w:rsidR="00B013E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Paul, D. (2015). Bioremediation of heavy metals from soil and aquatic environment: An overview of principles and criteria of fundamental processes. </w:t>
      </w:r>
      <w:r w:rsidRPr="00B013EB">
        <w:rPr>
          <w:rFonts w:ascii="Times New Roman" w:hAnsi="Times New Roman" w:cs="Times New Roman"/>
          <w:i/>
          <w:iCs/>
          <w:noProof/>
          <w:color w:val="000000" w:themeColor="text1"/>
          <w:sz w:val="20"/>
          <w:szCs w:val="24"/>
        </w:rPr>
        <w:t xml:space="preserve">Sustainability (Switzerland), </w:t>
      </w:r>
      <w:r w:rsidRPr="00C91957">
        <w:rPr>
          <w:rFonts w:ascii="Times New Roman" w:hAnsi="Times New Roman" w:cs="Times New Roman"/>
          <w:noProof/>
          <w:color w:val="000000" w:themeColor="text1"/>
          <w:sz w:val="20"/>
          <w:szCs w:val="24"/>
        </w:rPr>
        <w:t>7(2)</w:t>
      </w:r>
      <w:r w:rsidR="00B013EB">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2189</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2212. </w:t>
      </w:r>
    </w:p>
    <w:p w14:paraId="15D154C1" w14:textId="6805C3E6"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Das, N. (2005). Heavy metals biosorption by mushrooms. </w:t>
      </w:r>
      <w:r w:rsidRPr="00C91957">
        <w:rPr>
          <w:rFonts w:ascii="Times New Roman" w:hAnsi="Times New Roman" w:cs="Times New Roman"/>
          <w:i/>
          <w:iCs/>
          <w:noProof/>
          <w:color w:val="000000" w:themeColor="text1"/>
          <w:sz w:val="20"/>
          <w:szCs w:val="24"/>
        </w:rPr>
        <w:t>Indian Journal of Natural Products and Resources</w:t>
      </w:r>
      <w:r w:rsidRPr="00C91957">
        <w:rPr>
          <w:rFonts w:ascii="Times New Roman" w:hAnsi="Times New Roman" w:cs="Times New Roman"/>
          <w:noProof/>
          <w:color w:val="000000" w:themeColor="text1"/>
          <w:sz w:val="20"/>
          <w:szCs w:val="24"/>
        </w:rPr>
        <w:t xml:space="preserve">, </w:t>
      </w:r>
      <w:r w:rsidRPr="00B013EB">
        <w:rPr>
          <w:rFonts w:ascii="Times New Roman" w:hAnsi="Times New Roman" w:cs="Times New Roman"/>
          <w:noProof/>
          <w:color w:val="000000" w:themeColor="text1"/>
          <w:sz w:val="20"/>
          <w:szCs w:val="24"/>
        </w:rPr>
        <w:t>4(6)</w:t>
      </w:r>
      <w:r w:rsidR="00B013EB" w:rsidRPr="00B013EB">
        <w:rPr>
          <w:rFonts w:ascii="Times New Roman" w:hAnsi="Times New Roman" w:cs="Times New Roman"/>
          <w:noProof/>
          <w:color w:val="000000" w:themeColor="text1"/>
          <w:sz w:val="20"/>
          <w:szCs w:val="24"/>
        </w:rPr>
        <w:t>:</w:t>
      </w:r>
      <w:r w:rsidRPr="00B013EB">
        <w:rPr>
          <w:rFonts w:ascii="Times New Roman" w:hAnsi="Times New Roman" w:cs="Times New Roman"/>
          <w:noProof/>
          <w:color w:val="000000" w:themeColor="text1"/>
          <w:sz w:val="20"/>
          <w:szCs w:val="24"/>
        </w:rPr>
        <w:t xml:space="preserve"> 454</w:t>
      </w:r>
      <w:r w:rsidR="00B013EB" w:rsidRPr="00B013EB">
        <w:rPr>
          <w:rFonts w:ascii="Times New Roman" w:hAnsi="Times New Roman" w:cs="Times New Roman"/>
          <w:noProof/>
          <w:color w:val="000000" w:themeColor="text1"/>
          <w:sz w:val="20"/>
          <w:szCs w:val="24"/>
        </w:rPr>
        <w:t>-</w:t>
      </w:r>
      <w:r w:rsidRPr="00B013EB">
        <w:rPr>
          <w:rFonts w:ascii="Times New Roman" w:hAnsi="Times New Roman" w:cs="Times New Roman"/>
          <w:noProof/>
          <w:color w:val="000000" w:themeColor="text1"/>
          <w:sz w:val="20"/>
          <w:szCs w:val="24"/>
        </w:rPr>
        <w:t>459.</w:t>
      </w:r>
    </w:p>
    <w:p w14:paraId="1AAD2BAF" w14:textId="29AD180A"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Volesky, B. (2007). Biosorption and me. </w:t>
      </w:r>
      <w:r w:rsidRPr="00B013EB">
        <w:rPr>
          <w:rFonts w:ascii="Times New Roman" w:hAnsi="Times New Roman" w:cs="Times New Roman"/>
          <w:i/>
          <w:iCs/>
          <w:noProof/>
          <w:color w:val="000000" w:themeColor="text1"/>
          <w:sz w:val="20"/>
          <w:szCs w:val="24"/>
        </w:rPr>
        <w:t>Water Research,</w:t>
      </w:r>
      <w:r w:rsidRPr="00C91957">
        <w:rPr>
          <w:rFonts w:ascii="Times New Roman" w:hAnsi="Times New Roman" w:cs="Times New Roman"/>
          <w:noProof/>
          <w:color w:val="000000" w:themeColor="text1"/>
          <w:sz w:val="20"/>
          <w:szCs w:val="24"/>
        </w:rPr>
        <w:t xml:space="preserve"> 41(18)</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4017</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4029. </w:t>
      </w:r>
    </w:p>
    <w:p w14:paraId="00719B90" w14:textId="6EA159CD"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Zeraatkar, A. K., Ahmadzadeh, H., Talebi, A. F., Moheimani, N. R.</w:t>
      </w:r>
      <w:r w:rsidR="00B013E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McHenry, M. P. (2016). Potential use of algae for heavy metal bioremediation, a critical review. </w:t>
      </w:r>
      <w:r w:rsidRPr="00B013EB">
        <w:rPr>
          <w:rFonts w:ascii="Times New Roman" w:hAnsi="Times New Roman" w:cs="Times New Roman"/>
          <w:i/>
          <w:iCs/>
          <w:noProof/>
          <w:color w:val="000000" w:themeColor="text1"/>
          <w:sz w:val="20"/>
          <w:szCs w:val="24"/>
        </w:rPr>
        <w:t>Journal of Environmental Management,</w:t>
      </w:r>
      <w:r w:rsidRPr="00C91957">
        <w:rPr>
          <w:rFonts w:ascii="Times New Roman" w:hAnsi="Times New Roman" w:cs="Times New Roman"/>
          <w:noProof/>
          <w:color w:val="000000" w:themeColor="text1"/>
          <w:sz w:val="20"/>
          <w:szCs w:val="24"/>
        </w:rPr>
        <w:t xml:space="preserve"> 181</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817–831. </w:t>
      </w:r>
    </w:p>
    <w:p w14:paraId="2169A5A0" w14:textId="5C1D3C77"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Mousavi, S. A., Almasi, A., Navazeshkh, F.</w:t>
      </w:r>
      <w:r w:rsidR="00B013E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Falahi, F. (2019). Biosorption of lead from aqueous solutions by algae biomass: Optimization and modeling. </w:t>
      </w:r>
      <w:r w:rsidRPr="00B013EB">
        <w:rPr>
          <w:rFonts w:ascii="Times New Roman" w:hAnsi="Times New Roman" w:cs="Times New Roman"/>
          <w:i/>
          <w:iCs/>
          <w:noProof/>
          <w:color w:val="000000" w:themeColor="text1"/>
          <w:sz w:val="20"/>
          <w:szCs w:val="24"/>
        </w:rPr>
        <w:t xml:space="preserve">Desalination and Water Treatment, </w:t>
      </w:r>
      <w:r w:rsidRPr="00C91957">
        <w:rPr>
          <w:rFonts w:ascii="Times New Roman" w:hAnsi="Times New Roman" w:cs="Times New Roman"/>
          <w:noProof/>
          <w:color w:val="000000" w:themeColor="text1"/>
          <w:sz w:val="20"/>
          <w:szCs w:val="24"/>
        </w:rPr>
        <w:t>148</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229</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237. </w:t>
      </w:r>
    </w:p>
    <w:p w14:paraId="6D03BB72" w14:textId="2CFE6587"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Dwivedi, S., Mishra, A.</w:t>
      </w:r>
      <w:r w:rsidR="00B013E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Saini, D. (2012). Removal </w:t>
      </w:r>
      <w:r w:rsidR="00B013EB" w:rsidRPr="00C91957">
        <w:rPr>
          <w:rFonts w:ascii="Times New Roman" w:hAnsi="Times New Roman" w:cs="Times New Roman"/>
          <w:noProof/>
          <w:color w:val="000000" w:themeColor="text1"/>
          <w:sz w:val="20"/>
          <w:szCs w:val="24"/>
        </w:rPr>
        <w:t xml:space="preserve">of heavy metals in liquid media through fungi isolated from waste water. </w:t>
      </w:r>
      <w:r w:rsidRPr="00B013EB">
        <w:rPr>
          <w:rFonts w:ascii="Times New Roman" w:hAnsi="Times New Roman" w:cs="Times New Roman"/>
          <w:i/>
          <w:iCs/>
          <w:noProof/>
          <w:color w:val="000000" w:themeColor="text1"/>
          <w:sz w:val="20"/>
          <w:szCs w:val="24"/>
        </w:rPr>
        <w:t xml:space="preserve">International Journal of Science and Research, </w:t>
      </w:r>
      <w:r w:rsidRPr="00C91957">
        <w:rPr>
          <w:rFonts w:ascii="Times New Roman" w:hAnsi="Times New Roman" w:cs="Times New Roman"/>
          <w:noProof/>
          <w:color w:val="000000" w:themeColor="text1"/>
          <w:sz w:val="20"/>
          <w:szCs w:val="24"/>
        </w:rPr>
        <w:t>1</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2319</w:t>
      </w:r>
      <w:r w:rsidR="00B013E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7064.</w:t>
      </w:r>
    </w:p>
    <w:p w14:paraId="433B0554" w14:textId="4A439D86"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Vijayaraghavan, K.</w:t>
      </w:r>
      <w:r w:rsidR="00B013E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Yun, Y. S. (2008). Bacterial biosorbents and biosorption. </w:t>
      </w:r>
      <w:r w:rsidRPr="00C91957">
        <w:rPr>
          <w:rFonts w:ascii="Times New Roman" w:hAnsi="Times New Roman" w:cs="Times New Roman"/>
          <w:i/>
          <w:iCs/>
          <w:noProof/>
          <w:color w:val="000000" w:themeColor="text1"/>
          <w:sz w:val="20"/>
          <w:szCs w:val="24"/>
        </w:rPr>
        <w:t>Biotechnology Advances</w:t>
      </w:r>
      <w:r w:rsidRPr="00C91957">
        <w:rPr>
          <w:rFonts w:ascii="Times New Roman" w:hAnsi="Times New Roman" w:cs="Times New Roman"/>
          <w:noProof/>
          <w:color w:val="000000" w:themeColor="text1"/>
          <w:sz w:val="20"/>
          <w:szCs w:val="24"/>
        </w:rPr>
        <w:t xml:space="preserve">, </w:t>
      </w:r>
      <w:r w:rsidRPr="00B013EB">
        <w:rPr>
          <w:rFonts w:ascii="Times New Roman" w:hAnsi="Times New Roman" w:cs="Times New Roman"/>
          <w:noProof/>
          <w:color w:val="000000" w:themeColor="text1"/>
          <w:sz w:val="20"/>
          <w:szCs w:val="24"/>
        </w:rPr>
        <w:t>26(3)</w:t>
      </w:r>
      <w:r w:rsidR="00B013EB" w:rsidRPr="00B013EB">
        <w:rPr>
          <w:rFonts w:ascii="Times New Roman" w:hAnsi="Times New Roman" w:cs="Times New Roman"/>
          <w:noProof/>
          <w:color w:val="000000" w:themeColor="text1"/>
          <w:sz w:val="20"/>
          <w:szCs w:val="24"/>
        </w:rPr>
        <w:t>:</w:t>
      </w:r>
      <w:r w:rsidRPr="00B013EB">
        <w:rPr>
          <w:rFonts w:ascii="Times New Roman" w:hAnsi="Times New Roman" w:cs="Times New Roman"/>
          <w:noProof/>
          <w:color w:val="000000" w:themeColor="text1"/>
          <w:sz w:val="20"/>
          <w:szCs w:val="24"/>
        </w:rPr>
        <w:t xml:space="preserve"> 266</w:t>
      </w:r>
      <w:r w:rsidR="00B013EB" w:rsidRPr="00B013EB">
        <w:rPr>
          <w:rFonts w:ascii="Times New Roman" w:hAnsi="Times New Roman" w:cs="Times New Roman"/>
          <w:noProof/>
          <w:color w:val="000000" w:themeColor="text1"/>
          <w:sz w:val="20"/>
          <w:szCs w:val="24"/>
        </w:rPr>
        <w:t>-</w:t>
      </w:r>
      <w:r w:rsidRPr="00B013EB">
        <w:rPr>
          <w:rFonts w:ascii="Times New Roman" w:hAnsi="Times New Roman" w:cs="Times New Roman"/>
          <w:noProof/>
          <w:color w:val="000000" w:themeColor="text1"/>
          <w:sz w:val="20"/>
          <w:szCs w:val="24"/>
        </w:rPr>
        <w:t>291.</w:t>
      </w:r>
      <w:r w:rsidRPr="00C91957">
        <w:rPr>
          <w:rFonts w:ascii="Times New Roman" w:hAnsi="Times New Roman" w:cs="Times New Roman"/>
          <w:noProof/>
          <w:color w:val="000000" w:themeColor="text1"/>
          <w:sz w:val="20"/>
          <w:szCs w:val="24"/>
        </w:rPr>
        <w:t xml:space="preserve"> </w:t>
      </w:r>
    </w:p>
    <w:p w14:paraId="4A4841F4" w14:textId="32046264"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Elangovan, R., Philip, L.</w:t>
      </w:r>
      <w:r w:rsidR="0019557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Chandraraj, K. (2008). Biosorption of chromium species by aquatic weeds: Kinetics and mechanism studies. </w:t>
      </w:r>
      <w:r w:rsidRPr="00C91957">
        <w:rPr>
          <w:rFonts w:ascii="Times New Roman" w:hAnsi="Times New Roman" w:cs="Times New Roman"/>
          <w:i/>
          <w:iCs/>
          <w:noProof/>
          <w:color w:val="000000" w:themeColor="text1"/>
          <w:sz w:val="20"/>
          <w:szCs w:val="24"/>
        </w:rPr>
        <w:t>Journal of Hazardous Materials</w:t>
      </w:r>
      <w:r w:rsidRPr="00C91957">
        <w:rPr>
          <w:rFonts w:ascii="Times New Roman" w:hAnsi="Times New Roman" w:cs="Times New Roman"/>
          <w:noProof/>
          <w:color w:val="000000" w:themeColor="text1"/>
          <w:sz w:val="20"/>
          <w:szCs w:val="24"/>
        </w:rPr>
        <w:t xml:space="preserve">, </w:t>
      </w:r>
      <w:r w:rsidRPr="0019557B">
        <w:rPr>
          <w:rFonts w:ascii="Times New Roman" w:hAnsi="Times New Roman" w:cs="Times New Roman"/>
          <w:noProof/>
          <w:color w:val="000000" w:themeColor="text1"/>
          <w:sz w:val="20"/>
          <w:szCs w:val="24"/>
        </w:rPr>
        <w:t>152(1)</w:t>
      </w:r>
      <w:r w:rsidR="0019557B" w:rsidRPr="0019557B">
        <w:rPr>
          <w:rFonts w:ascii="Times New Roman" w:hAnsi="Times New Roman" w:cs="Times New Roman"/>
          <w:noProof/>
          <w:color w:val="000000" w:themeColor="text1"/>
          <w:sz w:val="20"/>
          <w:szCs w:val="24"/>
        </w:rPr>
        <w:t>:</w:t>
      </w:r>
      <w:r w:rsidRPr="0019557B">
        <w:rPr>
          <w:rFonts w:ascii="Times New Roman" w:hAnsi="Times New Roman" w:cs="Times New Roman"/>
          <w:noProof/>
          <w:color w:val="000000" w:themeColor="text1"/>
          <w:sz w:val="20"/>
          <w:szCs w:val="24"/>
        </w:rPr>
        <w:t xml:space="preserve"> 100</w:t>
      </w:r>
      <w:r w:rsidR="0019557B" w:rsidRPr="0019557B">
        <w:rPr>
          <w:rFonts w:ascii="Times New Roman" w:hAnsi="Times New Roman" w:cs="Times New Roman"/>
          <w:noProof/>
          <w:color w:val="000000" w:themeColor="text1"/>
          <w:sz w:val="20"/>
          <w:szCs w:val="24"/>
        </w:rPr>
        <w:t>-</w:t>
      </w:r>
      <w:r w:rsidRPr="0019557B">
        <w:rPr>
          <w:rFonts w:ascii="Times New Roman" w:hAnsi="Times New Roman" w:cs="Times New Roman"/>
          <w:noProof/>
          <w:color w:val="000000" w:themeColor="text1"/>
          <w:sz w:val="20"/>
          <w:szCs w:val="24"/>
        </w:rPr>
        <w:t>112.</w:t>
      </w:r>
    </w:p>
    <w:p w14:paraId="511710B2" w14:textId="5B15DE8C"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Rahman, H. U., Shakirullah, M., Ahmad, I., Shah, S.</w:t>
      </w:r>
      <w:r w:rsidR="0019557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Shah, A. A. (2005). Removal of copper (II) ions from aqueous medium by sawdust of wood. In </w:t>
      </w:r>
      <w:r w:rsidRPr="00C91957">
        <w:rPr>
          <w:rFonts w:ascii="Times New Roman" w:hAnsi="Times New Roman" w:cs="Times New Roman"/>
          <w:i/>
          <w:iCs/>
          <w:noProof/>
          <w:color w:val="000000" w:themeColor="text1"/>
          <w:sz w:val="20"/>
          <w:szCs w:val="24"/>
        </w:rPr>
        <w:t>Journal of the Chemical Society of Pakistan</w:t>
      </w:r>
      <w:r w:rsidR="0019557B">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27</w:t>
      </w:r>
      <w:r w:rsidR="0019557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3</w:t>
      </w:r>
      <w:r w:rsidR="0019557B">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233</w:t>
      </w:r>
      <w:r w:rsidR="0019557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238.</w:t>
      </w:r>
    </w:p>
    <w:p w14:paraId="7CE85B72" w14:textId="67D27471"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Tabaraki, R., Nateghi, A.</w:t>
      </w:r>
      <w:r w:rsidR="0019557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Ahmady-Asbchin, S. (2014). Biosorption of lead (II) ions on </w:t>
      </w:r>
      <w:r w:rsidRPr="0019557B">
        <w:rPr>
          <w:rFonts w:ascii="Times New Roman" w:hAnsi="Times New Roman" w:cs="Times New Roman"/>
          <w:i/>
          <w:iCs/>
          <w:noProof/>
          <w:color w:val="000000" w:themeColor="text1"/>
          <w:sz w:val="20"/>
          <w:szCs w:val="24"/>
        </w:rPr>
        <w:t>Sargassum ilicifolium</w:t>
      </w:r>
      <w:r w:rsidRPr="00C91957">
        <w:rPr>
          <w:rFonts w:ascii="Times New Roman" w:hAnsi="Times New Roman" w:cs="Times New Roman"/>
          <w:noProof/>
          <w:color w:val="000000" w:themeColor="text1"/>
          <w:sz w:val="20"/>
          <w:szCs w:val="24"/>
        </w:rPr>
        <w:t xml:space="preserve">: Application of response surface methodology. </w:t>
      </w:r>
      <w:r w:rsidRPr="0019557B">
        <w:rPr>
          <w:rFonts w:ascii="Times New Roman" w:hAnsi="Times New Roman" w:cs="Times New Roman"/>
          <w:i/>
          <w:iCs/>
          <w:noProof/>
          <w:color w:val="000000" w:themeColor="text1"/>
          <w:sz w:val="20"/>
          <w:szCs w:val="24"/>
        </w:rPr>
        <w:t xml:space="preserve">International Biodeterioration and Biodegradation, </w:t>
      </w:r>
      <w:r w:rsidRPr="00C91957">
        <w:rPr>
          <w:rFonts w:ascii="Times New Roman" w:hAnsi="Times New Roman" w:cs="Times New Roman"/>
          <w:noProof/>
          <w:color w:val="000000" w:themeColor="text1"/>
          <w:sz w:val="20"/>
          <w:szCs w:val="24"/>
        </w:rPr>
        <w:t>93</w:t>
      </w:r>
      <w:r w:rsidR="0019557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145</w:t>
      </w:r>
      <w:r w:rsidR="0019557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152. </w:t>
      </w:r>
    </w:p>
    <w:p w14:paraId="79091BFF" w14:textId="40B85BF9"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Taşar, Ş., Kaya, F.</w:t>
      </w:r>
      <w:r w:rsidR="0019557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Özer, A. (2014). Biosorption of lead(II) ions from aqueous solution by peanut shells: Equilibrium, thermodynamic and kinetic studies. </w:t>
      </w:r>
      <w:r w:rsidRPr="0019557B">
        <w:rPr>
          <w:rFonts w:ascii="Times New Roman" w:hAnsi="Times New Roman" w:cs="Times New Roman"/>
          <w:i/>
          <w:iCs/>
          <w:noProof/>
          <w:color w:val="000000" w:themeColor="text1"/>
          <w:sz w:val="20"/>
          <w:szCs w:val="24"/>
        </w:rPr>
        <w:t>Journal of Environmental Chemical Engineering,</w:t>
      </w:r>
      <w:r w:rsidRPr="00C91957">
        <w:rPr>
          <w:rFonts w:ascii="Times New Roman" w:hAnsi="Times New Roman" w:cs="Times New Roman"/>
          <w:noProof/>
          <w:color w:val="000000" w:themeColor="text1"/>
          <w:sz w:val="20"/>
          <w:szCs w:val="24"/>
        </w:rPr>
        <w:t xml:space="preserve"> 2(2)</w:t>
      </w:r>
      <w:r w:rsidR="0019557B">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1018</w:t>
      </w:r>
      <w:r w:rsidR="0019557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1026.</w:t>
      </w:r>
    </w:p>
    <w:p w14:paraId="6D8401F1" w14:textId="0B6FFB03"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Blázquez, G., Calero, M., Hernáinz, F., Tenorio, G.</w:t>
      </w:r>
      <w:r w:rsidR="0019557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Martín-Lara, M. A. (2010). Equilibrium biosorption of lead(II) from aqueous solutions by solid waste from olive-oil production. </w:t>
      </w:r>
      <w:r w:rsidRPr="0019557B">
        <w:rPr>
          <w:rFonts w:ascii="Times New Roman" w:hAnsi="Times New Roman" w:cs="Times New Roman"/>
          <w:i/>
          <w:iCs/>
          <w:noProof/>
          <w:color w:val="000000" w:themeColor="text1"/>
          <w:sz w:val="20"/>
          <w:szCs w:val="24"/>
        </w:rPr>
        <w:t>Chemical Engineering Journal,</w:t>
      </w:r>
      <w:r w:rsidRPr="00C91957">
        <w:rPr>
          <w:rFonts w:ascii="Times New Roman" w:hAnsi="Times New Roman" w:cs="Times New Roman"/>
          <w:noProof/>
          <w:color w:val="000000" w:themeColor="text1"/>
          <w:sz w:val="20"/>
          <w:szCs w:val="24"/>
        </w:rPr>
        <w:t xml:space="preserve"> 160(2)</w:t>
      </w:r>
      <w:r w:rsidR="0019557B">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615</w:t>
      </w:r>
      <w:r w:rsidR="0019557B">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622. </w:t>
      </w:r>
    </w:p>
    <w:p w14:paraId="7C4B6193" w14:textId="3F507218"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Gerola, G. P., Boas, N. V., Caetano, J., Tarley, C. R. T., Gonçalves, A. C.</w:t>
      </w:r>
      <w:r w:rsidR="0019557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Dragunski, D. C. (2013). Utilization of passion fruit skin by-product as </w:t>
      </w:r>
      <w:r w:rsidR="0019557B">
        <w:rPr>
          <w:rFonts w:ascii="Times New Roman" w:hAnsi="Times New Roman" w:cs="Times New Roman"/>
          <w:noProof/>
          <w:color w:val="000000" w:themeColor="text1"/>
          <w:sz w:val="20"/>
          <w:szCs w:val="24"/>
        </w:rPr>
        <w:t>l</w:t>
      </w:r>
      <w:r w:rsidRPr="00C91957">
        <w:rPr>
          <w:rFonts w:ascii="Times New Roman" w:hAnsi="Times New Roman" w:cs="Times New Roman"/>
          <w:noProof/>
          <w:color w:val="000000" w:themeColor="text1"/>
          <w:sz w:val="20"/>
          <w:szCs w:val="24"/>
        </w:rPr>
        <w:t xml:space="preserve">ead(II) </w:t>
      </w:r>
      <w:r w:rsidR="0019557B" w:rsidRPr="00C91957">
        <w:rPr>
          <w:rFonts w:ascii="Times New Roman" w:hAnsi="Times New Roman" w:cs="Times New Roman"/>
          <w:noProof/>
          <w:color w:val="000000" w:themeColor="text1"/>
          <w:sz w:val="20"/>
          <w:szCs w:val="24"/>
        </w:rPr>
        <w:t>ion biosorbent.</w:t>
      </w:r>
      <w:r w:rsidRPr="00C91957">
        <w:rPr>
          <w:rFonts w:ascii="Times New Roman" w:hAnsi="Times New Roman" w:cs="Times New Roman"/>
          <w:noProof/>
          <w:color w:val="000000" w:themeColor="text1"/>
          <w:sz w:val="20"/>
          <w:szCs w:val="24"/>
        </w:rPr>
        <w:t xml:space="preserve"> </w:t>
      </w:r>
      <w:r w:rsidRPr="0019557B">
        <w:rPr>
          <w:rFonts w:ascii="Times New Roman" w:hAnsi="Times New Roman" w:cs="Times New Roman"/>
          <w:i/>
          <w:iCs/>
          <w:noProof/>
          <w:color w:val="000000" w:themeColor="text1"/>
          <w:sz w:val="20"/>
          <w:szCs w:val="24"/>
        </w:rPr>
        <w:t>Water, Air, and Soil Pollution,</w:t>
      </w:r>
      <w:r w:rsidRPr="00C91957">
        <w:rPr>
          <w:rFonts w:ascii="Times New Roman" w:hAnsi="Times New Roman" w:cs="Times New Roman"/>
          <w:noProof/>
          <w:color w:val="000000" w:themeColor="text1"/>
          <w:sz w:val="20"/>
          <w:szCs w:val="24"/>
        </w:rPr>
        <w:t xml:space="preserve"> 224(2)</w:t>
      </w:r>
      <w:r w:rsidR="0019557B">
        <w:rPr>
          <w:rFonts w:ascii="Times New Roman" w:hAnsi="Times New Roman" w:cs="Times New Roman"/>
          <w:noProof/>
          <w:color w:val="000000" w:themeColor="text1"/>
          <w:sz w:val="20"/>
          <w:szCs w:val="24"/>
        </w:rPr>
        <w:t>: 1-11</w:t>
      </w:r>
      <w:r w:rsidRPr="00C91957">
        <w:rPr>
          <w:rFonts w:ascii="Times New Roman" w:hAnsi="Times New Roman" w:cs="Times New Roman"/>
          <w:noProof/>
          <w:color w:val="000000" w:themeColor="text1"/>
          <w:sz w:val="20"/>
          <w:szCs w:val="24"/>
        </w:rPr>
        <w:t xml:space="preserve">. </w:t>
      </w:r>
    </w:p>
    <w:p w14:paraId="72EB3B50" w14:textId="635855AF"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Senthilkumar, R., Vijayaraghavan, K., Thilakavathi, M., Iyer, P. V. R.</w:t>
      </w:r>
      <w:r w:rsidR="0019557B">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Velan, M. (2007). Application of seaweeds for the removal of lead from aqueous solution. </w:t>
      </w:r>
      <w:r w:rsidRPr="0019557B">
        <w:rPr>
          <w:rFonts w:ascii="Times New Roman" w:hAnsi="Times New Roman" w:cs="Times New Roman"/>
          <w:i/>
          <w:iCs/>
          <w:noProof/>
          <w:color w:val="000000" w:themeColor="text1"/>
          <w:sz w:val="20"/>
          <w:szCs w:val="24"/>
        </w:rPr>
        <w:t>Biochemical Engineering Journal,</w:t>
      </w:r>
      <w:r w:rsidRPr="00C91957">
        <w:rPr>
          <w:rFonts w:ascii="Times New Roman" w:hAnsi="Times New Roman" w:cs="Times New Roman"/>
          <w:noProof/>
          <w:color w:val="000000" w:themeColor="text1"/>
          <w:sz w:val="20"/>
          <w:szCs w:val="24"/>
        </w:rPr>
        <w:t xml:space="preserve"> 33(3)</w:t>
      </w:r>
      <w:r w:rsidR="00424853">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211</w:t>
      </w:r>
      <w:r w:rsidR="00424853">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216. </w:t>
      </w:r>
    </w:p>
    <w:p w14:paraId="454F5017" w14:textId="2A2DA341"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Abdel -Aty, A. M., Ammar, N. S., Abdel Ghafar, H. H.</w:t>
      </w:r>
      <w:r w:rsidR="00424853">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Ali, R. K. (2013). Biosorption of cadmium and lead from aqueous solution by freshwater alga </w:t>
      </w:r>
      <w:r w:rsidRPr="00424853">
        <w:rPr>
          <w:rFonts w:ascii="Times New Roman" w:hAnsi="Times New Roman" w:cs="Times New Roman"/>
          <w:i/>
          <w:iCs/>
          <w:noProof/>
          <w:color w:val="000000" w:themeColor="text1"/>
          <w:sz w:val="20"/>
          <w:szCs w:val="24"/>
        </w:rPr>
        <w:t>Anabaena sphaerica</w:t>
      </w:r>
      <w:r w:rsidRPr="00C91957">
        <w:rPr>
          <w:rFonts w:ascii="Times New Roman" w:hAnsi="Times New Roman" w:cs="Times New Roman"/>
          <w:noProof/>
          <w:color w:val="000000" w:themeColor="text1"/>
          <w:sz w:val="20"/>
          <w:szCs w:val="24"/>
        </w:rPr>
        <w:t xml:space="preserve"> biomass. </w:t>
      </w:r>
      <w:r w:rsidRPr="00424853">
        <w:rPr>
          <w:rFonts w:ascii="Times New Roman" w:hAnsi="Times New Roman" w:cs="Times New Roman"/>
          <w:i/>
          <w:iCs/>
          <w:noProof/>
          <w:color w:val="000000" w:themeColor="text1"/>
          <w:sz w:val="20"/>
          <w:szCs w:val="24"/>
        </w:rPr>
        <w:t>Journal of Advanced Research,</w:t>
      </w:r>
      <w:r w:rsidRPr="00C91957">
        <w:rPr>
          <w:rFonts w:ascii="Times New Roman" w:hAnsi="Times New Roman" w:cs="Times New Roman"/>
          <w:noProof/>
          <w:color w:val="000000" w:themeColor="text1"/>
          <w:sz w:val="20"/>
          <w:szCs w:val="24"/>
        </w:rPr>
        <w:t xml:space="preserve"> 4(4)</w:t>
      </w:r>
      <w:r w:rsidR="00424853">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367</w:t>
      </w:r>
      <w:r w:rsidR="00424853">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374. </w:t>
      </w:r>
    </w:p>
    <w:p w14:paraId="0EC06F14" w14:textId="542776D5"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0"/>
        </w:rPr>
      </w:pPr>
      <w:r w:rsidRPr="00C91957">
        <w:rPr>
          <w:rFonts w:asciiTheme="majorBidi" w:hAnsiTheme="majorBidi" w:cstheme="majorBidi"/>
          <w:noProof/>
          <w:color w:val="000000" w:themeColor="text1"/>
          <w:sz w:val="20"/>
          <w:szCs w:val="20"/>
        </w:rPr>
        <w:t>Putri, L.</w:t>
      </w:r>
      <w:r w:rsidR="00424853">
        <w:rPr>
          <w:rFonts w:asciiTheme="majorBidi" w:hAnsiTheme="majorBidi" w:cstheme="majorBidi"/>
          <w:noProof/>
          <w:color w:val="000000" w:themeColor="text1"/>
          <w:sz w:val="20"/>
          <w:szCs w:val="20"/>
        </w:rPr>
        <w:t xml:space="preserve"> </w:t>
      </w:r>
      <w:r w:rsidRPr="00C91957">
        <w:rPr>
          <w:rFonts w:asciiTheme="majorBidi" w:hAnsiTheme="majorBidi" w:cstheme="majorBidi"/>
          <w:noProof/>
          <w:color w:val="000000" w:themeColor="text1"/>
          <w:sz w:val="20"/>
          <w:szCs w:val="20"/>
        </w:rPr>
        <w:t xml:space="preserve">S.(2016). Biosorption of lead using macroalgae </w:t>
      </w:r>
      <w:r w:rsidRPr="00424853">
        <w:rPr>
          <w:rFonts w:asciiTheme="majorBidi" w:hAnsiTheme="majorBidi" w:cstheme="majorBidi"/>
          <w:i/>
          <w:iCs/>
          <w:noProof/>
          <w:color w:val="000000" w:themeColor="text1"/>
          <w:sz w:val="20"/>
          <w:szCs w:val="20"/>
        </w:rPr>
        <w:t>Eucheuma spinosum, Padina minor</w:t>
      </w:r>
      <w:r w:rsidRPr="00C91957">
        <w:rPr>
          <w:rFonts w:asciiTheme="majorBidi" w:hAnsiTheme="majorBidi" w:cstheme="majorBidi"/>
          <w:noProof/>
          <w:color w:val="000000" w:themeColor="text1"/>
          <w:sz w:val="20"/>
          <w:szCs w:val="20"/>
        </w:rPr>
        <w:t xml:space="preserve">, and </w:t>
      </w:r>
      <w:r w:rsidRPr="00424853">
        <w:rPr>
          <w:rFonts w:asciiTheme="majorBidi" w:hAnsiTheme="majorBidi" w:cstheme="majorBidi"/>
          <w:i/>
          <w:iCs/>
          <w:noProof/>
          <w:color w:val="000000" w:themeColor="text1"/>
          <w:sz w:val="20"/>
          <w:szCs w:val="20"/>
        </w:rPr>
        <w:t>Sargassum crassifolium</w:t>
      </w:r>
      <w:r w:rsidRPr="00C91957">
        <w:rPr>
          <w:rFonts w:asciiTheme="majorBidi" w:hAnsiTheme="majorBidi" w:cstheme="majorBidi"/>
          <w:noProof/>
          <w:color w:val="000000" w:themeColor="text1"/>
          <w:sz w:val="20"/>
          <w:szCs w:val="20"/>
        </w:rPr>
        <w:t xml:space="preserve"> in an aqueous solution. </w:t>
      </w:r>
      <w:r w:rsidRPr="00424853">
        <w:rPr>
          <w:rFonts w:asciiTheme="majorBidi" w:hAnsiTheme="majorBidi" w:cstheme="majorBidi"/>
          <w:i/>
          <w:iCs/>
          <w:noProof/>
          <w:color w:val="000000" w:themeColor="text1"/>
          <w:sz w:val="20"/>
          <w:szCs w:val="20"/>
        </w:rPr>
        <w:t>Asian Journal of Applied Sciences,</w:t>
      </w:r>
      <w:r w:rsidRPr="00C91957">
        <w:rPr>
          <w:rFonts w:asciiTheme="majorBidi" w:hAnsiTheme="majorBidi" w:cstheme="majorBidi"/>
          <w:noProof/>
          <w:color w:val="000000" w:themeColor="text1"/>
          <w:sz w:val="20"/>
          <w:szCs w:val="20"/>
        </w:rPr>
        <w:t xml:space="preserve"> </w:t>
      </w:r>
      <w:r w:rsidR="00424853">
        <w:rPr>
          <w:rFonts w:asciiTheme="majorBidi" w:hAnsiTheme="majorBidi" w:cstheme="majorBidi"/>
          <w:noProof/>
          <w:color w:val="000000" w:themeColor="text1"/>
          <w:sz w:val="20"/>
          <w:szCs w:val="20"/>
        </w:rPr>
        <w:t>4:</w:t>
      </w:r>
      <w:r w:rsidRPr="00C91957">
        <w:rPr>
          <w:rFonts w:asciiTheme="majorBidi" w:hAnsiTheme="majorBidi" w:cstheme="majorBidi"/>
          <w:noProof/>
          <w:color w:val="000000" w:themeColor="text1"/>
          <w:sz w:val="20"/>
          <w:szCs w:val="20"/>
        </w:rPr>
        <w:t xml:space="preserve"> 520</w:t>
      </w:r>
      <w:r w:rsidR="00424853">
        <w:rPr>
          <w:rFonts w:asciiTheme="majorBidi" w:hAnsiTheme="majorBidi" w:cstheme="majorBidi"/>
          <w:noProof/>
          <w:color w:val="000000" w:themeColor="text1"/>
          <w:sz w:val="20"/>
          <w:szCs w:val="20"/>
        </w:rPr>
        <w:t>-</w:t>
      </w:r>
      <w:r w:rsidRPr="00C91957">
        <w:rPr>
          <w:rFonts w:asciiTheme="majorBidi" w:hAnsiTheme="majorBidi" w:cstheme="majorBidi"/>
          <w:noProof/>
          <w:color w:val="000000" w:themeColor="text1"/>
          <w:sz w:val="20"/>
          <w:szCs w:val="20"/>
        </w:rPr>
        <w:t>525.</w:t>
      </w:r>
    </w:p>
    <w:p w14:paraId="07721B40" w14:textId="6A858F0A"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0"/>
        </w:rPr>
      </w:pPr>
      <w:r w:rsidRPr="00C91957">
        <w:rPr>
          <w:rFonts w:asciiTheme="majorBidi" w:hAnsiTheme="majorBidi" w:cstheme="majorBidi"/>
          <w:noProof/>
          <w:color w:val="000000" w:themeColor="text1"/>
          <w:sz w:val="20"/>
          <w:szCs w:val="20"/>
        </w:rPr>
        <w:t>Abdel Ghafar, H. H., Abdel-Aty, A. M., Ammar, N. S.</w:t>
      </w:r>
      <w:r w:rsidR="00424853">
        <w:rPr>
          <w:rFonts w:asciiTheme="majorBidi" w:hAnsiTheme="majorBidi" w:cstheme="majorBidi"/>
          <w:noProof/>
          <w:color w:val="000000" w:themeColor="text1"/>
          <w:sz w:val="20"/>
          <w:szCs w:val="20"/>
        </w:rPr>
        <w:t xml:space="preserve"> and </w:t>
      </w:r>
      <w:r w:rsidRPr="00C91957">
        <w:rPr>
          <w:rFonts w:asciiTheme="majorBidi" w:hAnsiTheme="majorBidi" w:cstheme="majorBidi"/>
          <w:noProof/>
          <w:color w:val="000000" w:themeColor="text1"/>
          <w:sz w:val="20"/>
          <w:szCs w:val="20"/>
        </w:rPr>
        <w:t xml:space="preserve">Embaby, M. A. (2014). Lead biosorption from aqueous solution by raw and chemically modified green freshwater algae </w:t>
      </w:r>
      <w:r w:rsidRPr="00424853">
        <w:rPr>
          <w:rFonts w:asciiTheme="majorBidi" w:hAnsiTheme="majorBidi" w:cstheme="majorBidi"/>
          <w:i/>
          <w:iCs/>
          <w:noProof/>
          <w:color w:val="000000" w:themeColor="text1"/>
          <w:sz w:val="20"/>
          <w:szCs w:val="20"/>
        </w:rPr>
        <w:t>Scenedesmus obliquus.</w:t>
      </w:r>
      <w:r w:rsidRPr="00C91957">
        <w:rPr>
          <w:rFonts w:asciiTheme="majorBidi" w:hAnsiTheme="majorBidi" w:cstheme="majorBidi"/>
          <w:noProof/>
          <w:color w:val="000000" w:themeColor="text1"/>
          <w:sz w:val="20"/>
          <w:szCs w:val="20"/>
        </w:rPr>
        <w:t xml:space="preserve"> </w:t>
      </w:r>
      <w:r w:rsidRPr="00424853">
        <w:rPr>
          <w:rFonts w:asciiTheme="majorBidi" w:hAnsiTheme="majorBidi" w:cstheme="majorBidi"/>
          <w:i/>
          <w:iCs/>
          <w:noProof/>
          <w:color w:val="000000" w:themeColor="text1"/>
          <w:sz w:val="20"/>
          <w:szCs w:val="20"/>
        </w:rPr>
        <w:t>Desalination and Water Treatment,</w:t>
      </w:r>
      <w:r w:rsidRPr="00C91957">
        <w:rPr>
          <w:rFonts w:asciiTheme="majorBidi" w:hAnsiTheme="majorBidi" w:cstheme="majorBidi"/>
          <w:noProof/>
          <w:color w:val="000000" w:themeColor="text1"/>
          <w:sz w:val="20"/>
          <w:szCs w:val="20"/>
        </w:rPr>
        <w:t xml:space="preserve"> 52(40–42)</w:t>
      </w:r>
      <w:r w:rsidR="00424853">
        <w:rPr>
          <w:rFonts w:asciiTheme="majorBidi" w:hAnsiTheme="majorBidi" w:cstheme="majorBidi"/>
          <w:noProof/>
          <w:color w:val="000000" w:themeColor="text1"/>
          <w:sz w:val="20"/>
          <w:szCs w:val="20"/>
        </w:rPr>
        <w:t>:</w:t>
      </w:r>
      <w:r w:rsidRPr="00C91957">
        <w:rPr>
          <w:rFonts w:asciiTheme="majorBidi" w:hAnsiTheme="majorBidi" w:cstheme="majorBidi"/>
          <w:noProof/>
          <w:color w:val="000000" w:themeColor="text1"/>
          <w:sz w:val="20"/>
          <w:szCs w:val="20"/>
        </w:rPr>
        <w:t xml:space="preserve"> 7906</w:t>
      </w:r>
      <w:r w:rsidR="00424853">
        <w:rPr>
          <w:rFonts w:asciiTheme="majorBidi" w:hAnsiTheme="majorBidi" w:cstheme="majorBidi"/>
          <w:noProof/>
          <w:color w:val="000000" w:themeColor="text1"/>
          <w:sz w:val="20"/>
          <w:szCs w:val="20"/>
        </w:rPr>
        <w:t>-</w:t>
      </w:r>
      <w:r w:rsidRPr="00C91957">
        <w:rPr>
          <w:rFonts w:asciiTheme="majorBidi" w:hAnsiTheme="majorBidi" w:cstheme="majorBidi"/>
          <w:noProof/>
          <w:color w:val="000000" w:themeColor="text1"/>
          <w:sz w:val="20"/>
          <w:szCs w:val="20"/>
        </w:rPr>
        <w:t xml:space="preserve">7914. </w:t>
      </w:r>
      <w:hyperlink r:id="rId18" w:history="1"/>
    </w:p>
    <w:p w14:paraId="3F8C1694" w14:textId="34AD0D13"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0"/>
        </w:rPr>
      </w:pPr>
      <w:r w:rsidRPr="00C91957">
        <w:rPr>
          <w:rFonts w:asciiTheme="majorBidi" w:hAnsiTheme="majorBidi" w:cstheme="majorBidi"/>
          <w:noProof/>
          <w:color w:val="000000" w:themeColor="text1"/>
          <w:sz w:val="20"/>
          <w:szCs w:val="20"/>
        </w:rPr>
        <w:t>Shrestha, R., Ban, S., Devkota, S., Sharma, S., Joshi, R., Tiwari, A. P., Kim, H. Y.</w:t>
      </w:r>
      <w:r w:rsidR="00424853">
        <w:rPr>
          <w:rFonts w:asciiTheme="majorBidi" w:hAnsiTheme="majorBidi" w:cstheme="majorBidi"/>
          <w:noProof/>
          <w:color w:val="000000" w:themeColor="text1"/>
          <w:sz w:val="20"/>
          <w:szCs w:val="20"/>
        </w:rPr>
        <w:t xml:space="preserve"> and </w:t>
      </w:r>
      <w:r w:rsidRPr="00C91957">
        <w:rPr>
          <w:rFonts w:asciiTheme="majorBidi" w:hAnsiTheme="majorBidi" w:cstheme="majorBidi"/>
          <w:noProof/>
          <w:color w:val="000000" w:themeColor="text1"/>
          <w:sz w:val="20"/>
          <w:szCs w:val="20"/>
        </w:rPr>
        <w:t xml:space="preserve">Joshi, M. K. (2021). Technological trends in heavy metals removal from industrial wastewater: A review. </w:t>
      </w:r>
      <w:r w:rsidRPr="00424853">
        <w:rPr>
          <w:rFonts w:asciiTheme="majorBidi" w:hAnsiTheme="majorBidi" w:cstheme="majorBidi"/>
          <w:i/>
          <w:iCs/>
          <w:noProof/>
          <w:color w:val="000000" w:themeColor="text1"/>
          <w:sz w:val="20"/>
          <w:szCs w:val="20"/>
        </w:rPr>
        <w:t>Journal of Environmental Chemical Engineering,</w:t>
      </w:r>
      <w:r w:rsidRPr="00C91957">
        <w:rPr>
          <w:rFonts w:asciiTheme="majorBidi" w:hAnsiTheme="majorBidi" w:cstheme="majorBidi"/>
          <w:noProof/>
          <w:color w:val="000000" w:themeColor="text1"/>
          <w:sz w:val="20"/>
          <w:szCs w:val="20"/>
        </w:rPr>
        <w:t xml:space="preserve"> 9(4)</w:t>
      </w:r>
      <w:r w:rsidR="00424853">
        <w:rPr>
          <w:rFonts w:asciiTheme="majorBidi" w:hAnsiTheme="majorBidi" w:cstheme="majorBidi"/>
          <w:noProof/>
          <w:color w:val="000000" w:themeColor="text1"/>
          <w:sz w:val="20"/>
          <w:szCs w:val="20"/>
        </w:rPr>
        <w:t xml:space="preserve">: </w:t>
      </w:r>
      <w:r w:rsidRPr="00C91957">
        <w:rPr>
          <w:rFonts w:asciiTheme="majorBidi" w:hAnsiTheme="majorBidi" w:cstheme="majorBidi"/>
          <w:noProof/>
          <w:color w:val="000000" w:themeColor="text1"/>
          <w:sz w:val="20"/>
          <w:szCs w:val="20"/>
        </w:rPr>
        <w:t xml:space="preserve">105688. </w:t>
      </w:r>
    </w:p>
    <w:p w14:paraId="7C4B0BAC" w14:textId="68093089"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0"/>
        </w:rPr>
      </w:pPr>
      <w:r w:rsidRPr="00C91957">
        <w:rPr>
          <w:rFonts w:asciiTheme="majorBidi" w:hAnsiTheme="majorBidi" w:cstheme="majorBidi"/>
          <w:noProof/>
          <w:color w:val="000000" w:themeColor="text1"/>
          <w:sz w:val="20"/>
          <w:szCs w:val="20"/>
        </w:rPr>
        <w:t>Pan, Y., Wernberg, T., de Bettignies, T., Holmer, M., Li, K., Wu, J., Lin, F., Yu, Y., Xu, J., Zhou, C., Huang, Z.</w:t>
      </w:r>
      <w:r w:rsidR="00424853">
        <w:rPr>
          <w:rFonts w:asciiTheme="majorBidi" w:hAnsiTheme="majorBidi" w:cstheme="majorBidi"/>
          <w:noProof/>
          <w:color w:val="000000" w:themeColor="text1"/>
          <w:sz w:val="20"/>
          <w:szCs w:val="20"/>
        </w:rPr>
        <w:t xml:space="preserve"> and </w:t>
      </w:r>
      <w:r w:rsidRPr="00C91957">
        <w:rPr>
          <w:rFonts w:asciiTheme="majorBidi" w:hAnsiTheme="majorBidi" w:cstheme="majorBidi"/>
          <w:noProof/>
          <w:color w:val="000000" w:themeColor="text1"/>
          <w:sz w:val="20"/>
          <w:szCs w:val="20"/>
        </w:rPr>
        <w:t xml:space="preserve">Xiao, X. (2018). Screening of seaweeds in the East China Sea as potential bio-monitors of heavy metals. </w:t>
      </w:r>
      <w:r w:rsidRPr="00424853">
        <w:rPr>
          <w:rFonts w:asciiTheme="majorBidi" w:hAnsiTheme="majorBidi" w:cstheme="majorBidi"/>
          <w:i/>
          <w:iCs/>
          <w:noProof/>
          <w:color w:val="000000" w:themeColor="text1"/>
          <w:sz w:val="20"/>
          <w:szCs w:val="20"/>
        </w:rPr>
        <w:t>Environmental Science and Pollution Research,</w:t>
      </w:r>
      <w:r w:rsidRPr="00C91957">
        <w:rPr>
          <w:rFonts w:asciiTheme="majorBidi" w:hAnsiTheme="majorBidi" w:cstheme="majorBidi"/>
          <w:noProof/>
          <w:color w:val="000000" w:themeColor="text1"/>
          <w:sz w:val="20"/>
          <w:szCs w:val="20"/>
        </w:rPr>
        <w:t xml:space="preserve"> 25(17)</w:t>
      </w:r>
      <w:r w:rsidR="00424853">
        <w:rPr>
          <w:rFonts w:asciiTheme="majorBidi" w:hAnsiTheme="majorBidi" w:cstheme="majorBidi"/>
          <w:noProof/>
          <w:color w:val="000000" w:themeColor="text1"/>
          <w:sz w:val="20"/>
          <w:szCs w:val="20"/>
        </w:rPr>
        <w:t>:</w:t>
      </w:r>
      <w:r w:rsidRPr="00C91957">
        <w:rPr>
          <w:rFonts w:asciiTheme="majorBidi" w:hAnsiTheme="majorBidi" w:cstheme="majorBidi"/>
          <w:noProof/>
          <w:color w:val="000000" w:themeColor="text1"/>
          <w:sz w:val="20"/>
          <w:szCs w:val="20"/>
        </w:rPr>
        <w:t xml:space="preserve"> 16640</w:t>
      </w:r>
      <w:r w:rsidR="00424853">
        <w:rPr>
          <w:rFonts w:asciiTheme="majorBidi" w:hAnsiTheme="majorBidi" w:cstheme="majorBidi"/>
          <w:noProof/>
          <w:color w:val="000000" w:themeColor="text1"/>
          <w:sz w:val="20"/>
          <w:szCs w:val="20"/>
        </w:rPr>
        <w:t>-</w:t>
      </w:r>
      <w:r w:rsidRPr="00C91957">
        <w:rPr>
          <w:rFonts w:asciiTheme="majorBidi" w:hAnsiTheme="majorBidi" w:cstheme="majorBidi"/>
          <w:noProof/>
          <w:color w:val="000000" w:themeColor="text1"/>
          <w:sz w:val="20"/>
          <w:szCs w:val="20"/>
        </w:rPr>
        <w:t xml:space="preserve">16651. </w:t>
      </w:r>
      <w:hyperlink r:id="rId19" w:history="1"/>
    </w:p>
    <w:p w14:paraId="660BB281" w14:textId="6699710E"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0"/>
        </w:rPr>
      </w:pPr>
      <w:r w:rsidRPr="00C91957">
        <w:rPr>
          <w:rFonts w:asciiTheme="majorBidi" w:hAnsiTheme="majorBidi" w:cstheme="majorBidi"/>
          <w:noProof/>
          <w:color w:val="000000" w:themeColor="text1"/>
          <w:sz w:val="20"/>
          <w:szCs w:val="20"/>
        </w:rPr>
        <w:t>Valderrama, D., Cai, J., Hishamunda, N., Ridler, N., Neish, I. C., Hurtado, A. Q., Msuya, F. E., Krishnan, M., Narayanakumar, R., Kronen, M., Robledo, D., Gasca-Leyva, E.</w:t>
      </w:r>
      <w:r w:rsidR="00424853">
        <w:rPr>
          <w:rFonts w:asciiTheme="majorBidi" w:hAnsiTheme="majorBidi" w:cstheme="majorBidi"/>
          <w:noProof/>
          <w:color w:val="000000" w:themeColor="text1"/>
          <w:sz w:val="20"/>
          <w:szCs w:val="20"/>
        </w:rPr>
        <w:t xml:space="preserve"> and </w:t>
      </w:r>
      <w:r w:rsidRPr="00C91957">
        <w:rPr>
          <w:rFonts w:asciiTheme="majorBidi" w:hAnsiTheme="majorBidi" w:cstheme="majorBidi"/>
          <w:noProof/>
          <w:color w:val="000000" w:themeColor="text1"/>
          <w:sz w:val="20"/>
          <w:szCs w:val="20"/>
        </w:rPr>
        <w:t xml:space="preserve">Fraga, J. (2015). The </w:t>
      </w:r>
      <w:r w:rsidR="00424853">
        <w:rPr>
          <w:rFonts w:asciiTheme="majorBidi" w:hAnsiTheme="majorBidi" w:cstheme="majorBidi"/>
          <w:noProof/>
          <w:color w:val="000000" w:themeColor="text1"/>
          <w:sz w:val="20"/>
          <w:szCs w:val="20"/>
        </w:rPr>
        <w:t>e</w:t>
      </w:r>
      <w:r w:rsidRPr="00C91957">
        <w:rPr>
          <w:rFonts w:asciiTheme="majorBidi" w:hAnsiTheme="majorBidi" w:cstheme="majorBidi"/>
          <w:noProof/>
          <w:color w:val="000000" w:themeColor="text1"/>
          <w:sz w:val="20"/>
          <w:szCs w:val="20"/>
        </w:rPr>
        <w:t xml:space="preserve">conomics of Kappaphycus </w:t>
      </w:r>
      <w:r w:rsidR="00424853" w:rsidRPr="00C91957">
        <w:rPr>
          <w:rFonts w:asciiTheme="majorBidi" w:hAnsiTheme="majorBidi" w:cstheme="majorBidi"/>
          <w:noProof/>
          <w:color w:val="000000" w:themeColor="text1"/>
          <w:sz w:val="20"/>
          <w:szCs w:val="20"/>
        </w:rPr>
        <w:t>seaweed cultivation in developing countries</w:t>
      </w:r>
      <w:r w:rsidRPr="00C91957">
        <w:rPr>
          <w:rFonts w:asciiTheme="majorBidi" w:hAnsiTheme="majorBidi" w:cstheme="majorBidi"/>
          <w:noProof/>
          <w:color w:val="000000" w:themeColor="text1"/>
          <w:sz w:val="20"/>
          <w:szCs w:val="20"/>
        </w:rPr>
        <w:t xml:space="preserve">: A </w:t>
      </w:r>
      <w:r w:rsidR="00424853" w:rsidRPr="00C91957">
        <w:rPr>
          <w:rFonts w:asciiTheme="majorBidi" w:hAnsiTheme="majorBidi" w:cstheme="majorBidi"/>
          <w:noProof/>
          <w:color w:val="000000" w:themeColor="text1"/>
          <w:sz w:val="20"/>
          <w:szCs w:val="20"/>
        </w:rPr>
        <w:t xml:space="preserve">comparative analysis of farming systems. </w:t>
      </w:r>
      <w:r w:rsidRPr="00424853">
        <w:rPr>
          <w:rFonts w:asciiTheme="majorBidi" w:hAnsiTheme="majorBidi" w:cstheme="majorBidi"/>
          <w:i/>
          <w:iCs/>
          <w:noProof/>
          <w:color w:val="000000" w:themeColor="text1"/>
          <w:sz w:val="20"/>
          <w:szCs w:val="20"/>
        </w:rPr>
        <w:t>Aquaculture Economics and Management,</w:t>
      </w:r>
      <w:r w:rsidRPr="00C91957">
        <w:rPr>
          <w:rFonts w:asciiTheme="majorBidi" w:hAnsiTheme="majorBidi" w:cstheme="majorBidi"/>
          <w:noProof/>
          <w:color w:val="000000" w:themeColor="text1"/>
          <w:sz w:val="20"/>
          <w:szCs w:val="20"/>
        </w:rPr>
        <w:t xml:space="preserve"> 19(2)</w:t>
      </w:r>
      <w:r w:rsidR="00424853">
        <w:rPr>
          <w:rFonts w:asciiTheme="majorBidi" w:hAnsiTheme="majorBidi" w:cstheme="majorBidi"/>
          <w:noProof/>
          <w:color w:val="000000" w:themeColor="text1"/>
          <w:sz w:val="20"/>
          <w:szCs w:val="20"/>
        </w:rPr>
        <w:t>:</w:t>
      </w:r>
      <w:r w:rsidRPr="00C91957">
        <w:rPr>
          <w:rFonts w:asciiTheme="majorBidi" w:hAnsiTheme="majorBidi" w:cstheme="majorBidi"/>
          <w:noProof/>
          <w:color w:val="000000" w:themeColor="text1"/>
          <w:sz w:val="20"/>
          <w:szCs w:val="20"/>
        </w:rPr>
        <w:t xml:space="preserve"> 251</w:t>
      </w:r>
      <w:r w:rsidR="00424853">
        <w:rPr>
          <w:rFonts w:asciiTheme="majorBidi" w:hAnsiTheme="majorBidi" w:cstheme="majorBidi"/>
          <w:noProof/>
          <w:color w:val="000000" w:themeColor="text1"/>
          <w:sz w:val="20"/>
          <w:szCs w:val="20"/>
        </w:rPr>
        <w:t>-</w:t>
      </w:r>
      <w:r w:rsidRPr="00C91957">
        <w:rPr>
          <w:rFonts w:asciiTheme="majorBidi" w:hAnsiTheme="majorBidi" w:cstheme="majorBidi"/>
          <w:noProof/>
          <w:color w:val="000000" w:themeColor="text1"/>
          <w:sz w:val="20"/>
          <w:szCs w:val="20"/>
        </w:rPr>
        <w:t xml:space="preserve">277. </w:t>
      </w:r>
    </w:p>
    <w:p w14:paraId="69CBE3CA" w14:textId="161BE3CE"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Rönnbäck, P., Bryceson, I.</w:t>
      </w:r>
      <w:r w:rsidR="00424853">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Kautsky, N. (2002). Coastal aquaculture development in eastern Africa and the western Indian Ocean: Prospects and problems for food security and local economies. </w:t>
      </w:r>
      <w:r w:rsidRPr="00424853">
        <w:rPr>
          <w:rFonts w:ascii="Times New Roman" w:hAnsi="Times New Roman" w:cs="Times New Roman"/>
          <w:i/>
          <w:iCs/>
          <w:noProof/>
          <w:color w:val="000000" w:themeColor="text1"/>
          <w:sz w:val="20"/>
          <w:szCs w:val="24"/>
        </w:rPr>
        <w:t>Ambio,</w:t>
      </w:r>
      <w:r w:rsidRPr="00C91957">
        <w:rPr>
          <w:rFonts w:ascii="Times New Roman" w:hAnsi="Times New Roman" w:cs="Times New Roman"/>
          <w:noProof/>
          <w:color w:val="000000" w:themeColor="text1"/>
          <w:sz w:val="20"/>
          <w:szCs w:val="24"/>
        </w:rPr>
        <w:t xml:space="preserve"> 31(7–8)</w:t>
      </w:r>
      <w:r w:rsidR="00424853">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537</w:t>
      </w:r>
      <w:r w:rsidR="00424853">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542.</w:t>
      </w:r>
    </w:p>
    <w:p w14:paraId="4DEEAFEC" w14:textId="2FABDAD1"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TWAS. (2004). </w:t>
      </w:r>
      <w:r w:rsidRPr="00C91957">
        <w:rPr>
          <w:rFonts w:ascii="Times New Roman" w:hAnsi="Times New Roman" w:cs="Times New Roman"/>
          <w:i/>
          <w:iCs/>
          <w:noProof/>
          <w:color w:val="000000" w:themeColor="text1"/>
          <w:sz w:val="20"/>
          <w:szCs w:val="24"/>
        </w:rPr>
        <w:t>TWAS newsletter</w:t>
      </w:r>
      <w:r w:rsidRPr="00C91957">
        <w:rPr>
          <w:rFonts w:ascii="Times New Roman" w:hAnsi="Times New Roman" w:cs="Times New Roman"/>
          <w:noProof/>
          <w:color w:val="000000" w:themeColor="text1"/>
          <w:sz w:val="20"/>
          <w:szCs w:val="24"/>
        </w:rPr>
        <w:t xml:space="preserve">. </w:t>
      </w:r>
      <w:r w:rsidR="00424853">
        <w:rPr>
          <w:rFonts w:ascii="Times New Roman" w:hAnsi="Times New Roman" w:cs="Times New Roman"/>
          <w:noProof/>
          <w:color w:val="000000" w:themeColor="text1"/>
          <w:sz w:val="20"/>
          <w:szCs w:val="24"/>
        </w:rPr>
        <w:t xml:space="preserve">pp. </w:t>
      </w:r>
      <w:r w:rsidRPr="00C91957">
        <w:rPr>
          <w:rFonts w:ascii="Times New Roman" w:hAnsi="Times New Roman" w:cs="Times New Roman"/>
          <w:noProof/>
          <w:color w:val="000000" w:themeColor="text1"/>
          <w:sz w:val="20"/>
          <w:szCs w:val="24"/>
        </w:rPr>
        <w:t>1–84.</w:t>
      </w:r>
    </w:p>
    <w:p w14:paraId="58DFCE05" w14:textId="394332BF" w:rsidR="00C91957" w:rsidRPr="00C91957" w:rsidRDefault="00424853"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424853">
        <w:rPr>
          <w:rFonts w:ascii="Times New Roman" w:hAnsi="Times New Roman" w:cs="Times New Roman"/>
          <w:noProof/>
          <w:color w:val="000000" w:themeColor="text1"/>
          <w:sz w:val="20"/>
          <w:szCs w:val="24"/>
        </w:rPr>
        <w:t>Vijayaraghavan, K., Raj Jegan, J., Palanivelu, K.</w:t>
      </w:r>
      <w:r>
        <w:rPr>
          <w:rFonts w:ascii="Times New Roman" w:hAnsi="Times New Roman" w:cs="Times New Roman"/>
          <w:noProof/>
          <w:color w:val="000000" w:themeColor="text1"/>
          <w:sz w:val="20"/>
          <w:szCs w:val="24"/>
        </w:rPr>
        <w:t xml:space="preserve"> and </w:t>
      </w:r>
      <w:r w:rsidRPr="00424853">
        <w:rPr>
          <w:rFonts w:ascii="Times New Roman" w:hAnsi="Times New Roman" w:cs="Times New Roman"/>
          <w:noProof/>
          <w:color w:val="000000" w:themeColor="text1"/>
          <w:sz w:val="20"/>
          <w:szCs w:val="24"/>
        </w:rPr>
        <w:t xml:space="preserve">Velan, M. (2004). Copper removal from aqueous solution by marine green alga </w:t>
      </w:r>
      <w:r w:rsidRPr="00424853">
        <w:rPr>
          <w:rFonts w:ascii="Times New Roman" w:hAnsi="Times New Roman" w:cs="Times New Roman"/>
          <w:i/>
          <w:iCs/>
          <w:noProof/>
          <w:color w:val="000000" w:themeColor="text1"/>
          <w:sz w:val="20"/>
          <w:szCs w:val="24"/>
        </w:rPr>
        <w:t>Ulva reticulata</w:t>
      </w:r>
      <w:r w:rsidRPr="00424853">
        <w:rPr>
          <w:rFonts w:ascii="Times New Roman" w:hAnsi="Times New Roman" w:cs="Times New Roman"/>
          <w:noProof/>
          <w:color w:val="000000" w:themeColor="text1"/>
          <w:sz w:val="20"/>
          <w:szCs w:val="24"/>
        </w:rPr>
        <w:t xml:space="preserve">. </w:t>
      </w:r>
      <w:r w:rsidRPr="00424853">
        <w:rPr>
          <w:rFonts w:ascii="Times New Roman" w:hAnsi="Times New Roman" w:cs="Times New Roman"/>
          <w:i/>
          <w:iCs/>
          <w:noProof/>
          <w:color w:val="000000" w:themeColor="text1"/>
          <w:sz w:val="20"/>
          <w:szCs w:val="24"/>
        </w:rPr>
        <w:t>Electronic Journal of Biotechnology,</w:t>
      </w:r>
      <w:r w:rsidRPr="00424853">
        <w:rPr>
          <w:rFonts w:ascii="Times New Roman" w:hAnsi="Times New Roman" w:cs="Times New Roman"/>
          <w:noProof/>
          <w:color w:val="000000" w:themeColor="text1"/>
          <w:sz w:val="20"/>
          <w:szCs w:val="24"/>
        </w:rPr>
        <w:t xml:space="preserve"> 7(1)</w:t>
      </w:r>
      <w:r>
        <w:rPr>
          <w:rFonts w:ascii="Times New Roman" w:hAnsi="Times New Roman" w:cs="Times New Roman"/>
          <w:noProof/>
          <w:color w:val="000000" w:themeColor="text1"/>
          <w:sz w:val="20"/>
          <w:szCs w:val="24"/>
        </w:rPr>
        <w:t>:</w:t>
      </w:r>
      <w:r w:rsidRPr="00424853">
        <w:rPr>
          <w:rFonts w:ascii="Times New Roman" w:hAnsi="Times New Roman" w:cs="Times New Roman"/>
          <w:noProof/>
          <w:color w:val="000000" w:themeColor="text1"/>
          <w:sz w:val="20"/>
          <w:szCs w:val="24"/>
        </w:rPr>
        <w:t xml:space="preserve"> 47-54.</w:t>
      </w:r>
    </w:p>
    <w:p w14:paraId="1CEF7521" w14:textId="39AA265F"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lastRenderedPageBreak/>
        <w:t>Chove, B. E., Ballegu, W. R.</w:t>
      </w:r>
      <w:r w:rsidR="00424853">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Chove, L. M. (2006). Copper and lead levels in two popular leafy vegetables grown around Morogoro Municipality, Tanzania. </w:t>
      </w:r>
      <w:r w:rsidRPr="00C91957">
        <w:rPr>
          <w:rFonts w:ascii="Times New Roman" w:hAnsi="Times New Roman" w:cs="Times New Roman"/>
          <w:i/>
          <w:iCs/>
          <w:noProof/>
          <w:color w:val="000000" w:themeColor="text1"/>
          <w:sz w:val="20"/>
          <w:szCs w:val="24"/>
        </w:rPr>
        <w:t>Tanzania Health Research Bulletin</w:t>
      </w:r>
      <w:r w:rsidRPr="00C91957">
        <w:rPr>
          <w:rFonts w:ascii="Times New Roman" w:hAnsi="Times New Roman" w:cs="Times New Roman"/>
          <w:noProof/>
          <w:color w:val="000000" w:themeColor="text1"/>
          <w:sz w:val="20"/>
          <w:szCs w:val="24"/>
        </w:rPr>
        <w:t xml:space="preserve">, </w:t>
      </w:r>
      <w:r w:rsidRPr="00424853">
        <w:rPr>
          <w:rFonts w:ascii="Times New Roman" w:hAnsi="Times New Roman" w:cs="Times New Roman"/>
          <w:noProof/>
          <w:color w:val="000000" w:themeColor="text1"/>
          <w:sz w:val="20"/>
          <w:szCs w:val="24"/>
        </w:rPr>
        <w:t>8(1)</w:t>
      </w:r>
      <w:r w:rsidR="00424853" w:rsidRPr="00424853">
        <w:rPr>
          <w:rFonts w:ascii="Times New Roman" w:hAnsi="Times New Roman" w:cs="Times New Roman"/>
          <w:noProof/>
          <w:color w:val="000000" w:themeColor="text1"/>
          <w:sz w:val="20"/>
          <w:szCs w:val="24"/>
        </w:rPr>
        <w:t>:</w:t>
      </w:r>
      <w:r w:rsidRPr="00424853">
        <w:rPr>
          <w:rFonts w:ascii="Times New Roman" w:hAnsi="Times New Roman" w:cs="Times New Roman"/>
          <w:noProof/>
          <w:color w:val="000000" w:themeColor="text1"/>
          <w:sz w:val="20"/>
          <w:szCs w:val="24"/>
        </w:rPr>
        <w:t xml:space="preserve"> 37</w:t>
      </w:r>
      <w:r w:rsidR="00424853" w:rsidRPr="00424853">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40.</w:t>
      </w:r>
    </w:p>
    <w:p w14:paraId="296D2844" w14:textId="52BD0D24"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Mwegoha, W. J. S.</w:t>
      </w:r>
      <w:r w:rsidR="006C6A5C">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Kihampa, C. (2010). Heavy metal contamination in agricultural soils and water in Dar es Salaam city, Tanzania. </w:t>
      </w:r>
      <w:r w:rsidRPr="00C91957">
        <w:rPr>
          <w:rFonts w:ascii="Times New Roman" w:hAnsi="Times New Roman" w:cs="Times New Roman"/>
          <w:i/>
          <w:iCs/>
          <w:noProof/>
          <w:color w:val="000000" w:themeColor="text1"/>
          <w:sz w:val="20"/>
          <w:szCs w:val="24"/>
        </w:rPr>
        <w:t>African Journal of Environmental Science and Technology</w:t>
      </w:r>
      <w:r w:rsidRPr="00C91957">
        <w:rPr>
          <w:rFonts w:ascii="Times New Roman" w:hAnsi="Times New Roman" w:cs="Times New Roman"/>
          <w:noProof/>
          <w:color w:val="000000" w:themeColor="text1"/>
          <w:sz w:val="20"/>
          <w:szCs w:val="24"/>
        </w:rPr>
        <w:t xml:space="preserve">, </w:t>
      </w:r>
      <w:r w:rsidRPr="006C6A5C">
        <w:rPr>
          <w:rFonts w:ascii="Times New Roman" w:hAnsi="Times New Roman" w:cs="Times New Roman"/>
          <w:noProof/>
          <w:color w:val="000000" w:themeColor="text1"/>
          <w:sz w:val="20"/>
          <w:szCs w:val="24"/>
        </w:rPr>
        <w:t>4(11)</w:t>
      </w:r>
      <w:r w:rsidR="006C6A5C" w:rsidRPr="006C6A5C">
        <w:rPr>
          <w:rFonts w:ascii="Times New Roman" w:hAnsi="Times New Roman" w:cs="Times New Roman"/>
          <w:noProof/>
          <w:color w:val="000000" w:themeColor="text1"/>
          <w:sz w:val="20"/>
          <w:szCs w:val="24"/>
        </w:rPr>
        <w:t>:</w:t>
      </w:r>
      <w:r w:rsidRPr="006C6A5C">
        <w:rPr>
          <w:rFonts w:ascii="Times New Roman" w:hAnsi="Times New Roman" w:cs="Times New Roman"/>
          <w:noProof/>
          <w:color w:val="000000" w:themeColor="text1"/>
          <w:sz w:val="20"/>
          <w:szCs w:val="24"/>
        </w:rPr>
        <w:t xml:space="preserve"> 763</w:t>
      </w:r>
      <w:r w:rsidR="006C6A5C" w:rsidRPr="006C6A5C">
        <w:rPr>
          <w:rFonts w:ascii="Times New Roman" w:hAnsi="Times New Roman" w:cs="Times New Roman"/>
          <w:noProof/>
          <w:color w:val="000000" w:themeColor="text1"/>
          <w:sz w:val="20"/>
          <w:szCs w:val="24"/>
        </w:rPr>
        <w:t>-</w:t>
      </w:r>
      <w:r w:rsidRPr="006C6A5C">
        <w:rPr>
          <w:rFonts w:ascii="Times New Roman" w:hAnsi="Times New Roman" w:cs="Times New Roman"/>
          <w:noProof/>
          <w:color w:val="000000" w:themeColor="text1"/>
          <w:sz w:val="20"/>
          <w:szCs w:val="24"/>
        </w:rPr>
        <w:t>769.</w:t>
      </w:r>
      <w:r w:rsidRPr="00C91957">
        <w:rPr>
          <w:rFonts w:ascii="Times New Roman" w:hAnsi="Times New Roman" w:cs="Times New Roman"/>
          <w:noProof/>
          <w:color w:val="000000" w:themeColor="text1"/>
          <w:sz w:val="20"/>
          <w:szCs w:val="24"/>
        </w:rPr>
        <w:t xml:space="preserve"> </w:t>
      </w:r>
    </w:p>
    <w:p w14:paraId="5BAE71CC" w14:textId="25B472E2" w:rsidR="00C91957" w:rsidRPr="006C6A5C"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Shemdoe, R. S. (2010). Heavy metal concentrations in soils and leachates of Mtoni dumpsite bordering the Indian Ocean in Dar es salaam, Tanzania. </w:t>
      </w:r>
      <w:r w:rsidRPr="00C91957">
        <w:rPr>
          <w:rFonts w:ascii="Times New Roman" w:hAnsi="Times New Roman" w:cs="Times New Roman"/>
          <w:i/>
          <w:iCs/>
          <w:noProof/>
          <w:color w:val="000000" w:themeColor="text1"/>
          <w:sz w:val="20"/>
          <w:szCs w:val="24"/>
        </w:rPr>
        <w:t>Scientific Research and Essays</w:t>
      </w:r>
      <w:r w:rsidRPr="00C91957">
        <w:rPr>
          <w:rFonts w:ascii="Times New Roman" w:hAnsi="Times New Roman" w:cs="Times New Roman"/>
          <w:noProof/>
          <w:color w:val="000000" w:themeColor="text1"/>
          <w:sz w:val="20"/>
          <w:szCs w:val="24"/>
        </w:rPr>
        <w:t xml:space="preserve">, </w:t>
      </w:r>
      <w:r w:rsidRPr="006C6A5C">
        <w:rPr>
          <w:rFonts w:ascii="Times New Roman" w:hAnsi="Times New Roman" w:cs="Times New Roman"/>
          <w:noProof/>
          <w:color w:val="000000" w:themeColor="text1"/>
          <w:sz w:val="20"/>
          <w:szCs w:val="24"/>
        </w:rPr>
        <w:t>5(16)</w:t>
      </w:r>
      <w:r w:rsidR="006C6A5C">
        <w:rPr>
          <w:rFonts w:ascii="Times New Roman" w:hAnsi="Times New Roman" w:cs="Times New Roman"/>
          <w:noProof/>
          <w:color w:val="000000" w:themeColor="text1"/>
          <w:sz w:val="20"/>
          <w:szCs w:val="24"/>
        </w:rPr>
        <w:t xml:space="preserve">: </w:t>
      </w:r>
      <w:r w:rsidRPr="006C6A5C">
        <w:rPr>
          <w:rFonts w:ascii="Times New Roman" w:hAnsi="Times New Roman" w:cs="Times New Roman"/>
          <w:noProof/>
          <w:color w:val="000000" w:themeColor="text1"/>
          <w:sz w:val="20"/>
          <w:szCs w:val="24"/>
        </w:rPr>
        <w:t>2143</w:t>
      </w:r>
      <w:r w:rsidR="006C6A5C">
        <w:rPr>
          <w:rFonts w:ascii="Times New Roman" w:hAnsi="Times New Roman" w:cs="Times New Roman"/>
          <w:noProof/>
          <w:color w:val="000000" w:themeColor="text1"/>
          <w:sz w:val="20"/>
          <w:szCs w:val="24"/>
        </w:rPr>
        <w:t>-</w:t>
      </w:r>
      <w:r w:rsidRPr="006C6A5C">
        <w:rPr>
          <w:rFonts w:ascii="Times New Roman" w:hAnsi="Times New Roman" w:cs="Times New Roman"/>
          <w:noProof/>
          <w:color w:val="000000" w:themeColor="text1"/>
          <w:sz w:val="20"/>
          <w:szCs w:val="24"/>
        </w:rPr>
        <w:t>2147.</w:t>
      </w:r>
    </w:p>
    <w:p w14:paraId="4E5088AF" w14:textId="21739876"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Awasthi, M. K., Guo, D., Awasthi, S. K., Wang, Q., Chen, H., Liu, T., Duan, Y., Soundari, P. G.</w:t>
      </w:r>
      <w:r w:rsidR="006C6A5C">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Zhang, Z. (2020). Recent </w:t>
      </w:r>
      <w:r w:rsidR="006C6A5C" w:rsidRPr="00C91957">
        <w:rPr>
          <w:rFonts w:ascii="Times New Roman" w:hAnsi="Times New Roman" w:cs="Times New Roman"/>
          <w:noProof/>
          <w:color w:val="000000" w:themeColor="text1"/>
          <w:sz w:val="20"/>
          <w:szCs w:val="24"/>
        </w:rPr>
        <w:t>advances in phytoremediation of toxic metals from contaminated sites</w:t>
      </w:r>
      <w:r w:rsidRPr="00C91957">
        <w:rPr>
          <w:rFonts w:ascii="Times New Roman" w:hAnsi="Times New Roman" w:cs="Times New Roman"/>
          <w:noProof/>
          <w:color w:val="000000" w:themeColor="text1"/>
          <w:sz w:val="20"/>
          <w:szCs w:val="24"/>
        </w:rPr>
        <w:t xml:space="preserve">: A </w:t>
      </w:r>
      <w:r w:rsidR="006C6A5C" w:rsidRPr="00C91957">
        <w:rPr>
          <w:rFonts w:ascii="Times New Roman" w:hAnsi="Times New Roman" w:cs="Times New Roman"/>
          <w:noProof/>
          <w:color w:val="000000" w:themeColor="text1"/>
          <w:sz w:val="20"/>
          <w:szCs w:val="24"/>
        </w:rPr>
        <w:t>road map to a safer environment</w:t>
      </w:r>
      <w:r w:rsidRPr="00C91957">
        <w:rPr>
          <w:rFonts w:ascii="Times New Roman" w:hAnsi="Times New Roman" w:cs="Times New Roman"/>
          <w:noProof/>
          <w:color w:val="000000" w:themeColor="text1"/>
          <w:sz w:val="20"/>
          <w:szCs w:val="24"/>
        </w:rPr>
        <w:t xml:space="preserve">. </w:t>
      </w:r>
      <w:r w:rsidRPr="006C6A5C">
        <w:rPr>
          <w:rFonts w:ascii="Times New Roman" w:hAnsi="Times New Roman" w:cs="Times New Roman"/>
          <w:i/>
          <w:iCs/>
          <w:noProof/>
          <w:color w:val="000000" w:themeColor="text1"/>
          <w:sz w:val="20"/>
          <w:szCs w:val="24"/>
        </w:rPr>
        <w:t>Bioremediation of Industrial Waste for Environmental Safety</w:t>
      </w:r>
      <w:r w:rsidR="006C6A5C">
        <w:rPr>
          <w:rFonts w:ascii="Times New Roman" w:hAnsi="Times New Roman" w:cs="Times New Roman"/>
          <w:noProof/>
          <w:color w:val="000000" w:themeColor="text1"/>
          <w:sz w:val="20"/>
          <w:szCs w:val="24"/>
        </w:rPr>
        <w:t>, 2: 77-112.</w:t>
      </w:r>
    </w:p>
    <w:p w14:paraId="029878CB" w14:textId="03AB270B"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Diniz, V.</w:t>
      </w:r>
      <w:r w:rsidR="006C6A5C">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Volesky, B. (2005). Biosorption of La, Eu, and Yb using Sargassum biomass. </w:t>
      </w:r>
      <w:r w:rsidRPr="00C91957">
        <w:rPr>
          <w:rFonts w:ascii="Times New Roman" w:hAnsi="Times New Roman" w:cs="Times New Roman"/>
          <w:i/>
          <w:iCs/>
          <w:noProof/>
          <w:color w:val="000000" w:themeColor="text1"/>
          <w:sz w:val="20"/>
          <w:szCs w:val="24"/>
        </w:rPr>
        <w:t>Water Research</w:t>
      </w:r>
      <w:r w:rsidRPr="00C91957">
        <w:rPr>
          <w:rFonts w:ascii="Times New Roman" w:hAnsi="Times New Roman" w:cs="Times New Roman"/>
          <w:noProof/>
          <w:color w:val="000000" w:themeColor="text1"/>
          <w:sz w:val="20"/>
          <w:szCs w:val="24"/>
        </w:rPr>
        <w:t xml:space="preserve">, </w:t>
      </w:r>
      <w:r w:rsidRPr="006C6A5C">
        <w:rPr>
          <w:rFonts w:ascii="Times New Roman" w:hAnsi="Times New Roman" w:cs="Times New Roman"/>
          <w:noProof/>
          <w:color w:val="000000" w:themeColor="text1"/>
          <w:sz w:val="20"/>
          <w:szCs w:val="24"/>
        </w:rPr>
        <w:t>39(1)</w:t>
      </w:r>
      <w:r w:rsidR="006C6A5C" w:rsidRPr="006C6A5C">
        <w:rPr>
          <w:rFonts w:ascii="Times New Roman" w:hAnsi="Times New Roman" w:cs="Times New Roman"/>
          <w:noProof/>
          <w:color w:val="000000" w:themeColor="text1"/>
          <w:sz w:val="20"/>
          <w:szCs w:val="24"/>
        </w:rPr>
        <w:t xml:space="preserve">: </w:t>
      </w:r>
      <w:r w:rsidRPr="006C6A5C">
        <w:rPr>
          <w:rFonts w:ascii="Times New Roman" w:hAnsi="Times New Roman" w:cs="Times New Roman"/>
          <w:noProof/>
          <w:color w:val="000000" w:themeColor="text1"/>
          <w:sz w:val="20"/>
          <w:szCs w:val="24"/>
        </w:rPr>
        <w:t>239</w:t>
      </w:r>
      <w:r w:rsidR="006C6A5C" w:rsidRPr="006C6A5C">
        <w:rPr>
          <w:rFonts w:ascii="Times New Roman" w:hAnsi="Times New Roman" w:cs="Times New Roman"/>
          <w:noProof/>
          <w:color w:val="000000" w:themeColor="text1"/>
          <w:sz w:val="20"/>
          <w:szCs w:val="24"/>
        </w:rPr>
        <w:t>-</w:t>
      </w:r>
      <w:r w:rsidRPr="006C6A5C">
        <w:rPr>
          <w:rFonts w:ascii="Times New Roman" w:hAnsi="Times New Roman" w:cs="Times New Roman"/>
          <w:noProof/>
          <w:color w:val="000000" w:themeColor="text1"/>
          <w:sz w:val="20"/>
          <w:szCs w:val="24"/>
        </w:rPr>
        <w:t>247.</w:t>
      </w:r>
      <w:r w:rsidRPr="00C91957">
        <w:rPr>
          <w:rFonts w:ascii="Times New Roman" w:hAnsi="Times New Roman" w:cs="Times New Roman"/>
          <w:noProof/>
          <w:color w:val="000000" w:themeColor="text1"/>
          <w:sz w:val="20"/>
          <w:szCs w:val="24"/>
        </w:rPr>
        <w:t xml:space="preserve"> </w:t>
      </w:r>
    </w:p>
    <w:p w14:paraId="2E5EC7B5" w14:textId="3A3F9AAF"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Nirmal Kumar, J. I., Oommen, C.</w:t>
      </w:r>
      <w:r w:rsidR="006C6A5C">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Kumar, R. N. (2009). Biosorption </w:t>
      </w:r>
      <w:r w:rsidR="006C6A5C" w:rsidRPr="00C91957">
        <w:rPr>
          <w:rFonts w:ascii="Times New Roman" w:hAnsi="Times New Roman" w:cs="Times New Roman"/>
          <w:noProof/>
          <w:color w:val="000000" w:themeColor="text1"/>
          <w:sz w:val="20"/>
          <w:szCs w:val="24"/>
        </w:rPr>
        <w:t xml:space="preserve">of heavy metals from aqueous solution by green marine macroalgae from </w:t>
      </w:r>
      <w:r w:rsidRPr="00C91957">
        <w:rPr>
          <w:rFonts w:ascii="Times New Roman" w:hAnsi="Times New Roman" w:cs="Times New Roman"/>
          <w:noProof/>
          <w:color w:val="000000" w:themeColor="text1"/>
          <w:sz w:val="20"/>
          <w:szCs w:val="24"/>
        </w:rPr>
        <w:t xml:space="preserve">Okha Port, Gulf of Kutch, India. </w:t>
      </w:r>
      <w:r w:rsidRPr="00C91957">
        <w:rPr>
          <w:rFonts w:ascii="Times New Roman" w:hAnsi="Times New Roman" w:cs="Times New Roman"/>
          <w:i/>
          <w:iCs/>
          <w:noProof/>
          <w:color w:val="000000" w:themeColor="text1"/>
          <w:sz w:val="20"/>
          <w:szCs w:val="24"/>
        </w:rPr>
        <w:t>American Eurasian J</w:t>
      </w:r>
      <w:r w:rsidR="006C6A5C">
        <w:rPr>
          <w:rFonts w:ascii="Times New Roman" w:hAnsi="Times New Roman" w:cs="Times New Roman"/>
          <w:i/>
          <w:iCs/>
          <w:noProof/>
          <w:color w:val="000000" w:themeColor="text1"/>
          <w:sz w:val="20"/>
          <w:szCs w:val="24"/>
        </w:rPr>
        <w:t>ournal</w:t>
      </w:r>
      <w:r w:rsidRPr="00C91957">
        <w:rPr>
          <w:rFonts w:ascii="Times New Roman" w:hAnsi="Times New Roman" w:cs="Times New Roman"/>
          <w:i/>
          <w:iCs/>
          <w:noProof/>
          <w:color w:val="000000" w:themeColor="text1"/>
          <w:sz w:val="20"/>
          <w:szCs w:val="24"/>
        </w:rPr>
        <w:t xml:space="preserve"> Agric</w:t>
      </w:r>
      <w:r w:rsidR="006C6A5C">
        <w:rPr>
          <w:rFonts w:ascii="Times New Roman" w:hAnsi="Times New Roman" w:cs="Times New Roman"/>
          <w:i/>
          <w:iCs/>
          <w:noProof/>
          <w:color w:val="000000" w:themeColor="text1"/>
          <w:sz w:val="20"/>
          <w:szCs w:val="24"/>
        </w:rPr>
        <w:t>ulture</w:t>
      </w:r>
      <w:r w:rsidRPr="00C91957">
        <w:rPr>
          <w:rFonts w:ascii="Times New Roman" w:hAnsi="Times New Roman" w:cs="Times New Roman"/>
          <w:i/>
          <w:iCs/>
          <w:noProof/>
          <w:color w:val="000000" w:themeColor="text1"/>
          <w:sz w:val="20"/>
          <w:szCs w:val="24"/>
        </w:rPr>
        <w:t xml:space="preserve"> and Environ</w:t>
      </w:r>
      <w:r w:rsidR="006C6A5C">
        <w:rPr>
          <w:rFonts w:ascii="Times New Roman" w:hAnsi="Times New Roman" w:cs="Times New Roman"/>
          <w:i/>
          <w:iCs/>
          <w:noProof/>
          <w:color w:val="000000" w:themeColor="text1"/>
          <w:sz w:val="20"/>
          <w:szCs w:val="24"/>
        </w:rPr>
        <w:t>mental</w:t>
      </w:r>
      <w:r w:rsidRPr="00C91957">
        <w:rPr>
          <w:rFonts w:ascii="Times New Roman" w:hAnsi="Times New Roman" w:cs="Times New Roman"/>
          <w:i/>
          <w:iCs/>
          <w:noProof/>
          <w:color w:val="000000" w:themeColor="text1"/>
          <w:sz w:val="20"/>
          <w:szCs w:val="24"/>
        </w:rPr>
        <w:t xml:space="preserve"> Sci</w:t>
      </w:r>
      <w:r w:rsidR="009F6642">
        <w:rPr>
          <w:rFonts w:ascii="Times New Roman" w:hAnsi="Times New Roman" w:cs="Times New Roman"/>
          <w:i/>
          <w:iCs/>
          <w:noProof/>
          <w:color w:val="000000" w:themeColor="text1"/>
          <w:sz w:val="20"/>
          <w:szCs w:val="24"/>
        </w:rPr>
        <w:t>ences</w:t>
      </w:r>
      <w:r w:rsidRPr="00C91957">
        <w:rPr>
          <w:rFonts w:ascii="Times New Roman" w:hAnsi="Times New Roman" w:cs="Times New Roman"/>
          <w:noProof/>
          <w:color w:val="000000" w:themeColor="text1"/>
          <w:sz w:val="20"/>
          <w:szCs w:val="24"/>
        </w:rPr>
        <w:t xml:space="preserve">, </w:t>
      </w:r>
      <w:r w:rsidRPr="009F6642">
        <w:rPr>
          <w:rFonts w:ascii="Times New Roman" w:hAnsi="Times New Roman" w:cs="Times New Roman"/>
          <w:noProof/>
          <w:color w:val="000000" w:themeColor="text1"/>
          <w:sz w:val="20"/>
          <w:szCs w:val="24"/>
        </w:rPr>
        <w:t>6(3)</w:t>
      </w:r>
      <w:r w:rsidR="009F6642" w:rsidRPr="009F6642">
        <w:rPr>
          <w:rFonts w:ascii="Times New Roman" w:hAnsi="Times New Roman" w:cs="Times New Roman"/>
          <w:noProof/>
          <w:color w:val="000000" w:themeColor="text1"/>
          <w:sz w:val="20"/>
          <w:szCs w:val="24"/>
        </w:rPr>
        <w:t>:</w:t>
      </w:r>
      <w:r w:rsidRPr="009F6642">
        <w:rPr>
          <w:rFonts w:ascii="Times New Roman" w:hAnsi="Times New Roman" w:cs="Times New Roman"/>
          <w:noProof/>
          <w:color w:val="000000" w:themeColor="text1"/>
          <w:sz w:val="20"/>
          <w:szCs w:val="24"/>
        </w:rPr>
        <w:t xml:space="preserve"> 317</w:t>
      </w:r>
      <w:r w:rsidR="009F6642" w:rsidRPr="009F6642">
        <w:rPr>
          <w:rFonts w:ascii="Times New Roman" w:hAnsi="Times New Roman" w:cs="Times New Roman"/>
          <w:noProof/>
          <w:color w:val="000000" w:themeColor="text1"/>
          <w:sz w:val="20"/>
          <w:szCs w:val="24"/>
        </w:rPr>
        <w:t>-</w:t>
      </w:r>
      <w:r w:rsidRPr="009F6642">
        <w:rPr>
          <w:rFonts w:ascii="Times New Roman" w:hAnsi="Times New Roman" w:cs="Times New Roman"/>
          <w:noProof/>
          <w:color w:val="000000" w:themeColor="text1"/>
          <w:sz w:val="20"/>
          <w:szCs w:val="24"/>
        </w:rPr>
        <w:t>323.</w:t>
      </w:r>
    </w:p>
    <w:p w14:paraId="05203AEF" w14:textId="029ACE53"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Luis, G., Rubio, C., Gutiérrez, Á. J., González-Weller, D., Revert, C.</w:t>
      </w:r>
      <w:r w:rsidR="009F6642">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Hardisson, A. (2014). Evaluation of metals in several varieties of sweet potatoes (</w:t>
      </w:r>
      <w:r w:rsidRPr="009F6642">
        <w:rPr>
          <w:rFonts w:ascii="Times New Roman" w:hAnsi="Times New Roman" w:cs="Times New Roman"/>
          <w:i/>
          <w:iCs/>
          <w:noProof/>
          <w:color w:val="000000" w:themeColor="text1"/>
          <w:sz w:val="20"/>
          <w:szCs w:val="24"/>
        </w:rPr>
        <w:t>Ipomoea batatas</w:t>
      </w:r>
      <w:r w:rsidRPr="00C91957">
        <w:rPr>
          <w:rFonts w:ascii="Times New Roman" w:hAnsi="Times New Roman" w:cs="Times New Roman"/>
          <w:noProof/>
          <w:color w:val="000000" w:themeColor="text1"/>
          <w:sz w:val="20"/>
          <w:szCs w:val="24"/>
        </w:rPr>
        <w:t xml:space="preserve"> L.): Comparative study. </w:t>
      </w:r>
      <w:r w:rsidRPr="009F6642">
        <w:rPr>
          <w:rFonts w:ascii="Times New Roman" w:hAnsi="Times New Roman" w:cs="Times New Roman"/>
          <w:i/>
          <w:iCs/>
          <w:noProof/>
          <w:color w:val="000000" w:themeColor="text1"/>
          <w:sz w:val="20"/>
          <w:szCs w:val="24"/>
        </w:rPr>
        <w:t xml:space="preserve">Environmental Monitoring and Assessment, </w:t>
      </w:r>
      <w:r w:rsidRPr="00C91957">
        <w:rPr>
          <w:rFonts w:ascii="Times New Roman" w:hAnsi="Times New Roman" w:cs="Times New Roman"/>
          <w:noProof/>
          <w:color w:val="000000" w:themeColor="text1"/>
          <w:sz w:val="20"/>
          <w:szCs w:val="24"/>
        </w:rPr>
        <w:t>186(1)</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433</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440. </w:t>
      </w:r>
    </w:p>
    <w:p w14:paraId="40819494" w14:textId="15D15662"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Rubio, C., Lucas, J. R. D., Gutiérrez, A. J., Glez-Weller, D., Pérez Marrero, B., Caballero, J. M., Revert, C.</w:t>
      </w:r>
      <w:r w:rsidR="009F6642">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Hardisson, A. (2012). Evaluation of metal concentrations in mentha herbal teas (</w:t>
      </w:r>
      <w:r w:rsidRPr="009F6642">
        <w:rPr>
          <w:rFonts w:ascii="Times New Roman" w:hAnsi="Times New Roman" w:cs="Times New Roman"/>
          <w:i/>
          <w:iCs/>
          <w:noProof/>
          <w:color w:val="000000" w:themeColor="text1"/>
          <w:sz w:val="20"/>
          <w:szCs w:val="24"/>
        </w:rPr>
        <w:t>Mentha piperita, Mentha pulegium</w:t>
      </w:r>
      <w:r w:rsidRPr="00C91957">
        <w:rPr>
          <w:rFonts w:ascii="Times New Roman" w:hAnsi="Times New Roman" w:cs="Times New Roman"/>
          <w:noProof/>
          <w:color w:val="000000" w:themeColor="text1"/>
          <w:sz w:val="20"/>
          <w:szCs w:val="24"/>
        </w:rPr>
        <w:t xml:space="preserve"> and Mentha species) by inductively coupled plasma spectrometry. </w:t>
      </w:r>
      <w:r w:rsidRPr="009F6642">
        <w:rPr>
          <w:rFonts w:ascii="Times New Roman" w:hAnsi="Times New Roman" w:cs="Times New Roman"/>
          <w:i/>
          <w:iCs/>
          <w:noProof/>
          <w:color w:val="000000" w:themeColor="text1"/>
          <w:sz w:val="20"/>
          <w:szCs w:val="24"/>
        </w:rPr>
        <w:t>Journal of Pharmaceutical and Biomedical Analysis,</w:t>
      </w:r>
      <w:r w:rsidRPr="00C91957">
        <w:rPr>
          <w:rFonts w:ascii="Times New Roman" w:hAnsi="Times New Roman" w:cs="Times New Roman"/>
          <w:noProof/>
          <w:color w:val="000000" w:themeColor="text1"/>
          <w:sz w:val="20"/>
          <w:szCs w:val="24"/>
        </w:rPr>
        <w:t xml:space="preserve"> </w:t>
      </w:r>
      <w:r w:rsidRPr="009F6642">
        <w:rPr>
          <w:rFonts w:ascii="Times New Roman" w:hAnsi="Times New Roman" w:cs="Times New Roman"/>
          <w:noProof/>
          <w:color w:val="000000" w:themeColor="text1"/>
          <w:sz w:val="20"/>
          <w:szCs w:val="24"/>
        </w:rPr>
        <w:t>71</w:t>
      </w:r>
      <w:r w:rsidR="009F6642" w:rsidRPr="009F6642">
        <w:rPr>
          <w:rFonts w:ascii="Times New Roman" w:hAnsi="Times New Roman" w:cs="Times New Roman"/>
          <w:noProof/>
          <w:color w:val="000000" w:themeColor="text1"/>
          <w:sz w:val="20"/>
          <w:szCs w:val="24"/>
        </w:rPr>
        <w:t xml:space="preserve">: </w:t>
      </w:r>
      <w:r w:rsidRPr="009F6642">
        <w:rPr>
          <w:rFonts w:ascii="Times New Roman" w:hAnsi="Times New Roman" w:cs="Times New Roman"/>
          <w:noProof/>
          <w:color w:val="000000" w:themeColor="text1"/>
          <w:sz w:val="20"/>
          <w:szCs w:val="24"/>
        </w:rPr>
        <w:t>11</w:t>
      </w:r>
      <w:r w:rsidR="009F6642" w:rsidRPr="009F6642">
        <w:rPr>
          <w:rFonts w:ascii="Times New Roman" w:hAnsi="Times New Roman" w:cs="Times New Roman"/>
          <w:noProof/>
          <w:color w:val="000000" w:themeColor="text1"/>
          <w:sz w:val="20"/>
          <w:szCs w:val="24"/>
        </w:rPr>
        <w:t>-</w:t>
      </w:r>
      <w:r w:rsidRPr="009F6642">
        <w:rPr>
          <w:rFonts w:ascii="Times New Roman" w:hAnsi="Times New Roman" w:cs="Times New Roman"/>
          <w:noProof/>
          <w:color w:val="000000" w:themeColor="text1"/>
          <w:sz w:val="20"/>
          <w:szCs w:val="24"/>
        </w:rPr>
        <w:t>17.</w:t>
      </w:r>
      <w:r w:rsidRPr="00C91957">
        <w:rPr>
          <w:rFonts w:ascii="Times New Roman" w:hAnsi="Times New Roman" w:cs="Times New Roman"/>
          <w:noProof/>
          <w:color w:val="000000" w:themeColor="text1"/>
          <w:sz w:val="20"/>
          <w:szCs w:val="24"/>
        </w:rPr>
        <w:t xml:space="preserve"> </w:t>
      </w:r>
    </w:p>
    <w:p w14:paraId="462DBC9E" w14:textId="7C90A909"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Vieira, D. M., Da Costa, A. C. A., Henriques, C. A., Cardoso, V. L.</w:t>
      </w:r>
      <w:r w:rsidR="009F6642">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De França, F. P. (2007). Biosorption of lead by the brown seaweed </w:t>
      </w:r>
      <w:r w:rsidRPr="009F6642">
        <w:rPr>
          <w:rFonts w:ascii="Times New Roman" w:hAnsi="Times New Roman" w:cs="Times New Roman"/>
          <w:i/>
          <w:iCs/>
          <w:noProof/>
          <w:color w:val="000000" w:themeColor="text1"/>
          <w:sz w:val="20"/>
          <w:szCs w:val="24"/>
        </w:rPr>
        <w:t>Sargassum filipendula</w:t>
      </w:r>
      <w:r w:rsidRPr="00C91957">
        <w:rPr>
          <w:rFonts w:ascii="Times New Roman" w:hAnsi="Times New Roman" w:cs="Times New Roman"/>
          <w:noProof/>
          <w:color w:val="000000" w:themeColor="text1"/>
          <w:sz w:val="20"/>
          <w:szCs w:val="24"/>
        </w:rPr>
        <w:t xml:space="preserve"> - Batch and continuous pilot studies. </w:t>
      </w:r>
      <w:r w:rsidRPr="009F6642">
        <w:rPr>
          <w:rFonts w:ascii="Times New Roman" w:hAnsi="Times New Roman" w:cs="Times New Roman"/>
          <w:i/>
          <w:iCs/>
          <w:noProof/>
          <w:color w:val="000000" w:themeColor="text1"/>
          <w:sz w:val="20"/>
          <w:szCs w:val="24"/>
        </w:rPr>
        <w:t>Electronic Journal of Biotechnology,</w:t>
      </w:r>
      <w:r w:rsidRPr="00C91957">
        <w:rPr>
          <w:rFonts w:ascii="Times New Roman" w:hAnsi="Times New Roman" w:cs="Times New Roman"/>
          <w:noProof/>
          <w:color w:val="000000" w:themeColor="text1"/>
          <w:sz w:val="20"/>
          <w:szCs w:val="24"/>
        </w:rPr>
        <w:t xml:space="preserve"> 10(3)</w:t>
      </w:r>
      <w:r w:rsidR="009F6642">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368</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375. </w:t>
      </w:r>
      <w:hyperlink r:id="rId20" w:history="1"/>
      <w:r w:rsidR="009F6642" w:rsidRPr="00C91957">
        <w:rPr>
          <w:rFonts w:ascii="Times New Roman" w:hAnsi="Times New Roman" w:cs="Times New Roman"/>
          <w:noProof/>
          <w:color w:val="000000" w:themeColor="text1"/>
          <w:sz w:val="20"/>
          <w:szCs w:val="24"/>
        </w:rPr>
        <w:t xml:space="preserve"> </w:t>
      </w:r>
    </w:p>
    <w:p w14:paraId="63A9E4D8" w14:textId="496C9AB6"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Da̧browski, A. (2001). Adsorption - From theory to practice. </w:t>
      </w:r>
      <w:r w:rsidRPr="009F6642">
        <w:rPr>
          <w:rFonts w:ascii="Times New Roman" w:hAnsi="Times New Roman" w:cs="Times New Roman"/>
          <w:i/>
          <w:iCs/>
          <w:noProof/>
          <w:color w:val="000000" w:themeColor="text1"/>
          <w:sz w:val="20"/>
          <w:szCs w:val="24"/>
        </w:rPr>
        <w:t>Advances in Colloid and Interface Science,</w:t>
      </w:r>
      <w:r w:rsidRPr="00C91957">
        <w:rPr>
          <w:rFonts w:ascii="Times New Roman" w:hAnsi="Times New Roman" w:cs="Times New Roman"/>
          <w:noProof/>
          <w:color w:val="000000" w:themeColor="text1"/>
          <w:sz w:val="20"/>
          <w:szCs w:val="24"/>
        </w:rPr>
        <w:t xml:space="preserve"> 93(1–3)</w:t>
      </w:r>
      <w:r w:rsidR="009F6642">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135</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224. </w:t>
      </w:r>
    </w:p>
    <w:p w14:paraId="07BD1E72" w14:textId="56CEA27F"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Yang, C. hai. (1998). Statistical mechanical study on the Freundlich isotherm equation. </w:t>
      </w:r>
      <w:r w:rsidRPr="009F6642">
        <w:rPr>
          <w:rFonts w:ascii="Times New Roman" w:hAnsi="Times New Roman" w:cs="Times New Roman"/>
          <w:i/>
          <w:iCs/>
          <w:noProof/>
          <w:color w:val="000000" w:themeColor="text1"/>
          <w:sz w:val="20"/>
          <w:szCs w:val="24"/>
        </w:rPr>
        <w:t>Journal of Colloid and Interface Science,</w:t>
      </w:r>
      <w:r w:rsidRPr="00C91957">
        <w:rPr>
          <w:rFonts w:ascii="Times New Roman" w:hAnsi="Times New Roman" w:cs="Times New Roman"/>
          <w:noProof/>
          <w:color w:val="000000" w:themeColor="text1"/>
          <w:sz w:val="20"/>
          <w:szCs w:val="24"/>
        </w:rPr>
        <w:t xml:space="preserve"> 208(2)</w:t>
      </w:r>
      <w:r w:rsidR="009F6642">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379</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387</w:t>
      </w:r>
      <w:r w:rsidR="009F6642">
        <w:rPr>
          <w:rFonts w:ascii="Times New Roman" w:hAnsi="Times New Roman" w:cs="Times New Roman"/>
          <w:noProof/>
          <w:color w:val="000000" w:themeColor="text1"/>
          <w:sz w:val="20"/>
          <w:szCs w:val="24"/>
        </w:rPr>
        <w:t>.</w:t>
      </w:r>
    </w:p>
    <w:p w14:paraId="7D45A512" w14:textId="182C38CB"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Style w:val="Hyperlink"/>
          <w:rFonts w:ascii="Times New Roman" w:hAnsi="Times New Roman" w:cs="Times New Roman"/>
          <w:noProof/>
          <w:color w:val="000000" w:themeColor="text1"/>
          <w:sz w:val="20"/>
          <w:szCs w:val="24"/>
          <w:u w:val="none"/>
        </w:rPr>
      </w:pPr>
      <w:r w:rsidRPr="00C91957">
        <w:rPr>
          <w:rFonts w:ascii="Times New Roman" w:hAnsi="Times New Roman" w:cs="Times New Roman"/>
          <w:noProof/>
          <w:color w:val="000000" w:themeColor="text1"/>
          <w:sz w:val="20"/>
          <w:szCs w:val="24"/>
        </w:rPr>
        <w:t>Hall, K. R., Eagleton, L. C., Acrivos, A.</w:t>
      </w:r>
      <w:r w:rsidR="009F6642">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Vermeulen, T. (1966). Pore- and solid diffusion kinetics in fixed-bed adsorption under constant pattern conditions. </w:t>
      </w:r>
      <w:r w:rsidRPr="009F6642">
        <w:rPr>
          <w:rFonts w:ascii="Times New Roman" w:hAnsi="Times New Roman" w:cs="Times New Roman"/>
          <w:i/>
          <w:iCs/>
          <w:noProof/>
          <w:color w:val="000000" w:themeColor="text1"/>
          <w:sz w:val="20"/>
          <w:szCs w:val="24"/>
        </w:rPr>
        <w:t>Industrial and Engineering Chemistry Fundamentals,</w:t>
      </w:r>
      <w:r w:rsidRPr="00C91957">
        <w:rPr>
          <w:rFonts w:ascii="Times New Roman" w:hAnsi="Times New Roman" w:cs="Times New Roman"/>
          <w:noProof/>
          <w:color w:val="000000" w:themeColor="text1"/>
          <w:sz w:val="20"/>
          <w:szCs w:val="24"/>
        </w:rPr>
        <w:t xml:space="preserve"> 5(2)</w:t>
      </w:r>
      <w:r w:rsidR="009F6642">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212</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223. </w:t>
      </w:r>
      <w:hyperlink r:id="rId21" w:history="1"/>
    </w:p>
    <w:p w14:paraId="73DAA370" w14:textId="3486C92B" w:rsidR="00C91957" w:rsidRPr="00C91957" w:rsidRDefault="009F6642"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0"/>
        </w:rPr>
      </w:pPr>
      <w:r w:rsidRPr="009F6642">
        <w:rPr>
          <w:rFonts w:asciiTheme="majorBidi" w:hAnsiTheme="majorBidi" w:cstheme="majorBidi"/>
          <w:noProof/>
          <w:color w:val="000000" w:themeColor="text1"/>
          <w:sz w:val="20"/>
          <w:szCs w:val="20"/>
        </w:rPr>
        <w:t>Febrianto, J., Kosasih, A. N., Sunarso, J., Ju, Y. H., Indraswati, N.</w:t>
      </w:r>
      <w:r>
        <w:rPr>
          <w:rFonts w:asciiTheme="majorBidi" w:hAnsiTheme="majorBidi" w:cstheme="majorBidi"/>
          <w:noProof/>
          <w:color w:val="000000" w:themeColor="text1"/>
          <w:sz w:val="20"/>
          <w:szCs w:val="20"/>
        </w:rPr>
        <w:t xml:space="preserve"> and </w:t>
      </w:r>
      <w:r w:rsidRPr="009F6642">
        <w:rPr>
          <w:rFonts w:asciiTheme="majorBidi" w:hAnsiTheme="majorBidi" w:cstheme="majorBidi"/>
          <w:noProof/>
          <w:color w:val="000000" w:themeColor="text1"/>
          <w:sz w:val="20"/>
          <w:szCs w:val="20"/>
        </w:rPr>
        <w:t xml:space="preserve">Ismadji, S. (2009). Equilibrium and kinetic studies in adsorption of heavy metals using biosorbent: a summary of recent studies. </w:t>
      </w:r>
      <w:r w:rsidRPr="009F6642">
        <w:rPr>
          <w:rFonts w:asciiTheme="majorBidi" w:hAnsiTheme="majorBidi" w:cstheme="majorBidi"/>
          <w:i/>
          <w:iCs/>
          <w:noProof/>
          <w:color w:val="000000" w:themeColor="text1"/>
          <w:sz w:val="20"/>
          <w:szCs w:val="20"/>
        </w:rPr>
        <w:t xml:space="preserve">Journal Of Hazardous Materials, </w:t>
      </w:r>
      <w:r w:rsidRPr="009F6642">
        <w:rPr>
          <w:rFonts w:asciiTheme="majorBidi" w:hAnsiTheme="majorBidi" w:cstheme="majorBidi"/>
          <w:noProof/>
          <w:color w:val="000000" w:themeColor="text1"/>
          <w:sz w:val="20"/>
          <w:szCs w:val="20"/>
        </w:rPr>
        <w:t>162(2-3)</w:t>
      </w:r>
      <w:r>
        <w:rPr>
          <w:rFonts w:asciiTheme="majorBidi" w:hAnsiTheme="majorBidi" w:cstheme="majorBidi"/>
          <w:noProof/>
          <w:color w:val="000000" w:themeColor="text1"/>
          <w:sz w:val="20"/>
          <w:szCs w:val="20"/>
        </w:rPr>
        <w:t>:</w:t>
      </w:r>
      <w:r w:rsidRPr="009F6642">
        <w:rPr>
          <w:rFonts w:asciiTheme="majorBidi" w:hAnsiTheme="majorBidi" w:cstheme="majorBidi"/>
          <w:noProof/>
          <w:color w:val="000000" w:themeColor="text1"/>
          <w:sz w:val="20"/>
          <w:szCs w:val="20"/>
        </w:rPr>
        <w:t xml:space="preserve"> 616-645.</w:t>
      </w:r>
    </w:p>
    <w:p w14:paraId="25BD024A" w14:textId="090F3292" w:rsidR="00C91957" w:rsidRPr="00C91957" w:rsidRDefault="00C91957" w:rsidP="009F6642">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Ho, Y</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S</w:t>
      </w:r>
      <w:r w:rsidR="009F6642">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Ofomaja, A. E. (2006). Pseudo-second-order model for lead ion sorption from aqueous solutions onto palm kernel fiber. </w:t>
      </w:r>
      <w:r w:rsidRPr="009F6642">
        <w:rPr>
          <w:rFonts w:ascii="Times New Roman" w:hAnsi="Times New Roman" w:cs="Times New Roman"/>
          <w:i/>
          <w:iCs/>
          <w:noProof/>
          <w:color w:val="000000" w:themeColor="text1"/>
          <w:sz w:val="20"/>
          <w:szCs w:val="24"/>
        </w:rPr>
        <w:t>Journal of Hazardous Materials,</w:t>
      </w:r>
      <w:r w:rsidRPr="00C91957">
        <w:rPr>
          <w:rFonts w:ascii="Times New Roman" w:hAnsi="Times New Roman" w:cs="Times New Roman"/>
          <w:noProof/>
          <w:color w:val="000000" w:themeColor="text1"/>
          <w:sz w:val="20"/>
          <w:szCs w:val="24"/>
        </w:rPr>
        <w:t xml:space="preserve"> 129(1–3)</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137</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142. </w:t>
      </w:r>
    </w:p>
    <w:p w14:paraId="5F0D9B6F" w14:textId="28DB0C71" w:rsidR="00C91957" w:rsidRPr="00C91957" w:rsidRDefault="00C91957" w:rsidP="009F6642">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bookmarkStart w:id="98" w:name="_Hlk95068202"/>
      <w:r w:rsidRPr="00C91957">
        <w:rPr>
          <w:rFonts w:ascii="Times New Roman" w:hAnsi="Times New Roman" w:cs="Times New Roman"/>
          <w:noProof/>
          <w:color w:val="000000" w:themeColor="text1"/>
          <w:sz w:val="20"/>
          <w:szCs w:val="24"/>
        </w:rPr>
        <w:t>Sheikh, M. A., Noah, N. M., Tsuha, K.</w:t>
      </w:r>
      <w:r w:rsidR="009F6642">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Oomori, T. (2007). Occurrence of tributyltin compounds and characteristics of heavy metals. </w:t>
      </w:r>
      <w:r w:rsidRPr="009F6642">
        <w:rPr>
          <w:rFonts w:ascii="Times New Roman" w:hAnsi="Times New Roman" w:cs="Times New Roman"/>
          <w:i/>
          <w:iCs/>
          <w:noProof/>
          <w:color w:val="000000" w:themeColor="text1"/>
          <w:sz w:val="20"/>
          <w:szCs w:val="24"/>
        </w:rPr>
        <w:t>International Journal of Environmental Science and Technology,</w:t>
      </w:r>
      <w:r w:rsidRPr="00C91957">
        <w:rPr>
          <w:rFonts w:ascii="Times New Roman" w:hAnsi="Times New Roman" w:cs="Times New Roman"/>
          <w:noProof/>
          <w:color w:val="000000" w:themeColor="text1"/>
          <w:sz w:val="20"/>
          <w:szCs w:val="24"/>
        </w:rPr>
        <w:t xml:space="preserve"> 4(1)</w:t>
      </w:r>
      <w:r w:rsidR="009F6642">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49</w:t>
      </w:r>
      <w:r w:rsidR="009F6642">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59. </w:t>
      </w:r>
    </w:p>
    <w:bookmarkEnd w:id="98"/>
    <w:p w14:paraId="2810E743" w14:textId="494EB215" w:rsidR="00C91957" w:rsidRPr="00C91957" w:rsidRDefault="00402B65"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402B65">
        <w:rPr>
          <w:rFonts w:ascii="Times New Roman" w:hAnsi="Times New Roman" w:cs="Times New Roman"/>
          <w:noProof/>
          <w:color w:val="000000" w:themeColor="text1"/>
          <w:sz w:val="20"/>
          <w:szCs w:val="24"/>
        </w:rPr>
        <w:t>Yoonaiwong, W., Kaewsarn, P.</w:t>
      </w:r>
      <w:r>
        <w:rPr>
          <w:rFonts w:ascii="Times New Roman" w:hAnsi="Times New Roman" w:cs="Times New Roman"/>
          <w:noProof/>
          <w:color w:val="000000" w:themeColor="text1"/>
          <w:sz w:val="20"/>
          <w:szCs w:val="24"/>
        </w:rPr>
        <w:t xml:space="preserve"> and </w:t>
      </w:r>
      <w:r w:rsidRPr="00402B65">
        <w:rPr>
          <w:rFonts w:ascii="Times New Roman" w:hAnsi="Times New Roman" w:cs="Times New Roman"/>
          <w:noProof/>
          <w:color w:val="000000" w:themeColor="text1"/>
          <w:sz w:val="20"/>
          <w:szCs w:val="24"/>
        </w:rPr>
        <w:t xml:space="preserve">Reanprayoon, P. (2011). Biosorption of lead and cadmium ions by non-living aquatic macrophyte, </w:t>
      </w:r>
      <w:r w:rsidRPr="00402B65">
        <w:rPr>
          <w:rFonts w:ascii="Times New Roman" w:hAnsi="Times New Roman" w:cs="Times New Roman"/>
          <w:i/>
          <w:iCs/>
          <w:noProof/>
          <w:color w:val="000000" w:themeColor="text1"/>
          <w:sz w:val="20"/>
          <w:szCs w:val="24"/>
        </w:rPr>
        <w:t>Utricularia aurea.</w:t>
      </w:r>
      <w:r w:rsidRPr="00402B65">
        <w:rPr>
          <w:rFonts w:ascii="Times New Roman" w:hAnsi="Times New Roman" w:cs="Times New Roman"/>
          <w:noProof/>
          <w:color w:val="000000" w:themeColor="text1"/>
          <w:sz w:val="20"/>
          <w:szCs w:val="24"/>
        </w:rPr>
        <w:t xml:space="preserve"> </w:t>
      </w:r>
      <w:r w:rsidRPr="00402B65">
        <w:rPr>
          <w:rFonts w:ascii="Times New Roman" w:hAnsi="Times New Roman" w:cs="Times New Roman"/>
          <w:i/>
          <w:iCs/>
          <w:noProof/>
          <w:color w:val="000000" w:themeColor="text1"/>
          <w:sz w:val="20"/>
          <w:szCs w:val="24"/>
        </w:rPr>
        <w:t>Sustainable Environment Research,</w:t>
      </w:r>
      <w:r w:rsidRPr="00402B65">
        <w:rPr>
          <w:rFonts w:ascii="Times New Roman" w:hAnsi="Times New Roman" w:cs="Times New Roman"/>
          <w:noProof/>
          <w:color w:val="000000" w:themeColor="text1"/>
          <w:sz w:val="20"/>
          <w:szCs w:val="24"/>
        </w:rPr>
        <w:t xml:space="preserve"> 21(6)</w:t>
      </w:r>
      <w:r>
        <w:rPr>
          <w:rFonts w:ascii="Times New Roman" w:hAnsi="Times New Roman" w:cs="Times New Roman"/>
          <w:noProof/>
          <w:color w:val="000000" w:themeColor="text1"/>
          <w:sz w:val="20"/>
          <w:szCs w:val="24"/>
        </w:rPr>
        <w:t xml:space="preserve">: </w:t>
      </w:r>
      <w:r w:rsidRPr="00402B65">
        <w:rPr>
          <w:rFonts w:ascii="Times New Roman" w:hAnsi="Times New Roman" w:cs="Times New Roman"/>
          <w:noProof/>
          <w:color w:val="000000" w:themeColor="text1"/>
          <w:sz w:val="20"/>
          <w:szCs w:val="24"/>
        </w:rPr>
        <w:t>369-374.</w:t>
      </w:r>
    </w:p>
    <w:p w14:paraId="2B84CB6F" w14:textId="31FEDC00" w:rsidR="00C91957" w:rsidRPr="00C91957" w:rsidRDefault="00402B65"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402B65">
        <w:rPr>
          <w:rFonts w:ascii="Times New Roman" w:hAnsi="Times New Roman" w:cs="Times New Roman"/>
          <w:noProof/>
          <w:color w:val="000000" w:themeColor="text1"/>
          <w:sz w:val="20"/>
          <w:szCs w:val="24"/>
        </w:rPr>
        <w:t xml:space="preserve">Oyedepo, T. A. (2011). Biosorption of lead (II) and copper (II) metal ions on </w:t>
      </w:r>
      <w:r w:rsidRPr="00402B65">
        <w:rPr>
          <w:rFonts w:ascii="Times New Roman" w:hAnsi="Times New Roman" w:cs="Times New Roman"/>
          <w:i/>
          <w:iCs/>
          <w:noProof/>
          <w:color w:val="000000" w:themeColor="text1"/>
          <w:sz w:val="20"/>
          <w:szCs w:val="24"/>
        </w:rPr>
        <w:t>Calotropis procera</w:t>
      </w:r>
      <w:r w:rsidRPr="00402B65">
        <w:rPr>
          <w:rFonts w:ascii="Times New Roman" w:hAnsi="Times New Roman" w:cs="Times New Roman"/>
          <w:noProof/>
          <w:color w:val="000000" w:themeColor="text1"/>
          <w:sz w:val="20"/>
          <w:szCs w:val="24"/>
        </w:rPr>
        <w:t xml:space="preserve"> (Ait.). </w:t>
      </w:r>
      <w:r w:rsidRPr="00402B65">
        <w:rPr>
          <w:rFonts w:ascii="Times New Roman" w:hAnsi="Times New Roman" w:cs="Times New Roman"/>
          <w:i/>
          <w:iCs/>
          <w:noProof/>
          <w:color w:val="000000" w:themeColor="text1"/>
          <w:sz w:val="20"/>
          <w:szCs w:val="24"/>
        </w:rPr>
        <w:t>Science Journal of Purel &amp; Applied Chemistry,</w:t>
      </w:r>
      <w:r w:rsidRPr="00402B65">
        <w:rPr>
          <w:rFonts w:ascii="Times New Roman" w:hAnsi="Times New Roman" w:cs="Times New Roman"/>
          <w:noProof/>
          <w:color w:val="000000" w:themeColor="text1"/>
          <w:sz w:val="20"/>
          <w:szCs w:val="24"/>
        </w:rPr>
        <w:t xml:space="preserve"> </w:t>
      </w:r>
      <w:r>
        <w:rPr>
          <w:rFonts w:ascii="Times New Roman" w:hAnsi="Times New Roman" w:cs="Times New Roman"/>
          <w:noProof/>
          <w:color w:val="000000" w:themeColor="text1"/>
          <w:sz w:val="20"/>
          <w:szCs w:val="24"/>
        </w:rPr>
        <w:t xml:space="preserve">2011: </w:t>
      </w:r>
      <w:r w:rsidRPr="00402B65">
        <w:rPr>
          <w:rFonts w:ascii="Times New Roman" w:hAnsi="Times New Roman" w:cs="Times New Roman"/>
          <w:noProof/>
          <w:color w:val="000000" w:themeColor="text1"/>
          <w:sz w:val="20"/>
          <w:szCs w:val="24"/>
        </w:rPr>
        <w:t>1-7.</w:t>
      </w:r>
    </w:p>
    <w:p w14:paraId="207D2FDA" w14:textId="6853177A"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Vilar, V. J. P., Botelho, C. M. S.</w:t>
      </w:r>
      <w:r w:rsidR="00402B65">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Boaventura, R. A. R. (2008). Copper removal by algae Gelidium, agar extraction algal waste and granulated algal waste: Kinetics and equilibrium. </w:t>
      </w:r>
      <w:r w:rsidRPr="00402B65">
        <w:rPr>
          <w:rFonts w:ascii="Times New Roman" w:hAnsi="Times New Roman" w:cs="Times New Roman"/>
          <w:i/>
          <w:iCs/>
          <w:noProof/>
          <w:color w:val="000000" w:themeColor="text1"/>
          <w:sz w:val="20"/>
          <w:szCs w:val="24"/>
        </w:rPr>
        <w:t>Bioresource Technology,</w:t>
      </w:r>
      <w:r w:rsidRPr="00C91957">
        <w:rPr>
          <w:rFonts w:ascii="Times New Roman" w:hAnsi="Times New Roman" w:cs="Times New Roman"/>
          <w:noProof/>
          <w:color w:val="000000" w:themeColor="text1"/>
          <w:sz w:val="20"/>
          <w:szCs w:val="24"/>
        </w:rPr>
        <w:t xml:space="preserve"> 99(4)</w:t>
      </w:r>
      <w:r w:rsidR="00402B65">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750</w:t>
      </w:r>
      <w:r w:rsidR="00402B65">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762.</w:t>
      </w:r>
    </w:p>
    <w:p w14:paraId="7DA17F74" w14:textId="745975F1"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Ali Redha, A. (2020). Removal of heavy metals from aqueous media by biosorption. </w:t>
      </w:r>
      <w:r w:rsidRPr="00402B65">
        <w:rPr>
          <w:rFonts w:ascii="Times New Roman" w:hAnsi="Times New Roman" w:cs="Times New Roman"/>
          <w:i/>
          <w:iCs/>
          <w:noProof/>
          <w:color w:val="000000" w:themeColor="text1"/>
          <w:sz w:val="20"/>
          <w:szCs w:val="24"/>
        </w:rPr>
        <w:t>Arab Journal of Basic and Applied Sciences,</w:t>
      </w:r>
      <w:r w:rsidRPr="00C91957">
        <w:rPr>
          <w:rFonts w:ascii="Times New Roman" w:hAnsi="Times New Roman" w:cs="Times New Roman"/>
          <w:noProof/>
          <w:color w:val="000000" w:themeColor="text1"/>
          <w:sz w:val="20"/>
          <w:szCs w:val="24"/>
        </w:rPr>
        <w:t xml:space="preserve"> 27(1)</w:t>
      </w:r>
      <w:r w:rsidR="00402B65">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183</w:t>
      </w:r>
      <w:r w:rsidR="00402B65">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193.</w:t>
      </w:r>
    </w:p>
    <w:p w14:paraId="37A38D5C" w14:textId="7D74B978" w:rsidR="00C91957" w:rsidRPr="00402B65"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Murphy, V., Hughes, H.</w:t>
      </w:r>
      <w:r w:rsidR="00402B65">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McLoughlin, P. (2007). Cu(II) binding by dried biomass of red, green, and brown macroalgae. </w:t>
      </w:r>
      <w:r w:rsidRPr="00C91957">
        <w:rPr>
          <w:rFonts w:ascii="Times New Roman" w:hAnsi="Times New Roman" w:cs="Times New Roman"/>
          <w:i/>
          <w:iCs/>
          <w:noProof/>
          <w:color w:val="000000" w:themeColor="text1"/>
          <w:sz w:val="20"/>
          <w:szCs w:val="24"/>
        </w:rPr>
        <w:t>Water Research</w:t>
      </w:r>
      <w:r w:rsidRPr="00C91957">
        <w:rPr>
          <w:rFonts w:ascii="Times New Roman" w:hAnsi="Times New Roman" w:cs="Times New Roman"/>
          <w:noProof/>
          <w:color w:val="000000" w:themeColor="text1"/>
          <w:sz w:val="20"/>
          <w:szCs w:val="24"/>
        </w:rPr>
        <w:t xml:space="preserve">, </w:t>
      </w:r>
      <w:r w:rsidRPr="00402B65">
        <w:rPr>
          <w:rFonts w:ascii="Times New Roman" w:hAnsi="Times New Roman" w:cs="Times New Roman"/>
          <w:noProof/>
          <w:color w:val="000000" w:themeColor="text1"/>
          <w:sz w:val="20"/>
          <w:szCs w:val="24"/>
        </w:rPr>
        <w:t>41(4)</w:t>
      </w:r>
      <w:r w:rsidR="00402B65">
        <w:rPr>
          <w:rFonts w:ascii="Times New Roman" w:hAnsi="Times New Roman" w:cs="Times New Roman"/>
          <w:noProof/>
          <w:color w:val="000000" w:themeColor="text1"/>
          <w:sz w:val="20"/>
          <w:szCs w:val="24"/>
        </w:rPr>
        <w:t xml:space="preserve">: </w:t>
      </w:r>
      <w:r w:rsidRPr="00402B65">
        <w:rPr>
          <w:rFonts w:ascii="Times New Roman" w:hAnsi="Times New Roman" w:cs="Times New Roman"/>
          <w:noProof/>
          <w:color w:val="000000" w:themeColor="text1"/>
          <w:sz w:val="20"/>
          <w:szCs w:val="24"/>
        </w:rPr>
        <w:t>731</w:t>
      </w:r>
      <w:r w:rsidR="00402B65" w:rsidRPr="00402B65">
        <w:rPr>
          <w:rFonts w:ascii="Times New Roman" w:hAnsi="Times New Roman" w:cs="Times New Roman"/>
          <w:noProof/>
          <w:color w:val="000000" w:themeColor="text1"/>
          <w:sz w:val="20"/>
          <w:szCs w:val="24"/>
        </w:rPr>
        <w:t>-</w:t>
      </w:r>
      <w:r w:rsidRPr="00402B65">
        <w:rPr>
          <w:rFonts w:ascii="Times New Roman" w:hAnsi="Times New Roman" w:cs="Times New Roman"/>
          <w:noProof/>
          <w:color w:val="000000" w:themeColor="text1"/>
          <w:sz w:val="20"/>
          <w:szCs w:val="24"/>
        </w:rPr>
        <w:t xml:space="preserve">740. </w:t>
      </w:r>
    </w:p>
    <w:p w14:paraId="1872E4F5" w14:textId="23594BDD"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Vilar, V. J. P., Botelho, C. M. S.</w:t>
      </w:r>
      <w:r w:rsidR="00402B65">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Boaventura, R. A. R. (2008b). Lead uptake by algae Gelidium and composite material particles in a packed bed column. </w:t>
      </w:r>
      <w:r w:rsidRPr="00C91957">
        <w:rPr>
          <w:rFonts w:ascii="Times New Roman" w:hAnsi="Times New Roman" w:cs="Times New Roman"/>
          <w:i/>
          <w:iCs/>
          <w:noProof/>
          <w:color w:val="000000" w:themeColor="text1"/>
          <w:sz w:val="20"/>
          <w:szCs w:val="24"/>
        </w:rPr>
        <w:t>Chemical Engineering Journal</w:t>
      </w:r>
      <w:r w:rsidRPr="00C91957">
        <w:rPr>
          <w:rFonts w:ascii="Times New Roman" w:hAnsi="Times New Roman" w:cs="Times New Roman"/>
          <w:noProof/>
          <w:color w:val="000000" w:themeColor="text1"/>
          <w:sz w:val="20"/>
          <w:szCs w:val="24"/>
        </w:rPr>
        <w:t xml:space="preserve">, </w:t>
      </w:r>
      <w:r w:rsidRPr="00402B65">
        <w:rPr>
          <w:rFonts w:ascii="Times New Roman" w:hAnsi="Times New Roman" w:cs="Times New Roman"/>
          <w:noProof/>
          <w:color w:val="000000" w:themeColor="text1"/>
          <w:sz w:val="20"/>
          <w:szCs w:val="24"/>
        </w:rPr>
        <w:t>144(3)</w:t>
      </w:r>
      <w:r w:rsidR="00402B65">
        <w:rPr>
          <w:rFonts w:ascii="Times New Roman" w:hAnsi="Times New Roman" w:cs="Times New Roman"/>
          <w:noProof/>
          <w:color w:val="000000" w:themeColor="text1"/>
          <w:sz w:val="20"/>
          <w:szCs w:val="24"/>
        </w:rPr>
        <w:t xml:space="preserve">: </w:t>
      </w:r>
      <w:r w:rsidRPr="00402B65">
        <w:rPr>
          <w:rFonts w:ascii="Times New Roman" w:hAnsi="Times New Roman" w:cs="Times New Roman"/>
          <w:noProof/>
          <w:color w:val="000000" w:themeColor="text1"/>
          <w:sz w:val="20"/>
          <w:szCs w:val="24"/>
        </w:rPr>
        <w:t>42</w:t>
      </w:r>
      <w:r w:rsidR="00402B65">
        <w:rPr>
          <w:rFonts w:ascii="Times New Roman" w:hAnsi="Times New Roman" w:cs="Times New Roman"/>
          <w:noProof/>
          <w:color w:val="000000" w:themeColor="text1"/>
          <w:sz w:val="20"/>
          <w:szCs w:val="24"/>
        </w:rPr>
        <w:t>0-</w:t>
      </w:r>
      <w:r w:rsidRPr="00402B65">
        <w:rPr>
          <w:rFonts w:ascii="Times New Roman" w:hAnsi="Times New Roman" w:cs="Times New Roman"/>
          <w:noProof/>
          <w:color w:val="000000" w:themeColor="text1"/>
          <w:sz w:val="20"/>
          <w:szCs w:val="24"/>
        </w:rPr>
        <w:t>430.</w:t>
      </w:r>
      <w:r w:rsidRPr="00C91957">
        <w:rPr>
          <w:rFonts w:ascii="Times New Roman" w:hAnsi="Times New Roman" w:cs="Times New Roman"/>
          <w:noProof/>
          <w:color w:val="000000" w:themeColor="text1"/>
          <w:sz w:val="20"/>
          <w:szCs w:val="24"/>
        </w:rPr>
        <w:t xml:space="preserve"> </w:t>
      </w:r>
    </w:p>
    <w:p w14:paraId="0AC63903" w14:textId="0A0B527B" w:rsidR="00C91957" w:rsidRPr="00402B65"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Farooq, U., Kozinski, J. A., Khan, M. A.</w:t>
      </w:r>
      <w:r w:rsidR="00402B65">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Athar, M. (2010). Biosorption of heavy metal ions using wheat-based biosorbents - A review of the recent literature. </w:t>
      </w:r>
      <w:r w:rsidRPr="00C91957">
        <w:rPr>
          <w:rFonts w:ascii="Times New Roman" w:hAnsi="Times New Roman" w:cs="Times New Roman"/>
          <w:i/>
          <w:iCs/>
          <w:noProof/>
          <w:color w:val="000000" w:themeColor="text1"/>
          <w:sz w:val="20"/>
          <w:szCs w:val="24"/>
        </w:rPr>
        <w:t>Bioresource Technology</w:t>
      </w:r>
      <w:r w:rsidRPr="00C91957">
        <w:rPr>
          <w:rFonts w:ascii="Times New Roman" w:hAnsi="Times New Roman" w:cs="Times New Roman"/>
          <w:noProof/>
          <w:color w:val="000000" w:themeColor="text1"/>
          <w:sz w:val="20"/>
          <w:szCs w:val="24"/>
        </w:rPr>
        <w:t xml:space="preserve">, </w:t>
      </w:r>
      <w:r w:rsidRPr="00402B65">
        <w:rPr>
          <w:rFonts w:ascii="Times New Roman" w:hAnsi="Times New Roman" w:cs="Times New Roman"/>
          <w:noProof/>
          <w:color w:val="000000" w:themeColor="text1"/>
          <w:sz w:val="20"/>
          <w:szCs w:val="24"/>
        </w:rPr>
        <w:t>101(14)</w:t>
      </w:r>
      <w:r w:rsidR="00402B65">
        <w:rPr>
          <w:rFonts w:ascii="Times New Roman" w:hAnsi="Times New Roman" w:cs="Times New Roman"/>
          <w:noProof/>
          <w:color w:val="000000" w:themeColor="text1"/>
          <w:sz w:val="20"/>
          <w:szCs w:val="24"/>
        </w:rPr>
        <w:t>:</w:t>
      </w:r>
      <w:r w:rsidRPr="00402B65">
        <w:rPr>
          <w:rFonts w:ascii="Times New Roman" w:hAnsi="Times New Roman" w:cs="Times New Roman"/>
          <w:noProof/>
          <w:color w:val="000000" w:themeColor="text1"/>
          <w:sz w:val="20"/>
          <w:szCs w:val="24"/>
        </w:rPr>
        <w:t xml:space="preserve"> 5043</w:t>
      </w:r>
      <w:r w:rsidR="00402B65">
        <w:rPr>
          <w:rFonts w:ascii="Times New Roman" w:hAnsi="Times New Roman" w:cs="Times New Roman"/>
          <w:noProof/>
          <w:color w:val="000000" w:themeColor="text1"/>
          <w:sz w:val="20"/>
          <w:szCs w:val="24"/>
        </w:rPr>
        <w:t>-</w:t>
      </w:r>
      <w:r w:rsidRPr="00402B65">
        <w:rPr>
          <w:rFonts w:ascii="Times New Roman" w:hAnsi="Times New Roman" w:cs="Times New Roman"/>
          <w:noProof/>
          <w:color w:val="000000" w:themeColor="text1"/>
          <w:sz w:val="20"/>
          <w:szCs w:val="24"/>
        </w:rPr>
        <w:t xml:space="preserve">5053. </w:t>
      </w:r>
    </w:p>
    <w:p w14:paraId="7185EFCB" w14:textId="62A4D0D3"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Escudero, C., Fiol, N., Villaescusa, I.</w:t>
      </w:r>
      <w:r w:rsidR="00402B65">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Bollinger, J. C. (2009). Arsenic removal by a waste metal hydroxide entrapped into calcium alginate beads. </w:t>
      </w:r>
      <w:r w:rsidRPr="00794514">
        <w:rPr>
          <w:rFonts w:ascii="Times New Roman" w:hAnsi="Times New Roman" w:cs="Times New Roman"/>
          <w:i/>
          <w:iCs/>
          <w:noProof/>
          <w:color w:val="000000" w:themeColor="text1"/>
          <w:sz w:val="20"/>
          <w:szCs w:val="24"/>
        </w:rPr>
        <w:t>Journal of Hazardous Materials,</w:t>
      </w:r>
      <w:r w:rsidRPr="00C91957">
        <w:rPr>
          <w:rFonts w:ascii="Times New Roman" w:hAnsi="Times New Roman" w:cs="Times New Roman"/>
          <w:noProof/>
          <w:color w:val="000000" w:themeColor="text1"/>
          <w:sz w:val="20"/>
          <w:szCs w:val="24"/>
        </w:rPr>
        <w:t xml:space="preserve"> 164(2–3), 533–541. </w:t>
      </w:r>
    </w:p>
    <w:p w14:paraId="3A4D386E" w14:textId="07A5C774"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Yipmantin, A., Maldonado, H. J., Ly, M., Taulemesse, J. M.</w:t>
      </w:r>
      <w:r w:rsidR="00794514">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Guibal, E. (2011). Pb(II) and Cd(II) biosorption on </w:t>
      </w:r>
      <w:r w:rsidRPr="00794514">
        <w:rPr>
          <w:rFonts w:ascii="Times New Roman" w:hAnsi="Times New Roman" w:cs="Times New Roman"/>
          <w:i/>
          <w:iCs/>
          <w:noProof/>
          <w:color w:val="000000" w:themeColor="text1"/>
          <w:sz w:val="20"/>
          <w:szCs w:val="24"/>
        </w:rPr>
        <w:t>Chondracanthus chamissoi</w:t>
      </w:r>
      <w:r w:rsidRPr="00C91957">
        <w:rPr>
          <w:rFonts w:ascii="Times New Roman" w:hAnsi="Times New Roman" w:cs="Times New Roman"/>
          <w:noProof/>
          <w:color w:val="000000" w:themeColor="text1"/>
          <w:sz w:val="20"/>
          <w:szCs w:val="24"/>
        </w:rPr>
        <w:t xml:space="preserve"> (a red alga). </w:t>
      </w:r>
      <w:r w:rsidRPr="00794514">
        <w:rPr>
          <w:rFonts w:ascii="Times New Roman" w:hAnsi="Times New Roman" w:cs="Times New Roman"/>
          <w:i/>
          <w:iCs/>
          <w:noProof/>
          <w:color w:val="000000" w:themeColor="text1"/>
          <w:sz w:val="20"/>
          <w:szCs w:val="24"/>
        </w:rPr>
        <w:t>Journal of Hazardous Materials,</w:t>
      </w:r>
      <w:r w:rsidRPr="00C91957">
        <w:rPr>
          <w:rFonts w:ascii="Times New Roman" w:hAnsi="Times New Roman" w:cs="Times New Roman"/>
          <w:noProof/>
          <w:color w:val="000000" w:themeColor="text1"/>
          <w:sz w:val="20"/>
          <w:szCs w:val="24"/>
        </w:rPr>
        <w:t xml:space="preserve"> 185(2–3)</w:t>
      </w:r>
      <w:r w:rsidR="00794514">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922</w:t>
      </w:r>
      <w:r w:rsidR="00794514">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929. </w:t>
      </w:r>
    </w:p>
    <w:p w14:paraId="3F7AAD33" w14:textId="225BCD0C"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lastRenderedPageBreak/>
        <w:t xml:space="preserve">Lee, S. H., &amp; Park, C. H. (2012). Biosorption of heavy metal ions by brown seaweeds from the southern coast of Korea. </w:t>
      </w:r>
      <w:r w:rsidRPr="00207636">
        <w:rPr>
          <w:rFonts w:ascii="Times New Roman" w:hAnsi="Times New Roman" w:cs="Times New Roman"/>
          <w:i/>
          <w:iCs/>
          <w:noProof/>
          <w:color w:val="000000" w:themeColor="text1"/>
          <w:sz w:val="20"/>
          <w:szCs w:val="24"/>
        </w:rPr>
        <w:t>Biotechnology and Bioprocess Engineering,</w:t>
      </w:r>
      <w:r w:rsidRPr="00C91957">
        <w:rPr>
          <w:rFonts w:ascii="Times New Roman" w:hAnsi="Times New Roman" w:cs="Times New Roman"/>
          <w:noProof/>
          <w:color w:val="000000" w:themeColor="text1"/>
          <w:sz w:val="20"/>
          <w:szCs w:val="24"/>
        </w:rPr>
        <w:t xml:space="preserve"> 17(4)</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853</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861. </w:t>
      </w:r>
    </w:p>
    <w:p w14:paraId="6053642D" w14:textId="0A7746AE"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0"/>
        </w:rPr>
      </w:pPr>
      <w:r w:rsidRPr="00C91957">
        <w:rPr>
          <w:rFonts w:ascii="Times New Roman" w:hAnsi="Times New Roman" w:cs="Times New Roman"/>
          <w:noProof/>
          <w:color w:val="000000" w:themeColor="text1"/>
          <w:sz w:val="20"/>
          <w:szCs w:val="24"/>
        </w:rPr>
        <w:t>Nessim, R. B., Bassiouny, A. R., Zaki, H. R., Moawad, M. N.</w:t>
      </w:r>
      <w:r w:rsidR="00207636">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Kandeel, K. M. (2011). Biosorption of lead and cadmium using marine algae. </w:t>
      </w:r>
      <w:r w:rsidRPr="00207636">
        <w:rPr>
          <w:rFonts w:ascii="Times New Roman" w:hAnsi="Times New Roman" w:cs="Times New Roman"/>
          <w:i/>
          <w:iCs/>
          <w:noProof/>
          <w:color w:val="000000" w:themeColor="text1"/>
          <w:sz w:val="20"/>
          <w:szCs w:val="24"/>
        </w:rPr>
        <w:t>Chemistry and Ecology,</w:t>
      </w:r>
      <w:r w:rsidRPr="00C91957">
        <w:rPr>
          <w:rFonts w:ascii="Times New Roman" w:hAnsi="Times New Roman" w:cs="Times New Roman"/>
          <w:noProof/>
          <w:color w:val="000000" w:themeColor="text1"/>
          <w:sz w:val="20"/>
          <w:szCs w:val="24"/>
        </w:rPr>
        <w:t xml:space="preserve"> 27(6)</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579</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594. </w:t>
      </w:r>
    </w:p>
    <w:p w14:paraId="7A370CB4" w14:textId="66894979"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Akpomie, K. G., Ezeofor, C. C., Olikagu, C. S., Odewole, O. A.</w:t>
      </w:r>
      <w:r w:rsidR="00207636">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Ezeorah, C. J. (2018). Abstraction and regeneration potential of temperature-enhanced rice husk montmorillonite combo for oil spill. </w:t>
      </w:r>
      <w:r w:rsidRPr="00207636">
        <w:rPr>
          <w:rFonts w:ascii="Times New Roman" w:hAnsi="Times New Roman" w:cs="Times New Roman"/>
          <w:i/>
          <w:iCs/>
          <w:noProof/>
          <w:color w:val="000000" w:themeColor="text1"/>
          <w:sz w:val="20"/>
          <w:szCs w:val="24"/>
        </w:rPr>
        <w:t>Environmental Science and Pollution Research,</w:t>
      </w:r>
      <w:r w:rsidRPr="00C91957">
        <w:rPr>
          <w:rFonts w:ascii="Times New Roman" w:hAnsi="Times New Roman" w:cs="Times New Roman"/>
          <w:noProof/>
          <w:color w:val="000000" w:themeColor="text1"/>
          <w:sz w:val="20"/>
          <w:szCs w:val="24"/>
        </w:rPr>
        <w:t> 25(34)</w:t>
      </w:r>
      <w:r w:rsidR="00207636">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34711-34719.</w:t>
      </w:r>
    </w:p>
    <w:p w14:paraId="2CEF46FC" w14:textId="6D05C66E"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Aroua, M. K., Leong, S. P. P., Teo, L. Y., Yin, C. Y.</w:t>
      </w:r>
      <w:r w:rsidR="00207636">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Daud, W. M. A. W. (2008). Real-time determination of the kinetics of lead(II) adsorption onto palm shell-based activated carbon using an ion-selective electrode. </w:t>
      </w:r>
      <w:r w:rsidRPr="00C91957">
        <w:rPr>
          <w:rFonts w:ascii="Times New Roman" w:hAnsi="Times New Roman" w:cs="Times New Roman"/>
          <w:i/>
          <w:iCs/>
          <w:noProof/>
          <w:color w:val="000000" w:themeColor="text1"/>
          <w:sz w:val="20"/>
          <w:szCs w:val="24"/>
        </w:rPr>
        <w:t>Bioresource Technology</w:t>
      </w:r>
      <w:r w:rsidRPr="00C91957">
        <w:rPr>
          <w:rFonts w:ascii="Times New Roman" w:hAnsi="Times New Roman" w:cs="Times New Roman"/>
          <w:noProof/>
          <w:color w:val="000000" w:themeColor="text1"/>
          <w:sz w:val="20"/>
          <w:szCs w:val="24"/>
        </w:rPr>
        <w:t xml:space="preserve">, </w:t>
      </w:r>
      <w:r w:rsidRPr="00207636">
        <w:rPr>
          <w:rFonts w:ascii="Times New Roman" w:hAnsi="Times New Roman" w:cs="Times New Roman"/>
          <w:noProof/>
          <w:color w:val="000000" w:themeColor="text1"/>
          <w:sz w:val="20"/>
          <w:szCs w:val="24"/>
        </w:rPr>
        <w:t>99(13)</w:t>
      </w:r>
      <w:r w:rsidR="00207636" w:rsidRPr="00207636">
        <w:rPr>
          <w:rFonts w:ascii="Times New Roman" w:hAnsi="Times New Roman" w:cs="Times New Roman"/>
          <w:noProof/>
          <w:color w:val="000000" w:themeColor="text1"/>
          <w:sz w:val="20"/>
          <w:szCs w:val="24"/>
        </w:rPr>
        <w:t>:</w:t>
      </w:r>
      <w:r w:rsidRPr="00207636">
        <w:rPr>
          <w:rFonts w:ascii="Times New Roman" w:hAnsi="Times New Roman" w:cs="Times New Roman"/>
          <w:noProof/>
          <w:color w:val="000000" w:themeColor="text1"/>
          <w:sz w:val="20"/>
          <w:szCs w:val="24"/>
        </w:rPr>
        <w:t xml:space="preserve"> 5786</w:t>
      </w:r>
      <w:r w:rsidR="00207636" w:rsidRPr="00207636">
        <w:rPr>
          <w:rFonts w:ascii="Times New Roman" w:hAnsi="Times New Roman" w:cs="Times New Roman"/>
          <w:noProof/>
          <w:color w:val="000000" w:themeColor="text1"/>
          <w:sz w:val="20"/>
          <w:szCs w:val="24"/>
        </w:rPr>
        <w:t>-</w:t>
      </w:r>
      <w:r w:rsidRPr="00207636">
        <w:rPr>
          <w:rFonts w:ascii="Times New Roman" w:hAnsi="Times New Roman" w:cs="Times New Roman"/>
          <w:noProof/>
          <w:color w:val="000000" w:themeColor="text1"/>
          <w:sz w:val="20"/>
          <w:szCs w:val="24"/>
        </w:rPr>
        <w:t>5792.</w:t>
      </w:r>
      <w:r w:rsidRPr="00C91957">
        <w:rPr>
          <w:rFonts w:ascii="Times New Roman" w:hAnsi="Times New Roman" w:cs="Times New Roman"/>
          <w:noProof/>
          <w:color w:val="000000" w:themeColor="text1"/>
          <w:sz w:val="20"/>
          <w:szCs w:val="24"/>
        </w:rPr>
        <w:t xml:space="preserve"> </w:t>
      </w:r>
    </w:p>
    <w:p w14:paraId="7282F31B" w14:textId="47CA3A68"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Style w:val="Hyperlink"/>
          <w:rFonts w:ascii="Times New Roman" w:hAnsi="Times New Roman" w:cs="Times New Roman"/>
          <w:noProof/>
          <w:color w:val="000000" w:themeColor="text1"/>
          <w:sz w:val="20"/>
          <w:szCs w:val="24"/>
          <w:u w:val="none"/>
        </w:rPr>
      </w:pPr>
      <w:r w:rsidRPr="00C91957">
        <w:rPr>
          <w:rFonts w:ascii="Times New Roman" w:hAnsi="Times New Roman" w:cs="Times New Roman"/>
          <w:noProof/>
          <w:color w:val="000000" w:themeColor="text1"/>
          <w:sz w:val="20"/>
          <w:szCs w:val="24"/>
        </w:rPr>
        <w:t>Wu, Y., Zhang, S., Guo, X.</w:t>
      </w:r>
      <w:r w:rsidR="00207636">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Huang, H. (2008). Adsorption of chromium(III) on lignin. </w:t>
      </w:r>
      <w:r w:rsidRPr="00C91957">
        <w:rPr>
          <w:rFonts w:ascii="Times New Roman" w:hAnsi="Times New Roman" w:cs="Times New Roman"/>
          <w:i/>
          <w:iCs/>
          <w:noProof/>
          <w:color w:val="000000" w:themeColor="text1"/>
          <w:sz w:val="20"/>
          <w:szCs w:val="24"/>
        </w:rPr>
        <w:t>Bioresource Technology</w:t>
      </w:r>
      <w:r w:rsidRPr="00C91957">
        <w:rPr>
          <w:rFonts w:ascii="Times New Roman" w:hAnsi="Times New Roman" w:cs="Times New Roman"/>
          <w:noProof/>
          <w:color w:val="000000" w:themeColor="text1"/>
          <w:sz w:val="20"/>
          <w:szCs w:val="24"/>
        </w:rPr>
        <w:t xml:space="preserve">, </w:t>
      </w:r>
      <w:r w:rsidRPr="00207636">
        <w:rPr>
          <w:rFonts w:ascii="Times New Roman" w:hAnsi="Times New Roman" w:cs="Times New Roman"/>
          <w:noProof/>
          <w:color w:val="000000" w:themeColor="text1"/>
          <w:sz w:val="20"/>
          <w:szCs w:val="24"/>
        </w:rPr>
        <w:t>99(16)</w:t>
      </w:r>
      <w:r w:rsidR="00207636" w:rsidRPr="00207636">
        <w:rPr>
          <w:rFonts w:ascii="Times New Roman" w:hAnsi="Times New Roman" w:cs="Times New Roman"/>
          <w:noProof/>
          <w:color w:val="000000" w:themeColor="text1"/>
          <w:sz w:val="20"/>
          <w:szCs w:val="24"/>
        </w:rPr>
        <w:t xml:space="preserve">: </w:t>
      </w:r>
      <w:r w:rsidRPr="00207636">
        <w:rPr>
          <w:rFonts w:ascii="Times New Roman" w:hAnsi="Times New Roman" w:cs="Times New Roman"/>
          <w:noProof/>
          <w:color w:val="000000" w:themeColor="text1"/>
          <w:sz w:val="20"/>
          <w:szCs w:val="24"/>
        </w:rPr>
        <w:t>7709</w:t>
      </w:r>
      <w:r w:rsidR="00207636" w:rsidRPr="00207636">
        <w:rPr>
          <w:rFonts w:ascii="Times New Roman" w:hAnsi="Times New Roman" w:cs="Times New Roman"/>
          <w:noProof/>
          <w:color w:val="000000" w:themeColor="text1"/>
          <w:sz w:val="20"/>
          <w:szCs w:val="24"/>
        </w:rPr>
        <w:t>-</w:t>
      </w:r>
      <w:r w:rsidRPr="00207636">
        <w:rPr>
          <w:rFonts w:ascii="Times New Roman" w:hAnsi="Times New Roman" w:cs="Times New Roman"/>
          <w:noProof/>
          <w:color w:val="000000" w:themeColor="text1"/>
          <w:sz w:val="20"/>
          <w:szCs w:val="24"/>
        </w:rPr>
        <w:t>7715.</w:t>
      </w:r>
      <w:r w:rsidRPr="00C91957">
        <w:rPr>
          <w:rFonts w:ascii="Times New Roman" w:hAnsi="Times New Roman" w:cs="Times New Roman"/>
          <w:noProof/>
          <w:color w:val="000000" w:themeColor="text1"/>
          <w:sz w:val="20"/>
          <w:szCs w:val="24"/>
        </w:rPr>
        <w:t xml:space="preserve"> </w:t>
      </w:r>
    </w:p>
    <w:p w14:paraId="24B5508A" w14:textId="45FD3197" w:rsidR="00C91957" w:rsidRPr="0039607F"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i/>
          <w:iCs/>
          <w:noProof/>
          <w:color w:val="000000" w:themeColor="text1"/>
          <w:sz w:val="20"/>
          <w:szCs w:val="24"/>
        </w:rPr>
      </w:pPr>
      <w:r w:rsidRPr="00C91957">
        <w:rPr>
          <w:rFonts w:ascii="Times New Roman" w:hAnsi="Times New Roman" w:cs="Times New Roman"/>
          <w:noProof/>
          <w:color w:val="000000" w:themeColor="text1"/>
          <w:sz w:val="20"/>
          <w:szCs w:val="24"/>
        </w:rPr>
        <w:t>Bishnoi, N. R.</w:t>
      </w:r>
      <w:r w:rsidR="00207636">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Pant, A. (2004). Biosorption of copper from an aqueous solution using algal biomass.</w:t>
      </w:r>
      <w:r w:rsidR="0039607F">
        <w:rPr>
          <w:rFonts w:ascii="Times New Roman" w:hAnsi="Times New Roman" w:cs="Times New Roman"/>
          <w:noProof/>
          <w:color w:val="000000" w:themeColor="text1"/>
          <w:sz w:val="20"/>
          <w:szCs w:val="24"/>
        </w:rPr>
        <w:t xml:space="preserve"> </w:t>
      </w:r>
      <w:r w:rsidR="0039607F" w:rsidRPr="0039607F">
        <w:rPr>
          <w:rFonts w:ascii="Times New Roman" w:hAnsi="Times New Roman" w:cs="Times New Roman"/>
          <w:i/>
          <w:iCs/>
          <w:noProof/>
          <w:color w:val="000000" w:themeColor="text1"/>
          <w:sz w:val="20"/>
          <w:szCs w:val="24"/>
        </w:rPr>
        <w:t>Journal of Scientific and Industrial Research</w:t>
      </w:r>
      <w:r w:rsidR="0039607F">
        <w:rPr>
          <w:rFonts w:ascii="Times New Roman" w:hAnsi="Times New Roman" w:cs="Times New Roman"/>
          <w:i/>
          <w:iCs/>
          <w:noProof/>
          <w:color w:val="000000" w:themeColor="text1"/>
          <w:sz w:val="20"/>
          <w:szCs w:val="24"/>
        </w:rPr>
        <w:t xml:space="preserve">, </w:t>
      </w:r>
      <w:r w:rsidR="0039607F">
        <w:rPr>
          <w:rFonts w:ascii="Times New Roman" w:hAnsi="Times New Roman" w:cs="Times New Roman"/>
          <w:noProof/>
          <w:color w:val="000000" w:themeColor="text1"/>
          <w:sz w:val="20"/>
          <w:szCs w:val="24"/>
        </w:rPr>
        <w:t>63: 813-816.</w:t>
      </w:r>
    </w:p>
    <w:p w14:paraId="5ADF902E" w14:textId="5D1AEFA2" w:rsidR="00C91957" w:rsidRPr="00207636"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4"/>
        </w:rPr>
      </w:pPr>
      <w:r w:rsidRPr="00C91957">
        <w:rPr>
          <w:rFonts w:asciiTheme="majorBidi" w:hAnsiTheme="majorBidi" w:cstheme="majorBidi"/>
          <w:color w:val="000000" w:themeColor="text1"/>
          <w:sz w:val="20"/>
          <w:szCs w:val="20"/>
          <w:shd w:val="clear" w:color="auto" w:fill="FFFFFF"/>
        </w:rPr>
        <w:t>Wang, G., Zhang, S., Yao, P., Chen, Y., Xu, X., Li, T.</w:t>
      </w:r>
      <w:r w:rsidR="00207636">
        <w:rPr>
          <w:rFonts w:asciiTheme="majorBidi" w:hAnsiTheme="majorBidi" w:cstheme="majorBidi"/>
          <w:color w:val="000000" w:themeColor="text1"/>
          <w:sz w:val="20"/>
          <w:szCs w:val="20"/>
          <w:shd w:val="clear" w:color="auto" w:fill="FFFFFF"/>
        </w:rPr>
        <w:t xml:space="preserve"> and </w:t>
      </w:r>
      <w:r w:rsidRPr="00C91957">
        <w:rPr>
          <w:rFonts w:asciiTheme="majorBidi" w:hAnsiTheme="majorBidi" w:cstheme="majorBidi"/>
          <w:color w:val="000000" w:themeColor="text1"/>
          <w:sz w:val="20"/>
          <w:szCs w:val="20"/>
          <w:shd w:val="clear" w:color="auto" w:fill="FFFFFF"/>
        </w:rPr>
        <w:t xml:space="preserve">Gong, G. (2018). Removal of Pb(II) from aqueous solutions by </w:t>
      </w:r>
      <w:r w:rsidRPr="00207636">
        <w:rPr>
          <w:rFonts w:asciiTheme="majorBidi" w:hAnsiTheme="majorBidi" w:cstheme="majorBidi"/>
          <w:i/>
          <w:iCs/>
          <w:color w:val="000000" w:themeColor="text1"/>
          <w:sz w:val="20"/>
          <w:szCs w:val="20"/>
          <w:shd w:val="clear" w:color="auto" w:fill="FFFFFF"/>
        </w:rPr>
        <w:t>Phytolacca americana</w:t>
      </w:r>
      <w:r w:rsidRPr="00C91957">
        <w:rPr>
          <w:rFonts w:asciiTheme="majorBidi" w:hAnsiTheme="majorBidi" w:cstheme="majorBidi"/>
          <w:color w:val="000000" w:themeColor="text1"/>
          <w:sz w:val="20"/>
          <w:szCs w:val="20"/>
          <w:shd w:val="clear" w:color="auto" w:fill="FFFFFF"/>
        </w:rPr>
        <w:t xml:space="preserve"> L. biomass as a low-cost biosorbent. </w:t>
      </w:r>
      <w:r w:rsidRPr="00C91957">
        <w:rPr>
          <w:rFonts w:asciiTheme="majorBidi" w:hAnsiTheme="majorBidi" w:cstheme="majorBidi"/>
          <w:i/>
          <w:iCs/>
          <w:color w:val="000000" w:themeColor="text1"/>
          <w:sz w:val="20"/>
          <w:szCs w:val="20"/>
          <w:shd w:val="clear" w:color="auto" w:fill="FFFFFF"/>
        </w:rPr>
        <w:t>Arabian Journal of Chemistry</w:t>
      </w:r>
      <w:r w:rsidRPr="00C91957">
        <w:rPr>
          <w:rFonts w:asciiTheme="majorBidi" w:hAnsiTheme="majorBidi" w:cstheme="majorBidi"/>
          <w:color w:val="000000" w:themeColor="text1"/>
          <w:sz w:val="20"/>
          <w:szCs w:val="20"/>
          <w:shd w:val="clear" w:color="auto" w:fill="FFFFFF"/>
        </w:rPr>
        <w:t>, </w:t>
      </w:r>
      <w:r w:rsidRPr="00207636">
        <w:rPr>
          <w:rFonts w:asciiTheme="majorBidi" w:hAnsiTheme="majorBidi" w:cstheme="majorBidi"/>
          <w:color w:val="000000" w:themeColor="text1"/>
          <w:sz w:val="20"/>
          <w:szCs w:val="20"/>
          <w:shd w:val="clear" w:color="auto" w:fill="FFFFFF"/>
        </w:rPr>
        <w:t>11(1)</w:t>
      </w:r>
      <w:r w:rsidR="00207636">
        <w:rPr>
          <w:rFonts w:asciiTheme="majorBidi" w:hAnsiTheme="majorBidi" w:cstheme="majorBidi"/>
          <w:color w:val="000000" w:themeColor="text1"/>
          <w:sz w:val="20"/>
          <w:szCs w:val="20"/>
          <w:shd w:val="clear" w:color="auto" w:fill="FFFFFF"/>
        </w:rPr>
        <w:t xml:space="preserve">: </w:t>
      </w:r>
      <w:r w:rsidRPr="00207636">
        <w:rPr>
          <w:rFonts w:asciiTheme="majorBidi" w:hAnsiTheme="majorBidi" w:cstheme="majorBidi"/>
          <w:color w:val="000000" w:themeColor="text1"/>
          <w:sz w:val="20"/>
          <w:szCs w:val="20"/>
          <w:shd w:val="clear" w:color="auto" w:fill="FFFFFF"/>
        </w:rPr>
        <w:t>99-110.</w:t>
      </w:r>
    </w:p>
    <w:p w14:paraId="4DAB0A94" w14:textId="5781E01B"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Ghasemi, M., Naushad, M., Ghasemi, N.</w:t>
      </w:r>
      <w:r w:rsidR="00207636">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Khosravi-fard, Y. (2014). Adsorption of Pb(II) from aqueous solution using new adsorbents prepared from agricultural waste: Adsorption isotherm and kinetic studies. </w:t>
      </w:r>
      <w:r w:rsidRPr="00207636">
        <w:rPr>
          <w:rFonts w:ascii="Times New Roman" w:hAnsi="Times New Roman" w:cs="Times New Roman"/>
          <w:i/>
          <w:iCs/>
          <w:noProof/>
          <w:color w:val="000000" w:themeColor="text1"/>
          <w:sz w:val="20"/>
          <w:szCs w:val="24"/>
        </w:rPr>
        <w:t>Journal of Industrial and Engineering Chemistry,</w:t>
      </w:r>
      <w:r w:rsidRPr="00C91957">
        <w:rPr>
          <w:rFonts w:ascii="Times New Roman" w:hAnsi="Times New Roman" w:cs="Times New Roman"/>
          <w:noProof/>
          <w:color w:val="000000" w:themeColor="text1"/>
          <w:sz w:val="20"/>
          <w:szCs w:val="24"/>
        </w:rPr>
        <w:t xml:space="preserve"> 20(4)</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2193</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2199. </w:t>
      </w:r>
    </w:p>
    <w:p w14:paraId="35C1AFC0" w14:textId="62787BFD"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Ibrahim, W. M. (2011). Biosorption of heavy metal ions from an aqueous solution by red macroalgae. </w:t>
      </w:r>
      <w:r w:rsidRPr="00207636">
        <w:rPr>
          <w:rFonts w:ascii="Times New Roman" w:hAnsi="Times New Roman" w:cs="Times New Roman"/>
          <w:i/>
          <w:iCs/>
          <w:noProof/>
          <w:color w:val="000000" w:themeColor="text1"/>
          <w:sz w:val="20"/>
          <w:szCs w:val="24"/>
        </w:rPr>
        <w:t>Journal of Hazardous Materials,</w:t>
      </w:r>
      <w:r w:rsidRPr="00C91957">
        <w:rPr>
          <w:rFonts w:ascii="Times New Roman" w:hAnsi="Times New Roman" w:cs="Times New Roman"/>
          <w:noProof/>
          <w:color w:val="000000" w:themeColor="text1"/>
          <w:sz w:val="20"/>
          <w:szCs w:val="24"/>
        </w:rPr>
        <w:t xml:space="preserve"> 192(3)</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1827</w:t>
      </w:r>
      <w:r w:rsidR="0020763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1835. </w:t>
      </w:r>
    </w:p>
    <w:p w14:paraId="62802660" w14:textId="4B5CF557" w:rsidR="00C91957" w:rsidRPr="0039607F"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i/>
          <w:iCs/>
          <w:noProof/>
          <w:color w:val="000000" w:themeColor="text1"/>
          <w:sz w:val="20"/>
          <w:szCs w:val="24"/>
        </w:rPr>
      </w:pPr>
      <w:r w:rsidRPr="00C91957">
        <w:rPr>
          <w:rFonts w:ascii="Times New Roman" w:hAnsi="Times New Roman" w:cs="Times New Roman"/>
          <w:noProof/>
          <w:color w:val="000000" w:themeColor="text1"/>
          <w:sz w:val="20"/>
          <w:szCs w:val="24"/>
        </w:rPr>
        <w:t xml:space="preserve">Ozudogru, Y. (2017). </w:t>
      </w:r>
      <w:r w:rsidR="0039607F">
        <w:rPr>
          <w:rFonts w:ascii="Times New Roman" w:hAnsi="Times New Roman" w:cs="Times New Roman"/>
          <w:noProof/>
          <w:color w:val="000000" w:themeColor="text1"/>
          <w:sz w:val="20"/>
          <w:szCs w:val="24"/>
        </w:rPr>
        <w:t>B</w:t>
      </w:r>
      <w:r w:rsidR="0039607F" w:rsidRPr="00C91957">
        <w:rPr>
          <w:rFonts w:ascii="Times New Roman" w:hAnsi="Times New Roman" w:cs="Times New Roman"/>
          <w:noProof/>
          <w:color w:val="000000" w:themeColor="text1"/>
          <w:sz w:val="20"/>
          <w:szCs w:val="24"/>
        </w:rPr>
        <w:t xml:space="preserve">iosorption of </w:t>
      </w:r>
      <w:r w:rsidR="0039607F">
        <w:rPr>
          <w:rFonts w:ascii="Times New Roman" w:hAnsi="Times New Roman" w:cs="Times New Roman"/>
          <w:noProof/>
          <w:color w:val="000000" w:themeColor="text1"/>
          <w:sz w:val="20"/>
          <w:szCs w:val="24"/>
        </w:rPr>
        <w:t>C</w:t>
      </w:r>
      <w:r w:rsidR="0039607F" w:rsidRPr="00C91957">
        <w:rPr>
          <w:rFonts w:ascii="Times New Roman" w:hAnsi="Times New Roman" w:cs="Times New Roman"/>
          <w:noProof/>
          <w:color w:val="000000" w:themeColor="text1"/>
          <w:sz w:val="20"/>
          <w:szCs w:val="24"/>
        </w:rPr>
        <w:t>u (</w:t>
      </w:r>
      <w:r w:rsidR="0039607F">
        <w:rPr>
          <w:rFonts w:ascii="Times New Roman" w:hAnsi="Times New Roman" w:cs="Times New Roman"/>
          <w:noProof/>
          <w:color w:val="000000" w:themeColor="text1"/>
          <w:sz w:val="20"/>
          <w:szCs w:val="24"/>
        </w:rPr>
        <w:t>II</w:t>
      </w:r>
      <w:r w:rsidR="0039607F" w:rsidRPr="00C91957">
        <w:rPr>
          <w:rFonts w:ascii="Times New Roman" w:hAnsi="Times New Roman" w:cs="Times New Roman"/>
          <w:noProof/>
          <w:color w:val="000000" w:themeColor="text1"/>
          <w:sz w:val="20"/>
          <w:szCs w:val="24"/>
        </w:rPr>
        <w:t xml:space="preserve">) and </w:t>
      </w:r>
      <w:r w:rsidR="0039607F">
        <w:rPr>
          <w:rFonts w:ascii="Times New Roman" w:hAnsi="Times New Roman" w:cs="Times New Roman"/>
          <w:noProof/>
          <w:color w:val="000000" w:themeColor="text1"/>
          <w:sz w:val="20"/>
          <w:szCs w:val="24"/>
        </w:rPr>
        <w:t>P</w:t>
      </w:r>
      <w:r w:rsidR="0039607F" w:rsidRPr="00C91957">
        <w:rPr>
          <w:rFonts w:ascii="Times New Roman" w:hAnsi="Times New Roman" w:cs="Times New Roman"/>
          <w:noProof/>
          <w:color w:val="000000" w:themeColor="text1"/>
          <w:sz w:val="20"/>
          <w:szCs w:val="24"/>
        </w:rPr>
        <w:t xml:space="preserve">b (ii) ions by using marine brown algae </w:t>
      </w:r>
      <w:r w:rsidR="0039607F" w:rsidRPr="0039607F">
        <w:rPr>
          <w:rFonts w:ascii="Times New Roman" w:hAnsi="Times New Roman" w:cs="Times New Roman"/>
          <w:i/>
          <w:iCs/>
          <w:noProof/>
          <w:color w:val="000000" w:themeColor="text1"/>
          <w:sz w:val="20"/>
          <w:szCs w:val="24"/>
        </w:rPr>
        <w:t>Padina pavonica.</w:t>
      </w:r>
      <w:r w:rsidR="0039607F">
        <w:rPr>
          <w:rFonts w:ascii="Times New Roman" w:hAnsi="Times New Roman" w:cs="Times New Roman"/>
          <w:noProof/>
          <w:color w:val="000000" w:themeColor="text1"/>
          <w:sz w:val="20"/>
          <w:szCs w:val="24"/>
        </w:rPr>
        <w:t xml:space="preserve"> </w:t>
      </w:r>
      <w:r w:rsidR="0039607F" w:rsidRPr="0039607F">
        <w:rPr>
          <w:rFonts w:ascii="Times New Roman" w:hAnsi="Times New Roman" w:cs="Times New Roman"/>
          <w:i/>
          <w:iCs/>
          <w:noProof/>
          <w:color w:val="000000" w:themeColor="text1"/>
          <w:sz w:val="20"/>
          <w:szCs w:val="24"/>
        </w:rPr>
        <w:t>Fresenius Environmental Bulletin</w:t>
      </w:r>
      <w:r w:rsidR="0039607F">
        <w:rPr>
          <w:rFonts w:ascii="Times New Roman" w:hAnsi="Times New Roman" w:cs="Times New Roman"/>
          <w:i/>
          <w:iCs/>
          <w:noProof/>
          <w:color w:val="000000" w:themeColor="text1"/>
          <w:sz w:val="20"/>
          <w:szCs w:val="24"/>
        </w:rPr>
        <w:t xml:space="preserve">, </w:t>
      </w:r>
      <w:r w:rsidR="0039607F" w:rsidRPr="0039607F">
        <w:rPr>
          <w:rFonts w:ascii="Times New Roman" w:hAnsi="Times New Roman" w:cs="Times New Roman"/>
          <w:noProof/>
          <w:color w:val="000000" w:themeColor="text1"/>
          <w:sz w:val="20"/>
          <w:szCs w:val="24"/>
        </w:rPr>
        <w:t>22:</w:t>
      </w:r>
      <w:r w:rsidR="0039607F">
        <w:rPr>
          <w:rFonts w:ascii="Times New Roman" w:hAnsi="Times New Roman" w:cs="Times New Roman"/>
          <w:i/>
          <w:iCs/>
          <w:noProof/>
          <w:color w:val="000000" w:themeColor="text1"/>
          <w:sz w:val="20"/>
          <w:szCs w:val="24"/>
        </w:rPr>
        <w:t xml:space="preserve"> </w:t>
      </w:r>
      <w:r w:rsidR="0039607F">
        <w:rPr>
          <w:rFonts w:ascii="Times New Roman" w:hAnsi="Times New Roman" w:cs="Times New Roman"/>
          <w:noProof/>
          <w:color w:val="000000" w:themeColor="text1"/>
          <w:sz w:val="20"/>
          <w:szCs w:val="24"/>
        </w:rPr>
        <w:t>3725-3729.</w:t>
      </w:r>
    </w:p>
    <w:p w14:paraId="694D119B" w14:textId="7210F659"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Arshadi, M., Amiri, M. J.</w:t>
      </w:r>
      <w:r w:rsidR="0039607F">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Mousavi, S. (2014). Kinetic, equilibrium, and thermodynamic investigations of Ni(II), Cd(II), Cu(II), and Co(II) adsorption on barley straw ash. </w:t>
      </w:r>
      <w:r w:rsidRPr="00C91957">
        <w:rPr>
          <w:rFonts w:ascii="Times New Roman" w:hAnsi="Times New Roman" w:cs="Times New Roman"/>
          <w:i/>
          <w:iCs/>
          <w:noProof/>
          <w:color w:val="000000" w:themeColor="text1"/>
          <w:sz w:val="20"/>
          <w:szCs w:val="24"/>
        </w:rPr>
        <w:t>Water Resources and Industry</w:t>
      </w:r>
      <w:r w:rsidRPr="00C91957">
        <w:rPr>
          <w:rFonts w:ascii="Times New Roman" w:hAnsi="Times New Roman" w:cs="Times New Roman"/>
          <w:noProof/>
          <w:color w:val="000000" w:themeColor="text1"/>
          <w:sz w:val="20"/>
          <w:szCs w:val="24"/>
        </w:rPr>
        <w:t xml:space="preserve">, </w:t>
      </w:r>
      <w:r w:rsidRPr="0039607F">
        <w:rPr>
          <w:rFonts w:ascii="Times New Roman" w:hAnsi="Times New Roman" w:cs="Times New Roman"/>
          <w:noProof/>
          <w:color w:val="000000" w:themeColor="text1"/>
          <w:sz w:val="20"/>
          <w:szCs w:val="24"/>
        </w:rPr>
        <w:t>6</w:t>
      </w:r>
      <w:r w:rsidR="0039607F">
        <w:rPr>
          <w:rFonts w:ascii="Times New Roman" w:hAnsi="Times New Roman" w:cs="Times New Roman"/>
          <w:noProof/>
          <w:color w:val="000000" w:themeColor="text1"/>
          <w:sz w:val="20"/>
          <w:szCs w:val="24"/>
        </w:rPr>
        <w:t>:</w:t>
      </w:r>
      <w:r w:rsidRPr="0039607F">
        <w:rPr>
          <w:rFonts w:ascii="Times New Roman" w:hAnsi="Times New Roman" w:cs="Times New Roman"/>
          <w:noProof/>
          <w:color w:val="000000" w:themeColor="text1"/>
          <w:sz w:val="20"/>
          <w:szCs w:val="24"/>
        </w:rPr>
        <w:t xml:space="preserve"> </w:t>
      </w:r>
      <w:r w:rsidR="0039607F">
        <w:rPr>
          <w:rFonts w:ascii="Times New Roman" w:hAnsi="Times New Roman" w:cs="Times New Roman"/>
          <w:noProof/>
          <w:color w:val="000000" w:themeColor="text1"/>
          <w:sz w:val="20"/>
          <w:szCs w:val="24"/>
        </w:rPr>
        <w:t>1-</w:t>
      </w:r>
      <w:r w:rsidRPr="0039607F">
        <w:rPr>
          <w:rFonts w:ascii="Times New Roman" w:hAnsi="Times New Roman" w:cs="Times New Roman"/>
          <w:noProof/>
          <w:color w:val="000000" w:themeColor="text1"/>
          <w:sz w:val="20"/>
          <w:szCs w:val="24"/>
        </w:rPr>
        <w:t>17.</w:t>
      </w:r>
    </w:p>
    <w:p w14:paraId="4CA95441" w14:textId="22DAB763" w:rsidR="00C91957" w:rsidRPr="00C91957" w:rsidRDefault="00C91957" w:rsidP="0067488C">
      <w:pPr>
        <w:pStyle w:val="ListParagraph"/>
        <w:widowControl w:val="0"/>
        <w:numPr>
          <w:ilvl w:val="0"/>
          <w:numId w:val="1"/>
        </w:numPr>
        <w:autoSpaceDE w:val="0"/>
        <w:autoSpaceDN w:val="0"/>
        <w:adjustRightInd w:val="0"/>
        <w:spacing w:line="240" w:lineRule="auto"/>
        <w:ind w:left="567" w:hanging="567"/>
        <w:rPr>
          <w:rFonts w:ascii="Times New Roman" w:hAnsi="Times New Roman" w:cs="Times New Roman"/>
          <w:noProof/>
          <w:color w:val="000000" w:themeColor="text1"/>
          <w:sz w:val="20"/>
        </w:rPr>
      </w:pPr>
      <w:r w:rsidRPr="00C91957">
        <w:rPr>
          <w:rFonts w:ascii="Times New Roman" w:hAnsi="Times New Roman" w:cs="Times New Roman"/>
          <w:noProof/>
          <w:color w:val="000000" w:themeColor="text1"/>
          <w:sz w:val="20"/>
          <w:szCs w:val="24"/>
        </w:rPr>
        <w:t>Naiya, T. K., Bhattacharya, A. K., Mandal, S.</w:t>
      </w:r>
      <w:r w:rsidR="0039607F">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Das, S. K. (2009). The sorption of lead(II) ions on rice husk ash. </w:t>
      </w:r>
      <w:r w:rsidRPr="00C91957">
        <w:rPr>
          <w:rFonts w:ascii="Times New Roman" w:hAnsi="Times New Roman" w:cs="Times New Roman"/>
          <w:i/>
          <w:iCs/>
          <w:noProof/>
          <w:color w:val="000000" w:themeColor="text1"/>
          <w:sz w:val="20"/>
          <w:szCs w:val="24"/>
        </w:rPr>
        <w:t>Journal of Hazardous Materials</w:t>
      </w:r>
      <w:r w:rsidRPr="00C91957">
        <w:rPr>
          <w:rFonts w:ascii="Times New Roman" w:hAnsi="Times New Roman" w:cs="Times New Roman"/>
          <w:noProof/>
          <w:color w:val="000000" w:themeColor="text1"/>
          <w:sz w:val="20"/>
          <w:szCs w:val="24"/>
        </w:rPr>
        <w:t xml:space="preserve">, </w:t>
      </w:r>
      <w:r w:rsidRPr="0039607F">
        <w:rPr>
          <w:rFonts w:ascii="Times New Roman" w:hAnsi="Times New Roman" w:cs="Times New Roman"/>
          <w:noProof/>
          <w:color w:val="000000" w:themeColor="text1"/>
          <w:sz w:val="20"/>
          <w:szCs w:val="24"/>
        </w:rPr>
        <w:t>163(2–3)</w:t>
      </w:r>
      <w:r w:rsidR="0039607F" w:rsidRPr="0039607F">
        <w:rPr>
          <w:rFonts w:ascii="Times New Roman" w:hAnsi="Times New Roman" w:cs="Times New Roman"/>
          <w:noProof/>
          <w:color w:val="000000" w:themeColor="text1"/>
          <w:sz w:val="20"/>
          <w:szCs w:val="24"/>
        </w:rPr>
        <w:t>:</w:t>
      </w:r>
      <w:r w:rsidRPr="0039607F">
        <w:rPr>
          <w:rFonts w:ascii="Times New Roman" w:hAnsi="Times New Roman" w:cs="Times New Roman"/>
          <w:noProof/>
          <w:color w:val="000000" w:themeColor="text1"/>
          <w:sz w:val="20"/>
          <w:szCs w:val="24"/>
        </w:rPr>
        <w:t xml:space="preserve"> 1254</w:t>
      </w:r>
      <w:r w:rsidR="0039607F" w:rsidRPr="0039607F">
        <w:rPr>
          <w:rFonts w:ascii="Times New Roman" w:hAnsi="Times New Roman" w:cs="Times New Roman"/>
          <w:noProof/>
          <w:color w:val="000000" w:themeColor="text1"/>
          <w:sz w:val="20"/>
          <w:szCs w:val="24"/>
        </w:rPr>
        <w:t>-</w:t>
      </w:r>
      <w:r w:rsidRPr="0039607F">
        <w:rPr>
          <w:rFonts w:ascii="Times New Roman" w:hAnsi="Times New Roman" w:cs="Times New Roman"/>
          <w:noProof/>
          <w:color w:val="000000" w:themeColor="text1"/>
          <w:sz w:val="20"/>
          <w:szCs w:val="24"/>
        </w:rPr>
        <w:t>1264.</w:t>
      </w:r>
      <w:r w:rsidRPr="00C91957">
        <w:rPr>
          <w:rFonts w:ascii="Times New Roman" w:hAnsi="Times New Roman" w:cs="Times New Roman"/>
          <w:noProof/>
          <w:color w:val="000000" w:themeColor="text1"/>
          <w:sz w:val="20"/>
          <w:szCs w:val="24"/>
        </w:rPr>
        <w:t xml:space="preserve"> </w:t>
      </w:r>
    </w:p>
    <w:p w14:paraId="17121F80" w14:textId="5E5A2ACA" w:rsidR="00C91957" w:rsidRPr="0039607F"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Meitei, M. D.</w:t>
      </w:r>
      <w:r w:rsidR="0039607F">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Prasad, M. N. V. (2014). Adsorption of Cu(II), Mn(II), and Zn(II) by </w:t>
      </w:r>
      <w:r w:rsidRPr="0039607F">
        <w:rPr>
          <w:rFonts w:ascii="Times New Roman" w:hAnsi="Times New Roman" w:cs="Times New Roman"/>
          <w:i/>
          <w:iCs/>
          <w:noProof/>
          <w:color w:val="000000" w:themeColor="text1"/>
          <w:sz w:val="20"/>
          <w:szCs w:val="24"/>
        </w:rPr>
        <w:t>Spirodela polyrhiza</w:t>
      </w:r>
      <w:r w:rsidRPr="00C91957">
        <w:rPr>
          <w:rFonts w:ascii="Times New Roman" w:hAnsi="Times New Roman" w:cs="Times New Roman"/>
          <w:noProof/>
          <w:color w:val="000000" w:themeColor="text1"/>
          <w:sz w:val="20"/>
          <w:szCs w:val="24"/>
        </w:rPr>
        <w:t xml:space="preserve"> (L.) Schleiden: Equilibrium, kinetic and thermodynamic studies. </w:t>
      </w:r>
      <w:r w:rsidRPr="00C91957">
        <w:rPr>
          <w:rFonts w:ascii="Times New Roman" w:hAnsi="Times New Roman" w:cs="Times New Roman"/>
          <w:i/>
          <w:iCs/>
          <w:noProof/>
          <w:color w:val="000000" w:themeColor="text1"/>
          <w:sz w:val="20"/>
          <w:szCs w:val="24"/>
        </w:rPr>
        <w:t>Ecological Engineering</w:t>
      </w:r>
      <w:r w:rsidRPr="00C91957">
        <w:rPr>
          <w:rFonts w:ascii="Times New Roman" w:hAnsi="Times New Roman" w:cs="Times New Roman"/>
          <w:noProof/>
          <w:color w:val="000000" w:themeColor="text1"/>
          <w:sz w:val="20"/>
          <w:szCs w:val="24"/>
        </w:rPr>
        <w:t xml:space="preserve">, </w:t>
      </w:r>
      <w:r w:rsidRPr="0039607F">
        <w:rPr>
          <w:rFonts w:ascii="Times New Roman" w:hAnsi="Times New Roman" w:cs="Times New Roman"/>
          <w:noProof/>
          <w:color w:val="000000" w:themeColor="text1"/>
          <w:sz w:val="20"/>
          <w:szCs w:val="24"/>
        </w:rPr>
        <w:t>71</w:t>
      </w:r>
      <w:r w:rsidR="0039607F">
        <w:rPr>
          <w:rFonts w:ascii="Times New Roman" w:hAnsi="Times New Roman" w:cs="Times New Roman"/>
          <w:noProof/>
          <w:color w:val="000000" w:themeColor="text1"/>
          <w:sz w:val="20"/>
          <w:szCs w:val="24"/>
        </w:rPr>
        <w:t xml:space="preserve">: </w:t>
      </w:r>
      <w:r w:rsidRPr="0039607F">
        <w:rPr>
          <w:rFonts w:ascii="Times New Roman" w:hAnsi="Times New Roman" w:cs="Times New Roman"/>
          <w:noProof/>
          <w:color w:val="000000" w:themeColor="text1"/>
          <w:sz w:val="20"/>
          <w:szCs w:val="24"/>
        </w:rPr>
        <w:t>308</w:t>
      </w:r>
      <w:r w:rsidR="0039607F">
        <w:rPr>
          <w:rFonts w:ascii="Times New Roman" w:hAnsi="Times New Roman" w:cs="Times New Roman"/>
          <w:noProof/>
          <w:color w:val="000000" w:themeColor="text1"/>
          <w:sz w:val="20"/>
          <w:szCs w:val="24"/>
        </w:rPr>
        <w:t>-</w:t>
      </w:r>
      <w:r w:rsidRPr="0039607F">
        <w:rPr>
          <w:rFonts w:ascii="Times New Roman" w:hAnsi="Times New Roman" w:cs="Times New Roman"/>
          <w:noProof/>
          <w:color w:val="000000" w:themeColor="text1"/>
          <w:sz w:val="20"/>
          <w:szCs w:val="24"/>
        </w:rPr>
        <w:t xml:space="preserve">317. </w:t>
      </w:r>
    </w:p>
    <w:p w14:paraId="2D4F3BD5" w14:textId="571E7DF0"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Al-Homaidan, A. A., Al-Houri, H. J., Al-Hazzani, A. A., Elgaaly, G.</w:t>
      </w:r>
      <w:r w:rsidR="0039607F">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Moubayed, N. M. S. (2014). Biosorption of copper ions from aqueous solutions by Spirulina platensis biomass. </w:t>
      </w:r>
      <w:r w:rsidRPr="00C91957">
        <w:rPr>
          <w:rFonts w:ascii="Times New Roman" w:hAnsi="Times New Roman" w:cs="Times New Roman"/>
          <w:i/>
          <w:iCs/>
          <w:noProof/>
          <w:color w:val="000000" w:themeColor="text1"/>
          <w:sz w:val="20"/>
          <w:szCs w:val="24"/>
        </w:rPr>
        <w:t>Arabian Journal of Chemistry</w:t>
      </w:r>
      <w:r w:rsidRPr="00C91957">
        <w:rPr>
          <w:rFonts w:ascii="Times New Roman" w:hAnsi="Times New Roman" w:cs="Times New Roman"/>
          <w:noProof/>
          <w:color w:val="000000" w:themeColor="text1"/>
          <w:sz w:val="20"/>
          <w:szCs w:val="24"/>
        </w:rPr>
        <w:t xml:space="preserve">, </w:t>
      </w:r>
      <w:r w:rsidRPr="00C91957">
        <w:rPr>
          <w:rFonts w:ascii="Times New Roman" w:hAnsi="Times New Roman" w:cs="Times New Roman"/>
          <w:i/>
          <w:iCs/>
          <w:noProof/>
          <w:color w:val="000000" w:themeColor="text1"/>
          <w:sz w:val="20"/>
          <w:szCs w:val="24"/>
        </w:rPr>
        <w:t>7</w:t>
      </w:r>
      <w:r w:rsidRPr="00C91957">
        <w:rPr>
          <w:rFonts w:ascii="Times New Roman" w:hAnsi="Times New Roman" w:cs="Times New Roman"/>
          <w:noProof/>
          <w:color w:val="000000" w:themeColor="text1"/>
          <w:sz w:val="20"/>
          <w:szCs w:val="24"/>
        </w:rPr>
        <w:t>(1)</w:t>
      </w:r>
      <w:r w:rsidR="0039607F">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57</w:t>
      </w:r>
      <w:r w:rsidR="0039607F">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62. </w:t>
      </w:r>
    </w:p>
    <w:p w14:paraId="53B7150C" w14:textId="478DF2E1" w:rsidR="00C91957" w:rsidRPr="0039607F"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Onwuka, J. C., Ajibola, V. O., Kagbu, J. A.</w:t>
      </w:r>
      <w:r w:rsidR="0039607F">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Manji, A. J. (2011). Biosorption of Cr(VI) and Co(II) ions from synthetic wastewater using dead biomass of freshwater green algae </w:t>
      </w:r>
      <w:r w:rsidRPr="0039607F">
        <w:rPr>
          <w:rFonts w:ascii="Times New Roman" w:hAnsi="Times New Roman" w:cs="Times New Roman"/>
          <w:i/>
          <w:iCs/>
          <w:noProof/>
          <w:color w:val="000000" w:themeColor="text1"/>
          <w:sz w:val="20"/>
          <w:szCs w:val="24"/>
        </w:rPr>
        <w:t>Cosmarium panamense</w:t>
      </w:r>
      <w:r w:rsidRPr="00C91957">
        <w:rPr>
          <w:rFonts w:ascii="Times New Roman" w:hAnsi="Times New Roman" w:cs="Times New Roman"/>
          <w:noProof/>
          <w:color w:val="000000" w:themeColor="text1"/>
          <w:sz w:val="20"/>
          <w:szCs w:val="24"/>
        </w:rPr>
        <w:t xml:space="preserve">. </w:t>
      </w:r>
      <w:r w:rsidRPr="00C91957">
        <w:rPr>
          <w:rFonts w:ascii="Times New Roman" w:hAnsi="Times New Roman" w:cs="Times New Roman"/>
          <w:i/>
          <w:iCs/>
          <w:noProof/>
          <w:color w:val="000000" w:themeColor="text1"/>
          <w:sz w:val="20"/>
          <w:szCs w:val="24"/>
        </w:rPr>
        <w:t>Archives of Applied Science Research</w:t>
      </w:r>
      <w:r w:rsidRPr="00C91957">
        <w:rPr>
          <w:rFonts w:ascii="Times New Roman" w:hAnsi="Times New Roman" w:cs="Times New Roman"/>
          <w:noProof/>
          <w:color w:val="000000" w:themeColor="text1"/>
          <w:sz w:val="20"/>
          <w:szCs w:val="24"/>
        </w:rPr>
        <w:t xml:space="preserve">, </w:t>
      </w:r>
      <w:r w:rsidRPr="0039607F">
        <w:rPr>
          <w:rFonts w:ascii="Times New Roman" w:hAnsi="Times New Roman" w:cs="Times New Roman"/>
          <w:noProof/>
          <w:color w:val="000000" w:themeColor="text1"/>
          <w:sz w:val="20"/>
          <w:szCs w:val="24"/>
        </w:rPr>
        <w:t>3(6)</w:t>
      </w:r>
      <w:r w:rsidR="0039607F" w:rsidRPr="0039607F">
        <w:rPr>
          <w:rFonts w:ascii="Times New Roman" w:hAnsi="Times New Roman" w:cs="Times New Roman"/>
          <w:noProof/>
          <w:color w:val="000000" w:themeColor="text1"/>
          <w:sz w:val="20"/>
          <w:szCs w:val="24"/>
        </w:rPr>
        <w:t>:</w:t>
      </w:r>
      <w:r w:rsidRPr="0039607F">
        <w:rPr>
          <w:rFonts w:ascii="Times New Roman" w:hAnsi="Times New Roman" w:cs="Times New Roman"/>
          <w:noProof/>
          <w:color w:val="000000" w:themeColor="text1"/>
          <w:sz w:val="20"/>
          <w:szCs w:val="24"/>
        </w:rPr>
        <w:t xml:space="preserve"> 191</w:t>
      </w:r>
      <w:r w:rsidR="0039607F" w:rsidRPr="0039607F">
        <w:rPr>
          <w:rFonts w:ascii="Times New Roman" w:hAnsi="Times New Roman" w:cs="Times New Roman"/>
          <w:noProof/>
          <w:color w:val="000000" w:themeColor="text1"/>
          <w:sz w:val="20"/>
          <w:szCs w:val="24"/>
        </w:rPr>
        <w:t>-</w:t>
      </w:r>
      <w:r w:rsidRPr="0039607F">
        <w:rPr>
          <w:rFonts w:ascii="Times New Roman" w:hAnsi="Times New Roman" w:cs="Times New Roman"/>
          <w:noProof/>
          <w:color w:val="000000" w:themeColor="text1"/>
          <w:sz w:val="20"/>
          <w:szCs w:val="24"/>
        </w:rPr>
        <w:t>207.</w:t>
      </w:r>
    </w:p>
    <w:p w14:paraId="31AF4FD1" w14:textId="6FC33E09"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heme="majorBidi" w:hAnsiTheme="majorBidi" w:cstheme="majorBidi"/>
          <w:noProof/>
          <w:color w:val="000000" w:themeColor="text1"/>
          <w:sz w:val="20"/>
          <w:szCs w:val="24"/>
        </w:rPr>
      </w:pPr>
      <w:r w:rsidRPr="00C91957">
        <w:rPr>
          <w:rFonts w:asciiTheme="majorBidi" w:hAnsiTheme="majorBidi" w:cstheme="majorBidi"/>
          <w:color w:val="000000" w:themeColor="text1"/>
          <w:sz w:val="20"/>
          <w:szCs w:val="20"/>
          <w:shd w:val="clear" w:color="auto" w:fill="FFFFFF"/>
        </w:rPr>
        <w:t>Ashraf, M. A., Mahmood, K., Wajid, A., Maah, M. J.</w:t>
      </w:r>
      <w:r w:rsidR="0039607F">
        <w:rPr>
          <w:rFonts w:asciiTheme="majorBidi" w:hAnsiTheme="majorBidi" w:cstheme="majorBidi"/>
          <w:color w:val="000000" w:themeColor="text1"/>
          <w:sz w:val="20"/>
          <w:szCs w:val="20"/>
          <w:shd w:val="clear" w:color="auto" w:fill="FFFFFF"/>
        </w:rPr>
        <w:t xml:space="preserve"> and </w:t>
      </w:r>
      <w:r w:rsidRPr="00C91957">
        <w:rPr>
          <w:rFonts w:asciiTheme="majorBidi" w:hAnsiTheme="majorBidi" w:cstheme="majorBidi"/>
          <w:color w:val="000000" w:themeColor="text1"/>
          <w:sz w:val="20"/>
          <w:szCs w:val="20"/>
          <w:shd w:val="clear" w:color="auto" w:fill="FFFFFF"/>
        </w:rPr>
        <w:t>Yusoff, I. (2011). Study of low-cost biosorbent for biosorption of heavy metals. In </w:t>
      </w:r>
      <w:r w:rsidRPr="00C91957">
        <w:rPr>
          <w:rFonts w:asciiTheme="majorBidi" w:hAnsiTheme="majorBidi" w:cstheme="majorBidi"/>
          <w:i/>
          <w:iCs/>
          <w:color w:val="000000" w:themeColor="text1"/>
          <w:sz w:val="20"/>
          <w:szCs w:val="20"/>
          <w:shd w:val="clear" w:color="auto" w:fill="FFFFFF"/>
        </w:rPr>
        <w:t>Proceedings of the International Conference on Food Engineering and Biotechnology,</w:t>
      </w:r>
      <w:r w:rsidR="0039607F">
        <w:rPr>
          <w:rFonts w:asciiTheme="majorBidi" w:hAnsiTheme="majorBidi" w:cstheme="majorBidi"/>
          <w:i/>
          <w:iCs/>
          <w:color w:val="000000" w:themeColor="text1"/>
          <w:sz w:val="20"/>
          <w:szCs w:val="20"/>
          <w:shd w:val="clear" w:color="auto" w:fill="FFFFFF"/>
        </w:rPr>
        <w:t xml:space="preserve"> </w:t>
      </w:r>
      <w:r w:rsidRPr="00C91957">
        <w:rPr>
          <w:rFonts w:asciiTheme="majorBidi" w:hAnsiTheme="majorBidi" w:cstheme="majorBidi"/>
          <w:color w:val="000000" w:themeColor="text1"/>
          <w:sz w:val="20"/>
          <w:szCs w:val="20"/>
          <w:shd w:val="clear" w:color="auto" w:fill="FFFFFF"/>
        </w:rPr>
        <w:t>9</w:t>
      </w:r>
      <w:r w:rsidR="0039607F">
        <w:rPr>
          <w:rFonts w:asciiTheme="majorBidi" w:hAnsiTheme="majorBidi" w:cstheme="majorBidi"/>
          <w:color w:val="000000" w:themeColor="text1"/>
          <w:sz w:val="20"/>
          <w:szCs w:val="20"/>
          <w:shd w:val="clear" w:color="auto" w:fill="FFFFFF"/>
        </w:rPr>
        <w:t>:</w:t>
      </w:r>
      <w:r w:rsidRPr="00C91957">
        <w:rPr>
          <w:rFonts w:asciiTheme="majorBidi" w:hAnsiTheme="majorBidi" w:cstheme="majorBidi"/>
          <w:color w:val="000000" w:themeColor="text1"/>
          <w:sz w:val="20"/>
          <w:szCs w:val="20"/>
          <w:shd w:val="clear" w:color="auto" w:fill="FFFFFF"/>
        </w:rPr>
        <w:t xml:space="preserve"> pp. 60-68.</w:t>
      </w:r>
    </w:p>
    <w:p w14:paraId="2D95D254" w14:textId="5C9253DA" w:rsidR="00C91957" w:rsidRPr="00C91957" w:rsidRDefault="00C91957" w:rsidP="0067488C">
      <w:pPr>
        <w:pStyle w:val="ListParagraph"/>
        <w:widowControl w:val="0"/>
        <w:numPr>
          <w:ilvl w:val="0"/>
          <w:numId w:val="1"/>
        </w:numPr>
        <w:autoSpaceDE w:val="0"/>
        <w:autoSpaceDN w:val="0"/>
        <w:adjustRightInd w:val="0"/>
        <w:spacing w:after="240" w:line="240" w:lineRule="auto"/>
        <w:ind w:left="567" w:hanging="567"/>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Ayawei, N., Ekubo, A. T., Wankasi, D.</w:t>
      </w:r>
      <w:r w:rsidR="0039607F">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Dikio, E. D. (2015). Adsorption of congo red by Ni/Al-CO</w:t>
      </w:r>
      <w:r w:rsidRPr="0039607F">
        <w:rPr>
          <w:rFonts w:ascii="Times New Roman" w:hAnsi="Times New Roman" w:cs="Times New Roman"/>
          <w:noProof/>
          <w:color w:val="000000" w:themeColor="text1"/>
          <w:sz w:val="20"/>
          <w:szCs w:val="24"/>
          <w:vertAlign w:val="subscript"/>
        </w:rPr>
        <w:t>3</w:t>
      </w:r>
      <w:r w:rsidRPr="00C91957">
        <w:rPr>
          <w:rFonts w:ascii="Times New Roman" w:hAnsi="Times New Roman" w:cs="Times New Roman"/>
          <w:noProof/>
          <w:color w:val="000000" w:themeColor="text1"/>
          <w:sz w:val="20"/>
          <w:szCs w:val="24"/>
        </w:rPr>
        <w:t xml:space="preserve">: Equilibrium, thermodynamic and kinetic studies. </w:t>
      </w:r>
      <w:r w:rsidRPr="0039607F">
        <w:rPr>
          <w:rFonts w:ascii="Times New Roman" w:hAnsi="Times New Roman" w:cs="Times New Roman"/>
          <w:i/>
          <w:iCs/>
          <w:noProof/>
          <w:color w:val="000000" w:themeColor="text1"/>
          <w:sz w:val="20"/>
          <w:szCs w:val="24"/>
        </w:rPr>
        <w:t>Oriental Journal of Chemistry,</w:t>
      </w:r>
      <w:r w:rsidRPr="00C91957">
        <w:rPr>
          <w:rFonts w:ascii="Times New Roman" w:hAnsi="Times New Roman" w:cs="Times New Roman"/>
          <w:noProof/>
          <w:color w:val="000000" w:themeColor="text1"/>
          <w:sz w:val="20"/>
          <w:szCs w:val="24"/>
        </w:rPr>
        <w:t xml:space="preserve"> 31(3)</w:t>
      </w:r>
      <w:r w:rsidR="0039607F">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1307</w:t>
      </w:r>
      <w:r w:rsidR="0039607F">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1318. </w:t>
      </w:r>
    </w:p>
    <w:p w14:paraId="67B2AC57" w14:textId="2D774F5E"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Lasheen, M. R., Ammar, N. S.</w:t>
      </w:r>
      <w:r w:rsidR="0039607F">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Ibrahim, H. S. (2012). Adsorption/desorption of Cd(II), Cu(II), and Pb(II) using chemically modified orange peel: Equilibrium and kinetic studies. </w:t>
      </w:r>
      <w:r w:rsidRPr="00C91957">
        <w:rPr>
          <w:rFonts w:ascii="Times New Roman" w:hAnsi="Times New Roman" w:cs="Times New Roman"/>
          <w:i/>
          <w:iCs/>
          <w:noProof/>
          <w:color w:val="000000" w:themeColor="text1"/>
          <w:sz w:val="20"/>
          <w:szCs w:val="24"/>
        </w:rPr>
        <w:t>Solid-State Sciences</w:t>
      </w:r>
      <w:r w:rsidRPr="00C91957">
        <w:rPr>
          <w:rFonts w:ascii="Times New Roman" w:hAnsi="Times New Roman" w:cs="Times New Roman"/>
          <w:noProof/>
          <w:color w:val="000000" w:themeColor="text1"/>
          <w:sz w:val="20"/>
          <w:szCs w:val="24"/>
        </w:rPr>
        <w:t xml:space="preserve">, </w:t>
      </w:r>
      <w:r w:rsidRPr="0039607F">
        <w:rPr>
          <w:rFonts w:ascii="Times New Roman" w:hAnsi="Times New Roman" w:cs="Times New Roman"/>
          <w:noProof/>
          <w:color w:val="000000" w:themeColor="text1"/>
          <w:sz w:val="20"/>
          <w:szCs w:val="24"/>
        </w:rPr>
        <w:t>14(2)</w:t>
      </w:r>
      <w:r w:rsidR="0039607F">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202</w:t>
      </w:r>
      <w:r w:rsidR="006F0A5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210. </w:t>
      </w:r>
    </w:p>
    <w:p w14:paraId="4C8A7EEA" w14:textId="1AB8CC00"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 xml:space="preserve">Yalçın, S. (2014). The mechanism of heavy metal biosorption on green marine macroalga </w:t>
      </w:r>
      <w:r w:rsidRPr="006F0A56">
        <w:rPr>
          <w:rFonts w:ascii="Times New Roman" w:hAnsi="Times New Roman" w:cs="Times New Roman"/>
          <w:i/>
          <w:iCs/>
          <w:noProof/>
          <w:color w:val="000000" w:themeColor="text1"/>
          <w:sz w:val="20"/>
          <w:szCs w:val="24"/>
        </w:rPr>
        <w:t>Enteromorpha linza.</w:t>
      </w:r>
      <w:r w:rsidRPr="00C91957">
        <w:rPr>
          <w:rFonts w:ascii="Times New Roman" w:hAnsi="Times New Roman" w:cs="Times New Roman"/>
          <w:noProof/>
          <w:color w:val="000000" w:themeColor="text1"/>
          <w:sz w:val="20"/>
          <w:szCs w:val="24"/>
        </w:rPr>
        <w:t xml:space="preserve"> </w:t>
      </w:r>
      <w:r w:rsidRPr="00C91957">
        <w:rPr>
          <w:rFonts w:ascii="Times New Roman" w:hAnsi="Times New Roman" w:cs="Times New Roman"/>
          <w:i/>
          <w:iCs/>
          <w:noProof/>
          <w:color w:val="000000" w:themeColor="text1"/>
          <w:sz w:val="20"/>
          <w:szCs w:val="24"/>
        </w:rPr>
        <w:t>CLEAN–Soil, Air, Water</w:t>
      </w:r>
      <w:r w:rsidRPr="00C91957">
        <w:rPr>
          <w:rFonts w:ascii="Times New Roman" w:hAnsi="Times New Roman" w:cs="Times New Roman"/>
          <w:noProof/>
          <w:color w:val="000000" w:themeColor="text1"/>
          <w:sz w:val="20"/>
          <w:szCs w:val="24"/>
        </w:rPr>
        <w:t xml:space="preserve">, </w:t>
      </w:r>
      <w:r w:rsidRPr="006F0A56">
        <w:rPr>
          <w:rFonts w:ascii="Times New Roman" w:hAnsi="Times New Roman" w:cs="Times New Roman"/>
          <w:noProof/>
          <w:color w:val="000000" w:themeColor="text1"/>
          <w:sz w:val="20"/>
          <w:szCs w:val="24"/>
        </w:rPr>
        <w:t>42(3)</w:t>
      </w:r>
      <w:r w:rsidR="006F0A5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 xml:space="preserve"> 251</w:t>
      </w:r>
      <w:r w:rsidR="006F0A5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259.</w:t>
      </w:r>
    </w:p>
    <w:p w14:paraId="7833B3C4" w14:textId="6F9D1643" w:rsidR="00C91957" w:rsidRPr="00C91957" w:rsidRDefault="00C91957" w:rsidP="0067488C">
      <w:pPr>
        <w:pStyle w:val="ListParagraph"/>
        <w:widowControl w:val="0"/>
        <w:numPr>
          <w:ilvl w:val="0"/>
          <w:numId w:val="1"/>
        </w:numPr>
        <w:autoSpaceDE w:val="0"/>
        <w:autoSpaceDN w:val="0"/>
        <w:adjustRightInd w:val="0"/>
        <w:spacing w:line="240" w:lineRule="auto"/>
        <w:ind w:left="567" w:hanging="567"/>
        <w:jc w:val="both"/>
        <w:rPr>
          <w:rFonts w:ascii="Times New Roman" w:hAnsi="Times New Roman" w:cs="Times New Roman"/>
          <w:noProof/>
          <w:color w:val="000000" w:themeColor="text1"/>
          <w:sz w:val="20"/>
          <w:szCs w:val="24"/>
        </w:rPr>
      </w:pPr>
      <w:r w:rsidRPr="00C91957">
        <w:rPr>
          <w:rFonts w:ascii="Times New Roman" w:hAnsi="Times New Roman" w:cs="Times New Roman"/>
          <w:noProof/>
          <w:color w:val="000000" w:themeColor="text1"/>
          <w:sz w:val="20"/>
          <w:szCs w:val="24"/>
        </w:rPr>
        <w:t>Weber, T. W.</w:t>
      </w:r>
      <w:r w:rsidR="006F0A56">
        <w:rPr>
          <w:rFonts w:ascii="Times New Roman" w:hAnsi="Times New Roman" w:cs="Times New Roman"/>
          <w:noProof/>
          <w:color w:val="000000" w:themeColor="text1"/>
          <w:sz w:val="20"/>
          <w:szCs w:val="24"/>
        </w:rPr>
        <w:t xml:space="preserve"> and </w:t>
      </w:r>
      <w:r w:rsidRPr="00C91957">
        <w:rPr>
          <w:rFonts w:ascii="Times New Roman" w:hAnsi="Times New Roman" w:cs="Times New Roman"/>
          <w:noProof/>
          <w:color w:val="000000" w:themeColor="text1"/>
          <w:sz w:val="20"/>
          <w:szCs w:val="24"/>
        </w:rPr>
        <w:t xml:space="preserve">Chakravorti, R. K. (1974). Pore and solid diffusion models for fixed‐bed adsorbers. </w:t>
      </w:r>
      <w:r w:rsidRPr="006F0A56">
        <w:rPr>
          <w:rFonts w:ascii="Times New Roman" w:hAnsi="Times New Roman" w:cs="Times New Roman"/>
          <w:i/>
          <w:iCs/>
          <w:noProof/>
          <w:color w:val="000000" w:themeColor="text1"/>
          <w:sz w:val="20"/>
          <w:szCs w:val="24"/>
        </w:rPr>
        <w:t>AIChE Journal</w:t>
      </w:r>
      <w:r w:rsidRPr="00C91957">
        <w:rPr>
          <w:rFonts w:ascii="Times New Roman" w:hAnsi="Times New Roman" w:cs="Times New Roman"/>
          <w:noProof/>
          <w:color w:val="000000" w:themeColor="text1"/>
          <w:sz w:val="20"/>
          <w:szCs w:val="24"/>
        </w:rPr>
        <w:t>, 20(2)</w:t>
      </w:r>
      <w:r w:rsidR="006F0A56">
        <w:rPr>
          <w:rFonts w:ascii="Times New Roman" w:hAnsi="Times New Roman" w:cs="Times New Roman"/>
          <w:noProof/>
          <w:color w:val="000000" w:themeColor="text1"/>
          <w:sz w:val="20"/>
          <w:szCs w:val="24"/>
        </w:rPr>
        <w:t xml:space="preserve">: </w:t>
      </w:r>
      <w:r w:rsidRPr="00C91957">
        <w:rPr>
          <w:rFonts w:ascii="Times New Roman" w:hAnsi="Times New Roman" w:cs="Times New Roman"/>
          <w:noProof/>
          <w:color w:val="000000" w:themeColor="text1"/>
          <w:sz w:val="20"/>
          <w:szCs w:val="24"/>
        </w:rPr>
        <w:t>228</w:t>
      </w:r>
      <w:r w:rsidR="006F0A56">
        <w:rPr>
          <w:rFonts w:ascii="Times New Roman" w:hAnsi="Times New Roman" w:cs="Times New Roman"/>
          <w:noProof/>
          <w:color w:val="000000" w:themeColor="text1"/>
          <w:sz w:val="20"/>
          <w:szCs w:val="24"/>
        </w:rPr>
        <w:t>-</w:t>
      </w:r>
      <w:r w:rsidRPr="00C91957">
        <w:rPr>
          <w:rFonts w:ascii="Times New Roman" w:hAnsi="Times New Roman" w:cs="Times New Roman"/>
          <w:noProof/>
          <w:color w:val="000000" w:themeColor="text1"/>
          <w:sz w:val="20"/>
          <w:szCs w:val="24"/>
        </w:rPr>
        <w:t>238.</w:t>
      </w:r>
    </w:p>
    <w:p w14:paraId="3D238AA7" w14:textId="77777777" w:rsidR="00D037D1" w:rsidRPr="00C91957" w:rsidRDefault="00D037D1" w:rsidP="0067488C">
      <w:pPr>
        <w:spacing w:after="240" w:line="240" w:lineRule="auto"/>
        <w:ind w:left="567" w:hanging="567"/>
        <w:jc w:val="both"/>
        <w:rPr>
          <w:rFonts w:ascii="Times New Roman" w:hAnsi="Times New Roman" w:cs="Times New Roman"/>
          <w:color w:val="000000" w:themeColor="text1"/>
          <w:sz w:val="20"/>
          <w:szCs w:val="24"/>
        </w:rPr>
      </w:pPr>
    </w:p>
    <w:sectPr w:rsidR="00D037D1" w:rsidRPr="00C91957" w:rsidSect="004A3DD9">
      <w:footerReference w:type="default" r:id="rId22"/>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7F3F2" w14:textId="77777777" w:rsidR="009F4B2B" w:rsidRDefault="009F4B2B">
      <w:pPr>
        <w:spacing w:line="240" w:lineRule="auto"/>
      </w:pPr>
      <w:r>
        <w:separator/>
      </w:r>
    </w:p>
  </w:endnote>
  <w:endnote w:type="continuationSeparator" w:id="0">
    <w:p w14:paraId="2750077F" w14:textId="77777777" w:rsidR="009F4B2B" w:rsidRDefault="009F4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Segoe Pri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712502"/>
      <w:showingPlcHdr/>
    </w:sdtPr>
    <w:sdtEndPr>
      <w:rPr>
        <w:rFonts w:ascii="Times New Roman" w:hAnsi="Times New Roman"/>
        <w:sz w:val="24"/>
        <w:szCs w:val="24"/>
      </w:rPr>
    </w:sdtEndPr>
    <w:sdtContent>
      <w:p w14:paraId="5590DAD2" w14:textId="657C15FF" w:rsidR="00D037D1" w:rsidRDefault="006F0A56">
        <w:pPr>
          <w:pStyle w:val="Footer"/>
          <w:jc w:val="center"/>
          <w:rPr>
            <w:rFonts w:ascii="Times New Roman" w:hAnsi="Times New Roman"/>
            <w:sz w:val="24"/>
            <w:szCs w:val="24"/>
          </w:rPr>
        </w:pPr>
        <w:r>
          <w:t xml:space="preserve">     </w:t>
        </w:r>
      </w:p>
    </w:sdtContent>
  </w:sdt>
  <w:p w14:paraId="3127A074" w14:textId="77777777" w:rsidR="00D037D1" w:rsidRDefault="00D03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5AE8B" w14:textId="77777777" w:rsidR="009F4B2B" w:rsidRDefault="009F4B2B">
      <w:pPr>
        <w:spacing w:after="0"/>
      </w:pPr>
      <w:r>
        <w:separator/>
      </w:r>
    </w:p>
  </w:footnote>
  <w:footnote w:type="continuationSeparator" w:id="0">
    <w:p w14:paraId="7CF0C641" w14:textId="77777777" w:rsidR="009F4B2B" w:rsidRDefault="009F4B2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53287"/>
    <w:multiLevelType w:val="hybridMultilevel"/>
    <w:tmpl w:val="51689C90"/>
    <w:lvl w:ilvl="0" w:tplc="ACF27580">
      <w:start w:val="1"/>
      <w:numFmt w:val="decimal"/>
      <w:lvlText w:val="%1."/>
      <w:lvlJc w:val="left"/>
      <w:pPr>
        <w:ind w:left="63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0937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1MrW0NLa0NDcxNLZU0lEKTi0uzszPAykwMqkFADtxbK8tAAAA"/>
  </w:docVars>
  <w:rsids>
    <w:rsidRoot w:val="00457088"/>
    <w:rsid w:val="00000E4D"/>
    <w:rsid w:val="00002485"/>
    <w:rsid w:val="00002927"/>
    <w:rsid w:val="00004589"/>
    <w:rsid w:val="000103F9"/>
    <w:rsid w:val="00012B72"/>
    <w:rsid w:val="00012C33"/>
    <w:rsid w:val="000146CD"/>
    <w:rsid w:val="00016855"/>
    <w:rsid w:val="00017C02"/>
    <w:rsid w:val="00021DBF"/>
    <w:rsid w:val="00022104"/>
    <w:rsid w:val="00025482"/>
    <w:rsid w:val="00030315"/>
    <w:rsid w:val="000322A6"/>
    <w:rsid w:val="00033B2D"/>
    <w:rsid w:val="00034ED1"/>
    <w:rsid w:val="000378A2"/>
    <w:rsid w:val="00037963"/>
    <w:rsid w:val="00037985"/>
    <w:rsid w:val="0004686D"/>
    <w:rsid w:val="000505F1"/>
    <w:rsid w:val="00053902"/>
    <w:rsid w:val="00055719"/>
    <w:rsid w:val="00057B26"/>
    <w:rsid w:val="00064F4E"/>
    <w:rsid w:val="00065FDD"/>
    <w:rsid w:val="00075132"/>
    <w:rsid w:val="00075A84"/>
    <w:rsid w:val="00081268"/>
    <w:rsid w:val="00082AE3"/>
    <w:rsid w:val="00085425"/>
    <w:rsid w:val="00085DD0"/>
    <w:rsid w:val="000869AD"/>
    <w:rsid w:val="00087523"/>
    <w:rsid w:val="00092D92"/>
    <w:rsid w:val="00097BED"/>
    <w:rsid w:val="000A19DD"/>
    <w:rsid w:val="000A282E"/>
    <w:rsid w:val="000A3B83"/>
    <w:rsid w:val="000A7639"/>
    <w:rsid w:val="000A7ADF"/>
    <w:rsid w:val="000A7E8D"/>
    <w:rsid w:val="000B0878"/>
    <w:rsid w:val="000B5C5F"/>
    <w:rsid w:val="000B615E"/>
    <w:rsid w:val="000B72ED"/>
    <w:rsid w:val="000C56FC"/>
    <w:rsid w:val="000C6B73"/>
    <w:rsid w:val="000C7D94"/>
    <w:rsid w:val="000D14A0"/>
    <w:rsid w:val="000D3D87"/>
    <w:rsid w:val="000D7D32"/>
    <w:rsid w:val="000E0B44"/>
    <w:rsid w:val="000E2830"/>
    <w:rsid w:val="000F1817"/>
    <w:rsid w:val="000F194A"/>
    <w:rsid w:val="000F1A1B"/>
    <w:rsid w:val="000F2024"/>
    <w:rsid w:val="000F436C"/>
    <w:rsid w:val="000F7C93"/>
    <w:rsid w:val="000F7C9A"/>
    <w:rsid w:val="000F7E04"/>
    <w:rsid w:val="001033B7"/>
    <w:rsid w:val="001049D4"/>
    <w:rsid w:val="00106D53"/>
    <w:rsid w:val="00106E6E"/>
    <w:rsid w:val="00107FA0"/>
    <w:rsid w:val="0011315E"/>
    <w:rsid w:val="00114576"/>
    <w:rsid w:val="00125E3C"/>
    <w:rsid w:val="00126676"/>
    <w:rsid w:val="00126FBF"/>
    <w:rsid w:val="0013173D"/>
    <w:rsid w:val="00132E7A"/>
    <w:rsid w:val="001348FE"/>
    <w:rsid w:val="001362A4"/>
    <w:rsid w:val="00141519"/>
    <w:rsid w:val="001417AB"/>
    <w:rsid w:val="00142C78"/>
    <w:rsid w:val="001466DD"/>
    <w:rsid w:val="00147DAF"/>
    <w:rsid w:val="00150795"/>
    <w:rsid w:val="00151867"/>
    <w:rsid w:val="0015253E"/>
    <w:rsid w:val="00153136"/>
    <w:rsid w:val="0015354A"/>
    <w:rsid w:val="0015622A"/>
    <w:rsid w:val="00160B7C"/>
    <w:rsid w:val="00164AD6"/>
    <w:rsid w:val="00167BAB"/>
    <w:rsid w:val="00170F1F"/>
    <w:rsid w:val="0017143F"/>
    <w:rsid w:val="00172C53"/>
    <w:rsid w:val="00185598"/>
    <w:rsid w:val="00192189"/>
    <w:rsid w:val="0019557B"/>
    <w:rsid w:val="0019654A"/>
    <w:rsid w:val="00196597"/>
    <w:rsid w:val="00197E97"/>
    <w:rsid w:val="001A0F1A"/>
    <w:rsid w:val="001A1141"/>
    <w:rsid w:val="001A1D53"/>
    <w:rsid w:val="001A348E"/>
    <w:rsid w:val="001A3F81"/>
    <w:rsid w:val="001B25AC"/>
    <w:rsid w:val="001B4C4D"/>
    <w:rsid w:val="001B5FEE"/>
    <w:rsid w:val="001C29AD"/>
    <w:rsid w:val="001C2B82"/>
    <w:rsid w:val="001C6FE9"/>
    <w:rsid w:val="001C7B57"/>
    <w:rsid w:val="001D2522"/>
    <w:rsid w:val="001D39DF"/>
    <w:rsid w:val="001D621D"/>
    <w:rsid w:val="001D7D3E"/>
    <w:rsid w:val="001E40E9"/>
    <w:rsid w:val="001E551A"/>
    <w:rsid w:val="001E6393"/>
    <w:rsid w:val="001F0BAF"/>
    <w:rsid w:val="001F49DA"/>
    <w:rsid w:val="001F6512"/>
    <w:rsid w:val="00200CF2"/>
    <w:rsid w:val="00202961"/>
    <w:rsid w:val="00202D34"/>
    <w:rsid w:val="00203470"/>
    <w:rsid w:val="00203C5D"/>
    <w:rsid w:val="0020643F"/>
    <w:rsid w:val="00207636"/>
    <w:rsid w:val="002127F3"/>
    <w:rsid w:val="00215B29"/>
    <w:rsid w:val="0022060C"/>
    <w:rsid w:val="00220735"/>
    <w:rsid w:val="002216F1"/>
    <w:rsid w:val="0022189B"/>
    <w:rsid w:val="002241CE"/>
    <w:rsid w:val="0022581A"/>
    <w:rsid w:val="002275A2"/>
    <w:rsid w:val="00227BF4"/>
    <w:rsid w:val="0023341C"/>
    <w:rsid w:val="002364A6"/>
    <w:rsid w:val="00240488"/>
    <w:rsid w:val="002412E4"/>
    <w:rsid w:val="002453A9"/>
    <w:rsid w:val="0024554C"/>
    <w:rsid w:val="002458C9"/>
    <w:rsid w:val="00253267"/>
    <w:rsid w:val="0025350E"/>
    <w:rsid w:val="00261013"/>
    <w:rsid w:val="0026351F"/>
    <w:rsid w:val="00263DB3"/>
    <w:rsid w:val="00265EC1"/>
    <w:rsid w:val="0026610A"/>
    <w:rsid w:val="002711EF"/>
    <w:rsid w:val="002728E0"/>
    <w:rsid w:val="00272CB9"/>
    <w:rsid w:val="00273AD6"/>
    <w:rsid w:val="00277EC5"/>
    <w:rsid w:val="002802DC"/>
    <w:rsid w:val="002824B3"/>
    <w:rsid w:val="00282667"/>
    <w:rsid w:val="00282CE2"/>
    <w:rsid w:val="00282EA8"/>
    <w:rsid w:val="00284035"/>
    <w:rsid w:val="00284D6F"/>
    <w:rsid w:val="00284DF3"/>
    <w:rsid w:val="00293D12"/>
    <w:rsid w:val="00295469"/>
    <w:rsid w:val="002974E0"/>
    <w:rsid w:val="002A1820"/>
    <w:rsid w:val="002A1D5D"/>
    <w:rsid w:val="002A2397"/>
    <w:rsid w:val="002A37B9"/>
    <w:rsid w:val="002A56E9"/>
    <w:rsid w:val="002A5DA7"/>
    <w:rsid w:val="002A7A14"/>
    <w:rsid w:val="002B2FDF"/>
    <w:rsid w:val="002B37FB"/>
    <w:rsid w:val="002B4C3E"/>
    <w:rsid w:val="002C1AF7"/>
    <w:rsid w:val="002C2BB0"/>
    <w:rsid w:val="002C2C2C"/>
    <w:rsid w:val="002C2D21"/>
    <w:rsid w:val="002C4A3C"/>
    <w:rsid w:val="002C547E"/>
    <w:rsid w:val="002C5B9F"/>
    <w:rsid w:val="002C79ED"/>
    <w:rsid w:val="002D1192"/>
    <w:rsid w:val="002D1250"/>
    <w:rsid w:val="002D1794"/>
    <w:rsid w:val="002D43F9"/>
    <w:rsid w:val="002D59CD"/>
    <w:rsid w:val="002E1D22"/>
    <w:rsid w:val="002E289F"/>
    <w:rsid w:val="002E3B13"/>
    <w:rsid w:val="002E417E"/>
    <w:rsid w:val="002E463A"/>
    <w:rsid w:val="002E61E8"/>
    <w:rsid w:val="002E754D"/>
    <w:rsid w:val="002E7C99"/>
    <w:rsid w:val="002F27C0"/>
    <w:rsid w:val="002F56F6"/>
    <w:rsid w:val="00302A9E"/>
    <w:rsid w:val="0030351D"/>
    <w:rsid w:val="00303C68"/>
    <w:rsid w:val="00313196"/>
    <w:rsid w:val="003134FC"/>
    <w:rsid w:val="00315277"/>
    <w:rsid w:val="00315343"/>
    <w:rsid w:val="00315BB2"/>
    <w:rsid w:val="00315E31"/>
    <w:rsid w:val="00316788"/>
    <w:rsid w:val="003214CC"/>
    <w:rsid w:val="00321D55"/>
    <w:rsid w:val="00322F79"/>
    <w:rsid w:val="00325461"/>
    <w:rsid w:val="00326076"/>
    <w:rsid w:val="00331C5D"/>
    <w:rsid w:val="0033348D"/>
    <w:rsid w:val="003411DA"/>
    <w:rsid w:val="00343584"/>
    <w:rsid w:val="0034394E"/>
    <w:rsid w:val="00344517"/>
    <w:rsid w:val="00345A88"/>
    <w:rsid w:val="003468CD"/>
    <w:rsid w:val="00352524"/>
    <w:rsid w:val="00352573"/>
    <w:rsid w:val="00355A9B"/>
    <w:rsid w:val="00356910"/>
    <w:rsid w:val="003602CF"/>
    <w:rsid w:val="0036056B"/>
    <w:rsid w:val="00365A01"/>
    <w:rsid w:val="00365D64"/>
    <w:rsid w:val="00366771"/>
    <w:rsid w:val="003709D7"/>
    <w:rsid w:val="003713C6"/>
    <w:rsid w:val="00375210"/>
    <w:rsid w:val="003763AF"/>
    <w:rsid w:val="00380BA7"/>
    <w:rsid w:val="00381A29"/>
    <w:rsid w:val="00383742"/>
    <w:rsid w:val="00387A7F"/>
    <w:rsid w:val="00392A50"/>
    <w:rsid w:val="00395F93"/>
    <w:rsid w:val="0039607F"/>
    <w:rsid w:val="00397EE0"/>
    <w:rsid w:val="003A1B7C"/>
    <w:rsid w:val="003A26D0"/>
    <w:rsid w:val="003A4177"/>
    <w:rsid w:val="003A6433"/>
    <w:rsid w:val="003A6BBC"/>
    <w:rsid w:val="003A6FB3"/>
    <w:rsid w:val="003B2AF3"/>
    <w:rsid w:val="003B3AB8"/>
    <w:rsid w:val="003B4507"/>
    <w:rsid w:val="003B52F8"/>
    <w:rsid w:val="003B6FB7"/>
    <w:rsid w:val="003C0456"/>
    <w:rsid w:val="003C17F7"/>
    <w:rsid w:val="003C37EE"/>
    <w:rsid w:val="003C444A"/>
    <w:rsid w:val="003D01A9"/>
    <w:rsid w:val="003D3588"/>
    <w:rsid w:val="003D47DC"/>
    <w:rsid w:val="003D61BD"/>
    <w:rsid w:val="003D7A49"/>
    <w:rsid w:val="003E2AE2"/>
    <w:rsid w:val="003E626D"/>
    <w:rsid w:val="003F06C6"/>
    <w:rsid w:val="00400E9B"/>
    <w:rsid w:val="00401660"/>
    <w:rsid w:val="00402B65"/>
    <w:rsid w:val="00403285"/>
    <w:rsid w:val="004032EE"/>
    <w:rsid w:val="00404220"/>
    <w:rsid w:val="00404C14"/>
    <w:rsid w:val="004074E7"/>
    <w:rsid w:val="0041082D"/>
    <w:rsid w:val="0041118D"/>
    <w:rsid w:val="00412C9E"/>
    <w:rsid w:val="004161F4"/>
    <w:rsid w:val="0042045C"/>
    <w:rsid w:val="00423E1E"/>
    <w:rsid w:val="004240F6"/>
    <w:rsid w:val="00424853"/>
    <w:rsid w:val="004261D0"/>
    <w:rsid w:val="00432369"/>
    <w:rsid w:val="004359DA"/>
    <w:rsid w:val="00437962"/>
    <w:rsid w:val="00440073"/>
    <w:rsid w:val="00444282"/>
    <w:rsid w:val="00444373"/>
    <w:rsid w:val="00444FBB"/>
    <w:rsid w:val="004451BB"/>
    <w:rsid w:val="00445C3C"/>
    <w:rsid w:val="00447F05"/>
    <w:rsid w:val="0045013E"/>
    <w:rsid w:val="00450396"/>
    <w:rsid w:val="00450450"/>
    <w:rsid w:val="004538C8"/>
    <w:rsid w:val="00457088"/>
    <w:rsid w:val="0045787A"/>
    <w:rsid w:val="00462D20"/>
    <w:rsid w:val="00466D9E"/>
    <w:rsid w:val="004721BF"/>
    <w:rsid w:val="004735BF"/>
    <w:rsid w:val="00474622"/>
    <w:rsid w:val="00476F63"/>
    <w:rsid w:val="00483406"/>
    <w:rsid w:val="00483D1B"/>
    <w:rsid w:val="00487E1A"/>
    <w:rsid w:val="0049172F"/>
    <w:rsid w:val="00492E9D"/>
    <w:rsid w:val="00493E56"/>
    <w:rsid w:val="00494092"/>
    <w:rsid w:val="004A2B38"/>
    <w:rsid w:val="004A2BB7"/>
    <w:rsid w:val="004A2D9C"/>
    <w:rsid w:val="004A3DD9"/>
    <w:rsid w:val="004A5A92"/>
    <w:rsid w:val="004A6483"/>
    <w:rsid w:val="004A767B"/>
    <w:rsid w:val="004A7B0D"/>
    <w:rsid w:val="004B2064"/>
    <w:rsid w:val="004B6C90"/>
    <w:rsid w:val="004C1C59"/>
    <w:rsid w:val="004C4C5E"/>
    <w:rsid w:val="004D10D2"/>
    <w:rsid w:val="004E3DE0"/>
    <w:rsid w:val="004E47BA"/>
    <w:rsid w:val="004E4BC5"/>
    <w:rsid w:val="004E5BD2"/>
    <w:rsid w:val="004E5EFA"/>
    <w:rsid w:val="004E65FE"/>
    <w:rsid w:val="004F1F18"/>
    <w:rsid w:val="004F2ECA"/>
    <w:rsid w:val="004F36FB"/>
    <w:rsid w:val="004F381F"/>
    <w:rsid w:val="005001F9"/>
    <w:rsid w:val="005028B9"/>
    <w:rsid w:val="00503561"/>
    <w:rsid w:val="00504254"/>
    <w:rsid w:val="00510B29"/>
    <w:rsid w:val="005117FB"/>
    <w:rsid w:val="00512B49"/>
    <w:rsid w:val="00513622"/>
    <w:rsid w:val="00513A2E"/>
    <w:rsid w:val="00513ABA"/>
    <w:rsid w:val="00513F71"/>
    <w:rsid w:val="00516928"/>
    <w:rsid w:val="00516FDE"/>
    <w:rsid w:val="00522176"/>
    <w:rsid w:val="00522308"/>
    <w:rsid w:val="005256AB"/>
    <w:rsid w:val="005261B6"/>
    <w:rsid w:val="00526A20"/>
    <w:rsid w:val="00527362"/>
    <w:rsid w:val="005275A5"/>
    <w:rsid w:val="005276E2"/>
    <w:rsid w:val="005277E6"/>
    <w:rsid w:val="00530789"/>
    <w:rsid w:val="005341E1"/>
    <w:rsid w:val="0053423C"/>
    <w:rsid w:val="0053519A"/>
    <w:rsid w:val="00535559"/>
    <w:rsid w:val="00537872"/>
    <w:rsid w:val="00540B54"/>
    <w:rsid w:val="00541261"/>
    <w:rsid w:val="00546ED3"/>
    <w:rsid w:val="00550E4B"/>
    <w:rsid w:val="00554910"/>
    <w:rsid w:val="00560B3F"/>
    <w:rsid w:val="0056352C"/>
    <w:rsid w:val="00563F0C"/>
    <w:rsid w:val="005656F1"/>
    <w:rsid w:val="00566F85"/>
    <w:rsid w:val="00567DEA"/>
    <w:rsid w:val="005723CF"/>
    <w:rsid w:val="00573611"/>
    <w:rsid w:val="005739AC"/>
    <w:rsid w:val="0057770C"/>
    <w:rsid w:val="00577799"/>
    <w:rsid w:val="0057784E"/>
    <w:rsid w:val="00583387"/>
    <w:rsid w:val="00587162"/>
    <w:rsid w:val="00587F17"/>
    <w:rsid w:val="00592C8C"/>
    <w:rsid w:val="00594AF1"/>
    <w:rsid w:val="005977B3"/>
    <w:rsid w:val="005A1FE3"/>
    <w:rsid w:val="005A3CA8"/>
    <w:rsid w:val="005A4926"/>
    <w:rsid w:val="005A5BB7"/>
    <w:rsid w:val="005A6538"/>
    <w:rsid w:val="005A6F6F"/>
    <w:rsid w:val="005B0341"/>
    <w:rsid w:val="005B1BE5"/>
    <w:rsid w:val="005B1C09"/>
    <w:rsid w:val="005B53C5"/>
    <w:rsid w:val="005C14F8"/>
    <w:rsid w:val="005C27AA"/>
    <w:rsid w:val="005C2F6C"/>
    <w:rsid w:val="005C41E4"/>
    <w:rsid w:val="005D0EAE"/>
    <w:rsid w:val="005D0ECF"/>
    <w:rsid w:val="005D2444"/>
    <w:rsid w:val="005D3086"/>
    <w:rsid w:val="005D3A10"/>
    <w:rsid w:val="005D3D3D"/>
    <w:rsid w:val="005D4BB6"/>
    <w:rsid w:val="005D5CE2"/>
    <w:rsid w:val="005D6726"/>
    <w:rsid w:val="005E2770"/>
    <w:rsid w:val="005E5D5A"/>
    <w:rsid w:val="005F15AD"/>
    <w:rsid w:val="005F3CE2"/>
    <w:rsid w:val="005F78E9"/>
    <w:rsid w:val="00603B7D"/>
    <w:rsid w:val="00603FC7"/>
    <w:rsid w:val="0060499F"/>
    <w:rsid w:val="00607A32"/>
    <w:rsid w:val="00607EDB"/>
    <w:rsid w:val="006120B7"/>
    <w:rsid w:val="0061215C"/>
    <w:rsid w:val="00613BD6"/>
    <w:rsid w:val="00613DFE"/>
    <w:rsid w:val="00613F40"/>
    <w:rsid w:val="006151E5"/>
    <w:rsid w:val="00615E1E"/>
    <w:rsid w:val="00617A89"/>
    <w:rsid w:val="00620651"/>
    <w:rsid w:val="00620CFC"/>
    <w:rsid w:val="006271D5"/>
    <w:rsid w:val="006346BD"/>
    <w:rsid w:val="00640F2C"/>
    <w:rsid w:val="00644CBA"/>
    <w:rsid w:val="0064617F"/>
    <w:rsid w:val="00646C5C"/>
    <w:rsid w:val="0064771F"/>
    <w:rsid w:val="00651FAD"/>
    <w:rsid w:val="006538E2"/>
    <w:rsid w:val="00653DD1"/>
    <w:rsid w:val="006541D4"/>
    <w:rsid w:val="006557D6"/>
    <w:rsid w:val="006561EF"/>
    <w:rsid w:val="006567D1"/>
    <w:rsid w:val="00661ED5"/>
    <w:rsid w:val="006627CB"/>
    <w:rsid w:val="006636F0"/>
    <w:rsid w:val="00665228"/>
    <w:rsid w:val="00666A7C"/>
    <w:rsid w:val="00667E5D"/>
    <w:rsid w:val="00670C27"/>
    <w:rsid w:val="0067488C"/>
    <w:rsid w:val="0067610F"/>
    <w:rsid w:val="0067753C"/>
    <w:rsid w:val="006846BC"/>
    <w:rsid w:val="00684979"/>
    <w:rsid w:val="00691DA8"/>
    <w:rsid w:val="00693DE0"/>
    <w:rsid w:val="0069488A"/>
    <w:rsid w:val="006974AA"/>
    <w:rsid w:val="00697745"/>
    <w:rsid w:val="006B1584"/>
    <w:rsid w:val="006B2216"/>
    <w:rsid w:val="006B2E3B"/>
    <w:rsid w:val="006B3D45"/>
    <w:rsid w:val="006B3DE7"/>
    <w:rsid w:val="006B3EF0"/>
    <w:rsid w:val="006C07F4"/>
    <w:rsid w:val="006C08B5"/>
    <w:rsid w:val="006C35B8"/>
    <w:rsid w:val="006C4449"/>
    <w:rsid w:val="006C6A5C"/>
    <w:rsid w:val="006C7285"/>
    <w:rsid w:val="006D0874"/>
    <w:rsid w:val="006D1067"/>
    <w:rsid w:val="006D36E7"/>
    <w:rsid w:val="006D66A9"/>
    <w:rsid w:val="006E0024"/>
    <w:rsid w:val="006E0C86"/>
    <w:rsid w:val="006F0A56"/>
    <w:rsid w:val="006F2F8D"/>
    <w:rsid w:val="006F607E"/>
    <w:rsid w:val="006F6626"/>
    <w:rsid w:val="00700118"/>
    <w:rsid w:val="00703B02"/>
    <w:rsid w:val="007075DD"/>
    <w:rsid w:val="00710B68"/>
    <w:rsid w:val="00715992"/>
    <w:rsid w:val="007209ED"/>
    <w:rsid w:val="007219BC"/>
    <w:rsid w:val="0072316D"/>
    <w:rsid w:val="00723D58"/>
    <w:rsid w:val="0072439B"/>
    <w:rsid w:val="00732C1F"/>
    <w:rsid w:val="00740C19"/>
    <w:rsid w:val="00745B36"/>
    <w:rsid w:val="007464EF"/>
    <w:rsid w:val="00752379"/>
    <w:rsid w:val="007536E2"/>
    <w:rsid w:val="00753842"/>
    <w:rsid w:val="00755604"/>
    <w:rsid w:val="00757C03"/>
    <w:rsid w:val="0076616A"/>
    <w:rsid w:val="007663D6"/>
    <w:rsid w:val="007669D5"/>
    <w:rsid w:val="00774084"/>
    <w:rsid w:val="0077598F"/>
    <w:rsid w:val="00775A00"/>
    <w:rsid w:val="00776A5A"/>
    <w:rsid w:val="00776B3B"/>
    <w:rsid w:val="00777386"/>
    <w:rsid w:val="007773FA"/>
    <w:rsid w:val="00777E01"/>
    <w:rsid w:val="00782109"/>
    <w:rsid w:val="007840DD"/>
    <w:rsid w:val="007860C3"/>
    <w:rsid w:val="00787853"/>
    <w:rsid w:val="007938BB"/>
    <w:rsid w:val="00794514"/>
    <w:rsid w:val="00794B41"/>
    <w:rsid w:val="00795153"/>
    <w:rsid w:val="00795568"/>
    <w:rsid w:val="00796460"/>
    <w:rsid w:val="007A4169"/>
    <w:rsid w:val="007A428B"/>
    <w:rsid w:val="007B3017"/>
    <w:rsid w:val="007B3D1B"/>
    <w:rsid w:val="007B4E70"/>
    <w:rsid w:val="007C1C7C"/>
    <w:rsid w:val="007C2452"/>
    <w:rsid w:val="007C268B"/>
    <w:rsid w:val="007C35D9"/>
    <w:rsid w:val="007C44CA"/>
    <w:rsid w:val="007D2B18"/>
    <w:rsid w:val="007D53BE"/>
    <w:rsid w:val="007D6030"/>
    <w:rsid w:val="007D6880"/>
    <w:rsid w:val="007E4002"/>
    <w:rsid w:val="007F03CB"/>
    <w:rsid w:val="007F512D"/>
    <w:rsid w:val="00800794"/>
    <w:rsid w:val="00801FA3"/>
    <w:rsid w:val="008077F9"/>
    <w:rsid w:val="00812DF5"/>
    <w:rsid w:val="00813043"/>
    <w:rsid w:val="00813287"/>
    <w:rsid w:val="00814212"/>
    <w:rsid w:val="00821F48"/>
    <w:rsid w:val="008220F6"/>
    <w:rsid w:val="00822360"/>
    <w:rsid w:val="0082265E"/>
    <w:rsid w:val="008235DD"/>
    <w:rsid w:val="00830ED7"/>
    <w:rsid w:val="00831808"/>
    <w:rsid w:val="008363A6"/>
    <w:rsid w:val="0083777E"/>
    <w:rsid w:val="008407FD"/>
    <w:rsid w:val="00841B0F"/>
    <w:rsid w:val="00843B95"/>
    <w:rsid w:val="00851308"/>
    <w:rsid w:val="008518A5"/>
    <w:rsid w:val="008563D1"/>
    <w:rsid w:val="00864635"/>
    <w:rsid w:val="00870EDE"/>
    <w:rsid w:val="0087254A"/>
    <w:rsid w:val="00880ACD"/>
    <w:rsid w:val="00880FF9"/>
    <w:rsid w:val="00884B20"/>
    <w:rsid w:val="00887401"/>
    <w:rsid w:val="0089347A"/>
    <w:rsid w:val="00895224"/>
    <w:rsid w:val="00895D41"/>
    <w:rsid w:val="008A02D1"/>
    <w:rsid w:val="008A050C"/>
    <w:rsid w:val="008A4BFC"/>
    <w:rsid w:val="008A5DB2"/>
    <w:rsid w:val="008B0D0C"/>
    <w:rsid w:val="008B1994"/>
    <w:rsid w:val="008B1C1E"/>
    <w:rsid w:val="008B6994"/>
    <w:rsid w:val="008C2B82"/>
    <w:rsid w:val="008C3857"/>
    <w:rsid w:val="008C3964"/>
    <w:rsid w:val="008C7FD8"/>
    <w:rsid w:val="008D1C39"/>
    <w:rsid w:val="008D251F"/>
    <w:rsid w:val="008D284F"/>
    <w:rsid w:val="008D5DE1"/>
    <w:rsid w:val="008E09C0"/>
    <w:rsid w:val="008E4D8A"/>
    <w:rsid w:val="008E6166"/>
    <w:rsid w:val="008F0139"/>
    <w:rsid w:val="008F108E"/>
    <w:rsid w:val="008F11FE"/>
    <w:rsid w:val="008F1204"/>
    <w:rsid w:val="008F2B88"/>
    <w:rsid w:val="008F4081"/>
    <w:rsid w:val="008F4E66"/>
    <w:rsid w:val="00901A2A"/>
    <w:rsid w:val="00901FA6"/>
    <w:rsid w:val="00903F1B"/>
    <w:rsid w:val="00904771"/>
    <w:rsid w:val="009125F7"/>
    <w:rsid w:val="009171C2"/>
    <w:rsid w:val="0092183C"/>
    <w:rsid w:val="00921C5D"/>
    <w:rsid w:val="00924C42"/>
    <w:rsid w:val="0092593A"/>
    <w:rsid w:val="00930BA6"/>
    <w:rsid w:val="00933B77"/>
    <w:rsid w:val="00933D2C"/>
    <w:rsid w:val="009348C6"/>
    <w:rsid w:val="00941E34"/>
    <w:rsid w:val="00947CE6"/>
    <w:rsid w:val="00947FC2"/>
    <w:rsid w:val="0095157B"/>
    <w:rsid w:val="00952E38"/>
    <w:rsid w:val="00954CFD"/>
    <w:rsid w:val="00960B96"/>
    <w:rsid w:val="009612AF"/>
    <w:rsid w:val="00961A7E"/>
    <w:rsid w:val="009715A0"/>
    <w:rsid w:val="009742BC"/>
    <w:rsid w:val="00974F11"/>
    <w:rsid w:val="009760E9"/>
    <w:rsid w:val="00976E8C"/>
    <w:rsid w:val="00977C03"/>
    <w:rsid w:val="00977C6E"/>
    <w:rsid w:val="0098109F"/>
    <w:rsid w:val="00982453"/>
    <w:rsid w:val="00982F35"/>
    <w:rsid w:val="00983CF9"/>
    <w:rsid w:val="009852B9"/>
    <w:rsid w:val="00987058"/>
    <w:rsid w:val="00987F18"/>
    <w:rsid w:val="00990398"/>
    <w:rsid w:val="0099042C"/>
    <w:rsid w:val="00990DB4"/>
    <w:rsid w:val="009919DE"/>
    <w:rsid w:val="00992BA1"/>
    <w:rsid w:val="00995101"/>
    <w:rsid w:val="00995669"/>
    <w:rsid w:val="00995CB5"/>
    <w:rsid w:val="009A19B7"/>
    <w:rsid w:val="009A1F77"/>
    <w:rsid w:val="009A3202"/>
    <w:rsid w:val="009A6134"/>
    <w:rsid w:val="009B51B1"/>
    <w:rsid w:val="009B59C7"/>
    <w:rsid w:val="009B7B2E"/>
    <w:rsid w:val="009C0D7A"/>
    <w:rsid w:val="009C5634"/>
    <w:rsid w:val="009C5863"/>
    <w:rsid w:val="009C7B65"/>
    <w:rsid w:val="009D0B2C"/>
    <w:rsid w:val="009D1A8D"/>
    <w:rsid w:val="009D6750"/>
    <w:rsid w:val="009E072F"/>
    <w:rsid w:val="009E13AD"/>
    <w:rsid w:val="009E1891"/>
    <w:rsid w:val="009E23EF"/>
    <w:rsid w:val="009E5305"/>
    <w:rsid w:val="009E6A76"/>
    <w:rsid w:val="009F08F1"/>
    <w:rsid w:val="009F2BBC"/>
    <w:rsid w:val="009F3524"/>
    <w:rsid w:val="009F3AA5"/>
    <w:rsid w:val="009F4B2B"/>
    <w:rsid w:val="009F656D"/>
    <w:rsid w:val="009F6642"/>
    <w:rsid w:val="00A00A6B"/>
    <w:rsid w:val="00A04EA4"/>
    <w:rsid w:val="00A053B2"/>
    <w:rsid w:val="00A066C9"/>
    <w:rsid w:val="00A103C8"/>
    <w:rsid w:val="00A1135C"/>
    <w:rsid w:val="00A121C7"/>
    <w:rsid w:val="00A12842"/>
    <w:rsid w:val="00A16582"/>
    <w:rsid w:val="00A17CE8"/>
    <w:rsid w:val="00A205B5"/>
    <w:rsid w:val="00A24432"/>
    <w:rsid w:val="00A26FA8"/>
    <w:rsid w:val="00A279FC"/>
    <w:rsid w:val="00A27D75"/>
    <w:rsid w:val="00A359D6"/>
    <w:rsid w:val="00A37FE8"/>
    <w:rsid w:val="00A427AD"/>
    <w:rsid w:val="00A43E7C"/>
    <w:rsid w:val="00A4623B"/>
    <w:rsid w:val="00A46472"/>
    <w:rsid w:val="00A5412E"/>
    <w:rsid w:val="00A55AFA"/>
    <w:rsid w:val="00A63F27"/>
    <w:rsid w:val="00A67FDE"/>
    <w:rsid w:val="00A721D5"/>
    <w:rsid w:val="00A72A81"/>
    <w:rsid w:val="00A7327E"/>
    <w:rsid w:val="00A744F9"/>
    <w:rsid w:val="00A772B5"/>
    <w:rsid w:val="00A80CF2"/>
    <w:rsid w:val="00A80E39"/>
    <w:rsid w:val="00A81100"/>
    <w:rsid w:val="00A8119B"/>
    <w:rsid w:val="00A81C1A"/>
    <w:rsid w:val="00A82A3A"/>
    <w:rsid w:val="00A830E9"/>
    <w:rsid w:val="00A842DF"/>
    <w:rsid w:val="00A85654"/>
    <w:rsid w:val="00A87440"/>
    <w:rsid w:val="00A87ECA"/>
    <w:rsid w:val="00A90807"/>
    <w:rsid w:val="00A92B10"/>
    <w:rsid w:val="00A947EA"/>
    <w:rsid w:val="00A97F51"/>
    <w:rsid w:val="00AA1E4B"/>
    <w:rsid w:val="00AA2792"/>
    <w:rsid w:val="00AA28DB"/>
    <w:rsid w:val="00AA384B"/>
    <w:rsid w:val="00AA459F"/>
    <w:rsid w:val="00AA5413"/>
    <w:rsid w:val="00AB14EE"/>
    <w:rsid w:val="00AB1E64"/>
    <w:rsid w:val="00AB46CB"/>
    <w:rsid w:val="00AC107E"/>
    <w:rsid w:val="00AC48FC"/>
    <w:rsid w:val="00AC6C58"/>
    <w:rsid w:val="00AD000B"/>
    <w:rsid w:val="00AD0996"/>
    <w:rsid w:val="00AE2E1D"/>
    <w:rsid w:val="00AE3A58"/>
    <w:rsid w:val="00AE42A3"/>
    <w:rsid w:val="00AF0039"/>
    <w:rsid w:val="00AF2750"/>
    <w:rsid w:val="00AF4125"/>
    <w:rsid w:val="00AF5548"/>
    <w:rsid w:val="00B013EB"/>
    <w:rsid w:val="00B023B1"/>
    <w:rsid w:val="00B03A81"/>
    <w:rsid w:val="00B0706E"/>
    <w:rsid w:val="00B07CD9"/>
    <w:rsid w:val="00B14BFF"/>
    <w:rsid w:val="00B1739A"/>
    <w:rsid w:val="00B221D9"/>
    <w:rsid w:val="00B2403A"/>
    <w:rsid w:val="00B24314"/>
    <w:rsid w:val="00B24F7F"/>
    <w:rsid w:val="00B25BAE"/>
    <w:rsid w:val="00B268F2"/>
    <w:rsid w:val="00B27B9A"/>
    <w:rsid w:val="00B365ED"/>
    <w:rsid w:val="00B36C18"/>
    <w:rsid w:val="00B404B8"/>
    <w:rsid w:val="00B42C44"/>
    <w:rsid w:val="00B4402B"/>
    <w:rsid w:val="00B457F3"/>
    <w:rsid w:val="00B47716"/>
    <w:rsid w:val="00B5135D"/>
    <w:rsid w:val="00B57F5A"/>
    <w:rsid w:val="00B6162A"/>
    <w:rsid w:val="00B61AE5"/>
    <w:rsid w:val="00B638BC"/>
    <w:rsid w:val="00B648AD"/>
    <w:rsid w:val="00B75025"/>
    <w:rsid w:val="00B75803"/>
    <w:rsid w:val="00B80918"/>
    <w:rsid w:val="00B813B5"/>
    <w:rsid w:val="00B827BB"/>
    <w:rsid w:val="00B83F95"/>
    <w:rsid w:val="00B85A9A"/>
    <w:rsid w:val="00B912B2"/>
    <w:rsid w:val="00B9152C"/>
    <w:rsid w:val="00B9189D"/>
    <w:rsid w:val="00B92858"/>
    <w:rsid w:val="00B940BA"/>
    <w:rsid w:val="00B94C69"/>
    <w:rsid w:val="00B969CB"/>
    <w:rsid w:val="00B97825"/>
    <w:rsid w:val="00BA1E31"/>
    <w:rsid w:val="00BA2CD5"/>
    <w:rsid w:val="00BA355B"/>
    <w:rsid w:val="00BA59B1"/>
    <w:rsid w:val="00BA5AB8"/>
    <w:rsid w:val="00BB02F4"/>
    <w:rsid w:val="00BB29FC"/>
    <w:rsid w:val="00BB335F"/>
    <w:rsid w:val="00BB3925"/>
    <w:rsid w:val="00BB4E19"/>
    <w:rsid w:val="00BB5D33"/>
    <w:rsid w:val="00BB6F7F"/>
    <w:rsid w:val="00BC1F13"/>
    <w:rsid w:val="00BC2FA7"/>
    <w:rsid w:val="00BC3179"/>
    <w:rsid w:val="00BC7EF0"/>
    <w:rsid w:val="00BD259E"/>
    <w:rsid w:val="00BD2C7C"/>
    <w:rsid w:val="00BD6BEB"/>
    <w:rsid w:val="00BD7860"/>
    <w:rsid w:val="00BD79F6"/>
    <w:rsid w:val="00BE0D84"/>
    <w:rsid w:val="00BE104E"/>
    <w:rsid w:val="00BE2524"/>
    <w:rsid w:val="00BE28EE"/>
    <w:rsid w:val="00BE2F57"/>
    <w:rsid w:val="00BF1C90"/>
    <w:rsid w:val="00BF26E7"/>
    <w:rsid w:val="00BF4125"/>
    <w:rsid w:val="00BF5102"/>
    <w:rsid w:val="00BF7BD1"/>
    <w:rsid w:val="00C00DFB"/>
    <w:rsid w:val="00C018CD"/>
    <w:rsid w:val="00C0754B"/>
    <w:rsid w:val="00C1134E"/>
    <w:rsid w:val="00C1250B"/>
    <w:rsid w:val="00C1405A"/>
    <w:rsid w:val="00C142FB"/>
    <w:rsid w:val="00C2671D"/>
    <w:rsid w:val="00C26C2B"/>
    <w:rsid w:val="00C335E6"/>
    <w:rsid w:val="00C33E8B"/>
    <w:rsid w:val="00C34BF4"/>
    <w:rsid w:val="00C36D45"/>
    <w:rsid w:val="00C3774C"/>
    <w:rsid w:val="00C4438D"/>
    <w:rsid w:val="00C448BD"/>
    <w:rsid w:val="00C450B1"/>
    <w:rsid w:val="00C45AD6"/>
    <w:rsid w:val="00C46554"/>
    <w:rsid w:val="00C479C0"/>
    <w:rsid w:val="00C522DF"/>
    <w:rsid w:val="00C5312E"/>
    <w:rsid w:val="00C53E1A"/>
    <w:rsid w:val="00C548AA"/>
    <w:rsid w:val="00C60D4F"/>
    <w:rsid w:val="00C61547"/>
    <w:rsid w:val="00C61B43"/>
    <w:rsid w:val="00C62DFF"/>
    <w:rsid w:val="00C63D9B"/>
    <w:rsid w:val="00C641CB"/>
    <w:rsid w:val="00C661F8"/>
    <w:rsid w:val="00C6702C"/>
    <w:rsid w:val="00C6713D"/>
    <w:rsid w:val="00C676CC"/>
    <w:rsid w:val="00C678F3"/>
    <w:rsid w:val="00C72BF4"/>
    <w:rsid w:val="00C7696D"/>
    <w:rsid w:val="00C86133"/>
    <w:rsid w:val="00C86E94"/>
    <w:rsid w:val="00C910FA"/>
    <w:rsid w:val="00C91957"/>
    <w:rsid w:val="00C91F8B"/>
    <w:rsid w:val="00C920C8"/>
    <w:rsid w:val="00C9690D"/>
    <w:rsid w:val="00C972A2"/>
    <w:rsid w:val="00CA22DB"/>
    <w:rsid w:val="00CA2543"/>
    <w:rsid w:val="00CA2FD8"/>
    <w:rsid w:val="00CA57D8"/>
    <w:rsid w:val="00CA6405"/>
    <w:rsid w:val="00CB04A5"/>
    <w:rsid w:val="00CB35A4"/>
    <w:rsid w:val="00CB3871"/>
    <w:rsid w:val="00CB4CBE"/>
    <w:rsid w:val="00CB5FFF"/>
    <w:rsid w:val="00CC4282"/>
    <w:rsid w:val="00CC5E36"/>
    <w:rsid w:val="00CC7117"/>
    <w:rsid w:val="00CC73FC"/>
    <w:rsid w:val="00CD1440"/>
    <w:rsid w:val="00CD1CDA"/>
    <w:rsid w:val="00CD282B"/>
    <w:rsid w:val="00CD3215"/>
    <w:rsid w:val="00CD36E2"/>
    <w:rsid w:val="00CD7BDF"/>
    <w:rsid w:val="00CE2E92"/>
    <w:rsid w:val="00CE35B4"/>
    <w:rsid w:val="00CE3683"/>
    <w:rsid w:val="00CE5A7E"/>
    <w:rsid w:val="00CF06FA"/>
    <w:rsid w:val="00CF22FC"/>
    <w:rsid w:val="00CF27C9"/>
    <w:rsid w:val="00CF2CD2"/>
    <w:rsid w:val="00CF5D9E"/>
    <w:rsid w:val="00CF6A86"/>
    <w:rsid w:val="00D00A65"/>
    <w:rsid w:val="00D016B9"/>
    <w:rsid w:val="00D037D1"/>
    <w:rsid w:val="00D048E4"/>
    <w:rsid w:val="00D06552"/>
    <w:rsid w:val="00D068A3"/>
    <w:rsid w:val="00D06FEA"/>
    <w:rsid w:val="00D1044D"/>
    <w:rsid w:val="00D10F71"/>
    <w:rsid w:val="00D13BD6"/>
    <w:rsid w:val="00D160B7"/>
    <w:rsid w:val="00D16F84"/>
    <w:rsid w:val="00D2208D"/>
    <w:rsid w:val="00D33D25"/>
    <w:rsid w:val="00D34E81"/>
    <w:rsid w:val="00D35915"/>
    <w:rsid w:val="00D35F71"/>
    <w:rsid w:val="00D45077"/>
    <w:rsid w:val="00D45B29"/>
    <w:rsid w:val="00D47883"/>
    <w:rsid w:val="00D47960"/>
    <w:rsid w:val="00D508E2"/>
    <w:rsid w:val="00D534AB"/>
    <w:rsid w:val="00D57231"/>
    <w:rsid w:val="00D60424"/>
    <w:rsid w:val="00D606FD"/>
    <w:rsid w:val="00D61229"/>
    <w:rsid w:val="00D62595"/>
    <w:rsid w:val="00D62C5E"/>
    <w:rsid w:val="00D635BE"/>
    <w:rsid w:val="00D64107"/>
    <w:rsid w:val="00D642B9"/>
    <w:rsid w:val="00D6528B"/>
    <w:rsid w:val="00D65699"/>
    <w:rsid w:val="00D715CF"/>
    <w:rsid w:val="00D74684"/>
    <w:rsid w:val="00D77F92"/>
    <w:rsid w:val="00D812F8"/>
    <w:rsid w:val="00D81727"/>
    <w:rsid w:val="00D81C9C"/>
    <w:rsid w:val="00D82035"/>
    <w:rsid w:val="00D85E3E"/>
    <w:rsid w:val="00D86673"/>
    <w:rsid w:val="00D866A0"/>
    <w:rsid w:val="00D875E2"/>
    <w:rsid w:val="00D87B0E"/>
    <w:rsid w:val="00D903CA"/>
    <w:rsid w:val="00D90B3D"/>
    <w:rsid w:val="00D92210"/>
    <w:rsid w:val="00D927B3"/>
    <w:rsid w:val="00D971FC"/>
    <w:rsid w:val="00D97317"/>
    <w:rsid w:val="00DA3CF7"/>
    <w:rsid w:val="00DA40F0"/>
    <w:rsid w:val="00DA47F9"/>
    <w:rsid w:val="00DA4F4F"/>
    <w:rsid w:val="00DB06A2"/>
    <w:rsid w:val="00DB2983"/>
    <w:rsid w:val="00DC0D60"/>
    <w:rsid w:val="00DC279F"/>
    <w:rsid w:val="00DC2BA0"/>
    <w:rsid w:val="00DC2F25"/>
    <w:rsid w:val="00DC4E0E"/>
    <w:rsid w:val="00DC5063"/>
    <w:rsid w:val="00DC668A"/>
    <w:rsid w:val="00DD12D3"/>
    <w:rsid w:val="00DD558D"/>
    <w:rsid w:val="00DD65B8"/>
    <w:rsid w:val="00DE08FC"/>
    <w:rsid w:val="00DE714C"/>
    <w:rsid w:val="00DE71DB"/>
    <w:rsid w:val="00DF18F4"/>
    <w:rsid w:val="00DF69FD"/>
    <w:rsid w:val="00E0116E"/>
    <w:rsid w:val="00E0285B"/>
    <w:rsid w:val="00E0426D"/>
    <w:rsid w:val="00E049D5"/>
    <w:rsid w:val="00E04F36"/>
    <w:rsid w:val="00E067AA"/>
    <w:rsid w:val="00E15C06"/>
    <w:rsid w:val="00E16140"/>
    <w:rsid w:val="00E23149"/>
    <w:rsid w:val="00E231A1"/>
    <w:rsid w:val="00E2687B"/>
    <w:rsid w:val="00E27916"/>
    <w:rsid w:val="00E37D80"/>
    <w:rsid w:val="00E40962"/>
    <w:rsid w:val="00E41E53"/>
    <w:rsid w:val="00E444A1"/>
    <w:rsid w:val="00E5049E"/>
    <w:rsid w:val="00E5416D"/>
    <w:rsid w:val="00E63630"/>
    <w:rsid w:val="00E65D58"/>
    <w:rsid w:val="00E66A15"/>
    <w:rsid w:val="00E67061"/>
    <w:rsid w:val="00E709B1"/>
    <w:rsid w:val="00E71269"/>
    <w:rsid w:val="00E713A8"/>
    <w:rsid w:val="00E722FB"/>
    <w:rsid w:val="00E731CD"/>
    <w:rsid w:val="00E74DE9"/>
    <w:rsid w:val="00E773A3"/>
    <w:rsid w:val="00E774DD"/>
    <w:rsid w:val="00E82C80"/>
    <w:rsid w:val="00E85CF3"/>
    <w:rsid w:val="00E86629"/>
    <w:rsid w:val="00E9078A"/>
    <w:rsid w:val="00E921A6"/>
    <w:rsid w:val="00E92D4D"/>
    <w:rsid w:val="00E95D5C"/>
    <w:rsid w:val="00E95F10"/>
    <w:rsid w:val="00E9653B"/>
    <w:rsid w:val="00E97E6F"/>
    <w:rsid w:val="00EA29BD"/>
    <w:rsid w:val="00EA47D1"/>
    <w:rsid w:val="00EA4A1B"/>
    <w:rsid w:val="00EB0B0F"/>
    <w:rsid w:val="00EB0B3A"/>
    <w:rsid w:val="00EB26C5"/>
    <w:rsid w:val="00EB5A6F"/>
    <w:rsid w:val="00EB70E6"/>
    <w:rsid w:val="00EB7EB1"/>
    <w:rsid w:val="00EC128D"/>
    <w:rsid w:val="00EC3FD0"/>
    <w:rsid w:val="00EC57D8"/>
    <w:rsid w:val="00EC63CB"/>
    <w:rsid w:val="00ED087F"/>
    <w:rsid w:val="00ED53AE"/>
    <w:rsid w:val="00ED6EF8"/>
    <w:rsid w:val="00EE03CA"/>
    <w:rsid w:val="00EE418B"/>
    <w:rsid w:val="00EF1D41"/>
    <w:rsid w:val="00EF1F62"/>
    <w:rsid w:val="00EF361F"/>
    <w:rsid w:val="00EF6B75"/>
    <w:rsid w:val="00F0033C"/>
    <w:rsid w:val="00F033AA"/>
    <w:rsid w:val="00F042F5"/>
    <w:rsid w:val="00F07BE0"/>
    <w:rsid w:val="00F100C8"/>
    <w:rsid w:val="00F11B10"/>
    <w:rsid w:val="00F1336D"/>
    <w:rsid w:val="00F15770"/>
    <w:rsid w:val="00F15E2F"/>
    <w:rsid w:val="00F17C95"/>
    <w:rsid w:val="00F20E6B"/>
    <w:rsid w:val="00F20F6C"/>
    <w:rsid w:val="00F2139A"/>
    <w:rsid w:val="00F24DB6"/>
    <w:rsid w:val="00F25B54"/>
    <w:rsid w:val="00F26DD2"/>
    <w:rsid w:val="00F3166C"/>
    <w:rsid w:val="00F31916"/>
    <w:rsid w:val="00F3194B"/>
    <w:rsid w:val="00F3308A"/>
    <w:rsid w:val="00F3437F"/>
    <w:rsid w:val="00F35C17"/>
    <w:rsid w:val="00F40ECD"/>
    <w:rsid w:val="00F431C3"/>
    <w:rsid w:val="00F5114A"/>
    <w:rsid w:val="00F545C3"/>
    <w:rsid w:val="00F562E4"/>
    <w:rsid w:val="00F636ED"/>
    <w:rsid w:val="00F7129B"/>
    <w:rsid w:val="00F7403C"/>
    <w:rsid w:val="00F751A0"/>
    <w:rsid w:val="00F8514A"/>
    <w:rsid w:val="00F86546"/>
    <w:rsid w:val="00F90589"/>
    <w:rsid w:val="00F90A7E"/>
    <w:rsid w:val="00F9139B"/>
    <w:rsid w:val="00F935A8"/>
    <w:rsid w:val="00F93708"/>
    <w:rsid w:val="00F93A8E"/>
    <w:rsid w:val="00F95D20"/>
    <w:rsid w:val="00F96884"/>
    <w:rsid w:val="00FA0243"/>
    <w:rsid w:val="00FB0CEC"/>
    <w:rsid w:val="00FB246B"/>
    <w:rsid w:val="00FB2944"/>
    <w:rsid w:val="00FC199A"/>
    <w:rsid w:val="00FD1B1F"/>
    <w:rsid w:val="00FD37AC"/>
    <w:rsid w:val="00FD75C2"/>
    <w:rsid w:val="00FE049A"/>
    <w:rsid w:val="00FE0A53"/>
    <w:rsid w:val="00FE16ED"/>
    <w:rsid w:val="00FE3521"/>
    <w:rsid w:val="00FE363A"/>
    <w:rsid w:val="00FE637C"/>
    <w:rsid w:val="00FE6595"/>
    <w:rsid w:val="00FF715F"/>
    <w:rsid w:val="00FF7845"/>
    <w:rsid w:val="00FF7A04"/>
    <w:rsid w:val="00FF7EF3"/>
    <w:rsid w:val="00FF7F91"/>
    <w:rsid w:val="03605FF8"/>
    <w:rsid w:val="1F2D3D1F"/>
    <w:rsid w:val="22FE0F19"/>
    <w:rsid w:val="4D547966"/>
    <w:rsid w:val="6A43062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5AE1A6"/>
  <w15:docId w15:val="{D99D8A12-A608-3A4D-B81B-1A20E973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qFormat="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pPr>
      <w:keepNext/>
      <w:keepLines/>
      <w:tabs>
        <w:tab w:val="left" w:pos="1350"/>
      </w:tabs>
      <w:spacing w:before="240" w:after="0" w:line="240" w:lineRule="auto"/>
      <w:ind w:left="1350" w:hanging="1350"/>
      <w:jc w:val="both"/>
      <w:outlineLvl w:val="1"/>
    </w:pPr>
    <w:rPr>
      <w:rFonts w:ascii="Times New Roman" w:eastAsia="Calibri" w:hAnsi="Times New Roman" w:cs="Times New Roman"/>
      <w:b/>
      <w:iCs/>
      <w:sz w:val="20"/>
      <w:szCs w:val="20"/>
      <w:lang w:eastAsia="ja-JP"/>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spacing w:after="0" w:line="480" w:lineRule="auto"/>
      <w:jc w:val="both"/>
      <w:outlineLvl w:val="3"/>
    </w:pPr>
    <w:rPr>
      <w:rFonts w:ascii="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rFonts w:ascii="Calibri" w:eastAsia="Calibri" w:hAnsi="Calibri" w:cs="Times New Roman"/>
      <w:b/>
      <w:bCs/>
      <w:color w:val="4F81BD"/>
      <w:sz w:val="18"/>
      <w:szCs w:val="18"/>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680"/>
        <w:tab w:val="right" w:pos="9360"/>
      </w:tabs>
      <w:spacing w:after="0" w:line="240" w:lineRule="auto"/>
    </w:pPr>
    <w:rPr>
      <w:rFonts w:ascii="Calibri" w:eastAsia="Calibri" w:hAnsi="Calibri" w:cs="Times New Roman"/>
    </w:rPr>
  </w:style>
  <w:style w:type="character" w:styleId="Hyperlink">
    <w:name w:val="Hyperlink"/>
    <w:uiPriority w:val="99"/>
    <w:unhideWhenUsed/>
    <w:rPr>
      <w:color w:val="0000FF"/>
      <w:u w:val="single"/>
    </w:rPr>
  </w:style>
  <w:style w:type="character" w:styleId="LineNumber">
    <w:name w:val="line number"/>
    <w:basedOn w:val="DefaultParagraphFont"/>
    <w:uiPriority w:val="99"/>
    <w:semiHidden/>
    <w:unhideWhenUsed/>
    <w:qFormat/>
  </w:style>
  <w:style w:type="table" w:styleId="TableGrid">
    <w:name w:val="Table Grid"/>
    <w:basedOn w:val="TableGrid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2">
    <w:name w:val="Table Grid 2"/>
    <w:basedOn w:val="TableNormal"/>
    <w:uiPriority w:val="99"/>
    <w:semiHidden/>
    <w:unhideWhenUsed/>
    <w:qFormat/>
    <w:rPr>
      <w:rFonts w:ascii="Calibri" w:eastAsia="Calibri" w:hAnsi="Calibri"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paragraph" w:styleId="TOC1">
    <w:name w:val="toc 1"/>
    <w:basedOn w:val="Normal"/>
    <w:next w:val="Normal"/>
    <w:uiPriority w:val="39"/>
    <w:unhideWhenUsed/>
    <w:qFormat/>
    <w:pPr>
      <w:tabs>
        <w:tab w:val="left" w:pos="900"/>
        <w:tab w:val="right" w:leader="dot" w:pos="8190"/>
      </w:tabs>
      <w:spacing w:after="120" w:line="480" w:lineRule="auto"/>
      <w:ind w:left="900" w:hanging="900"/>
      <w:jc w:val="both"/>
    </w:pPr>
    <w:rPr>
      <w:rFonts w:ascii="Times New Roman" w:eastAsia="Calibri" w:hAnsi="Times New Roman" w:cs="Times New Roman"/>
      <w:sz w:val="24"/>
      <w:lang w:eastAsia="ja-JP"/>
    </w:rPr>
  </w:style>
  <w:style w:type="paragraph" w:styleId="TOC2">
    <w:name w:val="toc 2"/>
    <w:basedOn w:val="Normal"/>
    <w:next w:val="Normal"/>
    <w:uiPriority w:val="39"/>
    <w:unhideWhenUsed/>
    <w:qFormat/>
    <w:pPr>
      <w:tabs>
        <w:tab w:val="right" w:leader="dot" w:pos="8190"/>
      </w:tabs>
      <w:spacing w:after="100" w:line="480" w:lineRule="auto"/>
      <w:ind w:left="1310" w:hanging="1310"/>
      <w:jc w:val="both"/>
    </w:pPr>
    <w:rPr>
      <w:rFonts w:ascii="Times New Roman" w:eastAsia="Calibri" w:hAnsi="Times New Roman" w:cs="Times New Roman"/>
      <w:b/>
      <w:sz w:val="24"/>
      <w:szCs w:val="24"/>
      <w:lang w:eastAsia="ja-JP"/>
    </w:rPr>
  </w:style>
  <w:style w:type="paragraph" w:styleId="TOC3">
    <w:name w:val="toc 3"/>
    <w:basedOn w:val="Normal"/>
    <w:next w:val="Normal"/>
    <w:uiPriority w:val="39"/>
    <w:unhideWhenUsed/>
    <w:qFormat/>
    <w:pPr>
      <w:tabs>
        <w:tab w:val="right" w:leader="dot" w:pos="8190"/>
      </w:tabs>
      <w:spacing w:after="100" w:line="480" w:lineRule="auto"/>
      <w:ind w:left="1350" w:hanging="1260"/>
      <w:jc w:val="both"/>
    </w:pPr>
    <w:rPr>
      <w:rFonts w:ascii="Calibri" w:eastAsia="Times New Roman" w:hAnsi="Calibri" w:cs="Times New Roman"/>
      <w:lang w:eastAsia="ja-JP"/>
    </w:rPr>
  </w:style>
  <w:style w:type="paragraph" w:styleId="TOC4">
    <w:name w:val="toc 4"/>
    <w:basedOn w:val="Normal"/>
    <w:next w:val="Normal"/>
    <w:uiPriority w:val="39"/>
    <w:unhideWhenUsed/>
    <w:pPr>
      <w:spacing w:after="100"/>
      <w:ind w:left="660"/>
    </w:pPr>
    <w:rPr>
      <w:rFonts w:ascii="Calibri" w:eastAsia="Times New Roman" w:hAnsi="Calibri" w:cs="Times New Roman"/>
    </w:rPr>
  </w:style>
  <w:style w:type="paragraph" w:styleId="TOC5">
    <w:name w:val="toc 5"/>
    <w:basedOn w:val="Normal"/>
    <w:next w:val="Normal"/>
    <w:uiPriority w:val="39"/>
    <w:unhideWhenUsed/>
    <w:qFormat/>
    <w:pPr>
      <w:spacing w:after="100"/>
      <w:ind w:left="880"/>
    </w:pPr>
    <w:rPr>
      <w:rFonts w:ascii="Calibri" w:eastAsia="Times New Roman" w:hAnsi="Calibri" w:cs="Times New Roman"/>
    </w:rPr>
  </w:style>
  <w:style w:type="paragraph" w:styleId="TOC6">
    <w:name w:val="toc 6"/>
    <w:basedOn w:val="Normal"/>
    <w:next w:val="Normal"/>
    <w:uiPriority w:val="39"/>
    <w:unhideWhenUsed/>
    <w:qFormat/>
    <w:pPr>
      <w:spacing w:after="100"/>
      <w:ind w:left="1100"/>
    </w:pPr>
    <w:rPr>
      <w:rFonts w:ascii="Calibri" w:eastAsia="Times New Roman" w:hAnsi="Calibri" w:cs="Times New Roman"/>
    </w:rPr>
  </w:style>
  <w:style w:type="paragraph" w:styleId="TOC7">
    <w:name w:val="toc 7"/>
    <w:basedOn w:val="Normal"/>
    <w:next w:val="Normal"/>
    <w:uiPriority w:val="39"/>
    <w:unhideWhenUsed/>
    <w:qFormat/>
    <w:pPr>
      <w:spacing w:after="100"/>
      <w:ind w:left="1320"/>
    </w:pPr>
    <w:rPr>
      <w:rFonts w:ascii="Calibri" w:eastAsia="Times New Roman" w:hAnsi="Calibri" w:cs="Times New Roman"/>
    </w:rPr>
  </w:style>
  <w:style w:type="paragraph" w:styleId="TOC8">
    <w:name w:val="toc 8"/>
    <w:basedOn w:val="Normal"/>
    <w:next w:val="Normal"/>
    <w:uiPriority w:val="39"/>
    <w:unhideWhenUsed/>
    <w:pPr>
      <w:spacing w:after="100"/>
      <w:ind w:left="1540"/>
    </w:pPr>
    <w:rPr>
      <w:rFonts w:ascii="Calibri" w:eastAsia="Times New Roman" w:hAnsi="Calibri" w:cs="Times New Roman"/>
    </w:rPr>
  </w:style>
  <w:style w:type="paragraph" w:styleId="TOC9">
    <w:name w:val="toc 9"/>
    <w:basedOn w:val="Normal"/>
    <w:next w:val="Normal"/>
    <w:uiPriority w:val="39"/>
    <w:unhideWhenUsed/>
    <w:qFormat/>
    <w:pPr>
      <w:spacing w:after="100"/>
      <w:ind w:left="1760"/>
    </w:pPr>
    <w:rPr>
      <w:rFonts w:ascii="Calibri" w:eastAsia="Times New Roman" w:hAnsi="Calibri" w:cs="Times New Roman"/>
    </w:rPr>
  </w:style>
  <w:style w:type="table" w:styleId="MediumShading2-Accent5">
    <w:name w:val="Medium Shading 2 Accent 5"/>
    <w:basedOn w:val="TableNormal"/>
    <w:uiPriority w:val="64"/>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qFormat/>
    <w:rPr>
      <w:rFonts w:ascii="Calibri" w:eastAsia="Calibri" w:hAnsi="Calibri" w:cs="Times New Roman"/>
      <w:color w:val="000000"/>
    </w:rPr>
    <w:tblPr>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2-Accent1">
    <w:name w:val="Medium List 2 Accent 1"/>
    <w:basedOn w:val="TableNormal"/>
    <w:uiPriority w:val="66"/>
    <w:qFormat/>
    <w:rPr>
      <w:rFonts w:ascii="Cambria" w:eastAsia="Times New Roman" w:hAnsi="Cambria" w:cs="Times New Roma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Grid-Accent1">
    <w:name w:val="Colorful Grid Accent 1"/>
    <w:basedOn w:val="TableNormal"/>
    <w:uiPriority w:val="73"/>
    <w:qFormat/>
    <w:rPr>
      <w:rFonts w:ascii="Calibri" w:eastAsia="Calibri" w:hAnsi="Calibri" w:cs="Times New Roman"/>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1Char">
    <w:name w:val="Heading 1 Char"/>
    <w:basedOn w:val="DefaultParagraphFont"/>
    <w:link w:val="Heading1"/>
    <w:uiPriority w:val="9"/>
    <w:qFormat/>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qFormat/>
    <w:rPr>
      <w:rFonts w:ascii="Times New Roman" w:eastAsia="Calibri" w:hAnsi="Times New Roman" w:cs="Times New Roman"/>
      <w:b/>
      <w:iCs/>
      <w:sz w:val="20"/>
      <w:szCs w:val="20"/>
      <w:lang w:eastAsia="ja-JP"/>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styleId="PlaceholderText">
    <w:name w:val="Placeholder Text"/>
    <w:uiPriority w:val="99"/>
    <w:semiHidden/>
    <w:qFormat/>
    <w:rPr>
      <w:color w:val="808080"/>
    </w:rPr>
  </w:style>
  <w:style w:type="character" w:customStyle="1" w:styleId="HeaderChar">
    <w:name w:val="Header Char"/>
    <w:basedOn w:val="DefaultParagraphFont"/>
    <w:link w:val="Header"/>
    <w:uiPriority w:val="99"/>
    <w:qFormat/>
    <w:rPr>
      <w:rFonts w:ascii="Calibri" w:eastAsia="Calibri" w:hAnsi="Calibri" w:cs="Times New Roman"/>
    </w:rPr>
  </w:style>
  <w:style w:type="character" w:customStyle="1" w:styleId="FooterChar">
    <w:name w:val="Footer Char"/>
    <w:basedOn w:val="DefaultParagraphFont"/>
    <w:link w:val="Footer"/>
    <w:uiPriority w:val="99"/>
    <w:rPr>
      <w:rFonts w:ascii="Calibri" w:eastAsia="Calibri" w:hAnsi="Calibri" w:cs="Times New Roman"/>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sz w:val="20"/>
      <w:szCs w:val="20"/>
    </w:rPr>
  </w:style>
  <w:style w:type="paragraph" w:styleId="NoSpacing">
    <w:name w:val="No Spacing"/>
    <w:uiPriority w:val="1"/>
    <w:qFormat/>
    <w:rPr>
      <w:rFonts w:ascii="Calibri" w:eastAsia="Calibri" w:hAnsi="Calibri" w:cs="Times New Roman"/>
      <w:sz w:val="22"/>
      <w:szCs w:val="22"/>
    </w:rPr>
  </w:style>
  <w:style w:type="paragraph" w:customStyle="1" w:styleId="TOCHeading1">
    <w:name w:val="TOC Heading1"/>
    <w:basedOn w:val="Heading1"/>
    <w:next w:val="Normal"/>
    <w:uiPriority w:val="39"/>
    <w:unhideWhenUsed/>
    <w:qFormat/>
    <w:pPr>
      <w:outlineLvl w:val="9"/>
    </w:pPr>
    <w:rPr>
      <w:lang w:eastAsia="ja-JP"/>
    </w:rPr>
  </w:style>
  <w:style w:type="table" w:customStyle="1" w:styleId="LightShading1">
    <w:name w:val="Light Shading1"/>
    <w:basedOn w:val="TableNormal"/>
    <w:uiPriority w:val="60"/>
    <w:qFormat/>
    <w:rPr>
      <w:rFonts w:ascii="Calibri" w:eastAsia="Calibri"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uiPriority w:val="64"/>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Pr>
      <w:rFonts w:ascii="Calibri" w:eastAsia="Calibri"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1">
    <w:name w:val="Medium List 21"/>
    <w:basedOn w:val="TableNormal"/>
    <w:uiPriority w:val="66"/>
    <w:rPr>
      <w:rFonts w:ascii="Cambria" w:eastAsia="Times New Roman" w:hAnsi="Cambria" w:cs="Times New Roma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qFormat/>
    <w:rPr>
      <w:rFonts w:ascii="Calibri" w:eastAsia="Calibri" w:hAnsi="Calibri"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qFormat/>
    <w:rPr>
      <w:rFonts w:ascii="Calibri" w:eastAsia="Calibri" w:hAnsi="Calibri" w:cs="Times New Roman"/>
      <w:color w:val="FFFFFF"/>
    </w:rPr>
    <w:tblPr>
      <w:tblBorders>
        <w:top w:val="single" w:sz="8" w:space="0" w:color="000000"/>
        <w:bottom w:val="single" w:sz="8" w:space="0" w:color="000000"/>
      </w:tblBorders>
    </w:tblPr>
    <w:tcPr>
      <w:shd w:val="clear" w:color="auto" w:fill="auto"/>
    </w:tc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tyle1">
    <w:name w:val="Style1"/>
    <w:basedOn w:val="TableNormal"/>
    <w:uiPriority w:val="99"/>
    <w:qFormat/>
    <w:rPr>
      <w:rFonts w:ascii="Calibri" w:eastAsia="Calibri" w:hAnsi="Calibri"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customStyle="1" w:styleId="MediumList1-Accent11">
    <w:name w:val="Medium List 1 - Accent 11"/>
    <w:basedOn w:val="TableNormal"/>
    <w:uiPriority w:val="65"/>
    <w:qFormat/>
    <w:rPr>
      <w:rFonts w:ascii="Calibri" w:eastAsia="Calibri" w:hAnsi="Calibri" w:cs="Times New Roman"/>
      <w:color w:val="000000"/>
    </w:rPr>
    <w:tblPr>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11">
    <w:name w:val="Light Shading11"/>
    <w:basedOn w:val="TableNormal"/>
    <w:uiPriority w:val="60"/>
    <w:qFormat/>
    <w:rPr>
      <w:rFonts w:ascii="Calibri" w:eastAsia="Times New Roman"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Pr>
      <w:rFonts w:ascii="Calibri" w:eastAsia="Calibri"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qFormat/>
    <w:rPr>
      <w:rFonts w:ascii="Calibri" w:eastAsia="Calibri" w:hAnsi="Calibri" w:cs="Times New Roman"/>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Pr>
      <w:rFonts w:ascii="Times New Roman" w:hAnsi="Times New Roman" w:cs="Times New Roman"/>
      <w:b/>
      <w:sz w:val="24"/>
      <w:szCs w:val="20"/>
    </w:rPr>
  </w:style>
  <w:style w:type="table" w:customStyle="1" w:styleId="GridTable1Light-Accent11">
    <w:name w:val="Grid Table 1 Light - Accent 11"/>
    <w:basedOn w:val="TableNormal"/>
    <w:uiPriority w:val="46"/>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rPr>
      <w:color w:val="605E5C"/>
      <w:shd w:val="clear" w:color="auto" w:fill="E1DFDD"/>
    </w:rPr>
  </w:style>
  <w:style w:type="table" w:customStyle="1" w:styleId="PlainTable31">
    <w:name w:val="Plain Table 31"/>
    <w:basedOn w:val="TableNormal"/>
    <w:uiPriority w:val="99"/>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2">
    <w:name w:val="Grid Table 1 Light - Accent 12"/>
    <w:basedOn w:val="TableNormal"/>
    <w:uiPriority w:val="46"/>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tblPr>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99"/>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391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s://doi.org/10.1080/19443994.2013.856345" TargetMode="External"/><Relationship Id="rId3" Type="http://schemas.openxmlformats.org/officeDocument/2006/relationships/numbering" Target="numbering.xml"/><Relationship Id="rId21" Type="http://schemas.openxmlformats.org/officeDocument/2006/relationships/hyperlink" Target="https://doi.org/10.1021/i160018a011"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yperlink" Target="https://doi.org/10.2225/vol10-issue3-fulltext-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07/s11356-018-1612-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Pb%20(II)%20Biosorption%20using%20Seaweed%203.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7743632974601"/>
          <c:y val="4.1655424471258501E-2"/>
          <c:w val="0.75836636593546503"/>
          <c:h val="0.72943645696165105"/>
        </c:manualLayout>
      </c:layout>
      <c:scatterChart>
        <c:scatterStyle val="lineMarker"/>
        <c:varyColors val="0"/>
        <c:ser>
          <c:idx val="0"/>
          <c:order val="0"/>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ysClr val="windowText" lastClr="000000"/>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Sheet1!$B$9:$B$15</c:f>
              <c:numCache>
                <c:formatCode>General</c:formatCode>
                <c:ptCount val="7"/>
                <c:pt idx="0">
                  <c:v>2</c:v>
                </c:pt>
                <c:pt idx="1">
                  <c:v>3</c:v>
                </c:pt>
                <c:pt idx="2">
                  <c:v>4</c:v>
                </c:pt>
                <c:pt idx="3">
                  <c:v>5</c:v>
                </c:pt>
                <c:pt idx="4">
                  <c:v>6</c:v>
                </c:pt>
                <c:pt idx="5">
                  <c:v>7</c:v>
                </c:pt>
                <c:pt idx="6">
                  <c:v>8</c:v>
                </c:pt>
              </c:numCache>
            </c:numRef>
          </c:xVal>
          <c:yVal>
            <c:numRef>
              <c:f>Sheet1!$C$9:$C$15</c:f>
              <c:numCache>
                <c:formatCode>General</c:formatCode>
                <c:ptCount val="7"/>
                <c:pt idx="0">
                  <c:v>4.16</c:v>
                </c:pt>
                <c:pt idx="1">
                  <c:v>4.5720000000000001</c:v>
                </c:pt>
                <c:pt idx="2">
                  <c:v>4.718</c:v>
                </c:pt>
                <c:pt idx="3">
                  <c:v>4.4420000000000002</c:v>
                </c:pt>
                <c:pt idx="4">
                  <c:v>4.4340000000000002</c:v>
                </c:pt>
                <c:pt idx="5">
                  <c:v>4.1689999999999801</c:v>
                </c:pt>
                <c:pt idx="6">
                  <c:v>4.1059000000000001</c:v>
                </c:pt>
              </c:numCache>
            </c:numRef>
          </c:yVal>
          <c:smooth val="0"/>
          <c:extLst>
            <c:ext xmlns:c16="http://schemas.microsoft.com/office/drawing/2014/chart" uri="{C3380CC4-5D6E-409C-BE32-E72D297353CC}">
              <c16:uniqueId val="{00000000-8C6D-874D-AA8D-D5A93B2EE85C}"/>
            </c:ext>
          </c:extLst>
        </c:ser>
        <c:dLbls>
          <c:showLegendKey val="0"/>
          <c:showVal val="0"/>
          <c:showCatName val="0"/>
          <c:showSerName val="0"/>
          <c:showPercent val="0"/>
          <c:showBubbleSize val="0"/>
        </c:dLbls>
        <c:axId val="2102948936"/>
        <c:axId val="2102962424"/>
      </c:scatterChart>
      <c:valAx>
        <c:axId val="2102948936"/>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pH</a:t>
                </a:r>
              </a:p>
            </c:rich>
          </c:tx>
          <c:layout>
            <c:manualLayout>
              <c:xMode val="edge"/>
              <c:yMode val="edge"/>
              <c:x val="0.52329022653489499"/>
              <c:y val="0.9056505513419610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62424"/>
        <c:crosses val="autoZero"/>
        <c:crossBetween val="midCat"/>
        <c:majorUnit val="1"/>
      </c:valAx>
      <c:valAx>
        <c:axId val="2102962424"/>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Pb(II) uptake, q, mg/g</a:t>
                </a:r>
              </a:p>
            </c:rich>
          </c:tx>
          <c:layout>
            <c:manualLayout>
              <c:xMode val="edge"/>
              <c:yMode val="edge"/>
              <c:x val="1.94444165816853E-2"/>
              <c:y val="0.185267970535941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48936"/>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57450101209"/>
          <c:y val="7.9124835736864796E-2"/>
          <c:w val="0.71331263289440605"/>
          <c:h val="0.70633471394110403"/>
        </c:manualLayout>
      </c:layout>
      <c:scatterChart>
        <c:scatterStyle val="smoothMarker"/>
        <c:varyColors val="0"/>
        <c:ser>
          <c:idx val="1"/>
          <c:order val="0"/>
          <c:tx>
            <c:strRef>
              <c:f>Sheet1!$C$25</c:f>
              <c:strCache>
                <c:ptCount val="1"/>
                <c:pt idx="0">
                  <c:v>2nd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gradFill rotWithShape="1">
                <a:gsLst>
                  <a:gs pos="2000">
                    <a:schemeClr val="tx1"/>
                  </a:gs>
                  <a:gs pos="99687">
                    <a:schemeClr val="tx1"/>
                  </a:gs>
                  <a:gs pos="99375">
                    <a:srgbClr val="CE3C38"/>
                  </a:gs>
                  <a:gs pos="98750">
                    <a:srgbClr val="CE3C38"/>
                  </a:gs>
                  <a:gs pos="97500">
                    <a:srgbClr val="CE3C38"/>
                  </a:gs>
                  <a:gs pos="95000">
                    <a:srgbClr val="CE3C38"/>
                  </a:gs>
                  <a:gs pos="90000">
                    <a:srgbClr val="CD3C39"/>
                  </a:gs>
                  <a:gs pos="80000">
                    <a:schemeClr val="accent2">
                      <a:shade val="93000"/>
                      <a:satMod val="130000"/>
                    </a:schemeClr>
                  </a:gs>
                  <a:gs pos="100000">
                    <a:schemeClr val="accent2">
                      <a:shade val="94000"/>
                      <a:satMod val="135000"/>
                    </a:schemeClr>
                  </a:gs>
                </a:gsLst>
                <a:lin ang="0" scaled="0"/>
              </a:gra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Sheet1!$A$26:$A$32</c:f>
              <c:numCache>
                <c:formatCode>General</c:formatCode>
                <c:ptCount val="7"/>
                <c:pt idx="0">
                  <c:v>0</c:v>
                </c:pt>
                <c:pt idx="1">
                  <c:v>5</c:v>
                </c:pt>
                <c:pt idx="2">
                  <c:v>10</c:v>
                </c:pt>
                <c:pt idx="3">
                  <c:v>30</c:v>
                </c:pt>
                <c:pt idx="4">
                  <c:v>60</c:v>
                </c:pt>
                <c:pt idx="5">
                  <c:v>120</c:v>
                </c:pt>
                <c:pt idx="6">
                  <c:v>180</c:v>
                </c:pt>
              </c:numCache>
            </c:numRef>
          </c:xVal>
          <c:yVal>
            <c:numRef>
              <c:f>Sheet1!$C$26:$C$32</c:f>
              <c:numCache>
                <c:formatCode>General</c:formatCode>
                <c:ptCount val="7"/>
                <c:pt idx="0">
                  <c:v>0</c:v>
                </c:pt>
                <c:pt idx="1">
                  <c:v>1.4319999999999899</c:v>
                </c:pt>
                <c:pt idx="2">
                  <c:v>2.2759999999999998</c:v>
                </c:pt>
                <c:pt idx="3">
                  <c:v>3.1739999999999999</c:v>
                </c:pt>
                <c:pt idx="4">
                  <c:v>3.45</c:v>
                </c:pt>
                <c:pt idx="5">
                  <c:v>3.847</c:v>
                </c:pt>
                <c:pt idx="6">
                  <c:v>4.0439999999999996</c:v>
                </c:pt>
              </c:numCache>
            </c:numRef>
          </c:yVal>
          <c:smooth val="1"/>
          <c:extLst>
            <c:ext xmlns:c16="http://schemas.microsoft.com/office/drawing/2014/chart" uri="{C3380CC4-5D6E-409C-BE32-E72D297353CC}">
              <c16:uniqueId val="{00000000-104D-044A-B6CD-5CF53606069C}"/>
            </c:ext>
          </c:extLst>
        </c:ser>
        <c:dLbls>
          <c:showLegendKey val="0"/>
          <c:showVal val="0"/>
          <c:showCatName val="0"/>
          <c:showSerName val="0"/>
          <c:showPercent val="0"/>
          <c:showBubbleSize val="0"/>
        </c:dLbls>
        <c:axId val="2103279960"/>
        <c:axId val="2021582872"/>
      </c:scatterChart>
      <c:valAx>
        <c:axId val="2103279960"/>
        <c:scaling>
          <c:orientation val="minMax"/>
          <c:max val="18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900">
                    <a:latin typeface="Times New Roman" panose="02020603050405020304" charset="0"/>
                    <a:cs typeface="Times New Roman" panose="02020603050405020304" charset="0"/>
                  </a:rPr>
                  <a:t>Contact time, t (min)</a:t>
                </a:r>
              </a:p>
            </c:rich>
          </c:tx>
          <c:layout>
            <c:manualLayout>
              <c:xMode val="edge"/>
              <c:yMode val="edge"/>
              <c:x val="0.34431875082449498"/>
              <c:y val="0.8947451542354252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21582872"/>
        <c:crosses val="autoZero"/>
        <c:crossBetween val="midCat"/>
        <c:majorUnit val="20"/>
      </c:valAx>
      <c:valAx>
        <c:axId val="202158287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b="1">
                    <a:latin typeface="Times New Roman" panose="02020603050405020304" charset="0"/>
                    <a:cs typeface="Times New Roman" panose="02020603050405020304" charset="0"/>
                  </a:rPr>
                  <a:t>Pb(II) uptake, q (mg/g)</a:t>
                </a:r>
              </a:p>
            </c:rich>
          </c:tx>
          <c:layout>
            <c:manualLayout>
              <c:xMode val="edge"/>
              <c:yMode val="edge"/>
              <c:x val="2.5097679964519799E-2"/>
              <c:y val="0.206280895739096"/>
            </c:manualLayout>
          </c:layout>
          <c:overlay val="0"/>
          <c:spPr>
            <a:noFill/>
            <a:ln>
              <a:noFill/>
            </a:ln>
            <a:effectLst/>
          </c:spPr>
        </c:title>
        <c:numFmt formatCode="#,##0.0"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3279960"/>
        <c:crosses val="autoZero"/>
        <c:crossBetween val="midCat"/>
        <c:majorUnit val="1"/>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1886151630499"/>
          <c:y val="6.1578034858787399E-2"/>
          <c:w val="0.77256572821158698"/>
          <c:h val="0.71098158993470995"/>
        </c:manualLayout>
      </c:layout>
      <c:scatterChart>
        <c:scatterStyle val="lineMarker"/>
        <c:varyColors val="0"/>
        <c:ser>
          <c:idx val="2"/>
          <c:order val="0"/>
          <c:tx>
            <c:strRef>
              <c:f>Sheet1!$D$1</c:f>
              <c:strCache>
                <c:ptCount val="1"/>
                <c:pt idx="0">
                  <c:v>3rd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chemeClr val="tx1"/>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Sheet1!$A$2:$A$8</c:f>
              <c:numCache>
                <c:formatCode>General</c:formatCode>
                <c:ptCount val="7"/>
                <c:pt idx="0">
                  <c:v>50</c:v>
                </c:pt>
                <c:pt idx="1">
                  <c:v>100</c:v>
                </c:pt>
                <c:pt idx="2">
                  <c:v>250</c:v>
                </c:pt>
                <c:pt idx="3">
                  <c:v>500</c:v>
                </c:pt>
                <c:pt idx="4">
                  <c:v>1000</c:v>
                </c:pt>
                <c:pt idx="5">
                  <c:v>1500</c:v>
                </c:pt>
                <c:pt idx="6">
                  <c:v>2000</c:v>
                </c:pt>
              </c:numCache>
            </c:numRef>
          </c:xVal>
          <c:yVal>
            <c:numRef>
              <c:f>Sheet1!$D$2:$D$8</c:f>
              <c:numCache>
                <c:formatCode>General</c:formatCode>
                <c:ptCount val="7"/>
                <c:pt idx="0">
                  <c:v>4.8099999999999996</c:v>
                </c:pt>
                <c:pt idx="1">
                  <c:v>9.64</c:v>
                </c:pt>
                <c:pt idx="2">
                  <c:v>24.33</c:v>
                </c:pt>
                <c:pt idx="3">
                  <c:v>48.71</c:v>
                </c:pt>
                <c:pt idx="4">
                  <c:v>91.87</c:v>
                </c:pt>
                <c:pt idx="5">
                  <c:v>124.43</c:v>
                </c:pt>
                <c:pt idx="6">
                  <c:v>143.55000000000001</c:v>
                </c:pt>
              </c:numCache>
            </c:numRef>
          </c:yVal>
          <c:smooth val="0"/>
          <c:extLst>
            <c:ext xmlns:c16="http://schemas.microsoft.com/office/drawing/2014/chart" uri="{C3380CC4-5D6E-409C-BE32-E72D297353CC}">
              <c16:uniqueId val="{00000000-D6F7-F848-A7A9-8B0B55A91FF3}"/>
            </c:ext>
          </c:extLst>
        </c:ser>
        <c:dLbls>
          <c:showLegendKey val="0"/>
          <c:showVal val="0"/>
          <c:showCatName val="0"/>
          <c:showSerName val="0"/>
          <c:showPercent val="0"/>
          <c:showBubbleSize val="0"/>
        </c:dLbls>
        <c:axId val="2102816808"/>
        <c:axId val="2104810232"/>
      </c:scatterChart>
      <c:valAx>
        <c:axId val="2102816808"/>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initial concentration, mg/L</a:t>
                </a:r>
              </a:p>
            </c:rich>
          </c:tx>
          <c:layout>
            <c:manualLayout>
              <c:xMode val="edge"/>
              <c:yMode val="edge"/>
              <c:x val="0.35479489326568803"/>
              <c:y val="0.89757315922698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810232"/>
        <c:crosses val="autoZero"/>
        <c:crossBetween val="midCat"/>
      </c:valAx>
      <c:valAx>
        <c:axId val="210481023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uptake, q, mg/g</a:t>
                </a:r>
              </a:p>
            </c:rich>
          </c:tx>
          <c:layout>
            <c:manualLayout>
              <c:xMode val="edge"/>
              <c:yMode val="edge"/>
              <c:x val="1.8959325794731401E-2"/>
              <c:y val="0.154507056724670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816808"/>
        <c:crosses val="autoZero"/>
        <c:crossBetween val="midCat"/>
      </c:valAx>
      <c:spPr>
        <a:noFill/>
        <a:ln w="25400">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4951881014899"/>
          <c:y val="5.10204081632653E-2"/>
          <c:w val="0.80130336832895899"/>
          <c:h val="0.75096635647816701"/>
        </c:manualLayout>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B2E5-6442-9727-4F67ADA13101}"/>
            </c:ext>
          </c:extLst>
        </c:ser>
        <c:dLbls>
          <c:showLegendKey val="0"/>
          <c:showVal val="0"/>
          <c:showCatName val="0"/>
          <c:showSerName val="0"/>
          <c:showPercent val="0"/>
          <c:showBubbleSize val="0"/>
        </c:dLbls>
        <c:axId val="2104656232"/>
        <c:axId val="2104783496"/>
      </c:scatterChart>
      <c:valAx>
        <c:axId val="2104656232"/>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783496"/>
        <c:crosses val="autoZero"/>
        <c:crossBetween val="midCat"/>
      </c:valAx>
      <c:valAx>
        <c:axId val="2104783496"/>
        <c:scaling>
          <c:orientation val="minMax"/>
        </c:scaling>
        <c:delete val="0"/>
        <c:axPos val="l"/>
        <c:title>
          <c:tx>
            <c:rich>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10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crossAx val="210465623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558855399416"/>
          <c:y val="4.8484848484848499E-2"/>
          <c:w val="0.784064997811593"/>
          <c:h val="0.66849534717251302"/>
        </c:manualLayout>
      </c:layout>
      <c:scatterChart>
        <c:scatterStyle val="lineMarker"/>
        <c:varyColors val="0"/>
        <c:ser>
          <c:idx val="0"/>
          <c:order val="0"/>
          <c:tx>
            <c:strRef>
              <c:f>'Isotherm models'!$H$28</c:f>
              <c:strCache>
                <c:ptCount val="1"/>
                <c:pt idx="0">
                  <c:v>log q</c:v>
                </c:pt>
              </c:strCache>
            </c:strRef>
          </c:tx>
          <c:spPr>
            <a:ln w="25400" cap="rnd">
              <a:noFill/>
              <a:round/>
            </a:ln>
            <a:effectLst>
              <a:outerShdw blurRad="40000" dist="23000" dir="5400000" rotWithShape="0">
                <a:srgbClr val="000000">
                  <a:alpha val="35000"/>
                </a:srgbClr>
              </a:outerShdw>
            </a:effectLst>
          </c:spPr>
          <c:marker>
            <c:symbol val="circle"/>
            <c:size val="5"/>
            <c:spPr>
              <a:solidFill>
                <a:schemeClr val="tx1"/>
              </a:soli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tx1"/>
                </a:solidFill>
              </a:ln>
              <a:effectLst/>
            </c:spPr>
            <c:trendlineType val="linear"/>
            <c:dispRSqr val="0"/>
            <c:dispEq val="0"/>
          </c:trendline>
          <c:xVal>
            <c:numRef>
              <c:f>'Isotherm models'!$G$29:$G$34</c:f>
              <c:numCache>
                <c:formatCode>General</c:formatCode>
                <c:ptCount val="6"/>
                <c:pt idx="0">
                  <c:v>0.28299999999999997</c:v>
                </c:pt>
                <c:pt idx="1">
                  <c:v>0.58499999999999996</c:v>
                </c:pt>
                <c:pt idx="2">
                  <c:v>1.377</c:v>
                </c:pt>
                <c:pt idx="3">
                  <c:v>1.91</c:v>
                </c:pt>
                <c:pt idx="4">
                  <c:v>2.4980000000000002</c:v>
                </c:pt>
                <c:pt idx="5">
                  <c:v>2.7519999999999998</c:v>
                </c:pt>
              </c:numCache>
            </c:numRef>
          </c:xVal>
          <c:yVal>
            <c:numRef>
              <c:f>'Isotherm models'!$H$29:$H$34</c:f>
              <c:numCache>
                <c:formatCode>General</c:formatCode>
                <c:ptCount val="6"/>
                <c:pt idx="0">
                  <c:v>0.68200000000000005</c:v>
                </c:pt>
                <c:pt idx="1">
                  <c:v>0.98299999999999998</c:v>
                </c:pt>
                <c:pt idx="2">
                  <c:v>1.6779999999999999</c:v>
                </c:pt>
                <c:pt idx="3">
                  <c:v>1.9630000000000001</c:v>
                </c:pt>
                <c:pt idx="4">
                  <c:v>2.0950000000000002</c:v>
                </c:pt>
                <c:pt idx="5">
                  <c:v>2.157</c:v>
                </c:pt>
              </c:numCache>
            </c:numRef>
          </c:yVal>
          <c:smooth val="0"/>
          <c:extLst>
            <c:ext xmlns:c16="http://schemas.microsoft.com/office/drawing/2014/chart" uri="{C3380CC4-5D6E-409C-BE32-E72D297353CC}">
              <c16:uniqueId val="{00000001-EF44-6443-83A7-04716F5DAC01}"/>
            </c:ext>
          </c:extLst>
        </c:ser>
        <c:dLbls>
          <c:showLegendKey val="0"/>
          <c:showVal val="0"/>
          <c:showCatName val="0"/>
          <c:showSerName val="0"/>
          <c:showPercent val="0"/>
          <c:showBubbleSize val="0"/>
        </c:dLbls>
        <c:axId val="2104933176"/>
        <c:axId val="2103387544"/>
      </c:scatterChart>
      <c:valAx>
        <c:axId val="2104933176"/>
        <c:scaling>
          <c:orientation val="minMax"/>
        </c:scaling>
        <c:delete val="0"/>
        <c:axPos val="b"/>
        <c:title>
          <c:tx>
            <c:rich>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b="1">
                    <a:solidFill>
                      <a:sysClr val="windowText" lastClr="000000"/>
                    </a:solidFill>
                    <a:latin typeface="Times New Roman" panose="02020603050405020304" charset="0"/>
                    <a:cs typeface="Times New Roman" panose="02020603050405020304" charset="0"/>
                  </a:rPr>
                  <a:t>log Cf</a:t>
                </a:r>
              </a:p>
            </c:rich>
          </c:tx>
          <c:layout>
            <c:manualLayout>
              <c:xMode val="edge"/>
              <c:yMode val="edge"/>
              <c:x val="0.52023169823366699"/>
              <c:y val="0.805214220949654"/>
            </c:manualLayout>
          </c:layout>
          <c:overlay val="0"/>
          <c:spPr>
            <a:noFill/>
            <a:ln>
              <a:noFill/>
            </a:ln>
            <a:effectLst/>
          </c:spPr>
          <c:txPr>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3387544"/>
        <c:crosses val="autoZero"/>
        <c:crossBetween val="midCat"/>
      </c:valAx>
      <c:valAx>
        <c:axId val="2103387544"/>
        <c:scaling>
          <c:orientation val="minMax"/>
        </c:scaling>
        <c:delete val="0"/>
        <c:axPos val="l"/>
        <c:title>
          <c:tx>
            <c:rich>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a:solidFill>
                      <a:sysClr val="windowText" lastClr="000000"/>
                    </a:solidFill>
                    <a:latin typeface="Times New Roman" panose="02020603050405020304" charset="0"/>
                    <a:cs typeface="Times New Roman" panose="02020603050405020304" charset="0"/>
                  </a:rPr>
                  <a:t>log q</a:t>
                </a:r>
              </a:p>
            </c:rich>
          </c:tx>
          <c:overlay val="0"/>
          <c:spPr>
            <a:noFill/>
            <a:ln>
              <a:noFill/>
            </a:ln>
            <a:effectLst/>
          </c:spPr>
          <c:txPr>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4933176"/>
        <c:crosses val="autoZero"/>
        <c:crossBetween val="midCat"/>
      </c:valAx>
      <c:spPr>
        <a:noFill/>
        <a:ln w="0">
          <a:solidFill>
            <a:schemeClr val="bg1"/>
          </a:solidFill>
        </a:ln>
        <a:effectLst/>
      </c:spPr>
    </c:plotArea>
    <c:plotVisOnly val="1"/>
    <c:dispBlanksAs val="gap"/>
    <c:showDLblsOverMax val="0"/>
  </c:chart>
  <c:spPr>
    <a:solidFill>
      <a:schemeClr val="bg1"/>
    </a:solidFill>
    <a:ln w="9525" cap="flat" cmpd="sng" algn="ctr">
      <a:solidFill>
        <a:schemeClr val="tx1"/>
      </a:solidFill>
      <a:round/>
    </a:ln>
    <a:effectLst/>
  </c:spPr>
  <c:txPr>
    <a:bodyPr rot="0"/>
    <a:lstStyle/>
    <a:p>
      <a:pPr>
        <a:defRPr lang="en-US">
          <a:ln>
            <a:noFill/>
          </a:ln>
          <a:solidFill>
            <a:schemeClr val="tx2"/>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'First Order kinetics'!$B$1</c:f>
              <c:strCache>
                <c:ptCount val="1"/>
                <c:pt idx="0">
                  <c:v>log(qe-qt)</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'First Order kinetics'!$A$2:$A$7</c:f>
              <c:numCache>
                <c:formatCode>General</c:formatCode>
                <c:ptCount val="6"/>
                <c:pt idx="0">
                  <c:v>0</c:v>
                </c:pt>
                <c:pt idx="1">
                  <c:v>10</c:v>
                </c:pt>
                <c:pt idx="2">
                  <c:v>15</c:v>
                </c:pt>
                <c:pt idx="3">
                  <c:v>30</c:v>
                </c:pt>
                <c:pt idx="4">
                  <c:v>60</c:v>
                </c:pt>
                <c:pt idx="5">
                  <c:v>120</c:v>
                </c:pt>
              </c:numCache>
            </c:numRef>
          </c:xVal>
          <c:yVal>
            <c:numRef>
              <c:f>'First Order kinetics'!$B$2:$B$7</c:f>
              <c:numCache>
                <c:formatCode>General</c:formatCode>
                <c:ptCount val="6"/>
                <c:pt idx="0">
                  <c:v>0.60699999999999998</c:v>
                </c:pt>
                <c:pt idx="1">
                  <c:v>0.40899999999999997</c:v>
                </c:pt>
                <c:pt idx="2">
                  <c:v>0.247</c:v>
                </c:pt>
                <c:pt idx="3">
                  <c:v>-0.06</c:v>
                </c:pt>
                <c:pt idx="4">
                  <c:v>-0.22600000000000001</c:v>
                </c:pt>
                <c:pt idx="5">
                  <c:v>-0.70599999999999996</c:v>
                </c:pt>
              </c:numCache>
            </c:numRef>
          </c:yVal>
          <c:smooth val="0"/>
          <c:extLst>
            <c:ext xmlns:c16="http://schemas.microsoft.com/office/drawing/2014/chart" uri="{C3380CC4-5D6E-409C-BE32-E72D297353CC}">
              <c16:uniqueId val="{00000001-5288-0347-94F0-A5FF1A2E9298}"/>
            </c:ext>
          </c:extLst>
        </c:ser>
        <c:dLbls>
          <c:showLegendKey val="0"/>
          <c:showVal val="0"/>
          <c:showCatName val="0"/>
          <c:showSerName val="0"/>
          <c:showPercent val="0"/>
          <c:showBubbleSize val="0"/>
        </c:dLbls>
        <c:axId val="2103265288"/>
        <c:axId val="2103281352"/>
      </c:scatterChart>
      <c:valAx>
        <c:axId val="2103265288"/>
        <c:scaling>
          <c:orientation val="minMax"/>
        </c:scaling>
        <c:delete val="0"/>
        <c:axPos val="b"/>
        <c:title>
          <c:tx>
            <c:rich>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cap="none">
                    <a:solidFill>
                      <a:sysClr val="windowText" lastClr="000000"/>
                    </a:solidFill>
                    <a:latin typeface="Times New Roman" panose="02020603050405020304" charset="0"/>
                    <a:cs typeface="Times New Roman" panose="02020603050405020304" charset="0"/>
                  </a:rPr>
                  <a:t>time, min</a:t>
                </a:r>
              </a:p>
            </c:rich>
          </c:tx>
          <c:overlay val="0"/>
          <c:spPr>
            <a:noFill/>
            <a:ln>
              <a:noFill/>
            </a:ln>
            <a:effectLst/>
          </c:spPr>
          <c:txPr>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3281352"/>
        <c:crosses val="autoZero"/>
        <c:crossBetween val="midCat"/>
      </c:valAx>
      <c:valAx>
        <c:axId val="2103281352"/>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b="1" cap="none">
                    <a:solidFill>
                      <a:sysClr val="windowText" lastClr="000000"/>
                    </a:solidFill>
                    <a:latin typeface="Times New Roman" panose="02020603050405020304" charset="0"/>
                    <a:cs typeface="Times New Roman" panose="02020603050405020304" charset="0"/>
                  </a:rPr>
                  <a:t>log (qe-qt)</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3265288"/>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4D90-124E-92C4-4870AF0C0A66}"/>
            </c:ext>
          </c:extLst>
        </c:ser>
        <c:dLbls>
          <c:showLegendKey val="0"/>
          <c:showVal val="0"/>
          <c:showCatName val="0"/>
          <c:showSerName val="0"/>
          <c:showPercent val="0"/>
          <c:showBubbleSize val="0"/>
        </c:dLbls>
        <c:axId val="2105003800"/>
        <c:axId val="2104877784"/>
      </c:scatterChart>
      <c:valAx>
        <c:axId val="2105003800"/>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877784"/>
        <c:crosses val="autoZero"/>
        <c:crossBetween val="midCat"/>
      </c:valAx>
      <c:valAx>
        <c:axId val="2104877784"/>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500380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77A624D-0352-6848-877E-273A7E49BA3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Pb (II) Biosorption using Seaweed 3</Template>
  <TotalTime>347</TotalTime>
  <Pages>13</Pages>
  <Words>12505</Words>
  <Characters>71283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Harun Hamzah</cp:lastModifiedBy>
  <cp:revision>16</cp:revision>
  <cp:lastPrinted>2022-02-04T01:22:00Z</cp:lastPrinted>
  <dcterms:created xsi:type="dcterms:W3CDTF">2022-02-14T07:05:00Z</dcterms:created>
  <dcterms:modified xsi:type="dcterms:W3CDTF">2022-06-11T10:41:00Z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970be6d8-533e-360d-931f-f2ab48802875</vt:lpwstr>
  </property>
  <property fmtid="{D5CDD505-2E9C-101B-9397-08002B2CF9AE}" pid="24" name="Mendeley Citation Style_1">
    <vt:lpwstr>http://www.zotero.org/styles/apa</vt:lpwstr>
  </property>
  <property fmtid="{D5CDD505-2E9C-101B-9397-08002B2CF9AE}" pid="25" name="KSOProductBuildVer">
    <vt:lpwstr>1033-11.2.0.10463</vt:lpwstr>
  </property>
  <property fmtid="{D5CDD505-2E9C-101B-9397-08002B2CF9AE}" pid="26" name="ICV">
    <vt:lpwstr>BD64372AFA2844739058DD69FE5336B1</vt:lpwstr>
  </property>
</Properties>
</file>