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E5CF6" w14:textId="3EAC6BD7" w:rsidR="00785CA6" w:rsidRPr="00EC0D34" w:rsidRDefault="003E78E5" w:rsidP="003E78E5">
      <w:pPr>
        <w:jc w:val="center"/>
        <w:outlineLvl w:val="0"/>
        <w:rPr>
          <w:rFonts w:ascii="Times New Roman" w:hAnsi="Times New Roman" w:cs="Times New Roman"/>
          <w:sz w:val="28"/>
        </w:rPr>
      </w:pPr>
      <w:r w:rsidRPr="00EC0D34">
        <w:rPr>
          <w:rFonts w:ascii="Times New Roman" w:hAnsi="Times New Roman" w:cs="Times New Roman"/>
          <w:sz w:val="28"/>
        </w:rPr>
        <w:t>POTENTIAL OF TEXTILE WASTE AS NITROGEN DOPED POROUS CARBON FOR OXYGEN REDUCTION REACTION</w:t>
      </w:r>
    </w:p>
    <w:p w14:paraId="244B3691" w14:textId="77777777" w:rsidR="00785CA6" w:rsidRPr="00EC0D34" w:rsidRDefault="00785CA6" w:rsidP="009C4E07">
      <w:pPr>
        <w:jc w:val="center"/>
        <w:outlineLvl w:val="0"/>
        <w:rPr>
          <w:rFonts w:ascii="Times New Roman" w:hAnsi="Times New Roman" w:cs="Times New Roman"/>
          <w:b/>
          <w:sz w:val="24"/>
        </w:rPr>
      </w:pPr>
    </w:p>
    <w:p w14:paraId="67240F64" w14:textId="77777777" w:rsidR="00EC0D34" w:rsidRPr="00EC0D34" w:rsidRDefault="002D361F" w:rsidP="00785CA6">
      <w:pPr>
        <w:jc w:val="center"/>
        <w:outlineLvl w:val="0"/>
        <w:rPr>
          <w:rFonts w:ascii="Times New Roman" w:hAnsi="Times New Roman" w:cs="Times New Roman"/>
          <w:noProof/>
          <w:sz w:val="24"/>
          <w:lang w:val="ms-MY"/>
        </w:rPr>
      </w:pPr>
      <w:r w:rsidRPr="00EC0D34">
        <w:rPr>
          <w:rFonts w:ascii="Times New Roman" w:hAnsi="Times New Roman" w:cs="Times New Roman"/>
          <w:sz w:val="24"/>
        </w:rPr>
        <w:t>(</w:t>
      </w:r>
      <w:r w:rsidRPr="00EC0D34">
        <w:rPr>
          <w:rFonts w:ascii="Times New Roman" w:hAnsi="Times New Roman" w:cs="Times New Roman"/>
          <w:noProof/>
          <w:sz w:val="24"/>
          <w:lang w:val="ms-MY"/>
        </w:rPr>
        <w:t xml:space="preserve">Potensi Sisa Tekstil Sebagai Karbon </w:t>
      </w:r>
      <w:r w:rsidR="00EB4DB9" w:rsidRPr="00EC0D34">
        <w:rPr>
          <w:rFonts w:ascii="Times New Roman" w:hAnsi="Times New Roman" w:cs="Times New Roman"/>
          <w:noProof/>
          <w:sz w:val="24"/>
          <w:lang w:val="ms-MY"/>
        </w:rPr>
        <w:t xml:space="preserve">Poros </w:t>
      </w:r>
      <w:r w:rsidRPr="00EC0D34">
        <w:rPr>
          <w:rFonts w:ascii="Times New Roman" w:hAnsi="Times New Roman" w:cs="Times New Roman"/>
          <w:noProof/>
          <w:sz w:val="24"/>
          <w:lang w:val="ms-MY"/>
        </w:rPr>
        <w:t xml:space="preserve">Terdop Nitrogen Berliang </w:t>
      </w:r>
      <w:r w:rsidR="00EC0D34" w:rsidRPr="00EC0D34">
        <w:rPr>
          <w:rFonts w:ascii="Times New Roman" w:hAnsi="Times New Roman" w:cs="Times New Roman"/>
          <w:noProof/>
          <w:sz w:val="24"/>
          <w:lang w:val="ms-MY"/>
        </w:rPr>
        <w:t>u</w:t>
      </w:r>
      <w:r w:rsidRPr="00EC0D34">
        <w:rPr>
          <w:rFonts w:ascii="Times New Roman" w:hAnsi="Times New Roman" w:cs="Times New Roman"/>
          <w:noProof/>
          <w:sz w:val="24"/>
          <w:lang w:val="ms-MY"/>
        </w:rPr>
        <w:t xml:space="preserve">ntuk </w:t>
      </w:r>
    </w:p>
    <w:p w14:paraId="747913A4" w14:textId="36CCBAB9" w:rsidR="00785CA6" w:rsidRPr="00EC0D34" w:rsidRDefault="002D361F" w:rsidP="00785CA6">
      <w:pPr>
        <w:jc w:val="center"/>
        <w:outlineLvl w:val="0"/>
        <w:rPr>
          <w:rFonts w:ascii="Times New Roman" w:hAnsi="Times New Roman" w:cs="Times New Roman"/>
          <w:sz w:val="24"/>
        </w:rPr>
      </w:pPr>
      <w:r w:rsidRPr="00EC0D34">
        <w:rPr>
          <w:rFonts w:ascii="Times New Roman" w:hAnsi="Times New Roman" w:cs="Times New Roman"/>
          <w:noProof/>
          <w:sz w:val="24"/>
          <w:lang w:val="ms-MY"/>
        </w:rPr>
        <w:t>Tindak Balas Penurunan Oksigen</w:t>
      </w:r>
      <w:r w:rsidR="00785CA6" w:rsidRPr="00EC0D34">
        <w:rPr>
          <w:rFonts w:ascii="Times New Roman" w:hAnsi="Times New Roman" w:cs="Times New Roman"/>
          <w:sz w:val="24"/>
        </w:rPr>
        <w:t>)</w:t>
      </w:r>
    </w:p>
    <w:p w14:paraId="63F378E8" w14:textId="3EFD3365" w:rsidR="00785CA6" w:rsidRPr="00EC0D34" w:rsidRDefault="00785CA6" w:rsidP="00785CA6">
      <w:pPr>
        <w:jc w:val="center"/>
        <w:outlineLvl w:val="0"/>
        <w:rPr>
          <w:rFonts w:ascii="Times New Roman" w:hAnsi="Times New Roman" w:cs="Times New Roman"/>
          <w:b/>
          <w:szCs w:val="20"/>
        </w:rPr>
      </w:pPr>
    </w:p>
    <w:p w14:paraId="50030461" w14:textId="37A0891C" w:rsidR="00785CA6" w:rsidRPr="00EC0D34" w:rsidRDefault="00431FE8" w:rsidP="00785CA6">
      <w:pPr>
        <w:jc w:val="center"/>
        <w:outlineLvl w:val="0"/>
        <w:rPr>
          <w:rFonts w:ascii="Times New Roman" w:hAnsi="Times New Roman" w:cs="Times New Roman"/>
          <w:noProof/>
          <w:szCs w:val="20"/>
          <w:vertAlign w:val="superscript"/>
          <w:lang w:val="ms-MY"/>
        </w:rPr>
      </w:pPr>
      <w:r w:rsidRPr="00EC0D34">
        <w:rPr>
          <w:rFonts w:ascii="Times New Roman" w:hAnsi="Times New Roman" w:cs="Times New Roman"/>
          <w:noProof/>
          <w:szCs w:val="20"/>
          <w:lang w:val="ms-MY"/>
        </w:rPr>
        <w:t>S</w:t>
      </w:r>
      <w:r w:rsidR="00B75E80" w:rsidRPr="00EC0D34">
        <w:rPr>
          <w:rFonts w:ascii="Times New Roman" w:hAnsi="Times New Roman" w:cs="Times New Roman"/>
          <w:noProof/>
          <w:szCs w:val="20"/>
          <w:lang w:val="ms-MY"/>
        </w:rPr>
        <w:t>uhaila</w:t>
      </w:r>
      <w:r w:rsidR="000E15FA" w:rsidRPr="00EC0D34">
        <w:rPr>
          <w:rFonts w:ascii="Times New Roman" w:hAnsi="Times New Roman" w:cs="Times New Roman"/>
          <w:noProof/>
          <w:szCs w:val="20"/>
          <w:lang w:val="ms-MY"/>
        </w:rPr>
        <w:t xml:space="preserve"> </w:t>
      </w:r>
      <w:r w:rsidRPr="00EC0D34">
        <w:rPr>
          <w:rFonts w:ascii="Times New Roman" w:hAnsi="Times New Roman" w:cs="Times New Roman"/>
          <w:noProof/>
          <w:szCs w:val="20"/>
          <w:lang w:val="ms-MY"/>
        </w:rPr>
        <w:t>M</w:t>
      </w:r>
      <w:r w:rsidR="00B75E80" w:rsidRPr="00EC0D34">
        <w:rPr>
          <w:rFonts w:ascii="Times New Roman" w:hAnsi="Times New Roman" w:cs="Times New Roman"/>
          <w:noProof/>
          <w:szCs w:val="20"/>
          <w:lang w:val="ms-MY"/>
        </w:rPr>
        <w:t>ohd</w:t>
      </w:r>
      <w:r w:rsidR="000E15FA" w:rsidRPr="00EC0D34">
        <w:rPr>
          <w:rFonts w:ascii="Times New Roman" w:hAnsi="Times New Roman" w:cs="Times New Roman"/>
          <w:noProof/>
          <w:szCs w:val="20"/>
          <w:lang w:val="ms-MY"/>
        </w:rPr>
        <w:t xml:space="preserve"> </w:t>
      </w:r>
      <w:r w:rsidRPr="00EC0D34">
        <w:rPr>
          <w:rFonts w:ascii="Times New Roman" w:hAnsi="Times New Roman" w:cs="Times New Roman"/>
          <w:noProof/>
          <w:szCs w:val="20"/>
          <w:lang w:val="ms-MY"/>
        </w:rPr>
        <w:t>Sauid</w:t>
      </w:r>
      <w:r w:rsidRPr="00EC0D34">
        <w:rPr>
          <w:rFonts w:ascii="Times New Roman" w:hAnsi="Times New Roman" w:cs="Times New Roman"/>
          <w:noProof/>
          <w:szCs w:val="20"/>
          <w:vertAlign w:val="superscript"/>
          <w:lang w:val="ms-MY"/>
        </w:rPr>
        <w:t>1,</w:t>
      </w:r>
      <w:r w:rsidR="0044136D" w:rsidRPr="00EC0D34">
        <w:rPr>
          <w:rFonts w:ascii="Times New Roman" w:hAnsi="Times New Roman" w:cs="Times New Roman"/>
          <w:noProof/>
          <w:szCs w:val="20"/>
          <w:vertAlign w:val="superscript"/>
          <w:lang w:val="ms-MY"/>
        </w:rPr>
        <w:t xml:space="preserve"> </w:t>
      </w:r>
      <w:r w:rsidR="007D1FA8" w:rsidRPr="00EC0D34">
        <w:rPr>
          <w:rFonts w:ascii="Times New Roman" w:hAnsi="Times New Roman" w:cs="Times New Roman"/>
          <w:noProof/>
          <w:szCs w:val="20"/>
          <w:vertAlign w:val="superscript"/>
          <w:lang w:val="ms-MY"/>
        </w:rPr>
        <w:t>3</w:t>
      </w:r>
      <w:r w:rsidR="007D1FA8" w:rsidRPr="00EC0D34">
        <w:rPr>
          <w:rFonts w:ascii="Times New Roman" w:hAnsi="Times New Roman" w:cs="Times New Roman"/>
          <w:noProof/>
          <w:szCs w:val="20"/>
          <w:lang w:val="ms-MY"/>
        </w:rPr>
        <w:t>,</w:t>
      </w:r>
      <w:r w:rsidR="00DE6C09" w:rsidRPr="00EC0D34">
        <w:rPr>
          <w:rFonts w:ascii="Times New Roman" w:hAnsi="Times New Roman" w:cs="Times New Roman"/>
          <w:noProof/>
          <w:szCs w:val="20"/>
          <w:lang w:val="ms-MY"/>
        </w:rPr>
        <w:t xml:space="preserve"> S</w:t>
      </w:r>
      <w:r w:rsidR="00B75E80" w:rsidRPr="00EC0D34">
        <w:rPr>
          <w:rFonts w:ascii="Times New Roman" w:hAnsi="Times New Roman" w:cs="Times New Roman"/>
          <w:noProof/>
          <w:szCs w:val="20"/>
          <w:lang w:val="ms-MY"/>
        </w:rPr>
        <w:t>iti</w:t>
      </w:r>
      <w:r w:rsidR="000E15FA" w:rsidRPr="00EC0D34">
        <w:rPr>
          <w:rFonts w:ascii="Times New Roman" w:hAnsi="Times New Roman" w:cs="Times New Roman"/>
          <w:noProof/>
          <w:szCs w:val="20"/>
          <w:lang w:val="ms-MY"/>
        </w:rPr>
        <w:t xml:space="preserve"> </w:t>
      </w:r>
      <w:r w:rsidR="00DE6C09" w:rsidRPr="00EC0D34">
        <w:rPr>
          <w:rFonts w:ascii="Times New Roman" w:hAnsi="Times New Roman" w:cs="Times New Roman"/>
          <w:noProof/>
          <w:szCs w:val="20"/>
          <w:lang w:val="ms-MY"/>
        </w:rPr>
        <w:t>K</w:t>
      </w:r>
      <w:r w:rsidR="00B75E80" w:rsidRPr="00EC0D34">
        <w:rPr>
          <w:rFonts w:ascii="Times New Roman" w:hAnsi="Times New Roman" w:cs="Times New Roman"/>
          <w:noProof/>
          <w:szCs w:val="20"/>
          <w:lang w:val="ms-MY"/>
        </w:rPr>
        <w:t>artom</w:t>
      </w:r>
      <w:r w:rsidR="000E15FA" w:rsidRPr="00EC0D34">
        <w:rPr>
          <w:rFonts w:ascii="Times New Roman" w:hAnsi="Times New Roman" w:cs="Times New Roman"/>
          <w:noProof/>
          <w:szCs w:val="20"/>
          <w:lang w:val="ms-MY"/>
        </w:rPr>
        <w:t xml:space="preserve"> Kamarudin</w:t>
      </w:r>
      <w:r w:rsidR="00A85CE9" w:rsidRPr="00EC0D34">
        <w:rPr>
          <w:rFonts w:ascii="Times New Roman" w:hAnsi="Times New Roman" w:cs="Times New Roman"/>
          <w:noProof/>
          <w:szCs w:val="20"/>
          <w:vertAlign w:val="superscript"/>
          <w:lang w:val="ms-MY"/>
        </w:rPr>
        <w:t>1,2</w:t>
      </w:r>
      <w:r w:rsidR="008C1001" w:rsidRPr="00EC0D34">
        <w:rPr>
          <w:rFonts w:ascii="Times New Roman" w:hAnsi="Times New Roman" w:cs="Times New Roman"/>
          <w:noProof/>
          <w:szCs w:val="20"/>
          <w:vertAlign w:val="superscript"/>
          <w:lang w:val="ms-MY"/>
        </w:rPr>
        <w:t>*</w:t>
      </w:r>
      <w:r w:rsidR="008C1001" w:rsidRPr="00EC0D34">
        <w:rPr>
          <w:rFonts w:ascii="Times New Roman" w:hAnsi="Times New Roman" w:cs="Times New Roman"/>
          <w:noProof/>
          <w:szCs w:val="20"/>
          <w:lang w:val="ms-MY"/>
        </w:rPr>
        <w:t>,</w:t>
      </w:r>
      <w:r w:rsidR="00A85CE9" w:rsidRPr="00EC0D34">
        <w:rPr>
          <w:rFonts w:ascii="Times New Roman" w:hAnsi="Times New Roman" w:cs="Times New Roman"/>
          <w:noProof/>
          <w:szCs w:val="20"/>
          <w:lang w:val="ms-MY"/>
        </w:rPr>
        <w:t xml:space="preserve"> </w:t>
      </w:r>
      <w:r w:rsidR="00B75E80" w:rsidRPr="00EC0D34">
        <w:rPr>
          <w:rFonts w:ascii="Times New Roman" w:hAnsi="Times New Roman" w:cs="Times New Roman"/>
          <w:noProof/>
          <w:szCs w:val="20"/>
          <w:lang w:val="ms-MY"/>
        </w:rPr>
        <w:t xml:space="preserve">Loh </w:t>
      </w:r>
      <w:r w:rsidR="00A85CE9" w:rsidRPr="00EC0D34">
        <w:rPr>
          <w:rFonts w:ascii="Times New Roman" w:hAnsi="Times New Roman" w:cs="Times New Roman"/>
          <w:noProof/>
          <w:szCs w:val="20"/>
          <w:lang w:val="ms-MY"/>
        </w:rPr>
        <w:t>K</w:t>
      </w:r>
      <w:r w:rsidR="00B75E80" w:rsidRPr="00EC0D34">
        <w:rPr>
          <w:rFonts w:ascii="Times New Roman" w:hAnsi="Times New Roman" w:cs="Times New Roman"/>
          <w:noProof/>
          <w:szCs w:val="20"/>
          <w:lang w:val="ms-MY"/>
        </w:rPr>
        <w:t>ee</w:t>
      </w:r>
      <w:r w:rsidR="00A85CE9" w:rsidRPr="00EC0D34">
        <w:rPr>
          <w:rFonts w:ascii="Times New Roman" w:hAnsi="Times New Roman" w:cs="Times New Roman"/>
          <w:noProof/>
          <w:szCs w:val="20"/>
          <w:lang w:val="ms-MY"/>
        </w:rPr>
        <w:t xml:space="preserve"> S</w:t>
      </w:r>
      <w:r w:rsidR="00B75E80" w:rsidRPr="00EC0D34">
        <w:rPr>
          <w:rFonts w:ascii="Times New Roman" w:hAnsi="Times New Roman" w:cs="Times New Roman"/>
          <w:noProof/>
          <w:szCs w:val="20"/>
          <w:lang w:val="ms-MY"/>
        </w:rPr>
        <w:t>hyuan</w:t>
      </w:r>
      <w:r w:rsidR="00A85CE9" w:rsidRPr="00EC0D34">
        <w:rPr>
          <w:rFonts w:ascii="Times New Roman" w:hAnsi="Times New Roman" w:cs="Times New Roman"/>
          <w:noProof/>
          <w:szCs w:val="20"/>
          <w:vertAlign w:val="superscript"/>
          <w:lang w:val="ms-MY"/>
        </w:rPr>
        <w:t>1</w:t>
      </w:r>
    </w:p>
    <w:p w14:paraId="0E659C2A" w14:textId="77777777" w:rsidR="00785CA6" w:rsidRPr="00EC0D34" w:rsidRDefault="00785CA6" w:rsidP="00785CA6">
      <w:pPr>
        <w:jc w:val="center"/>
        <w:outlineLvl w:val="0"/>
        <w:rPr>
          <w:rFonts w:ascii="Times New Roman" w:hAnsi="Times New Roman" w:cs="Times New Roman"/>
          <w:b/>
          <w:noProof/>
          <w:sz w:val="18"/>
          <w:szCs w:val="18"/>
          <w:lang w:val="ms-MY"/>
        </w:rPr>
      </w:pPr>
    </w:p>
    <w:p w14:paraId="6305F4E4" w14:textId="77777777" w:rsidR="00EC0D34" w:rsidRPr="00EC0D34" w:rsidRDefault="00785CA6"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vertAlign w:val="superscript"/>
          <w:lang w:val="ms-MY"/>
        </w:rPr>
        <w:t>1</w:t>
      </w:r>
      <w:r w:rsidR="004C2D16" w:rsidRPr="00EC0D34">
        <w:rPr>
          <w:rFonts w:ascii="Times New Roman" w:hAnsi="Times New Roman" w:cs="Times New Roman"/>
          <w:i/>
          <w:noProof/>
          <w:sz w:val="18"/>
          <w:szCs w:val="18"/>
          <w:lang w:val="ms-MY"/>
        </w:rPr>
        <w:t xml:space="preserve">Fuel Cell Institute, </w:t>
      </w:r>
    </w:p>
    <w:p w14:paraId="2E05DFD3" w14:textId="6D6F5467" w:rsidR="0017569F" w:rsidRPr="00EC0D34" w:rsidRDefault="004C2D16"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lang w:val="ms-MY"/>
        </w:rPr>
        <w:t xml:space="preserve">Universiti Kebangsaan Malaysia, 43600 UKM Bangi, Selangor, Malaysia   </w:t>
      </w:r>
    </w:p>
    <w:p w14:paraId="2BAB3FDB" w14:textId="77777777" w:rsidR="00EC0D34" w:rsidRPr="00EC0D34" w:rsidRDefault="0098799C"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vertAlign w:val="superscript"/>
          <w:lang w:val="ms-MY"/>
        </w:rPr>
        <w:t>2</w:t>
      </w:r>
      <w:r w:rsidRPr="00EC0D34">
        <w:rPr>
          <w:rFonts w:ascii="Times New Roman" w:hAnsi="Times New Roman" w:cs="Times New Roman"/>
          <w:i/>
          <w:noProof/>
          <w:sz w:val="18"/>
          <w:szCs w:val="18"/>
          <w:lang w:val="ms-MY"/>
        </w:rPr>
        <w:t xml:space="preserve">Department of Chemical and Process Engineering, </w:t>
      </w:r>
    </w:p>
    <w:p w14:paraId="79493984" w14:textId="77777777" w:rsidR="00EC0D34" w:rsidRPr="00EC0D34" w:rsidRDefault="0098799C"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lang w:val="ms-MY"/>
        </w:rPr>
        <w:t xml:space="preserve">Faculty of Engineering and Built Environment, </w:t>
      </w:r>
    </w:p>
    <w:p w14:paraId="6B24A63C" w14:textId="63BD894D" w:rsidR="00785CA6" w:rsidRPr="00EC0D34" w:rsidRDefault="0098799C"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lang w:val="ms-MY"/>
        </w:rPr>
        <w:t>Universiti Kebangsaan Malaysia, 43600 UKM Bangi, Selangor, Malaysia</w:t>
      </w:r>
    </w:p>
    <w:p w14:paraId="25ED65E2" w14:textId="77777777" w:rsidR="00EC0D34" w:rsidRPr="00EC0D34" w:rsidRDefault="00530402"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vertAlign w:val="superscript"/>
          <w:lang w:val="ms-MY"/>
        </w:rPr>
        <w:t>3</w:t>
      </w:r>
      <w:r w:rsidRPr="00EC0D34">
        <w:rPr>
          <w:rFonts w:ascii="Times New Roman" w:hAnsi="Times New Roman" w:cs="Times New Roman"/>
          <w:i/>
          <w:noProof/>
          <w:sz w:val="18"/>
          <w:szCs w:val="18"/>
          <w:lang w:val="ms-MY"/>
        </w:rPr>
        <w:t xml:space="preserve">School of Chemical Engineering, </w:t>
      </w:r>
    </w:p>
    <w:p w14:paraId="4ADC55B0" w14:textId="77777777" w:rsidR="00EC0D34" w:rsidRPr="00EC0D34" w:rsidRDefault="00530402" w:rsidP="00785CA6">
      <w:pPr>
        <w:jc w:val="center"/>
        <w:outlineLvl w:val="0"/>
        <w:rPr>
          <w:rFonts w:ascii="Times New Roman" w:hAnsi="Times New Roman" w:cs="Times New Roman"/>
          <w:i/>
          <w:noProof/>
          <w:sz w:val="18"/>
          <w:szCs w:val="18"/>
          <w:lang w:val="ms-MY"/>
        </w:rPr>
      </w:pPr>
      <w:r w:rsidRPr="00EC0D34">
        <w:rPr>
          <w:rFonts w:ascii="Times New Roman" w:hAnsi="Times New Roman" w:cs="Times New Roman"/>
          <w:i/>
          <w:noProof/>
          <w:sz w:val="18"/>
          <w:szCs w:val="18"/>
          <w:lang w:val="ms-MY"/>
        </w:rPr>
        <w:t>College of Engineering,</w:t>
      </w:r>
    </w:p>
    <w:p w14:paraId="565E64EC" w14:textId="1F6A44C1" w:rsidR="00785CA6" w:rsidRPr="00EC0D34" w:rsidRDefault="00530402" w:rsidP="00785CA6">
      <w:pPr>
        <w:jc w:val="center"/>
        <w:outlineLvl w:val="0"/>
        <w:rPr>
          <w:rFonts w:ascii="Times New Roman" w:hAnsi="Times New Roman" w:cs="Times New Roman"/>
          <w:b/>
          <w:noProof/>
          <w:szCs w:val="20"/>
          <w:lang w:val="ms-MY"/>
        </w:rPr>
      </w:pPr>
      <w:r w:rsidRPr="00EC0D34">
        <w:rPr>
          <w:rFonts w:ascii="Times New Roman" w:hAnsi="Times New Roman" w:cs="Times New Roman"/>
          <w:i/>
          <w:noProof/>
          <w:sz w:val="18"/>
          <w:szCs w:val="18"/>
          <w:lang w:val="ms-MY"/>
        </w:rPr>
        <w:t xml:space="preserve"> Universiti Teknologi MARA, 40450 Shah Alam, Selangor,</w:t>
      </w:r>
      <w:r w:rsidR="007D1FA8" w:rsidRPr="00EC0D34">
        <w:rPr>
          <w:rFonts w:ascii="Times New Roman" w:hAnsi="Times New Roman" w:cs="Times New Roman"/>
          <w:i/>
          <w:noProof/>
          <w:sz w:val="18"/>
          <w:szCs w:val="18"/>
          <w:lang w:val="ms-MY"/>
        </w:rPr>
        <w:t xml:space="preserve"> Malaysia</w:t>
      </w:r>
    </w:p>
    <w:p w14:paraId="7E528FB1" w14:textId="77777777" w:rsidR="00A415C1" w:rsidRPr="00EC0D34" w:rsidRDefault="00A415C1" w:rsidP="00785CA6">
      <w:pPr>
        <w:jc w:val="center"/>
        <w:outlineLvl w:val="0"/>
        <w:rPr>
          <w:rFonts w:ascii="Times New Roman" w:hAnsi="Times New Roman" w:cs="Times New Roman"/>
          <w:b/>
          <w:sz w:val="18"/>
          <w:szCs w:val="18"/>
        </w:rPr>
      </w:pPr>
    </w:p>
    <w:p w14:paraId="405F70F6" w14:textId="2E90BA8F" w:rsidR="00A415C1" w:rsidRPr="00EC0D34" w:rsidRDefault="00A415C1" w:rsidP="00A415C1">
      <w:pPr>
        <w:jc w:val="center"/>
        <w:outlineLvl w:val="0"/>
        <w:rPr>
          <w:rFonts w:ascii="Times New Roman" w:hAnsi="Times New Roman" w:cs="Times New Roman"/>
          <w:i/>
          <w:sz w:val="18"/>
        </w:rPr>
      </w:pPr>
      <w:r w:rsidRPr="00EC0D34">
        <w:rPr>
          <w:rFonts w:ascii="Times New Roman" w:hAnsi="Times New Roman" w:cs="Times New Roman"/>
          <w:i/>
          <w:sz w:val="18"/>
          <w:vertAlign w:val="superscript"/>
        </w:rPr>
        <w:t>*</w:t>
      </w:r>
      <w:r w:rsidRPr="00EC0D34">
        <w:rPr>
          <w:rFonts w:ascii="Times New Roman" w:hAnsi="Times New Roman" w:cs="Times New Roman"/>
          <w:i/>
          <w:sz w:val="18"/>
        </w:rPr>
        <w:t xml:space="preserve">Corresponding author: </w:t>
      </w:r>
      <w:r w:rsidR="003E78E5" w:rsidRPr="00EC0D34">
        <w:rPr>
          <w:rFonts w:ascii="Times New Roman" w:hAnsi="Times New Roman" w:cs="Times New Roman"/>
          <w:i/>
          <w:sz w:val="18"/>
        </w:rPr>
        <w:t>ctie@uk</w:t>
      </w:r>
      <w:r w:rsidR="00A37451" w:rsidRPr="00EC0D34">
        <w:rPr>
          <w:rFonts w:ascii="Times New Roman" w:hAnsi="Times New Roman" w:cs="Times New Roman"/>
          <w:i/>
          <w:sz w:val="18"/>
        </w:rPr>
        <w:t>m</w:t>
      </w:r>
      <w:r w:rsidR="003E78E5" w:rsidRPr="00EC0D34">
        <w:rPr>
          <w:rFonts w:ascii="Times New Roman" w:hAnsi="Times New Roman" w:cs="Times New Roman"/>
          <w:i/>
          <w:sz w:val="18"/>
        </w:rPr>
        <w:t>.edu.my</w:t>
      </w:r>
    </w:p>
    <w:p w14:paraId="6E65E87E" w14:textId="77777777" w:rsidR="009C4E07" w:rsidRPr="00EC0D34" w:rsidRDefault="009C4E07" w:rsidP="00785CA6">
      <w:pPr>
        <w:jc w:val="center"/>
        <w:outlineLvl w:val="0"/>
        <w:rPr>
          <w:rFonts w:ascii="Times New Roman" w:hAnsi="Times New Roman" w:cs="Times New Roman"/>
          <w:b/>
          <w:sz w:val="18"/>
          <w:szCs w:val="18"/>
        </w:rPr>
      </w:pPr>
    </w:p>
    <w:p w14:paraId="569515E5" w14:textId="77777777" w:rsidR="00785CA6" w:rsidRPr="00EC0D34" w:rsidRDefault="00785CA6" w:rsidP="00785CA6">
      <w:pPr>
        <w:jc w:val="center"/>
        <w:outlineLvl w:val="0"/>
        <w:rPr>
          <w:rFonts w:ascii="Times New Roman" w:hAnsi="Times New Roman" w:cs="Times New Roman"/>
          <w:b/>
          <w:sz w:val="18"/>
          <w:szCs w:val="18"/>
        </w:rPr>
      </w:pPr>
      <w:r w:rsidRPr="00EC0D34">
        <w:rPr>
          <w:rFonts w:ascii="Times New Roman" w:hAnsi="Times New Roman" w:cs="Times New Roman"/>
          <w:b/>
          <w:sz w:val="18"/>
          <w:szCs w:val="18"/>
        </w:rPr>
        <w:t>Abstract</w:t>
      </w:r>
    </w:p>
    <w:p w14:paraId="3075D03A" w14:textId="6D8380B6" w:rsidR="00785CA6" w:rsidRPr="00EC0D34" w:rsidRDefault="00786C17" w:rsidP="00785CA6">
      <w:pPr>
        <w:outlineLvl w:val="0"/>
        <w:rPr>
          <w:rFonts w:ascii="Times New Roman" w:hAnsi="Times New Roman" w:cs="Times New Roman"/>
          <w:sz w:val="18"/>
          <w:szCs w:val="18"/>
        </w:rPr>
      </w:pPr>
      <w:r w:rsidRPr="00EC0D34">
        <w:rPr>
          <w:rFonts w:ascii="Times New Roman" w:hAnsi="Times New Roman" w:cs="Times New Roman"/>
          <w:sz w:val="18"/>
          <w:szCs w:val="18"/>
          <w:lang w:val="en-GB"/>
        </w:rPr>
        <w:t>Transforming waste into usable materials can protect and conserve the environment, thereby reducing the dependence on landfills, limiting the use of natural resources, and decreasing the carbon footprint. Every year, millions of tons of textile waste are sent to landfills primarily from discarded clothing. Therefore, this waste is worthwhile to convert into functional carbon product. Herein, textile waste from used clothing was converted into nitrogen-doped porous carbons (TNPC) by simple chemical activation followed by carbonisation. Urea and calcium chloride (CaCl</w:t>
      </w:r>
      <w:r w:rsidRPr="00EC0D34">
        <w:rPr>
          <w:rFonts w:ascii="Times New Roman" w:hAnsi="Times New Roman" w:cs="Times New Roman"/>
          <w:sz w:val="18"/>
          <w:szCs w:val="18"/>
          <w:vertAlign w:val="subscript"/>
          <w:lang w:val="en-GB"/>
        </w:rPr>
        <w:t>2</w:t>
      </w:r>
      <w:r w:rsidRPr="00EC0D34">
        <w:rPr>
          <w:rFonts w:ascii="Times New Roman" w:hAnsi="Times New Roman" w:cs="Times New Roman"/>
          <w:sz w:val="18"/>
          <w:szCs w:val="18"/>
          <w:lang w:val="en-GB"/>
        </w:rPr>
        <w:t>) served as nitrogen precursor and pore forming agent, respectively. The surface area and porosity of the prepared TNPCs were affected by the activation temperature. The optimal sample (TNPC900) activated at 900 °C exhibited a large surface area (496 m</w:t>
      </w:r>
      <w:r w:rsidRPr="00EC0D34">
        <w:rPr>
          <w:rFonts w:ascii="Times New Roman" w:hAnsi="Times New Roman" w:cs="Times New Roman"/>
          <w:sz w:val="18"/>
          <w:szCs w:val="18"/>
          <w:vertAlign w:val="superscript"/>
          <w:lang w:val="en-GB"/>
        </w:rPr>
        <w:t>2</w:t>
      </w:r>
      <w:r w:rsidRPr="00EC0D34">
        <w:rPr>
          <w:rFonts w:ascii="Times New Roman" w:hAnsi="Times New Roman" w:cs="Times New Roman"/>
          <w:sz w:val="18"/>
          <w:szCs w:val="18"/>
          <w:lang w:val="en-GB"/>
        </w:rPr>
        <w:t xml:space="preserve"> g</w:t>
      </w:r>
      <w:r w:rsidRPr="00EC0D34">
        <w:rPr>
          <w:rFonts w:ascii="Times New Roman" w:hAnsi="Times New Roman" w:cs="Times New Roman"/>
          <w:sz w:val="18"/>
          <w:szCs w:val="18"/>
          <w:vertAlign w:val="superscript"/>
          <w:lang w:val="en-GB"/>
        </w:rPr>
        <w:t>–1</w:t>
      </w:r>
      <w:r w:rsidRPr="00EC0D34">
        <w:rPr>
          <w:rFonts w:ascii="Times New Roman" w:hAnsi="Times New Roman" w:cs="Times New Roman"/>
          <w:sz w:val="18"/>
          <w:szCs w:val="18"/>
          <w:lang w:val="en-GB"/>
        </w:rPr>
        <w:t>) with appropriate porosity and a reasonable amount of nitrogen doped. Remarkably, the resultant TNPC900 catalyst tested as the electrode material for oxygen reduction reaction in 0.1 M KOH exhibited an outstanding positive onset potential of 0.94 V vs. RHE. TNCP900 catalyst also demonstrated superior stability and tolerance to methanol than Pt/C. Overall, this study showed that the conversion of textile waste through a simple synthesis technique into electrocatalyst could offer a sustainable alternative to Pt for potential applications in fuel cell and energy-storage technology</w:t>
      </w:r>
      <w:r w:rsidR="00785CA6" w:rsidRPr="00EC0D34">
        <w:rPr>
          <w:rFonts w:ascii="Times New Roman" w:hAnsi="Times New Roman" w:cs="Times New Roman"/>
          <w:sz w:val="18"/>
          <w:szCs w:val="18"/>
        </w:rPr>
        <w:t xml:space="preserve">. </w:t>
      </w:r>
    </w:p>
    <w:p w14:paraId="32C21956" w14:textId="77777777" w:rsidR="003F3701" w:rsidRPr="00EC0D34" w:rsidRDefault="003F3701" w:rsidP="00785CA6">
      <w:pPr>
        <w:outlineLvl w:val="0"/>
        <w:rPr>
          <w:rFonts w:ascii="Times New Roman" w:hAnsi="Times New Roman" w:cs="Times New Roman"/>
          <w:sz w:val="18"/>
          <w:szCs w:val="18"/>
        </w:rPr>
      </w:pPr>
    </w:p>
    <w:p w14:paraId="5B52D108" w14:textId="03CDF350" w:rsidR="00785CA6" w:rsidRPr="00EC0D34" w:rsidRDefault="00785CA6" w:rsidP="00785CA6">
      <w:pPr>
        <w:outlineLvl w:val="0"/>
        <w:rPr>
          <w:rFonts w:ascii="Times New Roman" w:hAnsi="Times New Roman" w:cs="Times New Roman"/>
          <w:sz w:val="18"/>
          <w:szCs w:val="18"/>
        </w:rPr>
      </w:pPr>
      <w:r w:rsidRPr="00EC0D34">
        <w:rPr>
          <w:rFonts w:ascii="Times New Roman" w:hAnsi="Times New Roman" w:cs="Times New Roman"/>
          <w:b/>
          <w:sz w:val="18"/>
          <w:szCs w:val="18"/>
        </w:rPr>
        <w:t>Keyword</w:t>
      </w:r>
      <w:r w:rsidR="009C4E07" w:rsidRPr="00EC0D34">
        <w:rPr>
          <w:rFonts w:ascii="Times New Roman" w:hAnsi="Times New Roman" w:cs="Times New Roman"/>
          <w:b/>
          <w:sz w:val="18"/>
          <w:szCs w:val="18"/>
        </w:rPr>
        <w:t>s</w:t>
      </w:r>
      <w:r w:rsidRPr="00EC0D34">
        <w:rPr>
          <w:rFonts w:ascii="Times New Roman" w:hAnsi="Times New Roman" w:cs="Times New Roman"/>
          <w:b/>
          <w:bCs/>
          <w:sz w:val="18"/>
          <w:szCs w:val="18"/>
        </w:rPr>
        <w:t>:</w:t>
      </w:r>
      <w:r w:rsidRPr="00EC0D34">
        <w:rPr>
          <w:rFonts w:ascii="Times New Roman" w:hAnsi="Times New Roman" w:cs="Times New Roman"/>
          <w:sz w:val="18"/>
          <w:szCs w:val="18"/>
        </w:rPr>
        <w:t xml:space="preserve"> </w:t>
      </w:r>
      <w:r w:rsidR="00EC0D34" w:rsidRPr="00EC0D34">
        <w:rPr>
          <w:rFonts w:ascii="Times New Roman" w:hAnsi="Times New Roman" w:cs="Times New Roman"/>
          <w:bCs/>
          <w:sz w:val="18"/>
          <w:szCs w:val="18"/>
          <w:lang w:val="en-GB"/>
        </w:rPr>
        <w:t>textile waste, nitrogen-doped porous carbon, oxygen reduction reaction, metal-free catalyst</w:t>
      </w:r>
    </w:p>
    <w:p w14:paraId="132A031D" w14:textId="77777777" w:rsidR="00785CA6" w:rsidRPr="00EC0D34" w:rsidRDefault="00785CA6" w:rsidP="009C4E07">
      <w:pPr>
        <w:jc w:val="center"/>
        <w:outlineLvl w:val="0"/>
        <w:rPr>
          <w:rFonts w:ascii="Times New Roman" w:hAnsi="Times New Roman" w:cs="Times New Roman"/>
          <w:b/>
          <w:sz w:val="18"/>
          <w:szCs w:val="18"/>
        </w:rPr>
      </w:pPr>
    </w:p>
    <w:p w14:paraId="4DC635E4" w14:textId="77777777" w:rsidR="00785CA6" w:rsidRPr="00EC0D34" w:rsidRDefault="00785CA6" w:rsidP="00785CA6">
      <w:pPr>
        <w:jc w:val="center"/>
        <w:outlineLvl w:val="0"/>
        <w:rPr>
          <w:rFonts w:ascii="Times New Roman" w:hAnsi="Times New Roman" w:cs="Times New Roman"/>
          <w:b/>
          <w:sz w:val="18"/>
          <w:szCs w:val="18"/>
        </w:rPr>
      </w:pPr>
      <w:r w:rsidRPr="00EC0D34">
        <w:rPr>
          <w:rFonts w:ascii="Times New Roman" w:hAnsi="Times New Roman" w:cs="Times New Roman"/>
          <w:b/>
          <w:sz w:val="18"/>
          <w:szCs w:val="18"/>
        </w:rPr>
        <w:t>Abstrak</w:t>
      </w:r>
    </w:p>
    <w:p w14:paraId="5048A9D3" w14:textId="77777777" w:rsidR="00290357" w:rsidRPr="00EC0D34" w:rsidRDefault="00290357" w:rsidP="00290357">
      <w:pPr>
        <w:outlineLvl w:val="0"/>
        <w:rPr>
          <w:rFonts w:ascii="Times New Roman" w:hAnsi="Times New Roman" w:cs="Times New Roman"/>
          <w:sz w:val="18"/>
          <w:szCs w:val="18"/>
        </w:rPr>
      </w:pPr>
      <w:r w:rsidRPr="00EC0D34">
        <w:rPr>
          <w:rFonts w:ascii="Times New Roman" w:hAnsi="Times New Roman" w:cs="Times New Roman"/>
          <w:sz w:val="18"/>
          <w:szCs w:val="18"/>
          <w:lang w:val="ms"/>
        </w:rPr>
        <w:t>Mengubah sisa menjadi bahan yang boleh digunakan dapat melindungi dan memulihara alam sekitar sekaligus dapat mengurangkan kebergantungan pada tapak pelupusan sampah, mengehadkan penggunaan sumber semula jadi, dan mengurangkan jejak karbon. Setiap tahun, jutaan ton sisa tekstil dihantar ke tapak pelupusan sampah terutama dari pakaian terpakai. Oleh itu,  menukar sisa ini menjadi produk karbon berfungsi adalah usaha yang berbaloi.  Di sini,  sisa tekstil daripada pakaian terpakai telah ditukar kepada karbon berliang terdop nitrogen (TNPC) dengan pengaktifan kimia mudah diikuti dengan langkah karbonisasi. Urea dan kalsium klorida  (CaCl</w:t>
      </w:r>
      <w:r w:rsidRPr="00EC0D34">
        <w:rPr>
          <w:rFonts w:ascii="Times New Roman" w:hAnsi="Times New Roman" w:cs="Times New Roman"/>
          <w:sz w:val="18"/>
          <w:szCs w:val="18"/>
          <w:vertAlign w:val="subscript"/>
          <w:lang w:val="ms"/>
        </w:rPr>
        <w:t>2</w:t>
      </w:r>
      <w:r w:rsidRPr="00EC0D34">
        <w:rPr>
          <w:rFonts w:ascii="Times New Roman" w:hAnsi="Times New Roman" w:cs="Times New Roman"/>
          <w:sz w:val="18"/>
          <w:szCs w:val="18"/>
          <w:lang w:val="ms"/>
        </w:rPr>
        <w:t>)  bertindak masing-masing sebagai  bahan sumber nitrogen dan ejen pembentukan liang. Keluasan permukaan dan keliangan  TNPC yang disediakan telah dipengaruhi oleh suhu pengaktifan. Sampel optimum  (TNPC900) diaktifkan pada 900 ° C mempamerkan keluasan permukaan yang besar  (496 m</w:t>
      </w:r>
      <w:r w:rsidRPr="00EC0D34">
        <w:rPr>
          <w:rFonts w:ascii="Times New Roman" w:hAnsi="Times New Roman" w:cs="Times New Roman"/>
          <w:sz w:val="18"/>
          <w:szCs w:val="18"/>
          <w:vertAlign w:val="superscript"/>
          <w:lang w:val="ms"/>
        </w:rPr>
        <w:t>2</w:t>
      </w:r>
      <w:r w:rsidRPr="00EC0D34">
        <w:rPr>
          <w:rFonts w:ascii="Times New Roman" w:hAnsi="Times New Roman" w:cs="Times New Roman"/>
          <w:sz w:val="18"/>
          <w:szCs w:val="18"/>
          <w:lang w:val="ms"/>
        </w:rPr>
        <w:t xml:space="preserve">  g</w:t>
      </w:r>
      <w:r w:rsidRPr="00EC0D34">
        <w:rPr>
          <w:rFonts w:ascii="Times New Roman" w:hAnsi="Times New Roman" w:cs="Times New Roman"/>
          <w:sz w:val="18"/>
          <w:szCs w:val="18"/>
          <w:vertAlign w:val="superscript"/>
          <w:lang w:val="ms"/>
        </w:rPr>
        <w:t>-1</w:t>
      </w:r>
      <w:r w:rsidRPr="00EC0D34">
        <w:rPr>
          <w:rFonts w:ascii="Times New Roman" w:hAnsi="Times New Roman" w:cs="Times New Roman"/>
          <w:sz w:val="18"/>
          <w:szCs w:val="18"/>
          <w:lang w:val="ms"/>
        </w:rPr>
        <w:t>)  dengan  keliangan dan jumlah nitrogen terdop yang sesuai. Mangkin TNPC900 yang diuji sebagai bahan elektrod untuk tindak balas penurunan oksigen (ORR) di dalam larutan 0.1 M KOH menunjukkan potensi permulaan positif yang luar biasa iaitu 0.94 V vs RHE. Selain itu, mangkin TNCP900 menunjukkan kestabilan dan toleransi yang unggul terhadap metanol  daripada mangkin Pt/C. Oleh itu, kajian ini menunjukkan bahawa penukaran sisa tekstil menggunakan teknik sintesis  yang mudah  menjadi elektmangkin dapat menawarkan alternatif Pt yang  mampan untuk aplikasi di dalam sel bahan api dan teknologi penyimpanan tenaga.</w:t>
      </w:r>
    </w:p>
    <w:p w14:paraId="69CC7DAD" w14:textId="77777777" w:rsidR="00785CA6" w:rsidRPr="00EC0D34" w:rsidRDefault="00785CA6" w:rsidP="00785CA6">
      <w:pPr>
        <w:outlineLvl w:val="0"/>
        <w:rPr>
          <w:rFonts w:ascii="Times New Roman" w:hAnsi="Times New Roman" w:cs="Times New Roman"/>
          <w:sz w:val="18"/>
          <w:szCs w:val="18"/>
        </w:rPr>
      </w:pPr>
    </w:p>
    <w:p w14:paraId="64FE35C1" w14:textId="27AF324A" w:rsidR="00785CA6" w:rsidRPr="00EC0D34" w:rsidRDefault="00785CA6" w:rsidP="00785CA6">
      <w:pPr>
        <w:outlineLvl w:val="0"/>
        <w:rPr>
          <w:rFonts w:ascii="Times New Roman" w:hAnsi="Times New Roman" w:cs="Times New Roman"/>
          <w:b/>
          <w:noProof/>
          <w:kern w:val="0"/>
          <w:sz w:val="18"/>
          <w:szCs w:val="18"/>
          <w:lang w:val="ms-MY"/>
        </w:rPr>
      </w:pPr>
      <w:r w:rsidRPr="00EC0D34">
        <w:rPr>
          <w:rFonts w:ascii="Times New Roman" w:hAnsi="Times New Roman" w:cs="Times New Roman"/>
          <w:b/>
          <w:noProof/>
          <w:sz w:val="18"/>
          <w:szCs w:val="18"/>
          <w:lang w:val="ms-MY"/>
        </w:rPr>
        <w:t xml:space="preserve">Kata kunci: </w:t>
      </w:r>
      <w:r w:rsidR="00EB4DB9" w:rsidRPr="00EC0D34">
        <w:rPr>
          <w:rFonts w:ascii="Times New Roman" w:hAnsi="Times New Roman" w:cs="Times New Roman"/>
          <w:bCs/>
          <w:noProof/>
          <w:sz w:val="18"/>
          <w:szCs w:val="18"/>
          <w:lang w:val="ms-MY"/>
        </w:rPr>
        <w:t>Sisa te</w:t>
      </w:r>
      <w:r w:rsidR="00332C6D" w:rsidRPr="00EC0D34">
        <w:rPr>
          <w:rFonts w:ascii="Times New Roman" w:hAnsi="Times New Roman" w:cs="Times New Roman"/>
          <w:bCs/>
          <w:noProof/>
          <w:sz w:val="18"/>
          <w:szCs w:val="18"/>
          <w:lang w:val="ms-MY"/>
        </w:rPr>
        <w:t>ks</w:t>
      </w:r>
      <w:r w:rsidR="00EB4DB9" w:rsidRPr="00EC0D34">
        <w:rPr>
          <w:rFonts w:ascii="Times New Roman" w:hAnsi="Times New Roman" w:cs="Times New Roman"/>
          <w:bCs/>
          <w:noProof/>
          <w:sz w:val="18"/>
          <w:szCs w:val="18"/>
          <w:lang w:val="ms-MY"/>
        </w:rPr>
        <w:t xml:space="preserve">til, karbon poros terdop nitrogen, </w:t>
      </w:r>
      <w:r w:rsidR="00794CEE" w:rsidRPr="00EC0D34">
        <w:rPr>
          <w:rFonts w:ascii="Times New Roman" w:hAnsi="Times New Roman" w:cs="Times New Roman"/>
          <w:bCs/>
          <w:noProof/>
          <w:sz w:val="18"/>
          <w:szCs w:val="18"/>
          <w:lang w:val="ms-MY"/>
        </w:rPr>
        <w:t xml:space="preserve">tindak balas penurunan oksigen, </w:t>
      </w:r>
      <w:r w:rsidR="00397FA8" w:rsidRPr="00EC0D34">
        <w:rPr>
          <w:rFonts w:ascii="Times New Roman" w:hAnsi="Times New Roman" w:cs="Times New Roman"/>
          <w:bCs/>
          <w:noProof/>
          <w:sz w:val="18"/>
          <w:szCs w:val="18"/>
          <w:lang w:val="ms-MY"/>
        </w:rPr>
        <w:t xml:space="preserve">mangkin </w:t>
      </w:r>
      <w:r w:rsidR="00794CEE" w:rsidRPr="00EC0D34">
        <w:rPr>
          <w:rFonts w:ascii="Times New Roman" w:hAnsi="Times New Roman" w:cs="Times New Roman"/>
          <w:bCs/>
          <w:noProof/>
          <w:sz w:val="18"/>
          <w:szCs w:val="18"/>
          <w:lang w:val="ms-MY"/>
        </w:rPr>
        <w:t>bebas metal</w:t>
      </w:r>
    </w:p>
    <w:p w14:paraId="6D74D2EA" w14:textId="18C87E41" w:rsidR="00037C63" w:rsidRPr="00EC0D34" w:rsidRDefault="00037C63" w:rsidP="002D77BB">
      <w:pPr>
        <w:outlineLvl w:val="0"/>
        <w:rPr>
          <w:rFonts w:ascii="Times New Roman" w:hAnsi="Times New Roman" w:cs="Times New Roman"/>
          <w:b/>
        </w:rPr>
      </w:pPr>
    </w:p>
    <w:p w14:paraId="09AE865E" w14:textId="77777777" w:rsidR="00785CA6" w:rsidRPr="00EC0D34" w:rsidRDefault="00785CA6" w:rsidP="00785CA6">
      <w:pPr>
        <w:jc w:val="center"/>
        <w:outlineLvl w:val="0"/>
        <w:rPr>
          <w:rFonts w:ascii="Times New Roman" w:hAnsi="Times New Roman" w:cs="Times New Roman"/>
          <w:b/>
        </w:rPr>
      </w:pPr>
      <w:r w:rsidRPr="00EC0D34">
        <w:rPr>
          <w:rFonts w:ascii="Times New Roman" w:hAnsi="Times New Roman" w:cs="Times New Roman"/>
          <w:b/>
        </w:rPr>
        <w:t>Introduction</w:t>
      </w:r>
    </w:p>
    <w:p w14:paraId="414D976A" w14:textId="45038CCB" w:rsidR="00597E6C" w:rsidRPr="00EC0D34" w:rsidRDefault="00D71946" w:rsidP="00353544">
      <w:pPr>
        <w:rPr>
          <w:rFonts w:ascii="Times New Roman" w:hAnsi="Times New Roman" w:cs="Times New Roman"/>
          <w:szCs w:val="20"/>
        </w:rPr>
      </w:pPr>
      <w:r w:rsidRPr="00EC0D34">
        <w:rPr>
          <w:rFonts w:ascii="Times New Roman" w:hAnsi="Times New Roman" w:cs="Times New Roman"/>
          <w:szCs w:val="20"/>
          <w:lang w:val="en-GB"/>
        </w:rPr>
        <w:t xml:space="preserve">The growing demand of green and efficient energy has driven the exploration for new technologies because of the depletion of fossil fuels and major environmental problems associated with the usage of conventional energy sources. Fuel cells are a competitive energy device for supplying energy with promising efficiency and negligible emission levels through electrochemical reactions into electricity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{"citationItems":[{"id":"ITEM-1","itemData":{"DOI":"10.1038/35104620","ISSN":"00280836","PMID":"11713541","abstract":"Fuel cells convert chemical energy directly into electrical energy with high efficiency and low emission of pollutants. However, before fuel-cell technology can gain a significant share of the electrical power market, important issues have to be addressed. These issues include optimal choice of fuel, and the development of alternative materials in the fuel-cell stack. Present fuel-cell prototypes often use materials selected more than 25 years ago. Commercialization aspects, including cost and durability, have revealed inadequacies in some of these materials. Here we summarize recent progress in the search and development of innovative alternative materials.","author":[{"dropping-particle":"","family":"Steele","given":"Brian C.H.","non-dropping-particle":"","parse-names":false,"suffix":""},{"dropping-particle":"","family":"Heinzel","given":"Angelika","non-dropping-particle":"","parse-names":false,"suffix":""}],"container-title":"Nature","id":"ITEM-1","issue":"6861","issued":{"date-parts":[["2001","11","15"]]},"page":"345-352","publisher":"Nature Publishing Group","title":"Materials for fuel-cell technologies","type":"article-journal","volume":"414"},"uris":["http://www.mendeley.com/documents/?uuid=4523e9a4-196e-314c-9f92-dce8065c4720"]}],"mendeley":{"formattedCitation":"[1]","plainTextFormattedCitation":"[1]","previouslyFormattedCitation":"[1]"},"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However, the sluggish oxygen reduction reaction (ORR) at the cathode significantly affects the overall fuel-cell performance and thus requires an efficient catalyst to accelerate the ORR. The scarce platinum (Pt) and its alloy are extensively used as ORR catalysts, but their high price, low stability, and susceptibility to methanol crossover hinder its large-scale application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{"citationItems":[{"id":"ITEM-1","itemData":{"DOI":"10.1039/c8ta01321g","ISSN":"20507496","abstract":"Anion-exchange membrane fuel cells (AEMFCs) are promising energy storage and conversion devices that provide opportunities and advantages in the application of low-cost transition metal oxide (TMO)-based catalysts. However, the oxygen reduction reaction (ORR) activity of these catalysts is still greatly inferior to that of Pt-based catalysts. In this review, the key factors to develop high performance TMO-based catalysts have been carefully detailed, including strategies to enhance their electrical conductivity, recent advances in the understanding of their intrinsic activity, and their morphology and structure design. Finally, we discussed the existing challenges and future research directions for further development of TMO-based ORR catalysts.","author":[{"dropping-particle":"","family":"Wang","given":"Yao","non-dropping-particle":"","parse-names":false,"suffix":""},{"dropping-particle":"","family":"Li","given":"Jing","non-dropping-particle":"","parse-names":false,"suffix":""},{"dropping-particle":"","family":"Wei","given":"Zidong","non-dropping-particle":"","parse-names":false,"suffix":""}],"container-title":"Journal of Materials Chemistry A","id":"ITEM-1","issue":"18","issued":{"date-parts":[["2018"]]},"page":"8194-8209","publisher":"Royal Society of Chemistry","title":"Transition-metal-oxide-based catalysts for the oxygen reduction reaction","type":"article-journal","volume":"6"},"uris":["http://www.mendeley.com/documents/?uuid=5a46cc92-0cce-331e-9fd8-7add6c5aa59e"]},{"id":"ITEM-2","itemData":{"DOI":"10.1016/j.apenergy.2012.09.031","ISBN":"0306-2619","ISSN":"03062619","abstract":"Platinum is the most effective electro-catalyst for oxidation and reduction processes in direct methanol fuel cells (DMFCs). Although platinum and its alloys show desirable electrochemical activities, these catalysts are expensive and make the commercialization of DMFC less attractive. Beside, literature reviews show that tremendous improvements of the activity and stability of non-platinum cathode catalysts have been achieved over the past few years. However, problems including low reaction rates, high over-potentials and low stabilities that remain unsolved particularly for cathode catalyst are discussed in this paper. This paper also describes the various types of non-platinum materials that can potentially substitute for platinum cathode catalysts in DMFC like macrocyclic molecules such as porphyrins and phthalocyanines, transition metal oxides, transition metal sulfides, amorphous transition metal sulfides, and transition metal-based catalysts. Finally, this paper also summarizes the preparation procedure and the performance of various potential cathode catalysts for DMFC operated in acidic and alkaline media as compared with platinum. © 2012 Elsevier Ltd.","author":[{"dropping-particle":"","family":"Karim","given":"N.A.","non-dropping-particle":"","parse-names":false,"suffix":""},{"dropping-particle":"","family":"Kamarudin","given":"S.K.","non-dropping-particle":"","parse-names":false,"suffix":""}],"container-title":"Applied Energy","id":"ITEM-2","issue":"9","issued":{"date-parts":[["2013","3"]]},"page":"212-220","title":"An overview on non-platinum cathode catalysts for direct methanol fuel cell","type":"article-journal","volume":"103"},"uris":["http://www.mendeley.com/documents/?uuid=47570823-187c-37c5-b60a-d4025fba1d6c"]}],"mendeley":{"formattedCitation":"[2,3]","plainTextFormattedCitation":"[2,3]","previouslyFormattedCitation":"[2,3]"},"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[2,</w:t>
      </w:r>
      <w:r w:rsidR="00EC0D34" w:rsidRP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3]</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Extensive researches  have been performed for Pt alternatives that are more cost effective and sustainable with high ORR activity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{"citationItems":[{"id":"ITEM-1","itemData":{"DOI":"10.3390/catal8050196","ISSN":"20734344","abstract":"Electrocatalysis for the oxygen reduction reaction (ORR) at the cathode plays a critical role in fuel cells and metal-air batteries. However, the high-cost and sluggish kinetics of the catalytic reaction have hindered its development. Therefore, developing efficient catalysts to address these issues is of vital significance. In this work, we summarized the recent progress of nitrogen (N)-doped metal-free catalysts for the ORR, owing to their high catalytic activity (comparable to Pt/C) and cost-effectiveness. The synthetic strategy and the morphology structure to catalytic performance are mainly discussed. Furthermore, the design of N-doped nanomaterials with other heteroatoms in aiming to further enhance the ORR performance is also reviewed. At the end of the review, we provide a brief summary of the N-doped carbon-based catalysts in enhancing the ORR performance and give future perspectives for their further development.","author":[{"dropping-particle":"","family":"Wu","given":"Zexing","non-dropping-particle":"","parse-names":false,"suffix":""},{"dropping-particle":"","family":"Song","given":"Min","non-dropping-particle":"","parse-names":false,"suffix":""},{"dropping-particle":"","family":"Wang","given":"Jie","non-dropping-particle":"","parse-names":false,"suffix":""},{"dropping-particle":"","family":"Liu","given":"Xien","non-dropping-particle":"","parse-names":false,"suffix":""}],"container-title":"Catalysts","id":"ITEM-1","issue":"5","issued":{"date-parts":[["2018","5","7"]]},"page":"196","publisher":"Multidisciplinary Digital Publishing Institute","title":"Recent progress in nitrogen-doped metal-free electrocatalysts for oxygen reduction reaction","type":"article-journal","volume":"8"},"uris":["http://www.mendeley.com/documents/?uuid=e8bb32a5-1af1-3689-8466-f56edb70b28b"]}],"mendeley":{"formattedCitation":"[4]","plainTextFormattedCitation":"[4]","previouslyFormattedCitation":"[4]"},"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[4]</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Metal-free nitrogen-doped carbon materials exhibit massive potential as a substitute to </w:t>
      </w:r>
      <w:r w:rsidRPr="00EC0D34">
        <w:rPr>
          <w:rFonts w:ascii="Times New Roman" w:hAnsi="Times New Roman" w:cs="Times New Roman"/>
          <w:szCs w:val="20"/>
          <w:lang w:val="en-GB"/>
        </w:rPr>
        <w:lastRenderedPageBreak/>
        <w:t xml:space="preserve">costly Pt-based catalysts, where it demonstrates good ORR electrocatalytic activity and durability, even in acidic electrolytes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{"citationItems":[{"id":"ITEM-1","itemData":{"DOI":"10.1126/science.aad0832","ISBN":"9783527811458","ISSN":"0036-8075","abstract":"The oxygen reduction reaction (ORR) is a key reaction at the cathode of polymer electrolyte fuel cells, for which platinum (Pt) has been regarded as the best catalyst and has been widely used in commercial fuel cells. Nitrogen-doped carbon materials are one of the best candidate catalysts as the Pt-substitute material for the ORR as the nonmetal catalysts exhibit high electrocatalytic activity for the ORR and high durability under both basic and acidic conditions. To enhance the catalytic activity, the nitrogen-doped carbon materials should be engineered to contain a high concentration of active sites without inactive components. To determine the active site conclusively, the chapter develops four types of model catalysts with well-defined p-conjugation using highly oriented pyrolytic graphite (HOPG): pyridinic-nitrogen (pyridinic-N) dominated HOPG, graphitic-N dominated HOPG, edges patterned on the surface without N and clean-HOPG.","author":[{"dropping-particle":"","family":"Guo","given":"D.","non-dropping-particle":"","parse-names":false,"suffix":""},{"dropping-particle":"","family":"Shibuya","given":"Riku","non-dropping-particle":"","parse-names":false,"suffix":""},{"dropping-particle":"","family":"Akiba","given":"C.","non-dropping-particle":"","parse-names":false,"suffix":""},{"dropping-particle":"","family":"Saji","given":"S.","non-dropping-particle":"","parse-names":false,"suffix":""},{"dropping-particle":"","family":"Kondo","given":"Takahiro","non-dropping-particle":"","parse-names":false,"suffix":""},{"dropping-particle":"","family":"Nakamura","given":"Junji","non-dropping-particle":"","parse-names":false,"suffix":""}],"container-title":"Science","id":"ITEM-1","issue":"6271","issued":{"date-parts":[["2016","1","22"]]},"page":"361-365","publisher":"Wiley-VCH Verlag GmbH &amp; Co. KGaA","publisher-place":"Weinheim, Germany","title":"Active sites of nitrogen-doped carbon materials for oxygen reduction reaction clarified using model catalysts","type":"article-journal","volume":"351"},"uris":["http://www.mendeley.com/documents/?uuid=afbe246b-fc0d-4873-9fca-2b5616b7a49b"]},{"id":"ITEM-2","itemData":{"DOI":"10.1016/j.electacta.2014.10.089","ISSN":"00134686","abstract":"Nitrogen-doped multichanneled activated carbon (NMAC) has been prepared for application as electrocatalysts for oxygen reduction reaction (ORR) in fuel cells. The NMAC is prepared by carbonizing luffa sponge fibers in NH3 and subsequent activation with KOH. The NMAC possesses densely packed and parallel channels with diameters of 3-13 μm and wall thickness of 0.4-1.8 μm. After activation micro- and mesopores are generated on the channel walls, forming a hierarchically porous structure. The NMAC exhibits excellent electrocatalytic performance for ORR both in alkaline and acidic media with high electrocatalytic activity and long-term operation stability. In particular, the NMAC has prominent stability in acidic media, keeping stable after about 7 hours and retaining 88.5% of the initial current density after 12 hours in 0.5 M H2SO4 solution. Because the active sites are located on the inner surface of the micrometer-scale channels the performance degradation caused by peeling, aggregation, and crack during operation can be avoided, resulting the high stability. Considering the abundance of luffa fibers on earth, the present NMAC materials are highly promising in various applications such as electrocatalysts, supercapacitors, and templates for supporting various functional materials.","author":[{"dropping-particle":"","family":"Li","given":"Jianpeng","non-dropping-particle":"","parse-names":false,"suffix":""},{"dropping-particle":"","family":"Wang","given":"Shuguang","non-dropping-particle":"","parse-names":false,"suffix":""},{"dropping-particle":"","family":"Ren","given":"Yaqi","non-dropping-particle":"","parse-names":false,"suffix":""},{"dropping-particle":"","family":"Ren","given":"Zhonghua","non-dropping-particle":"","parse-names":false,"suffix":""},{"dropping-particle":"","family":"Qiu","given":"Yejun","non-dropping-particle":"","parse-names":false,"suffix":""},{"dropping-particle":"","family":"Yu","given":"Jie","non-dropping-particle":"","parse-names":false,"suffix":""}],"container-title":"Electrochimica Acta","id":"ITEM-2","issued":{"date-parts":[["2014","12","10"]]},"page":"56-64","publisher":"Elsevier Ltd","title":"Nitrogen-doped activated carbon with micrometer-scale channels derived from luffa sponge fibers as electrocatalysts for oxygen reduction reaction with high stability in acidic media","type":"article-journal","volume":"149"},"uris":["http://www.mendeley.com/documents/?uuid=90058441-06cf-3832-8ff2-4c03140c4f8e"]}],"mendeley":{"formattedCitation":"[5,6]","plainTextFormattedCitation":"[5,6]","previouslyFormattedCitation":"[5,6]"},"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[5,</w:t>
      </w:r>
      <w:r w:rsidR="00EC0D34" w:rsidRP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6]</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Furthermore, owing to the absence of metals, these catalysts could significantly reduce the cathode cost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{"citationItems":[{"id":"ITEM-1","itemData":{"DOI":"10.1016/j.carbon.2020.04.068","ISSN":"00086223","abstract":"Metal-free carbon-based catalysts have gained much attention during last years because of their interesting properties towards oxygen reduction reaction. Intrinsic parameters of carbon materials such as porosity, structural order, conductivity and defects have proved to have a strong influence in the catalytic activity of these materials. However, the highest differences in catalytic activity are obtained via doping with heteroatoms, being nitrogen the most remarkable in terms of activity and selectivity. One of the most challenging goals of the scientific community is to unravel the role of the functional groups in order to design an optimized material. However, the complexity of isolating one specific functionality, the difficult unambiguous characterization of the species and the influence of the intrinsic properties of the carbon materials, make the identification of the active sites a complex and controversial issue. This review presents a critical assessment about the role of heteroatoms on ORR from the analysis of the literature that combine both experimental work and computational modelling.","author":[{"dropping-particle":"","family":"Quílez-Bermejo","given":"Javier","non-dropping-particle":"","parse-names":false,"suffix":""},{"dropping-particle":"","family":"Morallón","given":"Emilia","non-dropping-particle":"","parse-names":false,"suffix":""},{"dropping-particle":"","family":"Cazorla-Amorós","given":"Diego","non-dropping-particle":"","parse-names":false,"suffix":""}],"container-title":"Carbon","id":"ITEM-1","issued":{"date-parts":[["2020"]]},"note":"High Pt loading required for ORR","page":"434-454","publisher":"Elsevier Ltd","title":"Metal-free heteroatom-doped carbon-based catalysts for ORR. A critical assessment about the role of heteroatoms","type":"article-journal","volume":"165"},"uris":["http://www.mendeley.com/documents/?uuid=61d05c75-bbd2-46b8-8cb5-b3f10101b415"]}],"mendeley":{"formattedCitation":"[7]","plainTextFormattedCitation":"[7]","previouslyFormattedCitation":"[7]"},"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[7]</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w:t>
      </w:r>
    </w:p>
    <w:p w14:paraId="6D1BA28F" w14:textId="77777777" w:rsidR="00597E6C" w:rsidRPr="00EC0D34" w:rsidRDefault="00597E6C" w:rsidP="00353544">
      <w:pPr>
        <w:rPr>
          <w:rFonts w:ascii="Times New Roman" w:hAnsi="Times New Roman" w:cs="Times New Roman"/>
          <w:szCs w:val="20"/>
        </w:rPr>
      </w:pPr>
    </w:p>
    <w:p w14:paraId="3C688265" w14:textId="275573A4" w:rsidR="00570E6E" w:rsidRPr="00EC0D34" w:rsidRDefault="00570E6E" w:rsidP="00570E6E">
      <w:pPr>
        <w:rPr>
          <w:rFonts w:ascii="Times New Roman" w:hAnsi="Times New Roman" w:cs="Times New Roman"/>
          <w:szCs w:val="20"/>
          <w:lang w:val="en-GB"/>
        </w:rPr>
      </w:pPr>
      <w:r w:rsidRPr="00EC0D34">
        <w:rPr>
          <w:rFonts w:ascii="Times New Roman" w:hAnsi="Times New Roman" w:cs="Times New Roman"/>
          <w:szCs w:val="20"/>
          <w:lang w:val="en-GB"/>
        </w:rPr>
        <w:t xml:space="preserve">In recent years, biomass-derived nitrogen-doped carbon materials have prompted fascination and huge consideration in various energy-related applications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10.1080/21663831.2016.1250834","ISSN":"2166-3831","author":[{"dropping-particle":"","family":"Gao","given":"Zan","non-dropping-particle":"","parse-names":false,"suffix":""},{"dropping-particle":"","family":"Zhang","given":"Yunya","non-dropping-particle":"","parse-names":false,"suffix":""},{"dropping-particle":"","family":"Song","given":"Ningning","non-dropping-particle":"","parse-names":false,"suffix":""},{"dropping-particle":"","family":"Li","given":"Xiaodong","non-dropping-particle":"","parse-names":false,"suffix":""}],"container-title":"Materials Research Letters","id":"ITEM-1","issue":"2","issued":{"date-parts":[["2017","3","4"]]},"page":"69-88","title":"Biomass-derived renewable carbon materials for electrochemical energy storage","type":"article-journal","volume":"5"},"uris":["http://www.mendeley.com/documents/?uuid=524e9e89-8148-3bf5-916a-758db4b65fae"]}],"mendeley":{"formattedCitation":"[8]","plainTextFormattedCitation":"[8]","previouslyFormattedCitation":"[8]"},"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[8]</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Since 2010, many types of biomass such as animal and plant biomass, starch, cellulose derivatives, sugar, microorganisms such as fungi and yeast, and human and industrial waste have been converted into nitrogen-doped carbon for ORR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{"citationItems":[{"id":"ITEM-1","itemData":{"DOI":"10.1002/adma.201703691","ISSN":"15214095","PMID":"29205520","abstract":"Recent progress in advanced nanostructures synthesized from biomass resources for the oxygen reduction reaction (ORR) is reviewed. The ORR plays a significant role in the performance of numerous energy-conversion devices, including low-temperature hydrogen and alcohol fuel cells, microbial fuel cells, as well as metal–air batteries. The viability of such fuel cells is strongly related to the cost of the electrodes, especially the cathodic ORR electrocatalyst. Hence, inexpensive and abundant plant and animal biomass have become attractive options to obtain electrocatalysts upon conversion into active carbon. Bioresource selection and processing criteria are discussed in light of their influence on the physicochemical properties of the ORR nanostructures. The resulting electrocatalytic activity and durability are introduced and compared to those from conventional Pt/C-based electrocatalysts. These ORR catalysts are also active for oxygen or hydrogen evolution reactions.","author":[{"dropping-particle":"","family":"Borghei","given":"Maryam","non-dropping-particle":"","parse-names":false,"suffix":""},{"dropping-particle":"","family":"Lehtonen","given":"Janika","non-dropping-particle":"","parse-names":false,"suffix":""},{"dropping-particle":"","family":"Liu","given":"Liang","non-dropping-particle":"","parse-names":false,"suffix":""},{"dropping-particle":"","family":"Rojas","given":"Orlando J.","non-dropping-particle":"","parse-names":false,"suffix":""}],"container-title":"Advanced Materials","id":"ITEM-1","issue":"24","issued":{"date-parts":[["2018","6","1"]]},"page":"1703691","publisher":"John Wiley &amp; Sons, Ltd","title":"Advanced Biomass-Derived Electrocatalysts for the Oxygen Reduction Reaction","type":"article-journal","volume":"30"},"uris":["http://www.mendeley.com/documents/?uuid=282a6b57-f3f9-3eea-8f75-fa40c3e03c15"]},{"id":"ITEM-2","itemData":{"DOI":"10.1016/J.PMATSCI.2018.12.002","ISSN":"0079-6425","abstract":"Porous carbon materials (PCM) hold great promise for multifarious applications (like energy conversion and storage devices, biological applications, photo-catalysis etc.) owing to their outstanding properties such as high surface area, accessible active sites, mass transport, diffusion etc. Interestingly, they appear as futuristic substitutes to replace the conventional and economically unviable Pt-based electrocatalysts for the oxygen reduction reaction in Fuel cells. PCM synthesized using biomass-derived sources have some clear advantages, vis-a-vis. their abundance in nature, characteristic sustainability, economic viability and environmental friendliness. Also, no harsh chemicals are being used for their synthesis, and they inherently contain variety of heteroatoms (N, P, S etc.) vital for the electrocatalytic activity. This review article will help researchers gain an in-depth understanding of bio-waste sources and composition; synthesis methods and their dependence on various parameters; templating methods and vital information like role of dopants and transition metals in influencing electrocatalytic activity, and will result in enabling biomass based PCM as electrocatalysts in future energy devices.","author":[{"dropping-particle":"","family":"Kaur","given":"Prabhsharan","non-dropping-particle":"","parse-names":false,"suffix":""},{"dropping-particle":"","family":"Verma","given":"Gaurav","non-dropping-particle":"","parse-names":false,"suffix":""},{"dropping-particle":"","family":"Sekhon","given":"S.S.","non-dropping-particle":"","parse-names":false,"suffix":""}],"container-title":"Progress in Materials Science","id":"ITEM-2","issued":{"date-parts":[["2019","5","1"]]},"note":"mesoporous advantage","page":"1-71","publisher":"Pergamon","title":"Biomass derived hierarchical porous carbon materials as oxygen reduction reaction electrocatalysts in fuel cells","type":"article-journal","volume":"102"},"uris":["http://www.mendeley.com/documents/?uuid=d984dc46-4bff-3c01-93b2-75151eeffffa"]}],"mendeley":{"formattedCitation":"[9,10]","plainTextFormattedCitation":"[9,10]","previouslyFormattedCitation":"[9,10]"},"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[9,</w:t>
      </w:r>
      <w:r w:rsidR="00EC0D34" w:rsidRP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10]</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Biomass materials are used because of their adequate source of carbon, relatively low cost, readily </w:t>
      </w:r>
      <w:r w:rsidR="00DC6022" w:rsidRPr="00EC0D34">
        <w:rPr>
          <w:rFonts w:ascii="Times New Roman" w:hAnsi="Times New Roman" w:cs="Times New Roman"/>
          <w:szCs w:val="20"/>
          <w:lang w:val="en-GB"/>
        </w:rPr>
        <w:t>available</w:t>
      </w:r>
      <w:r w:rsidRPr="00EC0D34">
        <w:rPr>
          <w:rFonts w:ascii="Times New Roman" w:hAnsi="Times New Roman" w:cs="Times New Roman"/>
          <w:szCs w:val="20"/>
          <w:lang w:val="en-GB"/>
        </w:rPr>
        <w:t xml:space="preserve"> around the world, and environment friendliness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{"citationItems":[{"id":"ITEM-1","itemData":{"DOI":"10.1039/c6ra16703a","ISSN":"20462069","abstract":"It is highly desirable but challenging to develop a facile strategy to synthesize nitrogen-doped porous graphene with ultrahigh surface area as well as advanced oxygen reduction activity to replace Pt based catalysts due to their high cost, stability and fuel crossover effect problems. Herein, a novel self-template strategy is developed to synthesize nitrogen doped porous graphene (NDPG) by using porous biomass with an abundant plate-like structure as a template, fully coupled with potassium hydroxide (KOH) activation, and followed by nitrogen doping by ammonia (NH3) injection. It is worth noting that, unlike the typical CVD method, during the synthesis process, no extra metal catalysts are introduced to form graphene. As a catalyst, the as-prepared NDPG exhibits outstanding ORR activity and stability. The half-wave potential is 10 mV higher than that of Pt/C in alkaline media and the stability is superior to Pt/C in both acidic and alkaline media. The superb catalytic performance of the formed graphene can be attributed to its mesoporous structure with an ultrahigh surface area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1969 m2 g-1) as well as the high electron conductivity of the graphene structure and efficient nitrogen content.","author":[{"dropping-particle":"","family":"Zhou","given":"Huang","non-dropping-particle":"","parse-names":false,"suffix":""},{"dropping-particle":"","family":"Zhang","given":"Jian","non-dropping-particle":"","parse-names":false,"suffix":""},{"dropping-particle":"","family":"Zhu","given":"Jiawei","non-dropping-particle":"","parse-names":false,"suffix":""},{"dropping-particle":"","family":"Liu","given":"Ziyi","non-dropping-particle":"","parse-names":false,"suffix":""},{"dropping-particle":"","family":"Zhang","given":"Chengtian","non-dropping-particle":"","parse-names":false,"suffix":""},{"dropping-particle":"","family":"Mu","given":"Shichun","non-dropping-particle":"","parse-names":false,"suffix":""}],"container-title":"RSC Advances","id":"ITEM-1","issue":"77","issued":{"date-parts":[["2016"]]},"page":"73292-73300","publisher":"Royal Society of Chemistry","title":"A self-template and KOH activation co-coupling strategy to synthesize ultrahigh surface area nitrogen-doped porous graphene for oxygen reduction","type":"article-journal","volume":"6"},"uris":["http://www.mendeley.com/documents/?uuid=dcd4d6d3-b113-469d-bb30-48530088af46"]},{"id":"ITEM-2","itemData":{"DOI":"10.1007/s10934-019-00846-3","ISBN":"0123456789","ISSN":"15734854","abstract":"The sluggish kinetics of oxygen reduction reaction (ORR) has severely impeded the application of fuel cell technology. Developing economical and efficient biomass-based catalysts derived from natural waste to replace the expensive noble metal catalysts is becoming an attractive strategy. However, biomass materials often have geographical and seasonal characteristics. Thus, developing diversified and available biomass-derived catalysts is significant for different regions. In this work, N, P-dual doped porous carbon materials derived from waste lotus seedpod with tunable specific surface areas and porous structure are skillfully fabricated. The optimized sample exhibits excellent oxygen reduction reaction activity with an onset potential of 0.87 V vs. RHE and a Tafel slope of 81 mV dec−1, showing the 4e‒ electrons transfer path in alkaline solution. It also exhibits much better stability and methanol tolerance than commercial Pt/C. High ORR performance is considered to be ascribed to the abundant N, P dispersion and the hierarchical porous structure.","author":[{"dropping-particle":"","family":"Zheng","given":"Bo","non-dropping-particle":"","parse-names":false,"suffix":""},{"dropping-particle":"","family":"Wang","given":"Jiaxin","non-dropping-particle":"","parse-names":false,"suffix":""},{"dropping-particle":"","family":"Pan","given":"Zhaorui","non-dropping-particle":"","parse-names":false,"suffix":""},{"dropping-particle":"","family":"Wang","given":"Xiaofeng","non-dropping-particle":"","parse-names":false,"suffix":""},{"dropping-particle":"","family":"Liu","given":"Shaoxian","non-dropping-particle":"","parse-names":false,"suffix":""},{"dropping-particle":"","family":"Ding","given":"Shiqing","non-dropping-particle":"","parse-names":false,"suffix":""},{"dropping-particle":"","family":"Lang","given":"Leiming","non-dropping-particle":"","parse-names":false,"suffix":""}],"container-title":"Journal of Porous Materials","id":"ITEM-2","issue":"3","issued":{"date-parts":[["2020"]]},"page":"637-646","publisher":"Springer US","title":"An efficient metal-free catalyst derived from waste lotus seedpod for oxygen reduction reaction","type":"article-journal","volume":"27"},"uris":["http://www.mendeley.com/documents/?uuid=7d101493-e585-47ec-99bd-24b5c0d484bb"]}],"mendeley":{"formattedCitation":"[11,12]","plainTextFormattedCitation":"[11,12]","previouslyFormattedCitation":"[11,12]"},"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[11,</w:t>
      </w:r>
      <w:r w:rsidR="00EC0D34" w:rsidRP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12]</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In particular, the transformation of waste biomass into nitrogen-doped carbon materials reduces the use of natural resources and thus lowers the carbon footprint, eventually leading to less dependence on landfills. Over the past 15 years, the manufacture and use of textile have increased twofold owing to cheaper production cost, more efficient operation, and increasing demand caused by the fast changing fashion industry </w:t>
      </w:r>
      <w:r w:rsidRPr="00EC0D34">
        <w:rPr>
          <w:rFonts w:ascii="Times New Roman" w:hAnsi="Times New Roman" w:cs="Times New Roman"/>
          <w:shd w:val="clear" w:color="auto" w:fill="FFFFFF"/>
          <w:lang w:val="en-GB"/>
        </w:rPr>
        <w:fldChar w:fldCharType="begin" w:fldLock="1"/>
      </w:r>
      <w:r w:rsidR="008F2167" w:rsidRPr="00EC0D34">
        <w:rPr>
          <w:rFonts w:ascii="Times New Roman" w:hAnsi="Times New Roman" w:cs="Times New Roman" w:hint="eastAsia"/>
          <w:shd w:val="clear" w:color="auto" w:fill="FFFFFF"/>
          <w:lang w:val="en-GB"/>
        </w:rPr>
        <w:instrText>ADDIN CSL_CITATION {"citationItems":[{"id":"ITEM-1","itemData":{"DOI":"10.3390/su13116491","ISSN":"20711050","abstract":"In recent years, post</w:instrText>
      </w:r>
      <w:r w:rsidR="008F2167" w:rsidRPr="00EC0D34">
        <w:rPr>
          <w:rFonts w:ascii="Times New Roman" w:hAnsi="Times New Roman" w:cs="Times New Roman" w:hint="eastAsia"/>
          <w:shd w:val="clear" w:color="auto" w:fill="FFFFFF"/>
          <w:lang w:val="en-GB"/>
        </w:rPr>
        <w:instrText>‐</w:instrText>
      </w:r>
      <w:r w:rsidR="008F2167" w:rsidRPr="00EC0D34">
        <w:rPr>
          <w:rFonts w:ascii="Times New Roman" w:hAnsi="Times New Roman" w:cs="Times New Roman" w:hint="eastAsia"/>
          <w:shd w:val="clear" w:color="auto" w:fill="FFFFFF"/>
          <w:lang w:val="en-GB"/>
        </w:rPr>
        <w:instrText xml:space="preserve">consumer textile waste has become an important issue that attracts attention from activists, scientists and the </w:instrText>
      </w:r>
      <w:r w:rsidR="008F2167" w:rsidRPr="00EC0D34">
        <w:rPr>
          <w:rFonts w:ascii="Times New Roman" w:hAnsi="Times New Roman" w:cs="Times New Roman"/>
          <w:shd w:val="clear" w:color="auto" w:fill="FFFFFF"/>
          <w:lang w:val="en-GB"/>
        </w:rPr>
        <w:instrText>media. The production and use of clothing has more than doubled in the last fifteen years due to declining costs, streamlined operations and rising consumption under the influence of fast fashion. According to research, the average European buys as much a</w:instrText>
      </w:r>
      <w:r w:rsidR="008F2167" w:rsidRPr="00EC0D34">
        <w:rPr>
          <w:rFonts w:ascii="Times New Roman" w:hAnsi="Times New Roman" w:cs="Times New Roman" w:hint="eastAsia"/>
          <w:shd w:val="clear" w:color="auto" w:fill="FFFFFF"/>
          <w:lang w:val="en-GB"/>
        </w:rPr>
        <w:instrText>s 26 kg of textiles each year and discards 11 kg, while a very small share of post</w:instrText>
      </w:r>
      <w:r w:rsidR="008F2167" w:rsidRPr="00EC0D34">
        <w:rPr>
          <w:rFonts w:ascii="Times New Roman" w:hAnsi="Times New Roman" w:cs="Times New Roman" w:hint="eastAsia"/>
          <w:shd w:val="clear" w:color="auto" w:fill="FFFFFF"/>
          <w:lang w:val="en-GB"/>
        </w:rPr>
        <w:instrText>‐</w:instrText>
      </w:r>
      <w:r w:rsidR="008F2167" w:rsidRPr="00EC0D34">
        <w:rPr>
          <w:rFonts w:ascii="Times New Roman" w:hAnsi="Times New Roman" w:cs="Times New Roman" w:hint="eastAsia"/>
          <w:shd w:val="clear" w:color="auto" w:fill="FFFFFF"/>
          <w:lang w:val="en-GB"/>
        </w:rPr>
        <w:instrText>consumer textile waste is recycled. This article presents the findings of a study on household textile waste in the capital of Ljubljana. The research showed that despite t</w:instrText>
      </w:r>
      <w:r w:rsidR="008F2167" w:rsidRPr="00EC0D34">
        <w:rPr>
          <w:rFonts w:ascii="Times New Roman" w:hAnsi="Times New Roman" w:cs="Times New Roman"/>
          <w:shd w:val="clear" w:color="auto" w:fill="FFFFFF"/>
          <w:lang w:val="en-GB"/>
        </w:rPr>
        <w:instrText>he significant declarative environmental awareness of people for sustainable behavior in the field of textile waste, the share of those decreases with exposure to actual behavior. However, there are few people who are completely uninterested in reducing textile waste, as most people are aware of the problem and pay more and more attention to it. The authors study the management of textile waste and its creation by the inhabitants of Ljubljana in the broader context of the influences of fast fashion, as well as the cultural specifics of the Slovenian society.","author":[{"dropping-particle":"","family":"Polajnar Horvat","given":"Katarina","non-dropping-particle":"","parse-names":false,"suffix":""},{"dropping-particle":"","family":"Šrimpf Vendramin","given":"Katarina","non-dropping-particle":"","parse-names":false,"suffix":""}],"container-title":"Sustainability (Switzerland)","id":"ITEM-1","issue":"11","issued":{"date-parts":[["2021"]]},"page":"1-11","title":"Issues surrounding behavior towards discarded textiles and garments in Ljubljana","type":"article-journal","volume":"13"},"uris":["http://www.mendeley.com/documents/?uuid=dec65cca-aa58-4862-a808-e710480f04e6"]}],"mendeley":{"formattedCitation":"[13]","plainTextFormattedCitation":"[13]","previouslyFormattedCitation":"[13]"},"properties":{"noteIndex":0},"schema":"https://github.com/citation-style-language/schema/raw/master/csl-citation.json"}</w:instrText>
      </w:r>
      <w:r w:rsidRPr="00EC0D34">
        <w:rPr>
          <w:rFonts w:ascii="Times New Roman" w:hAnsi="Times New Roman" w:cs="Times New Roman"/>
          <w:shd w:val="clear" w:color="auto" w:fill="FFFFFF"/>
          <w:lang w:val="en-GB"/>
        </w:rPr>
        <w:fldChar w:fldCharType="separate"/>
      </w:r>
      <w:r w:rsidRPr="00EC0D34">
        <w:rPr>
          <w:rFonts w:ascii="Times New Roman" w:hAnsi="Times New Roman" w:cs="Times New Roman"/>
          <w:noProof/>
          <w:shd w:val="clear" w:color="auto" w:fill="FFFFFF"/>
          <w:lang w:val="en-GB"/>
        </w:rPr>
        <w:t>[13]</w:t>
      </w:r>
      <w:r w:rsidRPr="00EC0D34">
        <w:rPr>
          <w:rFonts w:ascii="Times New Roman" w:hAnsi="Times New Roman" w:cs="Times New Roman"/>
          <w:shd w:val="clear" w:color="auto" w:fill="FFFFFF"/>
          <w:lang w:val="en-GB"/>
        </w:rPr>
        <w:fldChar w:fldCharType="end"/>
      </w:r>
      <w:r w:rsidRPr="00EC0D34">
        <w:rPr>
          <w:rFonts w:ascii="Times New Roman" w:hAnsi="Times New Roman" w:cs="Times New Roman"/>
          <w:szCs w:val="20"/>
          <w:lang w:val="en-GB"/>
        </w:rPr>
        <w:t xml:space="preserve">. Inevitably, more textile waste is created when more textiles are produced. In the U.S only, 11.3 million tonnes of textiles are disposed in landfills, and only 14.7% (2.5 million tonnes) of the total textiles waste generated is being recycled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URL":"https://www.epa.gov/facts-and-figures-about-materials-waste-and-recycling/textiles-material-specific-data#TextilesOverview","accessed":{"date-parts":[["2019","12","16"]]},"author":[{"dropping-particle":"","family":"USEPA","given":"","non-dropping-particle":"","parse-names":false,"suffix":""}],"id":"ITEM-1","issued":{"date-parts":[["2019"]]},"title":"Textiles: Material-Specific Data | US EPA","type":"webpage"},"uris":["http://www.mendeley.com/documents/?uuid=423362e0-a0df-3659-a7a2-2073bf01873e"]}],"mendeley":{"formattedCitation":"[14]","plainTextFormattedCitation":"[14]","previouslyFormattedCitation":"[14]"},"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[14]</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The reason for the small amount of textiles being recycled is the complexity of segregating the blended fabric materials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{"citationItems":[{"id":"ITEM-1","itemData":{"DOI":"10.1007/s10924-017-0965-x","ISSN":"15662543","abstract":"A number of attempts have been made to recycle cotton/polyester blend woven fabrics after use; however, most of these fabrics are disposed of in landfills. Major part of these blend fabrics are not recycled due to complexity of the fibre arrangement and cannot be separated economically. This study shows that these discarded woven fabrics could be directly used as reinforcements in composites without fibre separation. Uniform alignment in the woven fabric provided consistent properties to the composites. The fabrics were reinforced by soybean-based-bioresins to produce biocomposites. The composites were analysed for mechanical, thermal, viscoelastic and morphological properties. Porosity and wettability of the composites were also evaluated. Results demonstrate that the tensile strength and modulus of over 100 and 10 MPa, respectively, can be obtained without any fibre treatment. Furthermore, impact strength over 70 kJ/m2 was obtained without any chemical treatment on fibres. The porosity of the composites produced was less than 9 vol%. Additionally, the fabrics were treated with alkali in order to improve the fibre–matrix interface and the composite properties were studied. From the economical perspective, these composites can be produced at a low cost as the major component is available for free or low cost.","author":[{"dropping-particle":"","family":"Ramamoorthy","given":"Sunil Kumar","non-dropping-particle":"","parse-names":false,"suffix":""},{"dropping-particle":"","family":"Skrifvars","given":"Mikael","non-dropping-particle":"","parse-names":false,"suffix":""},{"dropping-particle":"","family":"Alagar","given":"Ragunathan","non-dropping-particle":"","parse-names":false,"suffix":""},{"dropping-particle":"","family":"Akhtar","given":"Naeem","non-dropping-particle":"","parse-names":false,"suffix":""}],"container-title":"Journal of Polymers and the Environment","id":"ITEM-1","issue":"2","issued":{"date-parts":[["2018","2","1"]]},"page":"487-498","publisher":"Springer New York LLC","title":"End-Of-Life Textiles as Reinforcements in Biocomposites","type":"article-journal","volume":"26"},"uris":["http://www.mendeley.com/documents/?uuid=e35569ef-207d-3c86-94e5-3eb8e40a1276"]}],"mendeley":{"formattedCitation":"[15]","plainTextFormattedCitation":"[15]","previouslyFormattedCitation":"[15]"},"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[15]</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Therefore, the conversion of textiles waste into other usable novel materials is worth exploring. </w:t>
      </w:r>
    </w:p>
    <w:p w14:paraId="105F3A48" w14:textId="77777777" w:rsidR="00570E6E" w:rsidRPr="00EC0D34" w:rsidRDefault="00570E6E" w:rsidP="00570E6E">
      <w:pPr>
        <w:spacing w:line="360" w:lineRule="auto"/>
        <w:rPr>
          <w:rFonts w:ascii="Times New Roman" w:hAnsi="Times New Roman" w:cs="Times New Roman"/>
          <w:szCs w:val="20"/>
          <w:lang w:val="en-GB"/>
        </w:rPr>
      </w:pPr>
    </w:p>
    <w:p w14:paraId="17E81386" w14:textId="304B8A9D" w:rsidR="00785CA6" w:rsidRPr="00EC0D34" w:rsidRDefault="00570E6E" w:rsidP="00570E6E">
      <w:pPr>
        <w:rPr>
          <w:rFonts w:ascii="Times New Roman" w:hAnsi="Times New Roman" w:cs="Times New Roman"/>
          <w:szCs w:val="20"/>
        </w:rPr>
      </w:pPr>
      <w:r w:rsidRPr="00EC0D34">
        <w:rPr>
          <w:rFonts w:ascii="Times New Roman" w:hAnsi="Times New Roman" w:cs="Times New Roman"/>
          <w:szCs w:val="20"/>
          <w:lang w:val="en-GB"/>
        </w:rPr>
        <w:t>In the present work, we developed metal-free nitrogen-doped porous carbon for ORR from discarded clothing. Urea and calcium chloride were used as nitrogen source and pore-forming agent, respectively, during synthesis. Different pyrolysis temperatures were used to explore temperature’s effect on the surface characteristics and electrochemical performance of the electrocatalyst. The obtained nitrogen-doped carbon showed a comparable electrocatalytic activity to that of Pt/C, with superior stability and tolerance to methanol</w:t>
      </w:r>
      <w:r w:rsidR="00BC6F83" w:rsidRPr="00EC0D34">
        <w:rPr>
          <w:rFonts w:ascii="Times New Roman" w:hAnsi="Times New Roman" w:cs="Times New Roman"/>
          <w:szCs w:val="20"/>
        </w:rPr>
        <w:t>.</w:t>
      </w:r>
    </w:p>
    <w:p w14:paraId="17DC350C" w14:textId="77777777" w:rsidR="005540F5" w:rsidRPr="00EC0D34" w:rsidRDefault="005540F5" w:rsidP="00353544">
      <w:pPr>
        <w:rPr>
          <w:rFonts w:ascii="Times New Roman" w:hAnsi="Times New Roman" w:cs="Times New Roman"/>
          <w:szCs w:val="20"/>
        </w:rPr>
      </w:pPr>
    </w:p>
    <w:p w14:paraId="097CC48C" w14:textId="14422882" w:rsidR="00644CA6" w:rsidRPr="00EC0D34" w:rsidRDefault="00DE73D6" w:rsidP="00EC0D34">
      <w:pPr>
        <w:jc w:val="center"/>
        <w:outlineLvl w:val="0"/>
        <w:rPr>
          <w:rFonts w:ascii="Times New Roman" w:hAnsi="Times New Roman" w:cs="Times New Roman"/>
          <w:b/>
          <w:szCs w:val="20"/>
        </w:rPr>
      </w:pPr>
      <w:r w:rsidRPr="00EC0D34">
        <w:rPr>
          <w:rFonts w:ascii="Times New Roman" w:hAnsi="Times New Roman" w:cs="Times New Roman"/>
          <w:b/>
          <w:szCs w:val="20"/>
        </w:rPr>
        <w:t>Materials and Methods</w:t>
      </w:r>
    </w:p>
    <w:p w14:paraId="7ECEB868" w14:textId="77777777" w:rsidR="00D81815" w:rsidRPr="00EC0D34" w:rsidRDefault="00D81815" w:rsidP="00644CA6">
      <w:pPr>
        <w:jc w:val="left"/>
        <w:outlineLvl w:val="0"/>
        <w:rPr>
          <w:rFonts w:ascii="Times New Roman" w:hAnsi="Times New Roman" w:cs="Times New Roman"/>
          <w:b/>
          <w:lang w:val="en-GB"/>
        </w:rPr>
      </w:pPr>
      <w:r w:rsidRPr="00EC0D34">
        <w:rPr>
          <w:rFonts w:ascii="Times New Roman" w:hAnsi="Times New Roman" w:cs="Times New Roman"/>
          <w:b/>
          <w:lang w:val="en-GB"/>
        </w:rPr>
        <w:t>Preparation of nitrogen-doped porous carbon</w:t>
      </w:r>
    </w:p>
    <w:p w14:paraId="246C836A" w14:textId="74FAF968" w:rsidR="00D25954" w:rsidRPr="00EC0D34" w:rsidRDefault="00D81815" w:rsidP="00D81815">
      <w:pPr>
        <w:rPr>
          <w:rFonts w:ascii="Times New Roman" w:hAnsi="Times New Roman" w:cs="Times New Roman"/>
          <w:szCs w:val="20"/>
        </w:rPr>
      </w:pPr>
      <w:r w:rsidRPr="00EC0D34">
        <w:rPr>
          <w:rFonts w:ascii="Times New Roman" w:hAnsi="Times New Roman" w:cs="Times New Roman"/>
          <w:szCs w:val="20"/>
          <w:lang w:val="en-GB"/>
        </w:rPr>
        <w:t xml:space="preserve">TNPCs were fabricated following a previously reported procedure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{"citationItems":[{"id":"ITEM-1","itemData":{"DOI":"10.1016/j.jmrt.2021.01.089","ISSN":"22387854","abstract":"Heteroatom-doped carbon materials with hierarchical porous structures are promising alternatives to replace the use of scarce platinum catalysts in fuel cells for oxygen reduction reaction (ORR). In this work, nitrogen-doped hierarchical porous carbon is developed from abundantly available textile waste activated with calcium chloride as the pore forming agent and inexpensive urea as the nitrogen precursor followed by pyrolysis. The obtained porous carbon, namely TCPB, has a 3D interconnected hierarchical porous structure (sponge-like) with high surface area (495.97 m2 g?1) and good nitrogen doping (2.80 at%). TCPB exhibits excellent ORR activity (E0 ¼ 0.948 V vs RHE) via the 4-electron transfer pathway with low H2O2 production (6.9e8.91%), superior stability (negligible per- formance loss) and good tolerance to 3 M methanol when compared to commercial Pt in alkaline media. These results indicate the conversion of textile waste with simple syn- thesis steps able to produce nitrogen doped porous carbon catalyst with excellent perfor- mance thus offering great advantage for fuel cell application. ©","author":[{"dropping-particle":"","family":"Sauid","given":"S.M.","non-dropping-particle":"","parse-names":false,"suffix":""},{"dropping-particle":"","family":"Kamarudin","given":"S.K.","non-dropping-particle":"","parse-names":false,"suffix":""},{"dropping-particle":"","family":"Karim","given":"N.A.","non-dropping-particle":"","parse-names":false,"suffix":""},{"dropping-particle":"","family":"Shyuan","given":"L.K.","non-dropping-particle":"","parse-names":false,"suffix":""}],"container-title":"Journal of Materials Research and Technology","id":"ITEM-1","issued":{"date-parts":[["2021","3"]]},"page":"1834-1846","publisher":"Elsevier Ltd","title":"Superior stability and methanol tolerance of a metal-free nitrogen-doped hierarchical porous carbon electrocatalyst derived from textile waste","type":"article-journal","volume":"11"},"uris":["http://www.mendeley.com/documents/?uuid=56c5dc2a-be5a-496b-95fb-c621a428caa4"]}],"mendeley":{"formattedCitation":"[16]","plainTextFormattedCitation":"[16]","previouslyFormattedCitation":"[16]"},"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[16]</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Typically, small textile cuts of polyester blend fabrics were impregnated in solution containing calcium chloride and urea for 12 h. Then, it was dried at 80 °C for another 12 h prior to pyrolysis at the desired temperature (800, 900, and 1000 °C) for 1 h in N</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environment. After cooling to room temperature, the pyrolysis products were ground using pestle and mortar into fine powder and then acid etched in 3 M HCl to remove any unstable elements. Multiple rinsing with distilled water was conducted until the eluent reached neutral pH before finally drying at 105 °C overnight. The prepared sample was denoted according to its pyrolysis temperature, i.e., TNPC800, TNPC900, and TNPC1000 for 800, 900, and 1000 °C, respectively</w:t>
      </w:r>
      <w:r w:rsidR="00D25954" w:rsidRPr="00EC0D34">
        <w:rPr>
          <w:rFonts w:ascii="Times New Roman" w:hAnsi="Times New Roman" w:cs="Times New Roman"/>
          <w:szCs w:val="20"/>
        </w:rPr>
        <w:t>.</w:t>
      </w:r>
    </w:p>
    <w:p w14:paraId="4CD13506" w14:textId="77777777" w:rsidR="00CE69C3" w:rsidRPr="00EC0D34" w:rsidRDefault="00CE69C3" w:rsidP="003F3701">
      <w:pPr>
        <w:jc w:val="left"/>
        <w:outlineLvl w:val="0"/>
        <w:rPr>
          <w:rFonts w:ascii="Times New Roman" w:hAnsi="Times New Roman" w:cs="Times New Roman"/>
          <w:bCs/>
        </w:rPr>
      </w:pPr>
    </w:p>
    <w:p w14:paraId="4D797BDC" w14:textId="77777777" w:rsidR="000617DE" w:rsidRPr="00EC0D34" w:rsidRDefault="000617DE" w:rsidP="00BC586B">
      <w:pPr>
        <w:jc w:val="left"/>
        <w:outlineLvl w:val="0"/>
        <w:rPr>
          <w:rFonts w:ascii="Times New Roman" w:hAnsi="Times New Roman" w:cs="Times New Roman"/>
          <w:b/>
          <w:lang w:val="en-GB"/>
        </w:rPr>
      </w:pPr>
      <w:r w:rsidRPr="00EC0D34">
        <w:rPr>
          <w:rFonts w:ascii="Times New Roman" w:hAnsi="Times New Roman" w:cs="Times New Roman"/>
          <w:b/>
          <w:lang w:val="en-GB"/>
        </w:rPr>
        <w:t>Surface characterisation</w:t>
      </w:r>
    </w:p>
    <w:p w14:paraId="4891791E" w14:textId="4B8EC854" w:rsidR="000617DE" w:rsidRPr="00EC0D34" w:rsidRDefault="000617DE" w:rsidP="00BC586B">
      <w:pPr>
        <w:rPr>
          <w:rFonts w:ascii="Times New Roman" w:hAnsi="Times New Roman" w:cs="Times New Roman"/>
          <w:lang w:val="en-GB"/>
        </w:rPr>
      </w:pPr>
      <w:r w:rsidRPr="00EC0D34">
        <w:rPr>
          <w:rFonts w:ascii="Times New Roman" w:hAnsi="Times New Roman" w:cs="Times New Roman"/>
          <w:lang w:val="en-GB"/>
        </w:rPr>
        <w:t xml:space="preserve">The surface morphology of the TNPCs was examined by scanning electron microscopy (SEM; CARL ZEISS EVO MA 10). The </w:t>
      </w:r>
      <w:proofErr w:type="spellStart"/>
      <w:r w:rsidRPr="00EC0D34">
        <w:rPr>
          <w:rFonts w:ascii="Times New Roman" w:hAnsi="Times New Roman" w:cs="Times New Roman"/>
          <w:lang w:val="en-GB"/>
        </w:rPr>
        <w:t>Brunauer</w:t>
      </w:r>
      <w:proofErr w:type="spellEnd"/>
      <w:r w:rsidRPr="00EC0D34">
        <w:rPr>
          <w:rFonts w:ascii="Times New Roman" w:hAnsi="Times New Roman" w:cs="Times New Roman"/>
          <w:lang w:val="en-GB"/>
        </w:rPr>
        <w:t>–Emmett–Teller (BET) surface area and porosity of TNPCs were determined from nitrogen adsorption–desorption isotherms evaluated by a Micromeritics 3 Flex instrument. The surface element and binding energy of the prepared TNPCs were analysed by X-ray photoelectron spectroscopy (XPS) by using an Axis Ultra DLD system (</w:t>
      </w:r>
      <w:proofErr w:type="spellStart"/>
      <w:r w:rsidRPr="00EC0D34">
        <w:rPr>
          <w:rFonts w:ascii="Times New Roman" w:hAnsi="Times New Roman" w:cs="Times New Roman"/>
          <w:lang w:val="en-GB"/>
        </w:rPr>
        <w:t>Kratos</w:t>
      </w:r>
      <w:proofErr w:type="spellEnd"/>
      <w:r w:rsidRPr="00EC0D34">
        <w:rPr>
          <w:rFonts w:ascii="Times New Roman" w:hAnsi="Times New Roman" w:cs="Times New Roman"/>
          <w:lang w:val="en-GB"/>
        </w:rPr>
        <w:t xml:space="preserve">) with </w:t>
      </w:r>
      <w:r w:rsidRPr="00EC0D34">
        <w:rPr>
          <w:rFonts w:ascii="Times New Roman" w:hAnsi="Times New Roman" w:cs="Times New Roman"/>
          <w:kern w:val="0"/>
          <w:szCs w:val="24"/>
          <w:lang w:val="en-GB"/>
        </w:rPr>
        <w:t>a monochromic Al/K</w:t>
      </w:r>
      <w:r w:rsidRPr="00EC0D34">
        <w:rPr>
          <w:rFonts w:ascii="Times New Roman" w:hAnsi="Times New Roman" w:cs="Times New Roman"/>
          <w:szCs w:val="24"/>
          <w:lang w:val="en-GB"/>
        </w:rPr>
        <w:t xml:space="preserve">-Alpha </w:t>
      </w:r>
      <w:r w:rsidRPr="00EC0D34">
        <w:rPr>
          <w:rFonts w:ascii="Times New Roman" w:hAnsi="Times New Roman" w:cs="Times New Roman"/>
          <w:kern w:val="0"/>
          <w:szCs w:val="24"/>
          <w:lang w:val="en-GB"/>
        </w:rPr>
        <w:t>X-ray source</w:t>
      </w:r>
      <w:r w:rsidRPr="00EC0D34">
        <w:rPr>
          <w:rFonts w:ascii="Times New Roman" w:hAnsi="Times New Roman" w:cs="Times New Roman"/>
          <w:szCs w:val="24"/>
          <w:lang w:val="en-GB"/>
        </w:rPr>
        <w:t xml:space="preserve">. Background </w:t>
      </w:r>
      <w:r w:rsidR="000B1A78" w:rsidRPr="00EC0D34">
        <w:rPr>
          <w:rFonts w:ascii="Times New Roman" w:hAnsi="Times New Roman" w:cs="Times New Roman"/>
          <w:szCs w:val="24"/>
          <w:lang w:val="en-GB"/>
        </w:rPr>
        <w:t>correction</w:t>
      </w:r>
      <w:r w:rsidRPr="00EC0D34">
        <w:rPr>
          <w:rFonts w:ascii="Times New Roman" w:hAnsi="Times New Roman" w:cs="Times New Roman"/>
          <w:szCs w:val="24"/>
          <w:lang w:val="en-GB"/>
        </w:rPr>
        <w:t xml:space="preserve"> were performed for all peaks with carbon peaks (284.8 eV).</w:t>
      </w:r>
    </w:p>
    <w:p w14:paraId="0FE057B5" w14:textId="77777777" w:rsidR="000617DE" w:rsidRPr="00EC0D34" w:rsidRDefault="000617DE" w:rsidP="000617DE">
      <w:pPr>
        <w:spacing w:line="360" w:lineRule="auto"/>
        <w:jc w:val="left"/>
        <w:outlineLvl w:val="0"/>
        <w:rPr>
          <w:rFonts w:ascii="Times New Roman" w:hAnsi="Times New Roman" w:cs="Times New Roman"/>
          <w:bCs/>
          <w:lang w:val="en-GB"/>
        </w:rPr>
      </w:pPr>
    </w:p>
    <w:p w14:paraId="2C916C22" w14:textId="77777777" w:rsidR="000617DE" w:rsidRPr="00EC0D34" w:rsidRDefault="000617DE" w:rsidP="000617DE">
      <w:pPr>
        <w:jc w:val="left"/>
        <w:outlineLvl w:val="0"/>
        <w:rPr>
          <w:rFonts w:ascii="Times New Roman" w:hAnsi="Times New Roman" w:cs="Times New Roman"/>
          <w:b/>
          <w:lang w:val="en-GB"/>
        </w:rPr>
      </w:pPr>
      <w:r w:rsidRPr="00EC0D34">
        <w:rPr>
          <w:rFonts w:ascii="Times New Roman" w:hAnsi="Times New Roman" w:cs="Times New Roman"/>
          <w:b/>
          <w:lang w:val="en-GB"/>
        </w:rPr>
        <w:t>Electrochemical characterisation</w:t>
      </w:r>
    </w:p>
    <w:p w14:paraId="61EE22BA" w14:textId="77777777" w:rsidR="000617DE" w:rsidRPr="00EC0D34" w:rsidRDefault="000617DE" w:rsidP="000617DE">
      <w:pPr>
        <w:spacing w:after="160"/>
        <w:rPr>
          <w:rFonts w:ascii="Times New Roman" w:hAnsi="Times New Roman" w:cs="Times New Roman"/>
          <w:szCs w:val="20"/>
          <w:lang w:val="en-GB"/>
        </w:rPr>
      </w:pPr>
      <w:r w:rsidRPr="00EC0D34">
        <w:rPr>
          <w:rFonts w:ascii="Times New Roman" w:hAnsi="Times New Roman" w:cs="Times New Roman"/>
          <w:szCs w:val="20"/>
          <w:lang w:val="en-GB"/>
        </w:rPr>
        <w:t xml:space="preserve">Electrochemical tests were performed using an </w:t>
      </w:r>
      <w:proofErr w:type="spellStart"/>
      <w:r w:rsidRPr="00EC0D34">
        <w:rPr>
          <w:rFonts w:ascii="Times New Roman" w:hAnsi="Times New Roman" w:cs="Times New Roman"/>
          <w:szCs w:val="20"/>
          <w:lang w:val="en-GB"/>
        </w:rPr>
        <w:t>Autolab</w:t>
      </w:r>
      <w:proofErr w:type="spellEnd"/>
      <w:r w:rsidRPr="00EC0D34">
        <w:rPr>
          <w:rFonts w:ascii="Times New Roman" w:hAnsi="Times New Roman" w:cs="Times New Roman"/>
          <w:szCs w:val="20"/>
          <w:lang w:val="en-GB"/>
        </w:rPr>
        <w:t xml:space="preserve"> PGSTAT128N </w:t>
      </w:r>
      <w:proofErr w:type="spellStart"/>
      <w:r w:rsidRPr="00EC0D34">
        <w:rPr>
          <w:rFonts w:ascii="Times New Roman" w:hAnsi="Times New Roman" w:cs="Times New Roman"/>
          <w:szCs w:val="20"/>
          <w:lang w:val="en-GB"/>
        </w:rPr>
        <w:t>potentiostat</w:t>
      </w:r>
      <w:proofErr w:type="spellEnd"/>
      <w:r w:rsidRPr="00EC0D34">
        <w:rPr>
          <w:rFonts w:ascii="Times New Roman" w:hAnsi="Times New Roman" w:cs="Times New Roman"/>
          <w:szCs w:val="20"/>
          <w:lang w:val="en-GB"/>
        </w:rPr>
        <w:t xml:space="preserve"> (</w:t>
      </w:r>
      <w:proofErr w:type="spellStart"/>
      <w:r w:rsidRPr="00EC0D34">
        <w:rPr>
          <w:rFonts w:ascii="Times New Roman" w:hAnsi="Times New Roman" w:cs="Times New Roman"/>
          <w:szCs w:val="20"/>
          <w:lang w:val="en-GB"/>
        </w:rPr>
        <w:t>Metrohm-Autolab</w:t>
      </w:r>
      <w:proofErr w:type="spellEnd"/>
      <w:r w:rsidRPr="00EC0D34">
        <w:rPr>
          <w:rFonts w:ascii="Times New Roman" w:hAnsi="Times New Roman" w:cs="Times New Roman"/>
          <w:szCs w:val="20"/>
          <w:lang w:val="en-GB"/>
        </w:rPr>
        <w:t xml:space="preserve">) with a rotating ring-disk electrode (RRDE). A typical three-electrode system comprising a platinum rod, 5 mm-diameter glassy carbon, and Ag/AgCl electrodes serving as counter, working, and reference electrodes, respectively, were used. The catalyst ink was prepared by dispersing 4 mg of catalyst powder in the mixture of deionised water, ethanol, and 5wt% </w:t>
      </w:r>
      <w:proofErr w:type="spellStart"/>
      <w:r w:rsidRPr="00EC0D34">
        <w:rPr>
          <w:rFonts w:ascii="Times New Roman" w:hAnsi="Times New Roman" w:cs="Times New Roman"/>
          <w:szCs w:val="20"/>
          <w:lang w:val="en-GB"/>
        </w:rPr>
        <w:t>Nafion</w:t>
      </w:r>
      <w:proofErr w:type="spellEnd"/>
      <w:r w:rsidRPr="00EC0D34">
        <w:rPr>
          <w:rFonts w:ascii="Times New Roman" w:hAnsi="Times New Roman" w:cs="Times New Roman"/>
          <w:szCs w:val="20"/>
          <w:lang w:val="en-GB"/>
        </w:rPr>
        <w:t xml:space="preserve"> solution. ORR measurements were conducted by cyclic voltammetry (CV) in N</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and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-saturated 0.1 M KOH solution at a scan rate of 25 mV s</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whereas linear scan voltammetry (LSV) was performed at a sweeping rate of 5 mV s</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from 100 to 1600 rotation speeds. CV and LSV were swept within the same potential range from 0.2 V to -0.9 V vs. Ag/AgCl. For comparison, 20wt% Pt/C with the same catalyst loading was used in the electrochemical measurement. Kinetic current density (</w:t>
      </w:r>
      <w:proofErr w:type="spellStart"/>
      <w:r w:rsidRPr="00EC0D34">
        <w:rPr>
          <w:rFonts w:ascii="Times New Roman" w:hAnsi="Times New Roman" w:cs="Times New Roman"/>
          <w:szCs w:val="20"/>
          <w:lang w:val="en-GB"/>
        </w:rPr>
        <w:t>j</w:t>
      </w:r>
      <w:r w:rsidRPr="00EC0D34">
        <w:rPr>
          <w:rFonts w:ascii="Times New Roman" w:hAnsi="Times New Roman" w:cs="Times New Roman"/>
          <w:szCs w:val="20"/>
          <w:vertAlign w:val="subscript"/>
          <w:lang w:val="en-GB"/>
        </w:rPr>
        <w:t>K</w:t>
      </w:r>
      <w:proofErr w:type="spellEnd"/>
      <w:r w:rsidRPr="00EC0D34">
        <w:rPr>
          <w:rFonts w:ascii="Times New Roman" w:hAnsi="Times New Roman" w:cs="Times New Roman"/>
          <w:szCs w:val="20"/>
          <w:lang w:val="en-GB"/>
        </w:rPr>
        <w:t xml:space="preserve">) was calculated according to equation (1) where j, </w:t>
      </w:r>
      <w:proofErr w:type="spellStart"/>
      <w:r w:rsidRPr="00EC0D34">
        <w:rPr>
          <w:rFonts w:ascii="Times New Roman" w:hAnsi="Times New Roman" w:cs="Times New Roman"/>
          <w:szCs w:val="20"/>
          <w:lang w:val="en-GB"/>
        </w:rPr>
        <w:t>j</w:t>
      </w:r>
      <w:r w:rsidRPr="00EC0D34">
        <w:rPr>
          <w:rFonts w:ascii="Times New Roman" w:hAnsi="Times New Roman" w:cs="Times New Roman"/>
          <w:szCs w:val="20"/>
          <w:vertAlign w:val="subscript"/>
          <w:lang w:val="en-GB"/>
        </w:rPr>
        <w:t>K</w:t>
      </w:r>
      <w:proofErr w:type="spellEnd"/>
      <w:r w:rsidRPr="00EC0D34">
        <w:rPr>
          <w:rFonts w:ascii="Times New Roman" w:hAnsi="Times New Roman" w:cs="Times New Roman"/>
          <w:szCs w:val="20"/>
          <w:lang w:val="en-GB"/>
        </w:rPr>
        <w:t xml:space="preserve">, and </w:t>
      </w:r>
      <w:proofErr w:type="spellStart"/>
      <w:r w:rsidRPr="00EC0D34">
        <w:rPr>
          <w:rFonts w:ascii="Times New Roman" w:hAnsi="Times New Roman" w:cs="Times New Roman"/>
          <w:szCs w:val="20"/>
          <w:lang w:val="en-GB"/>
        </w:rPr>
        <w:t>j</w:t>
      </w:r>
      <w:r w:rsidRPr="00EC0D34">
        <w:rPr>
          <w:rFonts w:ascii="Times New Roman" w:hAnsi="Times New Roman" w:cs="Times New Roman"/>
          <w:szCs w:val="20"/>
          <w:vertAlign w:val="subscript"/>
          <w:lang w:val="en-GB"/>
        </w:rPr>
        <w:t>L</w:t>
      </w:r>
      <w:proofErr w:type="spellEnd"/>
      <w:r w:rsidRPr="00EC0D34">
        <w:rPr>
          <w:rFonts w:ascii="Times New Roman" w:hAnsi="Times New Roman" w:cs="Times New Roman"/>
          <w:szCs w:val="20"/>
          <w:lang w:val="en-GB"/>
        </w:rPr>
        <w:t xml:space="preserve"> are the measured, kinetic current, and the diffusion-limiting current densities, respectively. </w:t>
      </w:r>
    </w:p>
    <w:p w14:paraId="07B71343" w14:textId="4918B31B" w:rsidR="000617DE" w:rsidRPr="00EC0D34" w:rsidRDefault="007D33CB" w:rsidP="00EC0D34">
      <w:pPr>
        <w:adjustRightInd w:val="0"/>
        <w:ind w:firstLine="720"/>
        <w:jc w:val="center"/>
        <w:rPr>
          <w:rFonts w:ascii="Times New Roman" w:hAnsi="Times New Roman" w:cs="Times New Roman"/>
          <w:szCs w:val="20"/>
          <w:lang w:val="en-GB"/>
        </w:rPr>
      </w:pPr>
      <m:oMath>
        <m:sSub>
          <m:sSubPr>
            <m:ctrlPr>
              <w:rPr>
                <w:rFonts w:ascii="Cambria Math" w:hAnsi="Cambria Math" w:cs="Times New Roman"/>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K</m:t>
            </m:r>
          </m:sub>
        </m:sSub>
        <m:r>
          <m:rPr>
            <m:sty m:val="p"/>
          </m:rPr>
          <w:rPr>
            <w:rFonts w:ascii="Cambria Math" w:hAnsi="Cambria Math" w:cs="Times New Roman"/>
            <w:szCs w:val="20"/>
            <w:lang w:val="en-GB"/>
          </w:rPr>
          <m:t xml:space="preserve">= </m:t>
        </m:r>
        <m:f>
          <m:fPr>
            <m:ctrlPr>
              <w:rPr>
                <w:rFonts w:ascii="Cambria Math" w:hAnsi="Cambria Math" w:cs="Times New Roman"/>
                <w:szCs w:val="20"/>
                <w:lang w:val="en-GB"/>
              </w:rPr>
            </m:ctrlPr>
          </m:fPr>
          <m:num>
            <m:r>
              <m:rPr>
                <m:sty m:val="p"/>
              </m:rPr>
              <w:rPr>
                <w:rFonts w:ascii="Cambria Math" w:hAnsi="Cambria Math" w:cs="Times New Roman"/>
                <w:szCs w:val="20"/>
                <w:lang w:val="en-GB"/>
              </w:rPr>
              <m:t xml:space="preserve">j .  </m:t>
            </m:r>
            <m:sSub>
              <m:sSubPr>
                <m:ctrlPr>
                  <w:rPr>
                    <w:rFonts w:ascii="Cambria Math" w:hAnsi="Cambria Math" w:cs="Times New Roman"/>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L</m:t>
                </m:r>
              </m:sub>
            </m:sSub>
          </m:num>
          <m:den>
            <m:sSub>
              <m:sSubPr>
                <m:ctrlPr>
                  <w:rPr>
                    <w:rFonts w:ascii="Cambria Math" w:hAnsi="Cambria Math" w:cs="Times New Roman"/>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L</m:t>
                </m:r>
              </m:sub>
            </m:sSub>
            <m:r>
              <m:rPr>
                <m:sty m:val="p"/>
              </m:rPr>
              <w:rPr>
                <w:rFonts w:ascii="Cambria Math" w:hAnsi="Cambria Math" w:cs="Times New Roman"/>
                <w:szCs w:val="20"/>
                <w:lang w:val="en-GB"/>
              </w:rPr>
              <m:t>-j</m:t>
            </m:r>
          </m:den>
        </m:f>
        <m:r>
          <m:rPr>
            <m:sty m:val="p"/>
          </m:rPr>
          <w:rPr>
            <w:rFonts w:ascii="Cambria Math" w:hAnsi="Cambria Math" w:cs="Times New Roman"/>
            <w:szCs w:val="20"/>
            <w:lang w:val="en-GB"/>
          </w:rPr>
          <m:t xml:space="preserve">  </m:t>
        </m:r>
      </m:oMath>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t>(1)</w:t>
      </w:r>
    </w:p>
    <w:p w14:paraId="156AB514" w14:textId="539BEF45" w:rsidR="000617DE" w:rsidRPr="00EC0D34" w:rsidRDefault="000617DE" w:rsidP="000617DE">
      <w:pPr>
        <w:adjustRightInd w:val="0"/>
        <w:rPr>
          <w:rFonts w:ascii="Times New Roman" w:hAnsi="Times New Roman" w:cs="Times New Roman"/>
          <w:szCs w:val="20"/>
          <w:lang w:val="en-GB"/>
        </w:rPr>
      </w:pPr>
      <w:r w:rsidRPr="00EC0D34">
        <w:rPr>
          <w:rFonts w:ascii="Times New Roman" w:hAnsi="Times New Roman" w:cs="Times New Roman"/>
          <w:szCs w:val="20"/>
          <w:lang w:val="en-GB"/>
        </w:rPr>
        <w:lastRenderedPageBreak/>
        <w:t xml:space="preserve">The electron-transfer number (n) was calculated from the </w:t>
      </w:r>
      <w:proofErr w:type="spellStart"/>
      <w:r w:rsidRPr="00EC0D34">
        <w:rPr>
          <w:rFonts w:ascii="Times New Roman" w:hAnsi="Times New Roman" w:cs="Times New Roman"/>
          <w:szCs w:val="20"/>
          <w:lang w:val="en-GB"/>
        </w:rPr>
        <w:t>Koutecky</w:t>
      </w:r>
      <w:proofErr w:type="spellEnd"/>
      <w:r w:rsidRPr="00EC0D34">
        <w:rPr>
          <w:rFonts w:ascii="Times New Roman" w:hAnsi="Times New Roman" w:cs="Times New Roman"/>
          <w:szCs w:val="20"/>
          <w:lang w:val="en-GB"/>
        </w:rPr>
        <w:t>–</w:t>
      </w:r>
      <w:proofErr w:type="spellStart"/>
      <w:r w:rsidRPr="00EC0D34">
        <w:rPr>
          <w:rFonts w:ascii="Times New Roman" w:hAnsi="Times New Roman" w:cs="Times New Roman"/>
          <w:szCs w:val="20"/>
          <w:lang w:val="en-GB"/>
        </w:rPr>
        <w:t>Levich</w:t>
      </w:r>
      <w:proofErr w:type="spellEnd"/>
      <w:r w:rsidRPr="00EC0D34">
        <w:rPr>
          <w:rFonts w:ascii="Times New Roman" w:hAnsi="Times New Roman" w:cs="Times New Roman"/>
          <w:szCs w:val="20"/>
          <w:lang w:val="en-GB"/>
        </w:rPr>
        <w:t xml:space="preserve"> (K-L) equations (2)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{"citationItems":[{"id":"ITEM-1","itemData":{"DOI":"10.1021/acscatal.5b00524","ISSN":"21555435","abstract":"The oxygen reduction reaction (ORR) is an important electrode reaction for energy storage and conversion devices based on oxygen electrocatalysis. This paper introduces the thermodynamics, reaction kinetics, reaction mechanisms, and reaction pathways of ORR in aqueous alkaline media. Recent advances of the catalysts for ORR were extensively reviewed, including precious metals, nonmetal-doped carbon, carbon-transition metal hybrids, transition metal oxides with spinel and perovskite structures, and so forth. The applications of those ORR catalysts to zinc-air batteries and alkaline fuel cells were briefly introduced. A concluding remark summarizes the current status of the reaction pathways, advanced catalysts, and the future challenges of the research and development of ORR.","author":[{"dropping-particle":"","family":"Ge","given":"Xiaoming","non-dropping-particle":"","parse-names":false,"suffix":""},{"dropping-particle":"","family":"Sumboja","given":"Afriyanti","non-dropping-particle":"","parse-names":false,"suffix":""},{"dropping-particle":"","family":"Wuu","given":"Delvin","non-dropping-particle":"","parse-names":false,"suffix":""},{"dropping-particle":"","family":"An","given":"Tao","non-dropping-particle":"","parse-names":false,"suffix":""},{"dropping-particle":"","family":"Li","given":"Bing","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ACS Catalysis","id":"ITEM-1","issue":"8","issued":{"date-parts":[["2015","8","7"]]},"page":"4643-4667","title":"Oxygen Reduction in Alkaline Media: From Mechanisms to Recent Advances of Catalysts","type":"article-journal","volume":"5"},"uris":["http://www.mendeley.com/documents/?uuid=fbe25398-1b8b-30ee-8e5b-3859fac90b38"]}],"mendeley":{"formattedCitation":"[17]","plainTextFormattedCitation":"[17]","previouslyFormattedCitation":"[17]"},"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[17]</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w:t>
      </w:r>
    </w:p>
    <w:p w14:paraId="20370974" w14:textId="77777777" w:rsidR="00EC0D34" w:rsidRPr="00EC0D34" w:rsidRDefault="00EC0D34" w:rsidP="000617DE">
      <w:pPr>
        <w:adjustRightInd w:val="0"/>
        <w:rPr>
          <w:rFonts w:ascii="Times New Roman" w:hAnsi="Times New Roman" w:cs="Times New Roman"/>
          <w:szCs w:val="20"/>
          <w:lang w:val="en-GB"/>
        </w:rPr>
      </w:pPr>
    </w:p>
    <w:p w14:paraId="39B17B89" w14:textId="7A726361" w:rsidR="000617DE" w:rsidRPr="00EC0D34" w:rsidRDefault="007D33CB" w:rsidP="00EC0D34">
      <w:pPr>
        <w:adjustRightInd w:val="0"/>
        <w:ind w:firstLine="720"/>
        <w:jc w:val="center"/>
        <w:rPr>
          <w:rFonts w:ascii="Times New Roman" w:hAnsi="Times New Roman" w:cs="Times New Roman"/>
          <w:iCs/>
          <w:szCs w:val="20"/>
          <w:lang w:val="en-GB"/>
        </w:rPr>
      </w:pPr>
      <m:oMath>
        <m:f>
          <m:fPr>
            <m:ctrlPr>
              <w:rPr>
                <w:rFonts w:ascii="Cambria Math" w:hAnsi="Cambria Math" w:cs="Times New Roman"/>
                <w:iCs/>
                <w:szCs w:val="20"/>
                <w:lang w:val="en-GB"/>
              </w:rPr>
            </m:ctrlPr>
          </m:fPr>
          <m:num>
            <m:r>
              <m:rPr>
                <m:sty m:val="p"/>
              </m:rPr>
              <w:rPr>
                <w:rFonts w:ascii="Cambria Math" w:hAnsi="Cambria Math" w:cs="Times New Roman"/>
                <w:szCs w:val="20"/>
                <w:lang w:val="en-GB"/>
              </w:rPr>
              <m:t>1</m:t>
            </m:r>
          </m:num>
          <m:den>
            <m:r>
              <m:rPr>
                <m:sty m:val="p"/>
              </m:rPr>
              <w:rPr>
                <w:rFonts w:ascii="Cambria Math" w:hAnsi="Cambria Math" w:cs="Times New Roman"/>
                <w:szCs w:val="20"/>
                <w:lang w:val="en-GB"/>
              </w:rPr>
              <m:t>j</m:t>
            </m:r>
          </m:den>
        </m:f>
        <m:r>
          <m:rPr>
            <m:sty m:val="p"/>
          </m:rPr>
          <w:rPr>
            <w:rFonts w:ascii="Cambria Math" w:hAnsi="Cambria Math" w:cs="Times New Roman"/>
            <w:szCs w:val="20"/>
            <w:lang w:val="en-GB"/>
          </w:rPr>
          <m:t>=</m:t>
        </m:r>
        <m:f>
          <m:fPr>
            <m:ctrlPr>
              <w:rPr>
                <w:rFonts w:ascii="Cambria Math" w:hAnsi="Cambria Math" w:cs="Times New Roman"/>
                <w:iCs/>
                <w:szCs w:val="20"/>
                <w:lang w:val="en-GB"/>
              </w:rPr>
            </m:ctrlPr>
          </m:fPr>
          <m:num>
            <m:r>
              <m:rPr>
                <m:sty m:val="p"/>
              </m:rPr>
              <w:rPr>
                <w:rFonts w:ascii="Cambria Math" w:hAnsi="Cambria Math" w:cs="Times New Roman"/>
                <w:szCs w:val="20"/>
                <w:lang w:val="en-GB"/>
              </w:rPr>
              <m:t>1</m:t>
            </m:r>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K</m:t>
                </m:r>
              </m:sub>
            </m:sSub>
          </m:den>
        </m:f>
        <m:r>
          <m:rPr>
            <m:sty m:val="p"/>
          </m:rPr>
          <w:rPr>
            <w:rFonts w:ascii="Cambria Math" w:hAnsi="Cambria Math" w:cs="Times New Roman"/>
            <w:szCs w:val="20"/>
            <w:lang w:val="en-GB"/>
          </w:rPr>
          <m:t>+</m:t>
        </m:r>
        <m:f>
          <m:fPr>
            <m:ctrlPr>
              <w:rPr>
                <w:rFonts w:ascii="Cambria Math" w:hAnsi="Cambria Math" w:cs="Times New Roman"/>
                <w:iCs/>
                <w:szCs w:val="20"/>
                <w:lang w:val="en-GB"/>
              </w:rPr>
            </m:ctrlPr>
          </m:fPr>
          <m:num>
            <m:r>
              <m:rPr>
                <m:sty m:val="p"/>
              </m:rPr>
              <w:rPr>
                <w:rFonts w:ascii="Cambria Math" w:hAnsi="Cambria Math" w:cs="Times New Roman"/>
                <w:szCs w:val="20"/>
                <w:lang w:val="en-GB"/>
              </w:rPr>
              <m:t>1</m:t>
            </m:r>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L</m:t>
                </m:r>
              </m:sub>
            </m:sSub>
          </m:den>
        </m:f>
        <m:r>
          <m:rPr>
            <m:sty m:val="p"/>
          </m:rPr>
          <w:rPr>
            <w:rFonts w:ascii="Cambria Math" w:hAnsi="Cambria Math" w:cs="Times New Roman"/>
            <w:szCs w:val="20"/>
            <w:lang w:val="en-GB"/>
          </w:rPr>
          <m:t>=</m:t>
        </m:r>
        <m:f>
          <m:fPr>
            <m:ctrlPr>
              <w:rPr>
                <w:rFonts w:ascii="Cambria Math" w:hAnsi="Cambria Math" w:cs="Times New Roman"/>
                <w:iCs/>
                <w:szCs w:val="20"/>
                <w:lang w:val="en-GB"/>
              </w:rPr>
            </m:ctrlPr>
          </m:fPr>
          <m:num>
            <m:r>
              <m:rPr>
                <m:sty m:val="p"/>
              </m:rPr>
              <w:rPr>
                <w:rFonts w:ascii="Cambria Math" w:hAnsi="Cambria Math" w:cs="Times New Roman"/>
                <w:szCs w:val="20"/>
                <w:lang w:val="en-GB"/>
              </w:rPr>
              <m:t>1</m:t>
            </m:r>
          </m:num>
          <m:den>
            <m:r>
              <m:rPr>
                <m:sty m:val="p"/>
              </m:rPr>
              <w:rPr>
                <w:rFonts w:ascii="Cambria Math" w:hAnsi="Cambria Math" w:cs="Times New Roman"/>
                <w:szCs w:val="20"/>
                <w:lang w:val="en-GB"/>
              </w:rPr>
              <m:t>B</m:t>
            </m:r>
          </m:den>
        </m:f>
        <m:sSup>
          <m:sSupPr>
            <m:ctrlPr>
              <w:rPr>
                <w:rFonts w:ascii="Cambria Math" w:hAnsi="Cambria Math" w:cs="Times New Roman"/>
                <w:iCs/>
                <w:szCs w:val="20"/>
                <w:lang w:val="en-GB"/>
              </w:rPr>
            </m:ctrlPr>
          </m:sSupPr>
          <m:e>
            <m:r>
              <m:rPr>
                <m:sty m:val="p"/>
              </m:rPr>
              <w:rPr>
                <w:rFonts w:ascii="Cambria Math" w:hAnsi="Cambria Math" w:cs="Times New Roman"/>
                <w:szCs w:val="20"/>
                <w:lang w:val="en-GB"/>
              </w:rPr>
              <m:t>ω</m:t>
            </m:r>
          </m:e>
          <m:sup>
            <m:r>
              <m:rPr>
                <m:sty m:val="p"/>
              </m:rPr>
              <w:rPr>
                <w:rFonts w:ascii="Cambria Math" w:hAnsi="Cambria Math" w:cs="Times New Roman"/>
                <w:szCs w:val="20"/>
                <w:lang w:val="en-GB"/>
              </w:rPr>
              <m:t>-1/2</m:t>
            </m:r>
          </m:sup>
        </m:sSup>
        <m:r>
          <m:rPr>
            <m:sty m:val="p"/>
          </m:rPr>
          <w:rPr>
            <w:rFonts w:ascii="Cambria Math" w:hAnsi="Cambria Math" w:cs="Times New Roman"/>
            <w:szCs w:val="20"/>
            <w:lang w:val="en-GB"/>
          </w:rPr>
          <m:t>+</m:t>
        </m:r>
        <m:f>
          <m:fPr>
            <m:ctrlPr>
              <w:rPr>
                <w:rFonts w:ascii="Cambria Math" w:hAnsi="Cambria Math" w:cs="Times New Roman"/>
                <w:iCs/>
                <w:szCs w:val="20"/>
                <w:lang w:val="en-GB"/>
              </w:rPr>
            </m:ctrlPr>
          </m:fPr>
          <m:num>
            <m:r>
              <m:rPr>
                <m:sty m:val="p"/>
              </m:rPr>
              <w:rPr>
                <w:rFonts w:ascii="Cambria Math" w:hAnsi="Cambria Math" w:cs="Times New Roman"/>
                <w:szCs w:val="20"/>
                <w:lang w:val="en-GB"/>
              </w:rPr>
              <m:t>1</m:t>
            </m:r>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j</m:t>
                </m:r>
              </m:e>
              <m:sub>
                <m:r>
                  <m:rPr>
                    <m:sty m:val="p"/>
                  </m:rPr>
                  <w:rPr>
                    <w:rFonts w:ascii="Cambria Math" w:hAnsi="Cambria Math" w:cs="Times New Roman"/>
                    <w:szCs w:val="20"/>
                    <w:lang w:val="en-GB"/>
                  </w:rPr>
                  <m:t>K</m:t>
                </m:r>
              </m:sub>
            </m:sSub>
          </m:den>
        </m:f>
        <m:r>
          <m:rPr>
            <m:sty m:val="p"/>
          </m:rPr>
          <w:rPr>
            <w:rFonts w:ascii="Cambria Math" w:hAnsi="Cambria Math" w:cs="Times New Roman"/>
            <w:szCs w:val="20"/>
            <w:lang w:val="en-GB"/>
          </w:rPr>
          <m:t xml:space="preserve"> </m:t>
        </m:r>
      </m:oMath>
      <w:r w:rsidR="000617DE" w:rsidRPr="00EC0D34">
        <w:rPr>
          <w:rFonts w:ascii="Times New Roman" w:hAnsi="Times New Roman" w:cs="Times New Roman"/>
          <w:iCs/>
          <w:szCs w:val="20"/>
          <w:lang w:val="en-GB"/>
        </w:rPr>
        <w:t xml:space="preserve"> </w:t>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r>
      <w:r w:rsidR="000617DE" w:rsidRPr="00EC0D34">
        <w:rPr>
          <w:rFonts w:ascii="Times New Roman" w:hAnsi="Times New Roman" w:cs="Times New Roman"/>
          <w:iCs/>
          <w:szCs w:val="20"/>
          <w:lang w:val="en-GB"/>
        </w:rPr>
        <w:tab/>
        <w:t>(2)</w:t>
      </w:r>
    </w:p>
    <w:p w14:paraId="68DD043E" w14:textId="77777777" w:rsidR="000617DE" w:rsidRPr="00EC0D34" w:rsidRDefault="000617DE" w:rsidP="000617DE">
      <w:pPr>
        <w:adjustRightInd w:val="0"/>
        <w:rPr>
          <w:rFonts w:ascii="Times New Roman" w:hAnsi="Times New Roman" w:cs="Times New Roman"/>
          <w:szCs w:val="20"/>
          <w:lang w:val="en-GB"/>
        </w:rPr>
      </w:pPr>
    </w:p>
    <w:p w14:paraId="01F8B7B0" w14:textId="58A93CC5" w:rsidR="000617DE" w:rsidRPr="00EC0D34" w:rsidRDefault="000617DE" w:rsidP="000617DE">
      <w:pPr>
        <w:adjustRightInd w:val="0"/>
        <w:rPr>
          <w:rFonts w:ascii="Times New Roman" w:hAnsi="Times New Roman" w:cs="Times New Roman"/>
          <w:szCs w:val="20"/>
          <w:lang w:val="en-GB"/>
        </w:rPr>
      </w:pPr>
      <w:r w:rsidRPr="00EC0D34">
        <w:rPr>
          <w:rFonts w:ascii="Times New Roman" w:hAnsi="Times New Roman" w:cs="Times New Roman"/>
          <w:szCs w:val="20"/>
          <w:lang w:val="en-GB"/>
        </w:rPr>
        <w:t xml:space="preserve">where </w:t>
      </w:r>
      <w:r w:rsidRPr="00EC0D34">
        <w:rPr>
          <w:rFonts w:ascii="Times New Roman" w:hAnsi="Times New Roman" w:cs="Times New Roman"/>
          <w:i/>
          <w:szCs w:val="20"/>
          <w:lang w:val="en-GB"/>
        </w:rPr>
        <w:t>ω</w:t>
      </w:r>
      <w:r w:rsidRPr="00EC0D34">
        <w:rPr>
          <w:rFonts w:ascii="Times New Roman" w:hAnsi="Times New Roman" w:cs="Times New Roman"/>
          <w:szCs w:val="20"/>
          <w:lang w:val="en-GB"/>
        </w:rPr>
        <w:t xml:space="preserve"> is defined as the angular velocity (rad s</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and the proportionality coefficient B is defined as equation (3)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{"citationItems":[{"id":"ITEM-1","itemData":{"DOI":"10.1021/acscatal.5b00524","ISSN":"21555435","abstract":"The oxygen reduction reaction (ORR) is an important electrode reaction for energy storage and conversion devices based on oxygen electrocatalysis. This paper introduces the thermodynamics, reaction kinetics, reaction mechanisms, and reaction pathways of ORR in aqueous alkaline media. Recent advances of the catalysts for ORR were extensively reviewed, including precious metals, nonmetal-doped carbon, carbon-transition metal hybrids, transition metal oxides with spinel and perovskite structures, and so forth. The applications of those ORR catalysts to zinc-air batteries and alkaline fuel cells were briefly introduced. A concluding remark summarizes the current status of the reaction pathways, advanced catalysts, and the future challenges of the research and development of ORR.","author":[{"dropping-particle":"","family":"Ge","given":"Xiaoming","non-dropping-particle":"","parse-names":false,"suffix":""},{"dropping-particle":"","family":"Sumboja","given":"Afriyanti","non-dropping-particle":"","parse-names":false,"suffix":""},{"dropping-particle":"","family":"Wuu","given":"Delvin","non-dropping-particle":"","parse-names":false,"suffix":""},{"dropping-particle":"","family":"An","given":"Tao","non-dropping-particle":"","parse-names":false,"suffix":""},{"dropping-particle":"","family":"Li","given":"Bing","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ACS Catalysis","id":"ITEM-1","issue":"8","issued":{"date-parts":[["2015","8","7"]]},"page":"4643-4667","title":"Oxygen Reduction in Alkaline Media: From Mechanisms to Recent Advances of Catalysts","type":"article-journal","volume":"5"},"uris":["http://www.mendeley.com/documents/?uuid=fbe25398-1b8b-30ee-8e5b-3859fac90b38"]}],"mendeley":{"formattedCitation":"[17]","plainTextFormattedCitation":"[17]","previouslyFormattedCitation":"[17]"},"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[17]</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w:t>
      </w:r>
    </w:p>
    <w:p w14:paraId="3DAB8366" w14:textId="77777777" w:rsidR="000617DE" w:rsidRPr="00EC0D34" w:rsidRDefault="000617DE" w:rsidP="000617DE">
      <w:pPr>
        <w:adjustRightInd w:val="0"/>
        <w:rPr>
          <w:rFonts w:ascii="Times New Roman" w:hAnsi="Times New Roman" w:cs="Times New Roman"/>
          <w:iCs/>
          <w:szCs w:val="20"/>
          <w:lang w:val="en-GB"/>
        </w:rPr>
      </w:pPr>
    </w:p>
    <w:p w14:paraId="77DCBD31" w14:textId="115B81F1" w:rsidR="000617DE" w:rsidRPr="00EC0D34" w:rsidRDefault="000617DE" w:rsidP="00EC0D34">
      <w:pPr>
        <w:pStyle w:val="ListParagraph"/>
        <w:adjustRightInd w:val="0"/>
        <w:ind w:left="0" w:firstLine="720"/>
        <w:jc w:val="center"/>
        <w:rPr>
          <w:rFonts w:ascii="Times New Roman" w:hAnsi="Times New Roman" w:cs="Times New Roman"/>
          <w:szCs w:val="20"/>
          <w:lang w:val="en-GB"/>
        </w:rPr>
      </w:pPr>
      <m:oMath>
        <m:r>
          <m:rPr>
            <m:sty m:val="p"/>
          </m:rPr>
          <w:rPr>
            <w:rFonts w:ascii="Cambria Math" w:hAnsi="Cambria Math" w:cs="Times New Roman"/>
            <w:szCs w:val="20"/>
            <w:lang w:val="en-GB"/>
          </w:rPr>
          <m:t>B=0.62</m:t>
        </m:r>
        <m:sSup>
          <m:sSupPr>
            <m:ctrlPr>
              <w:rPr>
                <w:rFonts w:ascii="Cambria Math" w:hAnsi="Cambria Math" w:cs="Times New Roman"/>
                <w:szCs w:val="20"/>
                <w:lang w:val="en-GB"/>
              </w:rPr>
            </m:ctrlPr>
          </m:sSupPr>
          <m:e>
            <m:r>
              <m:rPr>
                <m:sty m:val="p"/>
              </m:rPr>
              <w:rPr>
                <w:rFonts w:ascii="Cambria Math" w:hAnsi="Cambria Math" w:cs="Times New Roman"/>
                <w:szCs w:val="20"/>
                <w:lang w:val="en-GB"/>
              </w:rPr>
              <m:t>D</m:t>
            </m:r>
          </m:e>
          <m:sup>
            <m:r>
              <m:rPr>
                <m:sty m:val="p"/>
              </m:rPr>
              <w:rPr>
                <w:rFonts w:ascii="Cambria Math" w:hAnsi="Cambria Math" w:cs="Times New Roman"/>
                <w:szCs w:val="20"/>
                <w:lang w:val="en-GB"/>
              </w:rPr>
              <m:t>2/3</m:t>
            </m:r>
          </m:sup>
        </m:sSup>
        <m:sSup>
          <m:sSupPr>
            <m:ctrlPr>
              <w:rPr>
                <w:rFonts w:ascii="Cambria Math" w:hAnsi="Cambria Math" w:cs="Times New Roman"/>
                <w:szCs w:val="20"/>
                <w:lang w:val="en-GB"/>
              </w:rPr>
            </m:ctrlPr>
          </m:sSupPr>
          <m:e>
            <m:r>
              <m:rPr>
                <m:sty m:val="p"/>
              </m:rPr>
              <w:rPr>
                <w:rFonts w:ascii="Cambria Math" w:hAnsi="Cambria Math" w:cs="Times New Roman"/>
                <w:szCs w:val="20"/>
                <w:lang w:val="en-GB"/>
              </w:rPr>
              <m:t>ν</m:t>
            </m:r>
          </m:e>
          <m:sup>
            <m:r>
              <m:rPr>
                <m:sty m:val="p"/>
              </m:rPr>
              <w:rPr>
                <w:rFonts w:ascii="Cambria Math" w:hAnsi="Cambria Math" w:cs="Times New Roman"/>
                <w:szCs w:val="20"/>
                <w:lang w:val="en-GB"/>
              </w:rPr>
              <m:t>-1/6</m:t>
            </m:r>
          </m:sup>
        </m:sSup>
        <m:r>
          <m:rPr>
            <m:sty m:val="p"/>
          </m:rPr>
          <w:rPr>
            <w:rFonts w:ascii="Cambria Math" w:hAnsi="Cambria Math" w:cs="Times New Roman"/>
            <w:szCs w:val="20"/>
            <w:lang w:val="en-GB"/>
          </w:rPr>
          <m:t>nF</m:t>
        </m:r>
        <m:sSup>
          <m:sSupPr>
            <m:ctrlPr>
              <w:rPr>
                <w:rFonts w:ascii="Cambria Math" w:hAnsi="Cambria Math" w:cs="Times New Roman"/>
                <w:szCs w:val="20"/>
                <w:lang w:val="en-GB"/>
              </w:rPr>
            </m:ctrlPr>
          </m:sSupPr>
          <m:e>
            <m:r>
              <m:rPr>
                <m:sty m:val="p"/>
              </m:rPr>
              <w:rPr>
                <w:rFonts w:ascii="Cambria Math" w:hAnsi="Cambria Math" w:cs="Times New Roman"/>
                <w:szCs w:val="20"/>
                <w:lang w:val="en-GB"/>
              </w:rPr>
              <m:t>C</m:t>
            </m:r>
          </m:e>
          <m:sup>
            <m:r>
              <m:rPr>
                <m:sty m:val="p"/>
              </m:rPr>
              <w:rPr>
                <w:rFonts w:ascii="Cambria Math" w:hAnsi="Cambria Math" w:cs="Times New Roman"/>
                <w:szCs w:val="20"/>
                <w:lang w:val="en-GB"/>
              </w:rPr>
              <m:t>*</m:t>
            </m:r>
          </m:sup>
        </m:sSup>
      </m:oMath>
      <w:r w:rsidRPr="00EC0D34">
        <w:rPr>
          <w:rFonts w:ascii="Times New Roman" w:hAnsi="Times New Roman" w:cs="Times New Roman"/>
          <w:sz w:val="22"/>
          <w:lang w:val="en-GB"/>
        </w:rPr>
        <w:t xml:space="preserve"> </w:t>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r>
      <w:r w:rsidRPr="00EC0D34">
        <w:rPr>
          <w:rFonts w:ascii="Times New Roman" w:hAnsi="Times New Roman" w:cs="Times New Roman"/>
          <w:szCs w:val="20"/>
          <w:lang w:val="en-GB"/>
        </w:rPr>
        <w:tab/>
        <w:t>(3)</w:t>
      </w:r>
    </w:p>
    <w:p w14:paraId="6A52E92C" w14:textId="77777777" w:rsidR="000617DE" w:rsidRPr="00EC0D34" w:rsidRDefault="000617DE" w:rsidP="000617DE">
      <w:pPr>
        <w:pStyle w:val="ListParagraph"/>
        <w:adjustRightInd w:val="0"/>
        <w:ind w:left="0"/>
        <w:jc w:val="center"/>
        <w:rPr>
          <w:rFonts w:ascii="Times New Roman" w:hAnsi="Times New Roman" w:cs="Times New Roman"/>
          <w:szCs w:val="20"/>
          <w:lang w:val="en-GB"/>
        </w:rPr>
      </w:pPr>
    </w:p>
    <w:p w14:paraId="09C83E3D" w14:textId="5F599BA8" w:rsidR="000617DE" w:rsidRPr="00EC0D34" w:rsidRDefault="000617DE" w:rsidP="000617DE">
      <w:pPr>
        <w:pStyle w:val="ListParagraph"/>
        <w:adjustRightInd w:val="0"/>
        <w:ind w:left="0"/>
        <w:rPr>
          <w:rFonts w:ascii="Times New Roman" w:hAnsi="Times New Roman" w:cs="Times New Roman"/>
          <w:szCs w:val="20"/>
          <w:lang w:val="en-GB"/>
        </w:rPr>
      </w:pPr>
      <w:r w:rsidRPr="00EC0D34">
        <w:rPr>
          <w:rFonts w:ascii="Times New Roman" w:hAnsi="Times New Roman" w:cs="Times New Roman"/>
          <w:szCs w:val="20"/>
          <w:lang w:val="en-GB"/>
        </w:rPr>
        <w:t>where D is the diffusion coefficient of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in 0.1 M KOH (1.9 × 10</w:t>
      </w:r>
      <w:r w:rsidRPr="00EC0D34">
        <w:rPr>
          <w:rFonts w:ascii="Times New Roman" w:hAnsi="Times New Roman" w:cs="Times New Roman"/>
          <w:szCs w:val="20"/>
          <w:vertAlign w:val="superscript"/>
          <w:lang w:val="en-GB"/>
        </w:rPr>
        <w:t>−5</w:t>
      </w:r>
      <w:r w:rsidRPr="00EC0D34">
        <w:rPr>
          <w:rFonts w:ascii="Times New Roman" w:hAnsi="Times New Roman" w:cs="Times New Roman"/>
          <w:szCs w:val="20"/>
          <w:lang w:val="en-GB"/>
        </w:rPr>
        <w:t xml:space="preserve"> cm</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s</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ν is the kinematic viscosity of the electrolyte (0.01 cm</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s</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F is the Faraday constant (96485C mol</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and C</w:t>
      </w:r>
      <w:r w:rsidRPr="00EC0D34">
        <w:rPr>
          <w:rFonts w:ascii="Times New Roman" w:hAnsi="Times New Roman" w:cs="Times New Roman"/>
          <w:szCs w:val="20"/>
          <w:vertAlign w:val="superscript"/>
          <w:lang w:val="en-GB"/>
        </w:rPr>
        <w:t>*</w:t>
      </w:r>
      <w:r w:rsidRPr="00EC0D34">
        <w:rPr>
          <w:rFonts w:ascii="Times New Roman" w:hAnsi="Times New Roman" w:cs="Times New Roman"/>
          <w:szCs w:val="20"/>
          <w:lang w:val="en-GB"/>
        </w:rPr>
        <w:t xml:space="preserve"> is the concentration of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in 0.1 M KOH (1.2 × 10</w:t>
      </w:r>
      <w:r w:rsidRPr="00EC0D34">
        <w:rPr>
          <w:rFonts w:ascii="Times New Roman" w:hAnsi="Times New Roman" w:cs="Times New Roman"/>
          <w:szCs w:val="20"/>
          <w:vertAlign w:val="superscript"/>
          <w:lang w:val="en-GB"/>
        </w:rPr>
        <w:t>−6</w:t>
      </w:r>
      <w:r w:rsidRPr="00EC0D34">
        <w:rPr>
          <w:rFonts w:ascii="Times New Roman" w:hAnsi="Times New Roman" w:cs="Times New Roman"/>
          <w:szCs w:val="20"/>
          <w:lang w:val="en-GB"/>
        </w:rPr>
        <w:t xml:space="preserve"> mol cm</w:t>
      </w:r>
      <w:r w:rsidRPr="00EC0D34">
        <w:rPr>
          <w:rFonts w:ascii="Times New Roman" w:hAnsi="Times New Roman" w:cs="Times New Roman"/>
          <w:szCs w:val="20"/>
          <w:vertAlign w:val="superscript"/>
          <w:lang w:val="en-GB"/>
        </w:rPr>
        <w:t>−3</w:t>
      </w:r>
      <w:r w:rsidRPr="00EC0D34">
        <w:rPr>
          <w:rFonts w:ascii="Times New Roman" w:hAnsi="Times New Roman" w:cs="Times New Roman"/>
          <w:szCs w:val="20"/>
          <w:lang w:val="en-GB"/>
        </w:rPr>
        <w:t xml:space="preserv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{"citationItems":[{"id":"ITEM-1","itemData":{"DOI":"10.1016/j.apcatb.2017.07.036","ISSN":"09263373","abstract":"In this work, we demonstrate the electrocatalytic properties of cobalt- and iron-containing nitrogen-doped carbide-derived carbon materials in the oxygen reduction reaction (ORR) and utilise these as cathode catalysts in an alkaline direct methanol fuel cell. The carbide-derived carbon material is produced by chlorination of titanium carbide, which is then pyrolysed in the presence of dicyandiamide and either a cobalt or iron salt. The electrocatalytic activity towards the ORR and stability of the catalyst materials is tested in 0.1M KOH solution employing the rotating disk electrode (RDE) method and compared to a commercial Pt/C catalyst. The elemental composition in the bulk of the materials is studied using energy dispersive X-ray spectroscopy and on the surface by X-ray photoelectron spectroscopy. Scanning electron microscopy is used to investigate the surface morphology of the resulting catalysts. The performance of the catalysts is also compared in alkaline direct methanol fuel cell. The catalysts’ performance is comparable to that of Pt/C in both RDE and fuel cell measurements and rather peculiar morphologies are observed by the growth of carbon nanotubes during pyrolysis. Overall, these novel catalysts show great potential for application in alkaline direct methanol fuel cells.","author":[{"dropping-particle":"","family":"Ratso","given":"Sander","non-dropping-particle":"","parse-names":false,"suffix":""},{"dropping-particle":"","family":"Kruusenberg","given":"Ivar","non-dropping-particle":"","parse-names":false,"suffix":""},{"dropping-particle":"","family":"Käärik","given":"Maike","non-dropping-particle":"","parse-names":false,"suffix":""},{"dropping-particle":"","family":"Kook","given":"Mati","non-dropping-particle":"","parse-names":false,"suffix":""},{"dropping-particle":"","family":"Saar","given":"Rando","non-dropping-particle":"","parse-names":false,"suffix":""},{"dropping-particle":"","family":"Kanninen","given":"Petri","non-dropping-particle":"","parse-names":false,"suffix":""},{"dropping-particle":"","family":"Kallio","given":"Tanja","non-dropping-particle":"","parse-names":false,"suffix":""},{"dropping-particle":"","family":"Leis","given":"Jaan","non-dropping-particle":"","parse-names":false,"suffix":""},{"dropping-particle":"","family":"Tammeveski","given":"Kaido","non-dropping-particle":"","parse-names":false,"suffix":""}],"container-title":"Applied Catalysis B: Environmental","id":"ITEM-1","issued":{"date-parts":[["2017","12","15"]]},"note":"platinum disadvantage\n\nheteroatom  to indicate that non-carbon atoms have replaced carbon in the backbone of the molecular structure. Typical heteroatoms are nitrogen (N), oxygen (O), sulfur (S), phosphorus (P), chlorine (Cl), bromine (Br), and iodine (I)\n\ncarbon support advantage","page":"276-286","publisher":"Elsevier","title":"Transition metal-nitrogen co-doped carbide-derived carbon catalysts for oxygen reduction reaction in alkaline direct methanol fuel cell","type":"article-journal","volume":"219"},"uris":["http://www.mendeley.com/documents/?uuid=9a606c8a-0b48-30dd-b8b3-bcd712872c4b"]}],"mendeley":{"formattedCitation":"[18]","plainTextFormattedCitation":"[18]","previouslyFormattedCitation":"[18]"},"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[18]</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Electron-transfer numbers (n) and H</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 yield were calculated from the RRDE curves using equations (4) and (5), respectively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{"citationItems":[{"id":"ITEM-1","itemData":{"DOI":"10.1021/acscatal.6b01581","ISSN":"21555435","abstract":"The forced convection methods on the rotating disk and ring-disk electrodes are carefully analyzed toward their use for calculation of the electron transfer number (n) for the oxygen reduction reaction (ORR) on various catalysts. It is shown that the widely used Koutechy-Levich (KL) method is not suitable to determine n for the ORR either theoretically or experimentally. From a theoretical viewpoint, the ORR is neither a single-step nor a one-way reaction and, therefore does not fulfill the assumptions of the KL method. From an experimental viewpoint, n is significantly dependent on the angular velocity of the rotating disk electrode, contradicting the assumption of constant n in the KL theory. An improved model is used to establish the aforementioned relationship between n and angular velocity. The recommended way to determine n for the ORR in alkaline electrolytes is to use the rotating ring-disk electrode with a properly biased Au ring, supplemented by the calibration of the collection efficiency.","author":[{"dropping-particle":"","family":"Zhou","given":"Ruifeng","non-dropping-particle":"","parse-names":false,"suffix":""},{"dropping-particle":"","family":"Zheng","given":"Yao","non-dropping-particle":"","parse-names":false,"suffix":""},{"dropping-particle":"","family":"Jaroniec","given":"Mietek","non-dropping-particle":"","parse-names":false,"suffix":""},{"dropping-particle":"","family":"Qiao","given":"Shi Zhang","non-dropping-particle":"","parse-names":false,"suffix":""}],"container-title":"ACS Catalysis","id":"ITEM-1","issue":"7","issued":{"date-parts":[["2016","7","21"]]},"page":"4720-4728","title":"Determination of the Electron Transfer Number for the Oxygen Reduction Reaction: From Theory to Experiment","type":"article-journal","volume":"6"},"uris":["http://www.mendeley.com/documents/?uuid=d51d3a73-0bf4-450c-a50b-2c0807b8b35a"]}],"mendeley":{"formattedCitation":"[19]","plainTextFormattedCitation":"[19]","previouslyFormattedCitation":"[19]"},"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[19]</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w:t>
      </w:r>
    </w:p>
    <w:p w14:paraId="62086A4C" w14:textId="77777777" w:rsidR="000617DE" w:rsidRPr="00EC0D34" w:rsidRDefault="000617DE" w:rsidP="000617DE">
      <w:pPr>
        <w:pStyle w:val="ListParagraph"/>
        <w:adjustRightInd w:val="0"/>
        <w:ind w:left="0"/>
        <w:rPr>
          <w:rFonts w:ascii="Times New Roman" w:hAnsi="Times New Roman" w:cs="Times New Roman"/>
          <w:szCs w:val="20"/>
          <w:lang w:val="en-GB"/>
        </w:rPr>
      </w:pPr>
    </w:p>
    <w:p w14:paraId="77E2D207" w14:textId="7E94BE35" w:rsidR="000617DE" w:rsidRPr="00EC0D34" w:rsidRDefault="007D33CB" w:rsidP="00EC0D34">
      <w:pPr>
        <w:pStyle w:val="ListParagraph"/>
        <w:adjustRightInd w:val="0"/>
        <w:ind w:left="0" w:firstLine="720"/>
        <w:jc w:val="center"/>
        <w:rPr>
          <w:rFonts w:ascii="Times New Roman" w:hAnsi="Times New Roman" w:cs="Times New Roman"/>
          <w:szCs w:val="20"/>
          <w:lang w:val="en-GB"/>
        </w:rPr>
      </w:pPr>
      <m:oMath>
        <m:sSub>
          <m:sSubPr>
            <m:ctrlPr>
              <w:rPr>
                <w:rFonts w:ascii="Cambria Math" w:hAnsi="Cambria Math" w:cs="Times New Roman"/>
                <w:szCs w:val="20"/>
                <w:lang w:val="en-GB"/>
              </w:rPr>
            </m:ctrlPr>
          </m:sSubPr>
          <m:e>
            <m:r>
              <m:rPr>
                <m:sty m:val="p"/>
              </m:rPr>
              <w:rPr>
                <w:rFonts w:ascii="Cambria Math" w:hAnsi="Cambria Math" w:cs="Times New Roman"/>
                <w:szCs w:val="20"/>
                <w:lang w:val="en-GB"/>
              </w:rPr>
              <m:t>n</m:t>
            </m:r>
          </m:e>
          <m:sub>
            <m:r>
              <m:rPr>
                <m:sty m:val="p"/>
              </m:rPr>
              <w:rPr>
                <w:rFonts w:ascii="Cambria Math" w:hAnsi="Cambria Math" w:cs="Times New Roman"/>
                <w:szCs w:val="20"/>
                <w:lang w:val="en-GB"/>
              </w:rPr>
              <m:t>RRDE</m:t>
            </m:r>
          </m:sub>
        </m:sSub>
        <m:r>
          <m:rPr>
            <m:sty m:val="p"/>
          </m:rPr>
          <w:rPr>
            <w:rFonts w:ascii="Cambria Math" w:hAnsi="Cambria Math" w:cs="Times New Roman"/>
            <w:szCs w:val="20"/>
            <w:lang w:val="en-GB"/>
          </w:rPr>
          <m:t>=4×</m:t>
        </m:r>
        <m:f>
          <m:fPr>
            <m:ctrlPr>
              <w:rPr>
                <w:rFonts w:ascii="Cambria Math" w:hAnsi="Cambria Math" w:cs="Times New Roman"/>
                <w:iCs/>
                <w:szCs w:val="20"/>
                <w:lang w:val="en-GB"/>
              </w:rPr>
            </m:ctrlPr>
          </m:fPr>
          <m:num>
            <m:sSub>
              <m:sSubPr>
                <m:ctrlPr>
                  <w:rPr>
                    <w:rFonts w:ascii="Cambria Math" w:hAnsi="Cambria Math" w:cs="Times New Roman"/>
                    <w:iCs/>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d</m:t>
                </m:r>
              </m:sub>
            </m:sSub>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d</m:t>
                </m:r>
              </m:sub>
            </m:sSub>
            <m:r>
              <m:rPr>
                <m:sty m:val="p"/>
              </m:rPr>
              <w:rPr>
                <w:rFonts w:ascii="Cambria Math" w:hAnsi="Cambria Math" w:cs="Times New Roman"/>
                <w:szCs w:val="20"/>
                <w:lang w:val="en-GB"/>
              </w:rPr>
              <m:t>+</m:t>
            </m:r>
            <m:f>
              <m:fPr>
                <m:type m:val="lin"/>
                <m:ctrlPr>
                  <w:rPr>
                    <w:rFonts w:ascii="Cambria Math" w:hAnsi="Cambria Math" w:cs="Times New Roman"/>
                    <w:iCs/>
                    <w:szCs w:val="20"/>
                    <w:lang w:val="en-GB"/>
                  </w:rPr>
                </m:ctrlPr>
              </m:fPr>
              <m:num>
                <m:sSub>
                  <m:sSubPr>
                    <m:ctrlPr>
                      <w:rPr>
                        <w:rFonts w:ascii="Cambria Math" w:hAnsi="Cambria Math" w:cs="Times New Roman"/>
                        <w:iCs/>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r</m:t>
                    </m:r>
                  </m:sub>
                </m:sSub>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N</m:t>
                    </m:r>
                  </m:e>
                  <m:sub>
                    <m:r>
                      <m:rPr>
                        <m:sty m:val="p"/>
                      </m:rPr>
                      <w:rPr>
                        <w:rFonts w:ascii="Cambria Math" w:hAnsi="Cambria Math" w:cs="Times New Roman"/>
                        <w:szCs w:val="20"/>
                        <w:lang w:val="en-GB"/>
                      </w:rPr>
                      <m:t>c</m:t>
                    </m:r>
                  </m:sub>
                </m:sSub>
              </m:den>
            </m:f>
          </m:den>
        </m:f>
        <m:r>
          <w:rPr>
            <w:rFonts w:ascii="Cambria Math" w:hAnsi="Cambria Math" w:cs="Times New Roman"/>
            <w:szCs w:val="20"/>
            <w:lang w:val="en-GB"/>
          </w:rPr>
          <m:t xml:space="preserve"> </m:t>
        </m:r>
      </m:oMath>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t>(4)</w:t>
      </w:r>
    </w:p>
    <w:p w14:paraId="53A05060" w14:textId="77777777" w:rsidR="000617DE" w:rsidRPr="00EC0D34" w:rsidRDefault="000617DE" w:rsidP="000617DE">
      <w:pPr>
        <w:pStyle w:val="ListParagraph"/>
        <w:adjustRightInd w:val="0"/>
        <w:ind w:left="0"/>
        <w:jc w:val="center"/>
        <w:rPr>
          <w:rFonts w:ascii="Times New Roman" w:hAnsi="Times New Roman" w:cs="Times New Roman"/>
          <w:szCs w:val="20"/>
          <w:lang w:val="en-GB"/>
        </w:rPr>
      </w:pPr>
    </w:p>
    <w:p w14:paraId="48385A33" w14:textId="697160AE" w:rsidR="000617DE" w:rsidRPr="00EC0D34" w:rsidRDefault="007D33CB" w:rsidP="00EC0D34">
      <w:pPr>
        <w:pStyle w:val="ListParagraph"/>
        <w:adjustRightInd w:val="0"/>
        <w:ind w:left="0" w:firstLine="720"/>
        <w:jc w:val="center"/>
        <w:rPr>
          <w:rFonts w:ascii="Times New Roman" w:hAnsi="Times New Roman" w:cs="Times New Roman"/>
          <w:szCs w:val="20"/>
          <w:lang w:val="en-GB"/>
        </w:rPr>
      </w:pPr>
      <m:oMath>
        <m:sSub>
          <m:sSubPr>
            <m:ctrlPr>
              <w:rPr>
                <w:rFonts w:ascii="Cambria Math" w:hAnsi="Cambria Math" w:cs="Times New Roman"/>
                <w:iCs/>
                <w:szCs w:val="20"/>
                <w:lang w:val="en-GB"/>
              </w:rPr>
            </m:ctrlPr>
          </m:sSubPr>
          <m:e>
            <m:r>
              <m:rPr>
                <m:sty m:val="p"/>
              </m:rPr>
              <w:rPr>
                <w:rFonts w:ascii="Cambria Math" w:hAnsi="Cambria Math" w:cs="Times New Roman"/>
                <w:szCs w:val="20"/>
                <w:lang w:val="en-GB"/>
              </w:rPr>
              <m:t>H</m:t>
            </m:r>
          </m:e>
          <m:sub>
            <m:r>
              <m:rPr>
                <m:sty m:val="p"/>
              </m:rPr>
              <w:rPr>
                <w:rFonts w:ascii="Cambria Math" w:hAnsi="Cambria Math" w:cs="Times New Roman"/>
                <w:szCs w:val="20"/>
                <w:lang w:val="en-GB"/>
              </w:rPr>
              <m:t>2</m:t>
            </m:r>
          </m:sub>
        </m:sSub>
        <m:sSub>
          <m:sSubPr>
            <m:ctrlPr>
              <w:rPr>
                <w:rFonts w:ascii="Cambria Math" w:hAnsi="Cambria Math" w:cs="Times New Roman"/>
                <w:iCs/>
                <w:szCs w:val="20"/>
                <w:lang w:val="en-GB"/>
              </w:rPr>
            </m:ctrlPr>
          </m:sSubPr>
          <m:e>
            <m:r>
              <m:rPr>
                <m:sty m:val="p"/>
              </m:rPr>
              <w:rPr>
                <w:rFonts w:ascii="Cambria Math" w:hAnsi="Cambria Math" w:cs="Times New Roman"/>
                <w:szCs w:val="20"/>
                <w:lang w:val="en-GB"/>
              </w:rPr>
              <m:t>O</m:t>
            </m:r>
          </m:e>
          <m:sub>
            <m:r>
              <m:rPr>
                <m:sty m:val="p"/>
              </m:rPr>
              <w:rPr>
                <w:rFonts w:ascii="Cambria Math" w:hAnsi="Cambria Math" w:cs="Times New Roman"/>
                <w:szCs w:val="20"/>
                <w:lang w:val="en-GB"/>
              </w:rPr>
              <m:t>2</m:t>
            </m:r>
          </m:sub>
        </m:sSub>
        <m:r>
          <m:rPr>
            <m:sty m:val="p"/>
          </m:rPr>
          <w:rPr>
            <w:rFonts w:ascii="Cambria Math" w:hAnsi="Cambria Math" w:cs="Times New Roman"/>
            <w:szCs w:val="20"/>
            <w:lang w:val="en-GB"/>
          </w:rPr>
          <m:t xml:space="preserve"> (%)=200×</m:t>
        </m:r>
        <m:f>
          <m:fPr>
            <m:ctrlPr>
              <w:rPr>
                <w:rFonts w:ascii="Cambria Math" w:hAnsi="Cambria Math" w:cs="Times New Roman"/>
                <w:iCs/>
                <w:szCs w:val="20"/>
                <w:lang w:val="en-GB"/>
              </w:rPr>
            </m:ctrlPr>
          </m:fPr>
          <m:num>
            <m:f>
              <m:fPr>
                <m:type m:val="lin"/>
                <m:ctrlPr>
                  <w:rPr>
                    <w:rFonts w:ascii="Cambria Math" w:hAnsi="Cambria Math" w:cs="Times New Roman"/>
                    <w:iCs/>
                    <w:szCs w:val="20"/>
                    <w:lang w:val="en-GB"/>
                  </w:rPr>
                </m:ctrlPr>
              </m:fPr>
              <m:num>
                <m:sSub>
                  <m:sSubPr>
                    <m:ctrlPr>
                      <w:rPr>
                        <w:rFonts w:ascii="Cambria Math" w:hAnsi="Cambria Math" w:cs="Times New Roman"/>
                        <w:iCs/>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r</m:t>
                    </m:r>
                  </m:sub>
                </m:sSub>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N</m:t>
                    </m:r>
                  </m:e>
                  <m:sub>
                    <m:r>
                      <m:rPr>
                        <m:sty m:val="p"/>
                      </m:rPr>
                      <w:rPr>
                        <w:rFonts w:ascii="Cambria Math" w:hAnsi="Cambria Math" w:cs="Times New Roman"/>
                        <w:szCs w:val="20"/>
                        <w:lang w:val="en-GB"/>
                      </w:rPr>
                      <m:t>C</m:t>
                    </m:r>
                  </m:sub>
                </m:sSub>
              </m:den>
            </m:f>
          </m:num>
          <m:den>
            <m:sSub>
              <m:sSubPr>
                <m:ctrlPr>
                  <w:rPr>
                    <w:rFonts w:ascii="Cambria Math" w:hAnsi="Cambria Math" w:cs="Times New Roman"/>
                    <w:iCs/>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d</m:t>
                </m:r>
              </m:sub>
            </m:sSub>
            <m:r>
              <m:rPr>
                <m:sty m:val="p"/>
              </m:rPr>
              <w:rPr>
                <w:rFonts w:ascii="Cambria Math" w:hAnsi="Cambria Math" w:cs="Times New Roman"/>
                <w:szCs w:val="20"/>
                <w:lang w:val="en-GB"/>
              </w:rPr>
              <m:t>+</m:t>
            </m:r>
            <m:f>
              <m:fPr>
                <m:type m:val="lin"/>
                <m:ctrlPr>
                  <w:rPr>
                    <w:rFonts w:ascii="Cambria Math" w:hAnsi="Cambria Math" w:cs="Times New Roman"/>
                    <w:szCs w:val="20"/>
                    <w:lang w:val="en-GB"/>
                  </w:rPr>
                </m:ctrlPr>
              </m:fPr>
              <m:num>
                <m:sSub>
                  <m:sSubPr>
                    <m:ctrlPr>
                      <w:rPr>
                        <w:rFonts w:ascii="Cambria Math" w:hAnsi="Cambria Math" w:cs="Times New Roman"/>
                        <w:szCs w:val="20"/>
                        <w:lang w:val="en-GB"/>
                      </w:rPr>
                    </m:ctrlPr>
                  </m:sSubPr>
                  <m:e>
                    <m:r>
                      <m:rPr>
                        <m:sty m:val="p"/>
                      </m:rPr>
                      <w:rPr>
                        <w:rFonts w:ascii="Cambria Math" w:hAnsi="Cambria Math" w:cs="Times New Roman"/>
                        <w:szCs w:val="20"/>
                        <w:lang w:val="en-GB"/>
                      </w:rPr>
                      <m:t>i</m:t>
                    </m:r>
                  </m:e>
                  <m:sub>
                    <m:r>
                      <m:rPr>
                        <m:sty m:val="p"/>
                      </m:rPr>
                      <w:rPr>
                        <w:rFonts w:ascii="Cambria Math" w:hAnsi="Cambria Math" w:cs="Times New Roman"/>
                        <w:szCs w:val="20"/>
                        <w:lang w:val="en-GB"/>
                      </w:rPr>
                      <m:t>r</m:t>
                    </m:r>
                  </m:sub>
                </m:sSub>
              </m:num>
              <m:den>
                <m:sSub>
                  <m:sSubPr>
                    <m:ctrlPr>
                      <w:rPr>
                        <w:rFonts w:ascii="Cambria Math" w:hAnsi="Cambria Math" w:cs="Times New Roman"/>
                        <w:szCs w:val="20"/>
                        <w:lang w:val="en-GB"/>
                      </w:rPr>
                    </m:ctrlPr>
                  </m:sSubPr>
                  <m:e>
                    <m:r>
                      <m:rPr>
                        <m:sty m:val="p"/>
                      </m:rPr>
                      <w:rPr>
                        <w:rFonts w:ascii="Cambria Math" w:hAnsi="Cambria Math" w:cs="Times New Roman"/>
                        <w:szCs w:val="20"/>
                        <w:lang w:val="en-GB"/>
                      </w:rPr>
                      <m:t>N</m:t>
                    </m:r>
                  </m:e>
                  <m:sub>
                    <m:r>
                      <m:rPr>
                        <m:sty m:val="p"/>
                      </m:rPr>
                      <w:rPr>
                        <w:rFonts w:ascii="Cambria Math" w:hAnsi="Cambria Math" w:cs="Times New Roman"/>
                        <w:szCs w:val="20"/>
                        <w:lang w:val="en-GB"/>
                      </w:rPr>
                      <m:t>c</m:t>
                    </m:r>
                  </m:sub>
                </m:sSub>
              </m:den>
            </m:f>
          </m:den>
        </m:f>
        <m:r>
          <w:rPr>
            <w:rFonts w:ascii="Cambria Math" w:hAnsi="Cambria Math" w:cs="Times New Roman"/>
            <w:szCs w:val="20"/>
            <w:lang w:val="en-GB"/>
          </w:rPr>
          <m:t xml:space="preserve">  </m:t>
        </m:r>
      </m:oMath>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r>
      <w:r w:rsidR="000617DE" w:rsidRPr="00EC0D34">
        <w:rPr>
          <w:rFonts w:ascii="Times New Roman" w:hAnsi="Times New Roman" w:cs="Times New Roman"/>
          <w:szCs w:val="20"/>
          <w:lang w:val="en-GB"/>
        </w:rPr>
        <w:tab/>
        <w:t>(5)</w:t>
      </w:r>
    </w:p>
    <w:p w14:paraId="34E942E0" w14:textId="77777777" w:rsidR="000617DE" w:rsidRPr="00EC0D34" w:rsidRDefault="000617DE" w:rsidP="000617DE">
      <w:pPr>
        <w:adjustRightInd w:val="0"/>
        <w:rPr>
          <w:rFonts w:ascii="Times New Roman" w:hAnsi="Times New Roman" w:cs="Times New Roman"/>
          <w:szCs w:val="20"/>
          <w:lang w:val="en-GB"/>
        </w:rPr>
      </w:pPr>
    </w:p>
    <w:p w14:paraId="6A2DBBB1" w14:textId="5DE91605" w:rsidR="00785CA6" w:rsidRPr="00EC0D34" w:rsidRDefault="000617DE" w:rsidP="00EC0D34">
      <w:pPr>
        <w:pStyle w:val="ListParagraph"/>
        <w:adjustRightInd w:val="0"/>
        <w:ind w:left="0"/>
        <w:rPr>
          <w:rFonts w:ascii="Times New Roman" w:hAnsi="Times New Roman" w:cs="Times New Roman"/>
          <w:szCs w:val="20"/>
          <w:vertAlign w:val="subscript"/>
          <w:lang w:val="en-GB"/>
        </w:rPr>
      </w:pPr>
      <w:r w:rsidRPr="00EC0D34">
        <w:rPr>
          <w:rFonts w:ascii="Times New Roman" w:hAnsi="Times New Roman" w:cs="Times New Roman"/>
          <w:szCs w:val="20"/>
          <w:lang w:val="en-GB"/>
        </w:rPr>
        <w:t xml:space="preserve">where </w:t>
      </w:r>
      <w:proofErr w:type="spellStart"/>
      <w:r w:rsidRPr="00EC0D34">
        <w:rPr>
          <w:rFonts w:ascii="Times New Roman" w:hAnsi="Times New Roman" w:cs="Times New Roman"/>
          <w:szCs w:val="20"/>
          <w:lang w:val="en-GB"/>
        </w:rPr>
        <w:t>i</w:t>
      </w:r>
      <w:r w:rsidRPr="00EC0D34">
        <w:rPr>
          <w:rFonts w:ascii="Times New Roman" w:hAnsi="Times New Roman" w:cs="Times New Roman"/>
          <w:szCs w:val="20"/>
          <w:vertAlign w:val="subscript"/>
          <w:lang w:val="en-GB"/>
        </w:rPr>
        <w:t>r</w:t>
      </w:r>
      <w:proofErr w:type="spellEnd"/>
      <w:r w:rsidRPr="00EC0D34">
        <w:rPr>
          <w:rFonts w:ascii="Times New Roman" w:hAnsi="Times New Roman" w:cs="Times New Roman"/>
          <w:szCs w:val="20"/>
          <w:lang w:val="en-GB"/>
        </w:rPr>
        <w:t xml:space="preserve"> is the ring current, i</w:t>
      </w:r>
      <w:r w:rsidRPr="00EC0D34">
        <w:rPr>
          <w:rFonts w:ascii="Times New Roman" w:hAnsi="Times New Roman" w:cs="Times New Roman"/>
          <w:szCs w:val="20"/>
          <w:vertAlign w:val="subscript"/>
          <w:lang w:val="en-GB"/>
        </w:rPr>
        <w:t>d</w:t>
      </w:r>
      <w:r w:rsidRPr="00EC0D34">
        <w:rPr>
          <w:rFonts w:ascii="Times New Roman" w:hAnsi="Times New Roman" w:cs="Times New Roman"/>
          <w:szCs w:val="20"/>
          <w:lang w:val="en-GB"/>
        </w:rPr>
        <w:t xml:space="preserve"> is the disk current, and N</w:t>
      </w:r>
      <w:r w:rsidRPr="00EC0D34">
        <w:rPr>
          <w:rFonts w:ascii="Times New Roman" w:hAnsi="Times New Roman" w:cs="Times New Roman"/>
          <w:szCs w:val="20"/>
          <w:vertAlign w:val="subscript"/>
          <w:lang w:val="en-GB"/>
        </w:rPr>
        <w:t>c</w:t>
      </w:r>
      <w:r w:rsidRPr="00EC0D34">
        <w:rPr>
          <w:rFonts w:ascii="Times New Roman" w:hAnsi="Times New Roman" w:cs="Times New Roman"/>
          <w:szCs w:val="20"/>
          <w:lang w:val="en-GB"/>
        </w:rPr>
        <w:t xml:space="preserve"> is the disk-current collection efficiency of ring electrode. (N</w:t>
      </w:r>
      <w:r w:rsidRPr="00EC0D34">
        <w:rPr>
          <w:rFonts w:ascii="Times New Roman" w:hAnsi="Times New Roman" w:cs="Times New Roman"/>
          <w:szCs w:val="20"/>
          <w:vertAlign w:val="subscript"/>
          <w:lang w:val="en-GB"/>
        </w:rPr>
        <w:t>c</w:t>
      </w:r>
      <w:r w:rsidRPr="00EC0D34">
        <w:rPr>
          <w:rFonts w:ascii="Times New Roman" w:hAnsi="Times New Roman" w:cs="Times New Roman"/>
          <w:szCs w:val="20"/>
          <w:lang w:val="en-GB"/>
        </w:rPr>
        <w:t>= 0.256). For stability test, we compared the LSV curves of before and after a continuous 1000 CV cycle of 100 mV s</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scan rate in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-saturated 0.1 M KOH of TNPC and Pt/C. The ring potential was set at 1.4 V vs. RHE during the RRDE measurement, which was within the recommended potential window of inducing H</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oxidation to O</w:t>
      </w:r>
      <w:r w:rsidRPr="00EC0D34">
        <w:rPr>
          <w:rFonts w:ascii="Times New Roman" w:hAnsi="Times New Roman" w:cs="Times New Roman"/>
          <w:szCs w:val="20"/>
          <w:vertAlign w:val="subscript"/>
          <w:lang w:val="en-GB"/>
        </w:rPr>
        <w:t xml:space="preserve">2 </w:t>
      </w:r>
      <w:r w:rsidRPr="00EC0D34">
        <w:rPr>
          <w:rFonts w:ascii="Times New Roman" w:hAnsi="Times New Roman" w:cs="Times New Roman"/>
          <w:szCs w:val="20"/>
          <w:vertAlign w:val="subscript"/>
          <w:lang w:val="en-GB"/>
        </w:rPr>
        <w:fldChar w:fldCharType="begin" w:fldLock="1"/>
      </w:r>
      <w:r w:rsidR="008F2167" w:rsidRPr="00EC0D34">
        <w:rPr>
          <w:rFonts w:ascii="Times New Roman" w:hAnsi="Times New Roman" w:cs="Times New Roman"/>
          <w:szCs w:val="20"/>
          <w:vertAlign w:val="subscript"/>
          <w:lang w:val="en-GB"/>
        </w:rPr>
        <w:instrText>ADDIN CSL_CITATION {"citationItems":[{"id":"ITEM-1","itemData":{"DOI":"10.1021/acscatal.5b00524","ISSN":"21555435","abstract":"The oxygen reduction reaction (ORR) is an important electrode reaction for energy storage and conversion devices based on oxygen electrocatalysis. This paper introduces the thermodynamics, reaction kinetics, reaction mechanisms, and reaction pathways of ORR in aqueous alkaline media. Recent advances of the catalysts for ORR were extensively reviewed, including precious metals, nonmetal-doped carbon, carbon-transition metal hybrids, transition metal oxides with spinel and perovskite structures, and so forth. The applications of those ORR catalysts to zinc-air batteries and alkaline fuel cells were briefly introduced. A concluding remark summarizes the current status of the reaction pathways, advanced catalysts, and the future challenges of the research and development of ORR.","author":[{"dropping-particle":"","family":"Ge","given":"Xiaoming","non-dropping-particle":"","parse-names":false,"suffix":""},{"dropping-particle":"","family":"Sumboja","given":"Afriyanti","non-dropping-particle":"","parse-names":false,"suffix":""},{"dropping-particle":"","family":"Wuu","given":"Delvin","non-dropping-particle":"","parse-names":false,"suffix":""},{"dropping-particle":"","family":"An","given":"Tao","non-dropping-particle":"","parse-names":false,"suffix":""},{"dropping-particle":"","family":"Li","given":"Bing","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ACS Catalysis","id":"ITEM-1","issue":"8","issued":{"date-parts":[["2015","8","7"]]},"page":"4643-4667","title":"Oxygen Reduction in Alkaline Media: From Mechanisms to Recent Advances of Catalysts","type":"article-journal","volume":"5"},"uris":["http://www.mendeley.com/documents/?uuid=fbe25398-1b8b-30ee-8e5b-3859fac90b38"]}],"mendeley":{"formattedCitation":"[17]","plainTextFormattedCitation":"[17]","previouslyFormattedCitation":"[17]"},"properties":{"noteIndex":0},"schema":"https://github.com/citation-style-language/schema/raw/master/csl-citation.json"}</w:instrText>
      </w:r>
      <w:r w:rsidRPr="00EC0D34">
        <w:rPr>
          <w:rFonts w:ascii="Times New Roman" w:hAnsi="Times New Roman" w:cs="Times New Roman"/>
          <w:szCs w:val="20"/>
          <w:vertAlign w:val="subscript"/>
          <w:lang w:val="en-GB"/>
        </w:rPr>
        <w:fldChar w:fldCharType="separate"/>
      </w:r>
      <w:r w:rsidRPr="00EC0D34">
        <w:rPr>
          <w:rFonts w:ascii="Times New Roman" w:hAnsi="Times New Roman" w:cs="Times New Roman"/>
          <w:noProof/>
          <w:szCs w:val="20"/>
          <w:lang w:val="en-GB"/>
        </w:rPr>
        <w:t>[17]</w:t>
      </w:r>
      <w:r w:rsidRPr="00EC0D34">
        <w:rPr>
          <w:rFonts w:ascii="Times New Roman" w:hAnsi="Times New Roman" w:cs="Times New Roman"/>
          <w:szCs w:val="20"/>
          <w:vertAlign w:val="subscript"/>
          <w:lang w:val="en-GB"/>
        </w:rPr>
        <w:fldChar w:fldCharType="end"/>
      </w:r>
      <w:r w:rsidRPr="00EC0D34">
        <w:rPr>
          <w:rFonts w:ascii="Times New Roman" w:hAnsi="Times New Roman" w:cs="Times New Roman"/>
          <w:szCs w:val="20"/>
          <w:vertAlign w:val="subscript"/>
          <w:lang w:val="en-GB"/>
        </w:rPr>
        <w:t>.</w:t>
      </w:r>
    </w:p>
    <w:p w14:paraId="51FEB8D9" w14:textId="77777777" w:rsidR="00EC0D34" w:rsidRPr="00EC0D34" w:rsidRDefault="00EC0D34" w:rsidP="00EC0D34">
      <w:pPr>
        <w:pStyle w:val="ListParagraph"/>
        <w:adjustRightInd w:val="0"/>
        <w:ind w:left="0"/>
        <w:rPr>
          <w:rFonts w:ascii="Times New Roman" w:hAnsi="Times New Roman" w:cs="Times New Roman"/>
          <w:szCs w:val="20"/>
          <w:vertAlign w:val="subscript"/>
          <w:lang w:val="en-GB"/>
        </w:rPr>
      </w:pPr>
    </w:p>
    <w:p w14:paraId="0962A708" w14:textId="3406406A" w:rsidR="00A6203C" w:rsidRPr="00EC0D34" w:rsidRDefault="00785CA6" w:rsidP="00EC0D34">
      <w:pPr>
        <w:jc w:val="center"/>
        <w:outlineLvl w:val="0"/>
        <w:rPr>
          <w:rFonts w:ascii="Times New Roman" w:hAnsi="Times New Roman" w:cs="Times New Roman"/>
          <w:b/>
          <w:szCs w:val="20"/>
        </w:rPr>
      </w:pPr>
      <w:r w:rsidRPr="00EC0D34">
        <w:rPr>
          <w:rFonts w:ascii="Times New Roman" w:hAnsi="Times New Roman" w:cs="Times New Roman"/>
          <w:b/>
          <w:szCs w:val="20"/>
        </w:rPr>
        <w:t>Result</w:t>
      </w:r>
      <w:r w:rsidR="009A547A" w:rsidRPr="00EC0D34">
        <w:rPr>
          <w:rFonts w:ascii="Times New Roman" w:hAnsi="Times New Roman" w:cs="Times New Roman"/>
          <w:b/>
          <w:szCs w:val="20"/>
        </w:rPr>
        <w:t>s</w:t>
      </w:r>
      <w:r w:rsidRPr="00EC0D34">
        <w:rPr>
          <w:rFonts w:ascii="Times New Roman" w:hAnsi="Times New Roman" w:cs="Times New Roman"/>
          <w:b/>
          <w:szCs w:val="20"/>
        </w:rPr>
        <w:t xml:space="preserve"> and Discussion</w:t>
      </w:r>
    </w:p>
    <w:p w14:paraId="668E0D7A" w14:textId="77777777" w:rsidR="00D03208" w:rsidRPr="00EC0D34" w:rsidRDefault="00D03208" w:rsidP="00D03208">
      <w:pPr>
        <w:outlineLvl w:val="0"/>
        <w:rPr>
          <w:rFonts w:ascii="Times New Roman" w:hAnsi="Times New Roman" w:cs="Times New Roman"/>
          <w:b/>
          <w:bCs/>
          <w:szCs w:val="20"/>
          <w:lang w:val="en-GB"/>
        </w:rPr>
      </w:pPr>
      <w:r w:rsidRPr="00EC0D34">
        <w:rPr>
          <w:rFonts w:ascii="Times New Roman" w:hAnsi="Times New Roman" w:cs="Times New Roman"/>
          <w:b/>
          <w:bCs/>
          <w:szCs w:val="20"/>
          <w:lang w:val="en-GB"/>
        </w:rPr>
        <w:t>Surface characterisation of TNPCs</w:t>
      </w:r>
    </w:p>
    <w:p w14:paraId="72A7E5F2" w14:textId="0196D342" w:rsidR="00D03208" w:rsidRPr="00EC0D34" w:rsidRDefault="00D03208" w:rsidP="00D03208">
      <w:pPr>
        <w:rPr>
          <w:rFonts w:ascii="Times New Roman" w:hAnsi="Times New Roman" w:cs="Times New Roman"/>
          <w:szCs w:val="20"/>
          <w:lang w:val="en-GB"/>
        </w:rPr>
      </w:pPr>
      <w:r w:rsidRPr="00EC0D34">
        <w:rPr>
          <w:rFonts w:ascii="Times New Roman" w:hAnsi="Times New Roman" w:cs="Times New Roman"/>
          <w:szCs w:val="20"/>
          <w:lang w:val="en-GB"/>
        </w:rPr>
        <w:t>The SEM images of TNPC800, TNPC900, and TNPC1000 are shown in Figure 1, respectively. All three samples had pore-like morphology on the TNPC surface. For TNPC800 and TNPC900, the pores were more visible and had depth (Fig</w:t>
      </w:r>
      <w:r w:rsidR="00EC0D34">
        <w:rPr>
          <w:rFonts w:ascii="Times New Roman" w:hAnsi="Times New Roman" w:cs="Times New Roman"/>
          <w:szCs w:val="20"/>
          <w:lang w:val="en-GB"/>
        </w:rPr>
        <w:t>ures</w:t>
      </w:r>
      <w:r w:rsidRPr="00EC0D34">
        <w:rPr>
          <w:rFonts w:ascii="Times New Roman" w:hAnsi="Times New Roman" w:cs="Times New Roman"/>
          <w:szCs w:val="20"/>
          <w:lang w:val="en-GB"/>
        </w:rPr>
        <w:t xml:space="preserve"> 1a and 1b, respectively), whereas the pores on TNPC1000 were larger and seemed shallower as if the pores had collapsed (Fig</w:t>
      </w:r>
      <w:r w:rsidR="00EC0D34">
        <w:rPr>
          <w:rFonts w:ascii="Times New Roman" w:hAnsi="Times New Roman" w:cs="Times New Roman"/>
          <w:szCs w:val="20"/>
          <w:lang w:val="en-GB"/>
        </w:rPr>
        <w:t>ure</w:t>
      </w:r>
      <w:r w:rsidRPr="00EC0D34">
        <w:rPr>
          <w:rFonts w:ascii="Times New Roman" w:hAnsi="Times New Roman" w:cs="Times New Roman"/>
          <w:szCs w:val="20"/>
          <w:lang w:val="en-GB"/>
        </w:rPr>
        <w:t xml:space="preserve"> 1c). This finding indicated that the development of pore structures on TNPCs was affected by pyrolysis temperature. An electrocatalyst with porous structure is desirable as it could accommodate abundant active sites and transport channels for ions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{"citationItems":[{"id":"ITEM-1","itemData":{"DOI":"10.1016/j.jelechem.2019.113230","ISSN":"15726657","abstract":"Biomass carbon materials have been deemed a promising metal-free catalyst for the oxygen reduction reaction (ORR) owing to their renewable, high electrical conductivity and large surface area. However, the required ion transfer process is hampered by an inappropriate porous structure. In this work, a nitrogen-doped honeycomb-like carbon tube with porous structure was synthesized by the pyrolysis of dandelion seed. The results showed that the material prepared at 900 °C (HHPT-900) possessed abundant pores of different sizes, which could provide more active sites and ion channels than other biomass carbon materials investigated so far. In addition, the onset potential of HHPT-900 was 0.83 V vs. reversible hydrogen electrode (RHE), close to that of commercial Pt/C (0.85 V vs. RHE) in 0.1 mol L−1 KOH. HHPT-900 also proved to be highly methanol tolerant and durable. Furthermore, a higher power density (975 ± 46 mW m−2) was obtained when using HHPT-900 as a cathode catalyst in a microbial fuel cell than that of the Pt/C cathode (823 ± 41 mW m−2). The present work provides an easy way to develop a hierarchical honeycomb-like porous carbon tube material that could be used as an effective metal-free ORR catalyst.","author":[{"dropping-particle":"","family":"Tang","given":"Jiahuan","non-dropping-particle":"","parse-names":false,"suffix":""},{"dropping-particle":"","family":"Wang","given":"Yajun","non-dropping-particle":"","parse-names":false,"suffix":""},{"dropping-particle":"","family":"Zhao","given":"Wenqi","non-dropping-particle":"","parse-names":false,"suffix":""},{"dropping-particle":"","family":"Zeng","given":"Raymond Jianxiong","non-dropping-particle":"","parse-names":false,"suffix":""},{"dropping-particle":"","family":"Liu","given":"Ting","non-dropping-particle":"","parse-names":false,"suffix":""},{"dropping-particle":"","family":"Zhou","given":"Shungui","non-dropping-particle":"","parse-names":false,"suffix":""}],"container-title":"Journal of Electroanalytical Chemistry","id":"ITEM-1","issued":{"date-parts":[["2019","8","15"]]},"publisher":"Elsevier B.V.","title":"Biomass-derived hierarchical honeycomb-like porous carbon tube catalyst for the metal-free oxygen reduction reaction","type":"article-journal","volume":"847"},"uris":["http://www.mendeley.com/documents/?uuid=669fe450-ef4f-3d09-926e-01761e13df62"]},{"id":"ITEM-2","itemData":{"DOI":"10.1016/S1872-5805(20)60497-8","ISSN":"10078827","abstract":"A N-doped rice husk-based porous carbon (N-RHPC) was cost-effectively prepared by simply treating RHPC at high temperature in an ammonia atmosphere. Results show that the mesopore volume and degree of graphitization of N-RHPC are significantly increased by the treatment. N atoms are doped in the RHPC structure in the form of pyridinic N (398.5 ± 0.1 eV), pyridonic N (399.3 ± 0.1 eV), and graphitic N groups (401.1 ± 0.1 eV) and N-oxide (401.8 ± 0.1 eV). Compared with a commercial Pt/C catalyst, the N-RHPC as an oxygen reduction electrocatalyst has a similar electrocatalytic activity, and better stability and methanol toxicity resistance. This excellent performance is ascribed to the increased number of catalytic sites afforded by the nitrogen species, the improved degree of graphitization that increases electron transfer, and the unique pore structure with macropores, mesopores and micropores for fast ion transport.","author":[{"dropping-particle":"","family":"Shi","given":"Jun","non-dropping-particle":"","parse-names":false,"suffix":""},{"dropping-particle":"","family":"Lin","given":"Nan","non-dropping-particle":"","parse-names":false,"suffix":""},{"dropping-particle":"","family":"Lin","given":"Hai Bo","non-dropping-particle":"","parse-names":false,"suffix":""},{"dropping-particle":"","family":"Yang","given":"Jin","non-dropping-particle":"","parse-names":false,"suffix":""},{"dropping-particle":"","family":"Zhang","given":"Wen Li","non-dropping-particle":"","parse-names":false,"suffix":""}],"container-title":"Xinxing Tan Cailiao/New Carbon Materials","id":"ITEM-2","issue":"4","issued":{"date-parts":[["2020"]]},"page":"401-409","publisher":"Institute of Coal Chemistry, Chinese Academy of Sciences","title":"A N-doped rice husk-based porous carbon as an electrocatalyst for the oxygen reduction reaction","type":"article-journal","volume":"35"},"uris":["http://www.mendeley.com/documents/?uuid=f3465bdf-116d-48ec-b6c4-52d3fa497cf1"]}],"mendeley":{"formattedCitation":"[20,21]","plainTextFormattedCitation":"[20,21]","previouslyFormattedCitation":"[20,21]"},"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[20,</w:t>
      </w:r>
      <w:r w:rsid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21]</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w:t>
      </w:r>
    </w:p>
    <w:p w14:paraId="2E2D72F2" w14:textId="77777777" w:rsidR="00D03208" w:rsidRPr="00EC0D34" w:rsidRDefault="00D03208" w:rsidP="00D03208">
      <w:pPr>
        <w:jc w:val="center"/>
        <w:outlineLvl w:val="0"/>
        <w:rPr>
          <w:rFonts w:ascii="Times New Roman" w:hAnsi="Times New Roman" w:cs="Times New Roman"/>
          <w:b/>
          <w:szCs w:val="20"/>
          <w:lang w:val="en-GB"/>
        </w:rPr>
      </w:pPr>
    </w:p>
    <w:p w14:paraId="209F7579" w14:textId="12333923" w:rsidR="00D03208" w:rsidRPr="00EC0D34" w:rsidRDefault="00D03208" w:rsidP="00D03208">
      <w:pPr>
        <w:rPr>
          <w:rFonts w:ascii="Times New Roman" w:hAnsi="Times New Roman" w:cs="Times New Roman"/>
          <w:szCs w:val="20"/>
          <w:lang w:val="en-GB"/>
        </w:rPr>
      </w:pPr>
      <w:r w:rsidRPr="00EC0D34">
        <w:rPr>
          <w:rFonts w:ascii="Times New Roman" w:hAnsi="Times New Roman" w:cs="Times New Roman"/>
          <w:szCs w:val="20"/>
          <w:lang w:val="en-GB"/>
        </w:rPr>
        <w:t>N</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adsorption–desorption isotherm was used to determine the porosity properties of the TNPC samples. As shown in Figure 1(d), all TNPCs demonstrated type-IV isotherm curves with a clear hysteresis loop (parallel adsorption and desorption branches) at P/P</w:t>
      </w:r>
      <w:r w:rsidRPr="00EC0D34">
        <w:rPr>
          <w:rFonts w:ascii="Times New Roman" w:hAnsi="Times New Roman" w:cs="Times New Roman"/>
          <w:szCs w:val="20"/>
          <w:vertAlign w:val="subscript"/>
          <w:lang w:val="en-GB"/>
        </w:rPr>
        <w:t>o</w:t>
      </w:r>
      <w:r w:rsidRPr="00EC0D34">
        <w:rPr>
          <w:rFonts w:ascii="Times New Roman" w:hAnsi="Times New Roman" w:cs="Times New Roman"/>
          <w:szCs w:val="20"/>
          <w:lang w:val="en-GB"/>
        </w:rPr>
        <w:t xml:space="preserve"> ≈ 0.45–1.0, signifying the existence of mesopores in all samples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 xml:space="preserve">ADDIN CSL_CITATION {"citationItems":[{"id":"ITEM-1","itemData":{"DOI":"10.1021/la051686h","ISSN":"07437463","abstract":"We report results of nitrogen and argon adsorption experiments performed at 77.4 and 87.3 K on novel micro/ mesoporous silica materials with morphologically different networks of mesopores embedded into microporous matrixes: SE3030 silica with wormlike cylindrical channels of mode diameter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 xml:space="preserve">95 Å, KLE silica with cagelike spheroidal pores of ca. 140 Å, KLE/IL silica with spheroidal pores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 xml:space="preserve">140 Å connected by cylindrical channels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 xml:space="preserve">26 Å, and, also for a comparison, on Vycor glass with a disordered network of pores of mode diameter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70 Å. We show that the type of hysteresis loop formed by adsorption/desorption isotherms is determined by different mechanisms of condensation and evaporation and depends upon the shape and size of pores. We demonstrate that adsorption experiments performed with different adsorptives allow for detecting and separating the effects of pore blocking/percolation and cavitation in the course of evaporation. The results confirm that cavitation-controlled evaporation occurs in ink-bottle pores with the neck size smaller than a certain critical value. In this case, the pressure of evaporation does not depend upon the neck size. In pores with larger necks, percolation-controlled evaporation occurs, as observed for nitrogen (at 77.4 K) and argon (at 87.3 K) on porous Vycor glass. We elaborate a novel hybrid nonlocal density functional theory (NLDFT) method for calculations of pore size distributions from adsorption isotherms in the entire range of micro- and mesopores. The NLDFT method, applied to the adsorption branch of the isotherm, takes into account the effect of delayed capillary condensation in pores of different geometries. The pore size data obtained by the NLDFT method for SE3030, KLE, and KLE/IL silicas agree with the data of SANS/SAXS techniques. © 2006 American Chemical Society.","author":[{"dropping-particle":"","family":"Thommes","given":"Matthias","non-dropping-particle":"","parse-names":false,"suffix":""},{"dropping-particle":"","family":"Smarsly","given":"Bernd","non-dropping-particle":"","parse-names":false,"suffix":""},{"dropping-particle":"","family":"Groenewolt","given":"Matthijs","non-dropping-particle":"","parse-names":false,"suffix":""},{"dropping-particle":"","family":"Ravikovitch","given":"Peter I.","non-dropping-particle":"","parse-names":false,"suffix":""},{"dropping-particle":"V.","family":"Neimark","given":"Alexander","non-dropping-particle":"","parse-names":false,"suffix":""}],"container-title":"Langmuir","id":"ITEM-1","issue":"2","issued":{"date-parts":[["2006","1","17"]]},"page":"756-764","publisher":"American Chemical Society","title":"Adsorption hysteresis of nitrogen and argon in pore networks and characterization of novel micro- and mesoporous silicas","type":"article-journal","volume":"22"},"uris":["http://www.mendeley.com/documents/?uuid=519f67b2-a528-317a-a576-c85b28621b72"]}],"mendeley":{"formattedCitation":"[22]","plainTextFormattedCitation":"[22]","previouslyFormattedCitation":"[22]"},"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[22]</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Furthermore, the BJH pore-size distribution plot (Figure 1d inset) also confirmed that all samples contained mesopores within their distribution. The surface areas calculated based on BET for all TNPCs are listed in Table 1.</w:t>
      </w:r>
      <w:r w:rsidRPr="00EC0D34">
        <w:rPr>
          <w:lang w:val="en-GB"/>
        </w:rPr>
        <w:t xml:space="preserve"> </w:t>
      </w:r>
      <w:r w:rsidRPr="00EC0D34">
        <w:rPr>
          <w:rFonts w:ascii="Times New Roman" w:hAnsi="Times New Roman" w:cs="Times New Roman"/>
          <w:szCs w:val="20"/>
          <w:lang w:val="en-GB"/>
        </w:rPr>
        <w:t>TNPC900 had the largest surface area of 495.97 m</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g</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and the highest pore volume within the range of the pyrolysis temperature studied. Furthermore, the surface area increased with increased temperature from 800 °C to 900 °C but significantly dropped when the pyrolysis temperature was 1000 °C with decreased surface area to 207.76 m</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g</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The pore volume also followed the same trend as the surface area. However, the ratio of </w:t>
      </w:r>
      <w:proofErr w:type="spellStart"/>
      <w:r w:rsidRPr="00EC0D34">
        <w:rPr>
          <w:rFonts w:ascii="Times New Roman" w:hAnsi="Times New Roman" w:cs="Times New Roman"/>
          <w:szCs w:val="20"/>
          <w:lang w:val="en-GB"/>
        </w:rPr>
        <w:t>S</w:t>
      </w:r>
      <w:r w:rsidRPr="00EC0D34">
        <w:rPr>
          <w:rFonts w:ascii="Times New Roman" w:hAnsi="Times New Roman" w:cs="Times New Roman"/>
          <w:szCs w:val="20"/>
          <w:vertAlign w:val="subscript"/>
          <w:lang w:val="en-GB"/>
        </w:rPr>
        <w:t>meso</w:t>
      </w:r>
      <w:proofErr w:type="spellEnd"/>
      <w:r w:rsidRPr="00EC0D34">
        <w:rPr>
          <w:rFonts w:ascii="Times New Roman" w:hAnsi="Times New Roman" w:cs="Times New Roman"/>
          <w:szCs w:val="20"/>
          <w:lang w:val="en-GB"/>
        </w:rPr>
        <w:t>/</w:t>
      </w:r>
      <w:proofErr w:type="spellStart"/>
      <w:r w:rsidRPr="00EC0D34">
        <w:rPr>
          <w:rFonts w:ascii="Times New Roman" w:hAnsi="Times New Roman" w:cs="Times New Roman"/>
          <w:szCs w:val="20"/>
          <w:lang w:val="en-GB"/>
        </w:rPr>
        <w:t>S</w:t>
      </w:r>
      <w:r w:rsidRPr="00EC0D34">
        <w:rPr>
          <w:rFonts w:ascii="Times New Roman" w:hAnsi="Times New Roman" w:cs="Times New Roman"/>
          <w:szCs w:val="20"/>
          <w:vertAlign w:val="subscript"/>
          <w:lang w:val="en-GB"/>
        </w:rPr>
        <w:t>micro</w:t>
      </w:r>
      <w:proofErr w:type="spellEnd"/>
      <w:r w:rsidRPr="00EC0D34">
        <w:rPr>
          <w:rFonts w:ascii="Times New Roman" w:hAnsi="Times New Roman" w:cs="Times New Roman"/>
          <w:szCs w:val="20"/>
          <w:lang w:val="en-GB"/>
        </w:rPr>
        <w:t xml:space="preserve"> increased with increased pyrolysis temperature. This finding indicated that with increased temperature to 1000 °C, the micropore structures collapsed and created larger pores. Consequently, the surface area decreased, as supported by the higher average pore size obtained at 1000 °C. The increase in pore diameter well agreed with the morphology observed by SEM. Given that ORR occurs at the interfacial/surface of a catalyst, the micro- and mesoporous structure of a catalyst with high surface area and pore volume can serve as abundant active sites influencing the mass-transport properties and diffusion of the electrolyte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{"citationItems":[{"id":"ITEM-1","itemData":{"DOI":"10.3390/catal10121472","ISSN":"20734344","abstract":"Oxygen reduction reaction (ORR) has attracted considerable attention for clean energy conversion technologies to reduce traditional fossil fuel consumption and greenhouse gas emissions. Although platinum (Pt) metal is currently used as an electrocatalyst to accelerate sluggish ORR kinetics, the scarce resource and high cost still restrict its further scale-up applications. In this regard, biomass-derived carbon electrocatalysts have been widely adopted for ORR electrocatalysis in recent years owing to their tunable physical/chemical properties and cost-effective precursors. In this minireview, recent advances of the optimization strategies in biomass-derived carbon electrocatalysts towards ORR have been summarized, mainly focusing on the optimization of pore structure and active site. Besides, some current challenges and future perspectives of biomass-derived carbon as high-performance electrocatalysts for ORR have been also discussed in detail. Hopefully, this minireview will afford a guideline for better design of biomass-derived carbon electrocatalysts for ORR-related applications.","author":[{"dropping-particle":"","family":"Jiang","given":"Minhua","non-dropping-particle":"","parse-names":false,"suffix":""},{"dropping-particle":"","family":"Yu","given":"Xiaofang","non-dropping-particle":"","parse-names":false,"suffix":""},{"dropping-particle":"","family":"Yang","given":"Haoqi","non-dropping-particle":"","parse-names":false,"suffix":""},{"dropping-particle":"","family":"Chen","given":"Shuiliang","non-dropping-particle":"","parse-names":false,"suffix":""}],"container-title":"Catalysts","id":"ITEM-1","issue":"12","issued":{"date-parts":[["2020"]]},"page":"1-17","title":"Optimization strategies of preparation of biomass-derived carbon electrocatalyst for boosting oxygen reduction reaction: A minireview","type":"article-journal","volume":"10"},"uris":["http://www.mendeley.com/documents/?uuid=5b412d72-899e-48f2-9c61-3f27d4ab6b17"]},{"id":"ITEM-2","itemData":{"DOI":"10.1016/J.IJHYDENE.2018.04.100","ISSN":"0360-3199","abstract":"We described a process of the preparation of N, P co-doped hierarchical porous carbon by one-step pyrolysis of the chitosan/phytic acid (CS/PA) precursor without extra activation processes, and the nitrogen and phosphorus were successfully incorporated into the carbon framework. Experimentally, the best performance was identified with NPC-1000 which possessed the highest BET specific surface area of 1117.2 m2 g−1. This NPC-1000 showed a half-wave potential of 50 mV difference with commercial Pt/C, better tolerance to methanol and a superior stability comparable to commercial Pt/C catalyst. The results suggest that it is a simple, feasible, and economical route to synthesis of hierarchical porous carbon which can be used as metal-free catalysts for oxygen reduction.","author":[{"dropping-particle":"","family":"Mao","given":"Xinxin","non-dropping-particle":"","parse-names":false,"suffix":""},{"dropping-particle":"","family":"Cao","given":"Zhaoxia","non-dropping-particle":"","parse-names":false,"suffix":""},{"dropping-particle":"","family":"Yin","given":"Yanhong","non-dropping-particle":"","parse-names":false,"suffix":""},{"dropping-particle":"","family":"Wang","given":"Zhichao","non-dropping-particle":"","parse-names":false,"suffix":""},{"dropping-particle":"","family":"Dong","given":"Hongyu","non-dropping-particle":"","parse-names":false,"suffix":""},{"dropping-particle":"","family":"Yang","given":"Shuting","non-dropping-particle":"","parse-names":false,"suffix":""}],"container-title":"International Journal of Hydrogen Energy","id":"ITEM-2","issue":"22","issued":{"date-parts":[["2018","5","31"]]},"page":"10341-10350","publisher":"Pergamon","title":"Direct synthesis of nitrogen and phosphorus co-doped hierarchical porous carbon networks with biological materials as efficient electrocatalysts for oxygen reduction reaction","type":"article-journal","volume":"43"},"uris":["http://www.mendeley.com/documents/?uuid=4f5a2fd4-e9e7-3bd4-abbd-b20c0ebf5c8b"]}],"mendeley":{"formattedCitation":"[23,24]","plainTextFormattedCitation":"[23,24]","previouslyFormattedCitation":"[23,24]"},"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[23,</w:t>
      </w:r>
      <w:r w:rsid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24]</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Therefore, the porosity structure of these TNPCs is expected to affect ORR performance.</w:t>
      </w:r>
    </w:p>
    <w:p w14:paraId="206A6858" w14:textId="77777777" w:rsidR="00D03208" w:rsidRPr="00EC0D34" w:rsidRDefault="00D03208" w:rsidP="00D03208">
      <w:pPr>
        <w:outlineLvl w:val="0"/>
        <w:rPr>
          <w:rFonts w:ascii="Times New Roman" w:hAnsi="Times New Roman" w:cs="Times New Roman"/>
          <w:b/>
          <w:szCs w:val="20"/>
          <w:lang w:val="en-GB"/>
        </w:rPr>
      </w:pPr>
    </w:p>
    <w:p w14:paraId="0A6DEA5B" w14:textId="77777777" w:rsidR="00BF4E91" w:rsidRPr="00EC0D34" w:rsidRDefault="00BF4E91" w:rsidP="00C60378">
      <w:pPr>
        <w:rPr>
          <w:rFonts w:ascii="Times New Roman" w:hAnsi="Times New Roman" w:cs="Times New Roman"/>
          <w:szCs w:val="20"/>
        </w:rPr>
      </w:pPr>
    </w:p>
    <w:p w14:paraId="40C4B920" w14:textId="3C525B7E" w:rsidR="00A1305F" w:rsidRDefault="00FF032A" w:rsidP="00BD6322">
      <w:pPr>
        <w:jc w:val="center"/>
        <w:outlineLvl w:val="0"/>
        <w:rPr>
          <w:rFonts w:ascii="Times New Roman" w:hAnsi="Times New Roman" w:cs="Times New Roman"/>
          <w:szCs w:val="20"/>
        </w:rPr>
      </w:pPr>
      <w:r w:rsidRPr="00EC0D34">
        <w:rPr>
          <w:noProof/>
        </w:rPr>
        <w:lastRenderedPageBreak/>
        <w:drawing>
          <wp:inline distT="0" distB="0" distL="0" distR="0" wp14:anchorId="17F3DBDF" wp14:editId="1CFA081B">
            <wp:extent cx="4423160" cy="2880000"/>
            <wp:effectExtent l="19050" t="19050" r="1587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3160" cy="2880000"/>
                    </a:xfrm>
                    <a:prstGeom prst="rect">
                      <a:avLst/>
                    </a:prstGeom>
                    <a:noFill/>
                    <a:ln w="3175">
                      <a:solidFill>
                        <a:schemeClr val="tx1"/>
                      </a:solidFill>
                    </a:ln>
                  </pic:spPr>
                </pic:pic>
              </a:graphicData>
            </a:graphic>
          </wp:inline>
        </w:drawing>
      </w:r>
    </w:p>
    <w:p w14:paraId="3E8CCB83" w14:textId="77777777" w:rsidR="00EC0D34" w:rsidRPr="00EC0D34" w:rsidRDefault="00EC0D34" w:rsidP="00BD6322">
      <w:pPr>
        <w:jc w:val="center"/>
        <w:outlineLvl w:val="0"/>
        <w:rPr>
          <w:rFonts w:ascii="Times New Roman" w:hAnsi="Times New Roman" w:cs="Times New Roman"/>
          <w:szCs w:val="20"/>
        </w:rPr>
      </w:pPr>
    </w:p>
    <w:p w14:paraId="30BFCB7D" w14:textId="3E8B5880" w:rsidR="00785CA6" w:rsidRPr="00EC0D34" w:rsidRDefault="00EE627C" w:rsidP="00EC0D34">
      <w:pPr>
        <w:ind w:left="709" w:hanging="709"/>
        <w:outlineLvl w:val="0"/>
        <w:rPr>
          <w:rFonts w:ascii="Times New Roman" w:hAnsi="Times New Roman" w:cs="Times New Roman"/>
          <w:szCs w:val="20"/>
          <w:lang w:val="en-GB"/>
        </w:rPr>
      </w:pPr>
      <w:r w:rsidRPr="00EC0D34">
        <w:rPr>
          <w:rFonts w:ascii="Times New Roman" w:hAnsi="Times New Roman" w:cs="Times New Roman"/>
          <w:szCs w:val="20"/>
          <w:lang w:val="en-GB"/>
        </w:rPr>
        <w:t>Figure 1. SEM images of (a) TNPC800, (b) TNPC900, (c) TNPC1000 (1k magnification respectively), and (d) N</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adsorption–desorption isotherms of TNPCs (inset, corresponding pore-size distribution)</w:t>
      </w:r>
    </w:p>
    <w:p w14:paraId="4A1AE4A6" w14:textId="77777777" w:rsidR="00A6203C" w:rsidRPr="00EC0D34" w:rsidRDefault="00A6203C" w:rsidP="00BD6322">
      <w:pPr>
        <w:jc w:val="center"/>
        <w:outlineLvl w:val="0"/>
        <w:rPr>
          <w:rFonts w:ascii="Times New Roman" w:hAnsi="Times New Roman" w:cs="Times New Roman"/>
          <w:b/>
          <w:szCs w:val="20"/>
        </w:rPr>
      </w:pPr>
    </w:p>
    <w:p w14:paraId="2CC0A91E" w14:textId="2FFFFE1E" w:rsidR="004A0630" w:rsidRPr="00EC0D34" w:rsidRDefault="004A0630" w:rsidP="004A0630">
      <w:pPr>
        <w:rPr>
          <w:rFonts w:ascii="Times New Roman" w:hAnsi="Times New Roman" w:cs="Times New Roman"/>
          <w:szCs w:val="20"/>
        </w:rPr>
      </w:pPr>
      <w:r w:rsidRPr="00EC0D34">
        <w:rPr>
          <w:rFonts w:ascii="Times New Roman" w:hAnsi="Times New Roman" w:cs="Times New Roman"/>
          <w:szCs w:val="20"/>
        </w:rPr>
        <w:t>N</w:t>
      </w:r>
      <w:r w:rsidRPr="00EC0D34">
        <w:rPr>
          <w:rFonts w:ascii="Times New Roman" w:hAnsi="Times New Roman" w:cs="Times New Roman"/>
          <w:szCs w:val="20"/>
          <w:vertAlign w:val="subscript"/>
        </w:rPr>
        <w:t>2</w:t>
      </w:r>
      <w:r w:rsidRPr="00EC0D34">
        <w:rPr>
          <w:rFonts w:ascii="Times New Roman" w:hAnsi="Times New Roman" w:cs="Times New Roman"/>
          <w:szCs w:val="20"/>
        </w:rPr>
        <w:t xml:space="preserve"> adsorption-desorption isotherm was used to determine the porosity properties of the TNPC samples. As shown in Figure 1</w:t>
      </w:r>
      <w:r w:rsidR="00D207A8" w:rsidRPr="00EC0D34">
        <w:rPr>
          <w:rFonts w:ascii="Times New Roman" w:hAnsi="Times New Roman" w:cs="Times New Roman"/>
          <w:szCs w:val="20"/>
        </w:rPr>
        <w:t xml:space="preserve"> </w:t>
      </w:r>
      <w:r w:rsidRPr="00EC0D34">
        <w:rPr>
          <w:rFonts w:ascii="Times New Roman" w:hAnsi="Times New Roman" w:cs="Times New Roman"/>
          <w:szCs w:val="20"/>
        </w:rPr>
        <w:t>(d), all TNPCs demonstrate type IV isotherm curves with a clear hysteresis loop (parallel adsorption and desorption branches) at P/P</w:t>
      </w:r>
      <w:r w:rsidRPr="00EC0D34">
        <w:rPr>
          <w:rFonts w:ascii="Times New Roman" w:hAnsi="Times New Roman" w:cs="Times New Roman"/>
          <w:szCs w:val="20"/>
          <w:vertAlign w:val="subscript"/>
        </w:rPr>
        <w:t xml:space="preserve">o </w:t>
      </w:r>
      <w:r w:rsidRPr="00EC0D34">
        <w:rPr>
          <w:rFonts w:ascii="Times New Roman" w:hAnsi="Times New Roman" w:cs="Times New Roman"/>
          <w:szCs w:val="20"/>
        </w:rPr>
        <w:t xml:space="preserve"> ~0.45 – 1.0</w:t>
      </w:r>
      <w:r w:rsidR="009917CC" w:rsidRPr="00EC0D34">
        <w:rPr>
          <w:rFonts w:ascii="Times New Roman" w:hAnsi="Times New Roman" w:cs="Times New Roman"/>
          <w:szCs w:val="20"/>
        </w:rPr>
        <w:t>,</w:t>
      </w:r>
      <w:r w:rsidRPr="00EC0D34">
        <w:rPr>
          <w:rFonts w:ascii="Times New Roman" w:hAnsi="Times New Roman" w:cs="Times New Roman"/>
          <w:szCs w:val="20"/>
        </w:rPr>
        <w:t xml:space="preserve"> signify the existence of mesopores in all samples</w:t>
      </w:r>
      <w:r w:rsidR="00EF06F3" w:rsidRPr="00EC0D34">
        <w:rPr>
          <w:rFonts w:ascii="Times New Roman" w:hAnsi="Times New Roman" w:cs="Times New Roman"/>
          <w:szCs w:val="20"/>
        </w:rPr>
        <w:t xml:space="preserve"> </w:t>
      </w:r>
      <w:r w:rsidRPr="00EC0D34">
        <w:rPr>
          <w:rFonts w:ascii="Times New Roman" w:hAnsi="Times New Roman" w:cs="Times New Roman"/>
          <w:szCs w:val="20"/>
        </w:rPr>
        <w:fldChar w:fldCharType="begin" w:fldLock="1"/>
      </w:r>
      <w:r w:rsidR="008F2167" w:rsidRPr="00EC0D34">
        <w:rPr>
          <w:rFonts w:ascii="Times New Roman" w:hAnsi="Times New Roman" w:cs="Times New Roman"/>
          <w:szCs w:val="20"/>
        </w:rPr>
        <w:instrText xml:space="preserve">ADDIN CSL_CITATION {"citationItems":[{"id":"ITEM-1","itemData":{"DOI":"10.1021/la051686h","ISSN":"07437463","abstract":"We report results of nitrogen and argon adsorption experiments performed at 77.4 and 87.3 K on novel micro/ mesoporous silica materials with morphologically different networks of mesopores embedded into microporous matrixes: SE3030 silica with wormlike cylindrical channels of mode diameter of </w:instrText>
      </w:r>
      <w:r w:rsidR="008F2167" w:rsidRPr="00EC0D34">
        <w:rPr>
          <w:rFonts w:ascii="Cambria Math" w:hAnsi="Cambria Math" w:cs="Cambria Math"/>
          <w:szCs w:val="20"/>
        </w:rPr>
        <w:instrText>∼</w:instrText>
      </w:r>
      <w:r w:rsidR="008F2167" w:rsidRPr="00EC0D34">
        <w:rPr>
          <w:rFonts w:ascii="Times New Roman" w:hAnsi="Times New Roman" w:cs="Times New Roman"/>
          <w:szCs w:val="20"/>
        </w:rPr>
        <w:instrText xml:space="preserve">95 Å, KLE silica with cagelike spheroidal pores of ca. 140 Å, KLE/IL silica with spheroidal pores of </w:instrText>
      </w:r>
      <w:r w:rsidR="008F2167" w:rsidRPr="00EC0D34">
        <w:rPr>
          <w:rFonts w:ascii="Cambria Math" w:hAnsi="Cambria Math" w:cs="Cambria Math"/>
          <w:szCs w:val="20"/>
        </w:rPr>
        <w:instrText>∼</w:instrText>
      </w:r>
      <w:r w:rsidR="008F2167" w:rsidRPr="00EC0D34">
        <w:rPr>
          <w:rFonts w:ascii="Times New Roman" w:hAnsi="Times New Roman" w:cs="Times New Roman"/>
          <w:szCs w:val="20"/>
        </w:rPr>
        <w:instrText xml:space="preserve">140 Å connected by cylindrical channels of </w:instrText>
      </w:r>
      <w:r w:rsidR="008F2167" w:rsidRPr="00EC0D34">
        <w:rPr>
          <w:rFonts w:ascii="Cambria Math" w:hAnsi="Cambria Math" w:cs="Cambria Math"/>
          <w:szCs w:val="20"/>
        </w:rPr>
        <w:instrText>∼</w:instrText>
      </w:r>
      <w:r w:rsidR="008F2167" w:rsidRPr="00EC0D34">
        <w:rPr>
          <w:rFonts w:ascii="Times New Roman" w:hAnsi="Times New Roman" w:cs="Times New Roman"/>
          <w:szCs w:val="20"/>
        </w:rPr>
        <w:instrText xml:space="preserve">26 Å, and, also for a comparison, on Vycor glass with a disordered network of pores of mode diameter of </w:instrText>
      </w:r>
      <w:r w:rsidR="008F2167" w:rsidRPr="00EC0D34">
        <w:rPr>
          <w:rFonts w:ascii="Cambria Math" w:hAnsi="Cambria Math" w:cs="Cambria Math"/>
          <w:szCs w:val="20"/>
        </w:rPr>
        <w:instrText>∼</w:instrText>
      </w:r>
      <w:r w:rsidR="008F2167" w:rsidRPr="00EC0D34">
        <w:rPr>
          <w:rFonts w:ascii="Times New Roman" w:hAnsi="Times New Roman" w:cs="Times New Roman"/>
          <w:szCs w:val="20"/>
        </w:rPr>
        <w:instrText>70 Å. We show that the type of hysteresis loop formed by adsorption/desorption isotherms is determined by different mechanisms of condensation and evaporation and depends upon the shape and size of pores. We demonstrate that adsorption experiments performed with different adsorptives allow for detecting and separating the effects of pore blocking/percolation and cavitation in the course of evaporation. The results confirm that cavitation-controlled evaporation occurs in ink-bottle pores with the neck size smaller than a certain critical value. In this case, the pressure of evaporation does not depend upon the neck size. In pores with larger necks, percolation-controlled evaporation occurs, as observed for nitrogen (at 77.4 K) and argon (at 87.3 K) on porous Vycor glass. We elaborate a novel hybrid nonlocal density functional theory (NLDFT) method for calculations of pore size distributions from adsorption isotherms in the entire range of micro- and mesopores. The NLDFT method, applied to the adsorption branch of the isotherm, takes into account the effect of delayed capillary condensation in pores of different geometries. The pore size data obtained by the NLDFT method for SE3030, KLE, and KLE/IL silicas agree with the data of SANS/SAXS techniques. © 2006 American Chemical Society.","author":[{"dropping-particle":"","family":"Thommes","given":"Matthias","non-dropping-particle":"","parse-names":false,"suffix":""},{"dropping-particle":"","family":"Smarsly","given":"Bernd","non-dropping-particle":"","parse-names":false,"suffix":""},{"dropping-particle":"","family":"Groenewolt","given":"Matthijs","non-dropping-particle":"","parse-names":false,"suffix":""},{"dropping-particle":"","family":"Ravikovitch","given":"Peter I.","non-dropping-particle":"","parse-names":false,"suffix":""},{"dropping-particle":"V.","family":"Neimark","given":"Alexander","non-dropping-particle":"","parse-names":false,"suffix":""}],"container-title":"Langmuir","id":"ITEM-1","issue":"2","issued":{"date-parts":[["2006","1","17"]]},"page":"756-764","publisher":"American Chemical Society","title":"Adsorption hysteresis of nitrogen and argon in pore networks and characterization of novel micro- and mesoporous silicas","type":"article-journal","volume":"22"},"uris":["http://www.mendeley.com/documents/?uuid=519f67b2-a528-317a-a576-c85b28621b72"]}],"mendeley":{"formattedCitation":"[22]","plainTextFormattedCitation":"[22]","previouslyFormattedCitation":"[22]"},"properties":{"noteIndex":0},"schema":"https://github.com/citation-style-language/schema/raw/master/csl-citation.json"}</w:instrText>
      </w:r>
      <w:r w:rsidRPr="00EC0D34">
        <w:rPr>
          <w:rFonts w:ascii="Times New Roman" w:hAnsi="Times New Roman" w:cs="Times New Roman"/>
          <w:szCs w:val="20"/>
        </w:rPr>
        <w:fldChar w:fldCharType="separate"/>
      </w:r>
      <w:r w:rsidR="001F2857" w:rsidRPr="00EC0D34">
        <w:rPr>
          <w:rFonts w:ascii="Times New Roman" w:hAnsi="Times New Roman" w:cs="Times New Roman"/>
          <w:noProof/>
          <w:szCs w:val="20"/>
        </w:rPr>
        <w:t>[22]</w:t>
      </w:r>
      <w:r w:rsidRPr="00EC0D34">
        <w:rPr>
          <w:rFonts w:ascii="Times New Roman" w:hAnsi="Times New Roman" w:cs="Times New Roman"/>
          <w:szCs w:val="20"/>
        </w:rPr>
        <w:fldChar w:fldCharType="end"/>
      </w:r>
      <w:r w:rsidRPr="00EC0D34">
        <w:rPr>
          <w:rFonts w:ascii="Times New Roman" w:hAnsi="Times New Roman" w:cs="Times New Roman"/>
          <w:szCs w:val="20"/>
        </w:rPr>
        <w:t xml:space="preserve">. </w:t>
      </w:r>
      <w:r w:rsidR="00107848" w:rsidRPr="00EC0D34">
        <w:rPr>
          <w:rFonts w:ascii="Times New Roman" w:hAnsi="Times New Roman" w:cs="Times New Roman"/>
          <w:szCs w:val="20"/>
        </w:rPr>
        <w:t xml:space="preserve">Furthermore, the BJH pore size distribution plot (Figure 1d inset) </w:t>
      </w:r>
      <w:r w:rsidR="008B121C" w:rsidRPr="00EC0D34">
        <w:rPr>
          <w:rFonts w:ascii="Times New Roman" w:hAnsi="Times New Roman" w:cs="Times New Roman"/>
          <w:szCs w:val="20"/>
        </w:rPr>
        <w:t xml:space="preserve">also </w:t>
      </w:r>
      <w:r w:rsidR="007218B0" w:rsidRPr="00EC0D34">
        <w:rPr>
          <w:rFonts w:ascii="Times New Roman" w:hAnsi="Times New Roman" w:cs="Times New Roman"/>
          <w:szCs w:val="20"/>
        </w:rPr>
        <w:t>corroborate</w:t>
      </w:r>
      <w:r w:rsidR="00391FBB" w:rsidRPr="00EC0D34">
        <w:rPr>
          <w:rFonts w:ascii="Times New Roman" w:hAnsi="Times New Roman" w:cs="Times New Roman"/>
          <w:szCs w:val="20"/>
        </w:rPr>
        <w:t>s</w:t>
      </w:r>
      <w:r w:rsidR="008B121C" w:rsidRPr="00EC0D34">
        <w:rPr>
          <w:rFonts w:ascii="Times New Roman" w:hAnsi="Times New Roman" w:cs="Times New Roman"/>
          <w:szCs w:val="20"/>
        </w:rPr>
        <w:t xml:space="preserve"> that</w:t>
      </w:r>
      <w:r w:rsidR="00107848" w:rsidRPr="00EC0D34">
        <w:rPr>
          <w:rFonts w:ascii="Times New Roman" w:hAnsi="Times New Roman" w:cs="Times New Roman"/>
          <w:szCs w:val="20"/>
        </w:rPr>
        <w:t xml:space="preserve"> all samples contain mesopores within their distribution</w:t>
      </w:r>
      <w:r w:rsidR="008B121C" w:rsidRPr="00EC0D34">
        <w:rPr>
          <w:rFonts w:ascii="Times New Roman" w:hAnsi="Times New Roman" w:cs="Times New Roman"/>
          <w:szCs w:val="20"/>
        </w:rPr>
        <w:t xml:space="preserve">. </w:t>
      </w:r>
      <w:r w:rsidRPr="00EC0D34">
        <w:rPr>
          <w:rFonts w:ascii="Times New Roman" w:hAnsi="Times New Roman" w:cs="Times New Roman"/>
          <w:szCs w:val="20"/>
        </w:rPr>
        <w:t xml:space="preserve">The surface area calculated based on </w:t>
      </w:r>
      <w:proofErr w:type="spellStart"/>
      <w:r w:rsidRPr="00EC0D34">
        <w:rPr>
          <w:rFonts w:ascii="Times New Roman" w:hAnsi="Times New Roman" w:cs="Times New Roman"/>
          <w:szCs w:val="20"/>
        </w:rPr>
        <w:t>Brunauer</w:t>
      </w:r>
      <w:proofErr w:type="spellEnd"/>
      <w:r w:rsidRPr="00EC0D34">
        <w:rPr>
          <w:rFonts w:ascii="Times New Roman" w:hAnsi="Times New Roman" w:cs="Times New Roman"/>
          <w:szCs w:val="20"/>
        </w:rPr>
        <w:t>-Emmett-Teller (BET) for all TNPCs are tabulated in Table 1.</w:t>
      </w:r>
      <w:r w:rsidRPr="00EC0D34">
        <w:t xml:space="preserve"> </w:t>
      </w:r>
      <w:r w:rsidRPr="00EC0D34">
        <w:rPr>
          <w:rFonts w:ascii="Times New Roman" w:hAnsi="Times New Roman" w:cs="Times New Roman"/>
          <w:szCs w:val="20"/>
        </w:rPr>
        <w:t>As we can see, TNPC900 ha</w:t>
      </w:r>
      <w:r w:rsidR="00473D5E" w:rsidRPr="00EC0D34">
        <w:rPr>
          <w:rFonts w:ascii="Times New Roman" w:hAnsi="Times New Roman" w:cs="Times New Roman"/>
          <w:szCs w:val="20"/>
        </w:rPr>
        <w:t>s</w:t>
      </w:r>
      <w:r w:rsidRPr="00EC0D34">
        <w:rPr>
          <w:rFonts w:ascii="Times New Roman" w:hAnsi="Times New Roman" w:cs="Times New Roman"/>
          <w:szCs w:val="20"/>
        </w:rPr>
        <w:t xml:space="preserve"> the largest surface area of 495.97 m</w:t>
      </w:r>
      <w:r w:rsidRPr="00EC0D34">
        <w:rPr>
          <w:rFonts w:ascii="Times New Roman" w:hAnsi="Times New Roman" w:cs="Times New Roman"/>
          <w:szCs w:val="20"/>
          <w:vertAlign w:val="superscript"/>
        </w:rPr>
        <w:t>2</w:t>
      </w:r>
      <w:r w:rsidRPr="00EC0D34">
        <w:rPr>
          <w:rFonts w:ascii="Times New Roman" w:hAnsi="Times New Roman" w:cs="Times New Roman"/>
          <w:szCs w:val="20"/>
        </w:rPr>
        <w:t xml:space="preserve"> g</w:t>
      </w:r>
      <w:r w:rsidRPr="00EC0D34">
        <w:rPr>
          <w:rFonts w:ascii="Times New Roman" w:hAnsi="Times New Roman" w:cs="Times New Roman"/>
          <w:szCs w:val="20"/>
          <w:vertAlign w:val="superscript"/>
        </w:rPr>
        <w:t>-1</w:t>
      </w:r>
      <w:r w:rsidRPr="00EC0D34">
        <w:rPr>
          <w:rFonts w:ascii="Times New Roman" w:hAnsi="Times New Roman" w:cs="Times New Roman"/>
          <w:szCs w:val="20"/>
        </w:rPr>
        <w:t xml:space="preserve"> and the highest pore volume in the range of the pyrolysis temperature studied. Furthermore, the surface area </w:t>
      </w:r>
      <w:r w:rsidR="003F47A8" w:rsidRPr="00EC0D34">
        <w:rPr>
          <w:rFonts w:ascii="Times New Roman" w:hAnsi="Times New Roman" w:cs="Times New Roman"/>
          <w:szCs w:val="20"/>
        </w:rPr>
        <w:t xml:space="preserve">enlarge </w:t>
      </w:r>
      <w:r w:rsidRPr="00EC0D34">
        <w:rPr>
          <w:rFonts w:ascii="Times New Roman" w:hAnsi="Times New Roman" w:cs="Times New Roman"/>
          <w:szCs w:val="20"/>
        </w:rPr>
        <w:t>as the temperature was increased from 800 to 900 °C but drop significantly when the temperature of pyrolysis was at 1000 °C</w:t>
      </w:r>
      <w:r w:rsidR="006960B4" w:rsidRPr="00EC0D34">
        <w:rPr>
          <w:rFonts w:ascii="Times New Roman" w:hAnsi="Times New Roman" w:cs="Times New Roman"/>
          <w:szCs w:val="20"/>
        </w:rPr>
        <w:t xml:space="preserve"> </w:t>
      </w:r>
      <w:r w:rsidR="00363296" w:rsidRPr="00EC0D34">
        <w:rPr>
          <w:rFonts w:ascii="Times New Roman" w:hAnsi="Times New Roman" w:cs="Times New Roman"/>
          <w:szCs w:val="20"/>
        </w:rPr>
        <w:t>as the surface are</w:t>
      </w:r>
      <w:r w:rsidR="002B17E4" w:rsidRPr="00EC0D34">
        <w:rPr>
          <w:rFonts w:ascii="Times New Roman" w:hAnsi="Times New Roman" w:cs="Times New Roman"/>
          <w:szCs w:val="20"/>
        </w:rPr>
        <w:t>a</w:t>
      </w:r>
      <w:r w:rsidR="00363296" w:rsidRPr="00EC0D34">
        <w:rPr>
          <w:rFonts w:ascii="Times New Roman" w:hAnsi="Times New Roman" w:cs="Times New Roman"/>
          <w:szCs w:val="20"/>
        </w:rPr>
        <w:t xml:space="preserve"> reduced to 207.76</w:t>
      </w:r>
      <w:r w:rsidR="005106E7" w:rsidRPr="00EC0D34">
        <w:rPr>
          <w:rFonts w:ascii="Times New Roman" w:hAnsi="Times New Roman" w:cs="Times New Roman"/>
          <w:szCs w:val="20"/>
        </w:rPr>
        <w:t xml:space="preserve"> m</w:t>
      </w:r>
      <w:r w:rsidR="005106E7" w:rsidRPr="00EC0D34">
        <w:rPr>
          <w:rFonts w:ascii="Times New Roman" w:hAnsi="Times New Roman" w:cs="Times New Roman"/>
          <w:szCs w:val="20"/>
          <w:vertAlign w:val="superscript"/>
        </w:rPr>
        <w:t>2</w:t>
      </w:r>
      <w:r w:rsidR="005106E7" w:rsidRPr="00EC0D34">
        <w:rPr>
          <w:rFonts w:ascii="Times New Roman" w:hAnsi="Times New Roman" w:cs="Times New Roman"/>
          <w:szCs w:val="20"/>
        </w:rPr>
        <w:t xml:space="preserve"> g</w:t>
      </w:r>
      <w:r w:rsidR="005106E7" w:rsidRPr="00EC0D34">
        <w:rPr>
          <w:rFonts w:ascii="Times New Roman" w:hAnsi="Times New Roman" w:cs="Times New Roman"/>
          <w:szCs w:val="20"/>
          <w:vertAlign w:val="superscript"/>
        </w:rPr>
        <w:t>-1</w:t>
      </w:r>
      <w:r w:rsidRPr="00EC0D34">
        <w:rPr>
          <w:rFonts w:ascii="Times New Roman" w:hAnsi="Times New Roman" w:cs="Times New Roman"/>
          <w:szCs w:val="20"/>
        </w:rPr>
        <w:t>. The pore volume also follows the same trend as surface area. However,</w:t>
      </w:r>
      <w:r w:rsidR="00781048" w:rsidRPr="00EC0D34">
        <w:rPr>
          <w:rFonts w:ascii="Times New Roman" w:hAnsi="Times New Roman" w:cs="Times New Roman"/>
          <w:szCs w:val="20"/>
        </w:rPr>
        <w:t xml:space="preserve"> the </w:t>
      </w:r>
      <w:r w:rsidRPr="00EC0D34">
        <w:rPr>
          <w:rFonts w:ascii="Times New Roman" w:hAnsi="Times New Roman" w:cs="Times New Roman"/>
          <w:szCs w:val="20"/>
        </w:rPr>
        <w:t xml:space="preserve">ratio of </w:t>
      </w:r>
      <w:proofErr w:type="spellStart"/>
      <w:r w:rsidRPr="00EC0D34">
        <w:rPr>
          <w:rFonts w:ascii="Times New Roman" w:hAnsi="Times New Roman" w:cs="Times New Roman"/>
          <w:szCs w:val="20"/>
        </w:rPr>
        <w:t>S</w:t>
      </w:r>
      <w:r w:rsidRPr="00EC0D34">
        <w:rPr>
          <w:rFonts w:ascii="Times New Roman" w:hAnsi="Times New Roman" w:cs="Times New Roman"/>
          <w:szCs w:val="20"/>
          <w:vertAlign w:val="subscript"/>
        </w:rPr>
        <w:t>meso</w:t>
      </w:r>
      <w:proofErr w:type="spellEnd"/>
      <w:r w:rsidRPr="00EC0D34">
        <w:rPr>
          <w:rFonts w:ascii="Times New Roman" w:hAnsi="Times New Roman" w:cs="Times New Roman"/>
          <w:szCs w:val="20"/>
        </w:rPr>
        <w:t>/</w:t>
      </w:r>
      <w:proofErr w:type="spellStart"/>
      <w:r w:rsidRPr="00EC0D34">
        <w:rPr>
          <w:rFonts w:ascii="Times New Roman" w:hAnsi="Times New Roman" w:cs="Times New Roman"/>
          <w:szCs w:val="20"/>
        </w:rPr>
        <w:t>S</w:t>
      </w:r>
      <w:r w:rsidRPr="00EC0D34">
        <w:rPr>
          <w:rFonts w:ascii="Times New Roman" w:hAnsi="Times New Roman" w:cs="Times New Roman"/>
          <w:szCs w:val="20"/>
          <w:vertAlign w:val="subscript"/>
        </w:rPr>
        <w:t>micro</w:t>
      </w:r>
      <w:proofErr w:type="spellEnd"/>
      <w:r w:rsidRPr="00EC0D34">
        <w:rPr>
          <w:rFonts w:ascii="Times New Roman" w:hAnsi="Times New Roman" w:cs="Times New Roman"/>
          <w:szCs w:val="20"/>
        </w:rPr>
        <w:t xml:space="preserve"> increase with the </w:t>
      </w:r>
      <w:r w:rsidR="00F9457A" w:rsidRPr="00EC0D34">
        <w:rPr>
          <w:rFonts w:ascii="Times New Roman" w:hAnsi="Times New Roman" w:cs="Times New Roman"/>
          <w:szCs w:val="20"/>
        </w:rPr>
        <w:t xml:space="preserve">increment </w:t>
      </w:r>
      <w:r w:rsidRPr="00EC0D34">
        <w:rPr>
          <w:rFonts w:ascii="Times New Roman" w:hAnsi="Times New Roman" w:cs="Times New Roman"/>
          <w:szCs w:val="20"/>
        </w:rPr>
        <w:t>in pyrolysis temperature</w:t>
      </w:r>
      <w:r w:rsidR="008B04E8" w:rsidRPr="00EC0D34">
        <w:rPr>
          <w:rFonts w:ascii="Times New Roman" w:hAnsi="Times New Roman" w:cs="Times New Roman"/>
          <w:szCs w:val="20"/>
        </w:rPr>
        <w:t xml:space="preserve">. </w:t>
      </w:r>
      <w:r w:rsidRPr="00EC0D34">
        <w:rPr>
          <w:rFonts w:ascii="Times New Roman" w:hAnsi="Times New Roman" w:cs="Times New Roman"/>
          <w:szCs w:val="20"/>
        </w:rPr>
        <w:t xml:space="preserve">This might indicate that as the temperature </w:t>
      </w:r>
      <w:r w:rsidR="00DB5109" w:rsidRPr="00EC0D34">
        <w:rPr>
          <w:rFonts w:ascii="Times New Roman" w:hAnsi="Times New Roman" w:cs="Times New Roman"/>
          <w:szCs w:val="20"/>
        </w:rPr>
        <w:t>raised</w:t>
      </w:r>
      <w:r w:rsidRPr="00EC0D34">
        <w:rPr>
          <w:rFonts w:ascii="Times New Roman" w:hAnsi="Times New Roman" w:cs="Times New Roman"/>
          <w:szCs w:val="20"/>
        </w:rPr>
        <w:t xml:space="preserve"> to 1000 °C, the micropore structures </w:t>
      </w:r>
      <w:r w:rsidR="00E63B7F" w:rsidRPr="00EC0D34">
        <w:rPr>
          <w:rFonts w:ascii="Times New Roman" w:hAnsi="Times New Roman" w:cs="Times New Roman"/>
          <w:szCs w:val="20"/>
        </w:rPr>
        <w:t xml:space="preserve">had </w:t>
      </w:r>
      <w:r w:rsidRPr="00EC0D34">
        <w:rPr>
          <w:rFonts w:ascii="Times New Roman" w:hAnsi="Times New Roman" w:cs="Times New Roman"/>
          <w:szCs w:val="20"/>
        </w:rPr>
        <w:t>collapse</w:t>
      </w:r>
      <w:r w:rsidR="00E63B7F" w:rsidRPr="00EC0D34">
        <w:rPr>
          <w:rFonts w:ascii="Times New Roman" w:hAnsi="Times New Roman" w:cs="Times New Roman"/>
          <w:szCs w:val="20"/>
        </w:rPr>
        <w:t>d which</w:t>
      </w:r>
      <w:r w:rsidRPr="00EC0D34">
        <w:rPr>
          <w:rFonts w:ascii="Times New Roman" w:hAnsi="Times New Roman" w:cs="Times New Roman"/>
          <w:szCs w:val="20"/>
        </w:rPr>
        <w:t xml:space="preserve"> creating larger pores thus decreasing the surface area and this is supported by the higher </w:t>
      </w:r>
      <w:r w:rsidR="009B4D06" w:rsidRPr="00EC0D34">
        <w:rPr>
          <w:rFonts w:ascii="Times New Roman" w:hAnsi="Times New Roman" w:cs="Times New Roman"/>
          <w:szCs w:val="20"/>
        </w:rPr>
        <w:t xml:space="preserve">average </w:t>
      </w:r>
      <w:r w:rsidRPr="00EC0D34">
        <w:rPr>
          <w:rFonts w:ascii="Times New Roman" w:hAnsi="Times New Roman" w:cs="Times New Roman"/>
          <w:szCs w:val="20"/>
        </w:rPr>
        <w:t xml:space="preserve">pore size obtained at 1000 °C. The increase in pore diameter is in agreement with the morphology observed by SEM. Since ORR occur at the interfacial/surface of a catalyst, the micro- and mesoporous structure of a catalyst with high surface area and pore volume can serve </w:t>
      </w:r>
      <w:r w:rsidR="00B67F48" w:rsidRPr="00EC0D34">
        <w:rPr>
          <w:rFonts w:ascii="Times New Roman" w:hAnsi="Times New Roman" w:cs="Times New Roman"/>
          <w:szCs w:val="20"/>
        </w:rPr>
        <w:t xml:space="preserve">as </w:t>
      </w:r>
      <w:r w:rsidRPr="00EC0D34">
        <w:rPr>
          <w:rFonts w:ascii="Times New Roman" w:hAnsi="Times New Roman" w:cs="Times New Roman"/>
          <w:szCs w:val="20"/>
        </w:rPr>
        <w:t xml:space="preserve">abundance active sites that influence the mass transport properties and diffusion of the electrolyte </w:t>
      </w:r>
      <w:r w:rsidRPr="00EC0D34">
        <w:rPr>
          <w:rFonts w:ascii="Times New Roman" w:hAnsi="Times New Roman" w:cs="Times New Roman"/>
          <w:szCs w:val="20"/>
        </w:rPr>
        <w:fldChar w:fldCharType="begin" w:fldLock="1"/>
      </w:r>
      <w:r w:rsidR="008F2167" w:rsidRPr="00EC0D34">
        <w:rPr>
          <w:rFonts w:ascii="Times New Roman" w:hAnsi="Times New Roman" w:cs="Times New Roman"/>
          <w:szCs w:val="20"/>
        </w:rPr>
        <w:instrText>ADDIN CSL_CITATION {"citationItems":[{"id":"ITEM-1","itemData":{"DOI":"10.3390/catal10121472","ISSN":"20734344","abstract":"Oxygen reduction reaction (ORR) has attracted considerable attention for clean energy conversion technologies to reduce traditional fossil fuel consumption and greenhouse gas emissions. Although platinum (Pt) metal is currently used as an electrocatalyst to accelerate sluggish ORR kinetics, the scarce resource and high cost still restrict its further scale-up applications. In this regard, biomass-derived carbon electrocatalysts have been widely adopted for ORR electrocatalysis in recent years owing to their tunable physical/chemical properties and cost-effective precursors. In this minireview, recent advances of the optimization strategies in biomass-derived carbon electrocatalysts towards ORR have been summarized, mainly focusing on the optimization of pore structure and active site. Besides, some current challenges and future perspectives of biomass-derived carbon as high-performance electrocatalysts for ORR have been also discussed in detail. Hopefully, this minireview will afford a guideline for better design of biomass-derived carbon electrocatalysts for ORR-related applications.","author":[{"dropping-particle":"","family":"Jiang","given":"Minhua","non-dropping-particle":"","parse-names":false,"suffix":""},{"dropping-particle":"","family":"Yu","given":"Xiaofang","non-dropping-particle":"","parse-names":false,"suffix":""},{"dropping-particle":"","family":"Yang","given":"Haoqi","non-dropping-particle":"","parse-names":false,"suffix":""},{"dropping-particle":"","family":"Chen","given":"Shuiliang","non-dropping-particle":"","parse-names":false,"suffix":""}],"container-title":"Catalysts","id":"ITEM-1","issue":"12","issued":{"date-parts":[["2020"]]},"page":"1-17","title":"Optimization strategies of preparation of biomass-derived carbon electrocatalyst for boosting oxygen reduction reaction: A minireview","type":"article-journal","volume":"10"},"uris":["http://www.mendeley.com/documents/?uuid=5b412d72-899e-48f2-9c61-3f27d4ab6b17"]},{"id":"ITEM-2","itemData":{"DOI":"10.1016/J.IJHYDENE.2018.04.100","ISSN":"0360-3199","abstract":"We described a process of the preparation of N, P co-doped hierarchical porous carbon by one-step pyrolysis of the chitosan/phytic acid (CS/PA) precursor without extra activation processes, and the nitrogen and phosphorus were successfully incorporated into the carbon framework. Experimentally, the best performance was identified with NPC-1000 which possessed the highest BET specific surface area of 1117.2 m2 g−1. This NPC-1000 showed a half-wave potential of 50 mV difference with commercial Pt/C, better tolerance to methanol and a superior stability comparable to commercial Pt/C catalyst. The results suggest that it is a simple, feasible, and economical route to synthesis of hierarchical porous carbon which can be used as metal-free catalysts for oxygen reduction.","author":[{"dropping-particle":"","family":"Mao","given":"Xinxin","non-dropping-particle":"","parse-names":false,"suffix":""},{"dropping-particle":"","family":"Cao","given":"Zhaoxia","non-dropping-particle":"","parse-names":false,"suffix":""},{"dropping-particle":"","family":"Yin","given":"Yanhong","non-dropping-particle":"","parse-names":false,"suffix":""},{"dropping-particle":"","family":"Wang","given":"Zhichao","non-dropping-particle":"","parse-names":false,"suffix":""},{"dropping-particle":"","family":"Dong","given":"Hongyu","non-dropping-particle":"","parse-names":false,"suffix":""},{"dropping-particle":"","family":"Yang","given":"Shuting","non-dropping-particle":"","parse-names":false,"suffix":""}],"container-title":"International Journal of Hydrogen Energy","id":"ITEM-2","issue":"22","issued":{"date-parts":[["2018","5","31"]]},"page":"10341-10350","publisher":"Pergamon","title":"Direct synthesis of nitrogen and phosphorus co-doped hierarchical porous carbon networks with biological materials as efficient electrocatalysts for oxygen reduction reaction","type":"article-journal","volume":"43"},"uris":["http://www.mendeley.com/documents/?uuid=4f5a2fd4-e9e7-3bd4-abbd-b20c0ebf5c8b"]}],"mendeley":{"formattedCitation":"[23,24]","plainTextFormattedCitation":"[23,24]","previouslyFormattedCitation":"[23,24]"},"properties":{"noteIndex":0},"schema":"https://github.com/citation-style-language/schema/raw/master/csl-citation.json"}</w:instrText>
      </w:r>
      <w:r w:rsidRPr="00EC0D34">
        <w:rPr>
          <w:rFonts w:ascii="Times New Roman" w:hAnsi="Times New Roman" w:cs="Times New Roman"/>
          <w:szCs w:val="20"/>
        </w:rPr>
        <w:fldChar w:fldCharType="separate"/>
      </w:r>
      <w:r w:rsidR="008F2167" w:rsidRPr="00EC0D34">
        <w:rPr>
          <w:rFonts w:ascii="Times New Roman" w:hAnsi="Times New Roman" w:cs="Times New Roman"/>
          <w:noProof/>
          <w:szCs w:val="20"/>
        </w:rPr>
        <w:t>[23,24]</w:t>
      </w:r>
      <w:r w:rsidRPr="00EC0D34">
        <w:rPr>
          <w:rFonts w:ascii="Times New Roman" w:hAnsi="Times New Roman" w:cs="Times New Roman"/>
          <w:szCs w:val="20"/>
        </w:rPr>
        <w:fldChar w:fldCharType="end"/>
      </w:r>
      <w:r w:rsidRPr="00EC0D34">
        <w:rPr>
          <w:rFonts w:ascii="Times New Roman" w:hAnsi="Times New Roman" w:cs="Times New Roman"/>
          <w:szCs w:val="20"/>
        </w:rPr>
        <w:t>. Therefore, it is expected that the porosity structure of these TNPCs will affect the ORR performance.</w:t>
      </w:r>
    </w:p>
    <w:p w14:paraId="049BC509" w14:textId="7E1B4FE2" w:rsidR="0097146D" w:rsidRPr="00EC0D34" w:rsidRDefault="00F66C90" w:rsidP="00785CA6">
      <w:pPr>
        <w:spacing w:before="240"/>
        <w:jc w:val="center"/>
        <w:outlineLvl w:val="0"/>
        <w:rPr>
          <w:rFonts w:ascii="Times New Roman" w:hAnsi="Times New Roman" w:cs="Times New Roman"/>
          <w:szCs w:val="20"/>
        </w:rPr>
      </w:pPr>
      <w:r w:rsidRPr="00EC0D34">
        <w:rPr>
          <w:rFonts w:ascii="Times New Roman" w:hAnsi="Times New Roman" w:cs="Times New Roman"/>
          <w:szCs w:val="20"/>
        </w:rPr>
        <w:t>Table 1. Surface properties of TNPCs</w:t>
      </w:r>
      <w:r w:rsidR="009623D0" w:rsidRPr="00EC0D34">
        <w:rPr>
          <w:rFonts w:ascii="Times New Roman" w:hAnsi="Times New Roman" w:cs="Times New Roman"/>
          <w:szCs w:val="20"/>
        </w:rPr>
        <w:t>.</w:t>
      </w:r>
    </w:p>
    <w:p w14:paraId="48EE55F9" w14:textId="2C80C61C" w:rsidR="00785CA6" w:rsidRPr="00EC0D34" w:rsidRDefault="00785CA6" w:rsidP="003A2A26">
      <w:pPr>
        <w:jc w:val="center"/>
        <w:outlineLvl w:val="0"/>
        <w:rPr>
          <w:rFonts w:ascii="Times New Roman" w:hAnsi="Times New Roman" w:cs="Times New Roman"/>
          <w:szCs w:val="20"/>
        </w:rPr>
      </w:pPr>
    </w:p>
    <w:tbl>
      <w:tblPr>
        <w:tblStyle w:val="TableGrid"/>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860"/>
        <w:gridCol w:w="859"/>
        <w:gridCol w:w="1146"/>
        <w:gridCol w:w="716"/>
        <w:gridCol w:w="1002"/>
        <w:gridCol w:w="1075"/>
        <w:gridCol w:w="860"/>
        <w:gridCol w:w="860"/>
        <w:gridCol w:w="860"/>
      </w:tblGrid>
      <w:tr w:rsidR="00EC0D34" w:rsidRPr="00EC0D34" w14:paraId="55880C74" w14:textId="77777777" w:rsidTr="00EC0D34">
        <w:trPr>
          <w:trHeight w:val="506"/>
          <w:jc w:val="center"/>
        </w:trPr>
        <w:tc>
          <w:tcPr>
            <w:tcW w:w="1146" w:type="dxa"/>
            <w:tcBorders>
              <w:top w:val="single" w:sz="4" w:space="0" w:color="auto"/>
              <w:bottom w:val="single" w:sz="4" w:space="0" w:color="auto"/>
            </w:tcBorders>
            <w:vAlign w:val="center"/>
          </w:tcPr>
          <w:p w14:paraId="32CC4ABC" w14:textId="77777777" w:rsidR="003A10A1" w:rsidRPr="00EC0D34" w:rsidRDefault="003A10A1" w:rsidP="00F66C90">
            <w:pPr>
              <w:jc w:val="center"/>
              <w:rPr>
                <w:rFonts w:ascii="Times New Roman" w:hAnsi="Times New Roman" w:cs="Times New Roman"/>
                <w:szCs w:val="20"/>
              </w:rPr>
            </w:pPr>
            <w:r w:rsidRPr="00EC0D34">
              <w:rPr>
                <w:rFonts w:ascii="Times New Roman" w:hAnsi="Times New Roman" w:cs="Times New Roman"/>
                <w:b/>
                <w:bCs/>
                <w:szCs w:val="20"/>
              </w:rPr>
              <w:t>Sample</w:t>
            </w:r>
          </w:p>
        </w:tc>
        <w:tc>
          <w:tcPr>
            <w:tcW w:w="860" w:type="dxa"/>
            <w:tcBorders>
              <w:top w:val="single" w:sz="4" w:space="0" w:color="auto"/>
              <w:bottom w:val="single" w:sz="4" w:space="0" w:color="auto"/>
            </w:tcBorders>
            <w:vAlign w:val="center"/>
          </w:tcPr>
          <w:p w14:paraId="625BE104" w14:textId="77777777" w:rsidR="003A10A1" w:rsidRPr="00EC0D34" w:rsidRDefault="003A10A1" w:rsidP="00F66C90">
            <w:pPr>
              <w:jc w:val="center"/>
              <w:rPr>
                <w:rFonts w:ascii="Times New Roman" w:hAnsi="Times New Roman" w:cs="Times New Roman"/>
                <w:b/>
                <w:bCs/>
                <w:szCs w:val="20"/>
                <w:vertAlign w:val="subscript"/>
              </w:rPr>
            </w:pPr>
            <w:r w:rsidRPr="00EC0D34">
              <w:rPr>
                <w:rFonts w:ascii="Times New Roman" w:hAnsi="Times New Roman" w:cs="Times New Roman"/>
                <w:b/>
                <w:bCs/>
                <w:szCs w:val="20"/>
              </w:rPr>
              <w:t>S</w:t>
            </w:r>
            <w:r w:rsidRPr="00EC0D34">
              <w:rPr>
                <w:rFonts w:ascii="Times New Roman" w:hAnsi="Times New Roman" w:cs="Times New Roman"/>
                <w:b/>
                <w:bCs/>
                <w:szCs w:val="20"/>
                <w:vertAlign w:val="subscript"/>
              </w:rPr>
              <w:t>BET</w:t>
            </w:r>
          </w:p>
          <w:p w14:paraId="79D444AB" w14:textId="77777777"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(m</w:t>
            </w:r>
            <w:r w:rsidRPr="00EC0D34">
              <w:rPr>
                <w:rFonts w:ascii="Times New Roman" w:hAnsi="Times New Roman" w:cs="Times New Roman"/>
                <w:b/>
                <w:bCs/>
                <w:szCs w:val="20"/>
                <w:vertAlign w:val="superscript"/>
              </w:rPr>
              <w:t>2</w:t>
            </w:r>
            <w:r w:rsidRPr="00EC0D34">
              <w:rPr>
                <w:rFonts w:ascii="Times New Roman" w:hAnsi="Times New Roman" w:cs="Times New Roman"/>
                <w:b/>
                <w:bCs/>
                <w:szCs w:val="20"/>
              </w:rPr>
              <w:t xml:space="preserve"> g</w:t>
            </w:r>
            <w:r w:rsidRPr="00EC0D34">
              <w:rPr>
                <w:rFonts w:ascii="Times New Roman" w:hAnsi="Times New Roman" w:cs="Times New Roman"/>
                <w:b/>
                <w:bCs/>
                <w:szCs w:val="20"/>
                <w:vertAlign w:val="superscript"/>
              </w:rPr>
              <w:t>-1</w:t>
            </w:r>
            <w:r w:rsidRPr="00EC0D34">
              <w:rPr>
                <w:rFonts w:ascii="Times New Roman" w:hAnsi="Times New Roman" w:cs="Times New Roman"/>
                <w:b/>
                <w:bCs/>
                <w:szCs w:val="20"/>
              </w:rPr>
              <w:t>)</w:t>
            </w:r>
          </w:p>
        </w:tc>
        <w:tc>
          <w:tcPr>
            <w:tcW w:w="859" w:type="dxa"/>
            <w:tcBorders>
              <w:top w:val="single" w:sz="4" w:space="0" w:color="auto"/>
              <w:bottom w:val="single" w:sz="4" w:space="0" w:color="auto"/>
            </w:tcBorders>
            <w:vAlign w:val="center"/>
          </w:tcPr>
          <w:p w14:paraId="5F5B5BBD" w14:textId="77777777" w:rsidR="003A10A1" w:rsidRPr="00EC0D34" w:rsidRDefault="003A10A1" w:rsidP="00F66C90">
            <w:pPr>
              <w:jc w:val="center"/>
              <w:rPr>
                <w:rFonts w:ascii="Times New Roman" w:hAnsi="Times New Roman" w:cs="Times New Roman"/>
                <w:b/>
                <w:bCs/>
                <w:szCs w:val="20"/>
              </w:rPr>
            </w:pPr>
            <w:proofErr w:type="spellStart"/>
            <w:r w:rsidRPr="00EC0D34">
              <w:rPr>
                <w:rFonts w:ascii="Times New Roman" w:hAnsi="Times New Roman" w:cs="Times New Roman"/>
                <w:b/>
                <w:bCs/>
                <w:szCs w:val="20"/>
              </w:rPr>
              <w:t>S</w:t>
            </w:r>
            <w:r w:rsidRPr="00EC0D34">
              <w:rPr>
                <w:rFonts w:ascii="Times New Roman" w:hAnsi="Times New Roman" w:cs="Times New Roman"/>
                <w:b/>
                <w:bCs/>
                <w:szCs w:val="20"/>
                <w:vertAlign w:val="subscript"/>
              </w:rPr>
              <w:t>micro</w:t>
            </w:r>
            <w:proofErr w:type="spellEnd"/>
          </w:p>
          <w:p w14:paraId="4EDB592C" w14:textId="77777777"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(m</w:t>
            </w:r>
            <w:r w:rsidRPr="00EC0D34">
              <w:rPr>
                <w:rFonts w:ascii="Times New Roman" w:hAnsi="Times New Roman" w:cs="Times New Roman"/>
                <w:b/>
                <w:bCs/>
                <w:szCs w:val="20"/>
                <w:vertAlign w:val="superscript"/>
              </w:rPr>
              <w:t>2</w:t>
            </w:r>
            <w:r w:rsidRPr="00EC0D34">
              <w:rPr>
                <w:rFonts w:ascii="Times New Roman" w:hAnsi="Times New Roman" w:cs="Times New Roman"/>
                <w:b/>
                <w:bCs/>
                <w:szCs w:val="20"/>
              </w:rPr>
              <w:t xml:space="preserve"> g</w:t>
            </w:r>
            <w:r w:rsidRPr="00EC0D34">
              <w:rPr>
                <w:rFonts w:ascii="Times New Roman" w:hAnsi="Times New Roman" w:cs="Times New Roman"/>
                <w:b/>
                <w:bCs/>
                <w:szCs w:val="20"/>
                <w:vertAlign w:val="superscript"/>
              </w:rPr>
              <w:t>-1</w:t>
            </w:r>
            <w:r w:rsidRPr="00EC0D34">
              <w:rPr>
                <w:rFonts w:ascii="Times New Roman" w:hAnsi="Times New Roman" w:cs="Times New Roman"/>
                <w:b/>
                <w:bCs/>
                <w:szCs w:val="20"/>
              </w:rPr>
              <w:t>)</w:t>
            </w:r>
          </w:p>
        </w:tc>
        <w:tc>
          <w:tcPr>
            <w:tcW w:w="1146" w:type="dxa"/>
            <w:tcBorders>
              <w:top w:val="single" w:sz="4" w:space="0" w:color="auto"/>
              <w:bottom w:val="single" w:sz="4" w:space="0" w:color="auto"/>
            </w:tcBorders>
            <w:vAlign w:val="center"/>
          </w:tcPr>
          <w:p w14:paraId="4FF8BBF5" w14:textId="76761D56" w:rsidR="003A10A1" w:rsidRPr="00EC0D34" w:rsidRDefault="003A10A1" w:rsidP="00F66C90">
            <w:pPr>
              <w:jc w:val="center"/>
              <w:rPr>
                <w:rFonts w:ascii="Times New Roman" w:hAnsi="Times New Roman" w:cs="Times New Roman"/>
                <w:b/>
                <w:bCs/>
                <w:szCs w:val="20"/>
              </w:rPr>
            </w:pPr>
            <w:proofErr w:type="spellStart"/>
            <w:r w:rsidRPr="00EC0D34">
              <w:rPr>
                <w:rFonts w:ascii="Times New Roman" w:hAnsi="Times New Roman" w:cs="Times New Roman"/>
                <w:b/>
                <w:bCs/>
                <w:szCs w:val="20"/>
              </w:rPr>
              <w:t>S</w:t>
            </w:r>
            <w:r w:rsidRPr="00EC0D34">
              <w:rPr>
                <w:rFonts w:ascii="Times New Roman" w:hAnsi="Times New Roman" w:cs="Times New Roman"/>
                <w:b/>
                <w:bCs/>
                <w:szCs w:val="20"/>
                <w:vertAlign w:val="subscript"/>
              </w:rPr>
              <w:t>meso</w:t>
            </w:r>
            <w:proofErr w:type="spellEnd"/>
          </w:p>
          <w:p w14:paraId="144F9114" w14:textId="77777777"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(m</w:t>
            </w:r>
            <w:r w:rsidRPr="00EC0D34">
              <w:rPr>
                <w:rFonts w:ascii="Times New Roman" w:hAnsi="Times New Roman" w:cs="Times New Roman"/>
                <w:b/>
                <w:bCs/>
                <w:szCs w:val="20"/>
                <w:vertAlign w:val="superscript"/>
              </w:rPr>
              <w:t>2</w:t>
            </w:r>
            <w:r w:rsidRPr="00EC0D34">
              <w:rPr>
                <w:rFonts w:ascii="Times New Roman" w:hAnsi="Times New Roman" w:cs="Times New Roman"/>
                <w:b/>
                <w:bCs/>
                <w:szCs w:val="20"/>
              </w:rPr>
              <w:t xml:space="preserve"> g</w:t>
            </w:r>
            <w:r w:rsidRPr="00EC0D34">
              <w:rPr>
                <w:rFonts w:ascii="Times New Roman" w:hAnsi="Times New Roman" w:cs="Times New Roman"/>
                <w:b/>
                <w:bCs/>
                <w:szCs w:val="20"/>
                <w:vertAlign w:val="superscript"/>
              </w:rPr>
              <w:t>-1</w:t>
            </w:r>
            <w:r w:rsidRPr="00EC0D34">
              <w:rPr>
                <w:rFonts w:ascii="Times New Roman" w:hAnsi="Times New Roman" w:cs="Times New Roman"/>
                <w:b/>
                <w:bCs/>
                <w:szCs w:val="20"/>
              </w:rPr>
              <w:t>)</w:t>
            </w:r>
          </w:p>
        </w:tc>
        <w:tc>
          <w:tcPr>
            <w:tcW w:w="716" w:type="dxa"/>
            <w:tcBorders>
              <w:top w:val="single" w:sz="4" w:space="0" w:color="auto"/>
              <w:bottom w:val="single" w:sz="4" w:space="0" w:color="auto"/>
            </w:tcBorders>
            <w:vAlign w:val="center"/>
          </w:tcPr>
          <w:p w14:paraId="4AA89BC3" w14:textId="3905B76C" w:rsidR="003A10A1" w:rsidRPr="00EC0D34" w:rsidRDefault="003A10A1" w:rsidP="009F4705">
            <w:pPr>
              <w:jc w:val="center"/>
              <w:rPr>
                <w:rFonts w:ascii="Times New Roman" w:hAnsi="Times New Roman" w:cs="Times New Roman"/>
                <w:b/>
                <w:bCs/>
                <w:szCs w:val="20"/>
              </w:rPr>
            </w:pPr>
            <w:proofErr w:type="spellStart"/>
            <w:r w:rsidRPr="00EC0D34">
              <w:rPr>
                <w:rFonts w:ascii="Times New Roman" w:hAnsi="Times New Roman" w:cs="Times New Roman"/>
                <w:b/>
                <w:bCs/>
                <w:szCs w:val="20"/>
              </w:rPr>
              <w:t>S</w:t>
            </w:r>
            <w:r w:rsidRPr="00EC0D34">
              <w:rPr>
                <w:rFonts w:ascii="Times New Roman" w:hAnsi="Times New Roman" w:cs="Times New Roman"/>
                <w:b/>
                <w:bCs/>
                <w:szCs w:val="20"/>
                <w:vertAlign w:val="subscript"/>
              </w:rPr>
              <w:t>meso</w:t>
            </w:r>
            <w:proofErr w:type="spellEnd"/>
            <w:r w:rsidR="00D12469" w:rsidRPr="00EC0D34">
              <w:rPr>
                <w:rFonts w:ascii="Times New Roman" w:hAnsi="Times New Roman" w:cs="Times New Roman"/>
                <w:b/>
                <w:bCs/>
                <w:szCs w:val="20"/>
                <w:vertAlign w:val="subscript"/>
              </w:rPr>
              <w:t xml:space="preserve"> </w:t>
            </w:r>
            <w:r w:rsidR="00D12469" w:rsidRPr="00EC0D34">
              <w:rPr>
                <w:rFonts w:ascii="Times New Roman" w:hAnsi="Times New Roman" w:cs="Times New Roman"/>
                <w:b/>
                <w:bCs/>
                <w:szCs w:val="20"/>
              </w:rPr>
              <w:t>/</w:t>
            </w:r>
            <w:r w:rsidR="00D12469" w:rsidRPr="00EC0D34">
              <w:rPr>
                <w:rFonts w:ascii="Times New Roman" w:hAnsi="Times New Roman" w:cs="Times New Roman"/>
                <w:b/>
                <w:bCs/>
                <w:szCs w:val="20"/>
                <w:vertAlign w:val="subscript"/>
              </w:rPr>
              <w:t xml:space="preserve"> </w:t>
            </w:r>
            <w:proofErr w:type="spellStart"/>
            <w:r w:rsidRPr="00EC0D34">
              <w:rPr>
                <w:rFonts w:ascii="Times New Roman" w:hAnsi="Times New Roman" w:cs="Times New Roman"/>
                <w:b/>
                <w:bCs/>
                <w:szCs w:val="20"/>
              </w:rPr>
              <w:t>S</w:t>
            </w:r>
            <w:r w:rsidRPr="00EC0D34">
              <w:rPr>
                <w:rFonts w:ascii="Times New Roman" w:hAnsi="Times New Roman" w:cs="Times New Roman"/>
                <w:b/>
                <w:bCs/>
                <w:szCs w:val="20"/>
                <w:vertAlign w:val="subscript"/>
              </w:rPr>
              <w:t>micro</w:t>
            </w:r>
            <w:proofErr w:type="spellEnd"/>
            <w:r w:rsidRPr="00EC0D34">
              <w:rPr>
                <w:rFonts w:ascii="Times New Roman" w:hAnsi="Times New Roman" w:cs="Times New Roman"/>
                <w:b/>
                <w:bCs/>
                <w:szCs w:val="20"/>
              </w:rPr>
              <w:t xml:space="preserve"> ratio</w:t>
            </w:r>
          </w:p>
        </w:tc>
        <w:tc>
          <w:tcPr>
            <w:tcW w:w="1002" w:type="dxa"/>
            <w:tcBorders>
              <w:top w:val="single" w:sz="4" w:space="0" w:color="auto"/>
              <w:bottom w:val="single" w:sz="4" w:space="0" w:color="auto"/>
            </w:tcBorders>
            <w:vAlign w:val="center"/>
          </w:tcPr>
          <w:p w14:paraId="7C6EC13D" w14:textId="16AE9FF7" w:rsidR="003A10A1" w:rsidRPr="00EC0D34" w:rsidRDefault="003A10A1" w:rsidP="003A10A1">
            <w:pPr>
              <w:jc w:val="center"/>
              <w:rPr>
                <w:rFonts w:ascii="Times New Roman" w:hAnsi="Times New Roman" w:cs="Times New Roman"/>
                <w:b/>
                <w:bCs/>
                <w:szCs w:val="20"/>
              </w:rPr>
            </w:pPr>
            <w:r w:rsidRPr="00EC0D34">
              <w:rPr>
                <w:rFonts w:ascii="Times New Roman" w:hAnsi="Times New Roman" w:cs="Times New Roman"/>
                <w:b/>
                <w:bCs/>
                <w:szCs w:val="20"/>
              </w:rPr>
              <w:t xml:space="preserve">Pore </w:t>
            </w:r>
            <w:r w:rsidR="00EC0D34">
              <w:rPr>
                <w:rFonts w:ascii="Times New Roman" w:hAnsi="Times New Roman" w:cs="Times New Roman"/>
                <w:b/>
                <w:bCs/>
                <w:szCs w:val="20"/>
              </w:rPr>
              <w:t>V</w:t>
            </w:r>
            <w:r w:rsidRPr="00EC0D34">
              <w:rPr>
                <w:rFonts w:ascii="Times New Roman" w:hAnsi="Times New Roman" w:cs="Times New Roman"/>
                <w:b/>
                <w:bCs/>
                <w:szCs w:val="20"/>
              </w:rPr>
              <w:t>olume (cm</w:t>
            </w:r>
            <w:r w:rsidRPr="00EC0D34">
              <w:rPr>
                <w:rFonts w:ascii="Times New Roman" w:hAnsi="Times New Roman" w:cs="Times New Roman"/>
                <w:b/>
                <w:bCs/>
                <w:szCs w:val="20"/>
                <w:vertAlign w:val="superscript"/>
              </w:rPr>
              <w:t xml:space="preserve">3 </w:t>
            </w:r>
            <w:r w:rsidRPr="00EC0D34">
              <w:rPr>
                <w:rFonts w:ascii="Times New Roman" w:hAnsi="Times New Roman" w:cs="Times New Roman"/>
                <w:b/>
                <w:bCs/>
                <w:szCs w:val="20"/>
              </w:rPr>
              <w:t>g</w:t>
            </w:r>
            <w:r w:rsidRPr="00EC0D34">
              <w:rPr>
                <w:rFonts w:ascii="Times New Roman" w:hAnsi="Times New Roman" w:cs="Times New Roman"/>
                <w:b/>
                <w:bCs/>
                <w:szCs w:val="20"/>
                <w:vertAlign w:val="superscript"/>
              </w:rPr>
              <w:t>-1</w:t>
            </w:r>
            <w:r w:rsidRPr="00EC0D34">
              <w:rPr>
                <w:rFonts w:ascii="Times New Roman" w:hAnsi="Times New Roman" w:cs="Times New Roman"/>
                <w:b/>
                <w:bCs/>
                <w:szCs w:val="20"/>
              </w:rPr>
              <w:t>)</w:t>
            </w:r>
          </w:p>
        </w:tc>
        <w:tc>
          <w:tcPr>
            <w:tcW w:w="1075" w:type="dxa"/>
            <w:tcBorders>
              <w:top w:val="single" w:sz="4" w:space="0" w:color="auto"/>
              <w:bottom w:val="single" w:sz="4" w:space="0" w:color="auto"/>
            </w:tcBorders>
            <w:vAlign w:val="center"/>
          </w:tcPr>
          <w:p w14:paraId="335A4798" w14:textId="59943DC9" w:rsidR="003A10A1" w:rsidRPr="00EC0D34" w:rsidRDefault="003218D3" w:rsidP="00C63D13">
            <w:pPr>
              <w:jc w:val="center"/>
              <w:rPr>
                <w:rFonts w:ascii="Times New Roman" w:hAnsi="Times New Roman" w:cs="Times New Roman"/>
                <w:b/>
                <w:bCs/>
                <w:szCs w:val="20"/>
              </w:rPr>
            </w:pPr>
            <w:r w:rsidRPr="00EC0D34">
              <w:rPr>
                <w:rFonts w:ascii="Times New Roman" w:hAnsi="Times New Roman" w:cs="Times New Roman"/>
                <w:b/>
                <w:bCs/>
                <w:szCs w:val="20"/>
              </w:rPr>
              <w:t xml:space="preserve">Average </w:t>
            </w:r>
            <w:r w:rsidR="00EC0D34" w:rsidRPr="00EC0D34">
              <w:rPr>
                <w:rFonts w:ascii="Times New Roman" w:hAnsi="Times New Roman" w:cs="Times New Roman"/>
                <w:b/>
                <w:bCs/>
                <w:szCs w:val="20"/>
              </w:rPr>
              <w:t xml:space="preserve">Pore Size </w:t>
            </w:r>
            <w:r w:rsidR="003A10A1" w:rsidRPr="00EC0D34">
              <w:rPr>
                <w:rFonts w:ascii="Times New Roman" w:hAnsi="Times New Roman" w:cs="Times New Roman"/>
                <w:b/>
                <w:bCs/>
                <w:szCs w:val="20"/>
              </w:rPr>
              <w:t>(nm)</w:t>
            </w:r>
          </w:p>
        </w:tc>
        <w:tc>
          <w:tcPr>
            <w:tcW w:w="860" w:type="dxa"/>
            <w:tcBorders>
              <w:top w:val="single" w:sz="4" w:space="0" w:color="auto"/>
              <w:bottom w:val="single" w:sz="4" w:space="0" w:color="auto"/>
            </w:tcBorders>
            <w:vAlign w:val="center"/>
          </w:tcPr>
          <w:p w14:paraId="270D8852" w14:textId="1C84F290"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C (at%)</w:t>
            </w:r>
          </w:p>
        </w:tc>
        <w:tc>
          <w:tcPr>
            <w:tcW w:w="860" w:type="dxa"/>
            <w:tcBorders>
              <w:top w:val="single" w:sz="4" w:space="0" w:color="auto"/>
              <w:bottom w:val="single" w:sz="4" w:space="0" w:color="auto"/>
            </w:tcBorders>
            <w:vAlign w:val="center"/>
          </w:tcPr>
          <w:p w14:paraId="4D338974" w14:textId="77777777"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N (at%)</w:t>
            </w:r>
          </w:p>
        </w:tc>
        <w:tc>
          <w:tcPr>
            <w:tcW w:w="860" w:type="dxa"/>
            <w:tcBorders>
              <w:top w:val="single" w:sz="4" w:space="0" w:color="auto"/>
              <w:bottom w:val="single" w:sz="4" w:space="0" w:color="auto"/>
            </w:tcBorders>
            <w:vAlign w:val="center"/>
          </w:tcPr>
          <w:p w14:paraId="4D2D14E9" w14:textId="77777777" w:rsidR="003A10A1" w:rsidRPr="00EC0D34" w:rsidRDefault="003A10A1" w:rsidP="00F66C90">
            <w:pPr>
              <w:jc w:val="center"/>
              <w:rPr>
                <w:rFonts w:ascii="Times New Roman" w:hAnsi="Times New Roman" w:cs="Times New Roman"/>
                <w:b/>
                <w:bCs/>
                <w:szCs w:val="20"/>
              </w:rPr>
            </w:pPr>
            <w:r w:rsidRPr="00EC0D34">
              <w:rPr>
                <w:rFonts w:ascii="Times New Roman" w:hAnsi="Times New Roman" w:cs="Times New Roman"/>
                <w:b/>
                <w:bCs/>
                <w:szCs w:val="20"/>
              </w:rPr>
              <w:t>O (at%)</w:t>
            </w:r>
          </w:p>
        </w:tc>
      </w:tr>
      <w:tr w:rsidR="00EC0D34" w:rsidRPr="00EC0D34" w14:paraId="6F8A25E0" w14:textId="77777777" w:rsidTr="00EC0D34">
        <w:trPr>
          <w:trHeight w:val="49"/>
          <w:jc w:val="center"/>
        </w:trPr>
        <w:tc>
          <w:tcPr>
            <w:tcW w:w="1146" w:type="dxa"/>
            <w:tcBorders>
              <w:top w:val="single" w:sz="4" w:space="0" w:color="auto"/>
            </w:tcBorders>
            <w:vAlign w:val="center"/>
          </w:tcPr>
          <w:p w14:paraId="5F52A7DD"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TNPC800</w:t>
            </w:r>
          </w:p>
        </w:tc>
        <w:tc>
          <w:tcPr>
            <w:tcW w:w="860" w:type="dxa"/>
            <w:tcBorders>
              <w:top w:val="single" w:sz="4" w:space="0" w:color="auto"/>
            </w:tcBorders>
            <w:vAlign w:val="center"/>
          </w:tcPr>
          <w:p w14:paraId="00FEAE71"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416.1</w:t>
            </w:r>
          </w:p>
        </w:tc>
        <w:tc>
          <w:tcPr>
            <w:tcW w:w="859" w:type="dxa"/>
            <w:tcBorders>
              <w:top w:val="single" w:sz="4" w:space="0" w:color="auto"/>
            </w:tcBorders>
            <w:vAlign w:val="center"/>
          </w:tcPr>
          <w:p w14:paraId="4576E0C5"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235.55</w:t>
            </w:r>
          </w:p>
        </w:tc>
        <w:tc>
          <w:tcPr>
            <w:tcW w:w="1146" w:type="dxa"/>
            <w:tcBorders>
              <w:top w:val="single" w:sz="4" w:space="0" w:color="auto"/>
            </w:tcBorders>
            <w:vAlign w:val="center"/>
          </w:tcPr>
          <w:p w14:paraId="7C99B67D"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180.55</w:t>
            </w:r>
          </w:p>
        </w:tc>
        <w:tc>
          <w:tcPr>
            <w:tcW w:w="716" w:type="dxa"/>
            <w:tcBorders>
              <w:top w:val="single" w:sz="4" w:space="0" w:color="auto"/>
            </w:tcBorders>
            <w:vAlign w:val="center"/>
          </w:tcPr>
          <w:p w14:paraId="7158FBC7" w14:textId="04266AE1"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0.43</w:t>
            </w:r>
          </w:p>
        </w:tc>
        <w:tc>
          <w:tcPr>
            <w:tcW w:w="1002" w:type="dxa"/>
            <w:tcBorders>
              <w:top w:val="single" w:sz="4" w:space="0" w:color="auto"/>
            </w:tcBorders>
            <w:vAlign w:val="center"/>
          </w:tcPr>
          <w:p w14:paraId="5D6FA7B2" w14:textId="62827F82" w:rsidR="003A10A1" w:rsidRPr="00EC0D34" w:rsidRDefault="00F074BD" w:rsidP="00EC0D34">
            <w:pPr>
              <w:jc w:val="center"/>
              <w:rPr>
                <w:rFonts w:ascii="Times New Roman" w:hAnsi="Times New Roman" w:cs="Times New Roman"/>
                <w:szCs w:val="20"/>
              </w:rPr>
            </w:pPr>
            <w:r w:rsidRPr="00EC0D34">
              <w:rPr>
                <w:rFonts w:ascii="Times New Roman" w:hAnsi="Times New Roman" w:cs="Times New Roman"/>
                <w:szCs w:val="20"/>
              </w:rPr>
              <w:t>0.64</w:t>
            </w:r>
          </w:p>
        </w:tc>
        <w:tc>
          <w:tcPr>
            <w:tcW w:w="1075" w:type="dxa"/>
            <w:tcBorders>
              <w:top w:val="single" w:sz="4" w:space="0" w:color="auto"/>
            </w:tcBorders>
            <w:vAlign w:val="center"/>
          </w:tcPr>
          <w:p w14:paraId="6E140AFD" w14:textId="28E467D2"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6.12</w:t>
            </w:r>
          </w:p>
        </w:tc>
        <w:tc>
          <w:tcPr>
            <w:tcW w:w="860" w:type="dxa"/>
            <w:tcBorders>
              <w:top w:val="single" w:sz="4" w:space="0" w:color="auto"/>
            </w:tcBorders>
            <w:vAlign w:val="center"/>
          </w:tcPr>
          <w:p w14:paraId="427030C1" w14:textId="0F132F8E"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92.96</w:t>
            </w:r>
          </w:p>
        </w:tc>
        <w:tc>
          <w:tcPr>
            <w:tcW w:w="860" w:type="dxa"/>
            <w:tcBorders>
              <w:top w:val="single" w:sz="4" w:space="0" w:color="auto"/>
            </w:tcBorders>
            <w:vAlign w:val="center"/>
          </w:tcPr>
          <w:p w14:paraId="650B39C6"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3.54</w:t>
            </w:r>
          </w:p>
        </w:tc>
        <w:tc>
          <w:tcPr>
            <w:tcW w:w="860" w:type="dxa"/>
            <w:tcBorders>
              <w:top w:val="single" w:sz="4" w:space="0" w:color="auto"/>
            </w:tcBorders>
            <w:vAlign w:val="center"/>
          </w:tcPr>
          <w:p w14:paraId="7AB43CB7"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2.88</w:t>
            </w:r>
          </w:p>
        </w:tc>
      </w:tr>
      <w:tr w:rsidR="00EC0D34" w:rsidRPr="00EC0D34" w14:paraId="42971BB8" w14:textId="77777777" w:rsidTr="00EC0D34">
        <w:trPr>
          <w:trHeight w:val="59"/>
          <w:jc w:val="center"/>
        </w:trPr>
        <w:tc>
          <w:tcPr>
            <w:tcW w:w="1146" w:type="dxa"/>
            <w:vAlign w:val="center"/>
          </w:tcPr>
          <w:p w14:paraId="21DBE3B6"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TNPC900</w:t>
            </w:r>
          </w:p>
        </w:tc>
        <w:tc>
          <w:tcPr>
            <w:tcW w:w="860" w:type="dxa"/>
            <w:vAlign w:val="center"/>
          </w:tcPr>
          <w:p w14:paraId="0BBB6ECC"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495.97</w:t>
            </w:r>
          </w:p>
        </w:tc>
        <w:tc>
          <w:tcPr>
            <w:tcW w:w="859" w:type="dxa"/>
            <w:vAlign w:val="center"/>
          </w:tcPr>
          <w:p w14:paraId="30964BFF"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214.77</w:t>
            </w:r>
          </w:p>
        </w:tc>
        <w:tc>
          <w:tcPr>
            <w:tcW w:w="1146" w:type="dxa"/>
            <w:vAlign w:val="center"/>
          </w:tcPr>
          <w:p w14:paraId="10EE3ED8"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281.20</w:t>
            </w:r>
          </w:p>
        </w:tc>
        <w:tc>
          <w:tcPr>
            <w:tcW w:w="716" w:type="dxa"/>
            <w:vAlign w:val="center"/>
          </w:tcPr>
          <w:p w14:paraId="25A07800" w14:textId="6B35397D"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0.57</w:t>
            </w:r>
          </w:p>
        </w:tc>
        <w:tc>
          <w:tcPr>
            <w:tcW w:w="1002" w:type="dxa"/>
            <w:vAlign w:val="center"/>
          </w:tcPr>
          <w:p w14:paraId="4295621B" w14:textId="52606368" w:rsidR="003A10A1" w:rsidRPr="00EC0D34" w:rsidRDefault="00F074BD" w:rsidP="00EC0D34">
            <w:pPr>
              <w:jc w:val="center"/>
              <w:rPr>
                <w:rFonts w:ascii="Times New Roman" w:hAnsi="Times New Roman" w:cs="Times New Roman"/>
                <w:szCs w:val="20"/>
              </w:rPr>
            </w:pPr>
            <w:r w:rsidRPr="00EC0D34">
              <w:rPr>
                <w:rFonts w:ascii="Times New Roman" w:hAnsi="Times New Roman" w:cs="Times New Roman"/>
                <w:szCs w:val="20"/>
              </w:rPr>
              <w:t>0.67</w:t>
            </w:r>
          </w:p>
        </w:tc>
        <w:tc>
          <w:tcPr>
            <w:tcW w:w="1075" w:type="dxa"/>
            <w:vAlign w:val="center"/>
          </w:tcPr>
          <w:p w14:paraId="38E02586" w14:textId="340F1B41"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5.43</w:t>
            </w:r>
          </w:p>
        </w:tc>
        <w:tc>
          <w:tcPr>
            <w:tcW w:w="860" w:type="dxa"/>
            <w:vAlign w:val="center"/>
          </w:tcPr>
          <w:p w14:paraId="1E9431F0" w14:textId="77880978"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91.85</w:t>
            </w:r>
          </w:p>
        </w:tc>
        <w:tc>
          <w:tcPr>
            <w:tcW w:w="860" w:type="dxa"/>
            <w:vAlign w:val="center"/>
          </w:tcPr>
          <w:p w14:paraId="364C8BF8"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2.80</w:t>
            </w:r>
          </w:p>
        </w:tc>
        <w:tc>
          <w:tcPr>
            <w:tcW w:w="860" w:type="dxa"/>
            <w:vAlign w:val="center"/>
          </w:tcPr>
          <w:p w14:paraId="31A28362"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3.99</w:t>
            </w:r>
          </w:p>
        </w:tc>
      </w:tr>
      <w:tr w:rsidR="00EC0D34" w:rsidRPr="00EC0D34" w14:paraId="4BB7232E" w14:textId="77777777" w:rsidTr="00EC0D34">
        <w:trPr>
          <w:trHeight w:val="59"/>
          <w:jc w:val="center"/>
        </w:trPr>
        <w:tc>
          <w:tcPr>
            <w:tcW w:w="1146" w:type="dxa"/>
            <w:tcBorders>
              <w:bottom w:val="single" w:sz="4" w:space="0" w:color="auto"/>
            </w:tcBorders>
            <w:vAlign w:val="center"/>
          </w:tcPr>
          <w:p w14:paraId="3A0F48DF"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TNPC1000</w:t>
            </w:r>
          </w:p>
        </w:tc>
        <w:tc>
          <w:tcPr>
            <w:tcW w:w="860" w:type="dxa"/>
            <w:tcBorders>
              <w:bottom w:val="single" w:sz="4" w:space="0" w:color="auto"/>
            </w:tcBorders>
            <w:vAlign w:val="center"/>
          </w:tcPr>
          <w:p w14:paraId="776B637B"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207.76</w:t>
            </w:r>
          </w:p>
        </w:tc>
        <w:tc>
          <w:tcPr>
            <w:tcW w:w="859" w:type="dxa"/>
            <w:tcBorders>
              <w:bottom w:val="single" w:sz="4" w:space="0" w:color="auto"/>
            </w:tcBorders>
            <w:vAlign w:val="center"/>
          </w:tcPr>
          <w:p w14:paraId="6DD46908"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54.36</w:t>
            </w:r>
          </w:p>
        </w:tc>
        <w:tc>
          <w:tcPr>
            <w:tcW w:w="1146" w:type="dxa"/>
            <w:tcBorders>
              <w:bottom w:val="single" w:sz="4" w:space="0" w:color="auto"/>
            </w:tcBorders>
            <w:vAlign w:val="center"/>
          </w:tcPr>
          <w:p w14:paraId="08CE41C9" w14:textId="1973ABC9"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153.40</w:t>
            </w:r>
          </w:p>
        </w:tc>
        <w:tc>
          <w:tcPr>
            <w:tcW w:w="716" w:type="dxa"/>
            <w:tcBorders>
              <w:bottom w:val="single" w:sz="4" w:space="0" w:color="auto"/>
            </w:tcBorders>
            <w:vAlign w:val="center"/>
          </w:tcPr>
          <w:p w14:paraId="2607CABD" w14:textId="0E0FBA28"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0.74</w:t>
            </w:r>
          </w:p>
        </w:tc>
        <w:tc>
          <w:tcPr>
            <w:tcW w:w="1002" w:type="dxa"/>
            <w:tcBorders>
              <w:bottom w:val="single" w:sz="4" w:space="0" w:color="auto"/>
            </w:tcBorders>
            <w:vAlign w:val="center"/>
          </w:tcPr>
          <w:p w14:paraId="0097B3E0" w14:textId="3C1CC4FF" w:rsidR="003A10A1" w:rsidRPr="00EC0D34" w:rsidRDefault="00F074BD" w:rsidP="00EC0D34">
            <w:pPr>
              <w:jc w:val="center"/>
              <w:rPr>
                <w:rFonts w:ascii="Times New Roman" w:hAnsi="Times New Roman" w:cs="Times New Roman"/>
                <w:szCs w:val="20"/>
              </w:rPr>
            </w:pPr>
            <w:r w:rsidRPr="00EC0D34">
              <w:rPr>
                <w:rFonts w:ascii="Times New Roman" w:hAnsi="Times New Roman" w:cs="Times New Roman"/>
                <w:szCs w:val="20"/>
              </w:rPr>
              <w:t>0.49</w:t>
            </w:r>
          </w:p>
        </w:tc>
        <w:tc>
          <w:tcPr>
            <w:tcW w:w="1075" w:type="dxa"/>
            <w:tcBorders>
              <w:bottom w:val="single" w:sz="4" w:space="0" w:color="auto"/>
            </w:tcBorders>
            <w:vAlign w:val="center"/>
          </w:tcPr>
          <w:p w14:paraId="7F955F21" w14:textId="7D74B02D"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9.43</w:t>
            </w:r>
          </w:p>
        </w:tc>
        <w:tc>
          <w:tcPr>
            <w:tcW w:w="860" w:type="dxa"/>
            <w:tcBorders>
              <w:bottom w:val="single" w:sz="4" w:space="0" w:color="auto"/>
            </w:tcBorders>
            <w:vAlign w:val="center"/>
          </w:tcPr>
          <w:p w14:paraId="01D40351" w14:textId="5B163FAB"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93.39</w:t>
            </w:r>
          </w:p>
        </w:tc>
        <w:tc>
          <w:tcPr>
            <w:tcW w:w="860" w:type="dxa"/>
            <w:tcBorders>
              <w:bottom w:val="single" w:sz="4" w:space="0" w:color="auto"/>
            </w:tcBorders>
            <w:vAlign w:val="center"/>
          </w:tcPr>
          <w:p w14:paraId="3D8FE19D"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1.54</w:t>
            </w:r>
          </w:p>
        </w:tc>
        <w:tc>
          <w:tcPr>
            <w:tcW w:w="860" w:type="dxa"/>
            <w:tcBorders>
              <w:bottom w:val="single" w:sz="4" w:space="0" w:color="auto"/>
            </w:tcBorders>
            <w:vAlign w:val="center"/>
          </w:tcPr>
          <w:p w14:paraId="53CF1DCD" w14:textId="77777777" w:rsidR="003A10A1" w:rsidRPr="00EC0D34" w:rsidRDefault="003A10A1" w:rsidP="00EC0D34">
            <w:pPr>
              <w:jc w:val="center"/>
              <w:rPr>
                <w:rFonts w:ascii="Times New Roman" w:hAnsi="Times New Roman" w:cs="Times New Roman"/>
                <w:szCs w:val="20"/>
              </w:rPr>
            </w:pPr>
            <w:r w:rsidRPr="00EC0D34">
              <w:rPr>
                <w:rFonts w:ascii="Times New Roman" w:hAnsi="Times New Roman" w:cs="Times New Roman"/>
                <w:szCs w:val="20"/>
              </w:rPr>
              <w:t>3.86</w:t>
            </w:r>
          </w:p>
        </w:tc>
      </w:tr>
    </w:tbl>
    <w:p w14:paraId="3CD842CF" w14:textId="6649F999" w:rsidR="00354C20" w:rsidRPr="00EC0D34" w:rsidRDefault="00354C20" w:rsidP="008C39DC">
      <w:pPr>
        <w:outlineLvl w:val="0"/>
        <w:rPr>
          <w:rFonts w:ascii="Times New Roman" w:hAnsi="Times New Roman" w:cs="Times New Roman"/>
          <w:b/>
          <w:szCs w:val="20"/>
        </w:rPr>
      </w:pPr>
    </w:p>
    <w:p w14:paraId="2A659618" w14:textId="7B723828" w:rsidR="006E61C3" w:rsidRPr="00EC0D34" w:rsidRDefault="006E61C3" w:rsidP="006E61C3">
      <w:pPr>
        <w:rPr>
          <w:rFonts w:ascii="Times New Roman" w:hAnsi="Times New Roman" w:cs="Times New Roman"/>
          <w:szCs w:val="20"/>
          <w:lang w:val="en-GB"/>
        </w:rPr>
      </w:pPr>
      <w:r w:rsidRPr="00EC0D34">
        <w:rPr>
          <w:rFonts w:ascii="Times New Roman" w:hAnsi="Times New Roman" w:cs="Times New Roman"/>
          <w:szCs w:val="20"/>
          <w:lang w:val="en-GB"/>
        </w:rPr>
        <w:t xml:space="preserve">The surface compositions and bonding states of all samples were analysed by XPS. Figure 2(a) displays the survey scans of TNPC samples. C 1s, N 1s, and O 1s were identified at binding energies around 284, 400, and 532 eV. The presence of a small N 1s signal indicated that nitrogen was successfully doped into carbon. The estimated elemental content is listed in Table 1. The nitrogen content can be as high 3.54 at% for TNPC800 and as low as 1.54 at% for TNPC1000, indicating that increased temperature significantly affected nitrogen doping. High-resolution scans of N 1s were further performed to investigate its chemical structure and deconvoluted into three peaks, as exemplified in Figure 2(b). The peaks at 398.4, 400.0, and 401.5 eV corresponded with pyridinic-N, pyrrolic-N, and graphitic-N, respectively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{"citationItems":[{"id":"ITEM-1","itemData":{"DOI":"10.1007/s10008-016-3157-z","ISSN":"14328488","abstract":"In this work, a low-cost, high-performance, and environmentally friendly metal-free electrocatalyst based on N-doped carbon nanosheets (NCNs) was fabricated via the one-step pyrolysis of cheap corn starch and urea for the oxygen reduction reaction (ORR) in alkaline and acidic media. The results indicate that the nitrogen could be simply embedded into the carbon nanosheets by pyrolysis process. The effects of annealing temperature and raw material on NCN’s structure and electrocatalytic properties were investigated to optimize the preparation process. The results show that the total nitrogen content decreases while Brunauer–Emmett–Teller (BET) surface area, crystallization degree, graphitization degree, and electrical conductivity increase with the increase of pyrolysis temperature from 800 to 1000 °C. The measurements on the ORR activities by rotating disk electrode (RDE) in alkaline media (0.1 M KOH) and acidic media (0.5 M H2SO4) were investigated, and a nearly four-electron reaction pathway was observed. In comparison to commercial 20 % Pt/C catalyst (Pt/C), NCN exhibited excellent ORR electrocatalytic activity, methanol tolerant ability, and stability, making them promising metal-free alternative to Pt-based cathode catalysts in fuel cells. In addition, the findings obtained from this study may provide a scalable fabrication method for preparation of such low cost and high-efficiency metal-free oxygen reduction electrocatalyst derived from cheap biomass-based molecules.","author":[{"dropping-particle":"","family":"Zhao","given":"Qiuping","non-dropping-particle":"","parse-names":false,"suffix":""},{"dropping-particle":"","family":"Ma","given":"Qin","non-dropping-particle":"","parse-names":false,"suffix":""},{"dropping-particle":"","family":"Pan","given":"Fuping","non-dropping-particle":"","parse-names":false,"suffix":""},{"dropping-particle":"","family":"Wang","given":"Zhengmin","non-dropping-particle":"","parse-names":false,"suffix":""},{"dropping-particle":"","family":"Yang","given":"Baoping","non-dropping-particle":"","parse-names":false,"suffix":""},{"dropping-particle":"","family":"Zhang","given":"Jianqiang","non-dropping-particle":"","parse-names":false,"suffix":""},{"dropping-particle":"","family":"Zhang","given":"Junyan","non-dropping-particle":"","parse-names":false,"suffix":""}],"container-title":"Journal of Solid State Electrochemistry","id":"ITEM-1","issue":"5","issued":{"date-parts":[["2016","5","24"]]},"page":"1469-1479","publisher":"Springer Berlin Heidelberg","title":"Facile synthesis of nitrogen-doped carbon nanosheets as metal-free catalyst with excellent oxygen reduction performance in alkaline and acidic media","type":"article-journal","volume":"20"},"uris":["http://www.mendeley.com/documents/?uuid=3fae18f0-29e9-3b04-9202-38338901acb3"]},{"id":"ITEM-2","itemData":{"DOI":"10.1039/c9nj01997a","ISSN":"13699261","abstract":"High-level nitrogen-doped (&gt;10 at%), high-surface-area (&gt;1600 m2 g-1) micro/mesoporous carbon derived from coconut mesocarp was prepared by a solvent-free ball-milling process using melamine as a solid-state nitrogen dopant and potassium bicarbonate as a safe and green activating agent. Synergistic nitrogen doping and pore formation maximize the nitrogen doping concentration/specific surface area/pore volume and minimize the pore blockage. This nitrogen-doped porous carbon exhibits comparable catalytic activity for the oxygen reduction reaction (ORR) to the commercial Pt/C catalyst in terms of the onset potential and the current density and exhibits superior stability and methanol tolerance to the benchmark catalyst, thanks to its optimized reaction surface area.","author":[{"dropping-particle":"","family":"Zhang","given":"Wendu","non-dropping-particle":"","parse-names":false,"suffix":""},{"dropping-particle":"","family":"Qi","given":"Jiawei","non-dropping-particle":"","parse-names":false,"suffix":""},{"dropping-particle":"","family":"Bai","given":"Peiyao","non-dropping-particle":"","parse-names":false,"suffix":""},{"dropping-particle":"","family":"Wang","given":"Huifen","non-dropping-particle":"","parse-names":false,"suffix":""},{"dropping-particle":"","family":"Xu","given":"Lang","non-dropping-particle":"","parse-names":false,"suffix":""}],"container-title":"New Journal of Chemistry","id":"ITEM-2","issue":"27","issued":{"date-parts":[["2019"]]},"page":"10878-10886","publisher":"Royal Society of Chemistry","title":"High-level nitrogen-doped, micro/mesoporous carbon as an efficient metal-free electrocatalyst for the oxygen reduction reaction: Optimizing the reaction surface area by a solvent-free mechanochemical method","type":"article-journal","volume":"43"},"uris":["http://www.mendeley.com/documents/?uuid=445a3262-333d-40df-b744-42de82c9a785"]}],"mendeley":{"formattedCitation":"[25,26]","plainTextFormattedCitation":"[25,26]","previouslyFormattedCitation":"[25,26]"},"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[25,</w:t>
      </w:r>
      <w:r w:rsid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26]</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Pyridinic-N is when two carbon atoms located at the edge of graphitic planes are bound to the nitrogen atom, whereas pyrrolic-N is the nitrogen atom incorporated into the pentagonal ring. Meanwhile, graphitic-N is when a nitrogen atom replaces a carbon atom and bonded with three </w:t>
      </w:r>
      <w:r w:rsidRPr="00EC0D34">
        <w:rPr>
          <w:rFonts w:ascii="Times New Roman" w:hAnsi="Times New Roman" w:cs="Times New Roman"/>
          <w:szCs w:val="20"/>
          <w:lang w:val="en-GB"/>
        </w:rPr>
        <w:lastRenderedPageBreak/>
        <w:t xml:space="preserve">carbon atoms in the graphene layer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{"citationItems":[{"id":"ITEM-1","itemData":{"DOI":"10.1021/acs.jpcc.9b02163","ISSN":"19327455","abstract":"Doping and functionalization of graphene significantly modulate its properties and extend its application potential. Detailed and accurate chemical characterization of the final material is critical for understanding its properties and reliable design of new graphene derivatives. Spectroscopic methods commonly used for this purpose include Raman, Fourier transform infrared (IR), and X-ray photoelectron spectroscopy (XPS). However, the correct interpretation of observed bands is sometimes hampered by ambiguities when assigning measured binding energies or IR/Raman peaks to specific atomic structures. N-doped graphene has many potential applications but can contain several different chemical forms of nitrogen whose relative abundance strongly affects the doped material's properties. We present clear spectroscopic fingerprints of the various chemical forms of nitrogen that can occur in N-doped/functionalized graphene to facilitate the identification and quantification of the different forms of N present in experimentally prepared samples. The calculated XPS binding energies of the N 1s state for graphitic, pyrrolic, pyridinic, and chemisorbed nitrogen in N-doped graphene are 401.5, 399.7, 397.9, and 396.6 eV, respectively, and hydrogenation of pyridinic N shifts its peak to 400.5 eV.","author":[{"dropping-particle":"","family":"Lazar","given":"Petr","non-dropping-particle":"","parse-names":false,"suffix":""},{"dropping-particle":"","family":"Mach","given":"Radim","non-dropping-particle":"","parse-names":false,"suffix":""},{"dropping-particle":"","family":"Otyepka","given":"Michal","non-dropping-particle":"","parse-names":false,"suffix":""}],"container-title":"Journal of Physical Chemistry C","genre":"research-article","id":"ITEM-1","issue":"16","issued":{"date-parts":[["2019"]]},"page":"10695-10702","publisher":"American Chemical Society","title":"Spectroscopic Fingerprints of Graphitic, Pyrrolic, Pyridinic, and Chemisorbed Nitrogen in N-Doped Graphene","type":"article-journal","volume":"123"},"uris":["http://www.mendeley.com/documents/?uuid=dfe94e3a-4058-40e2-a862-076ecef4a03a"]},{"id":"ITEM-2","itemData":{"DOI":"10.1016/j.ijhydene.2019.09.066","ISSN":"03603199","abstract":"Highly active nitrogen-doped carbon xerogel (N-CX) electrocatalysts for the oxygen reduction reaction (ORR) were synthesized through a simple sol-gel method. The N-CX samples are prepared using resorcinol – formaldehyde resin as the carbon precursor and dicyandiamide as the nitrogen precursor. The N-CX samples carbonized at different temperatures are inspected to interpret the effect of the high-temperature conditions towards the structures and ORR activity of the final products. As-prepared N-CX samples with different carbonized temperatures are characterized via X-ray photoelectron spectroscopy (XPS), X-ray diffractometry and Raman spectroscopy. The N-CX sample carbonized at 800 °C demonstrated the greatest ORR activity, and the structural properties and catalytic activities of the catalyst are then further improved by insertion of cobalt metal under an ammonia atmosphere. Metal doping evidently promotes the catalytic activity of the N-CX catalyst. Raman and XPS studies show that cobalt increases the creation of pyridinic-N and quaternary-N groups through the formation of more graphitic structures. The ammonia atmosphere is demonstrated to act as an additional N source by increasing the total N content in the carbon structure after high temperature treatment of the N-CX catalyst. Metal-N-like and metal carbide configurations generated play a role in catalyst production with high catalytic activity.","author":[{"dropping-particle":"","family":"Zainul Abidin","given":"Azim Fitri","non-dropping-particle":"","parse-names":false,"suffix":""},{"dropping-particle":"","family":"Loh","given":"Kee Shyuan","non-dropping-particle":"","parse-names":false,"suffix":""},{"dropping-particle":"","family":"Wong","given":"Wai Yin","non-dropping-particle":"","parse-names":false,"suffix":""},{"dropping-particle":"","family":"Mohamad","given":"Abu Bakar","non-dropping-particle":"","parse-names":false,"suffix":""}],"container-title":"International Journal of Hydrogen Energy","id":"ITEM-2","issue":"54","issued":{"date-parts":[["2019"]]},"page":"28789-28802","publisher":"Elsevier Ltd","title":"Nitrogen-doped carbon xerogels catalyst for oxygen reduction reaction: Improved structural and catalytic activity by enhancing nitrogen species and cobalt insertion","type":"article-journal","volume":"44"},"uris":["http://www.mendeley.com/documents/?uuid=36cd9312-eb19-4345-8b86-a43bfc924bd7"]}],"mendeley":{"formattedCitation":"[27,28]","plainTextFormattedCitation":"[27,28]","previouslyFormattedCitation":"[27,28]"},"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[27,</w:t>
      </w:r>
      <w:r w:rsid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28]</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As shown in Figure 2(c), pyridinic-N was the highest for TNPC900 followed by TNPC1000. Furthermore, the rise in temperature from 900 °C to 1000 °C reduced the contents of pyridinic-N slightly but significantly reduced pyrrolic-N. By contrast, the graphitic-N content rose to almost 50 at% at 1000 °C, which was attributed to the transformation of pyrrolic-N and fractional conversion of pyridinic-N into graphitic-N from the condensation of graphite rings at 1000 °C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{"citationItems":[{"id":"ITEM-1","itemData":{"DOI":"10.1021/nn302906r","ISSN":"19360851","PMID":"23020173","abstract":"Heat treating nitrogen-doped multiwalled carbon nanotubes containing up to six different types of nitrogen functionalities transforms particular nitrogen functionalities into other types which are more catalytically active toward oxygen reduction reactions (ORR). In the first stage, the unstable pyrrolic functionalities transform into pyridinic functionalities followed by an immediate transition into quaternary center and valley nitrogen functionalities. By measuring the electrocatalytic oxidation reduction current for the different samples, we achieve information on the catalytic activity connected to each type of nitrogen functionality. Through this, we conclude that quaternary nitrogen valley sites, N-Q valley, are the most active sites for ORR in N-CNTs. The number of electrons transferred in the ORR is determined from ring disk electrode and rotating ring disk electrode measurements. Our measurements indicate that the ORR processes proceed by a direct four-electron pathway for the N-Q valley and the pyridinic sites while it proceeds by an indirect two-electron pathway via hydrogen peroxide at the N-Q center sites. Our study gives both insights on the mechanism of ORR on different nitrogen functionalities in nitrogen-doped carbon nanostructures and it proposes how to treat samples to maximize the catalytic efficiency of such samples. © 2012 American Chemical Society.","author":[{"dropping-particle":"","family":"Sharifi","given":"Tiva","non-dropping-particle":"","parse-names":false,"suffix":""},{"dropping-particle":"","family":"Hu","given":"Guangzhi","non-dropping-particle":"","parse-names":false,"suffix":""},{"dropping-particle":"","family":"Jia","given":"Xueen","non-dropping-particle":"","parse-names":false,"suffix":""},{"dropping-particle":"","family":"Wågberg","given":"Thomas","non-dropping-particle":"","parse-names":false,"suffix":""}],"container-title":"ACS Nano","id":"ITEM-1","issue":"10","issued":{"date-parts":[["2012"]]},"page":"8904-8912","title":"Formation of active sites for oxygen reduction reactions by transformation of nitrogen functionalities in nitrogen-doped carbon nanotubes","type":"article-journal","volume":"6"},"uris":["http://www.mendeley.com/documents/?uuid=1b71385b-651d-44a6-a4bf-b5705bb6a58e"]}],"mendeley":{"formattedCitation":"[29]","plainTextFormattedCitation":"[29]","previouslyFormattedCitation":"[29]"},"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[29]</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Recent studies have reported that pyridinic-N and graphitic-N played important roles in enhancing ORR performance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 xml:space="preserve">ADDIN CSL_CITATION {"citationItems":[{"id":"ITEM-1","itemData":{"DOI":"10.1039/c5cp06970j","ISSN":"14639076","abstract":"Development of cheap, abundant and metal-free N-doped carbon materials as high efficiency oxygen reduction electrocatalysts is crucial for their practical applications in future fuel cell devices. Here, three-dimensional (3D) N-doped porous carbon (NPC) materials have been successfully developed by a simple template-assisted (e.g., SiO2 spheres) high temperature pyrolysis approach using shrimp-shell derived N-doped carbon nanodots (N-CNs) as carbon and nitrogen sources obtained through a facile hydrothermal method. The shrimp-shell derived N-CNs with a product yield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 xml:space="preserve">5% possess rich surface O- and N-containing functional groups and small nanodot sizes of 1.5-5.0 nm, which are mixed with surface acidification treated SiO2 spheres with an average diameter of </w:instrText>
      </w:r>
      <w:r w:rsidR="008F2167" w:rsidRPr="00EC0D34">
        <w:rPr>
          <w:rFonts w:ascii="Cambria Math" w:hAnsi="Cambria Math" w:cs="Cambria Math"/>
          <w:szCs w:val="20"/>
          <w:lang w:val="en-GB"/>
        </w:rPr>
        <w:instrText>∼</w:instrText>
      </w:r>
      <w:r w:rsidR="008F2167" w:rsidRPr="00EC0D34">
        <w:rPr>
          <w:rFonts w:ascii="Times New Roman" w:hAnsi="Times New Roman" w:cs="Times New Roman"/>
          <w:szCs w:val="20"/>
          <w:lang w:val="en-GB"/>
        </w:rPr>
        <w:instrText>200 nm in aqueous solution to form a N-CNs@SiO2 composite subjected to a thermal evaporation treatment. The resultant N-CNs@SiO2 composite is further thermally treated in a N2 atmosphere at different pyrolysis temperatures, followed by acid etching, to obtain 3D N-doped porous carbon (NPC) materials. As electrocatalysts for oxygen reduction reaction (ORR) in alkaline media, the experimental results demonstrate that 3D NPC obtained at 800°C (NPC-800) with a surface area of 360.2 m2 g-1 exhibits the best ORR catalytic activity with an onset potential of -0.06 V, a half wave potential of -0.21 V and a large limiting current density of 5.3 mA cm-2 (at -0.4 V, vs. Ag/AgCl) among all NPC materials investigated, comparable to that of the commercial Pt/C catalyst with an onset potential of -0.03 V, a half wave potential of -0.17 V and a limiting current density of 5.5 mA cm-2 at -0.4 V. Such a 3D porous carbon ORR electrocatalyst also displays superior durability and high methanol tolerance in alkaline media, apparently better than the commercial Pt/C catalyst. The findings of this work would be valuable for the development of low-cost and abundant N-doped carbon materials from biomass as high performance metal-free electrocatalysts.","author":[{"dropping-particle":"","family":"Liu","given":"Rongrong","non-dropping-particle":"","parse-names":false,"suffix":""},{"dropping-particle":"","family":"Zhang","given":"Haimin","non-dropping-particle":"","parse-names":false,"suffix":""},{"dropping-particle":"","family":"Liu","given":"Shengwen","non-dropping-particle":"","parse-names":false,"suffix":""},{"dropping-particle":"","family":"Zhang","given":"Xian","non-dropping-particle":"","parse-names":false,"suffix":""},{"dropping-particle":"","family":"Wu","given":"Tianxing","non-dropping-particle":"","parse-names":false,"suffix":""},{"dropping-particle":"","family":"Ge","given":"Xiao","non-dropping-particle":"","parse-names":false,"suffix":""},{"dropping-particle":"","family":"Zang","given":"Yipeng","non-dropping-particle":"","parse-names":false,"suffix":""},{"dropping-particle":"","family":"Zhao","given":"Huijun","non-dropping-particle":"","parse-names":false,"suffix":""},{"dropping-particle":"","family":"Wang","given":"Guozhong","non-dropping-particle":"","parse-names":false,"suffix":""}],"container-title":"Physical Chemistry Chemical Physics","id":"ITEM-1","issue":"5","issued":{"date-parts":[["2016"]]},"page":"4095-4101","title":"Shrimp-shell derived carbon nanodots as carbon and nitrogen sources to fabricate three-dimensional N-doped porous carbon electrocatalysts for the oxygen reduction reaction","type":"article-journal","volume":"18"},"uris":["http://www.mendeley.com/documents/?uuid=eafec166-c312-4d78-a09c-cd2d92b50baa"]},{"id":"ITEM-2","itemData":{"DOI":"10.1016/j.jpowsour.2019.227356","ISSN":"03787753","abstract":"The waste shrimp shells (SS) were used as both carbon and nitrogen sources to directly synthesize N and P co-doped carbon networks with abundant mesopores and high specific surface area by simple acid pretreatment and carbonization. Using exogenous phosphorus as dopant, the prepared catalyst (PA-SS 900) favorably possessed a high oxygen reduction reaction (ORR) activity regarding half-wave potential (0.82 V) and limiting current (4.47 mA cm−2), which approached those of commercial 20 wt% Pt/C. For practical application in microbial fuel cell (MFC), the N, P co-doped PA-SS 900 achieved a maximum power density (MPD) of 802 mW m−2 and an open circuit voltage (OCV) of 653 mV, which also were close to that (892 mW m−2 and 752 mV) based on 20% Pt/C as cathode catalyst. Remarkably, the synthetic catalyst had a better long-term stability than that of 20% Pt/C in alkaline medium. These results demonstrated that N, P co-doped PA-SS 900 was an accessible and efficient ORR catalyst in air-cathode MFC for relatively desirable energy generation and wastewater treatment. Further, the direct utilization of waste shrimp shells replacing chitin or chitosan in energy conversion is worthy of in-depth study due to the advantages of simple process, environmental friendliness and availability.","author":[{"dropping-particle":"","family":"Zheng","given":"Feng Yi","non-dropping-particle":"","parse-names":false,"suffix":""},{"dropping-particle":"","family":"Li","given":"Ruisong","non-dropping-particle":"","parse-names":false,"suffix":""},{"dropping-particle":"","family":"Ge","given":"Shiyu","non-dropping-particle":"","parse-names":false,"suffix":""},{"dropping-particle":"","family":"Xu","given":"Wen Rong","non-dropping-particle":"","parse-names":false,"suffix":""},{"dropping-particle":"","family":"Zhang","given":"Yucang","non-dropping-particle":"","parse-names":false,"suffix":""}],"container-title":"Journal of Power Sources","id":"ITEM-2","issued":{"date-parts":[["2020","1","15"]]},"page":"227356","publisher":"Elsevier B.V.","title":"Nitrogen and phosphorus co-doped carbon networks derived from shrimp shells as an efficient oxygen reduction catalyst for microbial fuel cells","type":"article-journal","volume":"446"},"uris":["http://www.mendeley.com/documents/?uuid=a5d76cfb-5579-3c40-8e89-27464c94437b"]}],"mendeley":{"formattedCitation":"[30,31]","plainTextFormattedCitation":"[30,31]","previouslyFormattedCitation":"[30,31]"},"properties":{"noteIndex":0},"schema":"https://github.com/citation-style-language/schema/raw/master/csl-citation.json"}</w:instrText>
      </w:r>
      <w:r w:rsidRPr="00EC0D34">
        <w:rPr>
          <w:rFonts w:ascii="Times New Roman" w:hAnsi="Times New Roman" w:cs="Times New Roman"/>
          <w:szCs w:val="20"/>
          <w:lang w:val="en-GB"/>
        </w:rPr>
        <w:fldChar w:fldCharType="separate"/>
      </w:r>
      <w:r w:rsidR="008F2167" w:rsidRPr="00EC0D34">
        <w:rPr>
          <w:rFonts w:ascii="Times New Roman" w:hAnsi="Times New Roman" w:cs="Times New Roman"/>
          <w:noProof/>
          <w:szCs w:val="20"/>
          <w:lang w:val="en-GB"/>
        </w:rPr>
        <w:t>[30,</w:t>
      </w:r>
      <w:r w:rsidR="00EC0D34">
        <w:rPr>
          <w:rFonts w:ascii="Times New Roman" w:hAnsi="Times New Roman" w:cs="Times New Roman"/>
          <w:noProof/>
          <w:szCs w:val="20"/>
          <w:lang w:val="en-GB"/>
        </w:rPr>
        <w:t xml:space="preserve"> </w:t>
      </w:r>
      <w:r w:rsidR="008F2167" w:rsidRPr="00EC0D34">
        <w:rPr>
          <w:rFonts w:ascii="Times New Roman" w:hAnsi="Times New Roman" w:cs="Times New Roman"/>
          <w:noProof/>
          <w:szCs w:val="20"/>
          <w:lang w:val="en-GB"/>
        </w:rPr>
        <w:t>31]</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Pyridinic-N provided active sites and facilitated the dominant 2e</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lang w:val="en-GB"/>
        </w:rPr>
        <w:t xml:space="preserve"> to 4e</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lang w:val="en-GB"/>
        </w:rPr>
        <w:t xml:space="preserve"> process in the ORR mechanism, whereas graphitic-N promoted the reduction of oxygen to hydrogen peroxide by adsorbing OOH intermediates through a 2e- pathway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{"citationItems":[{"id":"ITEM-1","itemData":{"DOI":"10.1039/c2ee21802j","ISSN":"17545692","abstract":"We present two different ways to fabricate nitrogen-doped graphene (N-graphene) and demonstrate its use as a metal-free catalyst to study the catalytic active center for the oxygen reduction reaction (ORR). N-graphene was produced by annealing of graphene oxide (G-O) under ammonia or by annealing of a N-containing polymer/reduced graphene oxide (RG-O) composite (polyaniline/RG-O or polypyrrole/RG-O). The effects of the N precursors and annealing temperature on the performance of the catalyst were investigated. The bonding state of the N atom was found to have a significant effect on the selectivity and catalytic activity for ORR. Annealing of G-O with ammonia preferentially formed graphitic N and pyridinic N centers, while annealing of polyaniline/RG-O and polypyrrole/RG-O tended to generate pyridinic and pyrrolic N moieties, respectively. Most importantly, the electrocatalytic activity of the catalyst was found to be dependent on the graphitic N content which determined the limiting current density, while the pyridinic N content improved the onset potential for ORR. However, the total N content in the graphene-based non-precious metal catalyst does not play an important role in the ORR process. © 2012 The Royal Society of Chemistry.","author":[{"dropping-particle":"","family":"Lai","given":"Linfei","non-dropping-particle":"","parse-names":false,"suffix":""},{"dropping-particle":"","family":"Potts","given":"Jeffrey R.","non-dropping-particle":"","parse-names":false,"suffix":""},{"dropping-particle":"","family":"Zhan","given":"Da","non-dropping-particle":"","parse-names":false,"suffix":""},{"dropping-particle":"","family":"Wang","given":"Liang","non-dropping-particle":"","parse-names":false,"suffix":""},{"dropping-particle":"","family":"Poh","given":"Chee Kok","non-dropping-particle":"","parse-names":false,"suffix":""},{"dropping-particle":"","family":"Tang","given":"Chunhua","non-dropping-particle":"","parse-names":false,"suffix":""},{"dropping-particle":"","family":"Gong","given":"Hao","non-dropping-particle":"","parse-names":false,"suffix":""},{"dropping-particle":"","family":"Shen","given":"Zexiang","non-dropping-particle":"","parse-names":false,"suffix":""},{"dropping-particle":"","family":"Lin","given":"Jianyi","non-dropping-particle":"","parse-names":false,"suffix":""},{"dropping-particle":"","family":"Ruoff","given":"Rodney S.","non-dropping-particle":"","parse-names":false,"suffix":""}],"container-title":"Energy and Environmental Science","id":"ITEM-1","issue":"7","issued":{"date-parts":[["2012"]]},"page":"7936-7942","title":"Exploration of the active center structure of nitrogen-doped graphene-based catalysts for oxygen reduction reaction","type":"article-journal","volume":"5"},"uris":["http://www.mendeley.com/documents/?uuid=2483c1c6-8ced-494e-99ce-f89b4c0012b6"]}],"mendeley":{"formattedCitation":"[32]","plainTextFormattedCitation":"[32]","previouslyFormattedCitation":"[32]"},"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[32]</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w:t>
      </w:r>
    </w:p>
    <w:p w14:paraId="5547466D" w14:textId="77777777" w:rsidR="006E61C3" w:rsidRPr="00EC0D34" w:rsidRDefault="006E61C3" w:rsidP="00962503">
      <w:pPr>
        <w:rPr>
          <w:rFonts w:ascii="Times New Roman" w:hAnsi="Times New Roman" w:cs="Times New Roman"/>
          <w:szCs w:val="20"/>
        </w:rPr>
      </w:pPr>
    </w:p>
    <w:p w14:paraId="7036A66F" w14:textId="780758DC" w:rsidR="00041596" w:rsidRPr="00EC0D34" w:rsidRDefault="00E23590" w:rsidP="00EC0D34">
      <w:pPr>
        <w:jc w:val="center"/>
        <w:rPr>
          <w:rFonts w:ascii="Times New Roman" w:hAnsi="Times New Roman" w:cs="Times New Roman"/>
          <w:szCs w:val="20"/>
        </w:rPr>
      </w:pPr>
      <w:r w:rsidRPr="00EC0D34">
        <w:rPr>
          <w:noProof/>
        </w:rPr>
        <w:drawing>
          <wp:inline distT="0" distB="0" distL="0" distR="0" wp14:anchorId="235A18C9" wp14:editId="6294D15C">
            <wp:extent cx="5585460" cy="1459230"/>
            <wp:effectExtent l="19050" t="19050" r="152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5460" cy="1459230"/>
                    </a:xfrm>
                    <a:prstGeom prst="rect">
                      <a:avLst/>
                    </a:prstGeom>
                    <a:noFill/>
                    <a:ln>
                      <a:solidFill>
                        <a:schemeClr val="tx1"/>
                      </a:solidFill>
                    </a:ln>
                  </pic:spPr>
                </pic:pic>
              </a:graphicData>
            </a:graphic>
          </wp:inline>
        </w:drawing>
      </w:r>
    </w:p>
    <w:p w14:paraId="492E2E76" w14:textId="77777777" w:rsidR="00EC0D34" w:rsidRDefault="00EC0D34" w:rsidP="00041596">
      <w:pPr>
        <w:jc w:val="center"/>
        <w:outlineLvl w:val="0"/>
        <w:rPr>
          <w:rFonts w:ascii="Times New Roman" w:hAnsi="Times New Roman" w:cs="Times New Roman"/>
          <w:szCs w:val="20"/>
          <w:lang w:val="en-GB"/>
        </w:rPr>
      </w:pPr>
    </w:p>
    <w:p w14:paraId="1052ED86" w14:textId="0230B2CF" w:rsidR="00041596" w:rsidRPr="00EC0D34" w:rsidRDefault="00417A87" w:rsidP="00EC0D34">
      <w:pPr>
        <w:ind w:left="851" w:hanging="851"/>
        <w:outlineLvl w:val="0"/>
        <w:rPr>
          <w:rFonts w:ascii="Times New Roman" w:hAnsi="Times New Roman" w:cs="Times New Roman"/>
          <w:szCs w:val="20"/>
        </w:rPr>
      </w:pPr>
      <w:r w:rsidRPr="00EC0D34">
        <w:rPr>
          <w:rFonts w:ascii="Times New Roman" w:hAnsi="Times New Roman" w:cs="Times New Roman"/>
          <w:szCs w:val="20"/>
          <w:lang w:val="en-GB"/>
        </w:rPr>
        <w:t>Figure 2. (a) XPS survey spectra; (b) high-resolution XPS of N 1s for TNPC900, and (c) content of nitrogen species of TNPC800, TNPC900, and TNPC1000</w:t>
      </w:r>
    </w:p>
    <w:p w14:paraId="4D79EAC2" w14:textId="592FF1FC" w:rsidR="00041596" w:rsidRPr="00EC0D34" w:rsidRDefault="00041596" w:rsidP="005D24A7">
      <w:pPr>
        <w:jc w:val="center"/>
        <w:outlineLvl w:val="0"/>
        <w:rPr>
          <w:rFonts w:ascii="Times New Roman" w:hAnsi="Times New Roman" w:cs="Times New Roman"/>
          <w:szCs w:val="20"/>
        </w:rPr>
      </w:pPr>
    </w:p>
    <w:p w14:paraId="0C965E47" w14:textId="77777777" w:rsidR="00C22713" w:rsidRPr="00EC0D34" w:rsidRDefault="00C22713" w:rsidP="00C22713">
      <w:pPr>
        <w:rPr>
          <w:rFonts w:ascii="Times New Roman" w:hAnsi="Times New Roman" w:cs="Times New Roman"/>
          <w:b/>
          <w:bCs/>
          <w:szCs w:val="20"/>
          <w:lang w:val="en-GB"/>
        </w:rPr>
      </w:pPr>
      <w:r w:rsidRPr="00EC0D34">
        <w:rPr>
          <w:rFonts w:ascii="Times New Roman" w:hAnsi="Times New Roman" w:cs="Times New Roman"/>
          <w:b/>
          <w:bCs/>
          <w:szCs w:val="20"/>
          <w:lang w:val="en-GB"/>
        </w:rPr>
        <w:t>Electrochemical performance of TNPCs</w:t>
      </w:r>
    </w:p>
    <w:p w14:paraId="7FAB7852" w14:textId="2D2F4806" w:rsidR="00C22713" w:rsidRPr="00EC0D34" w:rsidRDefault="00C22713" w:rsidP="00C22713">
      <w:pPr>
        <w:rPr>
          <w:rFonts w:ascii="Times New Roman" w:hAnsi="Times New Roman" w:cs="Times New Roman"/>
          <w:szCs w:val="20"/>
          <w:lang w:val="en-GB"/>
        </w:rPr>
      </w:pPr>
      <w:r w:rsidRPr="00EC0D34">
        <w:rPr>
          <w:rFonts w:ascii="Times New Roman" w:hAnsi="Times New Roman" w:cs="Times New Roman"/>
          <w:szCs w:val="20"/>
          <w:lang w:val="en-GB"/>
        </w:rPr>
        <w:t>To investigate the possible application of the prepared catalysts for fuel-cell or energy-storage systems, the electrochemical activity of TNPCs was evaluated using a three-electrode system. RRDE or a glassy carbon electrode was loaded with the as-prepared catalyst ink with 0.285 mg cm</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loading. As shown in Figure 3 (a), all three catalysts showed no reduction peak observed in N</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-saturated 0.1 M KOH solution but obvious peaks in a solution of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saturated with the same electrolyte, indicating that these TNPCs were catalytically active towards ORR. However, TNPC900 illustrated a stronger cathodic peak at 0.76 V vs. RHE, and it was more positive than TNPC800 and TNPC1000. Figure 3(b) shows the LSV plots for TNPCs and the commercial Pt/C (20wt%) at 1600 rpm in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-saturated electrolyte. Amongst the three TNPCs, TNPC900 had the highest ORR activity based on the most positive onset potential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and half-wave potential E</w:t>
      </w:r>
      <w:r w:rsidRPr="00EC0D34">
        <w:rPr>
          <w:rFonts w:ascii="Times New Roman" w:hAnsi="Times New Roman" w:cs="Times New Roman"/>
          <w:szCs w:val="20"/>
          <w:vertAlign w:val="subscript"/>
          <w:lang w:val="en-GB"/>
        </w:rPr>
        <w:t>1/2</w:t>
      </w:r>
      <w:r w:rsidRPr="00EC0D34">
        <w:rPr>
          <w:rFonts w:ascii="Times New Roman" w:hAnsi="Times New Roman" w:cs="Times New Roman"/>
          <w:szCs w:val="20"/>
          <w:lang w:val="en-GB"/>
        </w:rPr>
        <w:t xml:space="preserve"> at 0.94 and 0.78 V vs. RHE, respectively. The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and E</w:t>
      </w:r>
      <w:r w:rsidRPr="00EC0D34">
        <w:rPr>
          <w:rFonts w:ascii="Times New Roman" w:hAnsi="Times New Roman" w:cs="Times New Roman"/>
          <w:szCs w:val="20"/>
          <w:vertAlign w:val="subscript"/>
          <w:lang w:val="en-GB"/>
        </w:rPr>
        <w:t>1/2</w:t>
      </w:r>
      <w:r w:rsidRPr="00EC0D34">
        <w:rPr>
          <w:rFonts w:ascii="Times New Roman" w:hAnsi="Times New Roman" w:cs="Times New Roman"/>
          <w:szCs w:val="20"/>
          <w:lang w:val="en-GB"/>
        </w:rPr>
        <w:t xml:space="preserve"> of TNPC800 (0.92 and 0.74 V, respectively) and TNPC1000 (0.93 and 0.75 V, respectively) were more negative than those of TNPC900. The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of TNPC900 was slightly inferior to that of commercial Pt/C but comparable with values obtained in previous studies using a different biomass, such as coconut mesocarp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{"citationItems":[{"id":"ITEM-1","itemData":{"DOI":"10.1039/c9nj01997a","ISSN":"13699261","abstract":"High-level nitrogen-doped (&gt;10 at%), high-surface-area (&gt;1600 m2 g-1) micro/mesoporous carbon derived from coconut mesocarp was prepared by a solvent-free ball-milling process using melamine as a solid-state nitrogen dopant and potassium bicarbonate as a safe and green activating agent. Synergistic nitrogen doping and pore formation maximize the nitrogen doping concentration/specific surface area/pore volume and minimize the pore blockage. This nitrogen-doped porous carbon exhibits comparable catalytic activity for the oxygen reduction reaction (ORR) to the commercial Pt/C catalyst in terms of the onset potential and the current density and exhibits superior stability and methanol tolerance to the benchmark catalyst, thanks to its optimized reaction surface area.","author":[{"dropping-particle":"","family":"Zhang","given":"Wendu","non-dropping-particle":"","parse-names":false,"suffix":""},{"dropping-particle":"","family":"Qi","given":"Jiawei","non-dropping-particle":"","parse-names":false,"suffix":""},{"dropping-particle":"","family":"Bai","given":"Peiyao","non-dropping-particle":"","parse-names":false,"suffix":""},{"dropping-particle":"","family":"Wang","given":"Huifen","non-dropping-particle":"","parse-names":false,"suffix":""},{"dropping-particle":"","family":"Xu","given":"Lang","non-dropping-particle":"","parse-names":false,"suffix":""}],"container-title":"New Journal of Chemistry","id":"ITEM-1","issue":"27","issued":{"date-parts":[["2019"]]},"page":"10878-10886","publisher":"Royal Society of Chemistry","title":"High-level nitrogen-doped, micro/mesoporous carbon as an efficient metal-free electrocatalyst for the oxygen reduction reaction: Optimizing the reaction surface area by a solvent-free mechanochemical method","type":"article-journal","volume":"43"},"uris":["http://www.mendeley.com/documents/?uuid=445a3262-333d-40df-b744-42de82c9a785"]}],"mendeley":{"formattedCitation":"[26]","plainTextFormattedCitation":"[26]","previouslyFormattedCitation":"[26]"},"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[26]</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but higher than those of waste lotus seedpod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{"citationItems":[{"id":"ITEM-1","itemData":{"DOI":"10.1007/s10934-019-00846-3","ISBN":"0123456789","ISSN":"15734854","abstract":"The sluggish kinetics of oxygen reduction reaction (ORR) has severely impeded the application of fuel cell technology. Developing economical and efficient biomass-based catalysts derived from natural waste to replace the expensive noble metal catalysts is becoming an attractive strategy. However, biomass materials often have geographical and seasonal characteristics. Thus, developing diversified and available biomass-derived catalysts is significant for different regions. In this work, N, P-dual doped porous carbon materials derived from waste lotus seedpod with tunable specific surface areas and porous structure are skillfully fabricated. The optimized sample exhibits excellent oxygen reduction reaction activity with an onset potential of 0.87 V vs. RHE and a Tafel slope of 81 mV dec−1, showing the 4e‒ electrons transfer path in alkaline solution. It also exhibits much better stability and methanol tolerance than commercial Pt/C. High ORR performance is considered to be ascribed to the abundant N, P dispersion and the hierarchical porous structure.","author":[{"dropping-particle":"","family":"Zheng","given":"Bo","non-dropping-particle":"","parse-names":false,"suffix":""},{"dropping-particle":"","family":"Wang","given":"Jiaxin","non-dropping-particle":"","parse-names":false,"suffix":""},{"dropping-particle":"","family":"Pan","given":"Zhaorui","non-dropping-particle":"","parse-names":false,"suffix":""},{"dropping-particle":"","family":"Wang","given":"Xiaofeng","non-dropping-particle":"","parse-names":false,"suffix":""},{"dropping-particle":"","family":"Liu","given":"Shaoxian","non-dropping-particle":"","parse-names":false,"suffix":""},{"dropping-particle":"","family":"Ding","given":"Shiqing","non-dropping-particle":"","parse-names":false,"suffix":""},{"dropping-particle":"","family":"Lang","given":"Leiming","non-dropping-particle":"","parse-names":false,"suffix":""}],"container-title":"Journal of Porous Materials","id":"ITEM-1","issue":"3","issued":{"date-parts":[["2020"]]},"page":"637-646","publisher":"Springer US","title":"An efficient metal-free catalyst derived from waste lotus seedpod for oxygen reduction reaction","type":"article-journal","volume":"27"},"uris":["http://www.mendeley.com/documents/?uuid=7d101493-e585-47ec-99bd-24b5c0d484bb"]}],"mendeley":{"formattedCitation":"[12]","plainTextFormattedCitation":"[12]","previouslyFormattedCitation":"[12]"},"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[12]</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and cotton stalk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{"citationItems":[{"id":"ITEM-1","itemData":{"DOI":"10.1016/j.jcis.2019.01.031","ISSN":"10957103","PMID":"30660081","abstract":"Highly porous (specific surface area, S BET , 1400 m 2 /g) and rich in surface groups activated carbons (ACs) were obtained from cotton stalks using either a direct or indirect activation. They were characterized by adsorption of nitrogen, thermal analysis combined with mass spectrometry, potentiometric titration, and X-ray photoelectron spectroscopy (XPS). XPS analysis indicated that the indirect activation led to more nitrogen on the surface incorporated as pyridinic and graphitic/quaternary species. These species were beneficial for a carbon application as oxygen reduction reaction (ORR) electrocatalysts and supercapacitors. The carbons were catalytically active in ORR with a number of electron transfer from 2.15 to 3.40 and onset potential of 0.810 V vs. reference hydrogen electrode (RHE). Their capacitance was around 180 F g −1 at 1 A g −1 when measured in an alkaline medium. The dependence of the performance on the porosity and nitrogen content was found, indicating suitability of cotton stalks obtained using the indirect activation as precursors of carbons of promising electrochemically active features.","author":[{"dropping-particle":"","family":"Xu","given":"Shan Shan","non-dropping-particle":"","parse-names":false,"suffix":""},{"dropping-particle":"","family":"Qiu","given":"Shu Wei","non-dropping-particle":"","parse-names":false,"suffix":""},{"dropping-particle":"","family":"Yuan","given":"Zhong Yong","non-dropping-particle":"","parse-names":false,"suffix":""},{"dropping-particle":"","family":"Ren","given":"Tie Zhen","non-dropping-particle":"","parse-names":false,"suffix":""},{"dropping-particle":"","family":"Bandosz","given":"Teresa J.","non-dropping-particle":"","parse-names":false,"suffix":""}],"container-title":"Journal of Colloid and Interface Science","id":"ITEM-1","issued":{"date-parts":[["2019","3","22"]]},"page":"285-294","publisher":"Academic Press Inc.","title":"Nitrogen-containing activated carbon of improved electrochemical performance derived from cotton stalks using indirect chemical activation","type":"article-journal","volume":"540"},"uris":["http://www.mendeley.com/documents/?uuid=caaf1a62-596d-30d8-82bb-fd3598fa754c"]}],"mendeley":{"formattedCitation":"[33]","plainTextFormattedCitation":"[33]","previouslyFormattedCitation":"[33]"},"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[33]</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The ORR activity of the TNPCs can also be assessed by their kinetic current densities (</w:t>
      </w:r>
      <w:proofErr w:type="spellStart"/>
      <w:r w:rsidRPr="00EC0D34">
        <w:rPr>
          <w:rFonts w:ascii="Times New Roman" w:hAnsi="Times New Roman" w:cs="Times New Roman"/>
          <w:szCs w:val="20"/>
          <w:lang w:val="en-GB"/>
        </w:rPr>
        <w:t>j</w:t>
      </w:r>
      <w:r w:rsidRPr="00EC0D34">
        <w:rPr>
          <w:rFonts w:ascii="Times New Roman" w:hAnsi="Times New Roman" w:cs="Times New Roman"/>
          <w:szCs w:val="20"/>
          <w:vertAlign w:val="subscript"/>
          <w:lang w:val="en-GB"/>
        </w:rPr>
        <w:t>K</w:t>
      </w:r>
      <w:proofErr w:type="spellEnd"/>
      <w:r w:rsidRPr="00EC0D34">
        <w:rPr>
          <w:rFonts w:ascii="Times New Roman" w:hAnsi="Times New Roman" w:cs="Times New Roman"/>
          <w:szCs w:val="20"/>
          <w:lang w:val="en-GB"/>
        </w:rPr>
        <w:t xml:space="preserv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{"citationItems":[{"id":"ITEM-1","itemData":{"DOI":"10.1149/2.0441902jes","ISSN":"0013-4651","abstract":"© 2019 The Electrochemical Society. Toward development of alternative metal-free oxygen reduction reaction catalyst, engineering heteroatoms and tuning defects, pore geometry in porous carbon is explored in this study. Simultaneous co-doping of nitrogen and fluorine heteroatoms to porous carbon matrix derived from spent coffee grounds is synthesized and studied for their structural and electrochemical properties. Microscopic analysis of N-F co-doped coffee carbon (N-F/CC) undergoes morphological evolution in its textural properties includes geometrical surface area, pore structure and defects associated with them, features responsible for creating active sites toward ORR activity. N-F/CC catalyst exhibits excellent ORR catalytic activity, methanol and carbon monoxide tolerance in both acidic and alkaline media which makes it highly potential as metal-free oxygen reduction reaction catalyst for polymer electrolyte fuel cell. The developed catalyst is subjected to 10,000 repeated potential cycles in both media and is stable with no degradation in ORR activity. XPS analysis of N-F/CC catalyst revealed the presence of N in the forms of pyridinic-N, pyrrolic-N, graphitic-N, active species and F in the forms of C-F ionic and C-F semi-ionic active forms. Co-existence of all these active species induces the maximum C-C bond polarization, charge re-distribution and high spin densities in the carbon matrices and synergistically ORR activity.","author":[{"dropping-particle":"","family":"Akula","given":"Srinu","non-dropping-particle":"","parse-names":false,"suffix":""},{"dropping-particle":"","family":"Sahu","given":"A. K.","non-dropping-particle":"","parse-names":false,"suffix":""}],"container-title":"Journal of The Electrochemical Society","id":"ITEM-1","issue":"2","issued":{"date-parts":[["2019"]]},"page":"F93-F101","title":"Heteroatoms co-Doping (N, F) to the Porous Carbon Derived from Spent Coffee Grounds as an Effective Catalyst for Oxygen Reduction Reaction in Polymer Electrolyte Fuel Cells","type":"article-journal","volume":"166"},"uris":["http://www.mendeley.com/documents/?uuid=ba0dfdcd-755a-4f79-801b-2182cd7843e9"]}],"mendeley":{"formattedCitation":"[34]","plainTextFormattedCitation":"[34]","previouslyFormattedCitation":"[34]"},"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[34]</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The </w:t>
      </w:r>
      <w:proofErr w:type="spellStart"/>
      <w:r w:rsidRPr="00EC0D34">
        <w:rPr>
          <w:rFonts w:ascii="Times New Roman" w:hAnsi="Times New Roman" w:cs="Times New Roman"/>
          <w:szCs w:val="20"/>
          <w:lang w:val="en-GB"/>
        </w:rPr>
        <w:t>j</w:t>
      </w:r>
      <w:r w:rsidRPr="00EC0D34">
        <w:rPr>
          <w:rFonts w:ascii="Times New Roman" w:hAnsi="Times New Roman" w:cs="Times New Roman"/>
          <w:szCs w:val="20"/>
          <w:vertAlign w:val="subscript"/>
          <w:lang w:val="en-GB"/>
        </w:rPr>
        <w:t>K</w:t>
      </w:r>
      <w:proofErr w:type="spellEnd"/>
      <w:r w:rsidRPr="00EC0D34">
        <w:rPr>
          <w:rFonts w:ascii="Times New Roman" w:hAnsi="Times New Roman" w:cs="Times New Roman"/>
          <w:szCs w:val="20"/>
          <w:lang w:val="en-GB"/>
        </w:rPr>
        <w:t xml:space="preserve"> values at 0.8 V vs. RHE were in the order TNPC900 (1.82 mA cm</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&gt; TNPC1000 (0.55 mA cm</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&gt; TNPC800 (0.46 mA cm</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2</w:t>
      </w:r>
      <w:r w:rsidRPr="00EC0D34">
        <w:rPr>
          <w:rFonts w:ascii="Times New Roman" w:hAnsi="Times New Roman" w:cs="Times New Roman"/>
          <w:szCs w:val="20"/>
          <w:lang w:val="en-GB"/>
        </w:rPr>
        <w:t xml:space="preserve">), consistent with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and E</w:t>
      </w:r>
      <w:r w:rsidRPr="00EC0D34">
        <w:rPr>
          <w:rFonts w:ascii="Times New Roman" w:hAnsi="Times New Roman" w:cs="Times New Roman"/>
          <w:szCs w:val="20"/>
          <w:vertAlign w:val="subscript"/>
          <w:lang w:val="en-GB"/>
        </w:rPr>
        <w:t>1/2</w:t>
      </w:r>
      <w:r w:rsidRPr="00EC0D34">
        <w:rPr>
          <w:rFonts w:ascii="Times New Roman" w:hAnsi="Times New Roman" w:cs="Times New Roman"/>
          <w:szCs w:val="20"/>
          <w:lang w:val="en-GB"/>
        </w:rPr>
        <w:t>.</w:t>
      </w:r>
    </w:p>
    <w:p w14:paraId="7033DA45" w14:textId="77777777" w:rsidR="00C22713" w:rsidRPr="00EC0D34" w:rsidRDefault="00C22713" w:rsidP="00C22713">
      <w:pPr>
        <w:rPr>
          <w:rFonts w:ascii="Times New Roman" w:hAnsi="Times New Roman" w:cs="Times New Roman"/>
          <w:szCs w:val="20"/>
          <w:lang w:val="en-GB"/>
        </w:rPr>
      </w:pPr>
    </w:p>
    <w:p w14:paraId="10498C45" w14:textId="2C6BD675" w:rsidR="00C22713" w:rsidRPr="00EC0D34" w:rsidRDefault="00C22713" w:rsidP="00C22713">
      <w:pPr>
        <w:rPr>
          <w:rFonts w:ascii="Times New Roman" w:hAnsi="Times New Roman" w:cs="Times New Roman"/>
          <w:szCs w:val="20"/>
          <w:lang w:val="en-GB"/>
        </w:rPr>
      </w:pPr>
      <w:r w:rsidRPr="00EC0D34">
        <w:rPr>
          <w:rFonts w:ascii="Times New Roman" w:hAnsi="Times New Roman" w:cs="Times New Roman"/>
          <w:szCs w:val="20"/>
          <w:lang w:val="en-GB"/>
        </w:rPr>
        <w:t>To further investigate the kinetic information of ORR for TNPC900, LSV curves were collected at different rotating speeds from 100 rpm to 1600 rpm in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-saturated 0.1 M KOH solution (Figure 3(c)). With increased rotation, the limiting current density increased because of the shorter distance of diffusion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{"citationItems":[{"id":"ITEM-1","itemData":{"DOI":"10.1007/s10934-019-00846-3","ISBN":"0123456789","ISSN":"15734854","abstract":"The sluggish kinetics of oxygen reduction reaction (ORR) has severely impeded the application of fuel cell technology. Developing economical and efficient biomass-based catalysts derived from natural waste to replace the expensive noble metal catalysts is becoming an attractive strategy. However, biomass materials often have geographical and seasonal characteristics. Thus, developing diversified and available biomass-derived catalysts is significant for different regions. In this work, N, P-dual doped porous carbon materials derived from waste lotus seedpod with tunable specific surface areas and porous structure are skillfully fabricated. The optimized sample exhibits excellent oxygen reduction reaction activity with an onset potential of 0.87 V vs. RHE and a Tafel slope of 81 mV dec−1, showing the 4e‒ electrons transfer path in alkaline solution. It also exhibits much better stability and methanol tolerance than commercial Pt/C. High ORR performance is considered to be ascribed to the abundant N, P dispersion and the hierarchical porous structure.","author":[{"dropping-particle":"","family":"Zheng","given":"Bo","non-dropping-particle":"","parse-names":false,"suffix":""},{"dropping-particle":"","family":"Wang","given":"Jiaxin","non-dropping-particle":"","parse-names":false,"suffix":""},{"dropping-particle":"","family":"Pan","given":"Zhaorui","non-dropping-particle":"","parse-names":false,"suffix":""},{"dropping-particle":"","family":"Wang","given":"Xiaofeng","non-dropping-particle":"","parse-names":false,"suffix":""},{"dropping-particle":"","family":"Liu","given":"Shaoxian","non-dropping-particle":"","parse-names":false,"suffix":""},{"dropping-particle":"","family":"Ding","given":"Shiqing","non-dropping-particle":"","parse-names":false,"suffix":""},{"dropping-particle":"","family":"Lang","given":"Leiming","non-dropping-particle":"","parse-names":false,"suffix":""}],"container-title":"Journal of Porous Materials","id":"ITEM-1","issue":"3","issued":{"date-parts":[["2020"]]},"page":"637-646","publisher":"Springer US","title":"An efficient metal-free catalyst derived from waste lotus seedpod for oxygen reduction reaction","type":"article-journal","volume":"27"},"uris":["http://www.mendeley.com/documents/?uuid=7d101493-e585-47ec-99bd-24b5c0d484bb"]}],"mendeley":{"formattedCitation":"[12]","plainTextFormattedCitation":"[12]","previouslyFormattedCitation":"[12]"},"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[12]</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The K-L plot (Figure 3(c) inset) illustrated a linear trend for the potential range of 0.2 V to 0.6 V vs. RHE, signifying similar electron-transfer number (3.5–3.8) around these potentials. The corresponding electron-transfer number calculated from the ring current and disk current of RRDE (3.55–3.73) curve also agreed with the K-L results (Figure 3d) suggesting a dominant 4e</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 xml:space="preserve"> </w:t>
      </w:r>
      <w:r w:rsidRPr="00EC0D34">
        <w:rPr>
          <w:rFonts w:ascii="Times New Roman" w:hAnsi="Times New Roman" w:cs="Times New Roman"/>
          <w:szCs w:val="20"/>
          <w:lang w:val="en-GB"/>
        </w:rPr>
        <w:t>pathway in ORR for TNPC900 catalyst. Conversely, the electron-transfer number calculated for TNPC800 (3.35–3.53) and TNPC1000 (3.48–3.58) was slightly lower than that for TNPC900, indicating that ORR occurred through a combined 2e</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lang w:val="en-GB"/>
        </w:rPr>
        <w:t xml:space="preserve"> and 4e</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lang w:val="en-GB"/>
        </w:rPr>
        <w:t xml:space="preserve"> transfer pathway. The yield of H</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shown in Fig. 3d indicated lesser H</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O</w:t>
      </w:r>
      <w:r w:rsidRPr="00EC0D34">
        <w:rPr>
          <w:rFonts w:ascii="Times New Roman" w:hAnsi="Times New Roman" w:cs="Times New Roman"/>
          <w:szCs w:val="20"/>
          <w:vertAlign w:val="subscript"/>
          <w:lang w:val="en-GB"/>
        </w:rPr>
        <w:t xml:space="preserve">2 </w:t>
      </w:r>
      <w:r w:rsidRPr="00EC0D34">
        <w:rPr>
          <w:rFonts w:ascii="Times New Roman" w:hAnsi="Times New Roman" w:cs="Times New Roman"/>
          <w:szCs w:val="20"/>
          <w:lang w:val="en-GB"/>
        </w:rPr>
        <w:t xml:space="preserve">formation on TNPC900, further validating a higher catalytic efficiency of TNPC900 in 0.1 M KOH solution. </w:t>
      </w:r>
    </w:p>
    <w:p w14:paraId="400F0B10" w14:textId="77777777" w:rsidR="00C37908" w:rsidRPr="00EC0D34" w:rsidRDefault="00C37908" w:rsidP="00C22713">
      <w:pPr>
        <w:rPr>
          <w:rFonts w:ascii="Times New Roman" w:hAnsi="Times New Roman" w:cs="Times New Roman"/>
          <w:szCs w:val="20"/>
          <w:lang w:val="en-GB"/>
        </w:rPr>
      </w:pPr>
    </w:p>
    <w:p w14:paraId="294ACA0F" w14:textId="5D0D14A7" w:rsidR="00354C20" w:rsidRPr="00EC0D34" w:rsidRDefault="00C22713" w:rsidP="00C22713">
      <w:pPr>
        <w:rPr>
          <w:rFonts w:ascii="Times New Roman" w:hAnsi="Times New Roman" w:cs="Times New Roman"/>
          <w:szCs w:val="20"/>
          <w:lang w:val="en-GB"/>
        </w:rPr>
      </w:pPr>
      <w:r w:rsidRPr="00EC0D34">
        <w:rPr>
          <w:rFonts w:ascii="Times New Roman" w:hAnsi="Times New Roman" w:cs="Times New Roman"/>
          <w:szCs w:val="20"/>
          <w:lang w:val="en-GB"/>
        </w:rPr>
        <w:t xml:space="preserve">The superior ORR performance of TNPC900 may be largely influenced by the highest surface area, proper ratio of mesopores over micropores, and the role of pyridinic-N. Given that pyridinic-N served as the active sites for the adsorption and dissociation of oxygen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{"citationItems":[{"id":"ITEM-1","itemData":{"DOI":"10.1021/ACS.ENERGYFUELS.0C02246","abstract":"An efficient, renewable, and economic electrocatalyst for the oxygen reduction reaction (ORR) is particularly important for next-generation fuel cells and metal–air batteries, and yet this remains ...","author":[{"dropping-particle":"","family":"Li","given":"Denian","non-dropping-particle":"","parse-names":false,"suffix":""},{"dropping-particle":"","family":"Fan","given":"Yukun","non-dropping-particle":"","parse-names":false,"suffix":""},{"dropping-particle":"","family":"Yuan","given":"Haoran","non-dropping-particle":"","parse-names":false,"suffix":""},{"dropping-particle":"","family":"Deng","given":"Lifang","non-dropping-particle":"","parse-names":false,"suffix":""},{"dropping-particle":"","family":"Yang","given":"Jizhang","non-dropping-particle":"","parse-names":false,"suffix":""},{"dropping-particle":"","family":"Chen","given":"Yong","non-dropping-particle":"","parse-names":false,"suffix":""},{"dropping-particle":"","family":"Luo","given":"Bo","non-dropping-particle":"","parse-names":false,"suffix":""}],"container-title":"Energy &amp; Fuels","id":"ITEM-1","issue":"10","issued":{"date-parts":[["2020","10","15"]]},"page":"13089-13095","publisher":"American Chemical Society","title":"Renewable and Metal-Free Carbon Derived from Aquatic Scindapsus Affording Meso–microporosity, Large Interface, and Enriched Pyridinic-N for Efficient Oxygen Reduction Reaction Catalysis","type":"article-journal","volume":"34"},"uris":["http://www.mendeley.com/documents/?uuid=cf07d31d-7f08-3556-b9e3-78b41112d98a"]}],"mendeley":{"formattedCitation":"[35]","plainTextFormattedCitation":"[35]","previouslyFormattedCitation":"[35]"},"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[35]</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TNPC900 exhibited superior ORR activities than the other TNPCs. However, despite TNPC800 having a slightly lower surface area than TNPC900 and the highest nitrogen content (Table 1), its effect was not as important to ORR as the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and E</w:t>
      </w:r>
      <w:r w:rsidRPr="00EC0D34">
        <w:rPr>
          <w:rFonts w:ascii="Times New Roman" w:hAnsi="Times New Roman" w:cs="Times New Roman"/>
          <w:szCs w:val="20"/>
          <w:vertAlign w:val="subscript"/>
          <w:lang w:val="en-GB"/>
        </w:rPr>
        <w:t>1/2</w:t>
      </w:r>
      <w:r w:rsidRPr="00EC0D34">
        <w:rPr>
          <w:rFonts w:ascii="Times New Roman" w:hAnsi="Times New Roman" w:cs="Times New Roman"/>
          <w:szCs w:val="20"/>
          <w:lang w:val="en-GB"/>
        </w:rPr>
        <w:t xml:space="preserve"> were the lowest for TNPC800. This finding may be due to the higher proportion of micropores (56.6%) dominating the effect to ORR because the restricted active sites such as micropores were difficult to be wet by liquid electrolyte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{"citationItems":[{"id":"ITEM-1","itemData":{"DOI":"10.1016/J.IJHYDENE.2017.07.177","ISSN":"0360-3199","abstract":"Lack of low-cost, stable, and effective catalysts for the oxygen reduction reaction (ORR) is one of the key factors limiting the practical application of microbial fuel cells (MFCs). In this paper, a non-metal high-performance ORR catalyst, prepared by directly pyrolyzing Chlorella pyrenoidosa (CP) in N2 atmosphere, was proposed. It was found that the ORR activity of the CP catalysts was highly dependent on the carbonization temperatures. The MFC with the catalyst carbonized at 900 °C (CP900) delivered the highest Pmax (maximum power density) value of 2068 ± 30 mW m−2, which was 13% higher than that with commercial 20 wt% Pt/C (1826 ± 37 mW m−2) at the same catalyst loading. CP900 also showed good structural stability, maintaining 57.4% of the activity after 10,000 s operation at −0.3 V (vs. Ag/AgCl), significantly higher than 48.5% for Pt/C. The Brunauer–Emmet–Teller (BET), X-ray diffraction (XRD), X-ray photoelectron spectroscopy (XPS), and electrochemical analyses indicated that the superior performance of CP900 was due to the high graphitization, the appropriate N and P doping, and the improved catalyst utilization due to the presence of abundant mesopores and macropores. These results demonstrated that CP900 could be a cost-efficient, stable and high performance alternative to the commercial Pt/C for MFC applications.","author":[{"dropping-particle":"","family":"Fan","given":"Zeyu","non-dropping-particle":"","parse-names":false,"suffix":""},{"dropping-particle":"","family":"Li","given":"Jun","non-dropping-particle":"","parse-names":false,"suffix":""},{"dropping-particle":"","family":"Zhou","given":"Yi","non-dropping-particle":"","parse-names":false,"suffix":""},{"dropping-particle":"","family":"Fu","given":"Qian","non-dropping-particle":"","parse-names":false,"suffix":""},{"dropping-particle":"","family":"Yang","given":"Wei","non-dropping-particle":"","parse-names":false,"suffix":""},{"dropping-particle":"","family":"Zhu","given":"Xun","non-dropping-particle":"","parse-names":false,"suffix":""},{"dropping-particle":"","family":"Liao","given":"Qiang","non-dropping-particle":"","parse-names":false,"suffix":""}],"container-title":"International Journal of Hydrogen Energy","id":"ITEM-1","issue":"45","issued":{"date-parts":[["2017","11","9"]]},"page":"27657-27665","publisher":"Pergamon","title":"A green, cheap, high-performance carbonaceous catalyst derived from Chlorella pyrenoidosa for oxygen reduction reaction in microbial fuel cells","type":"article-journal","volume":"42"},"uris":["http://www.mendeley.com/documents/?uuid=fdaf9db5-9b82-3f50-92a0-0e5dccf3023c"]}],"mendeley":{"formattedCitation":"[36]","plainTextFormattedCitation":"[36]","previouslyFormattedCitation":"[36]"},"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[36]</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xml:space="preserve">. This finding was further </w:t>
      </w:r>
      <w:r w:rsidRPr="00EC0D34">
        <w:rPr>
          <w:rFonts w:ascii="Times New Roman" w:hAnsi="Times New Roman" w:cs="Times New Roman"/>
          <w:szCs w:val="20"/>
          <w:lang w:val="en-GB"/>
        </w:rPr>
        <w:lastRenderedPageBreak/>
        <w:t>supported by the higher ORR characteristics of TNPC1000 that even though the surface area and the nitrogen content were the least (Table 1), the larger proportion of mesopores was assumed to facilitate a better ORR activity than TNPC800.</w:t>
      </w:r>
    </w:p>
    <w:p w14:paraId="1BEEE10D" w14:textId="77777777" w:rsidR="007D4A69" w:rsidRPr="00EC0D34" w:rsidRDefault="007D4A69" w:rsidP="00712CCF">
      <w:pPr>
        <w:jc w:val="center"/>
        <w:outlineLvl w:val="0"/>
        <w:rPr>
          <w:rFonts w:ascii="Times New Roman" w:hAnsi="Times New Roman" w:cs="Times New Roman"/>
          <w:bCs/>
          <w:szCs w:val="20"/>
          <w:lang w:val="en-GB"/>
        </w:rPr>
      </w:pPr>
    </w:p>
    <w:p w14:paraId="2BFAA889" w14:textId="34ED62CF" w:rsidR="007D4A69" w:rsidRPr="00EC0D34" w:rsidRDefault="007D4A69" w:rsidP="00712CCF">
      <w:pPr>
        <w:jc w:val="center"/>
        <w:outlineLvl w:val="0"/>
        <w:rPr>
          <w:noProof/>
          <w:lang w:val="en-GB" w:eastAsia="zh-CN"/>
        </w:rPr>
      </w:pPr>
      <w:r w:rsidRPr="00EC0D34">
        <w:rPr>
          <w:noProof/>
          <w:lang w:val="en-GB" w:eastAsia="zh-CN"/>
        </w:rPr>
        <w:drawing>
          <wp:inline distT="0" distB="0" distL="0" distR="0" wp14:anchorId="11F47A8A" wp14:editId="647A84E3">
            <wp:extent cx="3928188" cy="2880000"/>
            <wp:effectExtent l="19050" t="19050" r="1524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28188" cy="2880000"/>
                    </a:xfrm>
                    <a:prstGeom prst="rect">
                      <a:avLst/>
                    </a:prstGeom>
                    <a:ln>
                      <a:solidFill>
                        <a:schemeClr val="tx1"/>
                      </a:solidFill>
                    </a:ln>
                  </pic:spPr>
                </pic:pic>
              </a:graphicData>
            </a:graphic>
          </wp:inline>
        </w:drawing>
      </w:r>
    </w:p>
    <w:p w14:paraId="6BA72AAD" w14:textId="77777777" w:rsidR="000069DE" w:rsidRPr="00EC0D34" w:rsidRDefault="000069DE" w:rsidP="00712CCF">
      <w:pPr>
        <w:jc w:val="center"/>
        <w:outlineLvl w:val="0"/>
        <w:rPr>
          <w:rFonts w:ascii="Times New Roman" w:hAnsi="Times New Roman" w:cs="Times New Roman"/>
          <w:bCs/>
          <w:szCs w:val="20"/>
          <w:lang w:val="en-GB"/>
        </w:rPr>
      </w:pPr>
    </w:p>
    <w:p w14:paraId="636F96C1" w14:textId="5FD9D396" w:rsidR="00712CCF" w:rsidRPr="00EC0D34" w:rsidRDefault="00712CCF" w:rsidP="00EC0D34">
      <w:pPr>
        <w:ind w:left="709" w:hanging="709"/>
        <w:outlineLvl w:val="0"/>
        <w:rPr>
          <w:rFonts w:ascii="Times New Roman" w:hAnsi="Times New Roman" w:cs="Times New Roman"/>
          <w:bCs/>
          <w:szCs w:val="20"/>
          <w:lang w:val="en-GB"/>
        </w:rPr>
      </w:pPr>
      <w:r w:rsidRPr="00EC0D34">
        <w:rPr>
          <w:rFonts w:ascii="Times New Roman" w:hAnsi="Times New Roman" w:cs="Times New Roman"/>
          <w:bCs/>
          <w:szCs w:val="20"/>
          <w:lang w:val="en-GB"/>
        </w:rPr>
        <w:t>Figure 3. (a) CV curves of TNPCs in N</w:t>
      </w:r>
      <w:r w:rsidRPr="00EC0D34">
        <w:rPr>
          <w:rFonts w:ascii="Times New Roman" w:hAnsi="Times New Roman" w:cs="Times New Roman"/>
          <w:bCs/>
          <w:szCs w:val="20"/>
          <w:vertAlign w:val="subscript"/>
          <w:lang w:val="en-GB"/>
        </w:rPr>
        <w:t>2</w:t>
      </w:r>
      <w:r w:rsidRPr="00EC0D34">
        <w:rPr>
          <w:rFonts w:ascii="Times New Roman" w:hAnsi="Times New Roman" w:cs="Times New Roman"/>
          <w:bCs/>
          <w:szCs w:val="20"/>
          <w:lang w:val="en-GB"/>
        </w:rPr>
        <w:t>- or O</w:t>
      </w:r>
      <w:r w:rsidRPr="00EC0D34">
        <w:rPr>
          <w:rFonts w:ascii="Times New Roman" w:hAnsi="Times New Roman" w:cs="Times New Roman"/>
          <w:bCs/>
          <w:szCs w:val="20"/>
          <w:vertAlign w:val="subscript"/>
          <w:lang w:val="en-GB"/>
        </w:rPr>
        <w:t>2</w:t>
      </w:r>
      <w:r w:rsidRPr="00EC0D34">
        <w:rPr>
          <w:rFonts w:ascii="Times New Roman" w:hAnsi="Times New Roman" w:cs="Times New Roman"/>
          <w:bCs/>
          <w:szCs w:val="20"/>
          <w:lang w:val="en-GB"/>
        </w:rPr>
        <w:t>-saturated 0.1 M KOH solution. (b) LSV of samples</w:t>
      </w:r>
      <w:r w:rsidR="00EC0D34">
        <w:rPr>
          <w:rFonts w:ascii="Times New Roman" w:hAnsi="Times New Roman" w:cs="Times New Roman"/>
          <w:bCs/>
          <w:szCs w:val="20"/>
          <w:lang w:val="en-GB"/>
        </w:rPr>
        <w:t xml:space="preserve"> </w:t>
      </w:r>
      <w:r w:rsidRPr="00EC0D34">
        <w:rPr>
          <w:rFonts w:ascii="Times New Roman" w:hAnsi="Times New Roman" w:cs="Times New Roman"/>
          <w:bCs/>
          <w:szCs w:val="20"/>
          <w:lang w:val="en-GB"/>
        </w:rPr>
        <w:t>and Pt/C. (c) LSV of TNPC900 at different rotation speeds (inset, K-L plots of TNPC at 0.2 V to 0.6 V vs. RHE).</w:t>
      </w:r>
      <w:r w:rsidR="00AC6FC2" w:rsidRPr="00EC0D34">
        <w:rPr>
          <w:rFonts w:ascii="Times New Roman" w:hAnsi="Times New Roman" w:cs="Times New Roman"/>
          <w:bCs/>
          <w:szCs w:val="20"/>
          <w:lang w:val="en-GB"/>
        </w:rPr>
        <w:t xml:space="preserve"> </w:t>
      </w:r>
      <w:r w:rsidRPr="00EC0D34">
        <w:rPr>
          <w:rFonts w:ascii="Times New Roman" w:hAnsi="Times New Roman" w:cs="Times New Roman"/>
          <w:bCs/>
          <w:szCs w:val="20"/>
          <w:lang w:val="en-GB"/>
        </w:rPr>
        <w:t>(d) Plots of number of electron transfer; n and H</w:t>
      </w:r>
      <w:r w:rsidRPr="00EC0D34">
        <w:rPr>
          <w:rFonts w:ascii="Times New Roman" w:hAnsi="Times New Roman" w:cs="Times New Roman"/>
          <w:bCs/>
          <w:szCs w:val="20"/>
          <w:vertAlign w:val="subscript"/>
          <w:lang w:val="en-GB"/>
        </w:rPr>
        <w:t>2</w:t>
      </w:r>
      <w:r w:rsidRPr="00EC0D34">
        <w:rPr>
          <w:rFonts w:ascii="Times New Roman" w:hAnsi="Times New Roman" w:cs="Times New Roman"/>
          <w:bCs/>
          <w:szCs w:val="20"/>
          <w:lang w:val="en-GB"/>
        </w:rPr>
        <w:t>O</w:t>
      </w:r>
      <w:r w:rsidRPr="00EC0D34">
        <w:rPr>
          <w:rFonts w:ascii="Times New Roman" w:hAnsi="Times New Roman" w:cs="Times New Roman"/>
          <w:bCs/>
          <w:szCs w:val="20"/>
          <w:vertAlign w:val="subscript"/>
          <w:lang w:val="en-GB"/>
        </w:rPr>
        <w:t>2</w:t>
      </w:r>
      <w:r w:rsidRPr="00EC0D34">
        <w:rPr>
          <w:rFonts w:ascii="Times New Roman" w:hAnsi="Times New Roman" w:cs="Times New Roman"/>
          <w:bCs/>
          <w:szCs w:val="20"/>
          <w:lang w:val="en-GB"/>
        </w:rPr>
        <w:t xml:space="preserve"> yield of TNPC900 calculated from RRDE currents</w:t>
      </w:r>
    </w:p>
    <w:p w14:paraId="4B96941E" w14:textId="42FEC787" w:rsidR="0055271F" w:rsidRPr="00EC0D34" w:rsidRDefault="0055271F" w:rsidP="00EC0D34">
      <w:pPr>
        <w:outlineLvl w:val="0"/>
        <w:rPr>
          <w:rFonts w:ascii="Times New Roman" w:hAnsi="Times New Roman" w:cs="Times New Roman"/>
          <w:bCs/>
          <w:szCs w:val="20"/>
        </w:rPr>
      </w:pPr>
    </w:p>
    <w:p w14:paraId="650EAA2E" w14:textId="77777777" w:rsidR="00C07B4A" w:rsidRPr="00EC0D34" w:rsidRDefault="00C07B4A" w:rsidP="00C07B4A">
      <w:pPr>
        <w:rPr>
          <w:rFonts w:ascii="Times New Roman" w:hAnsi="Times New Roman" w:cs="Times New Roman"/>
          <w:b/>
          <w:bCs/>
          <w:szCs w:val="20"/>
          <w:lang w:val="en-GB"/>
        </w:rPr>
      </w:pPr>
      <w:r w:rsidRPr="00EC0D34">
        <w:rPr>
          <w:rFonts w:ascii="Times New Roman" w:hAnsi="Times New Roman" w:cs="Times New Roman"/>
          <w:b/>
          <w:bCs/>
          <w:szCs w:val="20"/>
          <w:lang w:val="en-GB"/>
        </w:rPr>
        <w:t>Stability of TNPC900</w:t>
      </w:r>
    </w:p>
    <w:p w14:paraId="1AD9E165" w14:textId="65811D59" w:rsidR="00EF542E" w:rsidRPr="00EC0D34" w:rsidRDefault="00C07B4A" w:rsidP="00C07B4A">
      <w:pPr>
        <w:rPr>
          <w:rFonts w:ascii="Times New Roman" w:hAnsi="Times New Roman" w:cs="Times New Roman"/>
          <w:szCs w:val="20"/>
          <w:lang w:val="en-GB"/>
        </w:rPr>
      </w:pPr>
      <w:r w:rsidRPr="00EC0D34">
        <w:rPr>
          <w:rFonts w:ascii="Times New Roman" w:hAnsi="Times New Roman" w:cs="Times New Roman"/>
          <w:szCs w:val="20"/>
          <w:lang w:val="en-GB"/>
        </w:rPr>
        <w:t>To evaluate the durability of TNPC900, stability test particularly CV was performed in 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-saturated 0.1 M KOH at a scan rate of 100 mV s</w:t>
      </w:r>
      <w:r w:rsidRPr="00EC0D34">
        <w:rPr>
          <w:rFonts w:ascii="Times New Roman" w:hAnsi="Times New Roman" w:cs="Times New Roman"/>
          <w:sz w:val="24"/>
          <w:szCs w:val="20"/>
          <w:vertAlign w:val="superscript"/>
          <w:lang w:val="en-GB"/>
        </w:rPr>
        <w:t>–</w:t>
      </w:r>
      <w:r w:rsidRPr="00EC0D34">
        <w:rPr>
          <w:rFonts w:ascii="Times New Roman" w:hAnsi="Times New Roman" w:cs="Times New Roman"/>
          <w:szCs w:val="20"/>
          <w:vertAlign w:val="superscript"/>
          <w:lang w:val="en-GB"/>
        </w:rPr>
        <w:t>1</w:t>
      </w:r>
      <w:r w:rsidRPr="00EC0D34">
        <w:rPr>
          <w:rFonts w:ascii="Times New Roman" w:hAnsi="Times New Roman" w:cs="Times New Roman"/>
          <w:szCs w:val="20"/>
          <w:lang w:val="en-GB"/>
        </w:rPr>
        <w:t xml:space="preserve">. After 1000 potential cycles, the </w:t>
      </w:r>
      <w:proofErr w:type="spellStart"/>
      <w:r w:rsidRPr="00EC0D34">
        <w:rPr>
          <w:rFonts w:ascii="Times New Roman" w:hAnsi="Times New Roman" w:cs="Times New Roman"/>
          <w:szCs w:val="20"/>
          <w:lang w:val="en-GB"/>
        </w:rPr>
        <w:t>E</w:t>
      </w:r>
      <w:r w:rsidRPr="00EC0D34">
        <w:rPr>
          <w:rFonts w:ascii="Times New Roman" w:hAnsi="Times New Roman" w:cs="Times New Roman"/>
          <w:szCs w:val="20"/>
          <w:vertAlign w:val="subscript"/>
          <w:lang w:val="en-GB"/>
        </w:rPr>
        <w:t>o</w:t>
      </w:r>
      <w:proofErr w:type="spellEnd"/>
      <w:r w:rsidRPr="00EC0D34">
        <w:rPr>
          <w:rFonts w:ascii="Times New Roman" w:hAnsi="Times New Roman" w:cs="Times New Roman"/>
          <w:szCs w:val="20"/>
          <w:lang w:val="en-GB"/>
        </w:rPr>
        <w:t xml:space="preserve"> and E</w:t>
      </w:r>
      <w:r w:rsidRPr="00EC0D34">
        <w:rPr>
          <w:rFonts w:ascii="Times New Roman" w:hAnsi="Times New Roman" w:cs="Times New Roman"/>
          <w:szCs w:val="20"/>
          <w:vertAlign w:val="subscript"/>
          <w:lang w:val="en-GB"/>
        </w:rPr>
        <w:t>1/2</w:t>
      </w:r>
      <w:r w:rsidRPr="00EC0D34">
        <w:rPr>
          <w:rFonts w:ascii="Times New Roman" w:hAnsi="Times New Roman" w:cs="Times New Roman"/>
          <w:szCs w:val="20"/>
          <w:lang w:val="en-GB"/>
        </w:rPr>
        <w:t xml:space="preserve"> of TNPC900 remained unchanged (Figure 4a), whereas a significant negative shift was observed for Pt/C (Figure 4(a) inset) under the same condition. Pt/C also experienced 11% loss of the limiting current density. These results indicated TNPC900 had a relatively better stability than Pt/C under alkaline condition. TNPC900 also showed good tolerance to methanol (Figure 4(b)) as the CV curve was similar before and after adding 3 M methanol. Conversely, a visible oxidation peak emerged for Pt/C (Figure 4(b) inset), which was typical owing to the higher selectivity of Pt for methanol oxidation reaction than ORR </w:t>
      </w:r>
      <w:r w:rsidRPr="00EC0D34">
        <w:rPr>
          <w:rFonts w:ascii="Times New Roman" w:hAnsi="Times New Roman" w:cs="Times New Roman"/>
          <w:szCs w:val="20"/>
          <w:lang w:val="en-GB"/>
        </w:rPr>
        <w:fldChar w:fldCharType="begin" w:fldLock="1"/>
      </w:r>
      <w:r w:rsidR="008F2167" w:rsidRPr="00EC0D34">
        <w:rPr>
          <w:rFonts w:ascii="Times New Roman" w:hAnsi="Times New Roman" w:cs="Times New Roman"/>
          <w:szCs w:val="20"/>
          <w:lang w:val="en-GB"/>
        </w:rPr>
        <w:instrText>ADDIN CSL_CITATION {"citationItems":[{"id":"ITEM-1","itemData":{"DOI":"10.1016/j.electacta.2017.08.025","ISSN":"00134686","abstract":"Low-cost and highly active catalysts for oxygen reduction reaction (ORR) were of great importance to the development of fuel cell. Herein, we presented a novel N/B co-doped carbon as cost-effective and stable ORR catalyst from renewable biomass. The as-prepared carbon showed an interesting hollow tube morphology that derived from its precursor. The N/B co-doped sample (NB-HCT) possessed bigger electrochemical active area (296.4 m2 g−1), and also contained much more ORR active-N/B species than those of single N or B doped carbon. Notability, the on-set potential and half-wave potential of NB-HCT were 0.929 V (vs. RHE) and 0.810 V (vs. RHE), respectively, which were much more positive than others and even comparable to Pt/C, revealing it had distinct ORR activity. Remarkably, the superior ORR activity of NB-HCT could be mainly ascribed to the synergistic effect of ORR active-N and B-C, which might result in the possible formation of high-active B-C-N nanostructure. Therefore, NB-HCT should be one of promising ORR catalysts to alternative precious Pt/C and promote the development of fuel cell.","author":[{"dropping-particle":"","family":"Cao","given":"Chun","non-dropping-particle":"","parse-names":false,"suffix":""},{"dropping-particle":"","family":"Wei","given":"Liling","non-dropping-particle":"","parse-names":false,"suffix":""},{"dropping-particle":"","family":"Zhai","given":"Qiran","non-dropping-particle":"","parse-names":false,"suffix":""},{"dropping-particle":"","family":"Wang","given":"Gang","non-dropping-particle":"","parse-names":false,"suffix":""},{"dropping-particle":"","family":"Shen","given":"Jianquan","non-dropping-particle":"","parse-names":false,"suffix":""}],"container-title":"Electrochimica Acta","id":"ITEM-1","issued":{"date-parts":[["2017","9","20"]]},"page":"328-336","publisher":"Pergamon","title":"Biomass-derived nitrogen and boron dual-doped hollow carbon tube as cost-effective and stable synergistic catalyst for oxygen electroreduction","type":"article-journal","volume":"249"},"uris":["http://www.mendeley.com/documents/?uuid=33c95f01-61b4-37e9-a7fb-f70872c9e002"]}],"mendeley":{"formattedCitation":"[37]","plainTextFormattedCitation":"[37]","previouslyFormattedCitation":"[37]"},"properties":{"noteIndex":0},"schema":"https://github.com/citation-style-language/schema/raw/master/csl-citation.json"}</w:instrText>
      </w:r>
      <w:r w:rsidRPr="00EC0D34">
        <w:rPr>
          <w:rFonts w:ascii="Times New Roman" w:hAnsi="Times New Roman" w:cs="Times New Roman"/>
          <w:szCs w:val="20"/>
          <w:lang w:val="en-GB"/>
        </w:rPr>
        <w:fldChar w:fldCharType="separate"/>
      </w:r>
      <w:r w:rsidRPr="00EC0D34">
        <w:rPr>
          <w:rFonts w:ascii="Times New Roman" w:hAnsi="Times New Roman" w:cs="Times New Roman"/>
          <w:noProof/>
          <w:szCs w:val="20"/>
          <w:lang w:val="en-GB"/>
        </w:rPr>
        <w:t>[37]</w:t>
      </w:r>
      <w:r w:rsidRPr="00EC0D34">
        <w:rPr>
          <w:rFonts w:ascii="Times New Roman" w:hAnsi="Times New Roman" w:cs="Times New Roman"/>
          <w:szCs w:val="20"/>
          <w:lang w:val="en-GB"/>
        </w:rPr>
        <w:fldChar w:fldCharType="end"/>
      </w:r>
      <w:r w:rsidRPr="00EC0D34">
        <w:rPr>
          <w:rFonts w:ascii="Times New Roman" w:hAnsi="Times New Roman" w:cs="Times New Roman"/>
          <w:szCs w:val="20"/>
          <w:lang w:val="en-GB"/>
        </w:rPr>
        <w:t>. Therefore, the superior stability and methanol tolerance of TNPC900 over Pt/C signified possible application in direct methanol fuel-cell application.</w:t>
      </w:r>
    </w:p>
    <w:p w14:paraId="0B9DBFB0" w14:textId="77777777" w:rsidR="00E96765" w:rsidRPr="00EC0D34" w:rsidRDefault="00E96765" w:rsidP="00EC0D34">
      <w:pPr>
        <w:outlineLvl w:val="0"/>
        <w:rPr>
          <w:rFonts w:ascii="Times New Roman" w:hAnsi="Times New Roman" w:cs="Times New Roman"/>
          <w:bCs/>
          <w:szCs w:val="20"/>
        </w:rPr>
      </w:pPr>
    </w:p>
    <w:p w14:paraId="733DF941" w14:textId="1B761C5B" w:rsidR="0055271F" w:rsidRPr="00EC0D34" w:rsidRDefault="008F7D10" w:rsidP="00785CA6">
      <w:pPr>
        <w:jc w:val="center"/>
        <w:outlineLvl w:val="0"/>
        <w:rPr>
          <w:rFonts w:ascii="Times New Roman" w:hAnsi="Times New Roman" w:cs="Times New Roman"/>
          <w:bCs/>
          <w:szCs w:val="20"/>
        </w:rPr>
      </w:pPr>
      <w:r w:rsidRPr="00EC0D34">
        <w:rPr>
          <w:noProof/>
        </w:rPr>
        <w:drawing>
          <wp:inline distT="0" distB="0" distL="0" distR="0" wp14:anchorId="02076D23" wp14:editId="1DF01D27">
            <wp:extent cx="4436995" cy="2160000"/>
            <wp:effectExtent l="19050" t="19050" r="2095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6995" cy="2160000"/>
                    </a:xfrm>
                    <a:prstGeom prst="rect">
                      <a:avLst/>
                    </a:prstGeom>
                    <a:ln>
                      <a:solidFill>
                        <a:schemeClr val="tx1"/>
                      </a:solidFill>
                    </a:ln>
                  </pic:spPr>
                </pic:pic>
              </a:graphicData>
            </a:graphic>
          </wp:inline>
        </w:drawing>
      </w:r>
    </w:p>
    <w:p w14:paraId="1D901A50" w14:textId="77777777" w:rsidR="007D4A69" w:rsidRPr="00EC0D34" w:rsidRDefault="007D4A69" w:rsidP="00785CA6">
      <w:pPr>
        <w:jc w:val="center"/>
        <w:outlineLvl w:val="0"/>
        <w:rPr>
          <w:rFonts w:ascii="Times New Roman" w:hAnsi="Times New Roman" w:cs="Times New Roman"/>
          <w:bCs/>
          <w:szCs w:val="20"/>
          <w:lang w:val="en-GB"/>
        </w:rPr>
      </w:pPr>
    </w:p>
    <w:p w14:paraId="1D2A92DF" w14:textId="1F9B1C83" w:rsidR="008F7D10" w:rsidRPr="00EC0D34" w:rsidRDefault="003D2879" w:rsidP="00EC0D34">
      <w:pPr>
        <w:ind w:left="851" w:hanging="851"/>
        <w:outlineLvl w:val="0"/>
        <w:rPr>
          <w:rFonts w:ascii="Times New Roman" w:hAnsi="Times New Roman" w:cs="Times New Roman"/>
          <w:bCs/>
          <w:szCs w:val="20"/>
        </w:rPr>
      </w:pPr>
      <w:r w:rsidRPr="00EC0D34">
        <w:rPr>
          <w:rFonts w:ascii="Times New Roman" w:hAnsi="Times New Roman" w:cs="Times New Roman"/>
          <w:bCs/>
          <w:szCs w:val="20"/>
          <w:lang w:val="en-GB"/>
        </w:rPr>
        <w:t>Figure 4. (a) LSV plots for TNPC900 (inset: Pt/C) before and after 1000 CV cycle in O</w:t>
      </w:r>
      <w:r w:rsidRPr="00EC0D34">
        <w:rPr>
          <w:rFonts w:ascii="Times New Roman" w:hAnsi="Times New Roman" w:cs="Times New Roman"/>
          <w:bCs/>
          <w:szCs w:val="20"/>
          <w:vertAlign w:val="subscript"/>
          <w:lang w:val="en-GB"/>
        </w:rPr>
        <w:t>2</w:t>
      </w:r>
      <w:r w:rsidRPr="00EC0D34">
        <w:rPr>
          <w:rFonts w:ascii="Times New Roman" w:hAnsi="Times New Roman" w:cs="Times New Roman"/>
          <w:bCs/>
          <w:szCs w:val="20"/>
          <w:lang w:val="en-GB"/>
        </w:rPr>
        <w:t>-saturated 0.1 M KOH. (b) CV curves for TNPC900 (inset: Pt/C) before and after 3 M methanol addition</w:t>
      </w:r>
    </w:p>
    <w:p w14:paraId="5287D54D" w14:textId="77777777" w:rsidR="0055271F" w:rsidRPr="00EC0D34" w:rsidRDefault="0055271F" w:rsidP="00785CA6">
      <w:pPr>
        <w:jc w:val="center"/>
        <w:outlineLvl w:val="0"/>
        <w:rPr>
          <w:rFonts w:ascii="Times New Roman" w:hAnsi="Times New Roman" w:cs="Times New Roman"/>
          <w:b/>
          <w:szCs w:val="20"/>
        </w:rPr>
      </w:pPr>
    </w:p>
    <w:p w14:paraId="1B791B64" w14:textId="77777777" w:rsidR="00EC0D34" w:rsidRDefault="00EC0D34" w:rsidP="00785CA6">
      <w:pPr>
        <w:jc w:val="center"/>
        <w:outlineLvl w:val="0"/>
        <w:rPr>
          <w:rFonts w:ascii="Times New Roman" w:hAnsi="Times New Roman" w:cs="Times New Roman"/>
          <w:b/>
          <w:szCs w:val="20"/>
        </w:rPr>
      </w:pPr>
    </w:p>
    <w:p w14:paraId="7A6509F2" w14:textId="4105ED9B" w:rsidR="00785CA6" w:rsidRPr="00EC0D34" w:rsidRDefault="00785CA6" w:rsidP="00785CA6">
      <w:pPr>
        <w:jc w:val="center"/>
        <w:outlineLvl w:val="0"/>
        <w:rPr>
          <w:rFonts w:ascii="Times New Roman" w:hAnsi="Times New Roman" w:cs="Times New Roman"/>
          <w:b/>
          <w:szCs w:val="20"/>
        </w:rPr>
      </w:pPr>
      <w:r w:rsidRPr="00EC0D34">
        <w:rPr>
          <w:rFonts w:ascii="Times New Roman" w:hAnsi="Times New Roman" w:cs="Times New Roman"/>
          <w:b/>
          <w:szCs w:val="20"/>
        </w:rPr>
        <w:lastRenderedPageBreak/>
        <w:t>Conclusion</w:t>
      </w:r>
    </w:p>
    <w:p w14:paraId="71CD3EDE" w14:textId="5ABD101B" w:rsidR="00670B3E" w:rsidRPr="00EC0D34" w:rsidRDefault="008F2167" w:rsidP="00670B3E">
      <w:pPr>
        <w:rPr>
          <w:rFonts w:ascii="Times New Roman" w:hAnsi="Times New Roman" w:cs="Times New Roman"/>
          <w:szCs w:val="20"/>
        </w:rPr>
      </w:pPr>
      <w:r w:rsidRPr="00EC0D34">
        <w:rPr>
          <w:rFonts w:ascii="Times New Roman" w:hAnsi="Times New Roman" w:cs="Times New Roman"/>
          <w:szCs w:val="20"/>
          <w:lang w:val="en-GB"/>
        </w:rPr>
        <w:t>We successfully fabricated nitrogen-doped porous carbon from textile waste through chemical activation and pyrolysis. Calcium chloride-induced pore formation and urea served as the nitrogen precursor. Different pyrolysis temperatures (from 800 °C to 1000 °C) impacted the surface characteristics and ORR performance of the TNPCs produced. Among the TNPCs prepared, TNPC900 catalyst exhibited the highest ORR activity with the least H</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O</w:t>
      </w:r>
      <w:r w:rsidRPr="00EC0D34">
        <w:rPr>
          <w:rFonts w:ascii="Times New Roman" w:hAnsi="Times New Roman" w:cs="Times New Roman"/>
          <w:szCs w:val="20"/>
          <w:vertAlign w:val="subscript"/>
          <w:lang w:val="en-GB"/>
        </w:rPr>
        <w:t>2</w:t>
      </w:r>
      <w:r w:rsidRPr="00EC0D34">
        <w:rPr>
          <w:rFonts w:ascii="Times New Roman" w:hAnsi="Times New Roman" w:cs="Times New Roman"/>
          <w:szCs w:val="20"/>
          <w:lang w:val="en-GB"/>
        </w:rPr>
        <w:t xml:space="preserve"> formation. The excellent electrocatalytic activity may be attributed to the collusion of high surface area, proper ratio of mesopores and micropores, and high pyridinic-N. Although ORR performance was slightly inferior to that of Pt/C, TNPC900 is a good potential Pt substitute because of its abundantly available resource and simple production method. TNPC900 also showed better stability and methanol immunity than commercial Pt/C catalyst, making it potentially suitable for direct methanol fuel-cell application</w:t>
      </w:r>
      <w:r w:rsidR="00670B3E" w:rsidRPr="00EC0D34">
        <w:rPr>
          <w:rFonts w:ascii="Times New Roman" w:hAnsi="Times New Roman" w:cs="Times New Roman"/>
          <w:szCs w:val="20"/>
        </w:rPr>
        <w:t>.</w:t>
      </w:r>
    </w:p>
    <w:p w14:paraId="31421584" w14:textId="77777777" w:rsidR="003A2A26" w:rsidRPr="00EC0D34" w:rsidRDefault="003A2A26" w:rsidP="003A2A26">
      <w:pPr>
        <w:jc w:val="center"/>
        <w:outlineLvl w:val="0"/>
        <w:rPr>
          <w:rFonts w:ascii="Times New Roman" w:hAnsi="Times New Roman" w:cs="Times New Roman"/>
          <w:szCs w:val="20"/>
        </w:rPr>
      </w:pPr>
    </w:p>
    <w:p w14:paraId="4F40306F" w14:textId="77777777" w:rsidR="00785CA6" w:rsidRPr="00EC0D34" w:rsidRDefault="00785CA6" w:rsidP="00785CA6">
      <w:pPr>
        <w:jc w:val="center"/>
        <w:outlineLvl w:val="0"/>
        <w:rPr>
          <w:rFonts w:ascii="Times New Roman" w:hAnsi="Times New Roman" w:cs="Times New Roman"/>
          <w:b/>
          <w:szCs w:val="20"/>
        </w:rPr>
      </w:pPr>
      <w:r w:rsidRPr="00EC0D34">
        <w:rPr>
          <w:rFonts w:ascii="Times New Roman" w:hAnsi="Times New Roman" w:cs="Times New Roman"/>
          <w:b/>
          <w:szCs w:val="20"/>
        </w:rPr>
        <w:t>Acknowledgement</w:t>
      </w:r>
    </w:p>
    <w:p w14:paraId="11BD525D" w14:textId="0CDBA9AC" w:rsidR="004306C8" w:rsidRPr="00EC0D34" w:rsidRDefault="00862E3E" w:rsidP="00785CA6">
      <w:pPr>
        <w:outlineLvl w:val="0"/>
        <w:rPr>
          <w:rFonts w:ascii="Times New Roman" w:hAnsi="Times New Roman" w:cs="Times New Roman"/>
          <w:szCs w:val="20"/>
        </w:rPr>
      </w:pPr>
      <w:r w:rsidRPr="00EC0D34">
        <w:rPr>
          <w:rFonts w:ascii="Times New Roman" w:hAnsi="Times New Roman" w:cs="Times New Roman"/>
          <w:szCs w:val="20"/>
        </w:rPr>
        <w:t xml:space="preserve">This work is financially supported by the Ministry of Higher Education of Malaysia: TRGS/1/2018/UKM/01/6/2 and </w:t>
      </w:r>
      <w:proofErr w:type="spellStart"/>
      <w:r w:rsidRPr="00EC0D34">
        <w:rPr>
          <w:rFonts w:ascii="Times New Roman" w:hAnsi="Times New Roman" w:cs="Times New Roman"/>
          <w:szCs w:val="20"/>
        </w:rPr>
        <w:t>Universiti</w:t>
      </w:r>
      <w:proofErr w:type="spellEnd"/>
      <w:r w:rsidRPr="00EC0D34">
        <w:rPr>
          <w:rFonts w:ascii="Times New Roman" w:hAnsi="Times New Roman" w:cs="Times New Roman"/>
          <w:szCs w:val="20"/>
        </w:rPr>
        <w:t xml:space="preserve"> </w:t>
      </w:r>
      <w:proofErr w:type="spellStart"/>
      <w:r w:rsidRPr="00EC0D34">
        <w:rPr>
          <w:rFonts w:ascii="Times New Roman" w:hAnsi="Times New Roman" w:cs="Times New Roman"/>
          <w:szCs w:val="20"/>
        </w:rPr>
        <w:t>Kebangsaan</w:t>
      </w:r>
      <w:proofErr w:type="spellEnd"/>
      <w:r w:rsidRPr="00EC0D34">
        <w:rPr>
          <w:rFonts w:ascii="Times New Roman" w:hAnsi="Times New Roman" w:cs="Times New Roman"/>
          <w:szCs w:val="20"/>
        </w:rPr>
        <w:t xml:space="preserve"> Malaysia: </w:t>
      </w:r>
      <w:r w:rsidR="00C006D1" w:rsidRPr="00EC0D34">
        <w:rPr>
          <w:rFonts w:ascii="Times New Roman" w:hAnsi="Times New Roman" w:cs="Times New Roman"/>
          <w:szCs w:val="20"/>
        </w:rPr>
        <w:t>DIP-2019-021</w:t>
      </w:r>
      <w:r w:rsidR="004306C8" w:rsidRPr="00EC0D34">
        <w:rPr>
          <w:rFonts w:ascii="Times New Roman" w:hAnsi="Times New Roman" w:cs="Times New Roman"/>
          <w:szCs w:val="20"/>
        </w:rPr>
        <w:t xml:space="preserve">. </w:t>
      </w:r>
    </w:p>
    <w:p w14:paraId="7FE55FE2" w14:textId="77777777" w:rsidR="003A2A26" w:rsidRPr="00EC0D34" w:rsidRDefault="003A2A26" w:rsidP="00C37908">
      <w:pPr>
        <w:outlineLvl w:val="0"/>
        <w:rPr>
          <w:rFonts w:ascii="Times New Roman" w:hAnsi="Times New Roman" w:cs="Times New Roman"/>
          <w:b/>
          <w:szCs w:val="20"/>
        </w:rPr>
      </w:pPr>
    </w:p>
    <w:p w14:paraId="1D9C6607" w14:textId="7FACACAE" w:rsidR="00785CA6" w:rsidRPr="00EC0D34" w:rsidRDefault="00785CA6" w:rsidP="003A2A26">
      <w:pPr>
        <w:jc w:val="center"/>
        <w:outlineLvl w:val="0"/>
        <w:rPr>
          <w:rFonts w:ascii="Times New Roman" w:hAnsi="Times New Roman" w:cs="Times New Roman"/>
          <w:b/>
          <w:szCs w:val="20"/>
        </w:rPr>
      </w:pPr>
      <w:r w:rsidRPr="00EC0D34">
        <w:rPr>
          <w:rFonts w:ascii="Times New Roman" w:hAnsi="Times New Roman" w:cs="Times New Roman"/>
          <w:b/>
          <w:szCs w:val="20"/>
        </w:rPr>
        <w:t>References</w:t>
      </w:r>
    </w:p>
    <w:p w14:paraId="34AD111E" w14:textId="77777777" w:rsidR="00DC266C" w:rsidRDefault="00197D1C" w:rsidP="00DC266C">
      <w:pPr>
        <w:pStyle w:val="ListParagraph"/>
        <w:numPr>
          <w:ilvl w:val="0"/>
          <w:numId w:val="3"/>
        </w:numPr>
        <w:adjustRightInd w:val="0"/>
        <w:ind w:left="567" w:hanging="567"/>
        <w:rPr>
          <w:rFonts w:ascii="Times New Roman" w:hAnsi="Times New Roman" w:cs="Times New Roman"/>
          <w:noProof/>
          <w:szCs w:val="24"/>
        </w:rPr>
      </w:pPr>
      <w:r w:rsidRPr="00EC0D34">
        <w:rPr>
          <w:rFonts w:ascii="Times New Roman" w:hAnsi="Times New Roman" w:cs="Times New Roman"/>
          <w:szCs w:val="20"/>
          <w:lang w:val="en-GB"/>
        </w:rPr>
        <w:fldChar w:fldCharType="begin" w:fldLock="1"/>
      </w:r>
      <w:r w:rsidRPr="00DC266C">
        <w:rPr>
          <w:rFonts w:ascii="Times New Roman" w:hAnsi="Times New Roman" w:cs="Times New Roman"/>
          <w:szCs w:val="20"/>
          <w:lang w:val="en-GB"/>
        </w:rPr>
        <w:instrText xml:space="preserve">ADDIN Mendeley Bibliography CSL_BIBLIOGRAPHY </w:instrText>
      </w:r>
      <w:r w:rsidRPr="00EC0D34">
        <w:rPr>
          <w:rFonts w:ascii="Times New Roman" w:hAnsi="Times New Roman" w:cs="Times New Roman"/>
          <w:szCs w:val="20"/>
          <w:lang w:val="en-GB"/>
        </w:rPr>
        <w:fldChar w:fldCharType="separate"/>
      </w:r>
      <w:r w:rsidRPr="00DC266C">
        <w:rPr>
          <w:rFonts w:ascii="Times New Roman" w:hAnsi="Times New Roman" w:cs="Times New Roman"/>
          <w:noProof/>
          <w:szCs w:val="24"/>
        </w:rPr>
        <w:t>Steele, B. C. H.</w:t>
      </w:r>
      <w:r w:rsidR="00DC266C">
        <w:rPr>
          <w:rFonts w:ascii="Times New Roman" w:hAnsi="Times New Roman" w:cs="Times New Roman"/>
          <w:noProof/>
          <w:szCs w:val="24"/>
        </w:rPr>
        <w:t xml:space="preserve"> and </w:t>
      </w:r>
      <w:r w:rsidRPr="00DC266C">
        <w:rPr>
          <w:rFonts w:ascii="Times New Roman" w:hAnsi="Times New Roman" w:cs="Times New Roman"/>
          <w:noProof/>
          <w:szCs w:val="24"/>
        </w:rPr>
        <w:t xml:space="preserve">Heinzel, A. (2001). Materials for fuel-cell technologies. </w:t>
      </w:r>
      <w:r w:rsidRPr="00DC266C">
        <w:rPr>
          <w:rFonts w:ascii="Times New Roman" w:hAnsi="Times New Roman" w:cs="Times New Roman"/>
          <w:i/>
          <w:iCs/>
          <w:noProof/>
          <w:szCs w:val="24"/>
        </w:rPr>
        <w:t>Nature</w:t>
      </w:r>
      <w:r w:rsidRPr="00DC266C">
        <w:rPr>
          <w:rFonts w:ascii="Times New Roman" w:hAnsi="Times New Roman" w:cs="Times New Roman"/>
          <w:noProof/>
          <w:szCs w:val="24"/>
        </w:rPr>
        <w:t>, 414(6861)</w:t>
      </w:r>
      <w:r w:rsidR="00DC266C">
        <w:rPr>
          <w:rFonts w:ascii="Times New Roman" w:hAnsi="Times New Roman" w:cs="Times New Roman"/>
          <w:noProof/>
          <w:szCs w:val="24"/>
        </w:rPr>
        <w:t>:</w:t>
      </w:r>
      <w:r w:rsidRPr="00DC266C">
        <w:rPr>
          <w:rFonts w:ascii="Times New Roman" w:hAnsi="Times New Roman" w:cs="Times New Roman"/>
          <w:noProof/>
          <w:szCs w:val="24"/>
        </w:rPr>
        <w:t xml:space="preserve"> 345</w:t>
      </w:r>
      <w:r w:rsidR="00DC266C">
        <w:rPr>
          <w:rFonts w:ascii="Times New Roman" w:hAnsi="Times New Roman" w:cs="Times New Roman"/>
          <w:noProof/>
          <w:szCs w:val="24"/>
        </w:rPr>
        <w:t>-</w:t>
      </w:r>
      <w:r w:rsidRPr="00DC266C">
        <w:rPr>
          <w:rFonts w:ascii="Times New Roman" w:hAnsi="Times New Roman" w:cs="Times New Roman"/>
          <w:noProof/>
          <w:szCs w:val="24"/>
        </w:rPr>
        <w:t xml:space="preserve">352. </w:t>
      </w:r>
    </w:p>
    <w:p w14:paraId="2F844DCA" w14:textId="77777777" w:rsidR="00DC266C" w:rsidRDefault="00197D1C" w:rsidP="00DC266C">
      <w:pPr>
        <w:pStyle w:val="ListParagraph"/>
        <w:numPr>
          <w:ilvl w:val="0"/>
          <w:numId w:val="3"/>
        </w:numPr>
        <w:adjustRightInd w:val="0"/>
        <w:ind w:left="567" w:hanging="567"/>
        <w:rPr>
          <w:rFonts w:ascii="Times New Roman" w:hAnsi="Times New Roman" w:cs="Times New Roman"/>
          <w:noProof/>
          <w:szCs w:val="24"/>
        </w:rPr>
      </w:pPr>
      <w:r w:rsidRPr="00DC266C">
        <w:rPr>
          <w:rFonts w:ascii="Times New Roman" w:hAnsi="Times New Roman" w:cs="Times New Roman"/>
          <w:noProof/>
          <w:szCs w:val="24"/>
        </w:rPr>
        <w:t>Wang, Y., Li, J.</w:t>
      </w:r>
      <w:r w:rsidR="00DC266C">
        <w:rPr>
          <w:rFonts w:ascii="Times New Roman" w:hAnsi="Times New Roman" w:cs="Times New Roman"/>
          <w:noProof/>
          <w:szCs w:val="24"/>
        </w:rPr>
        <w:t xml:space="preserve"> and </w:t>
      </w:r>
      <w:r w:rsidRPr="00DC266C">
        <w:rPr>
          <w:rFonts w:ascii="Times New Roman" w:hAnsi="Times New Roman" w:cs="Times New Roman"/>
          <w:noProof/>
          <w:szCs w:val="24"/>
        </w:rPr>
        <w:t xml:space="preserve">Wei, Z. (2018). Transition-metal-oxide-based catalysts for the oxygen reduction reaction. </w:t>
      </w:r>
      <w:r w:rsidRPr="00DC266C">
        <w:rPr>
          <w:rFonts w:ascii="Times New Roman" w:hAnsi="Times New Roman" w:cs="Times New Roman"/>
          <w:i/>
          <w:iCs/>
          <w:noProof/>
          <w:szCs w:val="24"/>
        </w:rPr>
        <w:t>Journal of Materials Chemistry A</w:t>
      </w:r>
      <w:r w:rsidRPr="00DC266C">
        <w:rPr>
          <w:rFonts w:ascii="Times New Roman" w:hAnsi="Times New Roman" w:cs="Times New Roman"/>
          <w:noProof/>
          <w:szCs w:val="24"/>
        </w:rPr>
        <w:t>, 6(18)</w:t>
      </w:r>
      <w:r w:rsidR="00DC266C">
        <w:rPr>
          <w:rFonts w:ascii="Times New Roman" w:hAnsi="Times New Roman" w:cs="Times New Roman"/>
          <w:noProof/>
          <w:szCs w:val="24"/>
        </w:rPr>
        <w:t>:</w:t>
      </w:r>
      <w:r w:rsidRPr="00DC266C">
        <w:rPr>
          <w:rFonts w:ascii="Times New Roman" w:hAnsi="Times New Roman" w:cs="Times New Roman"/>
          <w:noProof/>
          <w:szCs w:val="24"/>
        </w:rPr>
        <w:t xml:space="preserve"> 8194</w:t>
      </w:r>
      <w:r w:rsidR="00DC266C">
        <w:rPr>
          <w:rFonts w:ascii="Times New Roman" w:hAnsi="Times New Roman" w:cs="Times New Roman"/>
          <w:noProof/>
          <w:szCs w:val="24"/>
        </w:rPr>
        <w:t>-</w:t>
      </w:r>
      <w:r w:rsidRPr="00DC266C">
        <w:rPr>
          <w:rFonts w:ascii="Times New Roman" w:hAnsi="Times New Roman" w:cs="Times New Roman"/>
          <w:noProof/>
          <w:szCs w:val="24"/>
        </w:rPr>
        <w:t>8209.</w:t>
      </w:r>
    </w:p>
    <w:p w14:paraId="4644ADC8" w14:textId="77777777" w:rsidR="00DC266C" w:rsidRDefault="00197D1C" w:rsidP="00DC266C">
      <w:pPr>
        <w:pStyle w:val="ListParagraph"/>
        <w:numPr>
          <w:ilvl w:val="0"/>
          <w:numId w:val="3"/>
        </w:numPr>
        <w:adjustRightInd w:val="0"/>
        <w:ind w:left="567" w:hanging="567"/>
        <w:rPr>
          <w:rFonts w:ascii="Times New Roman" w:hAnsi="Times New Roman" w:cs="Times New Roman"/>
          <w:noProof/>
          <w:szCs w:val="24"/>
        </w:rPr>
      </w:pPr>
      <w:r w:rsidRPr="00DC266C">
        <w:rPr>
          <w:rFonts w:ascii="Times New Roman" w:hAnsi="Times New Roman" w:cs="Times New Roman"/>
          <w:noProof/>
          <w:szCs w:val="24"/>
        </w:rPr>
        <w:t>Karim, N. A.</w:t>
      </w:r>
      <w:r w:rsidR="00DC266C">
        <w:rPr>
          <w:rFonts w:ascii="Times New Roman" w:hAnsi="Times New Roman" w:cs="Times New Roman"/>
          <w:noProof/>
          <w:szCs w:val="24"/>
        </w:rPr>
        <w:t xml:space="preserve"> and </w:t>
      </w:r>
      <w:r w:rsidRPr="00DC266C">
        <w:rPr>
          <w:rFonts w:ascii="Times New Roman" w:hAnsi="Times New Roman" w:cs="Times New Roman"/>
          <w:noProof/>
          <w:szCs w:val="24"/>
        </w:rPr>
        <w:t xml:space="preserve">Kamarudin, S. K. (2013). An overview on non-platinum cathode catalysts for direct methanol fuel cell. </w:t>
      </w:r>
      <w:r w:rsidRPr="00DC266C">
        <w:rPr>
          <w:rFonts w:ascii="Times New Roman" w:hAnsi="Times New Roman" w:cs="Times New Roman"/>
          <w:i/>
          <w:iCs/>
          <w:noProof/>
          <w:szCs w:val="24"/>
        </w:rPr>
        <w:t>Applied Energy</w:t>
      </w:r>
      <w:r w:rsidRPr="00DC266C">
        <w:rPr>
          <w:rFonts w:ascii="Times New Roman" w:hAnsi="Times New Roman" w:cs="Times New Roman"/>
          <w:noProof/>
          <w:szCs w:val="24"/>
        </w:rPr>
        <w:t>, 103(9)</w:t>
      </w:r>
      <w:r w:rsidR="00DC266C">
        <w:rPr>
          <w:rFonts w:ascii="Times New Roman" w:hAnsi="Times New Roman" w:cs="Times New Roman"/>
          <w:noProof/>
          <w:szCs w:val="24"/>
        </w:rPr>
        <w:t xml:space="preserve">: </w:t>
      </w:r>
      <w:r w:rsidRPr="00DC266C">
        <w:rPr>
          <w:rFonts w:ascii="Times New Roman" w:hAnsi="Times New Roman" w:cs="Times New Roman"/>
          <w:noProof/>
          <w:szCs w:val="24"/>
        </w:rPr>
        <w:t>212</w:t>
      </w:r>
      <w:r w:rsidR="00DC266C">
        <w:rPr>
          <w:rFonts w:ascii="Times New Roman" w:hAnsi="Times New Roman" w:cs="Times New Roman"/>
          <w:noProof/>
          <w:szCs w:val="24"/>
        </w:rPr>
        <w:t>-</w:t>
      </w:r>
      <w:r w:rsidRPr="00DC266C">
        <w:rPr>
          <w:rFonts w:ascii="Times New Roman" w:hAnsi="Times New Roman" w:cs="Times New Roman"/>
          <w:noProof/>
          <w:szCs w:val="24"/>
        </w:rPr>
        <w:t>220.</w:t>
      </w:r>
    </w:p>
    <w:p w14:paraId="280F1565" w14:textId="77777777" w:rsidR="00DC266C" w:rsidRDefault="00197D1C" w:rsidP="00DC266C">
      <w:pPr>
        <w:pStyle w:val="ListParagraph"/>
        <w:numPr>
          <w:ilvl w:val="0"/>
          <w:numId w:val="3"/>
        </w:numPr>
        <w:adjustRightInd w:val="0"/>
        <w:ind w:left="567" w:hanging="567"/>
        <w:rPr>
          <w:rFonts w:ascii="Times New Roman" w:hAnsi="Times New Roman" w:cs="Times New Roman"/>
          <w:noProof/>
          <w:szCs w:val="24"/>
        </w:rPr>
      </w:pPr>
      <w:r w:rsidRPr="00DC266C">
        <w:rPr>
          <w:rFonts w:ascii="Times New Roman" w:hAnsi="Times New Roman" w:cs="Times New Roman"/>
          <w:noProof/>
          <w:szCs w:val="24"/>
        </w:rPr>
        <w:t>Wu, Z., Song, M., Wang, J.</w:t>
      </w:r>
      <w:r w:rsidR="00DC266C">
        <w:rPr>
          <w:rFonts w:ascii="Times New Roman" w:hAnsi="Times New Roman" w:cs="Times New Roman"/>
          <w:noProof/>
          <w:szCs w:val="24"/>
        </w:rPr>
        <w:t xml:space="preserve"> and </w:t>
      </w:r>
      <w:r w:rsidRPr="00DC266C">
        <w:rPr>
          <w:rFonts w:ascii="Times New Roman" w:hAnsi="Times New Roman" w:cs="Times New Roman"/>
          <w:noProof/>
          <w:szCs w:val="24"/>
        </w:rPr>
        <w:t xml:space="preserve">Liu, X. (2018). Recent progress in nitrogen-doped metal-free electrocatalysts for oxygen reduction reaction. </w:t>
      </w:r>
      <w:r w:rsidRPr="00DC266C">
        <w:rPr>
          <w:rFonts w:ascii="Times New Roman" w:hAnsi="Times New Roman" w:cs="Times New Roman"/>
          <w:i/>
          <w:iCs/>
          <w:noProof/>
          <w:szCs w:val="24"/>
        </w:rPr>
        <w:t>Catalysts</w:t>
      </w:r>
      <w:r w:rsidRPr="00DC266C">
        <w:rPr>
          <w:rFonts w:ascii="Times New Roman" w:hAnsi="Times New Roman" w:cs="Times New Roman"/>
          <w:noProof/>
          <w:szCs w:val="24"/>
        </w:rPr>
        <w:t>, 8(5)</w:t>
      </w:r>
      <w:r w:rsidR="00DC266C">
        <w:rPr>
          <w:rFonts w:ascii="Times New Roman" w:hAnsi="Times New Roman" w:cs="Times New Roman"/>
          <w:noProof/>
          <w:szCs w:val="24"/>
        </w:rPr>
        <w:t xml:space="preserve">: </w:t>
      </w:r>
      <w:r w:rsidRPr="00DC266C">
        <w:rPr>
          <w:rFonts w:ascii="Times New Roman" w:hAnsi="Times New Roman" w:cs="Times New Roman"/>
          <w:noProof/>
          <w:szCs w:val="24"/>
        </w:rPr>
        <w:t>196.</w:t>
      </w:r>
    </w:p>
    <w:p w14:paraId="796CCA76"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DC266C">
        <w:rPr>
          <w:rFonts w:ascii="Times New Roman" w:hAnsi="Times New Roman" w:cs="Times New Roman"/>
          <w:noProof/>
          <w:szCs w:val="24"/>
        </w:rPr>
        <w:t>Guo, D., Shibuya, R., Akiba, C., Saji, S., Kondo, T.</w:t>
      </w:r>
      <w:r w:rsidR="00DC266C">
        <w:rPr>
          <w:rFonts w:ascii="Times New Roman" w:hAnsi="Times New Roman" w:cs="Times New Roman"/>
          <w:noProof/>
          <w:szCs w:val="24"/>
        </w:rPr>
        <w:t xml:space="preserve"> and </w:t>
      </w:r>
      <w:r w:rsidRPr="00DC266C">
        <w:rPr>
          <w:rFonts w:ascii="Times New Roman" w:hAnsi="Times New Roman" w:cs="Times New Roman"/>
          <w:noProof/>
          <w:szCs w:val="24"/>
        </w:rPr>
        <w:t xml:space="preserve">Nakamura, J. (2016). Active sites of nitrogen-doped carbon materials for oxygen reduction reaction clarified using model catalysts. </w:t>
      </w:r>
      <w:r w:rsidRPr="00DC266C">
        <w:rPr>
          <w:rFonts w:ascii="Times New Roman" w:hAnsi="Times New Roman" w:cs="Times New Roman"/>
          <w:i/>
          <w:iCs/>
          <w:noProof/>
          <w:szCs w:val="24"/>
        </w:rPr>
        <w:t>Science</w:t>
      </w:r>
      <w:r w:rsidRPr="00DC266C">
        <w:rPr>
          <w:rFonts w:ascii="Times New Roman" w:hAnsi="Times New Roman" w:cs="Times New Roman"/>
          <w:noProof/>
          <w:szCs w:val="24"/>
        </w:rPr>
        <w:t>, 351(6271)</w:t>
      </w:r>
      <w:r w:rsidR="00DC266C">
        <w:rPr>
          <w:rFonts w:ascii="Times New Roman" w:hAnsi="Times New Roman" w:cs="Times New Roman"/>
          <w:noProof/>
          <w:szCs w:val="24"/>
        </w:rPr>
        <w:t>:</w:t>
      </w:r>
      <w:r w:rsidRPr="00DC266C">
        <w:rPr>
          <w:rFonts w:ascii="Times New Roman" w:hAnsi="Times New Roman" w:cs="Times New Roman"/>
          <w:noProof/>
          <w:szCs w:val="24"/>
        </w:rPr>
        <w:t xml:space="preserve"> 361</w:t>
      </w:r>
      <w:r w:rsidR="00DC266C">
        <w:rPr>
          <w:rFonts w:ascii="Times New Roman" w:hAnsi="Times New Roman" w:cs="Times New Roman"/>
          <w:noProof/>
          <w:szCs w:val="24"/>
        </w:rPr>
        <w:t>-</w:t>
      </w:r>
      <w:r w:rsidRPr="00DC266C">
        <w:rPr>
          <w:rFonts w:ascii="Times New Roman" w:hAnsi="Times New Roman" w:cs="Times New Roman"/>
          <w:noProof/>
          <w:szCs w:val="24"/>
        </w:rPr>
        <w:t>365.</w:t>
      </w:r>
    </w:p>
    <w:p w14:paraId="6E2DF2EC"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Li, J., Wang, S., Ren, Y., Ren, Z., Qiu, Y.</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Yu, J. (2014). Nitrogen-doped activated carbon with micrometer-scale channels derived from luffa sponge fibers as electrocatalysts for oxygen reduction reaction with high stability in acidic media. </w:t>
      </w:r>
      <w:r w:rsidRPr="000E148B">
        <w:rPr>
          <w:rFonts w:ascii="Times New Roman" w:hAnsi="Times New Roman" w:cs="Times New Roman"/>
          <w:i/>
          <w:iCs/>
          <w:noProof/>
          <w:szCs w:val="24"/>
        </w:rPr>
        <w:t>Electrochimica Acta</w:t>
      </w:r>
      <w:r w:rsidRPr="000E148B">
        <w:rPr>
          <w:rFonts w:ascii="Times New Roman" w:hAnsi="Times New Roman" w:cs="Times New Roman"/>
          <w:noProof/>
          <w:szCs w:val="24"/>
        </w:rPr>
        <w:t>, 149</w:t>
      </w:r>
      <w:r w:rsidR="000E148B">
        <w:rPr>
          <w:rFonts w:ascii="Times New Roman" w:hAnsi="Times New Roman" w:cs="Times New Roman"/>
          <w:noProof/>
          <w:szCs w:val="24"/>
        </w:rPr>
        <w:t xml:space="preserve">: </w:t>
      </w:r>
      <w:r w:rsidRPr="000E148B">
        <w:rPr>
          <w:rFonts w:ascii="Times New Roman" w:hAnsi="Times New Roman" w:cs="Times New Roman"/>
          <w:noProof/>
          <w:szCs w:val="24"/>
        </w:rPr>
        <w:t>56</w:t>
      </w:r>
      <w:r w:rsidR="000E148B">
        <w:rPr>
          <w:rFonts w:ascii="Times New Roman" w:hAnsi="Times New Roman" w:cs="Times New Roman"/>
          <w:noProof/>
          <w:szCs w:val="24"/>
        </w:rPr>
        <w:t>-</w:t>
      </w:r>
      <w:r w:rsidRPr="000E148B">
        <w:rPr>
          <w:rFonts w:ascii="Times New Roman" w:hAnsi="Times New Roman" w:cs="Times New Roman"/>
          <w:noProof/>
          <w:szCs w:val="24"/>
        </w:rPr>
        <w:t>64.</w:t>
      </w:r>
    </w:p>
    <w:p w14:paraId="5E1C075B"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Quílez-Bermejo, J., Morallón, E.</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Cazorla-Amorós, D. (2020). Metal-free heteroatom-doped carbon-based catalysts for ORR. A critical assessment about the role of heteroatoms. </w:t>
      </w:r>
      <w:r w:rsidRPr="000E148B">
        <w:rPr>
          <w:rFonts w:ascii="Times New Roman" w:hAnsi="Times New Roman" w:cs="Times New Roman"/>
          <w:i/>
          <w:iCs/>
          <w:noProof/>
          <w:szCs w:val="24"/>
        </w:rPr>
        <w:t>Carbon</w:t>
      </w:r>
      <w:r w:rsidRPr="000E148B">
        <w:rPr>
          <w:rFonts w:ascii="Times New Roman" w:hAnsi="Times New Roman" w:cs="Times New Roman"/>
          <w:noProof/>
          <w:szCs w:val="24"/>
        </w:rPr>
        <w:t>, 165</w:t>
      </w:r>
      <w:r w:rsidR="000E148B">
        <w:rPr>
          <w:rFonts w:ascii="Times New Roman" w:hAnsi="Times New Roman" w:cs="Times New Roman"/>
          <w:noProof/>
          <w:szCs w:val="24"/>
        </w:rPr>
        <w:t xml:space="preserve">: </w:t>
      </w:r>
      <w:r w:rsidRPr="000E148B">
        <w:rPr>
          <w:rFonts w:ascii="Times New Roman" w:hAnsi="Times New Roman" w:cs="Times New Roman"/>
          <w:noProof/>
          <w:szCs w:val="24"/>
        </w:rPr>
        <w:t>434</w:t>
      </w:r>
      <w:r w:rsidR="000E148B">
        <w:rPr>
          <w:rFonts w:ascii="Times New Roman" w:hAnsi="Times New Roman" w:cs="Times New Roman"/>
          <w:noProof/>
          <w:szCs w:val="24"/>
        </w:rPr>
        <w:t>-</w:t>
      </w:r>
      <w:r w:rsidRPr="000E148B">
        <w:rPr>
          <w:rFonts w:ascii="Times New Roman" w:hAnsi="Times New Roman" w:cs="Times New Roman"/>
          <w:noProof/>
          <w:szCs w:val="24"/>
        </w:rPr>
        <w:t>454.</w:t>
      </w:r>
    </w:p>
    <w:p w14:paraId="2361144A"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Gao, Z., Zhang, Y., Song, N.</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Li, X. (2017). Biomass-derived renewable carbon materials for electrochemical energy storage. </w:t>
      </w:r>
      <w:r w:rsidRPr="000E148B">
        <w:rPr>
          <w:rFonts w:ascii="Times New Roman" w:hAnsi="Times New Roman" w:cs="Times New Roman"/>
          <w:i/>
          <w:iCs/>
          <w:noProof/>
          <w:szCs w:val="24"/>
        </w:rPr>
        <w:t>Materials Research Letters</w:t>
      </w:r>
      <w:r w:rsidRPr="000E148B">
        <w:rPr>
          <w:rFonts w:ascii="Times New Roman" w:hAnsi="Times New Roman" w:cs="Times New Roman"/>
          <w:noProof/>
          <w:szCs w:val="24"/>
        </w:rPr>
        <w:t>, 5(2)</w:t>
      </w:r>
      <w:r w:rsidR="000E148B">
        <w:rPr>
          <w:rFonts w:ascii="Times New Roman" w:hAnsi="Times New Roman" w:cs="Times New Roman"/>
          <w:noProof/>
          <w:szCs w:val="24"/>
        </w:rPr>
        <w:t>:</w:t>
      </w:r>
      <w:r w:rsidRPr="000E148B">
        <w:rPr>
          <w:rFonts w:ascii="Times New Roman" w:hAnsi="Times New Roman" w:cs="Times New Roman"/>
          <w:noProof/>
          <w:szCs w:val="24"/>
        </w:rPr>
        <w:t xml:space="preserve"> 69</w:t>
      </w:r>
      <w:r w:rsidR="000E148B">
        <w:rPr>
          <w:rFonts w:ascii="Times New Roman" w:hAnsi="Times New Roman" w:cs="Times New Roman"/>
          <w:noProof/>
          <w:szCs w:val="24"/>
        </w:rPr>
        <w:t>-</w:t>
      </w:r>
      <w:r w:rsidRPr="000E148B">
        <w:rPr>
          <w:rFonts w:ascii="Times New Roman" w:hAnsi="Times New Roman" w:cs="Times New Roman"/>
          <w:noProof/>
          <w:szCs w:val="24"/>
        </w:rPr>
        <w:t>88.</w:t>
      </w:r>
    </w:p>
    <w:p w14:paraId="241E6CE1"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Borghei, M., Lehtonen, J., Liu, L.</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Rojas, O. J. (2018). Advanced </w:t>
      </w:r>
      <w:r w:rsidR="000E148B" w:rsidRPr="000E148B">
        <w:rPr>
          <w:rFonts w:ascii="Times New Roman" w:hAnsi="Times New Roman" w:cs="Times New Roman"/>
          <w:noProof/>
          <w:szCs w:val="24"/>
        </w:rPr>
        <w:t xml:space="preserve">biomass-derived electrocatalysts for the oxygen reduction reaction. </w:t>
      </w:r>
      <w:r w:rsidRPr="000E148B">
        <w:rPr>
          <w:rFonts w:ascii="Times New Roman" w:hAnsi="Times New Roman" w:cs="Times New Roman"/>
          <w:i/>
          <w:iCs/>
          <w:noProof/>
          <w:szCs w:val="24"/>
        </w:rPr>
        <w:t>Advanced Materials</w:t>
      </w:r>
      <w:r w:rsidRPr="000E148B">
        <w:rPr>
          <w:rFonts w:ascii="Times New Roman" w:hAnsi="Times New Roman" w:cs="Times New Roman"/>
          <w:noProof/>
          <w:szCs w:val="24"/>
        </w:rPr>
        <w:t>, 30(24)</w:t>
      </w:r>
      <w:r w:rsidR="000E148B">
        <w:rPr>
          <w:rFonts w:ascii="Times New Roman" w:hAnsi="Times New Roman" w:cs="Times New Roman"/>
          <w:noProof/>
          <w:szCs w:val="24"/>
        </w:rPr>
        <w:t xml:space="preserve">: </w:t>
      </w:r>
      <w:r w:rsidRPr="000E148B">
        <w:rPr>
          <w:rFonts w:ascii="Times New Roman" w:hAnsi="Times New Roman" w:cs="Times New Roman"/>
          <w:noProof/>
          <w:szCs w:val="24"/>
        </w:rPr>
        <w:t>1703691.</w:t>
      </w:r>
    </w:p>
    <w:p w14:paraId="26D9305D"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Kaur, P., Verma, G.</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Sekhon, S. S. (2019). Biomass derived hierarchical porous carbon materials as oxygen reduction reaction electrocatalysts in fuel cells. </w:t>
      </w:r>
      <w:r w:rsidRPr="000E148B">
        <w:rPr>
          <w:rFonts w:ascii="Times New Roman" w:hAnsi="Times New Roman" w:cs="Times New Roman"/>
          <w:i/>
          <w:iCs/>
          <w:noProof/>
          <w:szCs w:val="24"/>
        </w:rPr>
        <w:t>Progress in Materials Science</w:t>
      </w:r>
      <w:r w:rsidRPr="000E148B">
        <w:rPr>
          <w:rFonts w:ascii="Times New Roman" w:hAnsi="Times New Roman" w:cs="Times New Roman"/>
          <w:noProof/>
          <w:szCs w:val="24"/>
        </w:rPr>
        <w:t>, 102</w:t>
      </w:r>
      <w:r w:rsidR="000E148B">
        <w:rPr>
          <w:rFonts w:ascii="Times New Roman" w:hAnsi="Times New Roman" w:cs="Times New Roman"/>
          <w:noProof/>
          <w:szCs w:val="24"/>
        </w:rPr>
        <w:t xml:space="preserve">: </w:t>
      </w:r>
      <w:r w:rsidRPr="000E148B">
        <w:rPr>
          <w:rFonts w:ascii="Times New Roman" w:hAnsi="Times New Roman" w:cs="Times New Roman"/>
          <w:noProof/>
          <w:szCs w:val="24"/>
        </w:rPr>
        <w:t>1</w:t>
      </w:r>
      <w:r w:rsidR="000E148B">
        <w:rPr>
          <w:rFonts w:ascii="Times New Roman" w:hAnsi="Times New Roman" w:cs="Times New Roman"/>
          <w:noProof/>
          <w:szCs w:val="24"/>
        </w:rPr>
        <w:t>-</w:t>
      </w:r>
      <w:r w:rsidRPr="000E148B">
        <w:rPr>
          <w:rFonts w:ascii="Times New Roman" w:hAnsi="Times New Roman" w:cs="Times New Roman"/>
          <w:noProof/>
          <w:szCs w:val="24"/>
        </w:rPr>
        <w:t>71.</w:t>
      </w:r>
    </w:p>
    <w:p w14:paraId="41688AD4" w14:textId="2B518F77" w:rsidR="000E148B" w:rsidRP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Zhou, H., Zhang, J., Zhu, J., Liu, Z., Zhang, C.</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Mu, S. (2016). A self-template and KOH activation co-coupling strategy to synthesize ultrahigh surface area nitrogen-doped porous graphene for oxygen reduction. </w:t>
      </w:r>
      <w:r w:rsidRPr="000E148B">
        <w:rPr>
          <w:rFonts w:ascii="Times New Roman" w:hAnsi="Times New Roman" w:cs="Times New Roman"/>
          <w:i/>
          <w:iCs/>
          <w:noProof/>
          <w:szCs w:val="24"/>
        </w:rPr>
        <w:t>RSC Advances</w:t>
      </w:r>
      <w:r w:rsidRPr="000E148B">
        <w:rPr>
          <w:rFonts w:ascii="Times New Roman" w:hAnsi="Times New Roman" w:cs="Times New Roman"/>
          <w:noProof/>
          <w:szCs w:val="24"/>
        </w:rPr>
        <w:t>, 6(77)</w:t>
      </w:r>
      <w:r w:rsidR="000E148B">
        <w:rPr>
          <w:rFonts w:ascii="Times New Roman" w:hAnsi="Times New Roman" w:cs="Times New Roman"/>
          <w:noProof/>
          <w:szCs w:val="24"/>
        </w:rPr>
        <w:t xml:space="preserve">: </w:t>
      </w:r>
      <w:r w:rsidRPr="000E148B">
        <w:rPr>
          <w:rFonts w:ascii="Times New Roman" w:hAnsi="Times New Roman" w:cs="Times New Roman"/>
          <w:noProof/>
          <w:szCs w:val="24"/>
        </w:rPr>
        <w:t>73292</w:t>
      </w:r>
      <w:r w:rsidR="000E148B">
        <w:rPr>
          <w:rFonts w:ascii="Times New Roman" w:hAnsi="Times New Roman" w:cs="Times New Roman"/>
          <w:noProof/>
          <w:szCs w:val="24"/>
        </w:rPr>
        <w:t>-</w:t>
      </w:r>
      <w:r w:rsidRPr="000E148B">
        <w:rPr>
          <w:rFonts w:ascii="Times New Roman" w:hAnsi="Times New Roman" w:cs="Times New Roman"/>
          <w:noProof/>
          <w:szCs w:val="24"/>
        </w:rPr>
        <w:t>73300.</w:t>
      </w:r>
    </w:p>
    <w:p w14:paraId="7D0094DB"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Zheng, B., Wang, J., Pan, Z., Wang, X., Liu, S., Ding, S.</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Lang, L. (2020). An efficient metal-free catalyst derived from waste lotus seedpod for oxygen reduction reaction. </w:t>
      </w:r>
      <w:r w:rsidRPr="000E148B">
        <w:rPr>
          <w:rFonts w:ascii="Times New Roman" w:hAnsi="Times New Roman" w:cs="Times New Roman"/>
          <w:i/>
          <w:iCs/>
          <w:noProof/>
          <w:szCs w:val="24"/>
        </w:rPr>
        <w:t>Journal of Porous Materials</w:t>
      </w:r>
      <w:r w:rsidRPr="000E148B">
        <w:rPr>
          <w:rFonts w:ascii="Times New Roman" w:hAnsi="Times New Roman" w:cs="Times New Roman"/>
          <w:noProof/>
          <w:szCs w:val="24"/>
        </w:rPr>
        <w:t>, 27(3)</w:t>
      </w:r>
      <w:r w:rsidR="000E148B">
        <w:rPr>
          <w:rFonts w:ascii="Times New Roman" w:hAnsi="Times New Roman" w:cs="Times New Roman"/>
          <w:noProof/>
          <w:szCs w:val="24"/>
        </w:rPr>
        <w:t>:</w:t>
      </w:r>
      <w:r w:rsidRPr="000E148B">
        <w:rPr>
          <w:rFonts w:ascii="Times New Roman" w:hAnsi="Times New Roman" w:cs="Times New Roman"/>
          <w:noProof/>
          <w:szCs w:val="24"/>
        </w:rPr>
        <w:t xml:space="preserve"> 637</w:t>
      </w:r>
      <w:r w:rsidR="000E148B">
        <w:rPr>
          <w:rFonts w:ascii="Times New Roman" w:hAnsi="Times New Roman" w:cs="Times New Roman"/>
          <w:noProof/>
          <w:szCs w:val="24"/>
        </w:rPr>
        <w:t>-</w:t>
      </w:r>
      <w:r w:rsidRPr="000E148B">
        <w:rPr>
          <w:rFonts w:ascii="Times New Roman" w:hAnsi="Times New Roman" w:cs="Times New Roman"/>
          <w:noProof/>
          <w:szCs w:val="24"/>
        </w:rPr>
        <w:t>646.</w:t>
      </w:r>
    </w:p>
    <w:p w14:paraId="3CB1DEBE"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Polajnar Horvat, K.</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Šrimpf Vendramin, K. (2021). Issues surrounding behavior towards discarded textiles and garments in Ljubljana. </w:t>
      </w:r>
      <w:r w:rsidRPr="000E148B">
        <w:rPr>
          <w:rFonts w:ascii="Times New Roman" w:hAnsi="Times New Roman" w:cs="Times New Roman"/>
          <w:i/>
          <w:iCs/>
          <w:noProof/>
          <w:szCs w:val="24"/>
        </w:rPr>
        <w:t>Sustainability (Switzerland)</w:t>
      </w:r>
      <w:r w:rsidRPr="000E148B">
        <w:rPr>
          <w:rFonts w:ascii="Times New Roman" w:hAnsi="Times New Roman" w:cs="Times New Roman"/>
          <w:noProof/>
          <w:szCs w:val="24"/>
        </w:rPr>
        <w:t>, 13(11)</w:t>
      </w:r>
      <w:r w:rsidR="000E148B">
        <w:rPr>
          <w:rFonts w:ascii="Times New Roman" w:hAnsi="Times New Roman" w:cs="Times New Roman"/>
          <w:noProof/>
          <w:szCs w:val="24"/>
        </w:rPr>
        <w:t>:</w:t>
      </w:r>
      <w:r w:rsidRPr="000E148B">
        <w:rPr>
          <w:rFonts w:ascii="Times New Roman" w:hAnsi="Times New Roman" w:cs="Times New Roman"/>
          <w:noProof/>
          <w:szCs w:val="24"/>
        </w:rPr>
        <w:t xml:space="preserve"> 1</w:t>
      </w:r>
      <w:r w:rsidR="000E148B">
        <w:rPr>
          <w:rFonts w:ascii="Times New Roman" w:hAnsi="Times New Roman" w:cs="Times New Roman"/>
          <w:noProof/>
          <w:szCs w:val="24"/>
        </w:rPr>
        <w:t>-</w:t>
      </w:r>
      <w:r w:rsidRPr="000E148B">
        <w:rPr>
          <w:rFonts w:ascii="Times New Roman" w:hAnsi="Times New Roman" w:cs="Times New Roman"/>
          <w:noProof/>
          <w:szCs w:val="24"/>
        </w:rPr>
        <w:t>11.</w:t>
      </w:r>
    </w:p>
    <w:p w14:paraId="079DB536"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USEP</w:t>
      </w:r>
      <w:r w:rsidR="000E148B">
        <w:rPr>
          <w:rFonts w:ascii="Times New Roman" w:hAnsi="Times New Roman" w:cs="Times New Roman"/>
          <w:noProof/>
          <w:szCs w:val="24"/>
        </w:rPr>
        <w:t>A (</w:t>
      </w:r>
      <w:r w:rsidRPr="000E148B">
        <w:rPr>
          <w:rFonts w:ascii="Times New Roman" w:hAnsi="Times New Roman" w:cs="Times New Roman"/>
          <w:noProof/>
          <w:szCs w:val="24"/>
        </w:rPr>
        <w:t>2019</w:t>
      </w:r>
      <w:r w:rsidR="000E148B">
        <w:rPr>
          <w:rFonts w:ascii="Times New Roman" w:hAnsi="Times New Roman" w:cs="Times New Roman"/>
          <w:noProof/>
          <w:szCs w:val="24"/>
        </w:rPr>
        <w:t xml:space="preserve">). </w:t>
      </w:r>
      <w:r w:rsidR="000E148B" w:rsidRPr="000E148B">
        <w:rPr>
          <w:rFonts w:ascii="Times New Roman" w:hAnsi="Times New Roman" w:cs="Times New Roman"/>
          <w:noProof/>
          <w:szCs w:val="24"/>
        </w:rPr>
        <w:t>Textiles: Material-</w:t>
      </w:r>
      <w:r w:rsidR="000E148B" w:rsidRPr="000E148B">
        <w:rPr>
          <w:rFonts w:ascii="Times New Roman" w:hAnsi="Times New Roman" w:cs="Times New Roman"/>
          <w:noProof/>
          <w:szCs w:val="24"/>
        </w:rPr>
        <w:t>specific dat</w:t>
      </w:r>
      <w:r w:rsidR="000E148B">
        <w:rPr>
          <w:rFonts w:ascii="Times New Roman" w:hAnsi="Times New Roman" w:cs="Times New Roman"/>
          <w:noProof/>
          <w:szCs w:val="24"/>
        </w:rPr>
        <w:t xml:space="preserve">a. </w:t>
      </w:r>
      <w:r w:rsidRPr="000E148B">
        <w:rPr>
          <w:rFonts w:ascii="Times New Roman" w:hAnsi="Times New Roman" w:cs="Times New Roman"/>
          <w:noProof/>
          <w:szCs w:val="24"/>
        </w:rPr>
        <w:t>Available</w:t>
      </w:r>
      <w:r w:rsidR="000E148B">
        <w:rPr>
          <w:rFonts w:ascii="Times New Roman" w:hAnsi="Times New Roman" w:cs="Times New Roman"/>
          <w:noProof/>
          <w:szCs w:val="24"/>
        </w:rPr>
        <w:t xml:space="preserve"> from </w:t>
      </w:r>
      <w:r w:rsidRPr="000E148B">
        <w:rPr>
          <w:rFonts w:ascii="Times New Roman" w:hAnsi="Times New Roman" w:cs="Times New Roman"/>
          <w:noProof/>
          <w:szCs w:val="24"/>
        </w:rPr>
        <w:t>https://www.epa.gov/facts-and-figures-about-materials-waste-and-recycling/textiles-material-specific-data#TextilesOverview. [Accessed</w:t>
      </w:r>
      <w:r w:rsidR="000E148B">
        <w:rPr>
          <w:rFonts w:ascii="Times New Roman" w:hAnsi="Times New Roman" w:cs="Times New Roman"/>
          <w:noProof/>
          <w:szCs w:val="24"/>
        </w:rPr>
        <w:t xml:space="preserve"> online</w:t>
      </w:r>
      <w:r w:rsidRPr="000E148B">
        <w:rPr>
          <w:rFonts w:ascii="Times New Roman" w:hAnsi="Times New Roman" w:cs="Times New Roman"/>
          <w:noProof/>
          <w:szCs w:val="24"/>
        </w:rPr>
        <w:t>: 16-Dec-2019].</w:t>
      </w:r>
    </w:p>
    <w:p w14:paraId="05565CE1"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Ramamoorthy, S. K., Skrifvars, M., Alagar, R.</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Akhtar, N. (2018). End-</w:t>
      </w:r>
      <w:r w:rsidR="000E148B" w:rsidRPr="000E148B">
        <w:rPr>
          <w:rFonts w:ascii="Times New Roman" w:hAnsi="Times New Roman" w:cs="Times New Roman"/>
          <w:noProof/>
          <w:szCs w:val="24"/>
        </w:rPr>
        <w:t xml:space="preserve">of-life textiles as reinforcements in biocomposites. </w:t>
      </w:r>
      <w:r w:rsidRPr="000E148B">
        <w:rPr>
          <w:rFonts w:ascii="Times New Roman" w:hAnsi="Times New Roman" w:cs="Times New Roman"/>
          <w:i/>
          <w:iCs/>
          <w:noProof/>
          <w:szCs w:val="24"/>
        </w:rPr>
        <w:t>Journal of Polymers and the Environment</w:t>
      </w:r>
      <w:r w:rsidRPr="000E148B">
        <w:rPr>
          <w:rFonts w:ascii="Times New Roman" w:hAnsi="Times New Roman" w:cs="Times New Roman"/>
          <w:noProof/>
          <w:szCs w:val="24"/>
        </w:rPr>
        <w:t>, 26(2)</w:t>
      </w:r>
      <w:r w:rsidR="000E148B">
        <w:rPr>
          <w:rFonts w:ascii="Times New Roman" w:hAnsi="Times New Roman" w:cs="Times New Roman"/>
          <w:noProof/>
          <w:szCs w:val="24"/>
        </w:rPr>
        <w:t xml:space="preserve">: </w:t>
      </w:r>
      <w:r w:rsidRPr="000E148B">
        <w:rPr>
          <w:rFonts w:ascii="Times New Roman" w:hAnsi="Times New Roman" w:cs="Times New Roman"/>
          <w:noProof/>
          <w:szCs w:val="24"/>
        </w:rPr>
        <w:t>487</w:t>
      </w:r>
      <w:r w:rsidR="000E148B">
        <w:rPr>
          <w:rFonts w:ascii="Times New Roman" w:hAnsi="Times New Roman" w:cs="Times New Roman"/>
          <w:noProof/>
          <w:szCs w:val="24"/>
        </w:rPr>
        <w:t>-</w:t>
      </w:r>
      <w:r w:rsidRPr="000E148B">
        <w:rPr>
          <w:rFonts w:ascii="Times New Roman" w:hAnsi="Times New Roman" w:cs="Times New Roman"/>
          <w:noProof/>
          <w:szCs w:val="24"/>
        </w:rPr>
        <w:t>498.</w:t>
      </w:r>
    </w:p>
    <w:p w14:paraId="08A24563"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Sauid, S. M., Kamarudin, S. K., Karim, N. A.</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Shyuan, L. K. (2021). Superior stability and methanol tolerance of a metal-free nitrogen-doped hierarchical porous carbon electrocatalyst derived from textile waste. </w:t>
      </w:r>
      <w:r w:rsidRPr="000E148B">
        <w:rPr>
          <w:rFonts w:ascii="Times New Roman" w:hAnsi="Times New Roman" w:cs="Times New Roman"/>
          <w:i/>
          <w:iCs/>
          <w:noProof/>
          <w:szCs w:val="24"/>
        </w:rPr>
        <w:t>Journal of Materials Research and Technology</w:t>
      </w:r>
      <w:r w:rsidRPr="000E148B">
        <w:rPr>
          <w:rFonts w:ascii="Times New Roman" w:hAnsi="Times New Roman" w:cs="Times New Roman"/>
          <w:noProof/>
          <w:szCs w:val="24"/>
        </w:rPr>
        <w:t>, 11</w:t>
      </w:r>
      <w:r w:rsidR="000E148B">
        <w:rPr>
          <w:rFonts w:ascii="Times New Roman" w:hAnsi="Times New Roman" w:cs="Times New Roman"/>
          <w:noProof/>
          <w:szCs w:val="24"/>
        </w:rPr>
        <w:t xml:space="preserve">: </w:t>
      </w:r>
      <w:r w:rsidRPr="000E148B">
        <w:rPr>
          <w:rFonts w:ascii="Times New Roman" w:hAnsi="Times New Roman" w:cs="Times New Roman"/>
          <w:noProof/>
          <w:szCs w:val="24"/>
        </w:rPr>
        <w:t>1834</w:t>
      </w:r>
      <w:r w:rsidR="000E148B">
        <w:rPr>
          <w:rFonts w:ascii="Times New Roman" w:hAnsi="Times New Roman" w:cs="Times New Roman"/>
          <w:noProof/>
          <w:szCs w:val="24"/>
        </w:rPr>
        <w:t>-</w:t>
      </w:r>
      <w:r w:rsidRPr="000E148B">
        <w:rPr>
          <w:rFonts w:ascii="Times New Roman" w:hAnsi="Times New Roman" w:cs="Times New Roman"/>
          <w:noProof/>
          <w:szCs w:val="24"/>
        </w:rPr>
        <w:t>1846.</w:t>
      </w:r>
    </w:p>
    <w:p w14:paraId="4E0F4EA9"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 xml:space="preserve">Ge, X., Sumboja, A., Wuu, D., An, T., Li, B., Goh, F. W. T., … </w:t>
      </w:r>
      <w:r w:rsidR="000E148B">
        <w:rPr>
          <w:rFonts w:ascii="Times New Roman" w:hAnsi="Times New Roman" w:cs="Times New Roman"/>
          <w:noProof/>
          <w:szCs w:val="24"/>
        </w:rPr>
        <w:t xml:space="preserve">and </w:t>
      </w:r>
      <w:r w:rsidRPr="000E148B">
        <w:rPr>
          <w:rFonts w:ascii="Times New Roman" w:hAnsi="Times New Roman" w:cs="Times New Roman"/>
          <w:noProof/>
          <w:szCs w:val="24"/>
        </w:rPr>
        <w:t xml:space="preserve">Liu, Z. (2015). Oxygen </w:t>
      </w:r>
      <w:r w:rsidR="000E148B" w:rsidRPr="000E148B">
        <w:rPr>
          <w:rFonts w:ascii="Times New Roman" w:hAnsi="Times New Roman" w:cs="Times New Roman"/>
          <w:noProof/>
          <w:szCs w:val="24"/>
        </w:rPr>
        <w:t xml:space="preserve">reduction in alkaline media: from mechanisms to recent advances of catalysts. </w:t>
      </w:r>
      <w:r w:rsidRPr="000E148B">
        <w:rPr>
          <w:rFonts w:ascii="Times New Roman" w:hAnsi="Times New Roman" w:cs="Times New Roman"/>
          <w:i/>
          <w:iCs/>
          <w:noProof/>
          <w:szCs w:val="24"/>
        </w:rPr>
        <w:t>ACS Catalysis</w:t>
      </w:r>
      <w:r w:rsidRPr="000E148B">
        <w:rPr>
          <w:rFonts w:ascii="Times New Roman" w:hAnsi="Times New Roman" w:cs="Times New Roman"/>
          <w:noProof/>
          <w:szCs w:val="24"/>
        </w:rPr>
        <w:t xml:space="preserve">, </w:t>
      </w:r>
      <w:r w:rsidRPr="000E148B">
        <w:rPr>
          <w:rFonts w:ascii="Times New Roman" w:hAnsi="Times New Roman" w:cs="Times New Roman"/>
          <w:i/>
          <w:iCs/>
          <w:noProof/>
          <w:szCs w:val="24"/>
        </w:rPr>
        <w:t>5</w:t>
      </w:r>
      <w:r w:rsidRPr="000E148B">
        <w:rPr>
          <w:rFonts w:ascii="Times New Roman" w:hAnsi="Times New Roman" w:cs="Times New Roman"/>
          <w:noProof/>
          <w:szCs w:val="24"/>
        </w:rPr>
        <w:t>(8)</w:t>
      </w:r>
      <w:r w:rsidR="000E148B">
        <w:rPr>
          <w:rFonts w:ascii="Times New Roman" w:hAnsi="Times New Roman" w:cs="Times New Roman"/>
          <w:noProof/>
          <w:szCs w:val="24"/>
        </w:rPr>
        <w:t>:</w:t>
      </w:r>
      <w:r w:rsidRPr="000E148B">
        <w:rPr>
          <w:rFonts w:ascii="Times New Roman" w:hAnsi="Times New Roman" w:cs="Times New Roman"/>
          <w:noProof/>
          <w:szCs w:val="24"/>
        </w:rPr>
        <w:t xml:space="preserve"> 4643</w:t>
      </w:r>
      <w:r w:rsidR="000E148B">
        <w:rPr>
          <w:rFonts w:ascii="Times New Roman" w:hAnsi="Times New Roman" w:cs="Times New Roman"/>
          <w:noProof/>
          <w:szCs w:val="24"/>
        </w:rPr>
        <w:t>-</w:t>
      </w:r>
      <w:r w:rsidRPr="000E148B">
        <w:rPr>
          <w:rFonts w:ascii="Times New Roman" w:hAnsi="Times New Roman" w:cs="Times New Roman"/>
          <w:noProof/>
          <w:szCs w:val="24"/>
        </w:rPr>
        <w:t>4667.</w:t>
      </w:r>
    </w:p>
    <w:p w14:paraId="20E28CA6"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 xml:space="preserve">Ratso, S., Kruusenberg, I., Käärik, M., Kook, M., Saar, R., Kanninen, P., … </w:t>
      </w:r>
      <w:r w:rsidR="000E148B">
        <w:rPr>
          <w:rFonts w:ascii="Times New Roman" w:hAnsi="Times New Roman" w:cs="Times New Roman"/>
          <w:noProof/>
          <w:szCs w:val="24"/>
        </w:rPr>
        <w:t xml:space="preserve">and </w:t>
      </w:r>
      <w:r w:rsidRPr="000E148B">
        <w:rPr>
          <w:rFonts w:ascii="Times New Roman" w:hAnsi="Times New Roman" w:cs="Times New Roman"/>
          <w:noProof/>
          <w:szCs w:val="24"/>
        </w:rPr>
        <w:t xml:space="preserve">Tammeveski, K. (2017). Transition metal-nitrogen co-doped carbide-derived carbon catalysts for oxygen reduction reaction in alkaline direct methanol fuel cell. </w:t>
      </w:r>
      <w:r w:rsidRPr="000E148B">
        <w:rPr>
          <w:rFonts w:ascii="Times New Roman" w:hAnsi="Times New Roman" w:cs="Times New Roman"/>
          <w:i/>
          <w:iCs/>
          <w:noProof/>
          <w:szCs w:val="24"/>
        </w:rPr>
        <w:t>Applied Catalysis B: Environmental</w:t>
      </w:r>
      <w:r w:rsidRPr="000E148B">
        <w:rPr>
          <w:rFonts w:ascii="Times New Roman" w:hAnsi="Times New Roman" w:cs="Times New Roman"/>
          <w:noProof/>
          <w:szCs w:val="24"/>
        </w:rPr>
        <w:t>, 219</w:t>
      </w:r>
      <w:r w:rsidR="000E148B">
        <w:rPr>
          <w:rFonts w:ascii="Times New Roman" w:hAnsi="Times New Roman" w:cs="Times New Roman"/>
          <w:noProof/>
          <w:szCs w:val="24"/>
        </w:rPr>
        <w:t>:</w:t>
      </w:r>
      <w:r w:rsidRPr="000E148B">
        <w:rPr>
          <w:rFonts w:ascii="Times New Roman" w:hAnsi="Times New Roman" w:cs="Times New Roman"/>
          <w:noProof/>
          <w:szCs w:val="24"/>
        </w:rPr>
        <w:t xml:space="preserve"> 276</w:t>
      </w:r>
      <w:r w:rsidR="000E148B">
        <w:rPr>
          <w:rFonts w:ascii="Times New Roman" w:hAnsi="Times New Roman" w:cs="Times New Roman"/>
          <w:noProof/>
          <w:szCs w:val="24"/>
        </w:rPr>
        <w:t>-</w:t>
      </w:r>
      <w:r w:rsidRPr="000E148B">
        <w:rPr>
          <w:rFonts w:ascii="Times New Roman" w:hAnsi="Times New Roman" w:cs="Times New Roman"/>
          <w:noProof/>
          <w:szCs w:val="24"/>
        </w:rPr>
        <w:t>286.</w:t>
      </w:r>
    </w:p>
    <w:p w14:paraId="7DC6290D"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Zhou, R., Zheng, Y., Jaroniec, M.</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Qiao, S. Z. (2016). Determination </w:t>
      </w:r>
      <w:r w:rsidR="000E148B" w:rsidRPr="000E148B">
        <w:rPr>
          <w:rFonts w:ascii="Times New Roman" w:hAnsi="Times New Roman" w:cs="Times New Roman"/>
          <w:noProof/>
          <w:szCs w:val="24"/>
        </w:rPr>
        <w:t xml:space="preserve">of the electron transfer number for the oxygen reduction reaction: </w:t>
      </w:r>
      <w:r w:rsidR="000E148B">
        <w:rPr>
          <w:rFonts w:ascii="Times New Roman" w:hAnsi="Times New Roman" w:cs="Times New Roman"/>
          <w:noProof/>
          <w:szCs w:val="24"/>
        </w:rPr>
        <w:t>F</w:t>
      </w:r>
      <w:r w:rsidR="000E148B" w:rsidRPr="000E148B">
        <w:rPr>
          <w:rFonts w:ascii="Times New Roman" w:hAnsi="Times New Roman" w:cs="Times New Roman"/>
          <w:noProof/>
          <w:szCs w:val="24"/>
        </w:rPr>
        <w:t xml:space="preserve">rom theory to experiment. </w:t>
      </w:r>
      <w:r w:rsidRPr="000E148B">
        <w:rPr>
          <w:rFonts w:ascii="Times New Roman" w:hAnsi="Times New Roman" w:cs="Times New Roman"/>
          <w:i/>
          <w:iCs/>
          <w:noProof/>
          <w:szCs w:val="24"/>
        </w:rPr>
        <w:t>ACS Catalysis</w:t>
      </w:r>
      <w:r w:rsidRPr="000E148B">
        <w:rPr>
          <w:rFonts w:ascii="Times New Roman" w:hAnsi="Times New Roman" w:cs="Times New Roman"/>
          <w:noProof/>
          <w:szCs w:val="24"/>
        </w:rPr>
        <w:t>, 6(7)</w:t>
      </w:r>
      <w:r w:rsidR="000E148B" w:rsidRPr="000E148B">
        <w:rPr>
          <w:rFonts w:ascii="Times New Roman" w:hAnsi="Times New Roman" w:cs="Times New Roman"/>
          <w:noProof/>
          <w:szCs w:val="24"/>
        </w:rPr>
        <w:t>:</w:t>
      </w:r>
      <w:r w:rsidRPr="000E148B">
        <w:rPr>
          <w:rFonts w:ascii="Times New Roman" w:hAnsi="Times New Roman" w:cs="Times New Roman"/>
          <w:noProof/>
          <w:szCs w:val="24"/>
        </w:rPr>
        <w:t xml:space="preserve"> 4720</w:t>
      </w:r>
      <w:r w:rsidR="000E148B">
        <w:rPr>
          <w:rFonts w:ascii="Times New Roman" w:hAnsi="Times New Roman" w:cs="Times New Roman"/>
          <w:noProof/>
          <w:szCs w:val="24"/>
        </w:rPr>
        <w:t>-</w:t>
      </w:r>
      <w:r w:rsidRPr="000E148B">
        <w:rPr>
          <w:rFonts w:ascii="Times New Roman" w:hAnsi="Times New Roman" w:cs="Times New Roman"/>
          <w:noProof/>
          <w:szCs w:val="24"/>
        </w:rPr>
        <w:t>4728.</w:t>
      </w:r>
    </w:p>
    <w:p w14:paraId="173A3120" w14:textId="77777777" w:rsidR="000E148B" w:rsidRDefault="000E148B" w:rsidP="000E148B">
      <w:pPr>
        <w:pStyle w:val="ListParagraph"/>
        <w:numPr>
          <w:ilvl w:val="0"/>
          <w:numId w:val="3"/>
        </w:numPr>
        <w:adjustRightInd w:val="0"/>
        <w:ind w:left="567" w:hanging="567"/>
        <w:rPr>
          <w:rFonts w:ascii="Times New Roman" w:hAnsi="Times New Roman" w:cs="Times New Roman"/>
          <w:noProof/>
          <w:szCs w:val="24"/>
        </w:rPr>
      </w:pPr>
      <w:r>
        <w:rPr>
          <w:rFonts w:ascii="Times New Roman" w:hAnsi="Times New Roman" w:cs="Times New Roman"/>
          <w:noProof/>
          <w:szCs w:val="24"/>
        </w:rPr>
        <w:lastRenderedPageBreak/>
        <w:t>Ta</w:t>
      </w:r>
      <w:r w:rsidR="00197D1C" w:rsidRPr="000E148B">
        <w:rPr>
          <w:rFonts w:ascii="Times New Roman" w:hAnsi="Times New Roman" w:cs="Times New Roman"/>
          <w:noProof/>
          <w:szCs w:val="24"/>
        </w:rPr>
        <w:t>ng, J., Wang, Y., Zhao, W., Zeng, R. J., Liu, T.</w:t>
      </w:r>
      <w:r>
        <w:rPr>
          <w:rFonts w:ascii="Times New Roman" w:hAnsi="Times New Roman" w:cs="Times New Roman"/>
          <w:noProof/>
          <w:szCs w:val="24"/>
        </w:rPr>
        <w:t xml:space="preserve"> and </w:t>
      </w:r>
      <w:r w:rsidR="00197D1C" w:rsidRPr="000E148B">
        <w:rPr>
          <w:rFonts w:ascii="Times New Roman" w:hAnsi="Times New Roman" w:cs="Times New Roman"/>
          <w:noProof/>
          <w:szCs w:val="24"/>
        </w:rPr>
        <w:t xml:space="preserve">Zhou, S. (2019). Biomass-derived hierarchical honeycomb-like porous carbon tube catalyst for the metal-free oxygen reduction reaction. </w:t>
      </w:r>
      <w:r w:rsidR="00197D1C" w:rsidRPr="000E148B">
        <w:rPr>
          <w:rFonts w:ascii="Times New Roman" w:hAnsi="Times New Roman" w:cs="Times New Roman"/>
          <w:i/>
          <w:iCs/>
          <w:noProof/>
          <w:szCs w:val="24"/>
        </w:rPr>
        <w:t>Journal of Electroanalytical Chemistry</w:t>
      </w:r>
      <w:r w:rsidR="00197D1C" w:rsidRPr="000E148B">
        <w:rPr>
          <w:rFonts w:ascii="Times New Roman" w:hAnsi="Times New Roman" w:cs="Times New Roman"/>
          <w:noProof/>
          <w:szCs w:val="24"/>
        </w:rPr>
        <w:t xml:space="preserve">, </w:t>
      </w:r>
      <w:r w:rsidRPr="000E148B">
        <w:rPr>
          <w:rFonts w:ascii="Times New Roman" w:hAnsi="Times New Roman" w:cs="Times New Roman"/>
          <w:noProof/>
          <w:szCs w:val="24"/>
        </w:rPr>
        <w:t>847</w:t>
      </w:r>
      <w:r>
        <w:rPr>
          <w:rFonts w:ascii="Times New Roman" w:hAnsi="Times New Roman" w:cs="Times New Roman"/>
          <w:noProof/>
          <w:szCs w:val="24"/>
        </w:rPr>
        <w:t>:</w:t>
      </w:r>
      <w:r w:rsidRPr="000E148B">
        <w:rPr>
          <w:rFonts w:ascii="Times New Roman" w:hAnsi="Times New Roman" w:cs="Times New Roman"/>
          <w:noProof/>
          <w:szCs w:val="24"/>
        </w:rPr>
        <w:t xml:space="preserve"> 113230.</w:t>
      </w:r>
    </w:p>
    <w:p w14:paraId="49797B90"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Shi, J., Lin, N., Lin, H. B., Yang, J.</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Zhang, W. L. (2020). A N-doped rice husk-based porous carbon as an electrocatalyst for the oxygen reduction reaction. </w:t>
      </w:r>
      <w:r w:rsidRPr="000E148B">
        <w:rPr>
          <w:rFonts w:ascii="Times New Roman" w:hAnsi="Times New Roman" w:cs="Times New Roman"/>
          <w:i/>
          <w:iCs/>
          <w:noProof/>
          <w:szCs w:val="24"/>
        </w:rPr>
        <w:t>Xinxing Tan Cailiao/New Carbon Materials</w:t>
      </w:r>
      <w:r w:rsidRPr="000E148B">
        <w:rPr>
          <w:rFonts w:ascii="Times New Roman" w:hAnsi="Times New Roman" w:cs="Times New Roman"/>
          <w:noProof/>
          <w:szCs w:val="24"/>
        </w:rPr>
        <w:t>, 35(4)</w:t>
      </w:r>
      <w:r w:rsidR="000E148B">
        <w:rPr>
          <w:rFonts w:ascii="Times New Roman" w:hAnsi="Times New Roman" w:cs="Times New Roman"/>
          <w:noProof/>
          <w:szCs w:val="24"/>
        </w:rPr>
        <w:t>:</w:t>
      </w:r>
      <w:r w:rsidRPr="000E148B">
        <w:rPr>
          <w:rFonts w:ascii="Times New Roman" w:hAnsi="Times New Roman" w:cs="Times New Roman"/>
          <w:noProof/>
          <w:szCs w:val="24"/>
        </w:rPr>
        <w:t xml:space="preserve"> 401</w:t>
      </w:r>
      <w:r w:rsidR="000E148B">
        <w:rPr>
          <w:rFonts w:ascii="Times New Roman" w:hAnsi="Times New Roman" w:cs="Times New Roman"/>
          <w:noProof/>
          <w:szCs w:val="24"/>
        </w:rPr>
        <w:t>-</w:t>
      </w:r>
      <w:r w:rsidRPr="000E148B">
        <w:rPr>
          <w:rFonts w:ascii="Times New Roman" w:hAnsi="Times New Roman" w:cs="Times New Roman"/>
          <w:noProof/>
          <w:szCs w:val="24"/>
        </w:rPr>
        <w:t>409.</w:t>
      </w:r>
    </w:p>
    <w:p w14:paraId="3617D71D" w14:textId="77777777" w:rsidR="000E148B" w:rsidRDefault="00197D1C" w:rsidP="000E148B">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Thommes, M., Smarsly, B., Groenewolt, M., Ravikovitch, P. I.</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Neimark, A. V. (2006). Adsorption hysteresis of nitrogen and argon in pore networks and characterization of novel micro- and mesoporous silicas. </w:t>
      </w:r>
      <w:r w:rsidRPr="000E148B">
        <w:rPr>
          <w:rFonts w:ascii="Times New Roman" w:hAnsi="Times New Roman" w:cs="Times New Roman"/>
          <w:i/>
          <w:iCs/>
          <w:noProof/>
          <w:szCs w:val="24"/>
        </w:rPr>
        <w:t>Langmuir</w:t>
      </w:r>
      <w:r w:rsidRPr="000E148B">
        <w:rPr>
          <w:rFonts w:ascii="Times New Roman" w:hAnsi="Times New Roman" w:cs="Times New Roman"/>
          <w:noProof/>
          <w:szCs w:val="24"/>
        </w:rPr>
        <w:t>, 22(2)</w:t>
      </w:r>
      <w:r w:rsidR="000E148B">
        <w:rPr>
          <w:rFonts w:ascii="Times New Roman" w:hAnsi="Times New Roman" w:cs="Times New Roman"/>
          <w:noProof/>
          <w:szCs w:val="24"/>
        </w:rPr>
        <w:t>:</w:t>
      </w:r>
      <w:r w:rsidRPr="000E148B">
        <w:rPr>
          <w:rFonts w:ascii="Times New Roman" w:hAnsi="Times New Roman" w:cs="Times New Roman"/>
          <w:noProof/>
          <w:szCs w:val="24"/>
        </w:rPr>
        <w:t xml:space="preserve"> 756</w:t>
      </w:r>
      <w:r w:rsidR="000E148B">
        <w:rPr>
          <w:rFonts w:ascii="Times New Roman" w:hAnsi="Times New Roman" w:cs="Times New Roman"/>
          <w:noProof/>
          <w:szCs w:val="24"/>
        </w:rPr>
        <w:t>-</w:t>
      </w:r>
      <w:r w:rsidRPr="000E148B">
        <w:rPr>
          <w:rFonts w:ascii="Times New Roman" w:hAnsi="Times New Roman" w:cs="Times New Roman"/>
          <w:noProof/>
          <w:szCs w:val="24"/>
        </w:rPr>
        <w:t>764.</w:t>
      </w:r>
    </w:p>
    <w:p w14:paraId="3F96C2E6"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0E148B">
        <w:rPr>
          <w:rFonts w:ascii="Times New Roman" w:hAnsi="Times New Roman" w:cs="Times New Roman"/>
          <w:noProof/>
          <w:szCs w:val="24"/>
        </w:rPr>
        <w:t>Jiang, M., Yu, X., Yang, H.</w:t>
      </w:r>
      <w:r w:rsidR="000E148B">
        <w:rPr>
          <w:rFonts w:ascii="Times New Roman" w:hAnsi="Times New Roman" w:cs="Times New Roman"/>
          <w:noProof/>
          <w:szCs w:val="24"/>
        </w:rPr>
        <w:t xml:space="preserve"> and </w:t>
      </w:r>
      <w:r w:rsidRPr="000E148B">
        <w:rPr>
          <w:rFonts w:ascii="Times New Roman" w:hAnsi="Times New Roman" w:cs="Times New Roman"/>
          <w:noProof/>
          <w:szCs w:val="24"/>
        </w:rPr>
        <w:t xml:space="preserve">Chen, S. (2020). Optimization strategies of preparation of biomass-derived carbon electrocatalyst for boosting oxygen reduction reaction: A minireview. </w:t>
      </w:r>
      <w:r w:rsidRPr="000E148B">
        <w:rPr>
          <w:rFonts w:ascii="Times New Roman" w:hAnsi="Times New Roman" w:cs="Times New Roman"/>
          <w:i/>
          <w:iCs/>
          <w:noProof/>
          <w:szCs w:val="24"/>
        </w:rPr>
        <w:t>Catalysts</w:t>
      </w:r>
      <w:r w:rsidRPr="000E148B">
        <w:rPr>
          <w:rFonts w:ascii="Times New Roman" w:hAnsi="Times New Roman" w:cs="Times New Roman"/>
          <w:noProof/>
          <w:szCs w:val="24"/>
        </w:rPr>
        <w:t>, 10(12)</w:t>
      </w:r>
      <w:r w:rsidR="008E6599">
        <w:rPr>
          <w:rFonts w:ascii="Times New Roman" w:hAnsi="Times New Roman" w:cs="Times New Roman"/>
          <w:noProof/>
          <w:szCs w:val="24"/>
        </w:rPr>
        <w:t>:</w:t>
      </w:r>
      <w:r w:rsidRPr="000E148B">
        <w:rPr>
          <w:rFonts w:ascii="Times New Roman" w:hAnsi="Times New Roman" w:cs="Times New Roman"/>
          <w:noProof/>
          <w:szCs w:val="24"/>
        </w:rPr>
        <w:t xml:space="preserve"> 1</w:t>
      </w:r>
      <w:r w:rsidR="008E6599">
        <w:rPr>
          <w:rFonts w:ascii="Times New Roman" w:hAnsi="Times New Roman" w:cs="Times New Roman"/>
          <w:noProof/>
          <w:szCs w:val="24"/>
        </w:rPr>
        <w:t>-</w:t>
      </w:r>
      <w:r w:rsidRPr="000E148B">
        <w:rPr>
          <w:rFonts w:ascii="Times New Roman" w:hAnsi="Times New Roman" w:cs="Times New Roman"/>
          <w:noProof/>
          <w:szCs w:val="24"/>
        </w:rPr>
        <w:t>17.</w:t>
      </w:r>
    </w:p>
    <w:p w14:paraId="2691F06B"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Mao, X., Cao, Z., Yin, Y., Wang, Z., Dong, H.</w:t>
      </w:r>
      <w:r w:rsidR="008E6599">
        <w:rPr>
          <w:rFonts w:ascii="Times New Roman" w:hAnsi="Times New Roman" w:cs="Times New Roman"/>
          <w:noProof/>
          <w:szCs w:val="24"/>
        </w:rPr>
        <w:t xml:space="preserve"> and </w:t>
      </w:r>
      <w:r w:rsidRPr="008E6599">
        <w:rPr>
          <w:rFonts w:ascii="Times New Roman" w:hAnsi="Times New Roman" w:cs="Times New Roman"/>
          <w:noProof/>
          <w:szCs w:val="24"/>
        </w:rPr>
        <w:t xml:space="preserve">Yang, S. (2018). Direct synthesis of nitrogen and phosphorus co-doped hierarchical porous carbon networks with biological materials as efficient electrocatalysts for oxygen reduction reaction. </w:t>
      </w:r>
      <w:r w:rsidRPr="008E6599">
        <w:rPr>
          <w:rFonts w:ascii="Times New Roman" w:hAnsi="Times New Roman" w:cs="Times New Roman"/>
          <w:i/>
          <w:iCs/>
          <w:noProof/>
          <w:szCs w:val="24"/>
        </w:rPr>
        <w:t>International Journal of Hydrogen Energy</w:t>
      </w:r>
      <w:r w:rsidRPr="008E6599">
        <w:rPr>
          <w:rFonts w:ascii="Times New Roman" w:hAnsi="Times New Roman" w:cs="Times New Roman"/>
          <w:noProof/>
          <w:szCs w:val="24"/>
        </w:rPr>
        <w:t>, 43(22)</w:t>
      </w:r>
      <w:r w:rsidR="008E6599">
        <w:rPr>
          <w:rFonts w:ascii="Times New Roman" w:hAnsi="Times New Roman" w:cs="Times New Roman"/>
          <w:noProof/>
          <w:szCs w:val="24"/>
        </w:rPr>
        <w:t xml:space="preserve">: </w:t>
      </w:r>
      <w:r w:rsidRPr="008E6599">
        <w:rPr>
          <w:rFonts w:ascii="Times New Roman" w:hAnsi="Times New Roman" w:cs="Times New Roman"/>
          <w:noProof/>
          <w:szCs w:val="24"/>
        </w:rPr>
        <w:t>10341</w:t>
      </w:r>
      <w:r w:rsidR="008E6599">
        <w:rPr>
          <w:rFonts w:ascii="Times New Roman" w:hAnsi="Times New Roman" w:cs="Times New Roman"/>
          <w:noProof/>
          <w:szCs w:val="24"/>
        </w:rPr>
        <w:t>-</w:t>
      </w:r>
      <w:r w:rsidRPr="008E6599">
        <w:rPr>
          <w:rFonts w:ascii="Times New Roman" w:hAnsi="Times New Roman" w:cs="Times New Roman"/>
          <w:noProof/>
          <w:szCs w:val="24"/>
        </w:rPr>
        <w:t>10350.</w:t>
      </w:r>
    </w:p>
    <w:p w14:paraId="0A936954"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Zhao, Q., Ma, Q., Pan, F., Wang, Z., Yang, B., Zhang, J.</w:t>
      </w:r>
      <w:r w:rsidR="008E6599">
        <w:rPr>
          <w:rFonts w:ascii="Times New Roman" w:hAnsi="Times New Roman" w:cs="Times New Roman"/>
          <w:noProof/>
          <w:szCs w:val="24"/>
        </w:rPr>
        <w:t xml:space="preserve"> and </w:t>
      </w:r>
      <w:r w:rsidRPr="008E6599">
        <w:rPr>
          <w:rFonts w:ascii="Times New Roman" w:hAnsi="Times New Roman" w:cs="Times New Roman"/>
          <w:noProof/>
          <w:szCs w:val="24"/>
        </w:rPr>
        <w:t xml:space="preserve">Zhang, J. (2016). Facile synthesis of nitrogen-doped carbon nanosheets as metal-free catalyst with excellent oxygen reduction performance in alkaline and acidic media. </w:t>
      </w:r>
      <w:r w:rsidRPr="008E6599">
        <w:rPr>
          <w:rFonts w:ascii="Times New Roman" w:hAnsi="Times New Roman" w:cs="Times New Roman"/>
          <w:i/>
          <w:iCs/>
          <w:noProof/>
          <w:szCs w:val="24"/>
        </w:rPr>
        <w:t>Journal of Solid State Electrochemistry</w:t>
      </w:r>
      <w:r w:rsidRPr="008E6599">
        <w:rPr>
          <w:rFonts w:ascii="Times New Roman" w:hAnsi="Times New Roman" w:cs="Times New Roman"/>
          <w:noProof/>
          <w:szCs w:val="24"/>
        </w:rPr>
        <w:t>, 20(5)</w:t>
      </w:r>
      <w:r w:rsidR="008E6599">
        <w:rPr>
          <w:rFonts w:ascii="Times New Roman" w:hAnsi="Times New Roman" w:cs="Times New Roman"/>
          <w:noProof/>
          <w:szCs w:val="24"/>
        </w:rPr>
        <w:t>:</w:t>
      </w:r>
      <w:r w:rsidRPr="008E6599">
        <w:rPr>
          <w:rFonts w:ascii="Times New Roman" w:hAnsi="Times New Roman" w:cs="Times New Roman"/>
          <w:noProof/>
          <w:szCs w:val="24"/>
        </w:rPr>
        <w:t xml:space="preserve"> 1469</w:t>
      </w:r>
      <w:r w:rsidR="008E6599">
        <w:rPr>
          <w:rFonts w:ascii="Times New Roman" w:hAnsi="Times New Roman" w:cs="Times New Roman"/>
          <w:noProof/>
          <w:szCs w:val="24"/>
        </w:rPr>
        <w:t>-</w:t>
      </w:r>
      <w:r w:rsidRPr="008E6599">
        <w:rPr>
          <w:rFonts w:ascii="Times New Roman" w:hAnsi="Times New Roman" w:cs="Times New Roman"/>
          <w:noProof/>
          <w:szCs w:val="24"/>
        </w:rPr>
        <w:t>1479.</w:t>
      </w:r>
    </w:p>
    <w:p w14:paraId="449E8351"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Zhang, W., Qi, J., Bai, P., Wang, H.</w:t>
      </w:r>
      <w:r w:rsidR="008E6599">
        <w:rPr>
          <w:rFonts w:ascii="Times New Roman" w:hAnsi="Times New Roman" w:cs="Times New Roman"/>
          <w:noProof/>
          <w:szCs w:val="24"/>
        </w:rPr>
        <w:t xml:space="preserve"> and </w:t>
      </w:r>
      <w:r w:rsidRPr="008E6599">
        <w:rPr>
          <w:rFonts w:ascii="Times New Roman" w:hAnsi="Times New Roman" w:cs="Times New Roman"/>
          <w:noProof/>
          <w:szCs w:val="24"/>
        </w:rPr>
        <w:t xml:space="preserve">Xu, L. (2019). High-level nitrogen-doped, micro/mesoporous carbon as an efficient metal-free electrocatalyst for the oxygen reduction reaction: Optimizing the reaction surface area by a solvent-free mechanochemical method. </w:t>
      </w:r>
      <w:r w:rsidRPr="008E6599">
        <w:rPr>
          <w:rFonts w:ascii="Times New Roman" w:hAnsi="Times New Roman" w:cs="Times New Roman"/>
          <w:i/>
          <w:iCs/>
          <w:noProof/>
          <w:szCs w:val="24"/>
        </w:rPr>
        <w:t>New Journal of Chemistry</w:t>
      </w:r>
      <w:r w:rsidRPr="008E6599">
        <w:rPr>
          <w:rFonts w:ascii="Times New Roman" w:hAnsi="Times New Roman" w:cs="Times New Roman"/>
          <w:noProof/>
          <w:szCs w:val="24"/>
        </w:rPr>
        <w:t>, 43(27)</w:t>
      </w:r>
      <w:r w:rsidR="008E6599" w:rsidRPr="008E6599">
        <w:rPr>
          <w:rFonts w:ascii="Times New Roman" w:hAnsi="Times New Roman" w:cs="Times New Roman"/>
          <w:noProof/>
          <w:szCs w:val="24"/>
        </w:rPr>
        <w:t xml:space="preserve">: </w:t>
      </w:r>
      <w:r w:rsidRPr="008E6599">
        <w:rPr>
          <w:rFonts w:ascii="Times New Roman" w:hAnsi="Times New Roman" w:cs="Times New Roman"/>
          <w:noProof/>
          <w:szCs w:val="24"/>
        </w:rPr>
        <w:t>10878</w:t>
      </w:r>
      <w:r w:rsidR="008E6599">
        <w:rPr>
          <w:rFonts w:ascii="Times New Roman" w:hAnsi="Times New Roman" w:cs="Times New Roman"/>
          <w:noProof/>
          <w:szCs w:val="24"/>
        </w:rPr>
        <w:t>-</w:t>
      </w:r>
      <w:r w:rsidRPr="008E6599">
        <w:rPr>
          <w:rFonts w:ascii="Times New Roman" w:hAnsi="Times New Roman" w:cs="Times New Roman"/>
          <w:noProof/>
          <w:szCs w:val="24"/>
        </w:rPr>
        <w:t>10886.</w:t>
      </w:r>
    </w:p>
    <w:p w14:paraId="61073327"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Lazar, P., Mach, R.</w:t>
      </w:r>
      <w:r w:rsidR="008E6599">
        <w:rPr>
          <w:rFonts w:ascii="Times New Roman" w:hAnsi="Times New Roman" w:cs="Times New Roman"/>
          <w:noProof/>
          <w:szCs w:val="24"/>
        </w:rPr>
        <w:t xml:space="preserve"> and </w:t>
      </w:r>
      <w:r w:rsidRPr="008E6599">
        <w:rPr>
          <w:rFonts w:ascii="Times New Roman" w:hAnsi="Times New Roman" w:cs="Times New Roman"/>
          <w:noProof/>
          <w:szCs w:val="24"/>
        </w:rPr>
        <w:t xml:space="preserve">Otyepka, M. (2019). Spectroscopic </w:t>
      </w:r>
      <w:r w:rsidR="008E6599" w:rsidRPr="008E6599">
        <w:rPr>
          <w:rFonts w:ascii="Times New Roman" w:hAnsi="Times New Roman" w:cs="Times New Roman"/>
          <w:noProof/>
          <w:szCs w:val="24"/>
        </w:rPr>
        <w:t xml:space="preserve">fingerprints of graphitic, pyrrolic, pyridinic, and chemisorbed nitrogen in </w:t>
      </w:r>
      <w:r w:rsidR="008E6599">
        <w:rPr>
          <w:rFonts w:ascii="Times New Roman" w:hAnsi="Times New Roman" w:cs="Times New Roman"/>
          <w:noProof/>
          <w:szCs w:val="24"/>
        </w:rPr>
        <w:t>N</w:t>
      </w:r>
      <w:r w:rsidR="008E6599" w:rsidRPr="008E6599">
        <w:rPr>
          <w:rFonts w:ascii="Times New Roman" w:hAnsi="Times New Roman" w:cs="Times New Roman"/>
          <w:noProof/>
          <w:szCs w:val="24"/>
        </w:rPr>
        <w:t>-doped graphene.</w:t>
      </w:r>
      <w:r w:rsidRPr="008E6599">
        <w:rPr>
          <w:rFonts w:ascii="Times New Roman" w:hAnsi="Times New Roman" w:cs="Times New Roman"/>
          <w:noProof/>
          <w:szCs w:val="24"/>
        </w:rPr>
        <w:t xml:space="preserve"> </w:t>
      </w:r>
      <w:r w:rsidRPr="008E6599">
        <w:rPr>
          <w:rFonts w:ascii="Times New Roman" w:hAnsi="Times New Roman" w:cs="Times New Roman"/>
          <w:i/>
          <w:iCs/>
          <w:noProof/>
          <w:szCs w:val="24"/>
        </w:rPr>
        <w:t>Journal of Physical Chemistry C</w:t>
      </w:r>
      <w:r w:rsidRPr="008E6599">
        <w:rPr>
          <w:rFonts w:ascii="Times New Roman" w:hAnsi="Times New Roman" w:cs="Times New Roman"/>
          <w:noProof/>
          <w:szCs w:val="24"/>
        </w:rPr>
        <w:t>, 123(16)</w:t>
      </w:r>
      <w:r w:rsidR="008E6599">
        <w:rPr>
          <w:rFonts w:ascii="Times New Roman" w:hAnsi="Times New Roman" w:cs="Times New Roman"/>
          <w:noProof/>
          <w:szCs w:val="24"/>
        </w:rPr>
        <w:t>:</w:t>
      </w:r>
      <w:r w:rsidRPr="008E6599">
        <w:rPr>
          <w:rFonts w:ascii="Times New Roman" w:hAnsi="Times New Roman" w:cs="Times New Roman"/>
          <w:noProof/>
          <w:szCs w:val="24"/>
        </w:rPr>
        <w:t xml:space="preserve"> 10695</w:t>
      </w:r>
      <w:r w:rsidR="008E6599">
        <w:rPr>
          <w:rFonts w:ascii="Times New Roman" w:hAnsi="Times New Roman" w:cs="Times New Roman"/>
          <w:noProof/>
          <w:szCs w:val="24"/>
        </w:rPr>
        <w:t>-</w:t>
      </w:r>
      <w:r w:rsidRPr="008E6599">
        <w:rPr>
          <w:rFonts w:ascii="Times New Roman" w:hAnsi="Times New Roman" w:cs="Times New Roman"/>
          <w:noProof/>
          <w:szCs w:val="24"/>
        </w:rPr>
        <w:t>10702.</w:t>
      </w:r>
    </w:p>
    <w:p w14:paraId="5C074A8D" w14:textId="77777777" w:rsidR="008E6599" w:rsidRDefault="00197D1C" w:rsidP="008E6599">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Zainul Abidin, A. F., Loh, K. S., Wong, W. Y.</w:t>
      </w:r>
      <w:r w:rsidR="008E6599">
        <w:rPr>
          <w:rFonts w:ascii="Times New Roman" w:hAnsi="Times New Roman" w:cs="Times New Roman"/>
          <w:noProof/>
          <w:szCs w:val="24"/>
        </w:rPr>
        <w:t xml:space="preserve"> and </w:t>
      </w:r>
      <w:r w:rsidRPr="008E6599">
        <w:rPr>
          <w:rFonts w:ascii="Times New Roman" w:hAnsi="Times New Roman" w:cs="Times New Roman"/>
          <w:noProof/>
          <w:szCs w:val="24"/>
        </w:rPr>
        <w:t xml:space="preserve">Mohamad, A. B. (2019). Nitrogen-doped carbon xerogels catalyst for oxygen reduction reaction: Improved structural and catalytic activity by enhancing nitrogen species and cobalt insertion. </w:t>
      </w:r>
      <w:r w:rsidRPr="008E6599">
        <w:rPr>
          <w:rFonts w:ascii="Times New Roman" w:hAnsi="Times New Roman" w:cs="Times New Roman"/>
          <w:i/>
          <w:iCs/>
          <w:noProof/>
          <w:szCs w:val="24"/>
        </w:rPr>
        <w:t>International Journal of Hydrogen Energy</w:t>
      </w:r>
      <w:r w:rsidRPr="008E6599">
        <w:rPr>
          <w:rFonts w:ascii="Times New Roman" w:hAnsi="Times New Roman" w:cs="Times New Roman"/>
          <w:noProof/>
          <w:szCs w:val="24"/>
        </w:rPr>
        <w:t>, 44(54)</w:t>
      </w:r>
      <w:r w:rsidR="008E6599">
        <w:rPr>
          <w:rFonts w:ascii="Times New Roman" w:hAnsi="Times New Roman" w:cs="Times New Roman"/>
          <w:noProof/>
          <w:szCs w:val="24"/>
        </w:rPr>
        <w:t xml:space="preserve">: </w:t>
      </w:r>
      <w:r w:rsidRPr="008E6599">
        <w:rPr>
          <w:rFonts w:ascii="Times New Roman" w:hAnsi="Times New Roman" w:cs="Times New Roman"/>
          <w:noProof/>
          <w:szCs w:val="24"/>
        </w:rPr>
        <w:t>28789</w:t>
      </w:r>
      <w:r w:rsidR="008E6599">
        <w:rPr>
          <w:rFonts w:ascii="Times New Roman" w:hAnsi="Times New Roman" w:cs="Times New Roman"/>
          <w:noProof/>
          <w:szCs w:val="24"/>
        </w:rPr>
        <w:t>-</w:t>
      </w:r>
      <w:r w:rsidRPr="008E6599">
        <w:rPr>
          <w:rFonts w:ascii="Times New Roman" w:hAnsi="Times New Roman" w:cs="Times New Roman"/>
          <w:noProof/>
          <w:szCs w:val="24"/>
        </w:rPr>
        <w:t>28802.</w:t>
      </w:r>
    </w:p>
    <w:p w14:paraId="1D624EA5"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8E6599">
        <w:rPr>
          <w:rFonts w:ascii="Times New Roman" w:hAnsi="Times New Roman" w:cs="Times New Roman"/>
          <w:noProof/>
          <w:szCs w:val="24"/>
        </w:rPr>
        <w:t xml:space="preserve">Sharifi, </w:t>
      </w:r>
      <w:r w:rsidR="008E6599">
        <w:rPr>
          <w:rFonts w:ascii="Times New Roman" w:hAnsi="Times New Roman" w:cs="Times New Roman"/>
          <w:noProof/>
          <w:szCs w:val="24"/>
        </w:rPr>
        <w:t xml:space="preserve">T., </w:t>
      </w:r>
      <w:r w:rsidRPr="008E6599">
        <w:rPr>
          <w:rFonts w:ascii="Times New Roman" w:hAnsi="Times New Roman" w:cs="Times New Roman"/>
          <w:noProof/>
          <w:szCs w:val="24"/>
        </w:rPr>
        <w:t xml:space="preserve">Hu, </w:t>
      </w:r>
      <w:r w:rsidR="008E6599">
        <w:rPr>
          <w:rFonts w:ascii="Times New Roman" w:hAnsi="Times New Roman" w:cs="Times New Roman"/>
          <w:noProof/>
          <w:szCs w:val="24"/>
        </w:rPr>
        <w:t xml:space="preserve">G., </w:t>
      </w:r>
      <w:r w:rsidRPr="008E6599">
        <w:rPr>
          <w:rFonts w:ascii="Times New Roman" w:hAnsi="Times New Roman" w:cs="Times New Roman"/>
          <w:noProof/>
          <w:szCs w:val="24"/>
        </w:rPr>
        <w:t xml:space="preserve">Jia, </w:t>
      </w:r>
      <w:r w:rsidR="008E6599">
        <w:rPr>
          <w:rFonts w:ascii="Times New Roman" w:hAnsi="Times New Roman" w:cs="Times New Roman"/>
          <w:noProof/>
          <w:szCs w:val="24"/>
        </w:rPr>
        <w:t xml:space="preserve">X. </w:t>
      </w:r>
      <w:r w:rsidRPr="008E6599">
        <w:rPr>
          <w:rFonts w:ascii="Times New Roman" w:hAnsi="Times New Roman" w:cs="Times New Roman"/>
          <w:noProof/>
          <w:szCs w:val="24"/>
        </w:rPr>
        <w:t xml:space="preserve">and Wågberg, </w:t>
      </w:r>
      <w:r w:rsidR="008E6599">
        <w:rPr>
          <w:rFonts w:ascii="Times New Roman" w:hAnsi="Times New Roman" w:cs="Times New Roman"/>
          <w:noProof/>
          <w:szCs w:val="24"/>
        </w:rPr>
        <w:t xml:space="preserve">T. (2012). </w:t>
      </w:r>
      <w:r w:rsidRPr="008E6599">
        <w:rPr>
          <w:rFonts w:ascii="Times New Roman" w:hAnsi="Times New Roman" w:cs="Times New Roman"/>
          <w:noProof/>
          <w:szCs w:val="24"/>
        </w:rPr>
        <w:t>Formation of active sites for oxygen reduction reactions by transformation of nitrogen functionalities in nitrogen-doped carbon nanotubes</w:t>
      </w:r>
      <w:r w:rsidR="008E6599">
        <w:rPr>
          <w:rFonts w:ascii="Times New Roman" w:hAnsi="Times New Roman" w:cs="Times New Roman"/>
          <w:noProof/>
          <w:szCs w:val="24"/>
        </w:rPr>
        <w:t xml:space="preserve">. </w:t>
      </w:r>
      <w:r w:rsidRPr="008E6599">
        <w:rPr>
          <w:rFonts w:ascii="Times New Roman" w:hAnsi="Times New Roman" w:cs="Times New Roman"/>
          <w:i/>
          <w:iCs/>
          <w:noProof/>
          <w:szCs w:val="24"/>
        </w:rPr>
        <w:t>ACS Nano</w:t>
      </w:r>
      <w:r w:rsidRPr="008E6599">
        <w:rPr>
          <w:rFonts w:ascii="Times New Roman" w:hAnsi="Times New Roman" w:cs="Times New Roman"/>
          <w:noProof/>
          <w:szCs w:val="24"/>
        </w:rPr>
        <w:t>, 6</w:t>
      </w:r>
      <w:r w:rsidR="008E6599">
        <w:rPr>
          <w:rFonts w:ascii="Times New Roman" w:hAnsi="Times New Roman" w:cs="Times New Roman"/>
          <w:noProof/>
          <w:szCs w:val="24"/>
        </w:rPr>
        <w:t>(</w:t>
      </w:r>
      <w:r w:rsidRPr="008E6599">
        <w:rPr>
          <w:rFonts w:ascii="Times New Roman" w:hAnsi="Times New Roman" w:cs="Times New Roman"/>
          <w:noProof/>
          <w:szCs w:val="24"/>
        </w:rPr>
        <w:t>10</w:t>
      </w:r>
      <w:r w:rsidR="008E6599">
        <w:rPr>
          <w:rFonts w:ascii="Times New Roman" w:hAnsi="Times New Roman" w:cs="Times New Roman"/>
          <w:noProof/>
          <w:szCs w:val="24"/>
        </w:rPr>
        <w:t>):</w:t>
      </w:r>
      <w:r w:rsidRPr="008E6599">
        <w:rPr>
          <w:rFonts w:ascii="Times New Roman" w:hAnsi="Times New Roman" w:cs="Times New Roman"/>
          <w:noProof/>
          <w:szCs w:val="24"/>
        </w:rPr>
        <w:t xml:space="preserve"> 8904</w:t>
      </w:r>
      <w:r w:rsidR="008E6599">
        <w:rPr>
          <w:rFonts w:ascii="Times New Roman" w:hAnsi="Times New Roman" w:cs="Times New Roman"/>
          <w:noProof/>
          <w:szCs w:val="24"/>
        </w:rPr>
        <w:t>-</w:t>
      </w:r>
      <w:r w:rsidRPr="008E6599">
        <w:rPr>
          <w:rFonts w:ascii="Times New Roman" w:hAnsi="Times New Roman" w:cs="Times New Roman"/>
          <w:noProof/>
          <w:szCs w:val="24"/>
        </w:rPr>
        <w:t>8912.</w:t>
      </w:r>
    </w:p>
    <w:p w14:paraId="5303A73B"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 xml:space="preserve">Liu, R., Zhang, H., Liu, S., Zhang, X., Wu, T., Ge, X., … </w:t>
      </w:r>
      <w:r w:rsidR="007D33CB">
        <w:rPr>
          <w:rFonts w:ascii="Times New Roman" w:hAnsi="Times New Roman" w:cs="Times New Roman"/>
          <w:noProof/>
          <w:szCs w:val="24"/>
        </w:rPr>
        <w:t xml:space="preserve">and </w:t>
      </w:r>
      <w:r w:rsidRPr="007D33CB">
        <w:rPr>
          <w:rFonts w:ascii="Times New Roman" w:hAnsi="Times New Roman" w:cs="Times New Roman"/>
          <w:noProof/>
          <w:szCs w:val="24"/>
        </w:rPr>
        <w:t xml:space="preserve">Wang, G. (2016). Shrimp-shell derived carbon nanodots as carbon and nitrogen sources to fabricate three-dimensional N-doped porous carbon electrocatalysts for the oxygen reduction reaction. </w:t>
      </w:r>
      <w:r w:rsidRPr="007D33CB">
        <w:rPr>
          <w:rFonts w:ascii="Times New Roman" w:hAnsi="Times New Roman" w:cs="Times New Roman"/>
          <w:i/>
          <w:iCs/>
          <w:noProof/>
          <w:szCs w:val="24"/>
        </w:rPr>
        <w:t>Physical Chemistry Chemical Physics</w:t>
      </w:r>
      <w:r w:rsidRPr="007D33CB">
        <w:rPr>
          <w:rFonts w:ascii="Times New Roman" w:hAnsi="Times New Roman" w:cs="Times New Roman"/>
          <w:noProof/>
          <w:szCs w:val="24"/>
        </w:rPr>
        <w:t>, 18(5)</w:t>
      </w:r>
      <w:r w:rsidR="007D33CB">
        <w:rPr>
          <w:rFonts w:ascii="Times New Roman" w:hAnsi="Times New Roman" w:cs="Times New Roman"/>
          <w:noProof/>
          <w:szCs w:val="24"/>
        </w:rPr>
        <w:t xml:space="preserve">: </w:t>
      </w:r>
      <w:r w:rsidRPr="007D33CB">
        <w:rPr>
          <w:rFonts w:ascii="Times New Roman" w:hAnsi="Times New Roman" w:cs="Times New Roman"/>
          <w:noProof/>
          <w:szCs w:val="24"/>
        </w:rPr>
        <w:t>4095</w:t>
      </w:r>
      <w:r w:rsidR="007D33CB">
        <w:rPr>
          <w:rFonts w:ascii="Times New Roman" w:hAnsi="Times New Roman" w:cs="Times New Roman"/>
          <w:noProof/>
          <w:szCs w:val="24"/>
        </w:rPr>
        <w:t>-</w:t>
      </w:r>
      <w:r w:rsidRPr="007D33CB">
        <w:rPr>
          <w:rFonts w:ascii="Times New Roman" w:hAnsi="Times New Roman" w:cs="Times New Roman"/>
          <w:noProof/>
          <w:szCs w:val="24"/>
        </w:rPr>
        <w:t>4101.</w:t>
      </w:r>
    </w:p>
    <w:p w14:paraId="39FC1807"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Zheng, F. Y., Li, R., Ge, S., Xu, W. R.</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Zhang, Y. (2020). Nitrogen and phosphorus co-doped carbon networks derived from shrimp shells as an efficient oxygen reduction catalyst for microbial fuel cells. </w:t>
      </w:r>
      <w:r w:rsidRPr="007D33CB">
        <w:rPr>
          <w:rFonts w:ascii="Times New Roman" w:hAnsi="Times New Roman" w:cs="Times New Roman"/>
          <w:i/>
          <w:iCs/>
          <w:noProof/>
          <w:szCs w:val="24"/>
        </w:rPr>
        <w:t>Journal of Power Sources</w:t>
      </w:r>
      <w:r w:rsidRPr="007D33CB">
        <w:rPr>
          <w:rFonts w:ascii="Times New Roman" w:hAnsi="Times New Roman" w:cs="Times New Roman"/>
          <w:noProof/>
          <w:szCs w:val="24"/>
        </w:rPr>
        <w:t>, 446</w:t>
      </w:r>
      <w:r w:rsidR="007D33CB">
        <w:rPr>
          <w:rFonts w:ascii="Times New Roman" w:hAnsi="Times New Roman" w:cs="Times New Roman"/>
          <w:noProof/>
          <w:szCs w:val="24"/>
        </w:rPr>
        <w:t xml:space="preserve">: </w:t>
      </w:r>
      <w:r w:rsidRPr="007D33CB">
        <w:rPr>
          <w:rFonts w:ascii="Times New Roman" w:hAnsi="Times New Roman" w:cs="Times New Roman"/>
          <w:noProof/>
          <w:szCs w:val="24"/>
        </w:rPr>
        <w:t>227356.</w:t>
      </w:r>
    </w:p>
    <w:p w14:paraId="4F8A04E0"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Lai, L., Potts, J. R., Zhan, D., Wang, L., Poh, C. K., Tang, C.</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Ruoff, R. S. (2012). Exploration of the active center structure of nitrogen-doped graphene-based catalysts for oxygen reduction reaction. </w:t>
      </w:r>
      <w:r w:rsidRPr="007D33CB">
        <w:rPr>
          <w:rFonts w:ascii="Times New Roman" w:hAnsi="Times New Roman" w:cs="Times New Roman"/>
          <w:i/>
          <w:iCs/>
          <w:noProof/>
          <w:szCs w:val="24"/>
        </w:rPr>
        <w:t>Energy and Environmental Science</w:t>
      </w:r>
      <w:r w:rsidRPr="007D33CB">
        <w:rPr>
          <w:rFonts w:ascii="Times New Roman" w:hAnsi="Times New Roman" w:cs="Times New Roman"/>
          <w:noProof/>
          <w:szCs w:val="24"/>
        </w:rPr>
        <w:t xml:space="preserve">, </w:t>
      </w:r>
      <w:r w:rsidRPr="007D33CB">
        <w:rPr>
          <w:rFonts w:ascii="Times New Roman" w:hAnsi="Times New Roman" w:cs="Times New Roman"/>
          <w:i/>
          <w:iCs/>
          <w:noProof/>
          <w:szCs w:val="24"/>
        </w:rPr>
        <w:t>5</w:t>
      </w:r>
      <w:r w:rsidRPr="007D33CB">
        <w:rPr>
          <w:rFonts w:ascii="Times New Roman" w:hAnsi="Times New Roman" w:cs="Times New Roman"/>
          <w:noProof/>
          <w:szCs w:val="24"/>
        </w:rPr>
        <w:t>(7)</w:t>
      </w:r>
      <w:r w:rsidR="007D33CB">
        <w:rPr>
          <w:rFonts w:ascii="Times New Roman" w:hAnsi="Times New Roman" w:cs="Times New Roman"/>
          <w:noProof/>
          <w:szCs w:val="24"/>
        </w:rPr>
        <w:t>:</w:t>
      </w:r>
      <w:r w:rsidRPr="007D33CB">
        <w:rPr>
          <w:rFonts w:ascii="Times New Roman" w:hAnsi="Times New Roman" w:cs="Times New Roman"/>
          <w:noProof/>
          <w:szCs w:val="24"/>
        </w:rPr>
        <w:t xml:space="preserve"> 7936</w:t>
      </w:r>
      <w:r w:rsidR="007D33CB">
        <w:rPr>
          <w:rFonts w:ascii="Times New Roman" w:hAnsi="Times New Roman" w:cs="Times New Roman"/>
          <w:noProof/>
          <w:szCs w:val="24"/>
        </w:rPr>
        <w:t>-</w:t>
      </w:r>
      <w:r w:rsidRPr="007D33CB">
        <w:rPr>
          <w:rFonts w:ascii="Times New Roman" w:hAnsi="Times New Roman" w:cs="Times New Roman"/>
          <w:noProof/>
          <w:szCs w:val="24"/>
        </w:rPr>
        <w:t>7942.</w:t>
      </w:r>
    </w:p>
    <w:p w14:paraId="6E0A8AAE"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Xu, S. S., Qiu, S. W., Yuan, Z. Y., Ren, T. Z.</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Bandosz, T. J. (2019). Nitrogen-containing activated carbon of improved electrochemical performance derived from cotton stalks using indirect chemical activation. </w:t>
      </w:r>
      <w:r w:rsidRPr="007D33CB">
        <w:rPr>
          <w:rFonts w:ascii="Times New Roman" w:hAnsi="Times New Roman" w:cs="Times New Roman"/>
          <w:i/>
          <w:iCs/>
          <w:noProof/>
          <w:szCs w:val="24"/>
        </w:rPr>
        <w:t>Journal of Colloid and Interface Science</w:t>
      </w:r>
      <w:r w:rsidRPr="007D33CB">
        <w:rPr>
          <w:rFonts w:ascii="Times New Roman" w:hAnsi="Times New Roman" w:cs="Times New Roman"/>
          <w:noProof/>
          <w:szCs w:val="24"/>
        </w:rPr>
        <w:t>, 540</w:t>
      </w:r>
      <w:r w:rsidR="007D33CB">
        <w:rPr>
          <w:rFonts w:ascii="Times New Roman" w:hAnsi="Times New Roman" w:cs="Times New Roman"/>
          <w:noProof/>
          <w:szCs w:val="24"/>
        </w:rPr>
        <w:t xml:space="preserve">: </w:t>
      </w:r>
      <w:r w:rsidRPr="007D33CB">
        <w:rPr>
          <w:rFonts w:ascii="Times New Roman" w:hAnsi="Times New Roman" w:cs="Times New Roman"/>
          <w:noProof/>
          <w:szCs w:val="24"/>
        </w:rPr>
        <w:t>285</w:t>
      </w:r>
      <w:r w:rsidR="007D33CB">
        <w:rPr>
          <w:rFonts w:ascii="Times New Roman" w:hAnsi="Times New Roman" w:cs="Times New Roman"/>
          <w:noProof/>
          <w:szCs w:val="24"/>
        </w:rPr>
        <w:t>-</w:t>
      </w:r>
      <w:r w:rsidRPr="007D33CB">
        <w:rPr>
          <w:rFonts w:ascii="Times New Roman" w:hAnsi="Times New Roman" w:cs="Times New Roman"/>
          <w:noProof/>
          <w:szCs w:val="24"/>
        </w:rPr>
        <w:t>294.</w:t>
      </w:r>
    </w:p>
    <w:p w14:paraId="3D09C669"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Akula, S.</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Sahu, A. K. (2019). Heteroatoms co-</w:t>
      </w:r>
      <w:r w:rsidR="007D33CB">
        <w:rPr>
          <w:rFonts w:ascii="Times New Roman" w:hAnsi="Times New Roman" w:cs="Times New Roman"/>
          <w:noProof/>
          <w:szCs w:val="24"/>
        </w:rPr>
        <w:t>d</w:t>
      </w:r>
      <w:r w:rsidRPr="007D33CB">
        <w:rPr>
          <w:rFonts w:ascii="Times New Roman" w:hAnsi="Times New Roman" w:cs="Times New Roman"/>
          <w:noProof/>
          <w:szCs w:val="24"/>
        </w:rPr>
        <w:t>oping (N, F) to t</w:t>
      </w:r>
      <w:r w:rsidR="007D33CB" w:rsidRPr="007D33CB">
        <w:rPr>
          <w:rFonts w:ascii="Times New Roman" w:hAnsi="Times New Roman" w:cs="Times New Roman"/>
          <w:noProof/>
          <w:szCs w:val="24"/>
        </w:rPr>
        <w:t xml:space="preserve">he porous carbon derived from spent coffee grounds as an effective catalyst for oxygen reduction reaction in polymer electrolyte fuel cells. </w:t>
      </w:r>
      <w:r w:rsidRPr="007D33CB">
        <w:rPr>
          <w:rFonts w:ascii="Times New Roman" w:hAnsi="Times New Roman" w:cs="Times New Roman"/>
          <w:i/>
          <w:iCs/>
          <w:noProof/>
          <w:szCs w:val="24"/>
        </w:rPr>
        <w:t>Journal of The Electrochemical Society</w:t>
      </w:r>
      <w:r w:rsidRPr="007D33CB">
        <w:rPr>
          <w:rFonts w:ascii="Times New Roman" w:hAnsi="Times New Roman" w:cs="Times New Roman"/>
          <w:noProof/>
          <w:szCs w:val="24"/>
        </w:rPr>
        <w:t>, 166(2)</w:t>
      </w:r>
      <w:r w:rsidR="007D33CB">
        <w:rPr>
          <w:rFonts w:ascii="Times New Roman" w:hAnsi="Times New Roman" w:cs="Times New Roman"/>
          <w:noProof/>
          <w:szCs w:val="24"/>
        </w:rPr>
        <w:t xml:space="preserve">: </w:t>
      </w:r>
      <w:r w:rsidRPr="007D33CB">
        <w:rPr>
          <w:rFonts w:ascii="Times New Roman" w:hAnsi="Times New Roman" w:cs="Times New Roman"/>
          <w:noProof/>
          <w:szCs w:val="24"/>
        </w:rPr>
        <w:t>F93</w:t>
      </w:r>
      <w:r w:rsidR="007D33CB">
        <w:rPr>
          <w:rFonts w:ascii="Times New Roman" w:hAnsi="Times New Roman" w:cs="Times New Roman"/>
          <w:noProof/>
          <w:szCs w:val="24"/>
        </w:rPr>
        <w:t>-</w:t>
      </w:r>
      <w:r w:rsidRPr="007D33CB">
        <w:rPr>
          <w:rFonts w:ascii="Times New Roman" w:hAnsi="Times New Roman" w:cs="Times New Roman"/>
          <w:noProof/>
          <w:szCs w:val="24"/>
        </w:rPr>
        <w:t>F101.</w:t>
      </w:r>
    </w:p>
    <w:p w14:paraId="556FBD31"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Li, D., Fan, Y., Yuan, H., Deng, L., Yang, J., Chen, Y.</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Luo, B. (2020). Renewable </w:t>
      </w:r>
      <w:r w:rsidR="007D33CB" w:rsidRPr="007D33CB">
        <w:rPr>
          <w:rFonts w:ascii="Times New Roman" w:hAnsi="Times New Roman" w:cs="Times New Roman"/>
          <w:noProof/>
          <w:szCs w:val="24"/>
        </w:rPr>
        <w:t>and metal-free carbon derived from aquatic scindapsus affording meso–microporosity, large interface, and enriched pyridinic-</w:t>
      </w:r>
      <w:r w:rsidR="007D33CB">
        <w:rPr>
          <w:rFonts w:ascii="Times New Roman" w:hAnsi="Times New Roman" w:cs="Times New Roman"/>
          <w:noProof/>
          <w:szCs w:val="24"/>
        </w:rPr>
        <w:t>N</w:t>
      </w:r>
      <w:r w:rsidR="007D33CB" w:rsidRPr="007D33CB">
        <w:rPr>
          <w:rFonts w:ascii="Times New Roman" w:hAnsi="Times New Roman" w:cs="Times New Roman"/>
          <w:noProof/>
          <w:szCs w:val="24"/>
        </w:rPr>
        <w:t xml:space="preserve"> for efficient oxygen reduction reaction catalysis. </w:t>
      </w:r>
      <w:r w:rsidRPr="007D33CB">
        <w:rPr>
          <w:rFonts w:ascii="Times New Roman" w:hAnsi="Times New Roman" w:cs="Times New Roman"/>
          <w:i/>
          <w:iCs/>
          <w:noProof/>
          <w:szCs w:val="24"/>
        </w:rPr>
        <w:t>Energy &amp; Fuels</w:t>
      </w:r>
      <w:r w:rsidRPr="007D33CB">
        <w:rPr>
          <w:rFonts w:ascii="Times New Roman" w:hAnsi="Times New Roman" w:cs="Times New Roman"/>
          <w:noProof/>
          <w:szCs w:val="24"/>
        </w:rPr>
        <w:t>, 34(10)</w:t>
      </w:r>
      <w:r w:rsidR="007D33CB">
        <w:rPr>
          <w:rFonts w:ascii="Times New Roman" w:hAnsi="Times New Roman" w:cs="Times New Roman"/>
          <w:noProof/>
          <w:szCs w:val="24"/>
        </w:rPr>
        <w:t xml:space="preserve">: </w:t>
      </w:r>
      <w:r w:rsidRPr="007D33CB">
        <w:rPr>
          <w:rFonts w:ascii="Times New Roman" w:hAnsi="Times New Roman" w:cs="Times New Roman"/>
          <w:noProof/>
          <w:szCs w:val="24"/>
        </w:rPr>
        <w:t>13089</w:t>
      </w:r>
      <w:r w:rsidR="007D33CB">
        <w:rPr>
          <w:rFonts w:ascii="Times New Roman" w:hAnsi="Times New Roman" w:cs="Times New Roman"/>
          <w:noProof/>
          <w:szCs w:val="24"/>
        </w:rPr>
        <w:t>-</w:t>
      </w:r>
      <w:r w:rsidRPr="007D33CB">
        <w:rPr>
          <w:rFonts w:ascii="Times New Roman" w:hAnsi="Times New Roman" w:cs="Times New Roman"/>
          <w:noProof/>
          <w:szCs w:val="24"/>
        </w:rPr>
        <w:t>13095.</w:t>
      </w:r>
    </w:p>
    <w:p w14:paraId="1DAB96AA" w14:textId="77777777" w:rsid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Fan, Z., Li, J., Zhou, Y., Fu, Q., Yang, W., Zhu, X.</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Liao, Q. (2017). A green, cheap, high-performance carbonaceous catalyst derived from </w:t>
      </w:r>
      <w:r w:rsidRPr="007D33CB">
        <w:rPr>
          <w:rFonts w:ascii="Times New Roman" w:hAnsi="Times New Roman" w:cs="Times New Roman"/>
          <w:i/>
          <w:iCs/>
          <w:noProof/>
          <w:szCs w:val="24"/>
        </w:rPr>
        <w:t>Chlorella pyrenoidosa</w:t>
      </w:r>
      <w:r w:rsidRPr="007D33CB">
        <w:rPr>
          <w:rFonts w:ascii="Times New Roman" w:hAnsi="Times New Roman" w:cs="Times New Roman"/>
          <w:noProof/>
          <w:szCs w:val="24"/>
        </w:rPr>
        <w:t xml:space="preserve"> for oxygen reduction reaction in microbial fuel cells. </w:t>
      </w:r>
      <w:r w:rsidRPr="007D33CB">
        <w:rPr>
          <w:rFonts w:ascii="Times New Roman" w:hAnsi="Times New Roman" w:cs="Times New Roman"/>
          <w:i/>
          <w:iCs/>
          <w:noProof/>
          <w:szCs w:val="24"/>
        </w:rPr>
        <w:t>International Journal of Hydrogen Energy</w:t>
      </w:r>
      <w:r w:rsidRPr="007D33CB">
        <w:rPr>
          <w:rFonts w:ascii="Times New Roman" w:hAnsi="Times New Roman" w:cs="Times New Roman"/>
          <w:noProof/>
          <w:szCs w:val="24"/>
        </w:rPr>
        <w:t>, 42(45)</w:t>
      </w:r>
      <w:r w:rsidR="007D33CB">
        <w:rPr>
          <w:rFonts w:ascii="Times New Roman" w:hAnsi="Times New Roman" w:cs="Times New Roman"/>
          <w:noProof/>
          <w:szCs w:val="24"/>
        </w:rPr>
        <w:t xml:space="preserve">: </w:t>
      </w:r>
      <w:r w:rsidRPr="007D33CB">
        <w:rPr>
          <w:rFonts w:ascii="Times New Roman" w:hAnsi="Times New Roman" w:cs="Times New Roman"/>
          <w:noProof/>
          <w:szCs w:val="24"/>
        </w:rPr>
        <w:t>27657</w:t>
      </w:r>
      <w:r w:rsidR="007D33CB">
        <w:rPr>
          <w:rFonts w:ascii="Times New Roman" w:hAnsi="Times New Roman" w:cs="Times New Roman"/>
          <w:noProof/>
          <w:szCs w:val="24"/>
        </w:rPr>
        <w:t>-</w:t>
      </w:r>
      <w:r w:rsidRPr="007D33CB">
        <w:rPr>
          <w:rFonts w:ascii="Times New Roman" w:hAnsi="Times New Roman" w:cs="Times New Roman"/>
          <w:noProof/>
          <w:szCs w:val="24"/>
        </w:rPr>
        <w:t>27665.</w:t>
      </w:r>
    </w:p>
    <w:p w14:paraId="55F6B3B4" w14:textId="419A2D63" w:rsidR="00197D1C" w:rsidRPr="007D33CB" w:rsidRDefault="00197D1C" w:rsidP="007D33CB">
      <w:pPr>
        <w:pStyle w:val="ListParagraph"/>
        <w:numPr>
          <w:ilvl w:val="0"/>
          <w:numId w:val="3"/>
        </w:numPr>
        <w:adjustRightInd w:val="0"/>
        <w:ind w:left="567" w:hanging="567"/>
        <w:rPr>
          <w:rFonts w:ascii="Times New Roman" w:hAnsi="Times New Roman" w:cs="Times New Roman"/>
          <w:noProof/>
          <w:szCs w:val="24"/>
        </w:rPr>
      </w:pPr>
      <w:r w:rsidRPr="007D33CB">
        <w:rPr>
          <w:rFonts w:ascii="Times New Roman" w:hAnsi="Times New Roman" w:cs="Times New Roman"/>
          <w:noProof/>
          <w:szCs w:val="24"/>
        </w:rPr>
        <w:t>Cao, C., Wei, L., Zhai, Q., Wang, G.</w:t>
      </w:r>
      <w:r w:rsidR="007D33CB">
        <w:rPr>
          <w:rFonts w:ascii="Times New Roman" w:hAnsi="Times New Roman" w:cs="Times New Roman"/>
          <w:noProof/>
          <w:szCs w:val="24"/>
        </w:rPr>
        <w:t xml:space="preserve"> and </w:t>
      </w:r>
      <w:r w:rsidRPr="007D33CB">
        <w:rPr>
          <w:rFonts w:ascii="Times New Roman" w:hAnsi="Times New Roman" w:cs="Times New Roman"/>
          <w:noProof/>
          <w:szCs w:val="24"/>
        </w:rPr>
        <w:t xml:space="preserve">Shen, J. (2017). Biomass-derived nitrogen and boron dual-doped hollow carbon tube as cost-effective and stable synergistic catalyst for oxygen electroreduction. </w:t>
      </w:r>
      <w:r w:rsidRPr="007D33CB">
        <w:rPr>
          <w:rFonts w:ascii="Times New Roman" w:hAnsi="Times New Roman" w:cs="Times New Roman"/>
          <w:i/>
          <w:iCs/>
          <w:noProof/>
          <w:szCs w:val="24"/>
        </w:rPr>
        <w:t>Electrochimica Acta</w:t>
      </w:r>
      <w:r w:rsidRPr="007D33CB">
        <w:rPr>
          <w:rFonts w:ascii="Times New Roman" w:hAnsi="Times New Roman" w:cs="Times New Roman"/>
          <w:noProof/>
          <w:szCs w:val="24"/>
        </w:rPr>
        <w:t>, 249</w:t>
      </w:r>
      <w:r w:rsidR="007D33CB">
        <w:rPr>
          <w:rFonts w:ascii="Times New Roman" w:hAnsi="Times New Roman" w:cs="Times New Roman"/>
          <w:noProof/>
          <w:szCs w:val="24"/>
        </w:rPr>
        <w:t>:</w:t>
      </w:r>
      <w:r w:rsidRPr="007D33CB">
        <w:rPr>
          <w:rFonts w:ascii="Times New Roman" w:hAnsi="Times New Roman" w:cs="Times New Roman"/>
          <w:noProof/>
          <w:szCs w:val="24"/>
        </w:rPr>
        <w:t xml:space="preserve"> 328</w:t>
      </w:r>
      <w:r w:rsidR="007D33CB">
        <w:rPr>
          <w:rFonts w:ascii="Times New Roman" w:hAnsi="Times New Roman" w:cs="Times New Roman"/>
          <w:noProof/>
          <w:szCs w:val="24"/>
        </w:rPr>
        <w:t>-</w:t>
      </w:r>
      <w:r w:rsidRPr="007D33CB">
        <w:rPr>
          <w:rFonts w:ascii="Times New Roman" w:hAnsi="Times New Roman" w:cs="Times New Roman"/>
          <w:noProof/>
          <w:szCs w:val="24"/>
        </w:rPr>
        <w:t>336.</w:t>
      </w:r>
    </w:p>
    <w:p w14:paraId="1E699B67" w14:textId="7458E098" w:rsidR="00BC46E9" w:rsidRPr="00EC0D34" w:rsidRDefault="00197D1C" w:rsidP="002C752B">
      <w:pPr>
        <w:jc w:val="center"/>
        <w:outlineLvl w:val="0"/>
        <w:rPr>
          <w:rFonts w:ascii="Times New Roman" w:hAnsi="Times New Roman" w:cs="Times New Roman"/>
          <w:b/>
          <w:szCs w:val="20"/>
        </w:rPr>
      </w:pPr>
      <w:r w:rsidRPr="00EC0D34">
        <w:rPr>
          <w:rFonts w:ascii="Times New Roman" w:hAnsi="Times New Roman" w:cs="Times New Roman"/>
          <w:szCs w:val="20"/>
          <w:lang w:val="en-GB"/>
        </w:rPr>
        <w:fldChar w:fldCharType="end"/>
      </w:r>
    </w:p>
    <w:sectPr w:rsidR="00BC46E9" w:rsidRPr="00EC0D34" w:rsidSect="00F4378D">
      <w:headerReference w:type="default" r:id="rId12"/>
      <w:footerReference w:type="default" r:id="rId1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FBF21" w14:textId="77777777" w:rsidR="007654A8" w:rsidRDefault="007654A8" w:rsidP="006B61BE">
      <w:r>
        <w:separator/>
      </w:r>
    </w:p>
  </w:endnote>
  <w:endnote w:type="continuationSeparator" w:id="0">
    <w:p w14:paraId="50FF73E4" w14:textId="77777777" w:rsidR="007654A8" w:rsidRDefault="007654A8"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6159D5D3" w14:textId="77777777" w:rsidR="00F4378D" w:rsidRDefault="00F4378D">
        <w:pPr>
          <w:pStyle w:val="Footer"/>
          <w:jc w:val="right"/>
        </w:pPr>
        <w:r>
          <w:fldChar w:fldCharType="begin"/>
        </w:r>
        <w:r>
          <w:instrText xml:space="preserve"> PAGE   \* MERGEFORMAT </w:instrText>
        </w:r>
        <w:r>
          <w:fldChar w:fldCharType="separate"/>
        </w:r>
        <w:r w:rsidR="00AF1CBA">
          <w:rPr>
            <w:noProof/>
          </w:rPr>
          <w:t>1</w:t>
        </w:r>
        <w:r>
          <w:rPr>
            <w:noProof/>
          </w:rPr>
          <w:fldChar w:fldCharType="end"/>
        </w:r>
      </w:p>
    </w:sdtContent>
  </w:sdt>
  <w:p w14:paraId="4E6CF896"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4CE3" w14:textId="77777777" w:rsidR="007654A8" w:rsidRDefault="007654A8" w:rsidP="006B61BE">
      <w:r>
        <w:separator/>
      </w:r>
    </w:p>
  </w:footnote>
  <w:footnote w:type="continuationSeparator" w:id="0">
    <w:p w14:paraId="46AC5CBF" w14:textId="77777777" w:rsidR="007654A8" w:rsidRDefault="007654A8"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98EC" w14:textId="77777777" w:rsidR="00F4378D" w:rsidRPr="00F4378D" w:rsidRDefault="00F4378D"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6C96781D"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8075F"/>
    <w:multiLevelType w:val="hybridMultilevel"/>
    <w:tmpl w:val="0FE4215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F6D074D"/>
    <w:multiLevelType w:val="hybridMultilevel"/>
    <w:tmpl w:val="87184A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69DE"/>
    <w:rsid w:val="00015869"/>
    <w:rsid w:val="000172F0"/>
    <w:rsid w:val="00021AFB"/>
    <w:rsid w:val="00022CA8"/>
    <w:rsid w:val="00033490"/>
    <w:rsid w:val="0003518E"/>
    <w:rsid w:val="0003587C"/>
    <w:rsid w:val="00037C63"/>
    <w:rsid w:val="00041596"/>
    <w:rsid w:val="0004351A"/>
    <w:rsid w:val="00055223"/>
    <w:rsid w:val="00060749"/>
    <w:rsid w:val="000617DE"/>
    <w:rsid w:val="000624E3"/>
    <w:rsid w:val="0006367D"/>
    <w:rsid w:val="0006566E"/>
    <w:rsid w:val="00072C45"/>
    <w:rsid w:val="000764D4"/>
    <w:rsid w:val="00082B6B"/>
    <w:rsid w:val="000841EE"/>
    <w:rsid w:val="000900FE"/>
    <w:rsid w:val="000953AD"/>
    <w:rsid w:val="00095720"/>
    <w:rsid w:val="000968A9"/>
    <w:rsid w:val="00096A23"/>
    <w:rsid w:val="00096BF0"/>
    <w:rsid w:val="000A1226"/>
    <w:rsid w:val="000A40D2"/>
    <w:rsid w:val="000A58F8"/>
    <w:rsid w:val="000A6AA2"/>
    <w:rsid w:val="000B1A78"/>
    <w:rsid w:val="000B6B16"/>
    <w:rsid w:val="000C27BC"/>
    <w:rsid w:val="000C3ABE"/>
    <w:rsid w:val="000E04BB"/>
    <w:rsid w:val="000E148B"/>
    <w:rsid w:val="000E15FA"/>
    <w:rsid w:val="000E6DDB"/>
    <w:rsid w:val="001052A7"/>
    <w:rsid w:val="00107848"/>
    <w:rsid w:val="001165E5"/>
    <w:rsid w:val="00125C5E"/>
    <w:rsid w:val="00141045"/>
    <w:rsid w:val="00146FC1"/>
    <w:rsid w:val="00156AE0"/>
    <w:rsid w:val="001666B4"/>
    <w:rsid w:val="001719B0"/>
    <w:rsid w:val="00173BEC"/>
    <w:rsid w:val="0017569F"/>
    <w:rsid w:val="0017755B"/>
    <w:rsid w:val="00180600"/>
    <w:rsid w:val="00183108"/>
    <w:rsid w:val="001871B4"/>
    <w:rsid w:val="0019717B"/>
    <w:rsid w:val="00197D1C"/>
    <w:rsid w:val="001A2191"/>
    <w:rsid w:val="001A6DEC"/>
    <w:rsid w:val="001B0F56"/>
    <w:rsid w:val="001B1AF8"/>
    <w:rsid w:val="001B4B1C"/>
    <w:rsid w:val="001C634C"/>
    <w:rsid w:val="001D2747"/>
    <w:rsid w:val="001D60F5"/>
    <w:rsid w:val="001E1B8B"/>
    <w:rsid w:val="001E7F07"/>
    <w:rsid w:val="001F2857"/>
    <w:rsid w:val="001F2C5D"/>
    <w:rsid w:val="001F347F"/>
    <w:rsid w:val="0020603D"/>
    <w:rsid w:val="00207CDA"/>
    <w:rsid w:val="002107FF"/>
    <w:rsid w:val="002132B6"/>
    <w:rsid w:val="002255FC"/>
    <w:rsid w:val="002332DD"/>
    <w:rsid w:val="002334DA"/>
    <w:rsid w:val="002424A0"/>
    <w:rsid w:val="00244D50"/>
    <w:rsid w:val="00251E6D"/>
    <w:rsid w:val="00256213"/>
    <w:rsid w:val="00262DE8"/>
    <w:rsid w:val="00263C33"/>
    <w:rsid w:val="00267DAE"/>
    <w:rsid w:val="002731C8"/>
    <w:rsid w:val="002870E7"/>
    <w:rsid w:val="00290357"/>
    <w:rsid w:val="002923D6"/>
    <w:rsid w:val="00293AF8"/>
    <w:rsid w:val="002A5807"/>
    <w:rsid w:val="002B039C"/>
    <w:rsid w:val="002B100D"/>
    <w:rsid w:val="002B17E4"/>
    <w:rsid w:val="002B2093"/>
    <w:rsid w:val="002B27D5"/>
    <w:rsid w:val="002B490A"/>
    <w:rsid w:val="002C1B45"/>
    <w:rsid w:val="002C752B"/>
    <w:rsid w:val="002D2310"/>
    <w:rsid w:val="002D361F"/>
    <w:rsid w:val="002D77BB"/>
    <w:rsid w:val="002E0248"/>
    <w:rsid w:val="002E54D4"/>
    <w:rsid w:val="002F5C86"/>
    <w:rsid w:val="002F648B"/>
    <w:rsid w:val="003217A8"/>
    <w:rsid w:val="003218D3"/>
    <w:rsid w:val="003240D9"/>
    <w:rsid w:val="00324132"/>
    <w:rsid w:val="003243EB"/>
    <w:rsid w:val="003246DB"/>
    <w:rsid w:val="00325ED9"/>
    <w:rsid w:val="00332C6D"/>
    <w:rsid w:val="00333CF9"/>
    <w:rsid w:val="0033548B"/>
    <w:rsid w:val="0034019C"/>
    <w:rsid w:val="0034247A"/>
    <w:rsid w:val="003472C0"/>
    <w:rsid w:val="0035171E"/>
    <w:rsid w:val="00353544"/>
    <w:rsid w:val="00354C20"/>
    <w:rsid w:val="00363296"/>
    <w:rsid w:val="003657DF"/>
    <w:rsid w:val="00366177"/>
    <w:rsid w:val="00374E93"/>
    <w:rsid w:val="0038137B"/>
    <w:rsid w:val="00385B5C"/>
    <w:rsid w:val="003862BC"/>
    <w:rsid w:val="00387616"/>
    <w:rsid w:val="00391FBB"/>
    <w:rsid w:val="003966AE"/>
    <w:rsid w:val="00397FA8"/>
    <w:rsid w:val="003A10A1"/>
    <w:rsid w:val="003A2A26"/>
    <w:rsid w:val="003A41E9"/>
    <w:rsid w:val="003A6234"/>
    <w:rsid w:val="003B5440"/>
    <w:rsid w:val="003B79CD"/>
    <w:rsid w:val="003C0B06"/>
    <w:rsid w:val="003D1C22"/>
    <w:rsid w:val="003D203F"/>
    <w:rsid w:val="003D2879"/>
    <w:rsid w:val="003D317C"/>
    <w:rsid w:val="003D595E"/>
    <w:rsid w:val="003D667B"/>
    <w:rsid w:val="003E78E5"/>
    <w:rsid w:val="003E7A8C"/>
    <w:rsid w:val="003F3701"/>
    <w:rsid w:val="003F47A8"/>
    <w:rsid w:val="003F5072"/>
    <w:rsid w:val="00403732"/>
    <w:rsid w:val="00407A1A"/>
    <w:rsid w:val="00410EC8"/>
    <w:rsid w:val="00414563"/>
    <w:rsid w:val="00414E49"/>
    <w:rsid w:val="0041630F"/>
    <w:rsid w:val="00417A87"/>
    <w:rsid w:val="00420B2E"/>
    <w:rsid w:val="004225AD"/>
    <w:rsid w:val="004232DA"/>
    <w:rsid w:val="00425104"/>
    <w:rsid w:val="004306C8"/>
    <w:rsid w:val="00431FE8"/>
    <w:rsid w:val="00433AD1"/>
    <w:rsid w:val="00436C9F"/>
    <w:rsid w:val="00437562"/>
    <w:rsid w:val="0044136D"/>
    <w:rsid w:val="00450409"/>
    <w:rsid w:val="00457105"/>
    <w:rsid w:val="00457F5E"/>
    <w:rsid w:val="004619D9"/>
    <w:rsid w:val="00463CC2"/>
    <w:rsid w:val="004663C0"/>
    <w:rsid w:val="00472597"/>
    <w:rsid w:val="00472C2A"/>
    <w:rsid w:val="00472CEA"/>
    <w:rsid w:val="00473D5E"/>
    <w:rsid w:val="00474D94"/>
    <w:rsid w:val="00475AD5"/>
    <w:rsid w:val="00480454"/>
    <w:rsid w:val="00483666"/>
    <w:rsid w:val="00483F6E"/>
    <w:rsid w:val="004919C4"/>
    <w:rsid w:val="00492029"/>
    <w:rsid w:val="00495727"/>
    <w:rsid w:val="004A0630"/>
    <w:rsid w:val="004A3B76"/>
    <w:rsid w:val="004B15E2"/>
    <w:rsid w:val="004C2D16"/>
    <w:rsid w:val="004C3F8C"/>
    <w:rsid w:val="004D2515"/>
    <w:rsid w:val="004D5B2E"/>
    <w:rsid w:val="004D61EF"/>
    <w:rsid w:val="004D6C2D"/>
    <w:rsid w:val="004E45A6"/>
    <w:rsid w:val="004E56F1"/>
    <w:rsid w:val="004E5EE2"/>
    <w:rsid w:val="004E5F68"/>
    <w:rsid w:val="004E7679"/>
    <w:rsid w:val="004E7E27"/>
    <w:rsid w:val="004F529A"/>
    <w:rsid w:val="004F56D7"/>
    <w:rsid w:val="004F6BE7"/>
    <w:rsid w:val="00502F6E"/>
    <w:rsid w:val="0050520C"/>
    <w:rsid w:val="005106E7"/>
    <w:rsid w:val="00513A9E"/>
    <w:rsid w:val="00524DAB"/>
    <w:rsid w:val="0052594E"/>
    <w:rsid w:val="00530402"/>
    <w:rsid w:val="005306E1"/>
    <w:rsid w:val="0053231E"/>
    <w:rsid w:val="00533F34"/>
    <w:rsid w:val="00536403"/>
    <w:rsid w:val="0055271F"/>
    <w:rsid w:val="005540F5"/>
    <w:rsid w:val="0055439E"/>
    <w:rsid w:val="00560628"/>
    <w:rsid w:val="005606E9"/>
    <w:rsid w:val="00560737"/>
    <w:rsid w:val="005702EE"/>
    <w:rsid w:val="00570E6E"/>
    <w:rsid w:val="00573C9A"/>
    <w:rsid w:val="005825D1"/>
    <w:rsid w:val="00582DD8"/>
    <w:rsid w:val="00585ABB"/>
    <w:rsid w:val="0058677D"/>
    <w:rsid w:val="0059009A"/>
    <w:rsid w:val="00591E70"/>
    <w:rsid w:val="00592E1D"/>
    <w:rsid w:val="005970C3"/>
    <w:rsid w:val="00597887"/>
    <w:rsid w:val="00597E6C"/>
    <w:rsid w:val="005A1018"/>
    <w:rsid w:val="005A3151"/>
    <w:rsid w:val="005B016F"/>
    <w:rsid w:val="005B524B"/>
    <w:rsid w:val="005B5973"/>
    <w:rsid w:val="005B64EA"/>
    <w:rsid w:val="005C796B"/>
    <w:rsid w:val="005C79D3"/>
    <w:rsid w:val="005D00F4"/>
    <w:rsid w:val="005D21DF"/>
    <w:rsid w:val="005D24A7"/>
    <w:rsid w:val="005E2F5A"/>
    <w:rsid w:val="005E7A48"/>
    <w:rsid w:val="005F5921"/>
    <w:rsid w:val="005F5FB1"/>
    <w:rsid w:val="0060418B"/>
    <w:rsid w:val="0060426C"/>
    <w:rsid w:val="00605B5A"/>
    <w:rsid w:val="00611449"/>
    <w:rsid w:val="00612923"/>
    <w:rsid w:val="00613708"/>
    <w:rsid w:val="00614A65"/>
    <w:rsid w:val="00621F3D"/>
    <w:rsid w:val="0062713B"/>
    <w:rsid w:val="0063045E"/>
    <w:rsid w:val="006306B5"/>
    <w:rsid w:val="00642FDE"/>
    <w:rsid w:val="00644CA6"/>
    <w:rsid w:val="00646E57"/>
    <w:rsid w:val="0066186E"/>
    <w:rsid w:val="0066329A"/>
    <w:rsid w:val="00670B3E"/>
    <w:rsid w:val="00671C8F"/>
    <w:rsid w:val="00673893"/>
    <w:rsid w:val="006745FA"/>
    <w:rsid w:val="006752F3"/>
    <w:rsid w:val="00676A69"/>
    <w:rsid w:val="00685C81"/>
    <w:rsid w:val="006921C1"/>
    <w:rsid w:val="006960B4"/>
    <w:rsid w:val="006A0D64"/>
    <w:rsid w:val="006A40C9"/>
    <w:rsid w:val="006A61FA"/>
    <w:rsid w:val="006A6330"/>
    <w:rsid w:val="006A7AD5"/>
    <w:rsid w:val="006B61BE"/>
    <w:rsid w:val="006B7034"/>
    <w:rsid w:val="006C0115"/>
    <w:rsid w:val="006C264F"/>
    <w:rsid w:val="006D14D7"/>
    <w:rsid w:val="006D61FE"/>
    <w:rsid w:val="006E2D0C"/>
    <w:rsid w:val="006E3FCD"/>
    <w:rsid w:val="006E5459"/>
    <w:rsid w:val="006E5A77"/>
    <w:rsid w:val="006E61C3"/>
    <w:rsid w:val="006E7146"/>
    <w:rsid w:val="006F1585"/>
    <w:rsid w:val="006F3CD4"/>
    <w:rsid w:val="006F49CE"/>
    <w:rsid w:val="00712CCF"/>
    <w:rsid w:val="00713919"/>
    <w:rsid w:val="007201FA"/>
    <w:rsid w:val="007218B0"/>
    <w:rsid w:val="00721922"/>
    <w:rsid w:val="0072680E"/>
    <w:rsid w:val="00727F8C"/>
    <w:rsid w:val="00735DD6"/>
    <w:rsid w:val="00736B67"/>
    <w:rsid w:val="007415D3"/>
    <w:rsid w:val="00741D6D"/>
    <w:rsid w:val="00747021"/>
    <w:rsid w:val="00752D1D"/>
    <w:rsid w:val="0075747E"/>
    <w:rsid w:val="00763E99"/>
    <w:rsid w:val="007654A8"/>
    <w:rsid w:val="007677E6"/>
    <w:rsid w:val="0077257E"/>
    <w:rsid w:val="0077276F"/>
    <w:rsid w:val="00781048"/>
    <w:rsid w:val="00782BFF"/>
    <w:rsid w:val="00785654"/>
    <w:rsid w:val="00785CA6"/>
    <w:rsid w:val="00786C17"/>
    <w:rsid w:val="00787765"/>
    <w:rsid w:val="007920F2"/>
    <w:rsid w:val="00794CEE"/>
    <w:rsid w:val="007A289B"/>
    <w:rsid w:val="007A2FAB"/>
    <w:rsid w:val="007A51CA"/>
    <w:rsid w:val="007B50DB"/>
    <w:rsid w:val="007B58A9"/>
    <w:rsid w:val="007C30BC"/>
    <w:rsid w:val="007D1FA8"/>
    <w:rsid w:val="007D33CB"/>
    <w:rsid w:val="007D4A69"/>
    <w:rsid w:val="007D6398"/>
    <w:rsid w:val="008020BF"/>
    <w:rsid w:val="00815557"/>
    <w:rsid w:val="0082319D"/>
    <w:rsid w:val="0082481E"/>
    <w:rsid w:val="00834FD5"/>
    <w:rsid w:val="008470C1"/>
    <w:rsid w:val="00850FD2"/>
    <w:rsid w:val="00852D2B"/>
    <w:rsid w:val="00855B26"/>
    <w:rsid w:val="00862706"/>
    <w:rsid w:val="00862E3E"/>
    <w:rsid w:val="008648D3"/>
    <w:rsid w:val="008746AE"/>
    <w:rsid w:val="00875B69"/>
    <w:rsid w:val="00877F14"/>
    <w:rsid w:val="0088476F"/>
    <w:rsid w:val="0089058F"/>
    <w:rsid w:val="00893C65"/>
    <w:rsid w:val="00893DA3"/>
    <w:rsid w:val="008A22FC"/>
    <w:rsid w:val="008B04E8"/>
    <w:rsid w:val="008B121C"/>
    <w:rsid w:val="008B5655"/>
    <w:rsid w:val="008B6481"/>
    <w:rsid w:val="008B771B"/>
    <w:rsid w:val="008C1001"/>
    <w:rsid w:val="008C39DC"/>
    <w:rsid w:val="008C3B64"/>
    <w:rsid w:val="008C61BD"/>
    <w:rsid w:val="008D3A8A"/>
    <w:rsid w:val="008D4634"/>
    <w:rsid w:val="008D639D"/>
    <w:rsid w:val="008D70B0"/>
    <w:rsid w:val="008D7272"/>
    <w:rsid w:val="008E0C14"/>
    <w:rsid w:val="008E54BA"/>
    <w:rsid w:val="008E6086"/>
    <w:rsid w:val="008E6599"/>
    <w:rsid w:val="008F0471"/>
    <w:rsid w:val="008F083B"/>
    <w:rsid w:val="008F2167"/>
    <w:rsid w:val="008F30AE"/>
    <w:rsid w:val="008F7D10"/>
    <w:rsid w:val="00905542"/>
    <w:rsid w:val="0091177A"/>
    <w:rsid w:val="009225D3"/>
    <w:rsid w:val="009272B1"/>
    <w:rsid w:val="00940C2E"/>
    <w:rsid w:val="00941AAF"/>
    <w:rsid w:val="009623D0"/>
    <w:rsid w:val="00962503"/>
    <w:rsid w:val="0097146D"/>
    <w:rsid w:val="009714FF"/>
    <w:rsid w:val="00985844"/>
    <w:rsid w:val="009873FB"/>
    <w:rsid w:val="0098799C"/>
    <w:rsid w:val="009917CC"/>
    <w:rsid w:val="00993201"/>
    <w:rsid w:val="009A1898"/>
    <w:rsid w:val="009A547A"/>
    <w:rsid w:val="009B2305"/>
    <w:rsid w:val="009B28CE"/>
    <w:rsid w:val="009B2F2C"/>
    <w:rsid w:val="009B4A39"/>
    <w:rsid w:val="009B4D06"/>
    <w:rsid w:val="009C4E07"/>
    <w:rsid w:val="009C7C96"/>
    <w:rsid w:val="009D07A2"/>
    <w:rsid w:val="009D6D3E"/>
    <w:rsid w:val="009D7454"/>
    <w:rsid w:val="009E4014"/>
    <w:rsid w:val="009F3F4F"/>
    <w:rsid w:val="009F4705"/>
    <w:rsid w:val="009F4A02"/>
    <w:rsid w:val="00A00B93"/>
    <w:rsid w:val="00A04B4C"/>
    <w:rsid w:val="00A1305F"/>
    <w:rsid w:val="00A20B8F"/>
    <w:rsid w:val="00A22594"/>
    <w:rsid w:val="00A235A7"/>
    <w:rsid w:val="00A25BD7"/>
    <w:rsid w:val="00A35DCB"/>
    <w:rsid w:val="00A37451"/>
    <w:rsid w:val="00A415C1"/>
    <w:rsid w:val="00A42B11"/>
    <w:rsid w:val="00A4407E"/>
    <w:rsid w:val="00A464E3"/>
    <w:rsid w:val="00A472D8"/>
    <w:rsid w:val="00A56A64"/>
    <w:rsid w:val="00A6042D"/>
    <w:rsid w:val="00A6203C"/>
    <w:rsid w:val="00A66B72"/>
    <w:rsid w:val="00A70E77"/>
    <w:rsid w:val="00A7151C"/>
    <w:rsid w:val="00A71973"/>
    <w:rsid w:val="00A75818"/>
    <w:rsid w:val="00A768C2"/>
    <w:rsid w:val="00A85C0E"/>
    <w:rsid w:val="00A85CE9"/>
    <w:rsid w:val="00A87244"/>
    <w:rsid w:val="00AA3876"/>
    <w:rsid w:val="00AB27E4"/>
    <w:rsid w:val="00AB5D16"/>
    <w:rsid w:val="00AB7893"/>
    <w:rsid w:val="00AC00EE"/>
    <w:rsid w:val="00AC6FC2"/>
    <w:rsid w:val="00AD0DBB"/>
    <w:rsid w:val="00AD35D4"/>
    <w:rsid w:val="00AD3CA2"/>
    <w:rsid w:val="00AD4744"/>
    <w:rsid w:val="00AD643A"/>
    <w:rsid w:val="00AD747B"/>
    <w:rsid w:val="00AE3E3F"/>
    <w:rsid w:val="00AE4430"/>
    <w:rsid w:val="00AF126D"/>
    <w:rsid w:val="00AF1CBA"/>
    <w:rsid w:val="00AF3DB3"/>
    <w:rsid w:val="00AF436F"/>
    <w:rsid w:val="00B04F1F"/>
    <w:rsid w:val="00B07796"/>
    <w:rsid w:val="00B12A22"/>
    <w:rsid w:val="00B15E4C"/>
    <w:rsid w:val="00B200CC"/>
    <w:rsid w:val="00B259EE"/>
    <w:rsid w:val="00B25CD6"/>
    <w:rsid w:val="00B25FD1"/>
    <w:rsid w:val="00B34BA2"/>
    <w:rsid w:val="00B41868"/>
    <w:rsid w:val="00B548A5"/>
    <w:rsid w:val="00B6587D"/>
    <w:rsid w:val="00B65B80"/>
    <w:rsid w:val="00B67F48"/>
    <w:rsid w:val="00B7192F"/>
    <w:rsid w:val="00B73441"/>
    <w:rsid w:val="00B73767"/>
    <w:rsid w:val="00B75E80"/>
    <w:rsid w:val="00B82FF3"/>
    <w:rsid w:val="00B8681F"/>
    <w:rsid w:val="00B87BBA"/>
    <w:rsid w:val="00B92367"/>
    <w:rsid w:val="00BA12E4"/>
    <w:rsid w:val="00BA23A8"/>
    <w:rsid w:val="00BA4869"/>
    <w:rsid w:val="00BA6246"/>
    <w:rsid w:val="00BB69A5"/>
    <w:rsid w:val="00BB7952"/>
    <w:rsid w:val="00BC3DD1"/>
    <w:rsid w:val="00BC46E9"/>
    <w:rsid w:val="00BC56F3"/>
    <w:rsid w:val="00BC586B"/>
    <w:rsid w:val="00BC6593"/>
    <w:rsid w:val="00BC6DD6"/>
    <w:rsid w:val="00BC6F83"/>
    <w:rsid w:val="00BC7046"/>
    <w:rsid w:val="00BD0CA0"/>
    <w:rsid w:val="00BD10A6"/>
    <w:rsid w:val="00BD1340"/>
    <w:rsid w:val="00BD5A0D"/>
    <w:rsid w:val="00BD6322"/>
    <w:rsid w:val="00BE1568"/>
    <w:rsid w:val="00BE419E"/>
    <w:rsid w:val="00BE43C4"/>
    <w:rsid w:val="00BE664F"/>
    <w:rsid w:val="00BF3801"/>
    <w:rsid w:val="00BF4E91"/>
    <w:rsid w:val="00BF6854"/>
    <w:rsid w:val="00C005BD"/>
    <w:rsid w:val="00C006D1"/>
    <w:rsid w:val="00C02005"/>
    <w:rsid w:val="00C02784"/>
    <w:rsid w:val="00C027B1"/>
    <w:rsid w:val="00C07B4A"/>
    <w:rsid w:val="00C148C1"/>
    <w:rsid w:val="00C2064B"/>
    <w:rsid w:val="00C22713"/>
    <w:rsid w:val="00C24042"/>
    <w:rsid w:val="00C24638"/>
    <w:rsid w:val="00C261E9"/>
    <w:rsid w:val="00C37908"/>
    <w:rsid w:val="00C37C01"/>
    <w:rsid w:val="00C421EB"/>
    <w:rsid w:val="00C42F45"/>
    <w:rsid w:val="00C54E2A"/>
    <w:rsid w:val="00C56197"/>
    <w:rsid w:val="00C60378"/>
    <w:rsid w:val="00C61101"/>
    <w:rsid w:val="00C61277"/>
    <w:rsid w:val="00C61313"/>
    <w:rsid w:val="00C63D13"/>
    <w:rsid w:val="00C64F1D"/>
    <w:rsid w:val="00C74258"/>
    <w:rsid w:val="00C74C81"/>
    <w:rsid w:val="00C764A5"/>
    <w:rsid w:val="00C81C61"/>
    <w:rsid w:val="00C83B5F"/>
    <w:rsid w:val="00C86FB9"/>
    <w:rsid w:val="00C91133"/>
    <w:rsid w:val="00C91352"/>
    <w:rsid w:val="00CA098F"/>
    <w:rsid w:val="00CA15A1"/>
    <w:rsid w:val="00CA39E2"/>
    <w:rsid w:val="00CA5AF3"/>
    <w:rsid w:val="00CB0FBB"/>
    <w:rsid w:val="00CB3EA7"/>
    <w:rsid w:val="00CB6BAF"/>
    <w:rsid w:val="00CC3BBA"/>
    <w:rsid w:val="00CC5668"/>
    <w:rsid w:val="00CD03B6"/>
    <w:rsid w:val="00CD7B5D"/>
    <w:rsid w:val="00CE1534"/>
    <w:rsid w:val="00CE69C3"/>
    <w:rsid w:val="00CF059F"/>
    <w:rsid w:val="00CF4FFE"/>
    <w:rsid w:val="00D01A6B"/>
    <w:rsid w:val="00D01F71"/>
    <w:rsid w:val="00D03208"/>
    <w:rsid w:val="00D07194"/>
    <w:rsid w:val="00D12469"/>
    <w:rsid w:val="00D139FB"/>
    <w:rsid w:val="00D14C34"/>
    <w:rsid w:val="00D150CC"/>
    <w:rsid w:val="00D17E62"/>
    <w:rsid w:val="00D207A8"/>
    <w:rsid w:val="00D23F6F"/>
    <w:rsid w:val="00D25954"/>
    <w:rsid w:val="00D30323"/>
    <w:rsid w:val="00D328D8"/>
    <w:rsid w:val="00D32CA8"/>
    <w:rsid w:val="00D367B2"/>
    <w:rsid w:val="00D4082F"/>
    <w:rsid w:val="00D419C5"/>
    <w:rsid w:val="00D446D5"/>
    <w:rsid w:val="00D456CD"/>
    <w:rsid w:val="00D45EB0"/>
    <w:rsid w:val="00D50FDB"/>
    <w:rsid w:val="00D53737"/>
    <w:rsid w:val="00D54754"/>
    <w:rsid w:val="00D60E9E"/>
    <w:rsid w:val="00D62D02"/>
    <w:rsid w:val="00D64EB0"/>
    <w:rsid w:val="00D71946"/>
    <w:rsid w:val="00D75176"/>
    <w:rsid w:val="00D75333"/>
    <w:rsid w:val="00D76085"/>
    <w:rsid w:val="00D77E18"/>
    <w:rsid w:val="00D81815"/>
    <w:rsid w:val="00D87036"/>
    <w:rsid w:val="00DA19E4"/>
    <w:rsid w:val="00DA757A"/>
    <w:rsid w:val="00DB5109"/>
    <w:rsid w:val="00DB7231"/>
    <w:rsid w:val="00DC00DA"/>
    <w:rsid w:val="00DC266C"/>
    <w:rsid w:val="00DC5350"/>
    <w:rsid w:val="00DC6022"/>
    <w:rsid w:val="00DD7580"/>
    <w:rsid w:val="00DE3B2C"/>
    <w:rsid w:val="00DE64AB"/>
    <w:rsid w:val="00DE6C09"/>
    <w:rsid w:val="00DE73D6"/>
    <w:rsid w:val="00E009C4"/>
    <w:rsid w:val="00E03C04"/>
    <w:rsid w:val="00E10A74"/>
    <w:rsid w:val="00E20153"/>
    <w:rsid w:val="00E22B37"/>
    <w:rsid w:val="00E23590"/>
    <w:rsid w:val="00E24DFC"/>
    <w:rsid w:val="00E26310"/>
    <w:rsid w:val="00E31149"/>
    <w:rsid w:val="00E33DF0"/>
    <w:rsid w:val="00E36FEA"/>
    <w:rsid w:val="00E51937"/>
    <w:rsid w:val="00E522E1"/>
    <w:rsid w:val="00E553C4"/>
    <w:rsid w:val="00E55BF2"/>
    <w:rsid w:val="00E56FFA"/>
    <w:rsid w:val="00E61294"/>
    <w:rsid w:val="00E613DE"/>
    <w:rsid w:val="00E63B7F"/>
    <w:rsid w:val="00E663B1"/>
    <w:rsid w:val="00E77E27"/>
    <w:rsid w:val="00E8034A"/>
    <w:rsid w:val="00E80831"/>
    <w:rsid w:val="00E83244"/>
    <w:rsid w:val="00E85BDA"/>
    <w:rsid w:val="00E906FC"/>
    <w:rsid w:val="00E95A53"/>
    <w:rsid w:val="00E96765"/>
    <w:rsid w:val="00EA626B"/>
    <w:rsid w:val="00EA6AB2"/>
    <w:rsid w:val="00EB2282"/>
    <w:rsid w:val="00EB4DB9"/>
    <w:rsid w:val="00EB6C34"/>
    <w:rsid w:val="00EC0D34"/>
    <w:rsid w:val="00EC1270"/>
    <w:rsid w:val="00EC1D1A"/>
    <w:rsid w:val="00EC273D"/>
    <w:rsid w:val="00EC620D"/>
    <w:rsid w:val="00ED0511"/>
    <w:rsid w:val="00ED1BCF"/>
    <w:rsid w:val="00ED262C"/>
    <w:rsid w:val="00EE2C99"/>
    <w:rsid w:val="00EE627C"/>
    <w:rsid w:val="00EF06F3"/>
    <w:rsid w:val="00EF3D0A"/>
    <w:rsid w:val="00EF50DE"/>
    <w:rsid w:val="00EF542E"/>
    <w:rsid w:val="00EF6DA0"/>
    <w:rsid w:val="00F049BC"/>
    <w:rsid w:val="00F074BD"/>
    <w:rsid w:val="00F2603E"/>
    <w:rsid w:val="00F32069"/>
    <w:rsid w:val="00F36743"/>
    <w:rsid w:val="00F4378D"/>
    <w:rsid w:val="00F46E3A"/>
    <w:rsid w:val="00F47467"/>
    <w:rsid w:val="00F5371B"/>
    <w:rsid w:val="00F604B0"/>
    <w:rsid w:val="00F61063"/>
    <w:rsid w:val="00F63158"/>
    <w:rsid w:val="00F63CFF"/>
    <w:rsid w:val="00F64ABF"/>
    <w:rsid w:val="00F66C90"/>
    <w:rsid w:val="00F706A3"/>
    <w:rsid w:val="00F70AC2"/>
    <w:rsid w:val="00F74D14"/>
    <w:rsid w:val="00F754B0"/>
    <w:rsid w:val="00F8033E"/>
    <w:rsid w:val="00F80F8B"/>
    <w:rsid w:val="00F821AE"/>
    <w:rsid w:val="00F927FB"/>
    <w:rsid w:val="00F93906"/>
    <w:rsid w:val="00F9457A"/>
    <w:rsid w:val="00F94A00"/>
    <w:rsid w:val="00FA3B81"/>
    <w:rsid w:val="00FB1EBB"/>
    <w:rsid w:val="00FB48E8"/>
    <w:rsid w:val="00FB4B5A"/>
    <w:rsid w:val="00FC21A4"/>
    <w:rsid w:val="00FC5446"/>
    <w:rsid w:val="00FC6EB7"/>
    <w:rsid w:val="00FD0C4F"/>
    <w:rsid w:val="00FD758F"/>
    <w:rsid w:val="00FE2A7D"/>
    <w:rsid w:val="00FE2B10"/>
    <w:rsid w:val="00FF032A"/>
    <w:rsid w:val="00FF2B6A"/>
    <w:rsid w:val="00FF4F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0B2B2"/>
  <w15:docId w15:val="{0A15EB32-E94E-4AE2-977B-028C99BB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NormalWeb">
    <w:name w:val="Normal (Web)"/>
    <w:basedOn w:val="Normal"/>
    <w:uiPriority w:val="99"/>
    <w:unhideWhenUsed/>
    <w:rsid w:val="00BC6F83"/>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table" w:styleId="TableGrid">
    <w:name w:val="Table Grid"/>
    <w:basedOn w:val="TableNormal"/>
    <w:uiPriority w:val="59"/>
    <w:rsid w:val="00EF6DA0"/>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23712-43B4-4A70-84EE-56EBD7D6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8</Pages>
  <Words>21229</Words>
  <Characters>121007</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117</cp:revision>
  <cp:lastPrinted>2017-03-01T05:33:00Z</cp:lastPrinted>
  <dcterms:created xsi:type="dcterms:W3CDTF">2022-02-05T22:29:00Z</dcterms:created>
  <dcterms:modified xsi:type="dcterms:W3CDTF">2022-05-21T15:59:00Z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http://csl.mendeley.com/styles/25600161/Gaya-UKM-2017</vt:lpwstr>
  </property>
  <property fmtid="{D5CDD505-2E9C-101B-9397-08002B2CF9AE}" pid="11" name="Mendeley Recent Style Name 4_1">
    <vt:lpwstr>GayaUKM-2017NT - Noraini Talib</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http://www.zotero.org/styles/international-journal-of-hydrogen-energy</vt:lpwstr>
  </property>
  <property fmtid="{D5CDD505-2E9C-101B-9397-08002B2CF9AE}" pid="15" name="Mendeley Recent Style Name 6_1">
    <vt:lpwstr>International Journal of Hydrogen Energy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http://www.zotero.org/styles/universiti-kebangsaan-malaysia</vt:lpwstr>
  </property>
  <property fmtid="{D5CDD505-2E9C-101B-9397-08002B2CF9AE}" pid="21" name="Mendeley Recent Style Name 9_1">
    <vt:lpwstr>Universiti Kebangsaan Malaysia (Malay)</vt:lpwstr>
  </property>
  <property fmtid="{D5CDD505-2E9C-101B-9397-08002B2CF9AE}" pid="22" name="Mendeley Document_1">
    <vt:lpwstr>True</vt:lpwstr>
  </property>
  <property fmtid="{D5CDD505-2E9C-101B-9397-08002B2CF9AE}" pid="23" name="Mendeley Unique User Id_1">
    <vt:lpwstr>857e0ce8-90ec-3b3d-85d5-65131e79e7b4</vt:lpwstr>
  </property>
  <property fmtid="{D5CDD505-2E9C-101B-9397-08002B2CF9AE}" pid="24" name="Mendeley Citation Style_1">
    <vt:lpwstr>http://www.zotero.org/styles/international-journal-of-hydrogen-energy</vt:lpwstr>
  </property>
</Properties>
</file>