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51919DF2" w:rsidR="003A1F80" w:rsidRPr="002D1FB0" w:rsidRDefault="001573E3" w:rsidP="002D1FB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D1FB0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2D1FB0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2D1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2D1FB0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FE4E1D" w:rsidRPr="002D1FB0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A5A4D" w:rsidRPr="002D1FB0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EA5678" w:rsidRPr="002D1FB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72F3E" w:rsidRPr="002D1FB0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FE4E1D" w:rsidRPr="002D1FB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2D1FB0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3E5D27" w:rsidRPr="002D1FB0">
        <w:rPr>
          <w:rFonts w:ascii="Times New Roman" w:hAnsi="Times New Roman" w:cs="Times New Roman"/>
          <w:b/>
          <w:i/>
          <w:sz w:val="24"/>
          <w:szCs w:val="24"/>
        </w:rPr>
        <w:t>613</w:t>
      </w:r>
      <w:r w:rsidR="009B31A6" w:rsidRPr="002D1FB0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3E5D27" w:rsidRPr="002D1FB0">
        <w:rPr>
          <w:rFonts w:ascii="Times New Roman" w:hAnsi="Times New Roman" w:cs="Times New Roman"/>
          <w:b/>
          <w:i/>
          <w:sz w:val="24"/>
          <w:szCs w:val="24"/>
        </w:rPr>
        <w:t>621</w:t>
      </w:r>
    </w:p>
    <w:p w14:paraId="1FF05887" w14:textId="3C39B716" w:rsidR="00095557" w:rsidRPr="002D1FB0" w:rsidRDefault="00095557" w:rsidP="002D1F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9752" w14:textId="4286CD7A" w:rsidR="00185EDF" w:rsidRPr="002D1FB0" w:rsidRDefault="00185EDF" w:rsidP="002D1F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8CFF" w14:textId="467EFE02" w:rsidR="00185EDF" w:rsidRPr="002D1FB0" w:rsidRDefault="00185EDF" w:rsidP="002D1F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77BC" w14:textId="5A652EEB" w:rsidR="00185EDF" w:rsidRPr="002D1FB0" w:rsidRDefault="00185EDF" w:rsidP="002D1F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5D790" w14:textId="77777777" w:rsidR="002D1FB0" w:rsidRPr="002D1FB0" w:rsidRDefault="002D1FB0" w:rsidP="002D1FB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D1FB0">
        <w:rPr>
          <w:rFonts w:ascii="Times New Roman" w:hAnsi="Times New Roman" w:cs="Times New Roman"/>
          <w:noProof/>
          <w:sz w:val="28"/>
          <w:szCs w:val="28"/>
        </w:rPr>
        <w:t>PtRu SUPPORTED ON POROUS 3D TITANIUM DIOXIDE-GRAPHENE AEROGEL AS A POTENTIAL ELECTROCATALYST FOR DIRECT METHANOL FUEL CELLS</w:t>
      </w:r>
    </w:p>
    <w:p w14:paraId="44FB8A6D" w14:textId="77777777" w:rsidR="002D1FB0" w:rsidRPr="002D1FB0" w:rsidRDefault="002D1FB0" w:rsidP="002D1FB0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0FA63A6" w14:textId="77777777" w:rsidR="002D1FB0" w:rsidRPr="002D1FB0" w:rsidRDefault="002D1FB0" w:rsidP="002D1FB0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D1FB0">
        <w:rPr>
          <w:rFonts w:ascii="Times New Roman" w:hAnsi="Times New Roman" w:cs="Times New Roman"/>
          <w:noProof/>
          <w:sz w:val="24"/>
          <w:szCs w:val="24"/>
        </w:rPr>
        <w:t>(PtRu disokong pada 3D Titanium Dioksida-Grafin Aerogel Berliang Sebagai Potensi Elektromangkin untuk Sel Bahan Bakar Metanol Langsung)</w:t>
      </w:r>
    </w:p>
    <w:p w14:paraId="20CD87EF" w14:textId="77777777" w:rsidR="002D1FB0" w:rsidRPr="002D1FB0" w:rsidRDefault="002D1FB0" w:rsidP="002D1FB0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07E4B13F" w14:textId="77777777" w:rsidR="002D1FB0" w:rsidRPr="002D1FB0" w:rsidRDefault="002D1FB0" w:rsidP="002D1F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perscript"/>
          <w:lang w:val="ms-MY"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Siti Hasanah Osman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perscript"/>
          <w:lang w:val="ms-MY" w:eastAsia="ko-KR"/>
        </w:rPr>
        <w:t>1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*, Siti Kartom Kamarudin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perscript"/>
          <w:lang w:val="ms-MY" w:eastAsia="ko-KR"/>
        </w:rPr>
        <w:t>1,2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, Sahriah Basri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perscript"/>
          <w:lang w:val="ms-MY" w:eastAsia="ko-KR"/>
        </w:rPr>
        <w:t>1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, Nabila A.Karim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perscript"/>
          <w:lang w:val="ms-MY" w:eastAsia="ko-KR"/>
        </w:rPr>
        <w:t>1</w:t>
      </w:r>
    </w:p>
    <w:p w14:paraId="6B707F8F" w14:textId="77777777" w:rsidR="002D1FB0" w:rsidRPr="002D1FB0" w:rsidRDefault="002D1FB0" w:rsidP="002D1F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</w:pPr>
    </w:p>
    <w:p w14:paraId="55DA85F3" w14:textId="77777777" w:rsidR="002D1FB0" w:rsidRPr="002D1FB0" w:rsidRDefault="002D1FB0" w:rsidP="002D1FB0">
      <w:pPr>
        <w:widowControl w:val="0"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i/>
          <w:iCs/>
          <w:noProof/>
          <w:kern w:val="2"/>
          <w:sz w:val="20"/>
          <w:szCs w:val="20"/>
          <w:lang w:val="ms-MY" w:eastAsia="ko-KR"/>
        </w:rPr>
      </w:pPr>
      <w:r w:rsidRPr="002D1FB0">
        <w:rPr>
          <w:rFonts w:ascii="Times New Roman" w:eastAsia="SimSun" w:hAnsi="Times New Roman" w:cs="Times New Roman"/>
          <w:i/>
          <w:iCs/>
          <w:noProof/>
          <w:kern w:val="2"/>
          <w:sz w:val="20"/>
          <w:szCs w:val="20"/>
          <w:vertAlign w:val="superscript"/>
          <w:lang w:val="ms-MY" w:eastAsia="ko-KR"/>
        </w:rPr>
        <w:t>1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 w:val="20"/>
          <w:szCs w:val="20"/>
          <w:lang w:val="ms-MY" w:eastAsia="ko-KR"/>
        </w:rPr>
        <w:t>Fuel Cell Institute</w:t>
      </w:r>
    </w:p>
    <w:p w14:paraId="3B519A36" w14:textId="77777777" w:rsidR="002D1FB0" w:rsidRPr="002D1FB0" w:rsidRDefault="002D1FB0" w:rsidP="002D1FB0">
      <w:pPr>
        <w:widowControl w:val="0"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i/>
          <w:iCs/>
          <w:noProof/>
          <w:kern w:val="2"/>
          <w:sz w:val="20"/>
          <w:szCs w:val="20"/>
          <w:lang w:val="ms-MY" w:eastAsia="ko-KR"/>
        </w:rPr>
      </w:pPr>
      <w:r w:rsidRPr="002D1FB0">
        <w:rPr>
          <w:rFonts w:ascii="Times New Roman" w:eastAsia="SimSun" w:hAnsi="Times New Roman" w:cs="Times New Roman"/>
          <w:i/>
          <w:iCs/>
          <w:noProof/>
          <w:kern w:val="2"/>
          <w:sz w:val="20"/>
          <w:szCs w:val="20"/>
          <w:vertAlign w:val="superscript"/>
          <w:lang w:val="ms-MY" w:eastAsia="ko-KR"/>
        </w:rPr>
        <w:t>2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 w:val="20"/>
          <w:szCs w:val="20"/>
          <w:lang w:val="ms-MY" w:eastAsia="ko-KR"/>
        </w:rPr>
        <w:t>Department of Chemical and Process Engineering, Faculty of Engineering and Built Environment</w:t>
      </w:r>
    </w:p>
    <w:p w14:paraId="4495E8C7" w14:textId="77777777" w:rsidR="002D1FB0" w:rsidRPr="002D1FB0" w:rsidRDefault="002D1FB0" w:rsidP="002D1FB0">
      <w:pPr>
        <w:widowControl w:val="0"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i/>
          <w:iCs/>
          <w:noProof/>
          <w:kern w:val="2"/>
          <w:sz w:val="20"/>
          <w:szCs w:val="20"/>
          <w:lang w:val="ms-MY" w:eastAsia="ko-KR"/>
        </w:rPr>
      </w:pPr>
      <w:r w:rsidRPr="002D1FB0">
        <w:rPr>
          <w:rFonts w:ascii="Times New Roman" w:eastAsia="SimSun" w:hAnsi="Times New Roman" w:cs="Times New Roman"/>
          <w:i/>
          <w:iCs/>
          <w:noProof/>
          <w:kern w:val="2"/>
          <w:sz w:val="20"/>
          <w:szCs w:val="20"/>
          <w:lang w:val="ms-MY" w:eastAsia="ko-KR"/>
        </w:rPr>
        <w:t>Universiti Kebangsaan Malaysia, 43600 UKM Bangi, Selangor, Malaysia</w:t>
      </w:r>
    </w:p>
    <w:p w14:paraId="460FE7FE" w14:textId="77777777" w:rsidR="002D1FB0" w:rsidRPr="002D1FB0" w:rsidRDefault="002D1FB0" w:rsidP="002D1FB0">
      <w:pPr>
        <w:spacing w:after="0"/>
        <w:jc w:val="center"/>
        <w:rPr>
          <w:rFonts w:ascii="Times New Roman" w:eastAsia="SimSun" w:hAnsi="Times New Roman" w:cs="Times New Roman"/>
          <w:noProof/>
          <w:sz w:val="20"/>
          <w:szCs w:val="20"/>
          <w:lang w:val="ms-MY" w:eastAsia="ko-KR"/>
        </w:rPr>
      </w:pPr>
    </w:p>
    <w:p w14:paraId="6B43E2F9" w14:textId="77777777" w:rsidR="002D1FB0" w:rsidRPr="002D1FB0" w:rsidRDefault="002D1FB0" w:rsidP="002D1FB0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  <w:lang w:val="ms-MY"/>
        </w:rPr>
      </w:pPr>
      <w:r w:rsidRPr="002D1FB0">
        <w:rPr>
          <w:rFonts w:ascii="Times New Roman" w:hAnsi="Times New Roman" w:cs="Times New Roman"/>
          <w:i/>
          <w:noProof/>
          <w:sz w:val="20"/>
          <w:szCs w:val="20"/>
          <w:lang w:val="ms-MY"/>
        </w:rPr>
        <w:t xml:space="preserve">*Corresponding author:  </w:t>
      </w:r>
      <w:hyperlink r:id="rId12" w:history="1">
        <w:r w:rsidRPr="002D1FB0">
          <w:rPr>
            <w:rFonts w:ascii="Times New Roman" w:hAnsi="Times New Roman" w:cs="Times New Roman"/>
            <w:i/>
            <w:iCs/>
            <w:noProof/>
            <w:sz w:val="20"/>
            <w:szCs w:val="20"/>
            <w:lang w:val="ms-MY"/>
          </w:rPr>
          <w:t>ctie@ukm.edu.my</w:t>
        </w:r>
      </w:hyperlink>
    </w:p>
    <w:p w14:paraId="26675349" w14:textId="77777777" w:rsidR="002D1FB0" w:rsidRPr="002D1FB0" w:rsidRDefault="002D1FB0" w:rsidP="002D1FB0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64F2CF7D" w14:textId="77777777" w:rsidR="002D1FB0" w:rsidRPr="002D1FB0" w:rsidRDefault="002D1FB0" w:rsidP="002D1FB0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520EE28C" w14:textId="77777777" w:rsidR="002D1FB0" w:rsidRPr="002D1FB0" w:rsidRDefault="002D1FB0" w:rsidP="002D1FB0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2D1FB0">
        <w:rPr>
          <w:rFonts w:ascii="Times New Roman" w:hAnsi="Times New Roman" w:cs="Times New Roman"/>
          <w:noProof/>
          <w:sz w:val="20"/>
          <w:szCs w:val="20"/>
        </w:rPr>
        <w:t xml:space="preserve">Received: 9 November 2021; Accepted: 27 February 2022; Published:  xx June 2022  </w:t>
      </w:r>
    </w:p>
    <w:p w14:paraId="20160388" w14:textId="77777777" w:rsidR="002D1FB0" w:rsidRPr="002D1FB0" w:rsidRDefault="002D1FB0" w:rsidP="002D1FB0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079236C0" w14:textId="77777777" w:rsidR="002D1FB0" w:rsidRPr="002D1FB0" w:rsidRDefault="002D1FB0" w:rsidP="002D1FB0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0F4B1C06" w14:textId="77777777" w:rsidR="002D1FB0" w:rsidRPr="002D1FB0" w:rsidRDefault="002D1FB0" w:rsidP="002D1FB0">
      <w:pPr>
        <w:spacing w:after="0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b/>
          <w:kern w:val="2"/>
          <w:sz w:val="20"/>
          <w:szCs w:val="20"/>
          <w:lang w:eastAsia="ko-KR"/>
        </w:rPr>
        <w:t>Abstract</w:t>
      </w:r>
    </w:p>
    <w:p w14:paraId="4F7ED577" w14:textId="77777777" w:rsidR="002D1FB0" w:rsidRPr="002D1FB0" w:rsidRDefault="002D1FB0" w:rsidP="002D1FB0">
      <w:pPr>
        <w:spacing w:after="0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</w:pP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>The catalyst support is typically implemented to improve the catalytic activity in direct methanol fuel cells (DMFCs). Thus, this study focused on the novel support of 3D hierarchical porous TiO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vertAlign w:val="subscript"/>
          <w:lang w:val="en-GB" w:eastAsia="ko-KR"/>
        </w:rPr>
        <w:t>2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>-graphene aerogel which was established via a combination of hydrothermal method and freezing drying method. XRD, Raman spectra, and FESEM were used to study the PtRu/TiO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vertAlign w:val="subscript"/>
          <w:lang w:val="en-GB" w:eastAsia="ko-KR"/>
        </w:rPr>
        <w:t>2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>-GA. The estimated particle size of PtRu/TiO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vertAlign w:val="subscript"/>
          <w:lang w:val="en-GB" w:eastAsia="ko-KR"/>
        </w:rPr>
        <w:t>2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>-GA determined from the XRD analysis was less than composite TiO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vertAlign w:val="subscript"/>
          <w:lang w:val="en-GB" w:eastAsia="ko-KR"/>
        </w:rPr>
        <w:t>2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 xml:space="preserve">-GA. </w:t>
      </w:r>
      <w:r w:rsidRPr="002D1FB0">
        <w:rPr>
          <w:rFonts w:ascii="Times New Roman" w:eastAsia="Calibri" w:hAnsi="Times New Roman" w:cs="Times New Roman"/>
          <w:sz w:val="20"/>
          <w:szCs w:val="20"/>
          <w:lang w:val="en-GB"/>
        </w:rPr>
        <w:t>The existence of the carbon support material was confirmed by the Raman spectra in all generated samples. Within the electrocatalyst and TiO</w:t>
      </w:r>
      <w:r w:rsidRPr="002D1FB0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2</w:t>
      </w:r>
      <w:r w:rsidRPr="002D1FB0">
        <w:rPr>
          <w:rFonts w:ascii="Times New Roman" w:eastAsia="Calibri" w:hAnsi="Times New Roman" w:cs="Times New Roman"/>
          <w:sz w:val="20"/>
          <w:szCs w:val="20"/>
          <w:lang w:val="en-GB"/>
        </w:rPr>
        <w:t>-GA, the ratio value of the D band to the G band (I</w:t>
      </w:r>
      <w:r w:rsidRPr="002D1FB0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D</w:t>
      </w:r>
      <w:r w:rsidRPr="002D1FB0">
        <w:rPr>
          <w:rFonts w:ascii="Times New Roman" w:eastAsia="Calibri" w:hAnsi="Times New Roman" w:cs="Times New Roman"/>
          <w:sz w:val="20"/>
          <w:szCs w:val="20"/>
          <w:lang w:val="en-GB"/>
        </w:rPr>
        <w:t>/I</w:t>
      </w:r>
      <w:r w:rsidRPr="002D1FB0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G</w:t>
      </w:r>
      <w:r w:rsidRPr="002D1FB0">
        <w:rPr>
          <w:rFonts w:ascii="Times New Roman" w:eastAsia="Calibri" w:hAnsi="Times New Roman" w:cs="Times New Roman"/>
          <w:sz w:val="20"/>
          <w:szCs w:val="20"/>
          <w:lang w:val="en-GB"/>
        </w:rPr>
        <w:t>) was not significantly different. The computed I</w:t>
      </w:r>
      <w:r w:rsidRPr="002D1FB0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D</w:t>
      </w:r>
      <w:r w:rsidRPr="002D1FB0">
        <w:rPr>
          <w:rFonts w:ascii="Times New Roman" w:eastAsia="Calibri" w:hAnsi="Times New Roman" w:cs="Times New Roman"/>
          <w:sz w:val="20"/>
          <w:szCs w:val="20"/>
          <w:lang w:val="en-GB"/>
        </w:rPr>
        <w:t>/I</w:t>
      </w:r>
      <w:r w:rsidRPr="002D1FB0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G</w:t>
      </w:r>
      <w:r w:rsidRPr="002D1FB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values for TiO</w:t>
      </w:r>
      <w:r w:rsidRPr="002D1FB0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2</w:t>
      </w:r>
      <w:r w:rsidRPr="002D1FB0">
        <w:rPr>
          <w:rFonts w:ascii="Times New Roman" w:eastAsia="Calibri" w:hAnsi="Times New Roman" w:cs="Times New Roman"/>
          <w:sz w:val="20"/>
          <w:szCs w:val="20"/>
          <w:lang w:val="en-GB"/>
        </w:rPr>
        <w:t>-GA and PtRu/TiO</w:t>
      </w:r>
      <w:r w:rsidRPr="002D1FB0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2</w:t>
      </w:r>
      <w:r w:rsidRPr="002D1FB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-GA electrocatalysts were 0.99 and 1.02, respectively. 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>The best TiO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vertAlign w:val="subscript"/>
          <w:lang w:val="en-GB" w:eastAsia="ko-KR"/>
        </w:rPr>
        <w:t>2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>-GA was doped with PtRu catalyst for the electrochemical test and DMFC performance based on FESEM characterization. PtRu/ TiO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vertAlign w:val="subscript"/>
          <w:lang w:val="en-GB" w:eastAsia="ko-KR"/>
        </w:rPr>
        <w:t>2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>-GA exhibited better electrocatalytic activity, as well as improved PtRu usage efficiency stability and methanol oxidation reaction. Notably, the ECSA value was around 76.01 m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vertAlign w:val="superscript"/>
          <w:lang w:val="en-GB" w:eastAsia="ko-KR"/>
        </w:rPr>
        <w:t>2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>g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vertAlign w:val="superscript"/>
          <w:lang w:val="en-GB" w:eastAsia="ko-KR"/>
        </w:rPr>
        <w:t>-1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>, and the mass activity (957.15 mAmg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vertAlign w:val="superscript"/>
          <w:lang w:val="en-GB" w:eastAsia="ko-KR"/>
        </w:rPr>
        <w:t>-1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>) was higher than commercial with the same loading (20%) PtRu/C (</w:t>
      </w:r>
      <w:r w:rsidRPr="002D1FB0">
        <w:rPr>
          <w:rFonts w:ascii="Times New Roman" w:hAnsi="Times New Roman" w:cs="Times New Roman"/>
          <w:kern w:val="2"/>
          <w:sz w:val="20"/>
          <w:szCs w:val="20"/>
          <w:lang w:val="en-GB" w:eastAsia="ko-KR"/>
        </w:rPr>
        <w:t xml:space="preserve">110.79 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>mAmg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vertAlign w:val="superscript"/>
          <w:lang w:val="en-GB" w:eastAsia="ko-KR"/>
        </w:rPr>
        <w:t>-1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 xml:space="preserve">). Interestingly after the 2000s, the current density of </w:t>
      </w:r>
      <w:r w:rsidRPr="002D1FB0">
        <w:rPr>
          <w:rFonts w:ascii="Times New Roman" w:eastAsia="Calibri" w:hAnsi="Times New Roman" w:cs="Times New Roman"/>
          <w:sz w:val="20"/>
          <w:szCs w:val="20"/>
          <w:lang w:val="en-GB"/>
        </w:rPr>
        <w:t>PtRu/TiO</w:t>
      </w:r>
      <w:r w:rsidRPr="002D1FB0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2</w:t>
      </w:r>
      <w:r w:rsidRPr="002D1FB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-GA 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 xml:space="preserve">was consistently higher than that of PtRu/C. The superior electrocatalytic performance of </w:t>
      </w:r>
      <w:r w:rsidRPr="002D1FB0">
        <w:rPr>
          <w:rFonts w:ascii="Times New Roman" w:eastAsia="Calibri" w:hAnsi="Times New Roman" w:cs="Times New Roman"/>
          <w:sz w:val="20"/>
          <w:szCs w:val="20"/>
          <w:lang w:val="en-GB"/>
        </w:rPr>
        <w:t>PtRu/TiO</w:t>
      </w:r>
      <w:r w:rsidRPr="002D1FB0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2</w:t>
      </w:r>
      <w:r w:rsidRPr="002D1FB0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-GA </w:t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>towards methanol oxidation demonstrates its use in practical application as a promising anode material for DMFCs</w:t>
      </w:r>
    </w:p>
    <w:p w14:paraId="4FD0146A" w14:textId="77777777" w:rsidR="002D1FB0" w:rsidRPr="002D1FB0" w:rsidRDefault="002D1FB0" w:rsidP="002D1FB0">
      <w:pPr>
        <w:spacing w:after="0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</w:p>
    <w:p w14:paraId="7CAC0CB5" w14:textId="362A55A7" w:rsidR="002D1FB0" w:rsidRPr="002D1FB0" w:rsidRDefault="002D1FB0" w:rsidP="002D1FB0">
      <w:pPr>
        <w:spacing w:after="0"/>
        <w:ind w:left="1080" w:hanging="1080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</w:pPr>
      <w:r w:rsidRPr="002D1FB0">
        <w:rPr>
          <w:rFonts w:ascii="Times New Roman" w:eastAsia="SimSun" w:hAnsi="Times New Roman" w:cs="Times New Roman"/>
          <w:b/>
          <w:kern w:val="2"/>
          <w:sz w:val="20"/>
          <w:szCs w:val="20"/>
          <w:lang w:eastAsia="ko-KR"/>
        </w:rPr>
        <w:t>Keywords</w:t>
      </w:r>
      <w:r w:rsidRPr="002D1FB0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ko-KR"/>
        </w:rPr>
        <w:t xml:space="preserve">: </w:t>
      </w:r>
      <w:r w:rsidRPr="002D1FB0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ko-KR"/>
        </w:rPr>
        <w:tab/>
      </w:r>
      <w:r w:rsidRPr="002D1FB0">
        <w:rPr>
          <w:rFonts w:ascii="Times New Roman" w:eastAsia="SimSun" w:hAnsi="Times New Roman" w:cs="Times New Roman"/>
          <w:kern w:val="2"/>
          <w:sz w:val="20"/>
          <w:szCs w:val="20"/>
          <w:lang w:val="en-GB" w:eastAsia="ko-KR"/>
        </w:rPr>
        <w:t>3D titanium dioxide-graphene aerogel, platinum-ruthenium nanoparticles, electrocatalysis, methanol electro-oxidation</w:t>
      </w:r>
    </w:p>
    <w:p w14:paraId="6F7072AA" w14:textId="77777777" w:rsidR="002D1FB0" w:rsidRPr="002D1FB0" w:rsidRDefault="002D1FB0" w:rsidP="002D1FB0">
      <w:pPr>
        <w:spacing w:after="0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ko-KR"/>
        </w:rPr>
      </w:pPr>
    </w:p>
    <w:p w14:paraId="47EBC7C9" w14:textId="77777777" w:rsidR="002D1FB0" w:rsidRPr="002D1FB0" w:rsidRDefault="002D1FB0" w:rsidP="002D1FB0">
      <w:pPr>
        <w:spacing w:after="0"/>
        <w:jc w:val="center"/>
        <w:rPr>
          <w:rFonts w:ascii="Times New Roman" w:eastAsia="SimSun" w:hAnsi="Times New Roman" w:cs="Times New Roman"/>
          <w:b/>
          <w:noProof/>
          <w:kern w:val="2"/>
          <w:sz w:val="20"/>
          <w:szCs w:val="20"/>
          <w:lang w:val="ms-MY" w:eastAsia="ko-KR"/>
        </w:rPr>
      </w:pPr>
      <w:r w:rsidRPr="002D1FB0">
        <w:rPr>
          <w:rFonts w:ascii="Times New Roman" w:eastAsia="SimSun" w:hAnsi="Times New Roman" w:cs="Times New Roman"/>
          <w:b/>
          <w:noProof/>
          <w:kern w:val="2"/>
          <w:sz w:val="20"/>
          <w:szCs w:val="20"/>
          <w:lang w:val="ms-MY" w:eastAsia="ko-KR"/>
        </w:rPr>
        <w:t>Abstrak</w:t>
      </w:r>
    </w:p>
    <w:p w14:paraId="60788000" w14:textId="349636CA" w:rsidR="002D1FB0" w:rsidRPr="002D1FB0" w:rsidRDefault="002D1FB0" w:rsidP="002D1FB0">
      <w:pPr>
        <w:spacing w:after="0"/>
        <w:jc w:val="both"/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Sokongan mangkin biasanya dilaksanakan untuk meningkatkan aktiviti pemangkin dalam sel bahan api metanol langsung (SFML). Oleh itu, kajian ini memberi tumpuan kepada novel sokongan pada TiO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-grafin aerogel berliang hierarki 3D telah ditubuhkan dengan gabungan kaedah hidroterma dan kaedah pengeringan beku. XRD, spektrum Raman dan FESEM digunakan untuk mengkaji PtRu/TiO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-GA. Anggaran saiz zarah PtRu/TiO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-GA yang ditentukan daripada analisis XRD adalah kurang daripada komposit TiO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 xml:space="preserve">-GA. Kewujudan bahan sokongan karbon telah disahkan oleh spektrum Raman dalam semua sampel yang dihasilkan. 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 xml:space="preserve"> 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 xml:space="preserve">Dalam 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 xml:space="preserve"> 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 xml:space="preserve">elektromangkin 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 xml:space="preserve"> 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dan TiO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 xml:space="preserve">-GA, 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 xml:space="preserve"> 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nilai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 xml:space="preserve"> 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 xml:space="preserve"> nisbah jalur D kepada jalur G (I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D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/I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G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) tidak berbeza dengan ketara. Nila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 xml:space="preserve"> 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I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D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/I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G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 xml:space="preserve"> yang dikira untuk elektromangkin TiO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-GA dan PtRu/TiO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-GA ialah 0.99 dan 1.02, masing-masing. TiO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-GA terbaik akan didop dengan mangkin PtRu untuk ujian elektrokimia dan prestasi SFML berdasarkan pencirian FESEM. PtRu/ TiO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-GA mempamerkan aktiviti elektrokatalitik yang lebih baik, serta peningkatan kestabilan kecekapan penggunaan PtRu dan tindak balas pengoksidaan metanol. Terutama, nilai ECSA adalah sekitar 76.01 m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perscript"/>
          <w:lang w:val="ms-MY"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g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perscript"/>
          <w:lang w:val="ms-MY" w:eastAsia="ko-KR"/>
        </w:rPr>
        <w:t>-1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, aktiviti jisim (957.15 mAmg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perscript"/>
          <w:lang w:val="ms-MY" w:eastAsia="ko-KR"/>
        </w:rPr>
        <w:t>-1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) adalah lebih tinggi daripada komersial dengan pemuatan yang sama (20%) PtRu/C (110.79 mAmg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perscript"/>
          <w:lang w:val="ms-MY" w:eastAsia="ko-KR"/>
        </w:rPr>
        <w:t>-1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). Menariknya selepas minit ke-2000 saat, ketumpatan semasa PtRu/TiO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-GA sentiasa lebih tinggi daripada PtRu/C. Prestasi elektrokatalitik unggul PtRu/TiO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val="ms-MY"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  <w:t>-GA terhadap pengoksidaan metanol boleh digunakan dalam aplikasi praktikal sebagai bahan anod yang menjanjikan untuk DMFC.</w:t>
      </w:r>
    </w:p>
    <w:p w14:paraId="09D37D0F" w14:textId="77777777" w:rsidR="002D1FB0" w:rsidRPr="002D1FB0" w:rsidRDefault="002D1FB0" w:rsidP="002D1FB0">
      <w:pPr>
        <w:spacing w:after="0"/>
        <w:jc w:val="both"/>
        <w:rPr>
          <w:rFonts w:ascii="Times New Roman" w:eastAsia="SimSun" w:hAnsi="Times New Roman" w:cs="Times New Roman"/>
          <w:noProof/>
          <w:kern w:val="2"/>
          <w:sz w:val="20"/>
          <w:szCs w:val="20"/>
          <w:lang w:val="ms-MY" w:eastAsia="ko-KR"/>
        </w:rPr>
      </w:pPr>
    </w:p>
    <w:p w14:paraId="76C5DDB0" w14:textId="75D35BE3" w:rsidR="003E5D27" w:rsidRPr="002D1FB0" w:rsidRDefault="002D1FB0" w:rsidP="002D1FB0">
      <w:pPr>
        <w:spacing w:after="0"/>
        <w:ind w:left="1080" w:hanging="1080"/>
        <w:rPr>
          <w:rFonts w:ascii="Times New Roman" w:eastAsia="SimSun" w:hAnsi="Times New Roman" w:cs="Times New Roman"/>
          <w:bCs/>
          <w:noProof/>
          <w:kern w:val="2"/>
          <w:sz w:val="20"/>
          <w:szCs w:val="20"/>
          <w:lang w:val="ms-MY" w:eastAsia="ko-KR"/>
        </w:rPr>
      </w:pPr>
      <w:r w:rsidRPr="002D1FB0">
        <w:rPr>
          <w:rFonts w:ascii="Times New Roman" w:eastAsia="SimSun" w:hAnsi="Times New Roman" w:cs="Times New Roman"/>
          <w:b/>
          <w:noProof/>
          <w:kern w:val="2"/>
          <w:sz w:val="20"/>
          <w:szCs w:val="20"/>
          <w:lang w:val="ms-MY" w:eastAsia="ko-KR"/>
        </w:rPr>
        <w:t xml:space="preserve">Kata kunci: </w:t>
      </w:r>
      <w:r w:rsidRPr="002D1FB0">
        <w:rPr>
          <w:rFonts w:ascii="Times New Roman" w:eastAsia="SimSun" w:hAnsi="Times New Roman" w:cs="Times New Roman"/>
          <w:b/>
          <w:noProof/>
          <w:kern w:val="2"/>
          <w:sz w:val="20"/>
          <w:szCs w:val="20"/>
          <w:lang w:val="ms-MY" w:eastAsia="ko-KR"/>
        </w:rPr>
        <w:tab/>
      </w:r>
      <w:r w:rsidRPr="002D1FB0">
        <w:rPr>
          <w:rFonts w:ascii="Times New Roman" w:eastAsia="SimSun" w:hAnsi="Times New Roman" w:cs="Times New Roman"/>
          <w:bCs/>
          <w:noProof/>
          <w:kern w:val="2"/>
          <w:sz w:val="20"/>
          <w:szCs w:val="20"/>
          <w:lang w:val="ms-MY" w:eastAsia="ko-KR"/>
        </w:rPr>
        <w:t>3D titanium dioksida-grafin aerogel, nanopartikel platinum-ruthenium, elektromangkin, elektro-pengoksidaan metanol</w:t>
      </w:r>
    </w:p>
    <w:p w14:paraId="48790967" w14:textId="666A8AA9" w:rsidR="002D1FB0" w:rsidRPr="002D1FB0" w:rsidRDefault="002D1FB0" w:rsidP="002D1FB0">
      <w:pPr>
        <w:spacing w:after="0"/>
        <w:ind w:left="1080" w:hanging="1080"/>
        <w:rPr>
          <w:rFonts w:ascii="Times New Roman" w:hAnsi="Times New Roman" w:cs="Times New Roman"/>
          <w:sz w:val="20"/>
          <w:szCs w:val="20"/>
        </w:rPr>
      </w:pPr>
    </w:p>
    <w:p w14:paraId="2A8F1DF2" w14:textId="77777777" w:rsidR="002D1FB0" w:rsidRPr="002D1FB0" w:rsidRDefault="002D1FB0" w:rsidP="002D1FB0">
      <w:pPr>
        <w:spacing w:after="0"/>
        <w:jc w:val="center"/>
        <w:rPr>
          <w:rFonts w:ascii="Times New Roman" w:eastAsia="SimSun" w:hAnsi="Times New Roman" w:cs="Times New Roman"/>
          <w:b/>
          <w:bCs/>
          <w:lang w:eastAsia="ko-KR"/>
        </w:rPr>
      </w:pPr>
      <w:r w:rsidRPr="002D1FB0">
        <w:rPr>
          <w:rFonts w:ascii="Times New Roman" w:eastAsia="SimSun" w:hAnsi="Times New Roman" w:cs="Times New Roman"/>
          <w:b/>
          <w:bCs/>
          <w:lang w:eastAsia="ko-KR"/>
        </w:rPr>
        <w:t>References</w:t>
      </w:r>
    </w:p>
    <w:p w14:paraId="4F7C8928" w14:textId="77777777" w:rsidR="002D1FB0" w:rsidRPr="002D1FB0" w:rsidRDefault="002D1FB0" w:rsidP="002D1F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b/>
          <w:kern w:val="2"/>
          <w:szCs w:val="20"/>
          <w:lang w:eastAsia="ko-KR"/>
        </w:rPr>
        <w:fldChar w:fldCharType="begin" w:fldLock="1"/>
      </w:r>
      <w:r w:rsidRPr="002D1FB0">
        <w:rPr>
          <w:rFonts w:ascii="Times New Roman" w:eastAsia="SimSun" w:hAnsi="Times New Roman" w:cs="Times New Roman"/>
          <w:b/>
          <w:kern w:val="2"/>
          <w:szCs w:val="20"/>
          <w:lang w:eastAsia="ko-KR"/>
        </w:rPr>
        <w:instrText xml:space="preserve">ADDIN Mendeley Bibliography CSL_BIBLIOGRAPHY </w:instrText>
      </w:r>
      <w:r w:rsidRPr="002D1FB0">
        <w:rPr>
          <w:rFonts w:ascii="Times New Roman" w:eastAsia="SimSun" w:hAnsi="Times New Roman" w:cs="Times New Roman"/>
          <w:b/>
          <w:kern w:val="2"/>
          <w:szCs w:val="20"/>
          <w:lang w:eastAsia="ko-KR"/>
        </w:rPr>
        <w:fldChar w:fldCharType="separate"/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Rashidi, R., Dincer, I., Naterer, G. F. and Berg, P. (2009). Performance evaluation of direct methanol fuel cells for portable applications.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>Journal of Power Sources,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 187(2): 509-516.</w:t>
      </w:r>
    </w:p>
    <w:p w14:paraId="77A69EDE" w14:textId="77777777" w:rsidR="002D1FB0" w:rsidRPr="002D1FB0" w:rsidRDefault="002D1FB0" w:rsidP="002D1F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Achmad, F., Kamarudin, S. K., Daud, W. R. W. and Majlan, E. H. (2011). Passive direct methanol fuel cells for portable electronic devices.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Applied Energy,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88(5): 1681-1689.</w:t>
      </w:r>
    </w:p>
    <w:p w14:paraId="4E299499" w14:textId="77777777" w:rsidR="002D1FB0" w:rsidRPr="002D1FB0" w:rsidRDefault="002D1FB0" w:rsidP="002D1F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Zhao, L., Wang, Z. B., Li, J. L., Zhang, J. J., Sui, X. L. and Zhang, L. M. (2016). Hybrid of carbon-supported Pt nanoparticles and three dimensional graphene aerogel as high stable electrocatalyst for methanol electrooxidation.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Electrochimica Acta,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189: 175-183.</w:t>
      </w:r>
    </w:p>
    <w:p w14:paraId="2C36856E" w14:textId="77777777" w:rsidR="002D1FB0" w:rsidRPr="002D1FB0" w:rsidRDefault="002D1FB0" w:rsidP="002D1F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Bock, C., Paquet, C., Couillard, M., Botton, G. A. and MacDougall, B. R. (2004). Size-selected synthesis of PtRu nano-catalysts: reaction and size control mechanism.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Journal of the American Chemical Society,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126(25): 8028-8037.</w:t>
      </w:r>
    </w:p>
    <w:p w14:paraId="42A98A41" w14:textId="77777777" w:rsidR="002D1FB0" w:rsidRPr="002D1FB0" w:rsidRDefault="002D1FB0" w:rsidP="002D1F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Zhang, X., Ma, J., Yan, R., Cheng, W., Zheng, J. and Jin, B. (2021). Pt-Ru/polyaniline/carbon nanotube composites with three-layer tubular structure for efficient methanol oxidation.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>Journal of Alloys and Compounds,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 867: 159017.</w:t>
      </w:r>
    </w:p>
    <w:p w14:paraId="7D29A96A" w14:textId="77777777" w:rsidR="002D1FB0" w:rsidRPr="002D1FB0" w:rsidRDefault="002D1FB0" w:rsidP="002D1F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Li, W., Wang, Q., Wang, L., Fu, X. Z. and Luo, J. L. (2021). Mesoporous CeO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vertAlign w:val="subscript"/>
          <w:lang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–C hybrid spheres as efficient support for platinum nanoparticles towards methanol electrocatalytic oxidation. J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>ournal of Rare Earths,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 39(6): 674-681.</w:t>
      </w:r>
    </w:p>
    <w:p w14:paraId="4255447D" w14:textId="77777777" w:rsidR="002D1FB0" w:rsidRPr="002D1FB0" w:rsidRDefault="002D1FB0" w:rsidP="002D1F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Yang, Y., Guo, Y. F., Fu, C., Zhang, R. H., Zhan, W., Wang, P., ... &amp; Zhou, X. W. (2021). In-situ loading synthesis of graphene supported PtCu nanocube and its high activity and stability for methanol oxidation reaction.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>Journal of Colloid and Interface Science,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 595: 107-117.</w:t>
      </w:r>
    </w:p>
    <w:p w14:paraId="5C314859" w14:textId="77777777" w:rsidR="002D1FB0" w:rsidRPr="002D1FB0" w:rsidRDefault="002D1FB0" w:rsidP="002D1F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Ren, X., Lv, Q., Liu, L., Liu, B., Wang, Y., Liu, A. and Wu, G. (2020). Current progress of Pt and Pt-based electrocatalysts used for fuel cells.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Sustainable Energy &amp; Fuels,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4(1): 15-30.</w:t>
      </w:r>
    </w:p>
    <w:p w14:paraId="69B16F79" w14:textId="77777777" w:rsidR="002D1FB0" w:rsidRPr="002D1FB0" w:rsidRDefault="002D1FB0" w:rsidP="002D1F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Karuppanan, K. K., Raghu, A. V., Panthalingal, M. K., Thiruvenkatam, V., Karthikeyan, P. and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lastRenderedPageBreak/>
        <w:t xml:space="preserve">Pullithadathil, B. (2019). 3D-porous electrocatalytic foam based on Pt@ N-doped graphene for high performance and durable polymer electrolyte membrane fuel cells.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Sustainable Energy &amp; Fuels,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3(4): 996-1011.</w:t>
      </w:r>
    </w:p>
    <w:p w14:paraId="570E596F" w14:textId="77777777" w:rsidR="002D1FB0" w:rsidRPr="002D1FB0" w:rsidRDefault="002D1FB0" w:rsidP="002D1F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Gorgolis, G. and Galiotis, C. (2017). Graphene aerogels: a review.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>2D Materials,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 4(3): 032001.</w:t>
      </w:r>
    </w:p>
    <w:p w14:paraId="5C89E76A" w14:textId="77777777" w:rsidR="002D1FB0" w:rsidRPr="002D1FB0" w:rsidRDefault="002D1FB0" w:rsidP="002D1F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Mao, J., Iocozzia, J., Huang, J., Meng, K., Lai, Y. and Lin, Z. (2018). Graphene aerogels for efficient energy storage and conversion.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Energy &amp; Environmental Science,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11(4): 772-799.</w:t>
      </w:r>
    </w:p>
    <w:p w14:paraId="317FC385" w14:textId="77777777" w:rsidR="002D1FB0" w:rsidRPr="002D1FB0" w:rsidRDefault="002D1FB0" w:rsidP="002D1FB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Siwińska-Stefańska, K. and Jesionowski, T. (2017). Advanced hybrid materials based on titanium dioxide for environmental and electrochemical applications. In Titanium Dioxide. IntechOpen.</w:t>
      </w:r>
    </w:p>
    <w:p w14:paraId="620F53FE" w14:textId="77777777" w:rsidR="004D2AAB" w:rsidRDefault="002D1FB0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Odling, G. and Robertson, N. (2015). Why is anatase a better photocatalyst than rutile? The importance of free hydroxyl radicals.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>ChemSusChem,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 8(11): 1838-1840.</w:t>
      </w:r>
      <w:r w:rsidR="004D2AAB" w:rsidRPr="004D2AAB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 </w:t>
      </w:r>
    </w:p>
    <w:p w14:paraId="27F1C547" w14:textId="72528042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Dey, S. and Mehta, N. S. (2020). Synthesis and applications of titanium oxide catalysts for lower temperature CO oxidation.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Current Research in Green and Sustainable Chemistry,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3: 10002.</w:t>
      </w:r>
    </w:p>
    <w:p w14:paraId="0129FDED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Bagheri, S., Muhd Julkapli, N. and Bee Abd Hamid, S. (2014). Titanium dioxide as a catalyst support in heterogeneous catalysis.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The Scientific World Journal,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2014: 727496. </w:t>
      </w:r>
    </w:p>
    <w:p w14:paraId="42FF2B5D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Abdullah, N., Kamarudin, S. K. and Shyuan, L. K. (2018). Novel anodic catalyst support for direct methanol fuel cell: characterizations and single-cell performances.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Nanoscale Research Letters,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13(1): 1-13. </w:t>
      </w:r>
    </w:p>
    <w:p w14:paraId="522F6674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Ito, Y., Takeuchi, T., Tsujiguchi, T., Abdelkareem, M. A. and Nakagawa, N. (2013). Ultrahigh methanol electro-oxidation activity of PtRu nanoparticles prepared on TiO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vertAlign w:val="subscript"/>
          <w:lang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-embedded carbon nanofiber support.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>Journal of Power Sources,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 242: 280-288.</w:t>
      </w:r>
    </w:p>
    <w:p w14:paraId="7F7A4302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Ercelik, M., Ozden, A., Seker, E. and Colpan, C. O. (2017). Characterization and performance evaluation of PtRu/CTiO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vertAlign w:val="subscript"/>
          <w:lang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 anode electrocatalyst for DMFC applications.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International Journal of Hydrogen Energy,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42(33): 21518-21529.</w:t>
      </w:r>
    </w:p>
    <w:p w14:paraId="10699FE3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Liu, R., Guo, W., Sun, B., Pang, J., Pei, M. and Zhou, G. (2015). Composites of rutile TiO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vertAlign w:val="subscript"/>
          <w:lang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 nanorods loaded on graphene oxide nanosheet with enhanced electrochemical performance.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Electrochimica Acta,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156: 274-282.</w:t>
      </w:r>
    </w:p>
    <w:p w14:paraId="3F277A31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Xiang, C., Guo, R., Lan, J., Jiang, S., Wang, C., Du, Z. and Cheng, C. (2018). Self-assembling porous 3D titanium dioxide-reduced graphene oxide aerogel for the tunable absorption of oleic acid and RhodamineB dye.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Journal of Alloys and Compounds,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735: 246-252.</w:t>
      </w:r>
    </w:p>
    <w:p w14:paraId="68878284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Cordero-Borboa, A. E., Sterling-Black, E., Gómez-Cortés, A. and Vázquez-Zavala, A. (2003). X-ray diffraction evidence of the single solid solution character of bi-metallic Pt-Pd catalyst particles on an amorphous SiO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vertAlign w:val="subscript"/>
          <w:lang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 substrate.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Applied Surface Science,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220(1-4): 169-174.</w:t>
      </w:r>
    </w:p>
    <w:p w14:paraId="31A6DE31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Vorokh, A. S. (2018). Scherrer formula: estimation of error in determining small nanoparticle size.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>Nanosystem Physics Chemistry Mathematics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, pp. 364-369.</w:t>
      </w:r>
    </w:p>
    <w:p w14:paraId="69A6C847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Stankovich, S., Dikin, D. A., Piner, R. D., Kohlhaas, K. A., Kleinhammes, A., Jia, Yue, W., SonBinh, T. N., and Ruoff, R. S. (2007). Synthesis of graphene-based nanosheets via chemical reduction of exfoliated graphite oxide. carbon, 45(7): 1558-1565.</w:t>
      </w:r>
    </w:p>
    <w:p w14:paraId="3E5E3AC3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Zhu, Y., Murali, S., Cai, W., Li, X., Suk, J. W., Potts, J. R. and Ruoff, R. S. (2010). Graphene and graphene oxide: synthesis, properties, and applications.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Advanced Materials,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22(35): 3906-3924.</w:t>
      </w:r>
    </w:p>
    <w:p w14:paraId="4001250E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Li, Y., Cai, Q., Wang, L., Li, Q., Peng, X., Gao, B., … and Chu, P. K. (2016). Mesoporous TiO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vertAlign w:val="subscript"/>
          <w:lang w:eastAsia="ko-KR"/>
        </w:rPr>
        <w:t xml:space="preserve">2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nanocrystals/graphene as an efficient sulfur host material for high-performance lithium–sulfur batteries.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>ACS Applied Materials &amp; Interfaces,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 8(36): 23784-23792.</w:t>
      </w:r>
    </w:p>
    <w:p w14:paraId="06F7583D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lastRenderedPageBreak/>
        <w:t xml:space="preserve">Norilhamiah, Y., Kamaruddin, S. K., Karim, N. A.,  Masdar, M. S. and Loh, K. S. (2017). Gliserol, P. E. (2017). Preliminary study on pd-based binary catalysts supported with carbon nanofiber for the electrooxidation of glycerol.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Malaysian Journal of Analytical Sciences,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21(3): 700-708.</w:t>
      </w:r>
    </w:p>
    <w:p w14:paraId="5A00E0F1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Ibrahim, S. A., Anwar, M. K., Ainuddin, A. R., Hariri, A., Rus, A. Z. M., Kamdi, Z., Yunos, M. Z., and Harun, Z. (2019). Synthesis and characterization of visible light active Fe-TiO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vertAlign w:val="subscript"/>
          <w:lang w:eastAsia="ko-KR"/>
        </w:rPr>
        <w:t>2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 using hydrothermal method.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>International Journal of Integrated Engineering,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 11(5): 80-85.</w:t>
      </w:r>
    </w:p>
    <w:p w14:paraId="6EC27403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Shaari, N. and Kamarudin, S. K. (2019). Current status, opportunities, and challenges in fuel cell catalytic application of aerogels.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International Journal of Energy Research,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43(7): 2447-2467.</w:t>
      </w:r>
    </w:p>
    <w:p w14:paraId="34E97799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Basri, S., Kamarudin, S. K., Daud, W. R. W., Yaakob, Z. and Kadhum, A. A. H. (2014). Novel anode catalyst for direct methanol fuel cells.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The Scientific World Journal,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2014: 547604.</w:t>
      </w:r>
    </w:p>
    <w:p w14:paraId="7B9E009F" w14:textId="77777777" w:rsidR="004D2AAB" w:rsidRPr="002D1FB0" w:rsidRDefault="004D2AAB" w:rsidP="004D2AA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Ramli, Z. A., Kamarudin, S. K., Basri, S. and Zainoodin, A. M. (2020). The potential of novel carbon nanocages as a carbon support for an enhanced methanol electro</w:t>
      </w:r>
      <w:r w:rsidRPr="002D1FB0">
        <w:rPr>
          <w:rFonts w:ascii="Times New Roman" w:eastAsia="Malgun Gothic" w:hAnsi="Times New Roman" w:cs="Times New Roman"/>
          <w:noProof/>
          <w:kern w:val="2"/>
          <w:szCs w:val="20"/>
          <w:lang w:eastAsia="ko-KR"/>
        </w:rPr>
        <w:t xml:space="preserve"> -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 xml:space="preserve">oxidation reaction in a direct methanol fuel cell. </w:t>
      </w:r>
      <w:r w:rsidRPr="002D1FB0">
        <w:rPr>
          <w:rFonts w:ascii="Times New Roman" w:eastAsia="SimSun" w:hAnsi="Times New Roman" w:cs="Times New Roman"/>
          <w:i/>
          <w:iCs/>
          <w:noProof/>
          <w:kern w:val="2"/>
          <w:szCs w:val="20"/>
          <w:lang w:eastAsia="ko-KR"/>
        </w:rPr>
        <w:t xml:space="preserve">International Journal of Energy Research, </w:t>
      </w:r>
      <w:r w:rsidRPr="002D1FB0"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t>44(13): 10071-10086.</w:t>
      </w:r>
    </w:p>
    <w:p w14:paraId="44C5A71F" w14:textId="778ABE02" w:rsidR="002D1FB0" w:rsidRDefault="002D1FB0" w:rsidP="004D2A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</w:p>
    <w:p w14:paraId="0B17B7C5" w14:textId="77777777" w:rsidR="004D2AAB" w:rsidRDefault="004D2AAB" w:rsidP="004D2A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</w:p>
    <w:p w14:paraId="016E2DA5" w14:textId="6DA91857" w:rsidR="004D2AAB" w:rsidRPr="0051593E" w:rsidRDefault="004D2AAB" w:rsidP="004D2A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sectPr w:rsidR="004D2AAB" w:rsidRPr="0051593E" w:rsidSect="002D1FB0">
          <w:footerReference w:type="even" r:id="rId13"/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1D1F8ED6" w14:textId="77777777" w:rsidR="002D1FB0" w:rsidRPr="002D1FB0" w:rsidRDefault="002D1FB0" w:rsidP="005159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sectPr w:rsidR="002D1FB0" w:rsidRPr="002D1FB0" w:rsidSect="002D1FB0">
          <w:footerReference w:type="default" r:id="rId14"/>
          <w:type w:val="oddPage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43239F44" w14:textId="77777777" w:rsidR="002D1FB0" w:rsidRPr="002D1FB0" w:rsidRDefault="002D1FB0" w:rsidP="002D1FB0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</w:p>
    <w:p w14:paraId="48A1C141" w14:textId="77777777" w:rsidR="002D1FB0" w:rsidRPr="002D1FB0" w:rsidRDefault="002D1FB0" w:rsidP="002D1FB0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</w:pPr>
    </w:p>
    <w:p w14:paraId="007FB462" w14:textId="77777777" w:rsidR="002D1FB0" w:rsidRPr="002D1FB0" w:rsidRDefault="002D1FB0" w:rsidP="002D1FB0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sectPr w:rsidR="002D1FB0" w:rsidRPr="002D1FB0" w:rsidSect="002D1FB0">
          <w:footerReference w:type="default" r:id="rId15"/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3E37B7F1" w14:textId="77777777" w:rsidR="002D1FB0" w:rsidRPr="002D1FB0" w:rsidRDefault="002D1FB0" w:rsidP="002D1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noProof/>
          <w:kern w:val="2"/>
          <w:szCs w:val="20"/>
          <w:lang w:eastAsia="ko-KR"/>
        </w:rPr>
        <w:sectPr w:rsidR="002D1FB0" w:rsidRPr="002D1FB0" w:rsidSect="002D1FB0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66D4CF88" w14:textId="77777777" w:rsidR="002D1FB0" w:rsidRDefault="002D1FB0" w:rsidP="002D1FB0">
      <w:pPr>
        <w:spacing w:after="0"/>
        <w:ind w:left="1080" w:hanging="1080"/>
        <w:rPr>
          <w:rFonts w:ascii="Times New Roman" w:eastAsia="SimSun" w:hAnsi="Times New Roman" w:cs="Times New Roman"/>
          <w:b/>
          <w:kern w:val="2"/>
          <w:szCs w:val="20"/>
          <w:lang w:eastAsia="ko-KR"/>
        </w:rPr>
        <w:sectPr w:rsidR="002D1FB0" w:rsidSect="002D1FB0">
          <w:footerReference w:type="even" r:id="rId16"/>
          <w:footerReference w:type="default" r:id="rId17"/>
          <w:type w:val="continuous"/>
          <w:pgSz w:w="12240" w:h="15840" w:code="1"/>
          <w:pgMar w:top="1800" w:right="1469" w:bottom="1699" w:left="1440" w:header="706" w:footer="706" w:gutter="0"/>
          <w:pgNumType w:start="0"/>
          <w:cols w:space="403"/>
          <w:docGrid w:linePitch="360"/>
        </w:sectPr>
      </w:pPr>
      <w:r w:rsidRPr="002D1FB0">
        <w:rPr>
          <w:rFonts w:ascii="Times New Roman" w:eastAsia="SimSun" w:hAnsi="Times New Roman" w:cs="Times New Roman"/>
          <w:b/>
          <w:kern w:val="2"/>
          <w:szCs w:val="20"/>
          <w:lang w:eastAsia="ko-KR"/>
        </w:rPr>
        <w:fldChar w:fldCharType="end"/>
      </w:r>
    </w:p>
    <w:p w14:paraId="205651DC" w14:textId="7A98760F" w:rsidR="002D1FB0" w:rsidRPr="002D1FB0" w:rsidRDefault="002D1FB0" w:rsidP="002D1FB0">
      <w:pPr>
        <w:spacing w:after="0"/>
        <w:ind w:left="1080" w:hanging="1080"/>
        <w:rPr>
          <w:rFonts w:ascii="Times New Roman" w:hAnsi="Times New Roman" w:cs="Times New Roman"/>
          <w:sz w:val="20"/>
          <w:szCs w:val="20"/>
        </w:rPr>
      </w:pPr>
    </w:p>
    <w:p w14:paraId="6CED2528" w14:textId="77777777" w:rsidR="007F08A2" w:rsidRDefault="007F08A2" w:rsidP="00F37874">
      <w:pPr>
        <w:spacing w:after="0"/>
        <w:outlineLvl w:val="0"/>
        <w:rPr>
          <w:rFonts w:ascii="Times New Roman" w:hAnsi="Times New Roman"/>
          <w:sz w:val="28"/>
          <w:szCs w:val="28"/>
          <w:lang w:val="en-GB"/>
        </w:rPr>
        <w:sectPr w:rsidR="007F08A2" w:rsidSect="007962C4">
          <w:type w:val="continuous"/>
          <w:pgSz w:w="12240" w:h="15840" w:code="1"/>
          <w:pgMar w:top="1800" w:right="1469" w:bottom="1699" w:left="1440" w:header="706" w:footer="706" w:gutter="0"/>
          <w:pgNumType w:start="0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8"/>
      <w:headerReference w:type="default" r:id="rId19"/>
      <w:footerReference w:type="even" r:id="rId20"/>
      <w:headerReference w:type="first" r:id="rId21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4269" w14:textId="77777777" w:rsidR="00774151" w:rsidRDefault="00774151">
      <w:pPr>
        <w:spacing w:after="0" w:line="240" w:lineRule="auto"/>
      </w:pPr>
      <w:r>
        <w:separator/>
      </w:r>
    </w:p>
  </w:endnote>
  <w:endnote w:type="continuationSeparator" w:id="0">
    <w:p w14:paraId="31030279" w14:textId="77777777" w:rsidR="00774151" w:rsidRDefault="0077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1D21" w14:textId="77777777" w:rsidR="002D1FB0" w:rsidRDefault="002D1FB0">
    <w:pPr>
      <w:pStyle w:val="Footer"/>
    </w:pPr>
    <w:r>
      <w:rPr>
        <w:lang w:val="en-US"/>
      </w:rPr>
      <w:t>620</w:t>
    </w: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3AC2" w14:textId="77777777" w:rsidR="002D1FB0" w:rsidRPr="007D4BAB" w:rsidRDefault="002D1FB0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>
      <w:rPr>
        <w:lang w:val="en-US"/>
      </w:rPr>
      <w:t>621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D174" w14:textId="77777777" w:rsidR="002D1FB0" w:rsidRPr="007D4BAB" w:rsidRDefault="002D1FB0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 w:rsidRPr="00CE203C">
      <w:rPr>
        <w:lang w:val="en-US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E585" w14:textId="77777777" w:rsidR="007F08A2" w:rsidRDefault="007F08A2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8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0C4" w14:textId="7663EB9B" w:rsidR="007F08A2" w:rsidRPr="004B43FF" w:rsidRDefault="007F08A2">
    <w:pPr>
      <w:pStyle w:val="Footer"/>
      <w:rPr>
        <w:rFonts w:ascii="Times New Roman" w:hAnsi="Times New Roman"/>
        <w:lang w:val="en-US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3177" w14:textId="77777777" w:rsidR="00774151" w:rsidRDefault="00774151">
      <w:pPr>
        <w:spacing w:after="0" w:line="240" w:lineRule="auto"/>
      </w:pPr>
      <w:r>
        <w:separator/>
      </w:r>
    </w:p>
  </w:footnote>
  <w:footnote w:type="continuationSeparator" w:id="0">
    <w:p w14:paraId="0269EECC" w14:textId="77777777" w:rsidR="00774151" w:rsidRDefault="0077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4D2AA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4D2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09"/>
    <w:multiLevelType w:val="hybridMultilevel"/>
    <w:tmpl w:val="D6F2C50E"/>
    <w:lvl w:ilvl="0" w:tplc="40382BB8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81468"/>
    <w:multiLevelType w:val="hybridMultilevel"/>
    <w:tmpl w:val="49F0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B31B0"/>
    <w:multiLevelType w:val="hybridMultilevel"/>
    <w:tmpl w:val="F33CD3C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877230673">
    <w:abstractNumId w:val="4"/>
  </w:num>
  <w:num w:numId="2" w16cid:durableId="274488721">
    <w:abstractNumId w:val="3"/>
  </w:num>
  <w:num w:numId="3" w16cid:durableId="1715428622">
    <w:abstractNumId w:val="10"/>
  </w:num>
  <w:num w:numId="4" w16cid:durableId="857737045">
    <w:abstractNumId w:val="2"/>
  </w:num>
  <w:num w:numId="5" w16cid:durableId="293214937">
    <w:abstractNumId w:val="5"/>
  </w:num>
  <w:num w:numId="6" w16cid:durableId="43912801">
    <w:abstractNumId w:val="8"/>
  </w:num>
  <w:num w:numId="7" w16cid:durableId="256182006">
    <w:abstractNumId w:val="1"/>
  </w:num>
  <w:num w:numId="8" w16cid:durableId="902956916">
    <w:abstractNumId w:val="6"/>
  </w:num>
  <w:num w:numId="9" w16cid:durableId="1105467688">
    <w:abstractNumId w:val="7"/>
  </w:num>
  <w:num w:numId="10" w16cid:durableId="1140994747">
    <w:abstractNumId w:val="0"/>
  </w:num>
  <w:num w:numId="11" w16cid:durableId="2070178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77CE7"/>
    <w:rsid w:val="00095557"/>
    <w:rsid w:val="000D2B53"/>
    <w:rsid w:val="00100CEF"/>
    <w:rsid w:val="001573E3"/>
    <w:rsid w:val="00184405"/>
    <w:rsid w:val="00185EDF"/>
    <w:rsid w:val="001E55BE"/>
    <w:rsid w:val="00226372"/>
    <w:rsid w:val="002B425B"/>
    <w:rsid w:val="002D1FB0"/>
    <w:rsid w:val="002D51DC"/>
    <w:rsid w:val="002F626B"/>
    <w:rsid w:val="00357881"/>
    <w:rsid w:val="00385369"/>
    <w:rsid w:val="003A1F80"/>
    <w:rsid w:val="003E5D27"/>
    <w:rsid w:val="003F1CFF"/>
    <w:rsid w:val="0044292C"/>
    <w:rsid w:val="00460C95"/>
    <w:rsid w:val="00473CD4"/>
    <w:rsid w:val="00487993"/>
    <w:rsid w:val="004D2AAB"/>
    <w:rsid w:val="005119B4"/>
    <w:rsid w:val="005136AA"/>
    <w:rsid w:val="0051593E"/>
    <w:rsid w:val="005644C8"/>
    <w:rsid w:val="005F401D"/>
    <w:rsid w:val="006149E4"/>
    <w:rsid w:val="00677937"/>
    <w:rsid w:val="006E79D9"/>
    <w:rsid w:val="006F3FC1"/>
    <w:rsid w:val="00774151"/>
    <w:rsid w:val="007761C2"/>
    <w:rsid w:val="007962C4"/>
    <w:rsid w:val="007D0E7F"/>
    <w:rsid w:val="007D191B"/>
    <w:rsid w:val="007F08A2"/>
    <w:rsid w:val="007F7EB3"/>
    <w:rsid w:val="00832F59"/>
    <w:rsid w:val="00834CDE"/>
    <w:rsid w:val="00863F22"/>
    <w:rsid w:val="00900BAC"/>
    <w:rsid w:val="00920B02"/>
    <w:rsid w:val="00950912"/>
    <w:rsid w:val="00975E1A"/>
    <w:rsid w:val="00985BE2"/>
    <w:rsid w:val="009A4A79"/>
    <w:rsid w:val="009A5A4D"/>
    <w:rsid w:val="009B31A6"/>
    <w:rsid w:val="009C3305"/>
    <w:rsid w:val="00A23F0F"/>
    <w:rsid w:val="00A52EFF"/>
    <w:rsid w:val="00AA706B"/>
    <w:rsid w:val="00AB4AE6"/>
    <w:rsid w:val="00AB5AEF"/>
    <w:rsid w:val="00AB5F93"/>
    <w:rsid w:val="00AC72D0"/>
    <w:rsid w:val="00AD4549"/>
    <w:rsid w:val="00B40E61"/>
    <w:rsid w:val="00B9022C"/>
    <w:rsid w:val="00BB50FE"/>
    <w:rsid w:val="00BE5F5F"/>
    <w:rsid w:val="00C24D5C"/>
    <w:rsid w:val="00C71438"/>
    <w:rsid w:val="00C72F3E"/>
    <w:rsid w:val="00C73A4A"/>
    <w:rsid w:val="00C91816"/>
    <w:rsid w:val="00CE6DF3"/>
    <w:rsid w:val="00D04BC8"/>
    <w:rsid w:val="00D0718B"/>
    <w:rsid w:val="00D40B1F"/>
    <w:rsid w:val="00D414B9"/>
    <w:rsid w:val="00DE20A8"/>
    <w:rsid w:val="00E67FF6"/>
    <w:rsid w:val="00EA5678"/>
    <w:rsid w:val="00EA6DE5"/>
    <w:rsid w:val="00EC5D90"/>
    <w:rsid w:val="00F10961"/>
    <w:rsid w:val="00F37874"/>
    <w:rsid w:val="00F437F2"/>
    <w:rsid w:val="00F75758"/>
    <w:rsid w:val="00FA1675"/>
    <w:rsid w:val="00FC0E69"/>
    <w:rsid w:val="00FE4E1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CEF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  <w:style w:type="paragraph" w:customStyle="1" w:styleId="AUTHORAFFILIATION">
    <w:name w:val="AUTHOR AFFILIATION"/>
    <w:basedOn w:val="Normal"/>
    <w:rsid w:val="00100CEF"/>
    <w:pPr>
      <w:framePr w:w="5040" w:vSpace="200" w:wrap="auto" w:hAnchor="text" w:yAlign="bottom"/>
      <w:widowControl w:val="0"/>
      <w:spacing w:after="0" w:line="180" w:lineRule="exact"/>
      <w:jc w:val="both"/>
    </w:pPr>
    <w:rPr>
      <w:rFonts w:ascii="Palatino" w:eastAsia="Times New Roman" w:hAnsi="Palatino" w:cs="Times New Roman"/>
      <w:i/>
      <w:kern w:val="16"/>
      <w:sz w:val="16"/>
      <w:szCs w:val="20"/>
    </w:rPr>
  </w:style>
  <w:style w:type="paragraph" w:customStyle="1" w:styleId="MDPI18keywords">
    <w:name w:val="MDPI_1.8_keywords"/>
    <w:basedOn w:val="Normal"/>
    <w:next w:val="Normal"/>
    <w:qFormat/>
    <w:rsid w:val="00100CEF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00CEF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styleId="Emphasis">
    <w:name w:val="Emphasis"/>
    <w:uiPriority w:val="20"/>
    <w:qFormat/>
    <w:rsid w:val="00100CEF"/>
    <w:rPr>
      <w:b/>
      <w:bCs/>
      <w:i/>
      <w:iCs/>
      <w:spacing w:val="10"/>
    </w:rPr>
  </w:style>
  <w:style w:type="character" w:customStyle="1" w:styleId="ref-vol">
    <w:name w:val="ref-vol"/>
    <w:rsid w:val="00100CEF"/>
  </w:style>
  <w:style w:type="character" w:customStyle="1" w:styleId="html-italic">
    <w:name w:val="html-italic"/>
    <w:rsid w:val="00100CEF"/>
  </w:style>
  <w:style w:type="character" w:customStyle="1" w:styleId="pagesnum">
    <w:name w:val="pagesnum"/>
    <w:basedOn w:val="DefaultParagraphFont"/>
    <w:rsid w:val="0010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hyperlink" Target="mailto:ctie@ukm.edu.my" TargetMode="Externa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26 No 3 (2022)</vt:lpstr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26 No 3 (2022)</dc:title>
  <dc:creator>Harun Hamzah</dc:creator>
  <cp:lastModifiedBy>Harun Hamzah</cp:lastModifiedBy>
  <cp:revision>4</cp:revision>
  <cp:lastPrinted>2020-04-01T04:48:00Z</cp:lastPrinted>
  <dcterms:created xsi:type="dcterms:W3CDTF">2022-06-11T15:47:00Z</dcterms:created>
  <dcterms:modified xsi:type="dcterms:W3CDTF">2022-06-11T16:01:00Z</dcterms:modified>
</cp:coreProperties>
</file>