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b/>
          <w:noProof/>
          <w:color w:val="FFFFFF"/>
          <w:sz w:val="24"/>
          <w:szCs w:val="28"/>
          <w:lang w:bidi="ar-SA"/>
        </w:rPr>
      </w:pPr>
      <w:r>
        <w:rPr>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noProof/>
          <w:szCs w:val="20"/>
          <w:lang w:bidi="ar-SA"/>
        </w:rPr>
      </w:pPr>
    </w:p>
    <w:p w14:paraId="14D11848" w14:textId="10213F68" w:rsidR="006768E9" w:rsidRPr="00F447A7" w:rsidRDefault="00FB349E" w:rsidP="00FB349E">
      <w:pPr>
        <w:spacing w:after="0"/>
        <w:jc w:val="center"/>
        <w:rPr>
          <w:noProof/>
          <w:sz w:val="28"/>
          <w:szCs w:val="28"/>
          <w:lang w:bidi="ar-SA"/>
        </w:rPr>
      </w:pPr>
      <w:r w:rsidRPr="00FB349E">
        <w:rPr>
          <w:noProof/>
          <w:sz w:val="28"/>
          <w:szCs w:val="28"/>
          <w:lang w:bidi="ar-SA"/>
        </w:rPr>
        <w:t>PtRu SUPPORTED ON POROUS 3D TITANIUM DIOXIDE-GRAPHENE AEROGEL AS A POTENTIAL ELECTROCATALYST FOR DIRECT METHANOL FUEL CELLS</w:t>
      </w:r>
    </w:p>
    <w:p w14:paraId="349D3987" w14:textId="77777777" w:rsidR="006768E9" w:rsidRPr="00F447A7" w:rsidRDefault="006768E9" w:rsidP="00FB349E">
      <w:pPr>
        <w:spacing w:after="0"/>
        <w:jc w:val="center"/>
        <w:rPr>
          <w:noProof/>
          <w:sz w:val="24"/>
          <w:szCs w:val="24"/>
          <w:lang w:bidi="ar-SA"/>
        </w:rPr>
      </w:pPr>
    </w:p>
    <w:p w14:paraId="4A07C562" w14:textId="25454C3C" w:rsidR="006768E9" w:rsidRDefault="00FB349E" w:rsidP="00FB349E">
      <w:pPr>
        <w:spacing w:after="0"/>
        <w:jc w:val="center"/>
        <w:rPr>
          <w:noProof/>
          <w:sz w:val="24"/>
          <w:szCs w:val="24"/>
          <w:lang w:bidi="ar-SA"/>
        </w:rPr>
      </w:pPr>
      <w:r w:rsidRPr="00FB349E">
        <w:rPr>
          <w:noProof/>
          <w:sz w:val="24"/>
          <w:szCs w:val="24"/>
          <w:lang w:bidi="ar-SA"/>
        </w:rPr>
        <w:t>(PtRu disokong pada 3D Titanium Dioksida-Grafin Aerogel Berliang Sebagai Potensi Elektromangkin untuk Sel Bahan Bakar Metanol Langsung)</w:t>
      </w:r>
    </w:p>
    <w:p w14:paraId="6E8A4FD1" w14:textId="77777777" w:rsidR="00FB349E" w:rsidRPr="00F447A7" w:rsidRDefault="00FB349E" w:rsidP="00FB349E">
      <w:pPr>
        <w:spacing w:after="0"/>
        <w:jc w:val="center"/>
        <w:rPr>
          <w:noProof/>
          <w:szCs w:val="20"/>
          <w:lang w:bidi="ar-SA"/>
        </w:rPr>
      </w:pPr>
    </w:p>
    <w:p w14:paraId="66763890" w14:textId="77777777" w:rsidR="00FB349E" w:rsidRPr="00FB349E" w:rsidRDefault="00FB349E" w:rsidP="00FB349E">
      <w:pPr>
        <w:widowControl w:val="0"/>
        <w:wordWrap w:val="0"/>
        <w:autoSpaceDE w:val="0"/>
        <w:autoSpaceDN w:val="0"/>
        <w:adjustRightInd w:val="0"/>
        <w:spacing w:after="0"/>
        <w:jc w:val="center"/>
        <w:rPr>
          <w:rFonts w:eastAsia="SimSun" w:cs="Arial"/>
          <w:noProof/>
          <w:kern w:val="2"/>
          <w:szCs w:val="20"/>
          <w:vertAlign w:val="superscript"/>
          <w:lang w:val="ms-MY" w:eastAsia="ko-KR" w:bidi="ar-SA"/>
        </w:rPr>
      </w:pPr>
      <w:r w:rsidRPr="00FB349E">
        <w:rPr>
          <w:rFonts w:eastAsia="SimSun" w:cs="Arial"/>
          <w:noProof/>
          <w:kern w:val="2"/>
          <w:szCs w:val="20"/>
          <w:lang w:val="ms-MY" w:eastAsia="ko-KR" w:bidi="ar-SA"/>
        </w:rPr>
        <w:t>Siti Hasanah Osman</w:t>
      </w:r>
      <w:r w:rsidRPr="00FB349E">
        <w:rPr>
          <w:rFonts w:eastAsia="SimSun" w:cs="Arial"/>
          <w:noProof/>
          <w:kern w:val="2"/>
          <w:szCs w:val="20"/>
          <w:vertAlign w:val="superscript"/>
          <w:lang w:val="ms-MY" w:eastAsia="ko-KR" w:bidi="ar-SA"/>
        </w:rPr>
        <w:t>1</w:t>
      </w:r>
      <w:r w:rsidRPr="00625671">
        <w:rPr>
          <w:rFonts w:eastAsia="SimSun" w:cs="Arial"/>
          <w:noProof/>
          <w:kern w:val="2"/>
          <w:szCs w:val="20"/>
          <w:lang w:val="ms-MY" w:eastAsia="ko-KR" w:bidi="ar-SA"/>
        </w:rPr>
        <w:t>*</w:t>
      </w:r>
      <w:r w:rsidRPr="00FB349E">
        <w:rPr>
          <w:rFonts w:eastAsia="SimSun" w:cs="Arial"/>
          <w:noProof/>
          <w:kern w:val="2"/>
          <w:szCs w:val="20"/>
          <w:lang w:val="ms-MY" w:eastAsia="ko-KR" w:bidi="ar-SA"/>
        </w:rPr>
        <w:t>, Siti Kartom Kamarudin</w:t>
      </w:r>
      <w:r w:rsidRPr="00FB349E">
        <w:rPr>
          <w:rFonts w:eastAsia="SimSun" w:cs="Arial"/>
          <w:noProof/>
          <w:kern w:val="2"/>
          <w:szCs w:val="20"/>
          <w:vertAlign w:val="superscript"/>
          <w:lang w:val="ms-MY" w:eastAsia="ko-KR" w:bidi="ar-SA"/>
        </w:rPr>
        <w:t>1,2</w:t>
      </w:r>
      <w:r w:rsidRPr="00FB349E">
        <w:rPr>
          <w:rFonts w:eastAsia="SimSun" w:cs="Arial"/>
          <w:noProof/>
          <w:kern w:val="2"/>
          <w:szCs w:val="20"/>
          <w:lang w:val="ms-MY" w:eastAsia="ko-KR" w:bidi="ar-SA"/>
        </w:rPr>
        <w:t>, Sahriah Basri</w:t>
      </w:r>
      <w:r w:rsidRPr="00FB349E">
        <w:rPr>
          <w:rFonts w:eastAsia="SimSun" w:cs="Arial"/>
          <w:noProof/>
          <w:kern w:val="2"/>
          <w:szCs w:val="20"/>
          <w:vertAlign w:val="superscript"/>
          <w:lang w:val="ms-MY" w:eastAsia="ko-KR" w:bidi="ar-SA"/>
        </w:rPr>
        <w:t>1</w:t>
      </w:r>
      <w:r w:rsidRPr="00FB349E">
        <w:rPr>
          <w:rFonts w:eastAsia="SimSun" w:cs="Arial"/>
          <w:noProof/>
          <w:kern w:val="2"/>
          <w:szCs w:val="20"/>
          <w:lang w:val="ms-MY" w:eastAsia="ko-KR" w:bidi="ar-SA"/>
        </w:rPr>
        <w:t>, Nabila A.Karim</w:t>
      </w:r>
      <w:r w:rsidRPr="00FB349E">
        <w:rPr>
          <w:rFonts w:eastAsia="SimSun" w:cs="Arial"/>
          <w:noProof/>
          <w:kern w:val="2"/>
          <w:szCs w:val="20"/>
          <w:vertAlign w:val="superscript"/>
          <w:lang w:val="ms-MY" w:eastAsia="ko-KR" w:bidi="ar-SA"/>
        </w:rPr>
        <w:t>1</w:t>
      </w:r>
    </w:p>
    <w:p w14:paraId="6064CC12" w14:textId="77777777" w:rsidR="00FB349E" w:rsidRPr="00625671" w:rsidRDefault="00FB349E" w:rsidP="00625671">
      <w:pPr>
        <w:widowControl w:val="0"/>
        <w:autoSpaceDE w:val="0"/>
        <w:autoSpaceDN w:val="0"/>
        <w:adjustRightInd w:val="0"/>
        <w:spacing w:after="0"/>
        <w:jc w:val="center"/>
        <w:rPr>
          <w:rFonts w:eastAsia="SimSun"/>
          <w:noProof/>
          <w:kern w:val="2"/>
          <w:sz w:val="18"/>
          <w:szCs w:val="18"/>
          <w:lang w:val="ms-MY" w:eastAsia="ko-KR" w:bidi="ar-SA"/>
        </w:rPr>
      </w:pPr>
    </w:p>
    <w:p w14:paraId="15F5ADA0" w14:textId="4248104C"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1</w:t>
      </w:r>
      <w:r w:rsidRPr="00625671">
        <w:rPr>
          <w:rFonts w:eastAsia="SimSun" w:cs="Arial"/>
          <w:i/>
          <w:iCs/>
          <w:noProof/>
          <w:kern w:val="2"/>
          <w:sz w:val="18"/>
          <w:szCs w:val="18"/>
          <w:lang w:val="ms-MY" w:eastAsia="ko-KR" w:bidi="ar-SA"/>
        </w:rPr>
        <w:t>Fuel Cell Institute</w:t>
      </w:r>
    </w:p>
    <w:p w14:paraId="6A563BB0" w14:textId="7EE2EE77"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2</w:t>
      </w:r>
      <w:r w:rsidRPr="00625671">
        <w:rPr>
          <w:rFonts w:eastAsia="SimSun" w:cs="Arial"/>
          <w:i/>
          <w:iCs/>
          <w:noProof/>
          <w:kern w:val="2"/>
          <w:sz w:val="18"/>
          <w:szCs w:val="18"/>
          <w:lang w:val="ms-MY" w:eastAsia="ko-KR" w:bidi="ar-SA"/>
        </w:rPr>
        <w:t>Department of Chemical and Process Engineering, Faculty of Engineering and Built Environment</w:t>
      </w:r>
    </w:p>
    <w:p w14:paraId="093CB0B9" w14:textId="77777777"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lang w:val="ms-MY" w:eastAsia="ko-KR" w:bidi="ar-SA"/>
        </w:rPr>
        <w:t>Universiti Kebangsaan Malaysia, 43600 UKM Bangi, Selangor, Malaysia</w:t>
      </w:r>
    </w:p>
    <w:p w14:paraId="78545E41" w14:textId="77777777" w:rsidR="00FB349E" w:rsidRPr="00625671" w:rsidRDefault="00FB349E" w:rsidP="00625671">
      <w:pPr>
        <w:spacing w:after="0"/>
        <w:rPr>
          <w:rFonts w:eastAsia="SimSun"/>
          <w:noProof/>
          <w:sz w:val="18"/>
          <w:szCs w:val="18"/>
          <w:lang w:val="ms-MY" w:eastAsia="ko-KR" w:bidi="ar-SA"/>
        </w:rPr>
      </w:pPr>
    </w:p>
    <w:p w14:paraId="57B0D487" w14:textId="61A61E9B" w:rsidR="00FB349E" w:rsidRPr="00625671" w:rsidRDefault="00FB349E" w:rsidP="00625671">
      <w:pPr>
        <w:spacing w:after="0"/>
        <w:jc w:val="center"/>
        <w:rPr>
          <w:rFonts w:ascii="Calibri" w:hAnsi="Calibri"/>
          <w:noProof/>
          <w:sz w:val="18"/>
          <w:szCs w:val="18"/>
          <w:lang w:val="ms-MY" w:bidi="ar-SA"/>
        </w:rPr>
      </w:pPr>
      <w:r w:rsidRPr="00625671">
        <w:rPr>
          <w:i/>
          <w:noProof/>
          <w:sz w:val="18"/>
          <w:szCs w:val="18"/>
          <w:lang w:val="ms-MY" w:bidi="ar-SA"/>
        </w:rPr>
        <w:t>*Corresponding author:</w:t>
      </w:r>
      <w:r w:rsidR="00625671">
        <w:rPr>
          <w:i/>
          <w:noProof/>
          <w:sz w:val="18"/>
          <w:szCs w:val="18"/>
          <w:lang w:val="ms-MY" w:bidi="ar-SA"/>
        </w:rPr>
        <w:t xml:space="preserve"> </w:t>
      </w:r>
      <w:r w:rsidRPr="00625671">
        <w:rPr>
          <w:i/>
          <w:noProof/>
          <w:sz w:val="18"/>
          <w:szCs w:val="18"/>
          <w:lang w:val="ms-MY" w:bidi="ar-SA"/>
        </w:rPr>
        <w:t xml:space="preserve"> </w:t>
      </w:r>
      <w:hyperlink r:id="rId9" w:history="1">
        <w:r w:rsidRPr="00625671">
          <w:rPr>
            <w:i/>
            <w:iCs/>
            <w:noProof/>
            <w:sz w:val="18"/>
            <w:szCs w:val="18"/>
            <w:lang w:val="ms-MY" w:bidi="ar-SA"/>
          </w:rPr>
          <w:t>ctie@ukm.edu.my</w:t>
        </w:r>
      </w:hyperlink>
    </w:p>
    <w:p w14:paraId="605ADCCB" w14:textId="77777777" w:rsidR="006768E9" w:rsidRPr="00F447A7" w:rsidRDefault="006768E9" w:rsidP="002B412F">
      <w:pPr>
        <w:spacing w:after="0"/>
        <w:jc w:val="center"/>
        <w:rPr>
          <w:noProof/>
          <w:sz w:val="18"/>
          <w:szCs w:val="18"/>
          <w:lang w:bidi="ar-SA"/>
        </w:rPr>
      </w:pPr>
    </w:p>
    <w:p w14:paraId="18D54BE3" w14:textId="77777777" w:rsidR="006768E9" w:rsidRDefault="006768E9" w:rsidP="002B412F">
      <w:pPr>
        <w:spacing w:after="0"/>
        <w:jc w:val="center"/>
        <w:rPr>
          <w:noProof/>
          <w:sz w:val="18"/>
          <w:szCs w:val="18"/>
          <w:lang w:bidi="ar-SA"/>
        </w:rPr>
      </w:pPr>
    </w:p>
    <w:p w14:paraId="49CD0BC5" w14:textId="7494DD68" w:rsidR="00BA1F7B" w:rsidRDefault="00BA1F7B" w:rsidP="002B412F">
      <w:pPr>
        <w:spacing w:after="0"/>
        <w:jc w:val="center"/>
        <w:rPr>
          <w:noProof/>
          <w:sz w:val="18"/>
          <w:szCs w:val="18"/>
          <w:lang w:bidi="ar-SA"/>
        </w:rPr>
      </w:pPr>
      <w:r>
        <w:rPr>
          <w:noProof/>
          <w:sz w:val="18"/>
          <w:szCs w:val="18"/>
          <w:lang w:bidi="ar-SA"/>
        </w:rPr>
        <w:t>Received:</w:t>
      </w:r>
      <w:r w:rsidR="00FB349E">
        <w:rPr>
          <w:noProof/>
          <w:sz w:val="18"/>
          <w:szCs w:val="18"/>
          <w:lang w:bidi="ar-SA"/>
        </w:rPr>
        <w:t xml:space="preserve"> 9 November 2021</w:t>
      </w:r>
      <w:r>
        <w:rPr>
          <w:noProof/>
          <w:sz w:val="18"/>
          <w:szCs w:val="18"/>
          <w:lang w:bidi="ar-SA"/>
        </w:rPr>
        <w:t xml:space="preserve">; Accepted: </w:t>
      </w:r>
      <w:r w:rsidR="00FB349E">
        <w:rPr>
          <w:noProof/>
          <w:sz w:val="18"/>
          <w:szCs w:val="18"/>
          <w:lang w:bidi="ar-SA"/>
        </w:rPr>
        <w:t>27 February 2022</w:t>
      </w:r>
      <w:r w:rsidR="00F82059">
        <w:rPr>
          <w:noProof/>
          <w:sz w:val="18"/>
          <w:szCs w:val="18"/>
          <w:lang w:bidi="ar-SA"/>
        </w:rPr>
        <w:t xml:space="preserve">; </w:t>
      </w:r>
      <w:r w:rsidR="00F82059" w:rsidRPr="00625671">
        <w:rPr>
          <w:noProof/>
          <w:sz w:val="18"/>
          <w:szCs w:val="18"/>
          <w:lang w:bidi="ar-SA"/>
        </w:rPr>
        <w:t>Published:</w:t>
      </w:r>
      <w:r w:rsidR="00625671">
        <w:rPr>
          <w:noProof/>
          <w:sz w:val="18"/>
          <w:szCs w:val="18"/>
          <w:lang w:bidi="ar-SA"/>
        </w:rPr>
        <w:t xml:space="preserve">  xx June 2022</w:t>
      </w:r>
      <w:r w:rsidR="00F82059">
        <w:rPr>
          <w:noProof/>
          <w:sz w:val="18"/>
          <w:szCs w:val="18"/>
          <w:lang w:bidi="ar-SA"/>
        </w:rPr>
        <w:t xml:space="preserve">  </w:t>
      </w:r>
    </w:p>
    <w:p w14:paraId="5A496945" w14:textId="77777777" w:rsidR="00BA1F7B" w:rsidRDefault="00BA1F7B" w:rsidP="002B412F">
      <w:pPr>
        <w:spacing w:after="0"/>
        <w:jc w:val="center"/>
        <w:rPr>
          <w:noProof/>
          <w:sz w:val="18"/>
          <w:szCs w:val="18"/>
          <w:lang w:bidi="ar-SA"/>
        </w:rPr>
      </w:pPr>
    </w:p>
    <w:p w14:paraId="4D585AB3" w14:textId="77777777" w:rsidR="00BA1F7B" w:rsidRPr="00FB349E" w:rsidRDefault="00BA1F7B" w:rsidP="00FB349E">
      <w:pPr>
        <w:spacing w:after="0"/>
        <w:jc w:val="both"/>
        <w:rPr>
          <w:noProof/>
          <w:sz w:val="18"/>
          <w:szCs w:val="18"/>
          <w:lang w:bidi="ar-SA"/>
        </w:rPr>
      </w:pPr>
    </w:p>
    <w:p w14:paraId="48B2740B" w14:textId="77777777" w:rsidR="00FB349E" w:rsidRPr="00FB349E" w:rsidRDefault="00FB349E" w:rsidP="00625671">
      <w:pPr>
        <w:spacing w:after="0"/>
        <w:jc w:val="center"/>
        <w:rPr>
          <w:rFonts w:eastAsia="SimSun"/>
          <w:b/>
          <w:kern w:val="2"/>
          <w:sz w:val="18"/>
          <w:szCs w:val="18"/>
          <w:lang w:eastAsia="ko-KR" w:bidi="ar-SA"/>
        </w:rPr>
      </w:pPr>
      <w:r w:rsidRPr="00FB349E">
        <w:rPr>
          <w:rFonts w:eastAsia="SimSun"/>
          <w:b/>
          <w:kern w:val="2"/>
          <w:sz w:val="18"/>
          <w:szCs w:val="18"/>
          <w:lang w:eastAsia="ko-KR" w:bidi="ar-SA"/>
        </w:rPr>
        <w:t>Abstract</w:t>
      </w:r>
    </w:p>
    <w:p w14:paraId="011AB526" w14:textId="77777777" w:rsidR="00FB349E" w:rsidRPr="00FB349E" w:rsidRDefault="00FB349E" w:rsidP="00625671">
      <w:pPr>
        <w:spacing w:after="0"/>
        <w:jc w:val="both"/>
        <w:rPr>
          <w:rFonts w:eastAsia="SimSun"/>
          <w:kern w:val="2"/>
          <w:sz w:val="18"/>
          <w:szCs w:val="18"/>
          <w:lang w:val="en-GB" w:eastAsia="ko-KR" w:bidi="ar-SA"/>
        </w:rPr>
      </w:pPr>
      <w:r w:rsidRPr="00FB349E">
        <w:rPr>
          <w:rFonts w:eastAsia="SimSun"/>
          <w:kern w:val="2"/>
          <w:sz w:val="18"/>
          <w:szCs w:val="18"/>
          <w:lang w:val="en-GB" w:eastAsia="ko-KR" w:bidi="ar-SA"/>
        </w:rPr>
        <w:t>The catalyst support is typically implemented to improve the catalytic activity in direct methanol fuel cells (DMFCs). Thus, this study focused on the novel support of 3D hierarchical porous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-graphene aerogel which was established via a combination of hydrothermal method and freezing drying method. XRD, Raman spectra, and FESEM were used to study the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The estimated particle size of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determined from the XRD analysis was less than composite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w:t>
      </w:r>
      <w:r w:rsidRPr="00FB349E">
        <w:rPr>
          <w:rFonts w:eastAsia="Calibri"/>
          <w:sz w:val="18"/>
          <w:szCs w:val="18"/>
          <w:lang w:val="en-GB" w:bidi="ar-SA"/>
        </w:rPr>
        <w:t>The existence of the carbon support material was confirmed by the Raman spectra in all generated samples. Within the electrocatalyst and TiO</w:t>
      </w:r>
      <w:r w:rsidRPr="00FB349E">
        <w:rPr>
          <w:rFonts w:eastAsia="Calibri"/>
          <w:sz w:val="18"/>
          <w:szCs w:val="18"/>
          <w:vertAlign w:val="subscript"/>
          <w:lang w:val="en-GB" w:bidi="ar-SA"/>
        </w:rPr>
        <w:t>2</w:t>
      </w:r>
      <w:r w:rsidRPr="00FB349E">
        <w:rPr>
          <w:rFonts w:eastAsia="Calibri"/>
          <w:sz w:val="18"/>
          <w:szCs w:val="18"/>
          <w:lang w:val="en-GB" w:bidi="ar-SA"/>
        </w:rPr>
        <w:t>-GA, the ratio value of the D band to the G band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was not significantly different. The computed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xml:space="preserve"> values for TiO</w:t>
      </w:r>
      <w:r w:rsidRPr="00FB349E">
        <w:rPr>
          <w:rFonts w:eastAsia="Calibri"/>
          <w:sz w:val="18"/>
          <w:szCs w:val="18"/>
          <w:vertAlign w:val="subscript"/>
          <w:lang w:val="en-GB" w:bidi="ar-SA"/>
        </w:rPr>
        <w:t>2</w:t>
      </w:r>
      <w:r w:rsidRPr="00FB349E">
        <w:rPr>
          <w:rFonts w:eastAsia="Calibri"/>
          <w:sz w:val="18"/>
          <w:szCs w:val="18"/>
          <w:lang w:val="en-GB" w:bidi="ar-SA"/>
        </w:rPr>
        <w:t>-GA and PtRu/TiO</w:t>
      </w:r>
      <w:r w:rsidRPr="00FB349E">
        <w:rPr>
          <w:rFonts w:eastAsia="Calibri"/>
          <w:sz w:val="18"/>
          <w:szCs w:val="18"/>
          <w:vertAlign w:val="subscript"/>
          <w:lang w:val="en-GB" w:bidi="ar-SA"/>
        </w:rPr>
        <w:t>2</w:t>
      </w:r>
      <w:r w:rsidRPr="00FB349E">
        <w:rPr>
          <w:rFonts w:eastAsia="Calibri"/>
          <w:sz w:val="18"/>
          <w:szCs w:val="18"/>
          <w:lang w:val="en-GB" w:bidi="ar-SA"/>
        </w:rPr>
        <w:t xml:space="preserve">-GA electrocatalysts were 0.99 and 1.02, respectively. </w:t>
      </w:r>
      <w:r w:rsidRPr="00FB349E">
        <w:rPr>
          <w:rFonts w:eastAsia="SimSun"/>
          <w:kern w:val="2"/>
          <w:sz w:val="18"/>
          <w:szCs w:val="18"/>
          <w:lang w:val="en-GB" w:eastAsia="ko-KR" w:bidi="ar-SA"/>
        </w:rPr>
        <w:t>The best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was doped with PtRu catalyst for the electrochemical test and DMFC performance based on FESEM characterization. PtRu/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exhibited better electrocatalytic activity, as well as improved PtRu usage efficiency stability and methanol oxidation reaction. Notably, the ECSA value was around 76.01 m</w:t>
      </w:r>
      <w:r w:rsidRPr="00FB349E">
        <w:rPr>
          <w:rFonts w:eastAsia="SimSun"/>
          <w:kern w:val="2"/>
          <w:sz w:val="18"/>
          <w:szCs w:val="18"/>
          <w:vertAlign w:val="superscript"/>
          <w:lang w:val="en-GB" w:eastAsia="ko-KR" w:bidi="ar-SA"/>
        </w:rPr>
        <w:t>2</w:t>
      </w:r>
      <w:r w:rsidRPr="00FB349E">
        <w:rPr>
          <w:rFonts w:eastAsia="SimSun"/>
          <w:kern w:val="2"/>
          <w:sz w:val="18"/>
          <w:szCs w:val="18"/>
          <w:lang w:val="en-GB" w:eastAsia="ko-KR" w:bidi="ar-SA"/>
        </w:rPr>
        <w:t>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and the mass activity (957.15 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was higher than commercial with the same loading (20%) PtRu/C (</w:t>
      </w:r>
      <w:r w:rsidRPr="00FB349E">
        <w:rPr>
          <w:kern w:val="2"/>
          <w:sz w:val="18"/>
          <w:szCs w:val="18"/>
          <w:lang w:val="en-GB" w:eastAsia="ko-KR" w:bidi="ar-SA"/>
        </w:rPr>
        <w:t xml:space="preserve">110.79 </w:t>
      </w:r>
      <w:r w:rsidRPr="00FB349E">
        <w:rPr>
          <w:rFonts w:eastAsia="SimSun"/>
          <w:kern w:val="2"/>
          <w:sz w:val="18"/>
          <w:szCs w:val="18"/>
          <w:lang w:val="en-GB" w:eastAsia="ko-KR" w:bidi="ar-SA"/>
        </w:rPr>
        <w:t>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xml:space="preserve">). Interestingly after the 2000s, the current density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 xml:space="preserve">was consistently higher than that of PtRu/C. The superior electrocatalytic performance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towards methanol oxidation demonstrates its use in practical application as a promising anode material for DMFCs</w:t>
      </w:r>
    </w:p>
    <w:p w14:paraId="78A41C89" w14:textId="77777777" w:rsidR="00FB349E" w:rsidRPr="00FB349E" w:rsidRDefault="00FB349E" w:rsidP="00625671">
      <w:pPr>
        <w:spacing w:after="0"/>
        <w:jc w:val="both"/>
        <w:rPr>
          <w:rFonts w:eastAsia="SimSun"/>
          <w:kern w:val="2"/>
          <w:sz w:val="18"/>
          <w:szCs w:val="18"/>
          <w:lang w:eastAsia="ko-KR" w:bidi="ar-SA"/>
        </w:rPr>
      </w:pPr>
    </w:p>
    <w:p w14:paraId="4AE7BAA4" w14:textId="332B0D5C" w:rsidR="00FB349E" w:rsidRDefault="00FB349E" w:rsidP="00625671">
      <w:pPr>
        <w:spacing w:after="0"/>
        <w:jc w:val="both"/>
        <w:rPr>
          <w:rFonts w:eastAsia="SimSun"/>
          <w:kern w:val="2"/>
          <w:sz w:val="18"/>
          <w:szCs w:val="18"/>
          <w:lang w:val="en-GB" w:eastAsia="ko-KR" w:bidi="ar-SA"/>
        </w:rPr>
      </w:pPr>
      <w:r w:rsidRPr="00FB349E">
        <w:rPr>
          <w:rFonts w:eastAsia="SimSun"/>
          <w:b/>
          <w:kern w:val="2"/>
          <w:sz w:val="18"/>
          <w:szCs w:val="18"/>
          <w:lang w:eastAsia="ko-KR" w:bidi="ar-SA"/>
        </w:rPr>
        <w:t>Keywords</w:t>
      </w:r>
      <w:r w:rsidRPr="00FB349E">
        <w:rPr>
          <w:rFonts w:eastAsia="SimSun"/>
          <w:b/>
          <w:bCs/>
          <w:kern w:val="2"/>
          <w:sz w:val="18"/>
          <w:szCs w:val="18"/>
          <w:lang w:eastAsia="ko-KR" w:bidi="ar-SA"/>
        </w:rPr>
        <w:t>:</w:t>
      </w:r>
      <w:r w:rsidRPr="00FB349E">
        <w:rPr>
          <w:rFonts w:eastAsia="SimSun"/>
          <w:b/>
          <w:bCs/>
          <w:kern w:val="2"/>
          <w:sz w:val="16"/>
          <w:szCs w:val="18"/>
          <w:lang w:eastAsia="ko-KR" w:bidi="ar-SA"/>
        </w:rPr>
        <w:t xml:space="preserve"> </w:t>
      </w:r>
      <w:r w:rsidR="00625671">
        <w:rPr>
          <w:rFonts w:eastAsia="SimSun"/>
          <w:b/>
          <w:bCs/>
          <w:kern w:val="2"/>
          <w:sz w:val="16"/>
          <w:szCs w:val="18"/>
          <w:lang w:eastAsia="ko-KR" w:bidi="ar-SA"/>
        </w:rPr>
        <w:t xml:space="preserve"> </w:t>
      </w:r>
      <w:r w:rsidRPr="00FB349E">
        <w:rPr>
          <w:rFonts w:eastAsia="SimSun"/>
          <w:kern w:val="2"/>
          <w:sz w:val="18"/>
          <w:szCs w:val="18"/>
          <w:lang w:val="en-GB" w:eastAsia="ko-KR" w:bidi="ar-SA"/>
        </w:rPr>
        <w:t>3D titanium dioxide-graphene aerogel, platinum-ruthenium nanoparticles, electrocatalysis, methanol electro-oxidation</w:t>
      </w:r>
    </w:p>
    <w:p w14:paraId="0D4DBE05" w14:textId="77777777" w:rsidR="00A40B83" w:rsidRPr="00FB349E" w:rsidRDefault="00A40B83" w:rsidP="00625671">
      <w:pPr>
        <w:spacing w:after="0"/>
        <w:jc w:val="center"/>
        <w:rPr>
          <w:rFonts w:eastAsia="SimSun"/>
          <w:b/>
          <w:kern w:val="2"/>
          <w:sz w:val="18"/>
          <w:szCs w:val="18"/>
          <w:lang w:eastAsia="ko-KR" w:bidi="ar-SA"/>
        </w:rPr>
      </w:pPr>
    </w:p>
    <w:p w14:paraId="36F00929" w14:textId="77777777" w:rsidR="00FB349E" w:rsidRPr="00FB349E" w:rsidRDefault="00FB349E" w:rsidP="00625671">
      <w:pPr>
        <w:spacing w:after="0"/>
        <w:jc w:val="center"/>
        <w:rPr>
          <w:rFonts w:eastAsia="SimSun"/>
          <w:b/>
          <w:noProof/>
          <w:kern w:val="2"/>
          <w:sz w:val="18"/>
          <w:szCs w:val="18"/>
          <w:lang w:val="ms-MY" w:eastAsia="ko-KR" w:bidi="ar-SA"/>
        </w:rPr>
      </w:pPr>
      <w:r w:rsidRPr="00FB349E">
        <w:rPr>
          <w:rFonts w:eastAsia="SimSun"/>
          <w:b/>
          <w:noProof/>
          <w:kern w:val="2"/>
          <w:sz w:val="18"/>
          <w:szCs w:val="18"/>
          <w:lang w:val="ms-MY" w:eastAsia="ko-KR" w:bidi="ar-SA"/>
        </w:rPr>
        <w:t>Abstrak</w:t>
      </w:r>
    </w:p>
    <w:p w14:paraId="6EFF8033" w14:textId="77777777" w:rsidR="00FD52E1" w:rsidRDefault="00FB349E" w:rsidP="00625671">
      <w:pPr>
        <w:spacing w:after="0"/>
        <w:jc w:val="both"/>
        <w:rPr>
          <w:rFonts w:eastAsia="SimSun"/>
          <w:noProof/>
          <w:kern w:val="2"/>
          <w:sz w:val="18"/>
          <w:szCs w:val="18"/>
          <w:lang w:val="ms-MY" w:eastAsia="ko-KR" w:bidi="ar-SA"/>
        </w:rPr>
        <w:sectPr w:rsidR="00FD52E1" w:rsidSect="007D517A">
          <w:headerReference w:type="even" r:id="rId10"/>
          <w:headerReference w:type="default" r:id="rId11"/>
          <w:footerReference w:type="even" r:id="rId12"/>
          <w:footerReference w:type="default" r:id="rId13"/>
          <w:headerReference w:type="first" r:id="rId14"/>
          <w:footerReference w:type="first" r:id="rId15"/>
          <w:pgSz w:w="12240" w:h="15840" w:code="1"/>
          <w:pgMar w:top="1800" w:right="1469" w:bottom="1699" w:left="1440" w:header="706" w:footer="706" w:gutter="0"/>
          <w:pgNumType w:start="1"/>
          <w:cols w:space="708"/>
          <w:docGrid w:linePitch="360"/>
        </w:sectPr>
      </w:pPr>
      <w:r w:rsidRPr="00FB349E">
        <w:rPr>
          <w:rFonts w:eastAsia="SimSun"/>
          <w:noProof/>
          <w:kern w:val="2"/>
          <w:sz w:val="18"/>
          <w:szCs w:val="18"/>
          <w:lang w:val="ms-MY" w:eastAsia="ko-KR" w:bidi="ar-SA"/>
        </w:rPr>
        <w:t>Sokongan mangkin biasanya dilaksanakan untuk meningkatkan aktiviti pemangkin dalam sel bahan api metanol langsung (SFML). Oleh itu, kajian ini memberi tumpuan kepada novel sokongan pada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-grafin aerogel berliang hierarki 3D telah ditubuhkan dengan gabungan kaedah hidroterma dan kaedah pengeringan beku. XRD, spektrum Raman dan FESEM digunakan untuk mengkaji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Anggaran saiz zarah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yang ditentukan daripada analisis XRD adalah kurang daripada komposit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Kewujudan bahan sokongan karbon telah disahkan oleh spektrum Raman dalam semua sampel yang dihasilkan. Dalam elektromangkin dan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nilai nisbah jalur D kepada jalur G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tidak berbeza dengan ketara. Nilai</w:t>
      </w:r>
    </w:p>
    <w:p w14:paraId="319C2CBB" w14:textId="77777777" w:rsidR="00FB349E" w:rsidRPr="00FB349E" w:rsidRDefault="00FB349E" w:rsidP="00625671">
      <w:pPr>
        <w:spacing w:after="0"/>
        <w:jc w:val="both"/>
        <w:rPr>
          <w:rFonts w:eastAsia="SimSun"/>
          <w:noProof/>
          <w:kern w:val="2"/>
          <w:sz w:val="18"/>
          <w:szCs w:val="18"/>
          <w:lang w:val="ms-MY" w:eastAsia="ko-KR" w:bidi="ar-SA"/>
        </w:rPr>
      </w:pPr>
      <w:r w:rsidRPr="00FB349E">
        <w:rPr>
          <w:rFonts w:eastAsia="SimSun"/>
          <w:noProof/>
          <w:kern w:val="2"/>
          <w:sz w:val="18"/>
          <w:szCs w:val="18"/>
          <w:lang w:val="ms-MY" w:eastAsia="ko-KR" w:bidi="ar-SA"/>
        </w:rPr>
        <w:lastRenderedPageBreak/>
        <w:t xml:space="preserve">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xml:space="preserve"> yang dikira untuk elektromangkin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dan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ialah 0.99 dan 1.02, masing-masing.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terbaik akan didop dengan mangkin PtRu untuk ujian elektrokimia dan prestasi SFML berdasarkan pencirian FESEM. PtRu/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mempamerkan aktiviti elektrokatalitik yang lebih baik, serta peningkatan kestabilan kecekapan penggunaan PtRu dan tindak balas pengoksidaan metanol. Terutama, nilai ECSA adalah sekitar 76.01 m</w:t>
      </w:r>
      <w:r w:rsidRPr="00FB349E">
        <w:rPr>
          <w:rFonts w:eastAsia="SimSun"/>
          <w:noProof/>
          <w:kern w:val="2"/>
          <w:sz w:val="18"/>
          <w:szCs w:val="18"/>
          <w:vertAlign w:val="superscript"/>
          <w:lang w:val="ms-MY" w:eastAsia="ko-KR" w:bidi="ar-SA"/>
        </w:rPr>
        <w:t>2</w:t>
      </w:r>
      <w:r w:rsidRPr="00FB349E">
        <w:rPr>
          <w:rFonts w:eastAsia="SimSun"/>
          <w:noProof/>
          <w:kern w:val="2"/>
          <w:sz w:val="18"/>
          <w:szCs w:val="18"/>
          <w:lang w:val="ms-MY" w:eastAsia="ko-KR" w:bidi="ar-SA"/>
        </w:rPr>
        <w:t>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aktiviti jisim (957.15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adalah lebih tinggi daripada komersial dengan pemuatan yang sama (20%) PtRu/C (110.79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Menariknya selepas minit ke-2000 saat, ketumpatan semasa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sentiasa lebih tinggi daripada PtRu/C. Prestasi elektrokatalitik unggul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terhadap pengoksidaan metanol boleh digunakan dalam aplikasi praktikal sebagai bahan anod yang menjanjikan untuk DMFC.</w:t>
      </w:r>
    </w:p>
    <w:p w14:paraId="4F6CDCAC" w14:textId="77777777" w:rsidR="00FB349E" w:rsidRPr="00FB349E" w:rsidRDefault="00FB349E" w:rsidP="00625671">
      <w:pPr>
        <w:spacing w:after="0"/>
        <w:jc w:val="both"/>
        <w:rPr>
          <w:rFonts w:eastAsia="SimSun"/>
          <w:noProof/>
          <w:kern w:val="2"/>
          <w:sz w:val="18"/>
          <w:szCs w:val="18"/>
          <w:lang w:val="ms-MY" w:eastAsia="ko-KR" w:bidi="ar-SA"/>
        </w:rPr>
      </w:pPr>
    </w:p>
    <w:p w14:paraId="4854F0FB" w14:textId="250E5DA3" w:rsidR="00A40B83" w:rsidRDefault="00FB349E" w:rsidP="00625671">
      <w:pPr>
        <w:spacing w:after="0"/>
        <w:ind w:left="1080" w:hanging="1080"/>
        <w:jc w:val="both"/>
        <w:rPr>
          <w:rFonts w:eastAsia="SimSun"/>
          <w:bCs/>
          <w:noProof/>
          <w:kern w:val="2"/>
          <w:sz w:val="18"/>
          <w:szCs w:val="18"/>
          <w:lang w:val="ms-MY" w:eastAsia="ko-KR" w:bidi="ar-SA"/>
        </w:rPr>
        <w:sectPr w:rsidR="00A40B83" w:rsidSect="00FD52E1">
          <w:footerReference w:type="even" r:id="rId16"/>
          <w:type w:val="evenPage"/>
          <w:pgSz w:w="12240" w:h="15840" w:code="1"/>
          <w:pgMar w:top="1800" w:right="1469" w:bottom="1699" w:left="1440" w:header="706" w:footer="706" w:gutter="0"/>
          <w:pgNumType w:start="1"/>
          <w:cols w:space="708"/>
          <w:docGrid w:linePitch="360"/>
        </w:sectPr>
      </w:pPr>
      <w:r w:rsidRPr="00FB349E">
        <w:rPr>
          <w:rFonts w:eastAsia="SimSun"/>
          <w:b/>
          <w:noProof/>
          <w:kern w:val="2"/>
          <w:sz w:val="18"/>
          <w:szCs w:val="18"/>
          <w:lang w:val="ms-MY" w:eastAsia="ko-KR" w:bidi="ar-SA"/>
        </w:rPr>
        <w:t xml:space="preserve">Kata kunci: </w:t>
      </w:r>
      <w:r w:rsidR="00625671">
        <w:rPr>
          <w:rFonts w:eastAsia="SimSun"/>
          <w:b/>
          <w:noProof/>
          <w:kern w:val="2"/>
          <w:sz w:val="18"/>
          <w:szCs w:val="18"/>
          <w:lang w:val="ms-MY" w:eastAsia="ko-KR" w:bidi="ar-SA"/>
        </w:rPr>
        <w:tab/>
      </w:r>
      <w:r w:rsidRPr="00FB349E">
        <w:rPr>
          <w:rFonts w:eastAsia="SimSun"/>
          <w:bCs/>
          <w:noProof/>
          <w:kern w:val="2"/>
          <w:sz w:val="18"/>
          <w:szCs w:val="18"/>
          <w:lang w:val="ms-MY" w:eastAsia="ko-KR" w:bidi="ar-SA"/>
        </w:rPr>
        <w:t>3D titanium dioksida-grafin aerogel, nanopartikel platinum-ruthenium, elektromangkin, elektro-pengoksidaan metanol</w:t>
      </w:r>
    </w:p>
    <w:p w14:paraId="1E5A8B0D" w14:textId="7DADB182" w:rsidR="00FB349E" w:rsidRDefault="00FB349E" w:rsidP="00FB349E">
      <w:pPr>
        <w:spacing w:after="0"/>
        <w:jc w:val="both"/>
        <w:rPr>
          <w:rFonts w:eastAsia="SimSun"/>
          <w:b/>
          <w:noProof/>
          <w:sz w:val="18"/>
          <w:szCs w:val="18"/>
          <w:lang w:val="ms-MY" w:eastAsia="ko-KR" w:bidi="ar-SA"/>
        </w:rPr>
      </w:pPr>
    </w:p>
    <w:p w14:paraId="0C0999CE" w14:textId="77777777" w:rsidR="00F44F14" w:rsidRDefault="00F44F14" w:rsidP="00A40B83">
      <w:pPr>
        <w:spacing w:after="0"/>
        <w:jc w:val="center"/>
        <w:rPr>
          <w:rFonts w:eastAsia="SimSun"/>
          <w:b/>
          <w:bCs/>
          <w:szCs w:val="20"/>
          <w:lang w:eastAsia="ko-KR" w:bidi="ar-SA"/>
        </w:rPr>
      </w:pPr>
    </w:p>
    <w:p w14:paraId="5C252D41" w14:textId="15AC3F6B" w:rsidR="00625671" w:rsidRDefault="00625671" w:rsidP="00A40B83">
      <w:pPr>
        <w:spacing w:after="0"/>
        <w:jc w:val="center"/>
        <w:rPr>
          <w:rFonts w:eastAsia="SimSun"/>
          <w:b/>
          <w:bCs/>
          <w:szCs w:val="20"/>
          <w:lang w:eastAsia="ko-KR" w:bidi="ar-SA"/>
        </w:rPr>
        <w:sectPr w:rsidR="00625671" w:rsidSect="00A40B83">
          <w:type w:val="continuous"/>
          <w:pgSz w:w="12240" w:h="15840" w:code="1"/>
          <w:pgMar w:top="1800" w:right="1469" w:bottom="1699" w:left="1440" w:header="706" w:footer="706" w:gutter="0"/>
          <w:pgNumType w:start="1"/>
          <w:cols w:space="708"/>
          <w:docGrid w:linePitch="360"/>
        </w:sectPr>
      </w:pPr>
    </w:p>
    <w:p w14:paraId="1052F925" w14:textId="77777777" w:rsidR="00A40B83" w:rsidRPr="00625671" w:rsidRDefault="00A40B83" w:rsidP="00CF07E4">
      <w:pPr>
        <w:spacing w:after="0"/>
        <w:jc w:val="center"/>
        <w:rPr>
          <w:rFonts w:eastAsia="SimSun"/>
          <w:b/>
          <w:bCs/>
          <w:szCs w:val="20"/>
          <w:lang w:eastAsia="ko-KR" w:bidi="ar-SA"/>
        </w:rPr>
      </w:pPr>
      <w:r w:rsidRPr="00625671">
        <w:rPr>
          <w:rFonts w:eastAsia="SimSun"/>
          <w:b/>
          <w:bCs/>
          <w:szCs w:val="20"/>
          <w:lang w:eastAsia="ko-KR" w:bidi="ar-SA"/>
        </w:rPr>
        <w:t>Introduction</w:t>
      </w:r>
    </w:p>
    <w:p w14:paraId="00BCC783" w14:textId="128CB60F" w:rsidR="00A40B83"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 xml:space="preserve">Direct methanol fuel cells (DMFCs) have gained traction recently due to their technological advances through a variety of characteristics: low emissions, excellent energy conversion efficiency, liquid fuel handling convenience, and low operating temperature. These are the results of the increasing use of mobile devices and the prerequisite of affording sufficient energy and power for the application [1,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{"citationItems":[{"id":"ITEM-1","itemData":{"DOI":"10.1016/j.apenergy.2010.11.012","ISSN":"03062619","abstract":"Due to the increasing demand for electricity, clean, renewable energy resources must be developed. Thus, the objective of the present study was to develop a passive direct methanol fuel cell (DMFC) for portable electronic devices. The power output of six dual DMFCs connected in series with an active area of 4cm2was approximately 600mW, and the power density of the DMFCs was 25mWcm-2. The DMFCs were evaluated as a power source for mobile phone chargers and media players. The results indicated that the open circuit voltage of the DMFC was between 6.0V and 6.5V, and the voltage under operating conditions was 4.0V. The fuel cell was tested on a variety of cell phone chargers, media players and PDAs. The cost of energy consumption by the proposed DMFC was estimated to be USD 20W-1, and the cost of methanol is USD 4kWh. Alternatively, the local conventional electricity tariff is USD 2kWh. However, for the large-scale production of electronic devices, the cost of methanol will be significantly lower. Moreover, the electricity tariff is expected to increase due to the constraints of fossil fuel resources and pollution. As a result, DMFCs will become competitive with conventional power sources. © 2010 Elsevier Ltd.","author":[{"dropping-particle":"","family":"Achmad","given":"F.","non-dropping-particle":"","parse-names":false,"suffix":""},{"dropping-particle":"","family":"Kamarudin","given":"S. K.","non-dropping-particle":"","parse-names":false,"suffix":""},{"dropping-particle":"","family":"Daud","given":"W. R.W.","non-dropping-particle":"","parse-names":false,"suffix":""},{"dropping-particle":"","family":"Majlan","given":"E. H.","non-dropping-particle":"","parse-names":false,"suffix":""}],"container-title":"Applied Energy","id":"ITEM-1","issue":"5","issued":{"date-parts":[["2011"]]},"page":"1681-1689","publisher":"Elsevier Ltd","title":"Passive direct methanol fuel cells for portable electronic devices","type":"article-journal","volume":"88"},"uris":["http://www.mendeley.com/documents/?uuid=d5130ff7-e537-4f84-8cc4-cc2453f5b569"]}],"mendeley":{"formattedCitation":"[2]","plainTextFormattedCitation":"[2]","previouslyFormattedCitation":"[2]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2]</w:t>
      </w:r>
      <w:r w:rsidRPr="00625671">
        <w:rPr>
          <w:rFonts w:eastAsia="SimSun"/>
          <w:szCs w:val="20"/>
          <w:lang w:val="en-GB" w:eastAsia="ko-KR" w:bidi="ar-SA"/>
        </w:rPr>
        <w:fldChar w:fldCharType="end"/>
      </w:r>
      <w:r w:rsidRPr="00625671">
        <w:rPr>
          <w:rFonts w:eastAsia="SimSun"/>
          <w:szCs w:val="20"/>
          <w:lang w:val="en-GB" w:eastAsia="ko-KR" w:bidi="ar-SA"/>
        </w:rPr>
        <w:t>. The electrochemical reaction in a direct methanol fuel cell is represented as follows:</w:t>
      </w:r>
    </w:p>
    <w:p w14:paraId="534B306C"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r>
      <w:r w:rsidRPr="00625671">
        <w:rPr>
          <w:rFonts w:eastAsia="SimSun"/>
          <w:szCs w:val="20"/>
          <w:lang w:val="en-GB" w:eastAsia="ko-KR" w:bidi="ar-SA"/>
        </w:rPr>
        <w:tab/>
      </w:r>
    </w:p>
    <w:p w14:paraId="7DC0B02E" w14:textId="240BF3F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0:016V (vs: SHE) (Anode reaction)</w:t>
      </w:r>
    </w:p>
    <w:p w14:paraId="34A9B91A"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3/2O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 xml:space="preserve"> → 3H</w:t>
      </w:r>
      <w:r w:rsidRPr="00625671">
        <w:rPr>
          <w:rFonts w:eastAsia="SimSun"/>
          <w:szCs w:val="20"/>
          <w:vertAlign w:val="subscript"/>
          <w:lang w:val="en-GB" w:eastAsia="ko-KR" w:bidi="ar-SA"/>
        </w:rPr>
        <w:t>2</w:t>
      </w:r>
      <w:r w:rsidRPr="00625671">
        <w:rPr>
          <w:rFonts w:eastAsia="SimSun"/>
          <w:szCs w:val="20"/>
          <w:lang w:val="en-GB" w:eastAsia="ko-KR" w:bidi="ar-SA"/>
        </w:rPr>
        <w:t xml:space="preserve">O </w:t>
      </w:r>
      <w:r w:rsidRPr="00625671">
        <w:rPr>
          <w:rFonts w:eastAsia="SimSun"/>
          <w:szCs w:val="20"/>
          <w:lang w:val="en-GB" w:eastAsia="ko-KR" w:bidi="ar-SA"/>
        </w:rPr>
        <w:tab/>
        <w:t xml:space="preserve">   </w:t>
      </w:r>
      <w:r w:rsidRPr="00625671">
        <w:rPr>
          <w:rFonts w:eastAsia="SimSun"/>
          <w:szCs w:val="20"/>
          <w:lang w:val="en-GB" w:eastAsia="ko-KR" w:bidi="ar-SA"/>
        </w:rPr>
        <w:tab/>
        <w:t xml:space="preserve">   </w:t>
      </w:r>
    </w:p>
    <w:p w14:paraId="18B21977" w14:textId="799B565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1:229V (vs: SHE) (Cathode reaction)</w:t>
      </w:r>
    </w:p>
    <w:p w14:paraId="04B43AB0"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t xml:space="preserve">  </w:t>
      </w:r>
    </w:p>
    <w:p w14:paraId="4DAE259A" w14:textId="574C84CC" w:rsidR="00A40B83" w:rsidRPr="00625671" w:rsidRDefault="00A40B83" w:rsidP="00CF07E4">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1:245V (vs: SHE) (Overall reaction)</w:t>
      </w:r>
    </w:p>
    <w:p w14:paraId="2CE55DBD"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need for highly active catalysts for the oxidation process of hydrogen-rich liquid fuels is one of the major driving forces behind the development of DMFC technology. The electrocatalyst selection is critical for DMFC because the quality of the reaction kinetics of catalyst influences current density and cell lifespan. Improved catalyst activity and durability can be achieved through the development of novel support materials or the use of innovative catalytic metals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{"citationItems":[{"id":"ITEM-1","itemData":{"DOI":"10.1016/J.ELECTACTA.2015.12.072","ISSN":"0013-4686","abstract":"Three-dimensional (3D) structured Pt/C/graphene aerogel (Pt/C/GA) hybrid as a remarkable high stability electrocatalyst is synthesized through a facile and green hydrothermal process. Thanks to the unique 3D graphene framework structure, Pt/C/GA hybrid catalyst demonstrated enhanced stability towards methanol electrooxidation with no decrease of electrocatalytic activity. Besides, Pt/C/GA hybrid catalyst also exhibits a significantly enhanced stability to scavenge crossover methanol under the high potential in acid solution compared with the standard Pt/C catalyst: Pt/C catalyst lost nearly 40% of its initial activity after 1000 cyclic voltammetry cycles, by contrast, only 16% for Pt/C/GA. Moreover, it is noteworthy that after 200 cycles, the mass activity of Pt/C/GA is always much higher than that of Pt/C. A significant stability enhancement is achieved due to the unique 3D macroporous graphene structure as well as the efficient assembly between the Pt/C catalyst and graphene aerogel. Importantly, our synthetic strategy can be easily applied to the commercial PtRu/C catalyst to improve its durability. This simple, convenient and green synthetic method highlights the potential in fabrication of high durable electrocatalyst for fuel cell applications.","author":[{"dropping-particle":"","family":"Zhao","given":"Lei","non-dropping-particle":"","parse-names":false,"suffix":""},{"dropping-particle":"","family":"Wang","given":"Zhen Bo","non-dropping-particle":"","parse-names":false,"suffix":""},{"dropping-particle":"","family":"Li","given":"Jia Long","non-dropping-particle":"","parse-names":false,"suffix":""},{"dropping-particle":"","family":"Zhang","given":"Jing Jia","non-dropping-particle":"","parse-names":false,"suffix":""},{"dropping-particle":"","family":"Sui","given":"Xu Lei","non-dropping-particle":"","parse-names":false,"suffix":""},{"dropping-particle":"","family":"Zhang","given":"Li Mei","non-dropping-particle":"","parse-names":false,"suffix":""}],"container-title":"Electrochimica Acta","id":"ITEM-1","issued":{"date-parts":[["2016","1","20"]]},"page":"175-183","publisher":"Pergamon","title":"Hybrid of carbon-supported Pt nanoparticles and three dimensional graphene aerogel as high stable electrocatalyst for methanol electrooxidation","type":"article-journal","volume":"189"},"uris":["http://www.mendeley.com/documents/?uuid=611b96d8-18e4-3849-87e6-fe11b6ceafa6"]}],"mendeley":{"formattedCitation":"[3]","plainTextFormattedCitation":"[3]","previouslyFormattedCitation":"[3]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[3]</w:t>
      </w:r>
      <w:r w:rsidRPr="00625671">
        <w:rPr>
          <w:rFonts w:eastAsia="SimSun"/>
          <w:szCs w:val="20"/>
          <w:lang w:val="en-GB" w:eastAsia="ko-KR" w:bidi="ar-SA"/>
        </w:rPr>
        <w:fldChar w:fldCharType="end"/>
      </w:r>
      <w:r w:rsidRPr="00625671">
        <w:rPr>
          <w:rFonts w:eastAsia="SimSun"/>
          <w:szCs w:val="20"/>
          <w:lang w:val="en-GB" w:eastAsia="ko-KR" w:bidi="ar-SA"/>
        </w:rPr>
        <w:t xml:space="preserve">. Due to their increased catalytic activity in the electrooxidation of methanol, platinum group metals (PGMs) are the most used anode catalysts in DMFCs [4-8]. Platinum is costly, thus finding a replacement catalyst will necessitate further research. The best catalyst for DMFCs right now is bimetallic platinum-ruthenium (PtRu). Pt loading can be lowered by reducing the electrocatalyst costs in DMFC using only </w:t>
      </w:r>
      <w:r w:rsidRPr="00625671">
        <w:rPr>
          <w:rFonts w:eastAsia="SimSun"/>
          <w:szCs w:val="20"/>
          <w:lang w:val="en-GB" w:eastAsia="ko-KR" w:bidi="ar-SA"/>
        </w:rPr>
        <w:t xml:space="preserve">the corresponding ratio of 1:1. Additionally, bimetallic Ru catalyst works in catalytic operations by eliminating carbon monoxide (CO) from the active site for HOR, where this catalyst can reduce CO poisoning [11, 12]. PtRu demonstrated a higher catalytic activity in the DMFC according to research by Bock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{"citationItems":[{"id":"ITEM-1","itemData":{"DOI":"10.1021/JA0495819","ISSN":"0002-7863","PMID":"15212553","abstract":"A rapid synthesis method for the preparation of PtRu colloids and their subsequent deposition on high surface area carbons is presented. The reaction mechanism is shown to involve the oxidation of the solvent, ethylene glycol, to mainly glycolic acid or, depending on the pH, its anion, glycolate, while the Pt(+IV) and Ru(+III) precursor salts are reduced. Glycolate acts as a stabilizer for the PtRu colloids and the glycolate concentration, and hence the size of the resulting noble metal colloids is controlled via the pH of the synthesis solution. Carbon-supported PtRu catalysts of controlled size can be prepared within the range of 0.7-4 nm. Slow scan X-ray diffraction and high-resolution transmission electron microscopy show the PtRu catalysts to be crystalline. The Ru is partly dissolved in the face-centered cubic Pt lattice, but the catalysts also consist of a separate, hexagonal Ru phase. The PtRu catalysts appear to be of the same composition independent of the catalyst size in the range of 1.2-4 nm. Particular PtRu catalysts prepared in this work display enhanced activities for the CH3OH electro-oxidation reaction when compared to two commercial catalysts.","author":[{"dropping-particle":"","family":"Bock","given":"Christina","non-dropping-particle":"","parse-names":false,"suffix":""},{"dropping-particle":"","family":"Paquet","given":"Chantal","non-dropping-particle":"","parse-names":false,"suffix":""},{"dropping-particle":"","family":"Couillard","given":"Martin","non-dropping-particle":"","parse-names":false,"suffix":""},{"dropping-particle":"","family":"Botton","given":"Gianluigi A.","non-dropping-particle":"","parse-names":false,"suffix":""},{"dropping-particle":"","family":"MacDougall","given":"Barry R.","non-dropping-particle":"","parse-names":false,"suffix":""}],"container-title":"Journal of the American Chemical Society","id":"ITEM-1","issue":"25","issued":{"date-parts":[["2004","6","30"]]},"page":"8028-8037","publisher":"J Am Chem Soc","title":"Size-selected synthesis of PtRu nano-catalysts: reaction and size control mechanism","type":"article-journal","volume":"126"},"uris":["http://www.mendeley.com/documents/?uuid=d5111384-50e0-3b8b-9b6d-0fce9f5edadb"]}],"mendeley":{"formattedCitation":"[4]","plainTextFormattedCitation":"[4]","previouslyFormattedCitation":"[4]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[4]</w:t>
      </w:r>
      <w:r w:rsidRPr="00625671">
        <w:rPr>
          <w:rFonts w:eastAsia="SimSun"/>
          <w:szCs w:val="20"/>
          <w:lang w:val="en-GB" w:eastAsia="ko-KR" w:bidi="ar-SA"/>
        </w:rPr>
        <w:fldChar w:fldCharType="end"/>
      </w:r>
      <w:r w:rsidRPr="00625671">
        <w:rPr>
          <w:rFonts w:eastAsia="SimSun"/>
          <w:szCs w:val="20"/>
          <w:lang w:val="en-GB" w:eastAsia="ko-KR" w:bidi="ar-SA"/>
        </w:rPr>
        <w:t>, and it was evident that the catalytic performance was significantly dependent on the distribution of Pt and Ru sites at the atomic level. However, the PtRu catalyst cannot solve the problem of low methanol oxidation. Further catalyst modifications are required to help the fuel cell sector.</w:t>
      </w:r>
    </w:p>
    <w:p w14:paraId="7649D880" w14:textId="77777777" w:rsidR="00A40B83" w:rsidRPr="00625671" w:rsidRDefault="00A40B83" w:rsidP="00625671">
      <w:pPr>
        <w:spacing w:after="0"/>
        <w:jc w:val="both"/>
        <w:rPr>
          <w:rFonts w:eastAsia="SimSun"/>
          <w:szCs w:val="20"/>
          <w:lang w:val="en-GB" w:eastAsia="ko-KR" w:bidi="ar-SA"/>
        </w:rPr>
      </w:pPr>
    </w:p>
    <w:p w14:paraId="0A039339" w14:textId="74155445"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DMFC has been in progress for a decade with the creation of several catalyst-based solutions. Alternative support materials are stable and cost-effective, and they have been identified and developed with great effort [28–30]. Novel carbon supports, for example carbon nanotubes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{"citationItems":[{"id":"ITEM-1","itemData":{"DOI":"10.1016/J.JALLCOM.2021.159017","ISSN":"0925-8388","abstract":"Developing anode catalyst with highly active and CO tolerance of direct methanol fuel cells is of prime importance. In this work, the polyaniline/carbon nanotube composites were fabricated via in situ electrochemical method. The Pt–Ru alloy nanoclusters were well-distributed on polyaniline/carbon nanotubes supporting materials by co-electrodeposition method. SEM, HRTEM and XPS were employed to investigate the surface features of composites. The results indicated that Pt-Ru/polyaniline/carbon nanotubes composites were formed three-layer tubular structure. The Pt9.8Ru1/polyaniline/carbon nanotubes catalyst displayed good performance along with the lower peak potential of forward-scanning methanol oxidation, longer-term stability and higher current density compared to Pt/C, Pt-Ru/carbon nanotube composites and other Pt-Ru/polyaniline/carbon nanotube composites. The current density of the Pt9.8Ru1/PANI/CNTs catalyst for methanol oxidation was 8.9 folds higher than that for Pt/C and 2.4 folds higher for Pt9.8Ru1/CNTs catalyst, which indicated that this catalyst had a high number of active sites and surface Ru sites could effectively facilitate the removal of COad. Our data showed that the prepared Pt-Ru/polyaniline/carbon nanotubes composites are potential candidate as bimetallic electro-catalysts for methanol oxidation reaction.","author":[{"dropping-particle":"","family":"Zhang","given":"Xiaoling","non-dropping-particle":"","parse-names":false,"suffix":""},{"dropping-particle":"","family":"Ma","given":"Jing","non-dropping-particle":"","parse-names":false,"suffix":""},{"dropping-particle":"","family":"Yan","given":"Ruiwen","non-dropping-particle":"","parse-names":false,"suffix":""},{"dropping-particle":"","family":"Cheng","given":"Wangxin","non-dropping-particle":"","parse-names":false,"suffix":""},{"dropping-particle":"","family":"Zheng","given":"Jun","non-dropping-particle":"","parse-names":false,"suffix":""},{"dropping-particle":"","family":"Jin","given":"Baokang","non-dropping-particle":"","parse-names":false,"suffix":""}],"container-title":"Journal of Alloys and Compounds","id":"ITEM-1","issued":{"date-parts":[["2021","6","25"]]},"page":"159017","publisher":"Elsevier","title":"Pt-Ru/polyaniline/carbon nanotube composites with three-layer tubular structure for efficient methanol oxidation","type":"article-journal","volume":"867"},"uris":["http://www.mendeley.com/documents/?uuid=ac4931d9-89d7-34c1-ad6f-37721b0325fe"]}],"mendeley":{"formattedCitation":"[5]","plainTextFormattedCitation":"[5]","previouslyFormattedCitation":"[5]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[5]</w:t>
      </w:r>
      <w:r w:rsidRPr="00625671">
        <w:rPr>
          <w:rFonts w:eastAsia="SimSun"/>
          <w:szCs w:val="20"/>
          <w:lang w:val="en-GB" w:eastAsia="ko-KR" w:bidi="ar-SA"/>
        </w:rPr>
        <w:fldChar w:fldCharType="end"/>
      </w:r>
      <w:r w:rsidRPr="00625671">
        <w:rPr>
          <w:rFonts w:eastAsia="SimSun"/>
          <w:szCs w:val="20"/>
          <w:lang w:val="en-GB" w:eastAsia="ko-KR" w:bidi="ar-SA"/>
        </w:rPr>
        <w:t xml:space="preserve">, mesoporous carbon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{"citationItems":[{"id":"ITEM-1","itemData":{"DOI":"10.1016/J.JRE.2020.05.006","ISSN":"1002-0721","abstract":"The development of direct methanol fuel cells (DMFCs) is partially limited by the poor kinetics of methanol oxidation reaction (MOR) at the anode side. It was reported that the interaction between Pt and CeO2 enhances the electrocatalytic performance of Pt catalyst for MOR. In this work, a hybrid material (CeO2–C) composed of CeO2 and carbon was successfully prepared by a simple hydrothermal method followed by calcination in inert atmosphere. The hierarchically porous nanostructure and especially good electronic conductivity of CeO2–C make it an excellent support for Pt particles for application in electrocatalytic process. TEM investigation reveals that triple-phase interface of Pt, carbon and CeO2 forms in Pt/CeO2–C catalyst. Performance of the as-prepared catalyst for MOR was studied in alkaline medium. The Pt/CeO2–C catalyst shows superior catalytic performance for MOR compared with Pt/CeO2 and the physical mixture of Pt/CeO2 and acetylene black (Pt/CeO2+C). The significantly improved performance can be attributed to the synergetic effect between Pt particles and CeO2–C support, and the better conductivity of CeO2–C. This study provides a possible method to expand the application potential of CeO2 materials in MOR, and may also be used in other electrocatalytic process.","author":[{"dropping-particle":"","family":"Li","given":"Weili","non-dropping-particle":"","parse-names":false,"suffix":""},{"dropping-particle":"","family":"Wang","given":"Qi","non-dropping-particle":"","parse-names":false,"suffix":""},{"dropping-particle":"","family":"Wang","given":"Lei","non-dropping-particle":"","parse-names":false,"suffix":""},{"dropping-particle":"","family":"Fu","given":"Xian Zhu","non-dropping-particle":"","parse-names":false,"suffix":""},{"dropping-particle":"","family":"Luo","given":"Jing Li","non-dropping-particle":"","parse-names":false,"suffix":""}],"container-title":"Journal of Rare Earths","id":"ITEM-1","issue":"6","issued":{"date-parts":[["2021","6","1"]]},"page":"674-681","publisher":"Elsevier","title":"Mesoporous CeO2–C hybrid spheres as efficient support for platinum nanoparticles towards methanol electrocatalytic oxidation","type":"article-journal","volume":"39"},"uris":["http://www.mendeley.com/documents/?uuid=85192290-19ce-3fd7-a2fe-dfcc4ea74cd9"]}],"mendeley":{"formattedCitation":"[6]","plainTextFormattedCitation":"[6]","previouslyFormattedCitation":"[6]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[6]</w:t>
      </w:r>
      <w:r w:rsidRPr="00625671">
        <w:rPr>
          <w:rFonts w:eastAsia="SimSun"/>
          <w:szCs w:val="20"/>
          <w:lang w:val="en-GB" w:eastAsia="ko-KR" w:bidi="ar-SA"/>
        </w:rPr>
        <w:fldChar w:fldCharType="end"/>
      </w:r>
      <w:r w:rsidRPr="00625671">
        <w:rPr>
          <w:rFonts w:eastAsia="SimSun"/>
          <w:szCs w:val="20"/>
          <w:lang w:val="en-GB" w:eastAsia="ko-KR" w:bidi="ar-SA"/>
        </w:rPr>
        <w:t xml:space="preserve">, graphene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{"citationItems":[{"id":"ITEM-1","itemData":{"DOI":"10.1016/J.JCIS.2021.03.129","ISSN":"0021-9797","abstract":"A perfect PtCu nanocube with partial hollow structure was prepared by hydrothermal reaction and its electrocatalytic methanol oxidation reaction (MOR) was studied. The appropriate concentration of shape-control additives KI and triblock pluronic copolymers, poly(ethylene oxide)-poly(propylene oxide)-poly(ethylene oxide) (PEO19-PPO69-PEO19) (P123) play crucial roles in the final product morphology. The PtCu nanocubes can be perfectly in situ immobilizedonto graphene under the action of P123 while the structure and cubic morphologyremain unchanged. The electrochemical tests suggest that the obtained PtCu nanocube (PtCu-NCb) exhibits better MOR activity and stability than PtCu hexagon nanosheet (PtCu-NSt), PtCu nanoellipsoid (PtCu-NEs) and commercial Pt/C in alkaline medium. When in situ immobilized onto graphene, the MOR catalytic activity and stability of PtCu cubes are further improved. The markedly enhanced electrocatalytic activity and durability maybe attributed to the special cubic morphology with partial hollow structure enclosed by highly efficient facet and the probably the synergistic effect of PtCu and intermediate state CuI decorated on the surface and graphene.","author":[{"dropping-particle":"","family":"Yang","given":"Yi","non-dropping-particle":"","parse-names":false,"suffix":""},{"dropping-particle":"","family":"Guo","given":"Yi Fei","non-dropping-particle":"","parse-names":false,"suffix":""},{"dropping-particle":"","family":"Fu","given":"Ce","non-dropping-particle":"","parse-names":false,"suffix":""},{"dropping-particle":"","family":"Zhang","given":"Rong Hua","non-dropping-particle":"","parse-names":false,"suffix":""},{"dropping-particle":"","family":"Zhan","given":"Wei","non-dropping-particle":"","parse-names":false,"suffix":""},{"dropping-particle":"","family":"Wang","given":"Pan","non-dropping-particle":"","parse-names":false,"suffix":""},{"dropping-particle":"","family":"Zhang","given":"Xin","non-dropping-particle":"","parse-names":false,"suffix":""},{"dropping-particle":"","family":"Wang","given":"Qi","non-dropping-particle":"","parse-names":false,"suffix":""},{"dropping-particle":"","family":"Zhou","given":"Xin Wen","non-dropping-particle":"","parse-names":false,"suffix":""}],"container-title":"Journal of Colloid and Interface Science","id":"ITEM-1","issued":{"date-parts":[["2021","8","1"]]},"page":"107-117","publisher":"Academic Press","title":"In-situ loading synthesis of graphene supported PtCu nanocube and its high activity and stability for methanol oxidation reaction","type":"article-journal","volume":"595"},"uris":["http://www.mendeley.com/documents/?uuid=de2706dc-9917-3f5a-bb1b-3792546292be"]}],"mendeley":{"formattedCitation":"[7]","plainTextFormattedCitation":"[7]","previouslyFormattedCitation":"[7]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[7]</w:t>
      </w:r>
      <w:r w:rsidRPr="00625671">
        <w:rPr>
          <w:rFonts w:eastAsia="SimSun"/>
          <w:szCs w:val="20"/>
          <w:lang w:val="en-GB" w:eastAsia="ko-KR" w:bidi="ar-SA"/>
        </w:rPr>
        <w:fldChar w:fldCharType="end"/>
      </w:r>
      <w:r w:rsidRPr="00625671">
        <w:rPr>
          <w:rFonts w:eastAsia="SimSun"/>
          <w:szCs w:val="20"/>
          <w:lang w:val="en-GB" w:eastAsia="ko-KR" w:bidi="ar-SA"/>
        </w:rPr>
        <w:t xml:space="preserve">, noncarbon materials, and nonconductive whiskers, due to their strong corrosion-resistance, have been explored as carbon alternatives. Graphene is the best candidate for catalyst support in fuel cells because of its chemical resistance, large and sufficient porosity, high conductivity, and diversity of topologies (network, aerogel, foam, etc.)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{"citationItems":[{"id":"ITEM-1","itemData":{"DOI":"10.1039/c9se00460b","ISSN":"23984902","abstract":"Due to the growing demand for energy and impending environmental issues, fuel cells have attracted significant attention as an alternative to conventional energy technologies. As cost is the main inhibitor of this technology, low cost catalysts with high activity and stable catalytic performance are the key to large scale application of fuel cells. The development and recent advancements of Pt and Pt-based electrocatalysts are discussed in this review. Discussion is mainly focused on the structure and composition of Pt and Pt-based electrocatalysts, which significantly affect the catalytic activities and durability of fuel cell catalysts. The electrocatalysts including Pt single metal, Pt-based alloys (including noble alloys, non-noble alloys, metal oxide alloys, and non-metal alloys), and structure-controlled alloys (nanopolyhedra, nanodendrites, and hollow and core-shell structures) were discussed. The activity, stability, and efficiency of Pt and Pt-based catalysts for both the oxygen reduction reaction (ORR) and methanol oxidation reaction (MOR) as well as the correlation between the catalytic performance, structure optimization, and composition modulation of catalysts are also discussed.","author":[{"dropping-particle":"","family":"Ren","given":"Xuefeng","non-dropping-particle":"","parse-names":false,"suffix":""},{"dropping-particle":"","family":"Lv","given":"Qianyuan","non-dropping-particle":"","parse-names":false,"suffix":""},{"dropping-particle":"","family":"Liu","given":"Lifen","non-dropping-particle":"","parse-names":false,"suffix":""},{"dropping-particle":"","family":"Liu","given":"Bihe","non-dropping-particle":"","parse-names":false,"suffix":""},{"dropping-particle":"","family":"Wang","given":"Yiran","non-dropping-particle":"","parse-names":false,"suffix":""},{"dropping-particle":"","family":"Liu","given":"Anmin","non-dropping-particle":"","parse-names":false,"suffix":""},{"dropping-particle":"","family":"Wu","given":"Gang","non-dropping-particle":"","parse-names":false,"suffix":""}],"container-title":"Sustainable Energy and Fuels","id":"ITEM-1","issue":"1","issued":{"date-parts":[["2019","12","18"]]},"page":"15-30","publisher":"Royal Society of Chemistry","title":"Current progress of Pt and Pt-based electrocatalysts used for fuel cells","type":"article-journal","volume":"4"},"uris":["http://www.mendeley.com/documents/?uuid=b383920e-a078-3382-9e4d-2f06120f6209"]}],"mendeley":{"formattedCitation":"[8]","plainTextFormattedCitation":"[8]","previouslyFormattedCitation":"[8]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[8, 9]</w:t>
      </w:r>
      <w:r w:rsidRPr="00625671">
        <w:rPr>
          <w:rFonts w:eastAsia="SimSun"/>
          <w:szCs w:val="20"/>
          <w:lang w:val="en-GB" w:eastAsia="ko-KR" w:bidi="ar-SA"/>
        </w:rPr>
        <w:fldChar w:fldCharType="end"/>
      </w:r>
      <w:r w:rsidRPr="00625671">
        <w:rPr>
          <w:rFonts w:eastAsia="SimSun"/>
          <w:szCs w:val="20"/>
          <w:lang w:val="en-GB" w:eastAsia="ko-KR" w:bidi="ar-SA"/>
        </w:rPr>
        <w:t>. In general, the graphene aerogel (GA), which has a three-dimensional (3D) structure, has received a lot of attention due to its extensive macroporosity and multidimensional electron transport pathways, making it ideal for catalysis and energy storage devices [10, 11]. In the advancement of DMFCs, applying additional materials to the catalyst, including the formation of new hybrid catalysts, has become a trend [4–6]. However, issues such as</w:t>
      </w:r>
      <w:r w:rsidR="00CF07E4">
        <w:rPr>
          <w:rFonts w:eastAsia="SimSun"/>
          <w:szCs w:val="20"/>
          <w:lang w:val="en-GB" w:eastAsia="ko-KR" w:bidi="ar-SA"/>
        </w:rPr>
        <w:t xml:space="preserve"> </w:t>
      </w:r>
      <w:r w:rsidRPr="00625671">
        <w:rPr>
          <w:rFonts w:eastAsia="SimSun"/>
          <w:szCs w:val="20"/>
          <w:lang w:val="en-GB" w:eastAsia="ko-KR" w:bidi="ar-SA"/>
        </w:rPr>
        <w:lastRenderedPageBreak/>
        <w:t>electronic and protonic functioning, poor catalytic activity, stability, and conductivity are still persistent.</w:t>
      </w:r>
    </w:p>
    <w:p w14:paraId="4633BAC3" w14:textId="77777777" w:rsidR="00A40B83" w:rsidRPr="00625671" w:rsidRDefault="00A40B83" w:rsidP="00625671">
      <w:pPr>
        <w:spacing w:after="0"/>
        <w:jc w:val="both"/>
        <w:rPr>
          <w:rFonts w:eastAsia="SimSun"/>
          <w:szCs w:val="20"/>
          <w:lang w:val="en-GB" w:eastAsia="ko-KR" w:bidi="ar-SA"/>
        </w:rPr>
      </w:pPr>
    </w:p>
    <w:p w14:paraId="4990A880"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The most used materials to improve the electrocatalysis of DMFCs are metal oxides. Titanium dioxide (TiO</w:t>
      </w:r>
      <w:r w:rsidRPr="00625671">
        <w:rPr>
          <w:rFonts w:eastAsia="SimSun"/>
          <w:szCs w:val="20"/>
          <w:vertAlign w:val="subscript"/>
          <w:lang w:val="en-GB" w:eastAsia="ko-KR" w:bidi="ar-SA"/>
        </w:rPr>
        <w:t>2</w:t>
      </w:r>
      <w:r w:rsidRPr="00625671">
        <w:rPr>
          <w:rFonts w:eastAsia="SimSun"/>
          <w:szCs w:val="20"/>
          <w:lang w:val="en-GB" w:eastAsia="ko-KR" w:bidi="ar-SA"/>
        </w:rPr>
        <w:t>) is a type of inorganic substance, non-flammable, corrosion-resistant, and fundamentally stable. Furthermore, TiO</w:t>
      </w:r>
      <w:r w:rsidRPr="00625671">
        <w:rPr>
          <w:rFonts w:eastAsia="SimSun"/>
          <w:szCs w:val="20"/>
          <w:vertAlign w:val="subscript"/>
          <w:lang w:val="en-GB" w:eastAsia="ko-KR" w:bidi="ar-SA"/>
        </w:rPr>
        <w:t>2</w:t>
      </w:r>
      <w:r w:rsidRPr="00625671">
        <w:rPr>
          <w:rFonts w:eastAsia="SimSun"/>
          <w:szCs w:val="20"/>
          <w:lang w:val="en-GB" w:eastAsia="ko-KR" w:bidi="ar-SA"/>
        </w:rPr>
        <w:t xml:space="preserve"> crystal structures are thermodynamically stable, contributing to the production of a composite material that is thermally and electrochemically stable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{"citationItems":[{"id":"ITEM-1","itemData":{"DOI":"10.5772/intechopen.69357","abstract":"Abstract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Siwińska-Stefańska","given":"Katarzyna","non-dropping-particle":"","parse-names":false,"suffix":""},{"dropping-particle":"","family":"Jesionowski","given":"Teofil","non-dropping-particle":"","parse-names":false,"suffix":""}],"container-title":"Titanium Dioxide","id":"ITEM-1","issued":{"date-parts":[["2017","7","26"]]},"publisher":"InTech","title":"Advanced Hybrid Materials Based on Titanium Dioxide for Environmental and Electrochemical Applications","type":"chapter"},"uris":["http://www.mendeley.com/documents/?uuid=7b94c388-65a2-4790-b84c-e4b129f7f038"]}],"mendeley":{"formattedCitation":"[12]","plainTextFormattedCitation":"[12]","previouslyFormattedCitation":"[12]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[12]</w:t>
      </w:r>
      <w:r w:rsidRPr="00625671">
        <w:rPr>
          <w:rFonts w:eastAsia="SimSun"/>
          <w:szCs w:val="20"/>
          <w:lang w:val="en-GB" w:eastAsia="ko-KR" w:bidi="ar-SA"/>
        </w:rPr>
        <w:fldChar w:fldCharType="end"/>
      </w:r>
      <w:r w:rsidRPr="00625671">
        <w:rPr>
          <w:rFonts w:eastAsia="SimSun"/>
          <w:szCs w:val="20"/>
          <w:lang w:val="en-GB" w:eastAsia="ko-KR" w:bidi="ar-SA"/>
        </w:rPr>
        <w:t xml:space="preserve">. Anatase stimulates charge carriers deeper within the bulk material, leading more in surface reactions and rising catalytic activity with time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{"citationItems":[{"id":"ITEM-1","itemData":{"DOI":"10.1002/cssc.201500298","ISSN":"1864564X","PMID":"25998373","abstract":"A tale of two polymorphs: Anatase is typically a more effective photocatalyst than rutile, however no consensus exists upon the reasons for this difference. Highlighted is a recent development in this area, which gives new insight into the desorption of reactive species from the surface of anatase and rutile. Following presentation of key methods and results of the highlighted work, the wider implications to other similar semiconductor photocatalysts are considered.","author":[{"dropping-particle":"","family":"Odling","given":"Gylen","non-dropping-particle":"","parse-names":false,"suffix":""},{"dropping-particle":"","family":"Robertson","given":"Neil","non-dropping-particle":"","parse-names":false,"suffix":""}],"container-title":"ChemSusChem","id":"ITEM-1","issue":"11","issued":{"date-parts":[["2015","6","1"]]},"page":"1838-1840","publisher":"Wiley-VCH Verlag","title":"Why is anatase a better photocatalyst than rutile? the importance of free hydroxyl radicals","type":"article-journal","volume":"8"},"uris":["http://www.mendeley.com/documents/?uuid=5086b1e6-b96e-3bc9-8f1c-e55958b522b8"]}],"mendeley":{"formattedCitation":"[13]","plainTextFormattedCitation":"[13]","previouslyFormattedCitation":"[13]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[13]</w:t>
      </w:r>
      <w:r w:rsidRPr="00625671">
        <w:rPr>
          <w:rFonts w:eastAsia="SimSun"/>
          <w:szCs w:val="20"/>
          <w:lang w:val="en-GB" w:eastAsia="ko-KR" w:bidi="ar-SA"/>
        </w:rPr>
        <w:fldChar w:fldCharType="end"/>
      </w:r>
      <w:r w:rsidRPr="00625671">
        <w:rPr>
          <w:rFonts w:eastAsia="SimSun"/>
          <w:szCs w:val="20"/>
          <w:lang w:val="en-GB" w:eastAsia="ko-KR" w:bidi="ar-SA"/>
        </w:rPr>
        <w:t>. Additionally, when the TiO</w:t>
      </w:r>
      <w:r w:rsidRPr="00625671">
        <w:rPr>
          <w:rFonts w:eastAsia="SimSun"/>
          <w:szCs w:val="20"/>
          <w:vertAlign w:val="subscript"/>
          <w:lang w:val="en-GB" w:eastAsia="ko-KR" w:bidi="ar-SA"/>
        </w:rPr>
        <w:t>2</w:t>
      </w:r>
      <w:r w:rsidRPr="00625671">
        <w:rPr>
          <w:rFonts w:eastAsia="SimSun"/>
          <w:szCs w:val="20"/>
          <w:lang w:val="en-GB" w:eastAsia="ko-KR" w:bidi="ar-SA"/>
        </w:rPr>
        <w:t xml:space="preserve"> metal oxide interacts with another component, the electrical behaviour of the materials improves as well. Instead of lowering CO oxidation potentials, this material can also support to increase oxidation activity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{"citationItems":[{"id":"ITEM-1","itemData":{"DOI":"10.1016/j.crgsc.2020.100022","ISSN":"26660865","abstract":"Carbon monoxide (CO) is one of the very poisonous gasses and major sources of CO produced into the environment by the automobile vehicles exhaust. There are various types of catalysts have been used in the catalytic converter for CO oxidation. The titanium dioxide (TiO2) is one of the best transitional metal oxides catalysts for lower temperature CO oxidation. A small amount of TiO2 was deposited on the mesoporous Al2O3 using atomic layer deposition and subsequent oxidation at the different temperatures. The lightly reduced support improves the high catalytic activity of the adparticles, a strongly reduced one quenches the CO oxidation. The quenching is due to thermally activated diffusion of Ti3+ interstitials from the bulk to the surface where they deplete the oxygen adsorbed onto the clusters by the formation of TiOx (x ​</w:instrText>
      </w:r>
      <w:r w:rsidRPr="00625671">
        <w:rPr>
          <w:rFonts w:ascii="Cambria Math" w:eastAsia="SimSun" w:hAnsi="Cambria Math" w:cs="Cambria Math"/>
          <w:szCs w:val="20"/>
          <w:lang w:val="en-GB" w:eastAsia="ko-KR" w:bidi="ar-SA"/>
        </w:rPr>
        <w:instrText>≃</w:instrText>
      </w:r>
      <w:r w:rsidRPr="00625671">
        <w:rPr>
          <w:rFonts w:eastAsia="SimSun"/>
          <w:szCs w:val="20"/>
          <w:lang w:val="en-GB" w:eastAsia="ko-KR" w:bidi="ar-SA"/>
        </w:rPr>
        <w:instrText> ​2) structures. The additions of promoters and support in titanium oxide catalysts improved their performances and reduced their stability. The bulk reduction state of TiO2 strongly affects the catalytic activity of supported metal clusters in the chemical reactions between oxygen and other molecules. The certain attention has been paid on the recovery of TiO2 catalysts from reaction systems and their reuse for various times without losses of catalytic activity in CO oxidation. This investigation will shown scientific basis for potential design of Ti-oxide nano-particle catalysts for lower temperature CO oxidation.","author":[{"dropping-particle":"","family":"Dey","given":"S.","non-dropping-particle":"","parse-names":false,"suffix":""},{"dropping-particle":"","family":"Mehta","given":"Niraj Singh","non-dropping-particle":"","parse-names":false,"suffix":""}],"container-title":"Current Research in Green and Sustainable Chemistry","id":"ITEM-1","issued":{"date-parts":[["2020","6","1"]]},"page":"100022","publisher":"Elsevier BV","title":"Synthesis and applications of titanium oxide catalysts for lower temperature CO oxidation","type":"article-journal","volume":"3"},"uris":["http://www.mendeley.com/documents/?uuid=a2518e3d-e7be-3a7e-b579-c2e58d686dad"]}],"mendeley":{"formattedCitation":"[14]","plainTextFormattedCitation":"[14]","previouslyFormattedCitation":"[14]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[14]</w:t>
      </w:r>
      <w:r w:rsidRPr="00625671">
        <w:rPr>
          <w:rFonts w:eastAsia="SimSun"/>
          <w:szCs w:val="20"/>
          <w:lang w:val="en-GB" w:eastAsia="ko-KR" w:bidi="ar-SA"/>
        </w:rPr>
        <w:fldChar w:fldCharType="end"/>
      </w:r>
      <w:r w:rsidRPr="00625671">
        <w:rPr>
          <w:rFonts w:eastAsia="SimSun"/>
          <w:szCs w:val="20"/>
          <w:lang w:val="en-GB" w:eastAsia="ko-KR" w:bidi="ar-SA"/>
        </w:rPr>
        <w:t>. The metal catalyst is supported by TiO</w:t>
      </w:r>
      <w:r w:rsidRPr="00625671">
        <w:rPr>
          <w:rFonts w:eastAsia="SimSun"/>
          <w:szCs w:val="20"/>
          <w:vertAlign w:val="subscript"/>
          <w:lang w:val="en-GB" w:eastAsia="ko-KR" w:bidi="ar-SA"/>
        </w:rPr>
        <w:t>2</w:t>
      </w:r>
      <w:r w:rsidRPr="00625671">
        <w:rPr>
          <w:rFonts w:eastAsia="SimSun"/>
          <w:szCs w:val="20"/>
          <w:lang w:val="en-GB" w:eastAsia="ko-KR" w:bidi="ar-SA"/>
        </w:rPr>
        <w:t xml:space="preserve">, which impacts the reaction kinetics and mechanism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{"citationItems":[{"id":"ITEM-1","itemData":{"DOI":"10.1155/2014/727496","ISSN":"1537744X","PMID":"25383380","abstract":"The lack of stability is a challenge for most heterogeneous catalysts. During operations, the agglomeration of particles may block the active sites of the catalyst, which is believed to contribute to its instability. Recently, titanium oxide (TiO2) was introduced as an alternative support material for heterogeneous catalyst due to the effect of its high surface area stabilizing the catalysts in its mesoporous structure. TiO2 supported metal catalysts have attracted interest due to TiO2 nanoparticles high activity for various reduction and oxidation reactions at low pressures and temperatures. Furthermore, TiO2 was found to be a good metal oxide catalyst support due to the strong metal support interaction, chemical stability, and acid-base property. The aforementioned properties make heterogeneous TiO2 supported catalysts show a high potential in photocatalyst-related applications, electrodes for wet solar cells, synthesis of fine chemicals, and others. This review focuses on TiO2 as a support material for heterogeneous catalysts and its potential applications.","author":[{"dropping-particle":"","family":"Bagheri","given":"Samira","non-dropping-particle":"","parse-names":false,"suffix":""},{"dropping-particle":"","family":"Muhd Julkapli","given":"Nurhidayatullaili","non-dropping-particle":"","parse-names":false,"suffix":""},{"dropping-particle":"","family":"Bee Abd Hamid","given":"Sharifah","non-dropping-particle":"","parse-names":false,"suffix":""}],"container-title":"Scientific World Journal","id":"ITEM-1","issued":{"date-parts":[["2014"]]},"publisher":"Hindawi Limited","title":"Titanium dioxide as a catalyst support in heterogeneous catalysis","type":"article","volume":"2014"},"uris":["http://www.mendeley.com/documents/?uuid=50113761-507a-3150-a241-8633ddde2ab3"]}],"mendeley":{"formattedCitation":"[15]","plainTextFormattedCitation":"[15]","previouslyFormattedCitation":"[15]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[15]</w:t>
      </w:r>
      <w:r w:rsidRPr="00625671">
        <w:rPr>
          <w:rFonts w:eastAsia="SimSun"/>
          <w:szCs w:val="20"/>
          <w:lang w:val="en-GB" w:eastAsia="ko-KR" w:bidi="ar-SA"/>
        </w:rPr>
        <w:fldChar w:fldCharType="end"/>
      </w:r>
      <w:r w:rsidRPr="00625671">
        <w:rPr>
          <w:rFonts w:eastAsia="SimSun"/>
          <w:szCs w:val="20"/>
          <w:lang w:val="en-GB" w:eastAsia="ko-KR" w:bidi="ar-SA"/>
        </w:rPr>
        <w:t>. TiO</w:t>
      </w:r>
      <w:r w:rsidRPr="00625671">
        <w:rPr>
          <w:rFonts w:eastAsia="SimSun"/>
          <w:szCs w:val="20"/>
          <w:vertAlign w:val="subscript"/>
          <w:lang w:val="en-GB" w:eastAsia="ko-KR" w:bidi="ar-SA"/>
        </w:rPr>
        <w:t>2</w:t>
      </w:r>
      <w:r w:rsidRPr="00625671">
        <w:rPr>
          <w:rFonts w:eastAsia="SimSun"/>
          <w:szCs w:val="20"/>
          <w:lang w:val="en-GB" w:eastAsia="ko-KR" w:bidi="ar-SA"/>
        </w:rPr>
        <w:t xml:space="preserve"> has all the advantages recorded above and it can be used in a variety of industries. Despite these benefits, the low conductivity of material prevents it from being widely used in fuel cell applications.</w:t>
      </w:r>
    </w:p>
    <w:p w14:paraId="4D9D1249" w14:textId="77777777" w:rsidR="00A40B83" w:rsidRPr="00625671" w:rsidRDefault="00A40B83" w:rsidP="00625671">
      <w:pPr>
        <w:spacing w:after="0"/>
        <w:jc w:val="both"/>
        <w:rPr>
          <w:rFonts w:eastAsia="SimSun"/>
          <w:szCs w:val="20"/>
          <w:lang w:val="en-GB" w:eastAsia="ko-KR" w:bidi="ar-SA"/>
        </w:rPr>
      </w:pPr>
    </w:p>
    <w:p w14:paraId="1DD367EB" w14:textId="3F1B9E68" w:rsidR="00A40B83" w:rsidRPr="00625671" w:rsidRDefault="00A40B83" w:rsidP="00625671">
      <w:pPr>
        <w:spacing w:after="0"/>
        <w:jc w:val="both"/>
        <w:rPr>
          <w:rFonts w:eastAsia="TimesNewRomanPSMT"/>
          <w:szCs w:val="20"/>
          <w:lang w:bidi="ar-SA"/>
        </w:rPr>
      </w:pPr>
      <w:r w:rsidRPr="00625671">
        <w:rPr>
          <w:rFonts w:eastAsia="SimSun"/>
          <w:szCs w:val="20"/>
          <w:lang w:val="en-GB" w:eastAsia="ko-KR" w:bidi="ar-SA"/>
        </w:rPr>
        <w:t>Significant loading of a Pt catalyst on TiO</w:t>
      </w:r>
      <w:r w:rsidRPr="00625671">
        <w:rPr>
          <w:rFonts w:eastAsia="SimSun"/>
          <w:szCs w:val="20"/>
          <w:vertAlign w:val="subscript"/>
          <w:lang w:val="en-GB" w:eastAsia="ko-KR" w:bidi="ar-SA"/>
        </w:rPr>
        <w:t>2</w:t>
      </w:r>
      <w:r w:rsidRPr="00625671">
        <w:rPr>
          <w:rFonts w:eastAsia="SimSun"/>
          <w:szCs w:val="20"/>
          <w:lang w:val="en-GB" w:eastAsia="ko-KR" w:bidi="ar-SA"/>
        </w:rPr>
        <w:t xml:space="preserve"> made from an electrically conductive substance like N-doped carbon, as well as the use of sub-stoichiometric TiO</w:t>
      </w:r>
      <w:r w:rsidRPr="00625671">
        <w:rPr>
          <w:rFonts w:eastAsia="SimSun"/>
          <w:szCs w:val="20"/>
          <w:vertAlign w:val="subscript"/>
          <w:lang w:val="en-GB" w:eastAsia="ko-KR" w:bidi="ar-SA"/>
        </w:rPr>
        <w:t>2</w:t>
      </w:r>
      <w:r w:rsidRPr="00625671">
        <w:rPr>
          <w:rFonts w:eastAsia="SimSun"/>
          <w:szCs w:val="20"/>
          <w:lang w:val="en-GB" w:eastAsia="ko-KR" w:bidi="ar-SA"/>
        </w:rPr>
        <w:t xml:space="preserve">, is necessary to overcome this obstacle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In 2018, Abdullah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developed PtRu alloys on a nanofiber catalyst structure with metal oxide as the catalyst support; PtRu/TiO</w:t>
      </w:r>
      <w:r w:rsidRPr="00625671">
        <w:rPr>
          <w:rFonts w:eastAsia="SimSun"/>
          <w:szCs w:val="20"/>
          <w:vertAlign w:val="subscript"/>
          <w:lang w:val="en-GB" w:eastAsia="ko-KR" w:bidi="ar-SA"/>
        </w:rPr>
        <w:t>2</w:t>
      </w:r>
      <w:r w:rsidRPr="00625671">
        <w:rPr>
          <w:rFonts w:eastAsia="SimSun"/>
          <w:szCs w:val="20"/>
          <w:lang w:val="en-GB" w:eastAsia="ko-KR" w:bidi="ar-SA"/>
        </w:rPr>
        <w:t xml:space="preserve">-embedded carbon nanofiber (CNF) (PtRu/TECNF) was designed by Ito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{"citationItems":[{"id":"ITEM-1","itemData":{"DOI":"10.1016/J.JPOWSOUR.2013.05.064","ISSN":"03787753","abstract":"A TiO2-embedded carbon nanofiber (TECNF) was proposed as a promising support of the PtRu nanocatalyst for the methanol oxidation reaction. The nanofiber support was prepared by the electrospinning of polyacrylonitrile (PAN) with TiO2 nanoparticles followed by carbonization and steam activation of the nanofiber, and lastly, the PtRu nanoparticles deposition. Cyclic voltammetry (CV) revealed a significantly high MOR activity for the PtRu/TECNF compared to that of the PtRu nanoparticles deposited on different supports, i.e., carbon black (C), TiO2 nanoparticles (TiO 2), a mixture of these nanoparticles (C + TiO2) and carbon nanofiber (CNF). The MOR activity was high in the order of PtRu/TECNF &gt; PtRu/CNF &gt; PtRu/(C + TiO2) &gt; PtRu/C &gt;&gt; PtRu/TiO 2. The activity of PtRu/TECNF increased with an increase in the weight ratio of Ti/C for TECNF up to 1.0 and then decreased. The MOR mass activity of PtRu/TECNF at the optimum Ti/C ratio was 4 times higher than that of PtRu/C. The ultrahigh catalytic activity of PtRu/TECNF is attributed to the metal-support interaction, which efficiently occurs at the PtRu/TECNF structure. The ultrahigh catalytic activity was also confirmed by the two-times higher DMFC power output using PtRu/TECNF, in spite of quarter the PtRu loading on the electrode, compared to that using the commercial PtRu/C. © 2013 Elsevier B.V. All rights reserved.","author":[{"dropping-particle":"","family":"Ito","given":"Yudai","non-dropping-particle":"","parse-names":false,"suffix":""},{"dropping-particle":"","family":"Takeuchi","given":"Taizo","non-dropping-particle":"","parse-names":false,"suffix":""},{"dropping-particle":"","family":"Tsujiguchi","given":"Takuya","non-dropping-particle":"","parse-names":false,"suffix":""},{"dropping-particle":"","family":"Abdelkareem","given":"Mohammad Ali","non-dropping-particle":"","parse-names":false,"suffix":""},{"dropping-particle":"","family":"Nakagawa","given":"Nobuyoshi","non-dropping-particle":"","parse-names":false,"suffix":""}],"id":"ITEM-1","issued":{"date-parts":[["2013"]]},"page":"280-288","title":"Ultrahigh methanol electro-oxidation activity of PtRu nanoparticles prepared on TiO2-embedded carbon nanofiber support","type":"article-journal","volume":"242"},"uris":["http://www.mendeley.com/documents/?uuid=b81e00aa-ac7f-4ab3-8d77-676f3d233eef"]}],"mendeley":{"formattedCitation":"[17]","plainTextFormattedCitation":"[17]","previouslyFormattedCitation":"[17]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[17]</w:t>
      </w:r>
      <w:r w:rsidRPr="00625671">
        <w:rPr>
          <w:rFonts w:eastAsia="SimSun"/>
          <w:szCs w:val="20"/>
          <w:lang w:val="en-GB" w:eastAsia="ko-KR" w:bidi="ar-SA"/>
        </w:rPr>
        <w:fldChar w:fldCharType="end"/>
      </w:r>
      <w:r w:rsidRPr="00625671">
        <w:rPr>
          <w:rFonts w:eastAsia="SimSun"/>
          <w:szCs w:val="20"/>
          <w:lang w:val="en-GB" w:eastAsia="ko-KR" w:bidi="ar-SA"/>
        </w:rPr>
        <w:t xml:space="preserve">, and Ercelik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{"citationItems":[{"id":"ITEM-1","itemData":{"DOI":"10.1016/J.IJHYDENE.2016.12.020","ISSN":"0360-3199","abstract":"In this study, the effect of introduction of titania (TiO2) material into Pt[sbnd]Ru/C anode electrocatalyst on the performance of direct methanol fuel cells (DMFCs) was investigated. TiO2 materials were first synthesized applying a sol–gel method and then incorporated directly into commercial Pt[sbnd]Ru/C anode electrocatalyst with different TiO2 weight ratios (5, 15, and 25 wt.%) to improve the performance of the DMFC. For comparison, the anode electrocatalysts with the same TiO2 weight ratios were also prepared using commercial TiO2 materials. The performance tests of the DMFCs based on these composite anode electrocatalysts were conducted and their performances were also compared to that of a DMFC based on a traditional anode electrocatalyst (Pt[sbnd]Ru/C) under various operating conditions. In addition, 4 h short-term stability tests were conducted for all the manufactured DMFCs. The highest power densities were found as 705.12 W/m2 and 709.32 W/m2 at 80 °C and 1 M for the DMFCs based on Pt[sbnd]Ru/C[sbnd]TiO2 anode electrocatalysts containing 5 wt.% of commercial and in-house TiO2, respectively. The results of the short-term stability tests showed that introduction of 5 wt.% of commercial TiO2 into commercial Pt[sbnd]Ru/C anode electrocatalyst improved its stability characteristics significantly.","author":[{"dropping-particle":"","family":"Ercelik","given":"Mustafa","non-dropping-particle":"","parse-names":false,"suffix":""},{"dropping-particle":"","family":"Ozden","given":"Adnan","non-dropping-particle":"","parse-names":false,"suffix":""},{"dropping-particle":"","family":"Seker","given":"Erol","non-dropping-particle":"","parse-names":false,"suffix":""},{"dropping-particle":"","family":"Colpan","given":"C. Ozgur","non-dropping-particle":"","parse-names":false,"suffix":""}],"container-title":"International Journal of Hydrogen Energy","id":"ITEM-1","issue":"33","issued":{"date-parts":[["2017","8","17"]]},"page":"21518-21529","publisher":"Pergamon","title":"Characterization and performance evaluation of PtRu/CTiO2 anode electrocatalyst for DMFC applications","type":"article-journal","volume":"42"},"uris":["http://www.mendeley.com/documents/?uuid=09df4630-9c97-49e7-bb97-963c3511dc9b"]}],"mendeley":{"formattedCitation":"[18]","plainTextFormattedCitation":"[18]","previouslyFormattedCitation":"[18]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[18]</w:t>
      </w:r>
      <w:r w:rsidRPr="00625671">
        <w:rPr>
          <w:rFonts w:eastAsia="SimSun"/>
          <w:szCs w:val="20"/>
          <w:lang w:val="en-GB" w:eastAsia="ko-KR" w:bidi="ar-SA"/>
        </w:rPr>
        <w:fldChar w:fldCharType="end"/>
      </w:r>
      <w:r w:rsidRPr="00625671">
        <w:rPr>
          <w:rFonts w:eastAsia="SimSun"/>
          <w:szCs w:val="20"/>
          <w:lang w:val="en-GB" w:eastAsia="ko-KR" w:bidi="ar-SA"/>
        </w:rPr>
        <w:t xml:space="preserve"> demonstrated PtRu/ C-TiO</w:t>
      </w:r>
      <w:r w:rsidRPr="00625671">
        <w:rPr>
          <w:rFonts w:eastAsia="SimSun"/>
          <w:szCs w:val="20"/>
          <w:vertAlign w:val="subscript"/>
          <w:lang w:val="en-GB" w:eastAsia="ko-KR" w:bidi="ar-SA"/>
        </w:rPr>
        <w:t>2</w:t>
      </w:r>
      <w:r w:rsidRPr="00625671">
        <w:rPr>
          <w:rFonts w:eastAsia="SimSun"/>
          <w:szCs w:val="20"/>
          <w:lang w:val="en-GB" w:eastAsia="ko-KR" w:bidi="ar-SA"/>
        </w:rPr>
        <w:t xml:space="preserve"> as an electrocatalyst in DMFC technology; the result indicated that the performance of this new composite electrocatalyst was superior to PtRu catalyst. The above-mentioned performance is due to the homogeneous dispersion of PtRu nanoparticles on the support material. Consequently, combining a powerful PtRu catalyst with a rational TiO</w:t>
      </w:r>
      <w:r w:rsidRPr="00625671">
        <w:rPr>
          <w:rFonts w:eastAsia="SimSun"/>
          <w:szCs w:val="20"/>
          <w:vertAlign w:val="subscript"/>
          <w:lang w:val="en-GB" w:eastAsia="ko-KR" w:bidi="ar-SA"/>
        </w:rPr>
        <w:t>2</w:t>
      </w:r>
      <w:r w:rsidRPr="00625671">
        <w:rPr>
          <w:rFonts w:eastAsia="SimSun"/>
          <w:szCs w:val="20"/>
          <w:lang w:val="en-GB" w:eastAsia="ko-KR" w:bidi="ar-SA"/>
        </w:rPr>
        <w:t xml:space="preserve"> and graphene aerogel structure has </w:t>
      </w:r>
      <w:r w:rsidRPr="00625671">
        <w:rPr>
          <w:rFonts w:eastAsia="TimesNewRomanPSMT"/>
          <w:szCs w:val="20"/>
          <w:lang w:bidi="ar-SA"/>
        </w:rPr>
        <w:t>unique properties and high surface area, it has developed as the latest support material, with the possibility to increase electrocatalytic activity in MOR.</w:t>
      </w:r>
    </w:p>
    <w:p w14:paraId="2198DFAA" w14:textId="714EC995" w:rsidR="00F26913" w:rsidRDefault="00F26913" w:rsidP="00A40B83">
      <w:pPr>
        <w:spacing w:after="0"/>
        <w:jc w:val="both"/>
        <w:rPr>
          <w:rFonts w:eastAsia="SimSun"/>
          <w:szCs w:val="20"/>
          <w:lang w:val="en-GB" w:eastAsia="ko-KR" w:bidi="ar-SA"/>
        </w:rPr>
      </w:pPr>
    </w:p>
    <w:p w14:paraId="76985655" w14:textId="77777777" w:rsidR="00CF07E4" w:rsidRPr="00A40B83" w:rsidRDefault="00CF07E4" w:rsidP="00A40B83">
      <w:pPr>
        <w:spacing w:after="0"/>
        <w:jc w:val="both"/>
        <w:rPr>
          <w:rFonts w:eastAsia="SimSun"/>
          <w:szCs w:val="20"/>
          <w:lang w:val="en-GB" w:eastAsia="ko-KR" w:bidi="ar-SA"/>
        </w:rPr>
      </w:pPr>
    </w:p>
    <w:p w14:paraId="7077AA92"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Materials and Methods</w:t>
      </w:r>
    </w:p>
    <w:p w14:paraId="39D78652" w14:textId="77777777" w:rsidR="00A40B83" w:rsidRPr="00A40B83" w:rsidRDefault="00A40B83" w:rsidP="00F26913">
      <w:pPr>
        <w:spacing w:after="0"/>
        <w:jc w:val="both"/>
        <w:rPr>
          <w:rFonts w:eastAsia="SimSun"/>
          <w:b/>
          <w:szCs w:val="20"/>
          <w:lang w:val="en-GB" w:eastAsia="ko-KR" w:bidi="ar-SA"/>
        </w:rPr>
      </w:pPr>
      <w:r w:rsidRPr="00A40B83">
        <w:rPr>
          <w:rFonts w:eastAsia="SimSun"/>
          <w:b/>
          <w:szCs w:val="20"/>
          <w:lang w:val="en-GB" w:eastAsia="ko-KR" w:bidi="ar-SA"/>
        </w:rPr>
        <w:t>Preparation of TiO</w:t>
      </w:r>
      <w:r w:rsidRPr="00A40B83">
        <w:rPr>
          <w:rFonts w:eastAsia="SimSun"/>
          <w:b/>
          <w:szCs w:val="20"/>
          <w:vertAlign w:val="subscript"/>
          <w:lang w:val="en-GB" w:eastAsia="ko-KR" w:bidi="ar-SA"/>
        </w:rPr>
        <w:t>2</w:t>
      </w:r>
      <w:r w:rsidRPr="00A40B83">
        <w:rPr>
          <w:rFonts w:eastAsia="SimSun"/>
          <w:b/>
          <w:szCs w:val="20"/>
          <w:lang w:val="en-GB" w:eastAsia="ko-KR" w:bidi="ar-SA"/>
        </w:rPr>
        <w:t>-GA and electrocatalyst</w:t>
      </w:r>
    </w:p>
    <w:p w14:paraId="1C48C531"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was produced hydrothermally, then freeze-dried in a typical experiment. Firstly, 20 mg of TiO</w:t>
      </w:r>
      <w:r w:rsidRPr="00A40B83">
        <w:rPr>
          <w:rFonts w:eastAsia="SimSun"/>
          <w:szCs w:val="20"/>
          <w:vertAlign w:val="subscript"/>
          <w:lang w:val="en-GB" w:eastAsia="ko-KR" w:bidi="ar-SA"/>
        </w:rPr>
        <w:t>2</w:t>
      </w:r>
      <w:r w:rsidRPr="00A40B83">
        <w:rPr>
          <w:rFonts w:eastAsia="SimSun"/>
          <w:szCs w:val="20"/>
          <w:lang w:val="en-GB" w:eastAsia="ko-KR" w:bidi="ar-SA"/>
        </w:rPr>
        <w:t xml:space="preserve"> were homogeneously disseminated into 10 mL of GO solution (2 mg/mL) using moderate ultrasonication for 2 hours. After that, the solution was placed in a 50mL of Teflon-lined autoclave and kept at 200°C for 12 hours. To make a TiO</w:t>
      </w:r>
      <w:r w:rsidRPr="00A40B83">
        <w:rPr>
          <w:rFonts w:eastAsia="SimSun"/>
          <w:szCs w:val="20"/>
          <w:vertAlign w:val="subscript"/>
          <w:lang w:val="en-GB" w:eastAsia="ko-KR" w:bidi="ar-SA"/>
        </w:rPr>
        <w:t>2</w:t>
      </w:r>
      <w:r w:rsidRPr="00A40B83">
        <w:rPr>
          <w:rFonts w:eastAsia="SimSun"/>
          <w:szCs w:val="20"/>
          <w:lang w:val="en-GB" w:eastAsia="ko-KR" w:bidi="ar-SA"/>
        </w:rPr>
        <w:t>-GA composite, the produced TiO</w:t>
      </w:r>
      <w:r w:rsidRPr="00A40B83">
        <w:rPr>
          <w:rFonts w:eastAsia="SimSun"/>
          <w:szCs w:val="20"/>
          <w:vertAlign w:val="subscript"/>
          <w:lang w:val="en-GB" w:eastAsia="ko-KR" w:bidi="ar-SA"/>
        </w:rPr>
        <w:t>2</w:t>
      </w:r>
      <w:r w:rsidRPr="00A40B83">
        <w:rPr>
          <w:rFonts w:eastAsia="SimSun"/>
          <w:szCs w:val="20"/>
          <w:lang w:val="en-GB" w:eastAsia="ko-KR" w:bidi="ar-SA"/>
        </w:rPr>
        <w:t>-graphene hydrogel was thoroughly rinsed with deionized water before being freeze-dried for 24 hours. The steps of TiO</w:t>
      </w:r>
      <w:r w:rsidRPr="00A40B83">
        <w:rPr>
          <w:rFonts w:eastAsia="SimSun"/>
          <w:szCs w:val="20"/>
          <w:vertAlign w:val="subscript"/>
          <w:lang w:val="en-GB" w:eastAsia="ko-KR" w:bidi="ar-SA"/>
        </w:rPr>
        <w:t>2</w:t>
      </w:r>
      <w:r w:rsidRPr="00A40B83">
        <w:rPr>
          <w:rFonts w:eastAsia="SimSun"/>
          <w:szCs w:val="20"/>
          <w:lang w:val="en-GB" w:eastAsia="ko-KR" w:bidi="ar-SA"/>
        </w:rPr>
        <w:t>-GA production are depicted schematically in Figure 1.</w:t>
      </w:r>
    </w:p>
    <w:p w14:paraId="2EC1B4A1" w14:textId="77777777" w:rsidR="00A40B83" w:rsidRPr="00A40B83" w:rsidRDefault="00A40B83" w:rsidP="00F26913">
      <w:pPr>
        <w:spacing w:after="0"/>
        <w:jc w:val="both"/>
        <w:rPr>
          <w:rFonts w:eastAsia="SimSun"/>
          <w:szCs w:val="20"/>
          <w:lang w:val="en-GB" w:eastAsia="ko-KR" w:bidi="ar-SA"/>
        </w:rPr>
      </w:pPr>
    </w:p>
    <w:p w14:paraId="583B576F" w14:textId="7555E355" w:rsid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For electrocatalyst synthesis, a microwave-assisted alcohol reduction approach was used. The optimal TiO</w:t>
      </w:r>
      <w:r w:rsidRPr="00A40B83">
        <w:rPr>
          <w:rFonts w:eastAsia="SimSun"/>
          <w:szCs w:val="20"/>
          <w:vertAlign w:val="subscript"/>
          <w:lang w:val="en-GB" w:eastAsia="ko-KR" w:bidi="ar-SA"/>
        </w:rPr>
        <w:t>2</w:t>
      </w:r>
      <w:r w:rsidRPr="00A40B83">
        <w:rPr>
          <w:rFonts w:eastAsia="SimSun"/>
          <w:szCs w:val="20"/>
          <w:lang w:val="en-GB" w:eastAsia="ko-KR" w:bidi="ar-SA"/>
        </w:rPr>
        <w:t>-GA support doped with PtRu catalyst was chosen specifically for this study. On TiO</w:t>
      </w:r>
      <w:r w:rsidRPr="00A40B83">
        <w:rPr>
          <w:rFonts w:eastAsia="SimSun"/>
          <w:szCs w:val="20"/>
          <w:vertAlign w:val="subscript"/>
          <w:lang w:val="en-GB" w:eastAsia="ko-KR" w:bidi="ar-SA"/>
        </w:rPr>
        <w:t>2</w:t>
      </w:r>
      <w:r w:rsidRPr="00A40B83">
        <w:rPr>
          <w:rFonts w:eastAsia="SimSun"/>
          <w:szCs w:val="20"/>
          <w:lang w:val="en-GB" w:eastAsia="ko-KR" w:bidi="ar-SA"/>
        </w:rPr>
        <w:t>-GA support, 20 wt.% Pt-Ru with an atomic ratio of 1:1 was loaded. To begin, Ethylene Glycol (EG) solutions were combined with ruthenium chloride precursors and chloroplatinic acid precursors, and were homogenized for 15 minutes. After that, the TiO</w:t>
      </w:r>
      <w:r w:rsidRPr="00A40B83">
        <w:rPr>
          <w:rFonts w:eastAsia="SimSun"/>
          <w:szCs w:val="20"/>
          <w:vertAlign w:val="subscript"/>
          <w:lang w:val="en-GB" w:eastAsia="ko-KR" w:bidi="ar-SA"/>
        </w:rPr>
        <w:t>2</w:t>
      </w:r>
      <w:r w:rsidRPr="00A40B83">
        <w:rPr>
          <w:rFonts w:eastAsia="SimSun"/>
          <w:szCs w:val="20"/>
          <w:lang w:val="en-GB" w:eastAsia="ko-KR" w:bidi="ar-SA"/>
        </w:rPr>
        <w:t>-GA powder that had been produced was mixed into the cooperation precursor solutions and agitated for 30 minutes to ensure that everything was well mixed. After that, the pH of the solution was adjusted to 10 using a 1 M NaOH solution. In addition, the mixture was microwaved for 1 minute, and was left to accomplish the reduction process for 1 minute twice. Finally, before being dried in a 120 °C oven for 3 hours, the sample was filtered and rinsed a few times with ethanol and DI water to remove the impurities.</w:t>
      </w:r>
    </w:p>
    <w:p w14:paraId="7AFF1E33" w14:textId="28368124" w:rsidR="00F44F14" w:rsidRDefault="00F44F14" w:rsidP="00F26913">
      <w:pPr>
        <w:spacing w:after="0"/>
        <w:jc w:val="both"/>
        <w:rPr>
          <w:rFonts w:eastAsia="SimSun"/>
          <w:szCs w:val="20"/>
          <w:lang w:val="en-GB" w:eastAsia="ko-KR" w:bidi="ar-SA"/>
        </w:rPr>
      </w:pPr>
    </w:p>
    <w:p w14:paraId="32667691" w14:textId="77777777" w:rsidR="00F44F14" w:rsidRPr="00A40B83" w:rsidRDefault="00F44F14" w:rsidP="00F26913">
      <w:pPr>
        <w:spacing w:after="0"/>
        <w:jc w:val="both"/>
        <w:rPr>
          <w:rFonts w:eastAsia="SimSun"/>
          <w:b/>
          <w:szCs w:val="20"/>
          <w:lang w:val="en-GB" w:bidi="ar-SA"/>
        </w:rPr>
      </w:pPr>
      <w:r w:rsidRPr="00A40B83">
        <w:rPr>
          <w:rFonts w:eastAsia="SimSun"/>
          <w:b/>
          <w:szCs w:val="20"/>
          <w:lang w:val="en-GB" w:bidi="ar-SA"/>
        </w:rPr>
        <w:t>Characterizations</w:t>
      </w:r>
    </w:p>
    <w:p w14:paraId="1183FB8C" w14:textId="77777777" w:rsidR="00E42F2B" w:rsidRDefault="00F44F14" w:rsidP="00F26913">
      <w:pPr>
        <w:spacing w:after="0"/>
        <w:jc w:val="both"/>
        <w:rPr>
          <w:rFonts w:eastAsia="TimesNewRomanPSMT"/>
          <w:szCs w:val="20"/>
          <w:lang w:val="en-GB" w:eastAsia="ko-KR" w:bidi="ar-SA"/>
        </w:rPr>
        <w:sectPr w:rsidR="00E42F2B" w:rsidSect="00E42F2B">
          <w:footerReference w:type="default" r:id="rId17"/>
          <w:type w:val="continuous"/>
          <w:pgSz w:w="12240" w:h="15840" w:code="1"/>
          <w:pgMar w:top="1800" w:right="1469" w:bottom="1699" w:left="1440" w:header="706" w:footer="706" w:gutter="0"/>
          <w:pgNumType w:start="1"/>
          <w:cols w:num="2" w:space="403"/>
          <w:docGrid w:linePitch="360"/>
        </w:sectPr>
      </w:pPr>
      <w:r w:rsidRPr="00A40B83">
        <w:rPr>
          <w:rFonts w:eastAsia="TimesNewRomanPSMT"/>
          <w:szCs w:val="20"/>
          <w:lang w:val="en-GB" w:eastAsia="ko-KR" w:bidi="ar-SA"/>
        </w:rPr>
        <w:t>To prove crystallinity in the manufactured tests for characterization uses, X-ray Diffraction (XRD) is a powerful physical description method. Using a D8 Advance/Bruker, AXS Germany model, all fabricated tests were examined at 2</w:t>
      </w:r>
      <w:r w:rsidRPr="00A40B83">
        <w:rPr>
          <w:rFonts w:eastAsia="TimesNewRomanPSMT"/>
          <w:i/>
          <w:iCs/>
          <w:szCs w:val="20"/>
          <w:lang w:val="en-GB" w:eastAsia="ko-KR" w:bidi="ar-SA"/>
        </w:rPr>
        <w:t>θ</w:t>
      </w:r>
      <w:r w:rsidRPr="00A40B83">
        <w:rPr>
          <w:rFonts w:eastAsia="TimesNewRomanPSMT"/>
          <w:szCs w:val="20"/>
          <w:lang w:val="en-GB" w:eastAsia="ko-KR" w:bidi="ar-SA"/>
        </w:rPr>
        <w:t xml:space="preserve"> from 5° to 100°. Moreover, the degree of graphitization was described using Raman spectrum analysis. The surface morphology and forms of the samples were explored using a Field Emission Scanning Electron Microscope (FESEM).</w:t>
      </w:r>
    </w:p>
    <w:p w14:paraId="3FC9958F" w14:textId="125EDEC1" w:rsidR="0004342C" w:rsidRDefault="00A40B83" w:rsidP="00CF07E4">
      <w:pPr>
        <w:spacing w:after="120"/>
        <w:jc w:val="center"/>
        <w:rPr>
          <w:rFonts w:eastAsia="SimSun"/>
          <w:szCs w:val="20"/>
          <w:lang w:eastAsia="ko-KR" w:bidi="ar-SA"/>
        </w:rPr>
      </w:pPr>
      <w:r>
        <w:rPr>
          <w:rFonts w:eastAsia="SimSun"/>
          <w:noProof/>
          <w:szCs w:val="20"/>
          <w:lang w:eastAsia="ko-KR" w:bidi="ar-SA"/>
        </w:rPr>
        <w:lastRenderedPageBreak/>
        <w:drawing>
          <wp:inline distT="0" distB="0" distL="0" distR="0" wp14:anchorId="6E7F833A" wp14:editId="32AB3F81">
            <wp:extent cx="4377055" cy="1993265"/>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7055" cy="1993265"/>
                    </a:xfrm>
                    <a:prstGeom prst="rect">
                      <a:avLst/>
                    </a:prstGeom>
                    <a:noFill/>
                  </pic:spPr>
                </pic:pic>
              </a:graphicData>
            </a:graphic>
          </wp:inline>
        </w:drawing>
      </w:r>
    </w:p>
    <w:p w14:paraId="7AF187EF" w14:textId="47A2565F" w:rsidR="00A40B83" w:rsidRDefault="00A40B83" w:rsidP="00A40B8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xml:space="preserve">. </w:t>
      </w:r>
      <w:r w:rsidR="00CF07E4">
        <w:rPr>
          <w:rFonts w:eastAsia="SimSun"/>
          <w:szCs w:val="20"/>
          <w:lang w:eastAsia="ko-KR" w:bidi="ar-SA"/>
        </w:rPr>
        <w:t xml:space="preserve"> </w:t>
      </w:r>
      <w:r w:rsidRPr="00A40B83">
        <w:rPr>
          <w:rFonts w:eastAsia="SimSun"/>
          <w:szCs w:val="20"/>
          <w:lang w:eastAsia="ko-KR" w:bidi="ar-SA"/>
        </w:rPr>
        <w:t>Design of the preparation of TiO</w:t>
      </w:r>
      <w:r w:rsidRPr="00A40B83">
        <w:rPr>
          <w:rFonts w:eastAsia="SimSun"/>
          <w:szCs w:val="20"/>
          <w:vertAlign w:val="subscript"/>
          <w:lang w:eastAsia="ko-KR" w:bidi="ar-SA"/>
        </w:rPr>
        <w:t>2</w:t>
      </w:r>
      <w:r w:rsidRPr="00A40B83">
        <w:rPr>
          <w:rFonts w:eastAsia="SimSun"/>
          <w:szCs w:val="20"/>
          <w:lang w:eastAsia="ko-KR" w:bidi="ar-SA"/>
        </w:rPr>
        <w:t>-GA composite</w:t>
      </w:r>
    </w:p>
    <w:p w14:paraId="55274D96" w14:textId="77777777" w:rsidR="00A40B83" w:rsidRPr="00A40B83" w:rsidRDefault="00A40B83" w:rsidP="00A40B83">
      <w:pPr>
        <w:spacing w:after="0"/>
        <w:jc w:val="both"/>
        <w:rPr>
          <w:rFonts w:eastAsia="TimesNewRomanPSMT"/>
          <w:szCs w:val="20"/>
          <w:lang w:val="en-GB" w:eastAsia="ko-KR" w:bidi="ar-SA"/>
        </w:rPr>
      </w:pPr>
    </w:p>
    <w:p w14:paraId="3B5F6FE9" w14:textId="77777777" w:rsidR="008D4C96" w:rsidRDefault="008D4C96" w:rsidP="00A40B83">
      <w:pPr>
        <w:spacing w:after="0"/>
        <w:jc w:val="both"/>
        <w:rPr>
          <w:rFonts w:eastAsia="SimSun"/>
          <w:b/>
          <w:szCs w:val="20"/>
          <w:lang w:val="en-GB" w:bidi="ar-SA"/>
        </w:rPr>
      </w:pPr>
    </w:p>
    <w:p w14:paraId="158A28BF" w14:textId="39D855C6" w:rsidR="00CF07E4" w:rsidRDefault="00CF07E4" w:rsidP="00A40B83">
      <w:pPr>
        <w:spacing w:after="0"/>
        <w:jc w:val="both"/>
        <w:rPr>
          <w:rFonts w:eastAsia="SimSun"/>
          <w:b/>
          <w:szCs w:val="20"/>
          <w:lang w:val="en-GB" w:bidi="ar-SA"/>
        </w:rPr>
        <w:sectPr w:rsidR="00CF07E4" w:rsidSect="00E42F2B">
          <w:footerReference w:type="even" r:id="rId19"/>
          <w:type w:val="evenPage"/>
          <w:pgSz w:w="12240" w:h="15840" w:code="1"/>
          <w:pgMar w:top="1800" w:right="1469" w:bottom="1699" w:left="1440" w:header="706" w:footer="706" w:gutter="0"/>
          <w:pgNumType w:start="1"/>
          <w:cols w:space="708"/>
          <w:docGrid w:linePitch="360"/>
        </w:sectPr>
      </w:pPr>
    </w:p>
    <w:p w14:paraId="5FD857D2" w14:textId="77777777" w:rsidR="00A40B83" w:rsidRPr="00A40B83" w:rsidRDefault="00A40B83" w:rsidP="00F26913">
      <w:pPr>
        <w:spacing w:after="0"/>
        <w:jc w:val="both"/>
        <w:rPr>
          <w:rFonts w:eastAsia="SimSun"/>
          <w:b/>
          <w:szCs w:val="20"/>
          <w:lang w:val="en-GB" w:bidi="ar-SA"/>
        </w:rPr>
      </w:pPr>
      <w:r w:rsidRPr="00A40B83">
        <w:rPr>
          <w:rFonts w:eastAsia="SimSun"/>
          <w:b/>
          <w:szCs w:val="20"/>
          <w:lang w:val="en-GB" w:bidi="ar-SA"/>
        </w:rPr>
        <w:t>Electrochemical characterization and performance test</w:t>
      </w:r>
    </w:p>
    <w:p w14:paraId="09ADF573" w14:textId="77777777" w:rsidR="00A40B83" w:rsidRPr="00A40B83" w:rsidRDefault="00A40B83" w:rsidP="00F26913">
      <w:pPr>
        <w:spacing w:after="0"/>
        <w:jc w:val="both"/>
        <w:rPr>
          <w:rFonts w:eastAsia="Calibri"/>
          <w:szCs w:val="20"/>
          <w:lang w:val="en-GB" w:bidi="ar-SA"/>
        </w:rPr>
      </w:pPr>
      <w:r w:rsidRPr="00A40B83">
        <w:rPr>
          <w:rFonts w:eastAsia="TimesNewRomanPSMT"/>
          <w:szCs w:val="20"/>
          <w:lang w:val="en-GB" w:eastAsia="ko-KR" w:bidi="ar-SA"/>
        </w:rPr>
        <w:t>In a 0.5 M H</w:t>
      </w:r>
      <w:r w:rsidRPr="00A40B83">
        <w:rPr>
          <w:rFonts w:eastAsia="TimesNewRomanPSMT"/>
          <w:szCs w:val="20"/>
          <w:vertAlign w:val="subscript"/>
          <w:lang w:val="en-GB" w:eastAsia="ko-KR" w:bidi="ar-SA"/>
        </w:rPr>
        <w:t>2</w:t>
      </w:r>
      <w:r w:rsidRPr="00A40B83">
        <w:rPr>
          <w:rFonts w:eastAsia="TimesNewRomanPSMT"/>
          <w:szCs w:val="20"/>
          <w:lang w:val="en-GB" w:eastAsia="ko-KR" w:bidi="ar-SA"/>
        </w:rPr>
        <w:t>SO</w:t>
      </w:r>
      <w:r w:rsidRPr="00A40B83">
        <w:rPr>
          <w:rFonts w:eastAsia="TimesNewRomanPSMT"/>
          <w:szCs w:val="20"/>
          <w:vertAlign w:val="subscript"/>
          <w:lang w:val="en-GB" w:eastAsia="ko-KR" w:bidi="ar-SA"/>
        </w:rPr>
        <w:t xml:space="preserve">4 </w:t>
      </w:r>
      <w:r w:rsidRPr="00A40B83">
        <w:rPr>
          <w:rFonts w:eastAsia="TimesNewRomanPSMT"/>
          <w:szCs w:val="20"/>
          <w:lang w:val="en-GB" w:eastAsia="ko-KR" w:bidi="ar-SA"/>
        </w:rPr>
        <w:t xml:space="preserve">the electrocatalyst performance was estimated by determining the electrochemical surface area, ECSA, cyclic voltammetry (CV), and </w:t>
      </w:r>
      <w:r w:rsidRPr="00A40B83">
        <w:rPr>
          <w:rFonts w:eastAsia="Calibri"/>
          <w:szCs w:val="20"/>
          <w:lang w:val="en-GB" w:bidi="ar-SA"/>
        </w:rPr>
        <w:t>catalyst stability measured with a chronoamperometry (CA) test</w:t>
      </w:r>
      <w:r w:rsidRPr="00A40B83">
        <w:rPr>
          <w:rFonts w:eastAsia="TimesNewRomanPSMT"/>
          <w:szCs w:val="20"/>
          <w:lang w:val="en-GB" w:eastAsia="ko-KR" w:bidi="ar-SA"/>
        </w:rPr>
        <w:t>. Three-electrode cell systems were used at room temperature: a working electrode with a glassy carbon electrode (3 mm Ø), reference electrodes noted as Ag/AgCl electrodes, and counter platinum-based electrode. Furthermore, 3 mg of electrocatalyst of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and commercial catalyst were dispersed in 150 mL DI water, 150 mL IPA, and 50 mL Nafion (5 wt.%) solution to make the electrocatalyst ink for the working electrode. On the glassy electrode, there was a catalyst loading of 0.0503 mg cm</w:t>
      </w:r>
      <w:r w:rsidRPr="00A40B83">
        <w:rPr>
          <w:rFonts w:eastAsia="TimesNewRomanPSMT"/>
          <w:szCs w:val="20"/>
          <w:vertAlign w:val="superscript"/>
          <w:lang w:val="en-GB" w:eastAsia="ko-KR" w:bidi="ar-SA"/>
        </w:rPr>
        <w:t>-2</w:t>
      </w:r>
      <w:r w:rsidRPr="00A40B83">
        <w:rPr>
          <w:rFonts w:eastAsia="TimesNewRomanPSMT"/>
          <w:szCs w:val="20"/>
          <w:lang w:val="en-GB" w:eastAsia="ko-KR" w:bidi="ar-SA"/>
        </w:rPr>
        <w:t>. The CV was measured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with potentials ranging from -0.2 to 1.0 V vs. Ag/AgCl. Note that in this analysis, the potentials ranged from -0.2 to 1.0 V vs. Ag/AgCl, while CV was recorded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The long- term performance of all electrocatalysts was assessed using chronoamperometry (CA) in the electrolyte solution at a potential of 0.6 V for 2000 s.</w:t>
      </w:r>
    </w:p>
    <w:p w14:paraId="71ADEE4D" w14:textId="77777777" w:rsidR="00A40B83" w:rsidRPr="00A40B83" w:rsidRDefault="00A40B83" w:rsidP="00CF07E4">
      <w:pPr>
        <w:spacing w:after="0"/>
        <w:jc w:val="center"/>
        <w:rPr>
          <w:rFonts w:eastAsia="SimSun"/>
          <w:b/>
          <w:bCs/>
          <w:szCs w:val="20"/>
          <w:lang w:eastAsia="ko-KR" w:bidi="ar-SA"/>
        </w:rPr>
      </w:pPr>
    </w:p>
    <w:p w14:paraId="389C02A6"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Results and Discussion</w:t>
      </w:r>
    </w:p>
    <w:p w14:paraId="541E6BC0" w14:textId="62D327BD" w:rsidR="00A40B83" w:rsidRDefault="00A40B83" w:rsidP="00F26913">
      <w:pPr>
        <w:spacing w:after="0"/>
        <w:jc w:val="both"/>
        <w:rPr>
          <w:rFonts w:eastAsia="TimesNewRomanPSMT"/>
          <w:szCs w:val="20"/>
          <w:lang w:val="en-GB" w:eastAsia="ko-KR" w:bidi="ar-SA"/>
        </w:rPr>
      </w:pPr>
      <w:r w:rsidRPr="00A40B83">
        <w:rPr>
          <w:rFonts w:eastAsia="TimesNewRomanPSMT"/>
          <w:szCs w:val="20"/>
          <w:lang w:val="en-GB" w:eastAsia="ko-KR" w:bidi="ar-SA"/>
        </w:rPr>
        <w:t>The crystal structure and pattern of the built catalyst support and electrocatalyst were investigated using XRD analysis. As a result,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support was synthesized by hydrothermal at 200 °C. The microwave-assisted alcohol reduction approach was used to make the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PtRu/C marketable. The </w:t>
      </w:r>
      <w:r w:rsidRPr="00A40B83">
        <w:rPr>
          <w:rFonts w:eastAsia="SimSun"/>
          <w:szCs w:val="20"/>
          <w:lang w:val="en-GB" w:eastAsia="ko-KR" w:bidi="ar-SA"/>
        </w:rPr>
        <w:t xml:space="preserve">analysis </w:t>
      </w:r>
      <w:r w:rsidRPr="00A40B83">
        <w:rPr>
          <w:rFonts w:eastAsia="SimSun"/>
          <w:szCs w:val="20"/>
          <w:lang w:val="en-GB" w:eastAsia="ko-KR" w:bidi="ar-SA"/>
        </w:rPr>
        <w:t>of the diffraction peak for the associated sample and comparative samples of XRD pattern for PtRu/TiO</w:t>
      </w:r>
      <w:r w:rsidRPr="00A40B83">
        <w:rPr>
          <w:rFonts w:eastAsia="SimSun"/>
          <w:szCs w:val="20"/>
          <w:vertAlign w:val="subscript"/>
          <w:lang w:val="en-GB" w:eastAsia="ko-KR" w:bidi="ar-SA"/>
        </w:rPr>
        <w:t>2</w:t>
      </w:r>
      <w:r w:rsidRPr="00A40B83">
        <w:rPr>
          <w:rFonts w:eastAsia="SimSun"/>
          <w:i/>
          <w:iCs/>
          <w:szCs w:val="20"/>
          <w:lang w:val="en-GB" w:eastAsia="ko-KR" w:bidi="ar-SA"/>
        </w:rPr>
        <w:t>-</w:t>
      </w:r>
      <w:r w:rsidRPr="00A40B83">
        <w:rPr>
          <w:rFonts w:eastAsia="SimSun"/>
          <w:szCs w:val="20"/>
          <w:lang w:val="en-GB" w:eastAsia="ko-KR" w:bidi="ar-SA"/>
        </w:rPr>
        <w:t xml:space="preserve">GA electrocatalyst is shown in Figure 2(a). </w:t>
      </w:r>
      <w:r w:rsidRPr="00A40B83">
        <w:rPr>
          <w:rFonts w:eastAsia="TimesNewRomanPSMT"/>
          <w:szCs w:val="20"/>
          <w:lang w:val="en-GB" w:eastAsia="ko-KR" w:bidi="ar-SA"/>
        </w:rPr>
        <w:t>Peaks at 25.3°, 37.8°, 48.0°, 53.9°, 55.1°, 62.7°, 68.8°, 70.3°, and 75.0° are indexed to (101), (004), (200), (105), (211), (204), (116), (220), and (215) crystal planes of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 anatase, respectively based on XRD examination for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support sample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{"citationItems":[{"id":"ITEM-1","itemData":{"DOI":"10.1016/j.electacta.2015.01.012","ISSN":"00134686","abstract":"TiO2 nanorod/graphene oxide (TiO2 nanorod/GO) composites with different TiO2/GO weight ratios were successfully prepared by self-assembly of GO and ready-made TiO2 nanorods under room temperature conditions. TiO2 nanorods were synthesized via the hydrothermal method, and GO was obtained via a modified Hummers method. X-ray diffraction, atomic force microscopy, and high-resolution transmission electron microscopy indicated that rutile TiO2 nanorods were loaded on the GO nanosheet without obvious aggregation. The electrochemical performance of the TiO2 nanorod/GO composites was confirmed by cyclic voltammetry, galvanostatic charge-discharge, and electrochemical impedance spectroscopy in 1 mol L-1 Na2SO4 aqueous electrolyte. The ratio of TiO2 nanorods to GO in composite materials has significant influence on electrochemical performance of composite electrodes. TiO2 nanorod/GO composites with 4.00 wt.% GO have excellent electrochemical performance. The maximum specific capacitance of this composite electrode was 100 F g-1 at 5 mV s-1 scan rate. The TiO2 nanorod/GO composites also exhibited good electrochemical stability with a capacitance degradation of less than 20% over 3000 cycles. The electrochemical performance of the as-prepared nanocomposites could be enhanced by increasing chemical interactions between TiO2 and GO.","author":[{"dropping-particle":"","family":"Liu","given":"Ruirui","non-dropping-particle":"","parse-names":false,"suffix":""},{"dropping-particle":"","family":"Guo","given":"Wenjun","non-dropping-particle":"","parse-names":false,"suffix":""},{"dropping-particle":"","family":"Sun","given":"Bin","non-dropping-particle":"","parse-names":false,"suffix":""},{"dropping-particle":"","family":"Pang","given":"Jinli","non-dropping-particle":"","parse-names":false,"suffix":""},{"dropping-particle":"","family":"Pei","given":"Meishan","non-dropping-particle":"","parse-names":false,"suffix":""},{"dropping-particle":"","family":"Zhou","given":"Guowei","non-dropping-particle":"","parse-names":false,"suffix":""}],"container-title":"Electrochimica Acta","id":"ITEM-1","issued":{"date-parts":[["2015","2","20"]]},"page":"274-282","publisher":"Elsevier Ltd","title":"Composites of rutile TiO2 nanorods loaded on graphene oxide nanosheet with enhanced electrochemical performance","type":"article-journal","volume":"156"},"uris":["http://www.mendeley.com/documents/?uuid=8a915e56-98fc-3490-9333-31b833a85818"]}],"mendeley":{"formattedCitation":"[19]","plainTextFormattedCitation":"[19]","previouslyFormattedCitation":"[19]"},"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[19, 20]</w:t>
      </w:r>
      <w:r w:rsidRPr="00A40B83">
        <w:rPr>
          <w:rFonts w:eastAsia="SimSun"/>
          <w:szCs w:val="20"/>
          <w:lang w:val="en-GB" w:eastAsia="ko-KR" w:bidi="ar-SA"/>
        </w:rPr>
        <w:fldChar w:fldCharType="end"/>
      </w:r>
      <w:r w:rsidRPr="00A40B83">
        <w:rPr>
          <w:rFonts w:eastAsia="TimesNewRomanPSMT"/>
          <w:szCs w:val="20"/>
          <w:lang w:val="en-GB" w:eastAsia="ko-KR" w:bidi="ar-SA"/>
        </w:rPr>
        <w: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hydrothermal at 200 °C was chosen as the best-produced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was doped with PtRu catalyst. </w:t>
      </w:r>
      <w:r w:rsidRPr="00A40B83">
        <w:rPr>
          <w:rFonts w:eastAsia="TimesNewRomanPSMT"/>
          <w:szCs w:val="20"/>
          <w:lang w:val="en-GB" w:bidi="ar-SA"/>
        </w:rPr>
        <w:t>The XRD results for the synthesized PtRu/</w:t>
      </w:r>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w:t>
      </w:r>
      <w:r w:rsidRPr="00A40B83">
        <w:rPr>
          <w:rFonts w:eastAsia="TimesNewRomanPSMT"/>
          <w:szCs w:val="20"/>
          <w:lang w:val="en-GB" w:bidi="ar-SA"/>
        </w:rPr>
        <w:t xml:space="preserve"> showed the presence of all particles, PtRu, and C support. </w:t>
      </w:r>
      <w:r w:rsidRPr="00A40B83">
        <w:rPr>
          <w:rFonts w:eastAsia="SimSun"/>
          <w:szCs w:val="20"/>
          <w:lang w:val="en-GB" w:eastAsia="ko-KR" w:bidi="ar-SA"/>
        </w:rPr>
        <w:t>The Pt particles peaked at 39.7° (111), 46.2° (200), 67. 5° (220), and 81.3° (311). The diffraction peaks for Ru were 40.7° (111), 47° (200), 69° (220), and 83.7° (311)</w:t>
      </w:r>
      <w:r w:rsidRPr="00A40B83">
        <w:rPr>
          <w:rFonts w:eastAsia="TimesNewRomanPSMT"/>
          <w:szCs w:val="20"/>
          <w:lang w:val="en-GB" w:eastAsia="ko-KR" w:bidi="ar-SA"/>
        </w:rPr>
        <w:t xml:space="preserve">. The structure of both metals was cubic, and in the electrocatalyst sample, high Bragg angles were detected in the range of 25°–60°, indicating that the catalyst possessed bimetallic or alloy interaction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{"citationItems":[{"id":"ITEM-1","itemData":{"DOI":"10.1016/S0169-4332(03)00841-9","ISSN":"01694332","abstract":"An X-ray diffraction study was carried out on powders of a series of catalysts prepared from aqueous solutions of H 2 PtCl 6 and PdCl 4 and amorphous SiO 2 with different concentrations in weight of Pt and Pd at about 4% in overall metallic weight. Measurements of the position of high angle Bragg reflections in the diffractograms show evidence of the fact that the small catalyst particles are bi-metallic Pt-Pd crystals having a face-centred cubic Bravais lattice. The lattice constant of these crystals was found to change with the relative concentration of Pt and Pd by following the Vegard's rule. This correlation leads to the conclusion that the bi-metallic catalyst particles are made of a single solid solution of Pt and Pd atoms in the whole range of relative concentrations. Relative concentrations of these metals in the samples under study were determined by using energy dispersive X-ray spectrometry and their values were found to be close to the stochiometric relative concentrations in weight of the metals in the precursor aqueous solution. An average size of about 96Å was estimated for the bi-metallic particles from the full-width at half-maximum value measured for the (2 0 0) diffractometric curve. © 2003 Elsevier B.V. All rights reserved.","author":[{"dropping-particle":"","family":"Cordero-Borboa","given":"A. E.","non-dropping-particle":"","parse-names":false,"suffix":""},{"dropping-particle":"","family":"Sterling-Black","given":"E.","non-dropping-particle":"","parse-names":false,"suffix":""},{"dropping-particle":"","family":"Gómez-Cortés","given":"A.","non-dropping-particle":"","parse-names":false,"suffix":""},{"dropping-particle":"","family":"Vázquez-Zavala","given":"A.","non-dropping-particle":"","parse-names":false,"suffix":""}],"container-title":"Applied Surface Science","id":"ITEM-1","issue":"1-4","issued":{"date-parts":[["2003","12","30"]]},"page":"169-174","publisher":"Elsevier","title":"X-ray diffraction evidence of the single solid solution character of bi-metallic Pt-Pd catalyst particles on an amorphous SiO 2 substrate","type":"article-journal","volume":"220"},"uris":["http://www.mendeley.com/documents/?uuid=3842fbb7-080a-391b-92c7-b2ae45ec3aff"]}],"mendeley":{"formattedCitation":"[21]","plainTextFormattedCitation":"[21]","previouslyFormattedCitation":"[21]"},"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[21]</w:t>
      </w:r>
      <w:r w:rsidRPr="00A40B83">
        <w:rPr>
          <w:rFonts w:eastAsia="SimSun"/>
          <w:szCs w:val="20"/>
          <w:lang w:val="en-GB" w:eastAsia="ko-KR" w:bidi="ar-SA"/>
        </w:rPr>
        <w:fldChar w:fldCharType="end"/>
      </w:r>
      <w:r w:rsidRPr="00A40B83">
        <w:rPr>
          <w:rFonts w:eastAsia="SimSun"/>
          <w:szCs w:val="20"/>
          <w:lang w:val="en-GB" w:eastAsia="ko-KR" w:bidi="ar-SA"/>
        </w:rPr>
        <w:t xml:space="preserve">. </w:t>
      </w:r>
      <w:r w:rsidRPr="00A40B83">
        <w:rPr>
          <w:rFonts w:eastAsia="TimesNewRomanPSMT"/>
          <w:szCs w:val="20"/>
          <w:lang w:val="en-GB" w:eastAsia="ko-KR" w:bidi="ar-SA"/>
        </w:rPr>
        <w:t>Additionally, the estimated crystallite size of PtRu was computed using Scherrer's equation, which revealed that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particles were smaller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than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PtRu/C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particles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{"citationItems":[{"id":"ITEM-1","itemData":{"DOI":"10.17586/2220-8054-2018-9-3-364-369","abstract":"The lower limit of the applicability of the Scherrer formula has been established by calculating the diffraction patterns from model nanoparticles by the Debye formula. Particle size was calculated using the Scherrer formula for different hkl-peaks. The obtained data of particle sizes were compared with \"real\" sizes of model particles in the same hkl-directions. The form-factor K hkl was analyzed as main correction of Scherrer formula. It was shown that the Scherrer formula error increases nonlinearly at particle sizes less than 4 nm. For any hkl direction, the absolute error of average particle size determination using formula does not exceed 0.3 nm. Analysis shows that average particle size can be determined by Scherrer formula from single diffraction peak of experimental pattern for center-symmetrical particles.","author":[{"dropping-particle":"","family":"Vorokh","given":"A.S.","non-dropping-particle":"","parse-names":false,"suffix":""}],"container-title":"Nanosystems: Physics, Chemistry, Mathematics","id":"ITEM-1","issued":{"date-parts":[["2018","6","24"]]},"page":"364-369","publisher":"ITMO University","title":"Scherrer formula: estimation of error in determining small nanoparticle size","type":"article-journal"},"uris":["http://www.mendeley.com/documents/?uuid=d18693be-2282-37b3-88a3-146a5970cc05"]}],"mendeley":{"formattedCitation":"[22]","plainTextFormattedCitation":"[22]","previouslyFormattedCitation":"[22]"},"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[22]</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w:t>
      </w:r>
      <w:r w:rsidR="00CF07E4">
        <w:rPr>
          <w:rFonts w:eastAsia="TimesNewRomanPSMT"/>
          <w:szCs w:val="20"/>
          <w:lang w:val="en-GB" w:eastAsia="ko-KR" w:bidi="ar-SA"/>
        </w:rPr>
        <w:t xml:space="preserve">   </w:t>
      </w:r>
      <w:r w:rsidRPr="00A40B83">
        <w:rPr>
          <w:rFonts w:eastAsia="TimesNewRomanPSMT"/>
          <w:szCs w:val="20"/>
          <w:lang w:val="en-GB" w:eastAsia="ko-KR" w:bidi="ar-SA"/>
        </w:rPr>
        <w:t>As</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 shown in Table 1, the particle size of Pt and Ru can also be predicted using the crystallite size. In general, smaller particles perform better in MOR electrocatalysis reactions than larger particles, since smaller catalyst particles contribute to a higher particle surface area. Furthermore, the smaller catalyst particle size may allow for a reduction in the use of Pt in electrocatalyst, as well as a reduction in the overall cost of DMFC production. The decreased size of PtRu particles found in the </w:t>
      </w:r>
      <w:r w:rsidRPr="00A40B83">
        <w:rPr>
          <w:rFonts w:eastAsia="TimesNewRomanPSMT"/>
          <w:szCs w:val="20"/>
          <w:lang w:val="en-GB" w:eastAsia="ko-KR" w:bidi="ar-SA"/>
        </w:rPr>
        <w:lastRenderedPageBreak/>
        <w:t>electrocatalyst sample could potentially be due to the lower crystalline structure.</w:t>
      </w:r>
    </w:p>
    <w:p w14:paraId="21B1D093" w14:textId="77777777" w:rsidR="0004342C" w:rsidRDefault="0004342C" w:rsidP="00F26913">
      <w:pPr>
        <w:spacing w:after="0"/>
        <w:jc w:val="both"/>
        <w:rPr>
          <w:rFonts w:eastAsia="TimesNewRomanPSMT"/>
          <w:szCs w:val="20"/>
          <w:lang w:val="en-GB" w:eastAsia="ko-KR" w:bidi="ar-SA"/>
        </w:rPr>
      </w:pPr>
    </w:p>
    <w:p w14:paraId="7327A0DB" w14:textId="3BC563C4" w:rsidR="00F26913" w:rsidRPr="00F26913" w:rsidRDefault="00F26913" w:rsidP="00F26913">
      <w:pPr>
        <w:spacing w:after="0"/>
        <w:jc w:val="both"/>
        <w:rPr>
          <w:rFonts w:eastAsia="SimSun"/>
          <w:szCs w:val="20"/>
          <w:lang w:val="en-GB" w:eastAsia="ko-KR" w:bidi="ar-SA"/>
        </w:rPr>
      </w:pPr>
      <w:r w:rsidRPr="00A40B83">
        <w:rPr>
          <w:rFonts w:eastAsia="SimSun"/>
          <w:szCs w:val="20"/>
          <w:shd w:val="clear" w:color="auto" w:fill="FFFFFF"/>
          <w:lang w:val="en-GB" w:eastAsia="ko-KR" w:bidi="ar-SA"/>
        </w:rPr>
        <w:t>In terms of the chemical and structural information offered by the shift in wavelength of inelastically scattered radiation,</w:t>
      </w:r>
      <w:r w:rsidRPr="00A40B83">
        <w:rPr>
          <w:rFonts w:eastAsia="TimesNewRomanPSMT"/>
          <w:szCs w:val="20"/>
          <w:lang w:val="en-GB" w:eastAsia="ko-KR" w:bidi="ar-SA"/>
        </w:rPr>
        <w:t xml:space="preserve"> the D and G bands were 1350 and 1590 cm</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The two separate peaks in the Raman spectra for the samples in Figure 2(b) indicated that the D band was linked to crystal boundary vibrations and the G band reflected perfect sp2 vibrations of graphitic crystals. </w:t>
      </w:r>
      <w:r w:rsidRPr="00A40B83">
        <w:rPr>
          <w:rFonts w:eastAsia="Calibri"/>
          <w:szCs w:val="20"/>
          <w:lang w:val="en-GB" w:bidi="ar-SA"/>
        </w:rPr>
        <w:t>From the Raman spectrum analysis</w:t>
      </w:r>
      <w:r w:rsidRPr="00A40B83">
        <w:rPr>
          <w:rFonts w:eastAsia="TimesNewRomanPSMT"/>
          <w:szCs w:val="20"/>
          <w:lang w:val="en-GB" w:eastAsia="ko-KR" w:bidi="ar-SA"/>
        </w:rPr>
        <w:t>, the intensity ratio of the D to G band (</w:t>
      </w:r>
      <w:r w:rsidRPr="00A40B83">
        <w:rPr>
          <w:rFonts w:eastAsia="Calibri"/>
          <w:szCs w:val="20"/>
          <w:lang w:val="en-GB" w:bidi="ar-SA"/>
        </w:rPr>
        <w:t>I</w:t>
      </w:r>
      <w:r w:rsidRPr="00A40B83">
        <w:rPr>
          <w:rFonts w:eastAsia="Calibri"/>
          <w:szCs w:val="20"/>
          <w:vertAlign w:val="subscript"/>
          <w:lang w:val="en-GB" w:bidi="ar-SA"/>
        </w:rPr>
        <w:t>D</w:t>
      </w:r>
      <w:r w:rsidRPr="00A40B83">
        <w:rPr>
          <w:rFonts w:eastAsia="Calibri"/>
          <w:szCs w:val="20"/>
          <w:lang w:val="en-GB" w:bidi="ar-SA"/>
        </w:rPr>
        <w:t>/I</w:t>
      </w:r>
      <w:r w:rsidRPr="00A40B83">
        <w:rPr>
          <w:rFonts w:eastAsia="Calibri"/>
          <w:szCs w:val="20"/>
          <w:vertAlign w:val="subscript"/>
          <w:lang w:val="en-GB" w:bidi="ar-SA"/>
        </w:rPr>
        <w:t>G</w:t>
      </w:r>
      <w:r w:rsidRPr="00A40B83">
        <w:rPr>
          <w:rFonts w:eastAsia="TimesNewRomanPSMT"/>
          <w:szCs w:val="20"/>
          <w:lang w:val="en-GB" w:eastAsia="ko-KR" w:bidi="ar-SA"/>
        </w:rPr>
        <w:t xml:space="preserve">) had a </w:t>
      </w:r>
      <w:r w:rsidRPr="00A40B83">
        <w:rPr>
          <w:rFonts w:eastAsia="SimSun"/>
          <w:szCs w:val="20"/>
          <w:lang w:val="en-GB" w:eastAsia="ko-KR" w:bidi="ar-SA"/>
        </w:rPr>
        <w:t>descending order:</w:t>
      </w:r>
      <w:r w:rsidRPr="00A40B83">
        <w:rPr>
          <w:rFonts w:eastAsia="TimesNewRomanPSMT"/>
          <w:szCs w:val="20"/>
          <w:lang w:val="en-GB" w:eastAsia="ko-KR" w:bidi="ar-SA"/>
        </w:rPr>
        <w:t xml:space="preserve"> </w:t>
      </w: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(1.02), PtRu/ TiO</w:t>
      </w:r>
      <w:r w:rsidRPr="00A40B83">
        <w:rPr>
          <w:rFonts w:eastAsia="SimSun"/>
          <w:szCs w:val="20"/>
          <w:vertAlign w:val="subscript"/>
          <w:lang w:val="en-GB" w:eastAsia="ko-KR" w:bidi="ar-SA"/>
        </w:rPr>
        <w:t>2</w:t>
      </w:r>
      <w:r w:rsidRPr="00A40B83">
        <w:rPr>
          <w:rFonts w:eastAsia="SimSun"/>
          <w:szCs w:val="20"/>
          <w:lang w:val="en-GB" w:eastAsia="ko-KR" w:bidi="ar-SA"/>
        </w:rPr>
        <w:t>-GA (0.99) and PtRu/C (0.98). The band fluctuated depending on the relative intensity of the D and G bands on the type of graphite material, and it could be used to estimate the degree of graphitization</w:t>
      </w:r>
      <w:r w:rsidRPr="00A40B83">
        <w:rPr>
          <w:rFonts w:eastAsia="SimSun"/>
          <w:szCs w:val="20"/>
          <w:shd w:val="clear" w:color="auto" w:fill="FFFFFF"/>
          <w:lang w:val="en-GB" w:eastAsia="ko-KR" w:bidi="ar-SA"/>
        </w:rPr>
        <w:t>.</w:t>
      </w:r>
      <w:r w:rsidRPr="00A40B83">
        <w:rPr>
          <w:rFonts w:eastAsia="SimSun"/>
          <w:szCs w:val="20"/>
          <w:lang w:val="en-GB" w:eastAsia="ko-KR" w:bidi="ar-SA"/>
        </w:rPr>
        <w:t xml:space="preserve"> The I</w:t>
      </w:r>
      <w:r w:rsidRPr="00A40B83">
        <w:rPr>
          <w:rFonts w:eastAsia="SimSun"/>
          <w:szCs w:val="20"/>
          <w:vertAlign w:val="subscript"/>
          <w:lang w:val="en-GB" w:eastAsia="ko-KR" w:bidi="ar-SA"/>
        </w:rPr>
        <w:t>D</w:t>
      </w:r>
      <w:r w:rsidRPr="00A40B83">
        <w:rPr>
          <w:rFonts w:eastAsia="SimSun"/>
          <w:szCs w:val="20"/>
          <w:lang w:val="en-GB" w:eastAsia="ko-KR" w:bidi="ar-SA"/>
        </w:rPr>
        <w:t>/I</w:t>
      </w:r>
      <w:r w:rsidRPr="00A40B83">
        <w:rPr>
          <w:rFonts w:eastAsia="SimSun"/>
          <w:szCs w:val="20"/>
          <w:vertAlign w:val="subscript"/>
          <w:lang w:val="en-GB" w:eastAsia="ko-KR" w:bidi="ar-SA"/>
        </w:rPr>
        <w:t>G</w:t>
      </w:r>
      <w:r w:rsidRPr="00A40B83">
        <w:rPr>
          <w:rFonts w:eastAsia="SimSun"/>
          <w:szCs w:val="20"/>
          <w:lang w:val="en-GB" w:eastAsia="ko-KR" w:bidi="ar-SA"/>
        </w:rPr>
        <w:t xml:space="preserve"> ratio observed in this work showed that the aerogel was successfully achieved after the catalyst was disseminated at 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{"citationItems":[{"id":"ITEM-1","itemData":{"DOI":"10.1016/j.carbon.2007.02.034","ISSN":"00086223","abstract":"Reduction of a colloidal suspension of exfoliated graphene oxide sheets in water with hydrazine hydrate results in their aggregation and subsequent formation of a high-surface-area carbon material which consists of thin graphene-based sheets. The reduced material was characterized by elemental analysis, thermo-gravimetric analysis, scanning electron microscopy, X-ray photoelectron spectroscopy, NMR spectroscopy, Raman spectroscopy, and by electrical conductivity measurements. © 2007 Elsevier Ltd. All rights reserved.","author":[{"dropping-particle":"","family":"Stankovich","given":"Sasha","non-dropping-particle":"","parse-names":false,"suffix":""},{"dropping-particle":"","family":"Dikin","given":"Dmitriy A.","non-dropping-particle":"","parse-names":false,"suffix":""},{"dropping-particle":"","family":"Piner","given":"Richard D.","non-dropping-particle":"","parse-names":false,"suffix":""},{"dropping-particle":"","family":"Kohlhaas","given":"Kevin A.","non-dropping-particle":"","parse-names":false,"suffix":""},{"dropping-particle":"","family":"Kleinhammes","given":"Alfred","non-dropping-particle":"","parse-names":false,"suffix":""},{"dropping-particle":"","family":"Jia","given":"Yuanyuan","non-dropping-particle":"","parse-names":false,"suffix":""},{"dropping-particle":"","family":"Wu","given":"Yue","non-dropping-particle":"","parse-names":false,"suffix":""},{"dropping-particle":"","family":"Nguyen","given":"Son Binh T.","non-dropping-particle":"","parse-names":false,"suffix":""},{"dropping-particle":"","family":"Ruoff","given":"Rodney S.","non-dropping-particle":"","parse-names":false,"suffix":""}],"container-title":"Carbon","id":"ITEM-1","issue":"7","issued":{"date-parts":[["2007","6","1"]]},"page":"1558-1565","title":"Synthesis of graphene-based nanosheets via chemical reduction of exfoliated graphite oxide","type":"article-journal","volume":"45"},"uris":["http://www.mendeley.com/documents/?uuid=22cf2c3e-37ba-458f-a2f9-ec085256a22f"]},{"id":"ITEM-2","itemData":{"DOI":"10.1002/adma.201001068","ISSN":"09359648","PMID":"20706983","abstract":"There is intense interest in graphene in fields such as physics, chemistry, and materials science, among others. Interest in graphene's exceptional physical properties, chemical tunability, and potential for applications has generated thousands of publications and an accelerating pace of research, making review of such research timely. Here is an overview of the synthesis, properties, and applications of graphene and related materials (primarily, graphite oxide and its colloidal suspensions and materials made from them), from a materials science perspective. © 2010 WILEY-VCH Verlag GmbH &amp; Co. KGaA.","author":[{"dropping-particle":"","family":"Zhu","given":"Yanwu","non-dropping-particle":"","parse-names":false,"suffix":""},{"dropping-particle":"","family":"Murali","given":"Shanthi","non-dropping-particle":"","parse-names":false,"suffix":""},{"dropping-particle":"","family":"Cai","given":"Weiwei","non-dropping-particle":"","parse-names":false,"suffix":""},{"dropping-particle":"","family":"Li","given":"Xuesong","non-dropping-particle":"","parse-names":false,"suffix":""},{"dropping-particle":"","family":"Suk","given":"Ji Won","non-dropping-particle":"","parse-names":false,"suffix":""},{"dropping-particle":"","family":"Potts","given":"Jeffrey R.","non-dropping-particle":"","parse-names":false,"suffix":""},{"dropping-particle":"","family":"Ruoff","given":"Rodney S.","non-dropping-particle":"","parse-names":false,"suffix":""}],"container-title":"Advanced Materials","id":"ITEM-2","issue":"35","issued":{"date-parts":[["2010","9","15"]]},"page":"3906-3924","publisher":"John Wiley &amp; Sons, Ltd","title":"Graphene and graphene oxide: Synthesis, properties, and applications","type":"article-journal","volume":"22"},"uris":["http://www.mendeley.com/documents/?uuid=dc9a43f8-63f9-331e-aee8-e528700ebdb1"]}],"mendeley":{"formattedCitation":"[23], [24]","plainTextFormattedCitation":"[23], [24]","previouslyFormattedCitation":"[23], [24]"},"properties":{"noteIndex":0},"schema":"https://github.com/citation-style-language/schema/raw/master/csl-citation.json"}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[23], [24]</w:t>
      </w:r>
      <w:r w:rsidRPr="00A40B83">
        <w:rPr>
          <w:rFonts w:eastAsia="SimSun"/>
          <w:szCs w:val="20"/>
          <w:lang w:val="en-GB" w:eastAsia="ko-KR" w:bidi="ar-SA"/>
        </w:rPr>
        <w:fldChar w:fldCharType="end"/>
      </w:r>
      <w:r w:rsidRPr="00A40B83">
        <w:rPr>
          <w:rFonts w:eastAsia="SimSun"/>
          <w:szCs w:val="20"/>
          <w:lang w:val="en-GB" w:eastAsia="ko-KR" w:bidi="ar-SA"/>
        </w:rPr>
        <w:t>. Ultimately, in the disintegrated region and structure of TiO</w:t>
      </w:r>
      <w:r w:rsidRPr="00A40B83">
        <w:rPr>
          <w:rFonts w:eastAsia="SimSun"/>
          <w:szCs w:val="20"/>
          <w:vertAlign w:val="subscript"/>
          <w:lang w:val="en-GB" w:eastAsia="ko-KR" w:bidi="ar-SA"/>
        </w:rPr>
        <w:t>2</w:t>
      </w:r>
      <w:r w:rsidRPr="00A40B83">
        <w:rPr>
          <w:rFonts w:eastAsia="SimSun"/>
          <w:szCs w:val="20"/>
          <w:lang w:val="en-GB" w:eastAsia="ko-KR" w:bidi="ar-SA"/>
        </w:rPr>
        <w:t xml:space="preserve">-GA, the carbon layer in these electrocatalysis samples was not significantly different. The weak </w:t>
      </w:r>
      <w:r w:rsidRPr="00A40B83">
        <w:rPr>
          <w:rFonts w:eastAsia="SimSun"/>
          <w:szCs w:val="20"/>
          <w:lang w:val="en-GB" w:eastAsia="ko-KR" w:bidi="ar-SA"/>
        </w:rPr>
        <w:t>Raman shift bands at 152 cm</w:t>
      </w:r>
      <w:r w:rsidRPr="00A40B83">
        <w:rPr>
          <w:rFonts w:eastAsia="SimSun"/>
          <w:szCs w:val="20"/>
          <w:vertAlign w:val="superscript"/>
          <w:lang w:val="en-GB" w:eastAsia="ko-KR" w:bidi="ar-SA"/>
        </w:rPr>
        <w:t>-1</w:t>
      </w:r>
      <w:r w:rsidRPr="00A40B83">
        <w:rPr>
          <w:rFonts w:eastAsia="SimSun"/>
          <w:szCs w:val="20"/>
          <w:lang w:val="en-GB" w:eastAsia="ko-KR" w:bidi="ar-SA"/>
        </w:rPr>
        <w:t xml:space="preserve"> and 154 cm</w:t>
      </w:r>
      <w:r w:rsidRPr="00A40B83">
        <w:rPr>
          <w:rFonts w:eastAsia="SimSun"/>
          <w:szCs w:val="20"/>
          <w:vertAlign w:val="superscript"/>
          <w:lang w:val="en-GB" w:eastAsia="ko-KR" w:bidi="ar-SA"/>
        </w:rPr>
        <w:t>-1</w:t>
      </w:r>
      <w:r w:rsidRPr="00A40B83">
        <w:rPr>
          <w:rFonts w:eastAsia="SimSun"/>
          <w:szCs w:val="20"/>
          <w:lang w:val="en-GB" w:eastAsia="ko-KR" w:bidi="ar-SA"/>
        </w:rPr>
        <w:t xml:space="preserve"> were identified in TiO</w:t>
      </w:r>
      <w:r w:rsidRPr="00A40B83">
        <w:rPr>
          <w:rFonts w:eastAsia="SimSun"/>
          <w:szCs w:val="20"/>
          <w:vertAlign w:val="subscript"/>
          <w:lang w:val="en-GB" w:eastAsia="ko-KR" w:bidi="ar-SA"/>
        </w:rPr>
        <w:t>2</w:t>
      </w:r>
      <w:r w:rsidRPr="00A40B83">
        <w:rPr>
          <w:rFonts w:eastAsia="SimSun"/>
          <w:szCs w:val="20"/>
          <w:lang w:val="en-GB" w:eastAsia="ko-KR" w:bidi="ar-SA"/>
        </w:rPr>
        <w:t>-GA and PtRu/TiO</w:t>
      </w:r>
      <w:r w:rsidRPr="00A40B83">
        <w:rPr>
          <w:rFonts w:eastAsia="SimSun"/>
          <w:szCs w:val="20"/>
          <w:vertAlign w:val="subscript"/>
          <w:lang w:val="en-GB" w:eastAsia="ko-KR" w:bidi="ar-SA"/>
        </w:rPr>
        <w:t>2</w:t>
      </w:r>
      <w:r w:rsidRPr="00A40B83">
        <w:rPr>
          <w:rFonts w:eastAsia="SimSun"/>
          <w:szCs w:val="20"/>
          <w:lang w:val="en-GB" w:eastAsia="ko-KR" w:bidi="ar-SA"/>
        </w:rPr>
        <w:t>-GA, respectively, and were linked to unique characteristics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anatase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{"citationItems":[{"id":"ITEM-1","itemData":{"DOI":"10.1021/acsami.6b09479","ISSN":"19448252","abstract":"Rechargeable lithium-sulfur (Li-S) batteries are promising in high-energy storage due to the large specific energy density of about 2600 W h kg-1. However, the low conductivity of sulfur and discharge products as well as polysulfide-shuttle effect between the cathode and anode hamper applications of Li-S batteries. Herein, we describe a novel and efficient S host material consisting of mesoporous TiO2 nanocrystals (NCs) fabricated in situ on reduced graphene oxide (rGO) for Li-S batteries. The TiO2@rGO hybrid can be loaded with 72 wt % sulfur. The strong chemisorption ability of the TiO2 NCs toward polysulfide combined with high electrical conductivity of rGO effectively localize the soluble polysulfide species within the cathode and facilitate electron and Li ions transport to/from the cathode materials. The sulfur-incorporated TiO2@rGO hybrid (S/TiO2@rGO) shows large capacities of 1116 and 917 mA h g-1 at the current densities of 0.2 and 1 C (1 C = 1675 mA g-1) after 100 cycles, respectively. When the current density is increased 20 times from 0.2 to 4 C, 60% capacity is retained, thereby demonstrating good cycling stability and rate capability. The synergistic effects of TiO2 NCs toward effective chemisorption of polysulfides and conductive rGO with high electron mobility make a promising application of S/TiO2@rGO hybrid in high-performance Li-S batteries.","author":[{"dropping-particle":"","family":"Li","given":"Yuanyuan","non-dropping-particle":"","parse-names":false,"suffix":""},{"dropping-particle":"","family":"Cai","given":"Qifa","non-dropping-particle":"","parse-names":false,"suffix":""},{"dropping-particle":"","family":"Wang","given":"Lei","non-dropping-particle":"","parse-names":false,"suffix":""},{"dropping-particle":"","family":"Li","given":"Qingwei","non-dropping-particle":"","parse-names":false,"suffix":""},{"dropping-particle":"","family":"Peng","given":"Xiang","non-dropping-particle":"","parse-names":false,"suffix":""},{"dropping-particle":"","family":"Gao","given":"Biao","non-dropping-particle":"","parse-names":false,"suffix":""},{"dropping-particle":"","family":"Huo","given":"Kaifu","non-dropping-particle":"","parse-names":false,"suffix":""},{"dropping-particle":"","family":"Chu","given":"Paul K.","non-dropping-particle":"","parse-names":false,"suffix":""}],"container-title":"ACS Applied Materials and Interfaces","id":"ITEM-1","issue":"36","issued":{"date-parts":[["2016","9","14"]]},"page":"23784-23792","publisher":"American Chemical Society","title":"Mesoporous TiO2 Nanocrystals/Graphene as an Efficient Sulfur Host Material for High-Performance Lithium-Sulfur Batteries","type":"article-journal","volume":"8"},"uris":["http://www.mendeley.com/documents/?uuid=90f62939-a9de-3cf9-9d91-5bf2b92ae8fe"]}],"mendeley":{"formattedCitation":"[25]","plainTextFormattedCitation":"[25]","previouslyFormattedCitation":"[25]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[25]</w:t>
      </w:r>
      <w:r w:rsidRPr="00A40B83">
        <w:rPr>
          <w:rFonts w:eastAsia="SimSun"/>
          <w:szCs w:val="20"/>
          <w:lang w:val="en-GB" w:eastAsia="ko-KR" w:bidi="ar-SA"/>
        </w:rPr>
        <w:fldChar w:fldCharType="end"/>
      </w:r>
      <w:r>
        <w:rPr>
          <w:rFonts w:eastAsia="SimSun"/>
          <w:szCs w:val="20"/>
          <w:lang w:val="en-GB" w:eastAsia="ko-KR" w:bidi="ar-SA"/>
        </w:rPr>
        <w:t>.</w:t>
      </w:r>
    </w:p>
    <w:p w14:paraId="301C7A5E" w14:textId="77777777" w:rsidR="00F26913" w:rsidRDefault="00F26913" w:rsidP="00A40B83">
      <w:pPr>
        <w:spacing w:after="0"/>
        <w:jc w:val="both"/>
        <w:rPr>
          <w:rFonts w:eastAsia="TimesNewRomanPSMT"/>
          <w:szCs w:val="20"/>
          <w:lang w:val="en-GB" w:eastAsia="ko-KR" w:bidi="ar-SA"/>
        </w:rPr>
      </w:pPr>
    </w:p>
    <w:p w14:paraId="4F8F2AAF" w14:textId="77777777" w:rsidR="00F26913" w:rsidRPr="00A40B83" w:rsidRDefault="00F26913" w:rsidP="00F26913">
      <w:pPr>
        <w:spacing w:after="0"/>
        <w:jc w:val="both"/>
        <w:rPr>
          <w:rFonts w:eastAsia="TimesNewRomanPSMT"/>
          <w:szCs w:val="20"/>
          <w:lang w:val="en-GB" w:eastAsia="ko-KR" w:bidi="ar-SA"/>
        </w:rPr>
      </w:pPr>
      <w:r w:rsidRPr="00A40B83">
        <w:rPr>
          <w:rFonts w:eastAsia="SimSun"/>
          <w:szCs w:val="20"/>
          <w:lang w:val="en-GB" w:eastAsia="ko-KR" w:bidi="ar-SA"/>
        </w:rPr>
        <w:t>FESEM was used to analyze the dispersion surface, morphologies, and sizes of PtRu/TiO</w:t>
      </w:r>
      <w:r w:rsidRPr="00A40B83">
        <w:rPr>
          <w:rFonts w:eastAsia="SimSun"/>
          <w:szCs w:val="20"/>
          <w:vertAlign w:val="subscript"/>
          <w:lang w:val="en-GB" w:eastAsia="ko-KR" w:bidi="ar-SA"/>
        </w:rPr>
        <w:t>2</w:t>
      </w:r>
      <w:r w:rsidRPr="00A40B83">
        <w:rPr>
          <w:rFonts w:eastAsia="SimSun"/>
          <w:szCs w:val="20"/>
          <w:lang w:val="en-GB" w:eastAsia="ko-KR" w:bidi="ar-SA"/>
        </w:rPr>
        <w:t>-GA and PtRu/C produced using a microwave-assisted alcohol-reduction technique.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had a 3D-porous cellular structure, exhibiting constant porosity of sizes ranging from micrometres to sub micrometres as seen in Figure 3. Furthermore, the tight inspection revealed an evenly adorned PtRu nanoparticles in a 3D porous cellular structure, demonstrating a strong interaction among the PtRu-carbon building block. Interestingly, the PtRu/C images revealed that these carbon-supporting materials were spherical.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{"citationItems":[{"id":"ITEM-1","itemData":{"DOI":"10.17576/MJAS-2017-2103-19","abstract":"In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 Transmission Electron Microscope (TEM), Field Emission Scanning Electron Microscope (FESEM)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cm-2@ 492.04 mA mg-1, 63.82 mA cm-2 @ 425.44 mA mg-1 and 55.73 mA cm-2 @ 371.54 mA mg-1 for PdAu/CNF, Pd/CNF and Au/CNF, respectively in 1 M KOH + 0.5 M glycerol electrolyte. The electrochemical study, exhibited the superior performance of bimetallic PdAu/CNF catalyst as compared to monometallic Pd/CNF. This indicate that the electronic coupling between Pd and Au can promote the electrocatalytic activity for glycerol oxidation.","author":[{"dropping-particle":"","family":"Norilhamiah","given":"Yahya","non-dropping-particle":"","parse-names":false,"suffix":""},{"dropping-particle":"","family":"Kamaruddin","given":"Siti Kartom","non-dropping-particle":"","parse-names":false,"suffix":""},{"dropping-particle":"","family":"Karim","given":"Nabila Abdul","non-dropping-particle":"","parse-names":false,"suffix":""},{"dropping-particle":"","family":"Masdar","given":"Mohd Shahbudin","non-dropping-particle":"","parse-names":false,"suffix":""},{"dropping-particle":"","family":"Loh","given":"Kee Shyuan","non-dropping-particle":"","parse-names":false,"suffix":""}],"container-title":"Malaysian Journal of Analytical Sciences","id":"ITEM-1","issue":"3","issued":{"date-parts":[["2017"]]},"page":"700-708","publisher":"Malaysian Society of Analytical Sciences","title":"Kajian awal ke atas mangkin berasaskan pd disokong dengan gentian nano karbon untuk pengoksidaan elektro gliserol","type":"article-journal","volume":"21"},"uris":["http://www.mendeley.com/documents/?uuid=a25e6a63-4907-3f55-b00e-ab1045808143"]}],"mendeley":{"formattedCitation":"[26]","plainTextFormattedCitation":"[26]","previouslyFormattedCitation":"[26]"},"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[26]</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The findings indicated that the samples were agglomerated with a diameter of 120-150 nm, which was available in the nanoscale range. The Van der Waals interaction surrounded by the particles could be causing the aggregation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{"citationItems":[{"id":"ITEM-1","itemData":{"DOI":"10.30880/IJIE.2019.11.05.011","abstract":"Titanium dioxide (TiO2) is well known due to it usage and has potential in purification methods of water and air pollution. In this study, TiO2 nanoparticle doped with iron (Fe) was synthesized by hydrothermal method. Effect of aging time during hydrothermal treatment on the formation of TiO2 and the performance of photocatalytic activity under visible and ultraviolet light irradiation were investigated. The structure and properties of the sample were evaluated - by X-Ray Diffraction (XRD), Energy Dispersive X-Ray (EDX), Field Emission Scanning Electron Microscope (FE-SEM) and UV-Visible Spectroscopy (UV-Vis). XRD analysis showed the studied samples consisted of anatase phase. FE-SEM images showed an agglomeration of grains with various sizes ranged 30-35 nm. Increasing aging time resulted in a narrower band gap energy and higher photocatalytic activity as compared to pure TiO2. The result showed Fe-TiO2 aged for 4 h provided the highest percentage (66%) of Methyl Orange (MO) degradation under visible light irradiation. The current finding suggested that, Fe-TiO2 has high potential to degrade organic compound in water pollution.","author":[{"dropping-particle":"","family":"Ibrahim","given":"Siti Aida","non-dropping-particle":"","parse-names":false,"suffix":""},{"dropping-particle":"","family":"Anwar","given":"Mohamad Khairul","non-dropping-particle":"","parse-names":false,"suffix":""},{"dropping-particle":"","family":"Ainuddin","given":"Ainun Rahmahwati","non-dropping-particle":"","parse-names":false,"suffix":""},{"dropping-particle":"","family":"Hariri","given":"Azian","non-dropping-particle":"","parse-names":false,"suffix":""},{"dropping-particle":"","family":"Rus","given":"Anika Zafiah M.","non-dropping-particle":"","parse-names":false,"suffix":""},{"dropping-particle":"","family":"Kamdi","given":"Zakiah","non-dropping-particle":"","parse-names":false,"suffix":""},{"dropping-particle":"","family":"Yunos","given":"Muhamad Zaini","non-dropping-particle":"","parse-names":false,"suffix":""},{"dropping-particle":"","family":"Harun","given":"Zawati","non-dropping-particle":"","parse-names":false,"suffix":""}],"container-title":"International Journal of Integrated Engineering","id":"ITEM-1","issue":"5","issued":{"date-parts":[["2019"]]},"page":"80-85","publisher":"Penerbit UTHM","title":"Synthesis and characterization of visible light active Fe-TiO2 using hydrothermal method","type":"article-journal","volume":"11"},"uris":["http://www.mendeley.com/documents/?uuid=34faf3ff-d4de-31db-a13e-9e315ff78e78"]}],"mendeley":{"formattedCitation":"[27]","plainTextFormattedCitation":"[27]","previouslyFormattedCitation":"[27]"},"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[27]</w:t>
      </w:r>
      <w:r w:rsidRPr="00A40B83">
        <w:rPr>
          <w:rFonts w:eastAsia="TimesNewRomanPSMT"/>
          <w:szCs w:val="20"/>
          <w:lang w:val="en-GB" w:eastAsia="ko-KR" w:bidi="ar-SA"/>
        </w:rPr>
        <w:fldChar w:fldCharType="end"/>
      </w:r>
      <w:r w:rsidRPr="00A40B83">
        <w:rPr>
          <w:rFonts w:eastAsia="TimesNewRomanPSMT"/>
          <w:szCs w:val="20"/>
          <w:lang w:val="en-GB" w:eastAsia="ko-KR" w:bidi="ar-SA"/>
        </w:rPr>
        <w:t>.</w:t>
      </w:r>
    </w:p>
    <w:p w14:paraId="7049E3DA" w14:textId="42180FA1" w:rsidR="00F26913" w:rsidRDefault="00F26913" w:rsidP="00A40B83">
      <w:pPr>
        <w:spacing w:after="0"/>
        <w:jc w:val="both"/>
        <w:rPr>
          <w:rFonts w:eastAsia="TimesNewRomanPSMT"/>
          <w:szCs w:val="20"/>
          <w:lang w:val="en-GB" w:eastAsia="ko-KR" w:bidi="ar-SA"/>
        </w:rPr>
        <w:sectPr w:rsidR="00F26913" w:rsidSect="008D4C96">
          <w:footerReference w:type="default" r:id="rId20"/>
          <w:type w:val="continuous"/>
          <w:pgSz w:w="12240" w:h="15840" w:code="1"/>
          <w:pgMar w:top="1800" w:right="1469" w:bottom="1699" w:left="1440" w:header="706" w:footer="706" w:gutter="0"/>
          <w:pgNumType w:start="1"/>
          <w:cols w:num="2" w:space="403"/>
          <w:docGrid w:linePitch="360"/>
        </w:sectPr>
      </w:pPr>
    </w:p>
    <w:p w14:paraId="2E188F99" w14:textId="77777777" w:rsidR="00A40B83" w:rsidRPr="00A40B83" w:rsidRDefault="00A40B83" w:rsidP="00A40B83">
      <w:pPr>
        <w:spacing w:after="0"/>
        <w:jc w:val="both"/>
        <w:rPr>
          <w:rFonts w:eastAsia="TimesNewRomanPSMT"/>
          <w:szCs w:val="20"/>
          <w:lang w:val="en-GB" w:eastAsia="ko-KR" w:bidi="ar-SA"/>
        </w:rPr>
      </w:pPr>
    </w:p>
    <w:p w14:paraId="09552E42" w14:textId="71F2050A" w:rsidR="0004342C" w:rsidRPr="00A40B83" w:rsidRDefault="00A40B83" w:rsidP="0090051B">
      <w:pPr>
        <w:spacing w:after="120"/>
        <w:jc w:val="center"/>
        <w:rPr>
          <w:rFonts w:eastAsia="SimSun"/>
          <w:szCs w:val="20"/>
          <w:lang w:eastAsia="ko-KR" w:bidi="ar-SA"/>
        </w:rPr>
      </w:pPr>
      <w:bookmarkStart w:id="0" w:name="_Hlk77511689"/>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Estimated crystallite size of TiO</w:t>
      </w:r>
      <w:r w:rsidRPr="00A40B83">
        <w:rPr>
          <w:rFonts w:eastAsia="SimSun"/>
          <w:szCs w:val="20"/>
          <w:vertAlign w:val="subscript"/>
          <w:lang w:eastAsia="ko-KR" w:bidi="ar-SA"/>
        </w:rPr>
        <w:t>2</w:t>
      </w:r>
      <w:r w:rsidRPr="00A40B83">
        <w:rPr>
          <w:rFonts w:eastAsia="SimSun"/>
          <w:szCs w:val="20"/>
          <w:lang w:eastAsia="ko-KR" w:bidi="ar-SA"/>
        </w:rPr>
        <w:t>-GA and PtRu/TiO</w:t>
      </w:r>
      <w:r w:rsidRPr="00A40B83">
        <w:rPr>
          <w:rFonts w:eastAsia="SimSun"/>
          <w:szCs w:val="20"/>
          <w:vertAlign w:val="subscript"/>
          <w:lang w:eastAsia="ko-KR" w:bidi="ar-SA"/>
        </w:rPr>
        <w:t>2</w:t>
      </w:r>
      <w:r w:rsidRPr="00A40B83">
        <w:rPr>
          <w:rFonts w:eastAsia="SimSun"/>
          <w:szCs w:val="20"/>
          <w:lang w:eastAsia="ko-KR" w:bidi="ar-SA"/>
        </w:rPr>
        <w:t>-GA on XRD analysis</w:t>
      </w:r>
    </w:p>
    <w:tbl>
      <w:tblPr>
        <w:tblW w:w="0" w:type="auto"/>
        <w:jc w:val="center"/>
        <w:tblLook w:val="04A0" w:firstRow="1" w:lastRow="0" w:firstColumn="1" w:lastColumn="0" w:noHBand="0" w:noVBand="1"/>
      </w:tblPr>
      <w:tblGrid>
        <w:gridCol w:w="1415"/>
        <w:gridCol w:w="2460"/>
      </w:tblGrid>
      <w:tr w:rsidR="00A40B83" w:rsidRPr="0090051B" w14:paraId="444161BD" w14:textId="77777777" w:rsidTr="0090051B">
        <w:trPr>
          <w:trHeight w:val="288"/>
          <w:jc w:val="center"/>
        </w:trPr>
        <w:tc>
          <w:tcPr>
            <w:tcW w:w="0" w:type="auto"/>
            <w:tcBorders>
              <w:top w:val="single" w:sz="4" w:space="0" w:color="auto"/>
              <w:bottom w:val="single" w:sz="4" w:space="0" w:color="auto"/>
            </w:tcBorders>
            <w:shd w:val="clear" w:color="auto" w:fill="auto"/>
            <w:noWrap/>
            <w:vAlign w:val="center"/>
            <w:hideMark/>
          </w:tcPr>
          <w:p w14:paraId="4A9E519D" w14:textId="77777777" w:rsidR="00A40B83" w:rsidRPr="0090051B" w:rsidRDefault="00A40B83" w:rsidP="0090051B">
            <w:pPr>
              <w:spacing w:before="60" w:after="60"/>
              <w:rPr>
                <w:b/>
                <w:szCs w:val="20"/>
                <w:lang w:eastAsia="ko-KR" w:bidi="ar-SA"/>
              </w:rPr>
            </w:pPr>
            <w:r w:rsidRPr="0090051B">
              <w:rPr>
                <w:b/>
                <w:szCs w:val="20"/>
                <w:lang w:eastAsia="ko-KR" w:bidi="ar-SA"/>
              </w:rPr>
              <w:t>Samples</w:t>
            </w:r>
          </w:p>
        </w:tc>
        <w:tc>
          <w:tcPr>
            <w:tcW w:w="0" w:type="auto"/>
            <w:tcBorders>
              <w:top w:val="single" w:sz="4" w:space="0" w:color="auto"/>
              <w:bottom w:val="single" w:sz="4" w:space="0" w:color="auto"/>
            </w:tcBorders>
            <w:shd w:val="clear" w:color="auto" w:fill="auto"/>
            <w:noWrap/>
            <w:vAlign w:val="center"/>
            <w:hideMark/>
          </w:tcPr>
          <w:p w14:paraId="36ADCA94" w14:textId="77777777" w:rsidR="00A40B83" w:rsidRPr="0090051B" w:rsidRDefault="00A40B83" w:rsidP="0090051B">
            <w:pPr>
              <w:spacing w:before="60" w:after="60"/>
              <w:jc w:val="center"/>
              <w:rPr>
                <w:b/>
                <w:szCs w:val="20"/>
                <w:lang w:eastAsia="ko-KR" w:bidi="ar-SA"/>
              </w:rPr>
            </w:pPr>
            <w:r w:rsidRPr="0090051B">
              <w:rPr>
                <w:b/>
                <w:szCs w:val="20"/>
                <w:lang w:eastAsia="ko-KR" w:bidi="ar-SA"/>
              </w:rPr>
              <w:t>XRD/Crystallite Size (nm)</w:t>
            </w:r>
          </w:p>
        </w:tc>
      </w:tr>
      <w:tr w:rsidR="00A40B83" w:rsidRPr="00A40B83" w14:paraId="3A697E56" w14:textId="77777777" w:rsidTr="0090051B">
        <w:trPr>
          <w:trHeight w:val="288"/>
          <w:jc w:val="center"/>
        </w:trPr>
        <w:tc>
          <w:tcPr>
            <w:tcW w:w="0" w:type="auto"/>
            <w:tcBorders>
              <w:top w:val="single" w:sz="4" w:space="0" w:color="auto"/>
            </w:tcBorders>
            <w:shd w:val="clear" w:color="auto" w:fill="auto"/>
            <w:noWrap/>
            <w:vAlign w:val="center"/>
            <w:hideMark/>
          </w:tcPr>
          <w:p w14:paraId="1B4F5E90" w14:textId="77777777" w:rsidR="00A40B83" w:rsidRPr="00A40B83" w:rsidRDefault="00A40B83" w:rsidP="0090051B">
            <w:pPr>
              <w:spacing w:before="60" w:after="0"/>
              <w:rPr>
                <w:szCs w:val="20"/>
                <w:lang w:eastAsia="ko-KR" w:bidi="ar-SA"/>
              </w:rPr>
            </w:pPr>
            <w:r w:rsidRPr="00A40B83">
              <w:rPr>
                <w:szCs w:val="20"/>
                <w:lang w:eastAsia="ko-KR" w:bidi="ar-SA"/>
              </w:rPr>
              <w:t>TiO</w:t>
            </w:r>
            <w:r w:rsidRPr="00A40B83">
              <w:rPr>
                <w:szCs w:val="20"/>
                <w:vertAlign w:val="subscript"/>
                <w:lang w:eastAsia="ko-KR" w:bidi="ar-SA"/>
              </w:rPr>
              <w:t>2</w:t>
            </w:r>
            <w:r w:rsidRPr="00A40B83">
              <w:rPr>
                <w:szCs w:val="20"/>
                <w:lang w:eastAsia="ko-KR" w:bidi="ar-SA"/>
              </w:rPr>
              <w:t>-GA</w:t>
            </w:r>
          </w:p>
        </w:tc>
        <w:tc>
          <w:tcPr>
            <w:tcW w:w="0" w:type="auto"/>
            <w:tcBorders>
              <w:top w:val="single" w:sz="4" w:space="0" w:color="auto"/>
            </w:tcBorders>
            <w:shd w:val="clear" w:color="auto" w:fill="auto"/>
            <w:noWrap/>
            <w:vAlign w:val="bottom"/>
            <w:hideMark/>
          </w:tcPr>
          <w:p w14:paraId="4EEB780E" w14:textId="77777777" w:rsidR="00A40B83" w:rsidRPr="00A40B83" w:rsidRDefault="00A40B83" w:rsidP="0090051B">
            <w:pPr>
              <w:spacing w:before="60" w:after="0"/>
              <w:jc w:val="center"/>
              <w:rPr>
                <w:szCs w:val="20"/>
                <w:lang w:eastAsia="ko-KR" w:bidi="ar-SA"/>
              </w:rPr>
            </w:pPr>
            <w:r w:rsidRPr="00A40B83">
              <w:rPr>
                <w:szCs w:val="20"/>
                <w:lang w:eastAsia="ko-KR" w:bidi="ar-SA"/>
              </w:rPr>
              <w:t>7.9</w:t>
            </w:r>
          </w:p>
        </w:tc>
      </w:tr>
      <w:tr w:rsidR="00A40B83" w:rsidRPr="00A40B83" w14:paraId="6208783D" w14:textId="77777777" w:rsidTr="0090051B">
        <w:trPr>
          <w:trHeight w:val="288"/>
          <w:jc w:val="center"/>
        </w:trPr>
        <w:tc>
          <w:tcPr>
            <w:tcW w:w="0" w:type="auto"/>
            <w:shd w:val="clear" w:color="auto" w:fill="auto"/>
            <w:noWrap/>
            <w:vAlign w:val="center"/>
          </w:tcPr>
          <w:p w14:paraId="7C208D7E" w14:textId="77777777" w:rsidR="00A40B83" w:rsidRPr="00A40B83" w:rsidRDefault="00A40B83" w:rsidP="0090051B">
            <w:pPr>
              <w:spacing w:before="60" w:after="0"/>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-GA</w:t>
            </w:r>
          </w:p>
        </w:tc>
        <w:tc>
          <w:tcPr>
            <w:tcW w:w="0" w:type="auto"/>
            <w:shd w:val="clear" w:color="auto" w:fill="auto"/>
            <w:noWrap/>
            <w:vAlign w:val="bottom"/>
          </w:tcPr>
          <w:p w14:paraId="07E11C54" w14:textId="77777777" w:rsidR="00A40B83" w:rsidRPr="00A40B83" w:rsidRDefault="00A40B83" w:rsidP="0090051B">
            <w:pPr>
              <w:spacing w:before="60" w:after="0"/>
              <w:jc w:val="center"/>
              <w:rPr>
                <w:szCs w:val="20"/>
                <w:lang w:eastAsia="ko-KR" w:bidi="ar-SA"/>
              </w:rPr>
            </w:pPr>
            <w:r w:rsidRPr="00A40B83">
              <w:rPr>
                <w:szCs w:val="20"/>
                <w:lang w:eastAsia="ko-KR" w:bidi="ar-SA"/>
              </w:rPr>
              <w:t>3.8</w:t>
            </w:r>
          </w:p>
        </w:tc>
      </w:tr>
      <w:tr w:rsidR="00A40B83" w:rsidRPr="00A40B83" w14:paraId="67D15FB8" w14:textId="77777777" w:rsidTr="0090051B">
        <w:trPr>
          <w:trHeight w:val="288"/>
          <w:jc w:val="center"/>
        </w:trPr>
        <w:tc>
          <w:tcPr>
            <w:tcW w:w="0" w:type="auto"/>
            <w:tcBorders>
              <w:bottom w:val="single" w:sz="4" w:space="0" w:color="auto"/>
            </w:tcBorders>
            <w:shd w:val="clear" w:color="auto" w:fill="auto"/>
            <w:noWrap/>
            <w:vAlign w:val="center"/>
          </w:tcPr>
          <w:p w14:paraId="79F99F10" w14:textId="77777777" w:rsidR="00A40B83" w:rsidRPr="00A40B83" w:rsidRDefault="00A40B83" w:rsidP="0090051B">
            <w:pPr>
              <w:spacing w:before="60" w:after="60"/>
              <w:rPr>
                <w:szCs w:val="20"/>
                <w:lang w:eastAsia="ko-KR" w:bidi="ar-SA"/>
              </w:rPr>
            </w:pPr>
            <w:r w:rsidRPr="00A40B83">
              <w:rPr>
                <w:szCs w:val="20"/>
                <w:lang w:eastAsia="ko-KR" w:bidi="ar-SA"/>
              </w:rPr>
              <w:t>PtRu/C</w:t>
            </w:r>
          </w:p>
        </w:tc>
        <w:tc>
          <w:tcPr>
            <w:tcW w:w="0" w:type="auto"/>
            <w:tcBorders>
              <w:bottom w:val="single" w:sz="4" w:space="0" w:color="auto"/>
            </w:tcBorders>
            <w:shd w:val="clear" w:color="auto" w:fill="auto"/>
            <w:noWrap/>
            <w:vAlign w:val="bottom"/>
          </w:tcPr>
          <w:p w14:paraId="78582005" w14:textId="77777777" w:rsidR="00A40B83" w:rsidRPr="00A40B83" w:rsidRDefault="00A40B83" w:rsidP="0090051B">
            <w:pPr>
              <w:spacing w:before="60" w:after="60"/>
              <w:jc w:val="center"/>
              <w:rPr>
                <w:szCs w:val="20"/>
                <w:lang w:eastAsia="ko-KR" w:bidi="ar-SA"/>
              </w:rPr>
            </w:pPr>
            <w:r w:rsidRPr="00A40B83">
              <w:rPr>
                <w:szCs w:val="20"/>
                <w:lang w:eastAsia="ko-KR" w:bidi="ar-SA"/>
              </w:rPr>
              <w:t>3.9</w:t>
            </w:r>
          </w:p>
        </w:tc>
      </w:tr>
      <w:bookmarkEnd w:id="0"/>
    </w:tbl>
    <w:p w14:paraId="6651F214" w14:textId="77777777" w:rsidR="00A40B83" w:rsidRPr="00A40B83" w:rsidRDefault="00A40B83" w:rsidP="00A40B83">
      <w:pPr>
        <w:spacing w:after="0"/>
        <w:jc w:val="both"/>
        <w:rPr>
          <w:rFonts w:eastAsia="TimesNewRomanPSMT"/>
          <w:szCs w:val="20"/>
          <w:lang w:val="en-GB" w:eastAsia="ko-KR" w:bidi="ar-SA"/>
        </w:rPr>
      </w:pPr>
    </w:p>
    <w:p w14:paraId="317C2CC7" w14:textId="77777777" w:rsidR="00A40B83" w:rsidRPr="00A40B83" w:rsidRDefault="00A40B83" w:rsidP="00A40B83">
      <w:pPr>
        <w:spacing w:after="0"/>
        <w:jc w:val="both"/>
        <w:rPr>
          <w:rFonts w:eastAsia="SimSun"/>
          <w:szCs w:val="20"/>
          <w:lang w:val="en-GB" w:eastAsia="ko-KR" w:bidi="ar-SA"/>
        </w:rPr>
      </w:pPr>
    </w:p>
    <w:p w14:paraId="03CEA896" w14:textId="77777777" w:rsidR="00A40B83" w:rsidRPr="00A40B83" w:rsidRDefault="00A40B83" w:rsidP="0090051B">
      <w:pPr>
        <w:spacing w:after="120"/>
        <w:jc w:val="center"/>
        <w:rPr>
          <w:rFonts w:eastAsia="SimSun"/>
          <w:szCs w:val="20"/>
          <w:lang w:eastAsia="ko-KR" w:bidi="ar-SA"/>
        </w:rPr>
      </w:pPr>
      <w:r w:rsidRPr="00A40B83">
        <w:rPr>
          <w:rFonts w:eastAsia="SimSun"/>
          <w:noProof/>
          <w:szCs w:val="20"/>
          <w:lang w:eastAsia="ko-KR" w:bidi="ar-SA"/>
        </w:rPr>
        <w:drawing>
          <wp:inline distT="0" distB="0" distL="0" distR="0" wp14:anchorId="3B0E6296" wp14:editId="727882FB">
            <wp:extent cx="4631327" cy="1972394"/>
            <wp:effectExtent l="19050" t="19050" r="17145"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45672" cy="1978503"/>
                    </a:xfrm>
                    <a:prstGeom prst="rect">
                      <a:avLst/>
                    </a:prstGeom>
                    <a:ln>
                      <a:solidFill>
                        <a:sysClr val="windowText" lastClr="000000"/>
                      </a:solidFill>
                    </a:ln>
                  </pic:spPr>
                </pic:pic>
              </a:graphicData>
            </a:graphic>
          </wp:inline>
        </w:drawing>
      </w:r>
    </w:p>
    <w:p w14:paraId="163C24EA" w14:textId="1F99BC53" w:rsidR="00A40B83" w:rsidRDefault="00A40B83" w:rsidP="0090051B">
      <w:pPr>
        <w:spacing w:after="0"/>
        <w:ind w:left="810" w:hanging="81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 XRD patterns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 (b) Raman spectra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w:t>
      </w:r>
    </w:p>
    <w:p w14:paraId="3889E888" w14:textId="77777777" w:rsidR="00A40B83" w:rsidRPr="00A40B83" w:rsidRDefault="00A40B83" w:rsidP="00A40B83">
      <w:pPr>
        <w:spacing w:after="0"/>
        <w:jc w:val="both"/>
        <w:rPr>
          <w:rFonts w:eastAsia="SimSun"/>
          <w:szCs w:val="20"/>
          <w:lang w:eastAsia="ko-KR" w:bidi="ar-SA"/>
        </w:rPr>
      </w:pPr>
    </w:p>
    <w:p w14:paraId="539BE2C9" w14:textId="3EB92351" w:rsidR="0004342C" w:rsidRDefault="00A40B83" w:rsidP="0090051B">
      <w:pPr>
        <w:spacing w:after="120"/>
        <w:jc w:val="center"/>
        <w:rPr>
          <w:rFonts w:eastAsia="SimSun"/>
          <w:szCs w:val="20"/>
          <w:lang w:eastAsia="ko-KR" w:bidi="ar-SA"/>
        </w:rPr>
      </w:pPr>
      <w:r w:rsidRPr="00A40B83">
        <w:rPr>
          <w:rFonts w:eastAsia="SimSun"/>
          <w:noProof/>
          <w:szCs w:val="20"/>
          <w:lang w:val="en-MY" w:eastAsia="en-MY" w:bidi="ar-SA"/>
        </w:rPr>
        <w:drawing>
          <wp:inline distT="0" distB="0" distL="0" distR="0" wp14:anchorId="4FDB26C0" wp14:editId="256A6679">
            <wp:extent cx="5514073" cy="1980000"/>
            <wp:effectExtent l="19050" t="19050" r="10795" b="20320"/>
            <wp:docPr id="3" name="Picture 3" descr="A picture containing text, s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ale&#10;&#10;Description automatically generated"/>
                    <pic:cNvPicPr/>
                  </pic:nvPicPr>
                  <pic:blipFill>
                    <a:blip r:embed="rId22"/>
                    <a:stretch>
                      <a:fillRect/>
                    </a:stretch>
                  </pic:blipFill>
                  <pic:spPr>
                    <a:xfrm>
                      <a:off x="0" y="0"/>
                      <a:ext cx="5514073" cy="1980000"/>
                    </a:xfrm>
                    <a:prstGeom prst="rect">
                      <a:avLst/>
                    </a:prstGeom>
                    <a:ln>
                      <a:solidFill>
                        <a:sysClr val="windowText" lastClr="000000"/>
                      </a:solidFill>
                    </a:ln>
                  </pic:spPr>
                </pic:pic>
              </a:graphicData>
            </a:graphic>
          </wp:inline>
        </w:drawing>
      </w:r>
    </w:p>
    <w:p w14:paraId="352483BC" w14:textId="4C936894" w:rsidR="00A40B83" w:rsidRPr="0090051B" w:rsidRDefault="00A40B83" w:rsidP="0090051B">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3</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FESEM image of the prepared (a) PtRu/TiO</w:t>
      </w:r>
      <w:r w:rsidRPr="00A40B83">
        <w:rPr>
          <w:rFonts w:eastAsia="SimSun"/>
          <w:szCs w:val="20"/>
          <w:vertAlign w:val="subscript"/>
          <w:lang w:eastAsia="ko-KR" w:bidi="ar-SA"/>
        </w:rPr>
        <w:t>2</w:t>
      </w:r>
      <w:r w:rsidRPr="00A40B83">
        <w:rPr>
          <w:rFonts w:eastAsia="SimSun"/>
          <w:szCs w:val="20"/>
          <w:lang w:eastAsia="ko-KR" w:bidi="ar-SA"/>
        </w:rPr>
        <w:t>-GA and (b) PtRu/C</w:t>
      </w:r>
      <w:r w:rsidR="0090051B">
        <w:rPr>
          <w:rFonts w:eastAsia="SimSun"/>
          <w:szCs w:val="20"/>
          <w:lang w:eastAsia="ko-KR" w:bidi="ar-SA"/>
        </w:rPr>
        <w:t xml:space="preserve"> </w:t>
      </w:r>
      <w:r w:rsidRPr="00A40B83">
        <w:rPr>
          <w:rFonts w:eastAsia="SimSun"/>
          <w:bCs/>
          <w:szCs w:val="20"/>
          <w:lang w:val="en-GB" w:bidi="ar-SA"/>
        </w:rPr>
        <w:t>Electrocatalytic performance</w:t>
      </w:r>
    </w:p>
    <w:p w14:paraId="104CABDF" w14:textId="4E1FDDC4" w:rsidR="00F44F14" w:rsidRDefault="00F44F14" w:rsidP="00F44F14">
      <w:pPr>
        <w:spacing w:after="0"/>
        <w:jc w:val="center"/>
        <w:rPr>
          <w:rFonts w:eastAsia="SimSun"/>
          <w:bCs/>
          <w:szCs w:val="20"/>
          <w:lang w:val="en-GB" w:bidi="ar-SA"/>
        </w:rPr>
      </w:pPr>
    </w:p>
    <w:p w14:paraId="378B868A" w14:textId="77777777" w:rsidR="0090051B" w:rsidRPr="00A40B83" w:rsidRDefault="0090051B" w:rsidP="00F44F14">
      <w:pPr>
        <w:spacing w:after="0"/>
        <w:jc w:val="center"/>
        <w:rPr>
          <w:rFonts w:eastAsia="SimSun"/>
          <w:bCs/>
          <w:szCs w:val="20"/>
          <w:lang w:val="en-GB" w:bidi="ar-SA"/>
        </w:rPr>
      </w:pPr>
    </w:p>
    <w:p w14:paraId="2EF1C699" w14:textId="77777777" w:rsidR="00F26913" w:rsidRDefault="00F26913" w:rsidP="00A40B83">
      <w:pPr>
        <w:spacing w:after="0"/>
        <w:jc w:val="both"/>
        <w:rPr>
          <w:rFonts w:eastAsia="SimSun"/>
          <w:szCs w:val="20"/>
          <w:lang w:val="en-GB" w:eastAsia="ko-KR" w:bidi="ar-SA"/>
        </w:rPr>
        <w:sectPr w:rsidR="00F26913" w:rsidSect="00A40B83">
          <w:footerReference w:type="even" r:id="rId23"/>
          <w:type w:val="continuous"/>
          <w:pgSz w:w="12240" w:h="15840" w:code="1"/>
          <w:pgMar w:top="1800" w:right="1469" w:bottom="1699" w:left="1440" w:header="706" w:footer="706" w:gutter="0"/>
          <w:pgNumType w:start="1"/>
          <w:cols w:space="708"/>
          <w:docGrid w:linePitch="360"/>
        </w:sectPr>
      </w:pPr>
    </w:p>
    <w:p w14:paraId="54DE9498"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In recent decades, DMFCs have been intensively explored and gained increasing attention in the electrooxidation by methanol. For the methanol oxidation in acid media, the electrochemical efficiency of the PtRu/TiO</w:t>
      </w:r>
      <w:r w:rsidRPr="00A40B83">
        <w:rPr>
          <w:rFonts w:eastAsia="SimSun"/>
          <w:szCs w:val="20"/>
          <w:vertAlign w:val="subscript"/>
          <w:lang w:val="en-GB" w:eastAsia="ko-KR" w:bidi="ar-SA"/>
        </w:rPr>
        <w:t>2</w:t>
      </w:r>
      <w:r w:rsidRPr="00A40B83">
        <w:rPr>
          <w:rFonts w:eastAsia="SimSun"/>
          <w:szCs w:val="20"/>
          <w:lang w:val="en-GB" w:eastAsia="ko-KR" w:bidi="ar-SA"/>
        </w:rPr>
        <w:t>-GA catalyst has been explored. The PtRu/TiO</w:t>
      </w:r>
      <w:r w:rsidRPr="00A40B83">
        <w:rPr>
          <w:rFonts w:eastAsia="SimSun"/>
          <w:szCs w:val="20"/>
          <w:vertAlign w:val="subscript"/>
          <w:lang w:val="en-GB" w:eastAsia="ko-KR" w:bidi="ar-SA"/>
        </w:rPr>
        <w:t>2</w:t>
      </w:r>
      <w:r w:rsidRPr="00A40B83">
        <w:rPr>
          <w:rFonts w:eastAsia="SimSun"/>
          <w:szCs w:val="20"/>
          <w:lang w:val="en-GB" w:eastAsia="ko-KR" w:bidi="ar-SA"/>
        </w:rPr>
        <w:t>-GA CV curves and PtRu/C catalysts in N</w:t>
      </w:r>
      <w:r w:rsidRPr="00A40B83">
        <w:rPr>
          <w:rFonts w:eastAsia="SimSun"/>
          <w:szCs w:val="20"/>
          <w:vertAlign w:val="subscript"/>
          <w:lang w:val="en-GB" w:eastAsia="ko-KR" w:bidi="ar-SA"/>
        </w:rPr>
        <w:t>2</w:t>
      </w:r>
      <w:r w:rsidRPr="00A40B83">
        <w:rPr>
          <w:rFonts w:eastAsia="SimSun"/>
          <w:szCs w:val="20"/>
          <w:lang w:val="en-GB" w:eastAsia="ko-KR" w:bidi="ar-SA"/>
        </w:rPr>
        <w:t xml:space="preserve"> with 0.5M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saturated solutions are displayed in Figure 4(a). In the area from -0.2 V to 1.0 V vs Ag/AgCl, both electrics demonstrated the characteristics of hydrogen adsorption-desorption. The ECSAs computed for PtRu/TiO</w:t>
      </w:r>
      <w:r w:rsidRPr="00A40B83">
        <w:rPr>
          <w:rFonts w:eastAsia="SimSun"/>
          <w:szCs w:val="20"/>
          <w:vertAlign w:val="subscript"/>
          <w:lang w:val="en-GB" w:eastAsia="ko-KR" w:bidi="ar-SA"/>
        </w:rPr>
        <w:t>2</w:t>
      </w:r>
      <w:r w:rsidRPr="00A40B83">
        <w:rPr>
          <w:rFonts w:eastAsia="SimSun"/>
          <w:szCs w:val="20"/>
          <w:lang w:val="en-GB" w:eastAsia="ko-KR" w:bidi="ar-SA"/>
        </w:rPr>
        <w:t>-GA and PtRu/C amount was about 68.44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xml:space="preserve"> and 20.44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respectively. The ECSA for PtRu/TiO</w:t>
      </w:r>
      <w:r w:rsidRPr="00A40B83">
        <w:rPr>
          <w:rFonts w:eastAsia="SimSun"/>
          <w:szCs w:val="20"/>
          <w:vertAlign w:val="subscript"/>
          <w:lang w:val="en-GB" w:eastAsia="ko-KR" w:bidi="ar-SA"/>
        </w:rPr>
        <w:t>2</w:t>
      </w:r>
      <w:r w:rsidRPr="00A40B83">
        <w:rPr>
          <w:rFonts w:eastAsia="SimSun"/>
          <w:szCs w:val="20"/>
          <w:lang w:val="en-GB" w:eastAsia="ko-KR" w:bidi="ar-SA"/>
        </w:rPr>
        <w:t>-GA was 3 times that of PtRu/C and 30 % greater than that for commercial PtRu/C. This finding demonstrates that retaining a bimetallic 3D structure in TiO</w:t>
      </w:r>
      <w:r w:rsidRPr="00A40B83">
        <w:rPr>
          <w:rFonts w:eastAsia="SimSun"/>
          <w:szCs w:val="20"/>
          <w:vertAlign w:val="subscript"/>
          <w:lang w:val="en-GB" w:eastAsia="ko-KR" w:bidi="ar-SA"/>
        </w:rPr>
        <w:t>2</w:t>
      </w:r>
      <w:r w:rsidRPr="00A40B83">
        <w:rPr>
          <w:rFonts w:eastAsia="SimSun"/>
          <w:szCs w:val="20"/>
          <w:lang w:val="en-GB" w:eastAsia="ko-KR" w:bidi="ar-SA"/>
        </w:rPr>
        <w:t>-GA helps to increase the ECSA of PtRu nanoparticles and improve catalyst utilization. This is owing to the differences in crystallite size between PtRu/TiO</w:t>
      </w:r>
      <w:r w:rsidRPr="00A40B83">
        <w:rPr>
          <w:rFonts w:eastAsia="SimSun"/>
          <w:szCs w:val="20"/>
          <w:vertAlign w:val="subscript"/>
          <w:lang w:val="en-GB" w:eastAsia="ko-KR" w:bidi="ar-SA"/>
        </w:rPr>
        <w:t>2</w:t>
      </w:r>
      <w:r w:rsidRPr="00A40B83">
        <w:rPr>
          <w:rFonts w:eastAsia="SimSun"/>
          <w:szCs w:val="20"/>
          <w:lang w:val="en-GB" w:eastAsia="ko-KR" w:bidi="ar-SA"/>
        </w:rPr>
        <w:t>-GA and PtRu/C as shown in Table 1 from the XRD analysis: the PtRu/TiO</w:t>
      </w:r>
      <w:r w:rsidRPr="00A40B83">
        <w:rPr>
          <w:rFonts w:eastAsia="SimSun"/>
          <w:szCs w:val="20"/>
          <w:vertAlign w:val="subscript"/>
          <w:lang w:val="en-GB" w:eastAsia="ko-KR" w:bidi="ar-SA"/>
        </w:rPr>
        <w:t>2</w:t>
      </w:r>
      <w:r w:rsidRPr="00A40B83">
        <w:rPr>
          <w:rFonts w:eastAsia="SimSun"/>
          <w:szCs w:val="20"/>
          <w:lang w:val="en-GB" w:eastAsia="ko-KR" w:bidi="ar-SA"/>
        </w:rPr>
        <w:t>-GA crystallite size for TiO</w:t>
      </w:r>
      <w:r w:rsidRPr="00A40B83">
        <w:rPr>
          <w:rFonts w:eastAsia="SimSun"/>
          <w:szCs w:val="20"/>
          <w:vertAlign w:val="subscript"/>
          <w:lang w:val="en-GB" w:eastAsia="ko-KR" w:bidi="ar-SA"/>
        </w:rPr>
        <w:t>2</w:t>
      </w:r>
      <w:r w:rsidRPr="00A40B83">
        <w:rPr>
          <w:rFonts w:eastAsia="SimSun"/>
          <w:szCs w:val="20"/>
          <w:lang w:val="en-GB" w:eastAsia="ko-KR" w:bidi="ar-SA"/>
        </w:rPr>
        <w:t>-GA was the lowest and it had a superior ECSA value. Hence, the catalyst and reaction surface area can be increased by using the smallest crystallite size.</w:t>
      </w:r>
    </w:p>
    <w:p w14:paraId="79F76820" w14:textId="77777777" w:rsidR="00A40B83" w:rsidRPr="00A40B83" w:rsidRDefault="00A40B83" w:rsidP="00A40B83">
      <w:pPr>
        <w:spacing w:after="0"/>
        <w:jc w:val="both"/>
        <w:rPr>
          <w:rFonts w:eastAsia="SimSun"/>
          <w:szCs w:val="20"/>
          <w:lang w:val="en-GB" w:eastAsia="ko-KR" w:bidi="ar-SA"/>
        </w:rPr>
      </w:pPr>
    </w:p>
    <w:p w14:paraId="48D6B46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Figure 4(b) illustrates that the peak mass activity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greater than PtRu/C. The CV values </w:t>
      </w:r>
      <w:r w:rsidRPr="00A40B83">
        <w:rPr>
          <w:rFonts w:eastAsia="SimSun"/>
          <w:szCs w:val="20"/>
          <w:lang w:val="en-GB" w:eastAsia="ko-KR" w:bidi="ar-SA"/>
        </w:rPr>
        <w:t>are indicated in Table 2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electrocatalyst. For PtRu/TiO</w:t>
      </w:r>
      <w:r w:rsidRPr="00A40B83">
        <w:rPr>
          <w:rFonts w:eastAsia="SimSun"/>
          <w:szCs w:val="20"/>
          <w:vertAlign w:val="subscript"/>
          <w:lang w:val="en-GB" w:eastAsia="ko-KR" w:bidi="ar-SA"/>
        </w:rPr>
        <w:t>2</w:t>
      </w:r>
      <w:r w:rsidRPr="00A40B83">
        <w:rPr>
          <w:rFonts w:eastAsia="SimSun"/>
          <w:szCs w:val="20"/>
          <w:lang w:val="en-GB" w:eastAsia="ko-KR" w:bidi="ar-SA"/>
        </w:rPr>
        <w:t>-GA catalyst, the value for mass activity was 957.15 mA mg</w:t>
      </w:r>
      <w:r w:rsidRPr="00A40B83">
        <w:rPr>
          <w:rFonts w:eastAsia="SimSun"/>
          <w:szCs w:val="20"/>
          <w:vertAlign w:val="superscript"/>
          <w:lang w:val="en-GB" w:eastAsia="ko-KR" w:bidi="ar-SA"/>
        </w:rPr>
        <w:t>-1</w:t>
      </w:r>
      <w:r w:rsidRPr="00A40B83">
        <w:rPr>
          <w:rFonts w:eastAsia="SimSun"/>
          <w:szCs w:val="20"/>
          <w:lang w:val="en-GB" w:eastAsia="ko-KR" w:bidi="ar-SA"/>
        </w:rPr>
        <w:t xml:space="preserve"> PtRu, 12 times greater than that of the commercial PtRu/C catalyst. This reveals that the support for 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a superior replacement for carbon catalyst support. Throughout the carbonization process, the aerogel mixture can boost the electrical and thermal leads of the catalyst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{"citationItems":[{"id":"ITEM-1","itemData":{"DOI":"10.1002/er.4423","ISSN":"1099114X","abstract":"Aerogel is known as one of today's 10 advanced structures that have earned a special place in industry or research based on its very high porosity, high active surface area, and low density. There are various methods that can be used to produce it as well as make it easily produced in bulk as subtopics in this paper in Section 2.0. At present, aerogels are widely used in catalytic applications, energy storage, photocatalysts, membrane separation, and fuel cells. Aerogel application in fuel cell has been discussed in Section 3.0 which include carbon-based aerogel, graphene-based aerogel, other aerogel based, and non-noble catalyst with aerogel. This article is a reference for researchers to identify the advantages and opportunities available to lower costs and improve the performance of fuel cell systems that rely heavily on cost-rich catalysts such as platinum. Opportunities and challenges in developing aerogel structures in the future are also explained in Section 5.0 in this paper.","author":[{"dropping-particle":"","family":"Norazuwana Shaari","given":"Siti Kartom Kamarudin","non-dropping-particle":"","parse-names":false,"suffix":""},{"dropping-particle":"","family":"Shaari","given":"Norazuwana","non-dropping-particle":"","parse-names":false,"suffix":""},{"dropping-particle":"","family":"Kamarudin","given":"Siti Kartom","non-dropping-particle":"","parse-names":false,"suffix":""}],"container-title":"International Journal of Energy Research","id":"ITEM-1","issue":"7","issued":{"date-parts":[["2019","2","21"]]},"page":"2447-2467","publisher":"John Wiley &amp; Sons, Ltd","title":"Current status, opportunities, and challenges in fuel cell catalytic application of aerogels","type":"article-journal","volume":"43"},"uris":["http://www.mendeley.com/documents/?uuid=ca07f1a2-bd99-49b7-af2d-b1a2adaf9682"]}],"mendeley":{"formattedCitation":"[28]","plainTextFormattedCitation":"[28]","previouslyFormattedCitation":"[28]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[28]</w:t>
      </w:r>
      <w:r w:rsidRPr="00A40B83">
        <w:rPr>
          <w:rFonts w:eastAsia="SimSun"/>
          <w:szCs w:val="20"/>
          <w:lang w:val="en-GB" w:eastAsia="ko-KR" w:bidi="ar-SA"/>
        </w:rPr>
        <w:fldChar w:fldCharType="end"/>
      </w:r>
      <w:r w:rsidRPr="00A40B83">
        <w:rPr>
          <w:rFonts w:eastAsia="SimSun"/>
          <w:szCs w:val="20"/>
          <w:lang w:val="en-GB" w:eastAsia="ko-KR" w:bidi="ar-SA"/>
        </w:rPr>
        <w:t>.</w:t>
      </w:r>
    </w:p>
    <w:p w14:paraId="6FD40D63" w14:textId="77777777" w:rsidR="00A40B83" w:rsidRPr="00A40B83" w:rsidRDefault="00A40B83" w:rsidP="00F26913">
      <w:pPr>
        <w:spacing w:after="0"/>
        <w:jc w:val="both"/>
        <w:rPr>
          <w:rFonts w:eastAsia="SimSun"/>
          <w:szCs w:val="20"/>
          <w:lang w:val="en-GB" w:eastAsia="ko-KR" w:bidi="ar-SA"/>
        </w:rPr>
      </w:pPr>
    </w:p>
    <w:p w14:paraId="351288B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In a composite electrocatalyst, using an aerogel structure can increase the overall surface area as well as the active reaction site on the surface of the electrocatalyst. An additional benefit is the high anatase TiO</w:t>
      </w:r>
      <w:r w:rsidRPr="00A40B83">
        <w:rPr>
          <w:rFonts w:eastAsia="SimSun"/>
          <w:szCs w:val="20"/>
          <w:vertAlign w:val="subscript"/>
          <w:lang w:val="en-GB" w:eastAsia="ko-KR" w:bidi="ar-SA"/>
        </w:rPr>
        <w:t>2</w:t>
      </w:r>
      <w:r w:rsidRPr="00A40B83">
        <w:rPr>
          <w:rFonts w:eastAsia="SimSun"/>
          <w:szCs w:val="20"/>
          <w:lang w:val="en-GB" w:eastAsia="ko-KR" w:bidi="ar-SA"/>
        </w:rPr>
        <w:t xml:space="preserve"> composition, as determined by the XRD measurements. Anatase has a higher electrocatalytic activity than rutile TiO</w:t>
      </w:r>
      <w:r w:rsidRPr="00A40B83">
        <w:rPr>
          <w:rFonts w:eastAsia="SimSun"/>
          <w:szCs w:val="20"/>
          <w:vertAlign w:val="subscript"/>
          <w:lang w:val="en-GB" w:eastAsia="ko-KR" w:bidi="ar-SA"/>
        </w:rPr>
        <w:t>2</w:t>
      </w:r>
      <w:r w:rsidRPr="00A40B83">
        <w:rPr>
          <w:rFonts w:eastAsia="SimSun"/>
          <w:szCs w:val="20"/>
          <w:lang w:val="en-GB" w:eastAsia="ko-KR" w:bidi="ar-SA"/>
        </w:rPr>
        <w:t>. Besides increasing peak current density, the metal-support interaction also shows a favourable effect, and the material combination of PtRu and TiO</w:t>
      </w:r>
      <w:r w:rsidRPr="00A40B83">
        <w:rPr>
          <w:rFonts w:eastAsia="SimSun"/>
          <w:szCs w:val="20"/>
          <w:vertAlign w:val="subscript"/>
          <w:lang w:val="en-GB" w:eastAsia="ko-KR" w:bidi="ar-SA"/>
        </w:rPr>
        <w:t>2</w:t>
      </w:r>
      <w:r w:rsidRPr="00A40B83">
        <w:rPr>
          <w:rFonts w:eastAsia="SimSun"/>
          <w:szCs w:val="20"/>
          <w:lang w:val="en-GB" w:eastAsia="ko-KR" w:bidi="ar-SA"/>
        </w:rPr>
        <w:t>-GA is an effective electrocatalyst in DMFCs. The performance of PtRu/C is significantly poorer than that of PtRu agglomeration, where the ECSA value as well as the crystallite size as determined by XRD are emphasized. Such state reduces the possibility of the electrocatalyst surface to be an active site and lowers the performance of the electrocatalysts.</w:t>
      </w:r>
    </w:p>
    <w:p w14:paraId="0C5CB221" w14:textId="77777777" w:rsidR="00F26913" w:rsidRDefault="00F26913" w:rsidP="00F26913">
      <w:pPr>
        <w:spacing w:after="0"/>
        <w:jc w:val="both"/>
        <w:rPr>
          <w:rFonts w:eastAsia="SimSun"/>
          <w:szCs w:val="20"/>
          <w:lang w:eastAsia="ko-KR" w:bidi="ar-SA"/>
        </w:rPr>
        <w:sectPr w:rsidR="00F26913" w:rsidSect="00F26913">
          <w:type w:val="continuous"/>
          <w:pgSz w:w="12240" w:h="15840" w:code="1"/>
          <w:pgMar w:top="1800" w:right="1469" w:bottom="1699" w:left="1440" w:header="706" w:footer="706" w:gutter="0"/>
          <w:pgNumType w:start="1"/>
          <w:cols w:num="2" w:space="403"/>
          <w:docGrid w:linePitch="360"/>
        </w:sectPr>
      </w:pPr>
    </w:p>
    <w:p w14:paraId="32C18024" w14:textId="7EB529E8" w:rsidR="0004342C" w:rsidRDefault="00F26913" w:rsidP="0090051B">
      <w:pPr>
        <w:spacing w:after="120"/>
        <w:jc w:val="center"/>
        <w:rPr>
          <w:rFonts w:eastAsia="SimSun"/>
          <w:szCs w:val="20"/>
          <w:lang w:eastAsia="ko-KR" w:bidi="ar-SA"/>
        </w:rPr>
      </w:pPr>
      <w:r w:rsidRPr="00A40B83">
        <w:rPr>
          <w:rFonts w:eastAsia="SimSun"/>
          <w:noProof/>
          <w:szCs w:val="20"/>
          <w:lang w:eastAsia="ko-KR" w:bidi="ar-SA"/>
        </w:rPr>
        <w:lastRenderedPageBreak/>
        <w:drawing>
          <wp:inline distT="0" distB="0" distL="0" distR="0" wp14:anchorId="028A7DC0" wp14:editId="5FDF5968">
            <wp:extent cx="4036179" cy="3060000"/>
            <wp:effectExtent l="19050" t="19050" r="2159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4036179" cy="3060000"/>
                    </a:xfrm>
                    <a:prstGeom prst="rect">
                      <a:avLst/>
                    </a:prstGeom>
                    <a:ln>
                      <a:solidFill>
                        <a:sysClr val="windowText" lastClr="000000"/>
                      </a:solidFill>
                    </a:ln>
                  </pic:spPr>
                </pic:pic>
              </a:graphicData>
            </a:graphic>
          </wp:inline>
        </w:drawing>
      </w:r>
    </w:p>
    <w:p w14:paraId="4CFC3502" w14:textId="491ED789" w:rsidR="00F26913" w:rsidRPr="00A40B83" w:rsidRDefault="00F26913" w:rsidP="0090051B">
      <w:pPr>
        <w:spacing w:after="0"/>
        <w:ind w:left="900" w:hanging="90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4</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ab/>
      </w:r>
      <w:r w:rsidRPr="00A40B83">
        <w:rPr>
          <w:rFonts w:eastAsia="SimSun"/>
          <w:szCs w:val="20"/>
          <w:lang w:eastAsia="ko-KR" w:bidi="ar-SA"/>
        </w:rPr>
        <w:t>(a)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at scan rate 50 mVs</w:t>
      </w:r>
      <w:r w:rsidRPr="00A40B83">
        <w:rPr>
          <w:rFonts w:eastAsia="SimSun"/>
          <w:szCs w:val="20"/>
          <w:vertAlign w:val="superscript"/>
          <w:lang w:eastAsia="ko-KR" w:bidi="ar-SA"/>
        </w:rPr>
        <w:t>-1</w:t>
      </w:r>
      <w:r w:rsidRPr="00A40B83">
        <w:rPr>
          <w:rFonts w:eastAsia="SimSun"/>
          <w:szCs w:val="20"/>
          <w:lang w:eastAsia="ko-KR" w:bidi="ar-SA"/>
        </w:rPr>
        <w:t>, (b)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containing 1 M CH</w:t>
      </w:r>
      <w:r w:rsidRPr="00A40B83">
        <w:rPr>
          <w:rFonts w:eastAsia="SimSun"/>
          <w:szCs w:val="20"/>
          <w:vertAlign w:val="subscript"/>
          <w:lang w:eastAsia="ko-KR" w:bidi="ar-SA"/>
        </w:rPr>
        <w:t>3</w:t>
      </w:r>
      <w:r w:rsidRPr="00A40B83">
        <w:rPr>
          <w:rFonts w:eastAsia="SimSun"/>
          <w:szCs w:val="20"/>
          <w:lang w:eastAsia="ko-KR" w:bidi="ar-SA"/>
        </w:rPr>
        <w:t>OH at scan rate 50 mVs</w:t>
      </w:r>
      <w:r w:rsidRPr="00A40B83">
        <w:rPr>
          <w:rFonts w:eastAsia="SimSun"/>
          <w:szCs w:val="20"/>
          <w:vertAlign w:val="superscript"/>
          <w:lang w:eastAsia="ko-KR" w:bidi="ar-SA"/>
        </w:rPr>
        <w:t>-1</w:t>
      </w:r>
      <w:r w:rsidRPr="00A40B83">
        <w:rPr>
          <w:rFonts w:eastAsia="SimSun"/>
          <w:szCs w:val="20"/>
          <w:lang w:eastAsia="ko-KR" w:bidi="ar-SA"/>
        </w:rPr>
        <w:t>, and (c) Chronoamperometric curves of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in N</w:t>
      </w:r>
      <w:r w:rsidRPr="00A40B83">
        <w:rPr>
          <w:rFonts w:eastAsia="SimSun"/>
          <w:szCs w:val="20"/>
          <w:vertAlign w:val="subscript"/>
          <w:lang w:eastAsia="ko-KR" w:bidi="ar-SA"/>
        </w:rPr>
        <w:t>2</w:t>
      </w:r>
      <w:r w:rsidRPr="00A40B83">
        <w:rPr>
          <w:rFonts w:eastAsia="SimSun"/>
          <w:szCs w:val="20"/>
          <w:lang w:eastAsia="ko-KR" w:bidi="ar-SA"/>
        </w:rPr>
        <w:t xml:space="preserve"> saturated containing 1 M CH</w:t>
      </w:r>
      <w:r w:rsidRPr="00A40B83">
        <w:rPr>
          <w:rFonts w:eastAsia="SimSun"/>
          <w:szCs w:val="20"/>
          <w:vertAlign w:val="subscript"/>
          <w:lang w:eastAsia="ko-KR" w:bidi="ar-SA"/>
        </w:rPr>
        <w:t>3</w:t>
      </w:r>
      <w:r w:rsidRPr="00A40B83">
        <w:rPr>
          <w:rFonts w:eastAsia="SimSun"/>
          <w:szCs w:val="20"/>
          <w:lang w:eastAsia="ko-KR" w:bidi="ar-SA"/>
        </w:rPr>
        <w:t>OH</w:t>
      </w:r>
    </w:p>
    <w:p w14:paraId="2314017E" w14:textId="77777777" w:rsidR="00A40B83" w:rsidRPr="00A40B83" w:rsidRDefault="00A40B83" w:rsidP="00A40B83">
      <w:pPr>
        <w:spacing w:after="0"/>
        <w:jc w:val="both"/>
        <w:rPr>
          <w:rFonts w:eastAsia="SimSun"/>
          <w:szCs w:val="20"/>
          <w:lang w:val="en-GB" w:eastAsia="ko-KR" w:bidi="ar-SA"/>
        </w:rPr>
      </w:pPr>
    </w:p>
    <w:p w14:paraId="580B163A" w14:textId="7FB0B474" w:rsidR="0004342C" w:rsidRPr="00A40B83" w:rsidRDefault="00A40B83" w:rsidP="0090051B">
      <w:pPr>
        <w:spacing w:after="120"/>
        <w:jc w:val="center"/>
        <w:rPr>
          <w:rFonts w:eastAsia="SimSun"/>
          <w:szCs w:val="20"/>
          <w:lang w:eastAsia="ko-KR" w:bidi="ar-SA"/>
        </w:rPr>
      </w:pPr>
      <w:bookmarkStart w:id="1" w:name="_Hlk77511703"/>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Assessment of the performance outcomes with the previous research</w:t>
      </w:r>
    </w:p>
    <w:tbl>
      <w:tblPr>
        <w:tblW w:w="0" w:type="auto"/>
        <w:jc w:val="center"/>
        <w:tblLook w:val="04A0" w:firstRow="1" w:lastRow="0" w:firstColumn="1" w:lastColumn="0" w:noHBand="0" w:noVBand="1"/>
      </w:tblPr>
      <w:tblGrid>
        <w:gridCol w:w="1783"/>
        <w:gridCol w:w="1839"/>
        <w:gridCol w:w="1609"/>
        <w:gridCol w:w="1272"/>
      </w:tblGrid>
      <w:tr w:rsidR="00A40B83" w:rsidRPr="0090051B" w14:paraId="2AF4D9B4" w14:textId="77777777" w:rsidTr="008D5A3F">
        <w:trPr>
          <w:trHeight w:val="395"/>
          <w:jc w:val="center"/>
        </w:trPr>
        <w:tc>
          <w:tcPr>
            <w:tcW w:w="0" w:type="auto"/>
            <w:tcBorders>
              <w:top w:val="single" w:sz="4" w:space="0" w:color="auto"/>
              <w:bottom w:val="single" w:sz="4" w:space="0" w:color="auto"/>
            </w:tcBorders>
            <w:shd w:val="clear" w:color="auto" w:fill="auto"/>
            <w:noWrap/>
            <w:vAlign w:val="center"/>
            <w:hideMark/>
          </w:tcPr>
          <w:p w14:paraId="367817E5" w14:textId="77777777" w:rsidR="00A40B83" w:rsidRPr="0090051B" w:rsidRDefault="00A40B83" w:rsidP="00A40B83">
            <w:pPr>
              <w:spacing w:after="0"/>
              <w:jc w:val="both"/>
              <w:rPr>
                <w:b/>
                <w:szCs w:val="20"/>
                <w:lang w:eastAsia="ko-KR" w:bidi="ar-SA"/>
              </w:rPr>
            </w:pPr>
            <w:r w:rsidRPr="0090051B">
              <w:rPr>
                <w:b/>
                <w:szCs w:val="20"/>
                <w:lang w:eastAsia="ko-KR" w:bidi="ar-SA"/>
              </w:rPr>
              <w:t>Research</w:t>
            </w:r>
          </w:p>
        </w:tc>
        <w:tc>
          <w:tcPr>
            <w:tcW w:w="0" w:type="auto"/>
            <w:tcBorders>
              <w:top w:val="single" w:sz="4" w:space="0" w:color="auto"/>
              <w:bottom w:val="single" w:sz="4" w:space="0" w:color="auto"/>
            </w:tcBorders>
            <w:vAlign w:val="center"/>
          </w:tcPr>
          <w:p w14:paraId="38397446" w14:textId="77777777" w:rsidR="00A40B83" w:rsidRPr="0090051B" w:rsidRDefault="00A40B83" w:rsidP="00A40B83">
            <w:pPr>
              <w:spacing w:after="0"/>
              <w:jc w:val="both"/>
              <w:rPr>
                <w:b/>
                <w:szCs w:val="20"/>
                <w:lang w:eastAsia="ko-KR" w:bidi="ar-SA"/>
              </w:rPr>
            </w:pPr>
            <w:r w:rsidRPr="0090051B">
              <w:rPr>
                <w:b/>
                <w:szCs w:val="20"/>
                <w:lang w:eastAsia="ko-KR" w:bidi="ar-SA"/>
              </w:rPr>
              <w:t>Type of Catalyst</w:t>
            </w:r>
          </w:p>
        </w:tc>
        <w:tc>
          <w:tcPr>
            <w:tcW w:w="0" w:type="auto"/>
            <w:tcBorders>
              <w:top w:val="single" w:sz="4" w:space="0" w:color="auto"/>
              <w:bottom w:val="single" w:sz="4" w:space="0" w:color="auto"/>
            </w:tcBorders>
            <w:shd w:val="clear" w:color="auto" w:fill="auto"/>
            <w:vAlign w:val="center"/>
            <w:hideMark/>
          </w:tcPr>
          <w:p w14:paraId="0F2E713B" w14:textId="77777777" w:rsidR="00A40B83" w:rsidRPr="0090051B" w:rsidRDefault="00A40B83" w:rsidP="00A40B83">
            <w:pPr>
              <w:spacing w:after="0"/>
              <w:jc w:val="both"/>
              <w:rPr>
                <w:b/>
                <w:szCs w:val="20"/>
                <w:lang w:eastAsia="ko-KR" w:bidi="ar-SA"/>
              </w:rPr>
            </w:pPr>
            <w:r w:rsidRPr="0090051B">
              <w:rPr>
                <w:b/>
                <w:szCs w:val="20"/>
                <w:lang w:eastAsia="ko-KR" w:bidi="ar-SA"/>
              </w:rPr>
              <w:t>ECSA (m</w:t>
            </w:r>
            <w:r w:rsidRPr="0090051B">
              <w:rPr>
                <w:b/>
                <w:szCs w:val="20"/>
                <w:vertAlign w:val="superscript"/>
                <w:lang w:eastAsia="ko-KR" w:bidi="ar-SA"/>
              </w:rPr>
              <w:t>2</w:t>
            </w:r>
            <w:r w:rsidRPr="0090051B">
              <w:rPr>
                <w:b/>
                <w:szCs w:val="20"/>
                <w:lang w:eastAsia="ko-KR" w:bidi="ar-SA"/>
              </w:rPr>
              <w:t>/g</w:t>
            </w:r>
            <w:r w:rsidRPr="0090051B">
              <w:rPr>
                <w:b/>
                <w:szCs w:val="20"/>
                <w:vertAlign w:val="subscript"/>
                <w:lang w:eastAsia="ko-KR" w:bidi="ar-SA"/>
              </w:rPr>
              <w:t>PtRu</w:t>
            </w:r>
            <w:r w:rsidRPr="0090051B">
              <w:rPr>
                <w:b/>
                <w:szCs w:val="20"/>
                <w:lang w:eastAsia="ko-KR" w:bidi="ar-SA"/>
              </w:rPr>
              <w:t>)</w:t>
            </w:r>
          </w:p>
        </w:tc>
        <w:tc>
          <w:tcPr>
            <w:tcW w:w="0" w:type="auto"/>
            <w:tcBorders>
              <w:top w:val="single" w:sz="4" w:space="0" w:color="auto"/>
              <w:bottom w:val="single" w:sz="4" w:space="0" w:color="auto"/>
            </w:tcBorders>
            <w:shd w:val="clear" w:color="auto" w:fill="auto"/>
            <w:vAlign w:val="center"/>
            <w:hideMark/>
          </w:tcPr>
          <w:p w14:paraId="03BAA912" w14:textId="77777777" w:rsidR="00A40B83" w:rsidRPr="0090051B" w:rsidRDefault="00A40B83" w:rsidP="008D5A3F">
            <w:pPr>
              <w:spacing w:before="60" w:after="60"/>
              <w:jc w:val="both"/>
              <w:rPr>
                <w:b/>
                <w:szCs w:val="20"/>
                <w:lang w:eastAsia="ko-KR" w:bidi="ar-SA"/>
              </w:rPr>
            </w:pPr>
            <w:r w:rsidRPr="0090051B">
              <w:rPr>
                <w:b/>
                <w:szCs w:val="20"/>
                <w:lang w:eastAsia="ko-KR" w:bidi="ar-SA"/>
              </w:rPr>
              <w:t xml:space="preserve">Mass ativity </w:t>
            </w:r>
            <w:r w:rsidRPr="0090051B">
              <w:rPr>
                <w:b/>
                <w:szCs w:val="20"/>
                <w:lang w:eastAsia="ko-KR" w:bidi="ar-SA"/>
              </w:rPr>
              <w:br/>
              <w:t>(mA/mg</w:t>
            </w:r>
            <w:r w:rsidRPr="0090051B">
              <w:rPr>
                <w:b/>
                <w:szCs w:val="20"/>
                <w:vertAlign w:val="subscript"/>
                <w:lang w:eastAsia="ko-KR" w:bidi="ar-SA"/>
              </w:rPr>
              <w:t>PtRu</w:t>
            </w:r>
            <w:r w:rsidRPr="0090051B">
              <w:rPr>
                <w:b/>
                <w:szCs w:val="20"/>
                <w:lang w:eastAsia="ko-KR" w:bidi="ar-SA"/>
              </w:rPr>
              <w:t>)</w:t>
            </w:r>
          </w:p>
        </w:tc>
      </w:tr>
      <w:tr w:rsidR="00A40B83" w:rsidRPr="00A40B83" w14:paraId="56161172" w14:textId="77777777" w:rsidTr="008D5A3F">
        <w:trPr>
          <w:trHeight w:val="288"/>
          <w:jc w:val="center"/>
        </w:trPr>
        <w:tc>
          <w:tcPr>
            <w:tcW w:w="0" w:type="auto"/>
            <w:tcBorders>
              <w:top w:val="single" w:sz="4" w:space="0" w:color="auto"/>
              <w:left w:val="nil"/>
              <w:bottom w:val="nil"/>
              <w:right w:val="nil"/>
            </w:tcBorders>
            <w:shd w:val="clear" w:color="auto" w:fill="auto"/>
            <w:noWrap/>
            <w:vAlign w:val="center"/>
            <w:hideMark/>
          </w:tcPr>
          <w:p w14:paraId="0E5090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single" w:sz="4" w:space="0" w:color="auto"/>
              <w:left w:val="nil"/>
              <w:bottom w:val="nil"/>
              <w:right w:val="nil"/>
            </w:tcBorders>
            <w:vAlign w:val="center"/>
          </w:tcPr>
          <w:p w14:paraId="43CEF996" w14:textId="77777777" w:rsidR="00A40B83" w:rsidRPr="00A40B83" w:rsidRDefault="00A40B83" w:rsidP="008D5A3F">
            <w:pPr>
              <w:spacing w:before="60" w:after="0"/>
              <w:jc w:val="both"/>
              <w:rPr>
                <w:szCs w:val="20"/>
                <w:lang w:eastAsia="ko-KR" w:bidi="ar-SA"/>
              </w:rPr>
            </w:pPr>
            <w:r w:rsidRPr="00A40B83">
              <w:rPr>
                <w:szCs w:val="20"/>
                <w:lang w:eastAsia="ko-KR" w:bidi="ar-SA"/>
              </w:rPr>
              <w:t>PtRu/</w:t>
            </w:r>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w:t>
            </w:r>
          </w:p>
        </w:tc>
        <w:tc>
          <w:tcPr>
            <w:tcW w:w="0" w:type="auto"/>
            <w:tcBorders>
              <w:top w:val="single" w:sz="4" w:space="0" w:color="auto"/>
              <w:left w:val="nil"/>
              <w:bottom w:val="nil"/>
              <w:right w:val="nil"/>
            </w:tcBorders>
            <w:shd w:val="clear" w:color="auto" w:fill="auto"/>
            <w:noWrap/>
            <w:vAlign w:val="center"/>
            <w:hideMark/>
          </w:tcPr>
          <w:p w14:paraId="7649BA6B" w14:textId="77777777" w:rsidR="00A40B83" w:rsidRPr="00A40B83" w:rsidRDefault="00A40B83" w:rsidP="008D5A3F">
            <w:pPr>
              <w:spacing w:before="60" w:after="0"/>
              <w:jc w:val="both"/>
              <w:rPr>
                <w:szCs w:val="20"/>
                <w:lang w:eastAsia="ko-KR" w:bidi="ar-SA"/>
              </w:rPr>
            </w:pPr>
            <w:r w:rsidRPr="00A40B83">
              <w:rPr>
                <w:szCs w:val="20"/>
                <w:lang w:eastAsia="ko-KR" w:bidi="ar-SA"/>
              </w:rPr>
              <w:t>68.44</w:t>
            </w:r>
          </w:p>
        </w:tc>
        <w:tc>
          <w:tcPr>
            <w:tcW w:w="0" w:type="auto"/>
            <w:tcBorders>
              <w:top w:val="single" w:sz="4" w:space="0" w:color="auto"/>
              <w:left w:val="nil"/>
              <w:bottom w:val="nil"/>
              <w:right w:val="nil"/>
            </w:tcBorders>
            <w:shd w:val="clear" w:color="auto" w:fill="auto"/>
            <w:noWrap/>
            <w:vAlign w:val="center"/>
            <w:hideMark/>
          </w:tcPr>
          <w:p w14:paraId="05818D4A" w14:textId="77777777" w:rsidR="00A40B83" w:rsidRPr="00A40B83" w:rsidRDefault="00A40B83" w:rsidP="008D5A3F">
            <w:pPr>
              <w:spacing w:before="60" w:after="0"/>
              <w:jc w:val="both"/>
              <w:rPr>
                <w:szCs w:val="20"/>
                <w:lang w:eastAsia="ko-KR" w:bidi="ar-SA"/>
              </w:rPr>
            </w:pPr>
            <w:r w:rsidRPr="00A40B83">
              <w:rPr>
                <w:szCs w:val="20"/>
                <w:lang w:eastAsia="ko-KR" w:bidi="ar-SA"/>
              </w:rPr>
              <w:t>957.15</w:t>
            </w:r>
          </w:p>
        </w:tc>
      </w:tr>
      <w:tr w:rsidR="00A40B83" w:rsidRPr="00A40B83" w14:paraId="09D5C397" w14:textId="77777777" w:rsidTr="008943A8">
        <w:trPr>
          <w:trHeight w:val="252"/>
          <w:jc w:val="center"/>
        </w:trPr>
        <w:tc>
          <w:tcPr>
            <w:tcW w:w="0" w:type="auto"/>
            <w:tcBorders>
              <w:top w:val="nil"/>
              <w:left w:val="nil"/>
              <w:bottom w:val="nil"/>
              <w:right w:val="nil"/>
            </w:tcBorders>
            <w:shd w:val="clear" w:color="auto" w:fill="auto"/>
            <w:noWrap/>
            <w:vAlign w:val="center"/>
            <w:hideMark/>
          </w:tcPr>
          <w:p w14:paraId="27A819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nil"/>
              <w:left w:val="nil"/>
              <w:bottom w:val="nil"/>
              <w:right w:val="nil"/>
            </w:tcBorders>
            <w:vAlign w:val="center"/>
          </w:tcPr>
          <w:p w14:paraId="76F1DF8D" w14:textId="77777777" w:rsidR="00A40B83" w:rsidRPr="00A40B83" w:rsidRDefault="00A40B83" w:rsidP="008D5A3F">
            <w:pPr>
              <w:spacing w:before="60" w:after="0"/>
              <w:jc w:val="both"/>
              <w:rPr>
                <w:szCs w:val="20"/>
                <w:lang w:eastAsia="ko-KR" w:bidi="ar-SA"/>
              </w:rPr>
            </w:pPr>
            <w:r w:rsidRPr="00A40B83">
              <w:rPr>
                <w:szCs w:val="20"/>
                <w:lang w:eastAsia="ko-KR" w:bidi="ar-SA"/>
              </w:rPr>
              <w:t>PtRu/C</w:t>
            </w:r>
          </w:p>
        </w:tc>
        <w:tc>
          <w:tcPr>
            <w:tcW w:w="0" w:type="auto"/>
            <w:tcBorders>
              <w:top w:val="nil"/>
              <w:left w:val="nil"/>
              <w:bottom w:val="nil"/>
              <w:right w:val="nil"/>
            </w:tcBorders>
            <w:shd w:val="clear" w:color="auto" w:fill="auto"/>
            <w:noWrap/>
            <w:vAlign w:val="center"/>
            <w:hideMark/>
          </w:tcPr>
          <w:p w14:paraId="381A1285" w14:textId="77777777" w:rsidR="00A40B83" w:rsidRPr="00A40B83" w:rsidRDefault="00A40B83" w:rsidP="008D5A3F">
            <w:pPr>
              <w:spacing w:before="60" w:after="0"/>
              <w:jc w:val="both"/>
              <w:rPr>
                <w:szCs w:val="20"/>
                <w:lang w:eastAsia="ko-KR" w:bidi="ar-SA"/>
              </w:rPr>
            </w:pPr>
            <w:r w:rsidRPr="00A40B83">
              <w:rPr>
                <w:szCs w:val="20"/>
                <w:lang w:eastAsia="ko-KR" w:bidi="ar-SA"/>
              </w:rPr>
              <w:t>20.44</w:t>
            </w:r>
          </w:p>
        </w:tc>
        <w:tc>
          <w:tcPr>
            <w:tcW w:w="0" w:type="auto"/>
            <w:tcBorders>
              <w:top w:val="nil"/>
              <w:left w:val="nil"/>
              <w:bottom w:val="nil"/>
              <w:right w:val="nil"/>
            </w:tcBorders>
            <w:shd w:val="clear" w:color="auto" w:fill="auto"/>
            <w:noWrap/>
            <w:vAlign w:val="center"/>
            <w:hideMark/>
          </w:tcPr>
          <w:p w14:paraId="5B453A2D" w14:textId="77777777" w:rsidR="00A40B83" w:rsidRPr="00A40B83" w:rsidRDefault="00A40B83" w:rsidP="008D5A3F">
            <w:pPr>
              <w:spacing w:before="60" w:after="0"/>
              <w:jc w:val="both"/>
              <w:rPr>
                <w:szCs w:val="20"/>
                <w:lang w:eastAsia="ko-KR" w:bidi="ar-SA"/>
              </w:rPr>
            </w:pPr>
            <w:r w:rsidRPr="00A40B83">
              <w:rPr>
                <w:szCs w:val="20"/>
                <w:lang w:eastAsia="ko-KR" w:bidi="ar-SA"/>
              </w:rPr>
              <w:t>79.11</w:t>
            </w:r>
          </w:p>
        </w:tc>
      </w:tr>
      <w:tr w:rsidR="00A40B83" w:rsidRPr="00A40B83" w14:paraId="1D305CBA" w14:textId="77777777" w:rsidTr="008943A8">
        <w:trPr>
          <w:trHeight w:val="252"/>
          <w:jc w:val="center"/>
        </w:trPr>
        <w:tc>
          <w:tcPr>
            <w:tcW w:w="0" w:type="auto"/>
            <w:tcBorders>
              <w:top w:val="nil"/>
              <w:left w:val="nil"/>
              <w:bottom w:val="nil"/>
              <w:right w:val="nil"/>
            </w:tcBorders>
            <w:shd w:val="clear" w:color="auto" w:fill="auto"/>
            <w:noWrap/>
            <w:vAlign w:val="center"/>
          </w:tcPr>
          <w:p w14:paraId="68BD3944"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Abdullah et al. </w:t>
            </w:r>
            <w:r w:rsidRPr="00A40B83">
              <w:rPr>
                <w:szCs w:val="20"/>
                <w:lang w:eastAsia="ko-KR" w:bidi="ar-SA"/>
              </w:rPr>
              <w:fldChar w:fldCharType="begin" w:fldLock="1"/>
            </w:r>
            <w:r w:rsidRPr="00A40B83">
              <w:rPr>
                <w:szCs w:val="20"/>
                <w:lang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[16]</w:t>
            </w:r>
            <w:r w:rsidRPr="00A40B83">
              <w:rPr>
                <w:szCs w:val="20"/>
                <w:lang w:eastAsia="ko-KR" w:bidi="ar-SA"/>
              </w:rPr>
              <w:fldChar w:fldCharType="end"/>
            </w:r>
          </w:p>
        </w:tc>
        <w:tc>
          <w:tcPr>
            <w:tcW w:w="0" w:type="auto"/>
            <w:tcBorders>
              <w:top w:val="nil"/>
              <w:left w:val="nil"/>
              <w:bottom w:val="nil"/>
              <w:right w:val="nil"/>
            </w:tcBorders>
            <w:vAlign w:val="center"/>
          </w:tcPr>
          <w:p w14:paraId="3E4AD57F" w14:textId="77777777" w:rsidR="00A40B83" w:rsidRPr="00A40B83" w:rsidRDefault="00A40B83" w:rsidP="008D5A3F">
            <w:pPr>
              <w:spacing w:before="60" w:after="0"/>
              <w:jc w:val="both"/>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-CNF</w:t>
            </w:r>
          </w:p>
        </w:tc>
        <w:tc>
          <w:tcPr>
            <w:tcW w:w="0" w:type="auto"/>
            <w:tcBorders>
              <w:top w:val="nil"/>
              <w:left w:val="nil"/>
              <w:bottom w:val="nil"/>
              <w:right w:val="nil"/>
            </w:tcBorders>
            <w:shd w:val="clear" w:color="auto" w:fill="auto"/>
            <w:noWrap/>
            <w:vAlign w:val="center"/>
          </w:tcPr>
          <w:p w14:paraId="57ED4346" w14:textId="77777777" w:rsidR="00A40B83" w:rsidRPr="00A40B83" w:rsidRDefault="00A40B83" w:rsidP="008D5A3F">
            <w:pPr>
              <w:spacing w:before="60" w:after="0"/>
              <w:jc w:val="both"/>
              <w:rPr>
                <w:szCs w:val="20"/>
                <w:lang w:eastAsia="ko-KR" w:bidi="ar-SA"/>
              </w:rPr>
            </w:pPr>
            <w:r w:rsidRPr="00A40B83">
              <w:rPr>
                <w:szCs w:val="20"/>
                <w:lang w:eastAsia="ko-KR" w:bidi="ar-SA"/>
              </w:rPr>
              <w:t>10.4</w:t>
            </w:r>
          </w:p>
        </w:tc>
        <w:tc>
          <w:tcPr>
            <w:tcW w:w="0" w:type="auto"/>
            <w:tcBorders>
              <w:top w:val="nil"/>
              <w:left w:val="nil"/>
              <w:bottom w:val="nil"/>
              <w:right w:val="nil"/>
            </w:tcBorders>
            <w:shd w:val="clear" w:color="auto" w:fill="auto"/>
            <w:noWrap/>
            <w:vAlign w:val="center"/>
          </w:tcPr>
          <w:p w14:paraId="443AC1FA" w14:textId="77777777" w:rsidR="00A40B83" w:rsidRPr="00A40B83" w:rsidRDefault="00A40B83" w:rsidP="008D5A3F">
            <w:pPr>
              <w:spacing w:before="60" w:after="0"/>
              <w:jc w:val="both"/>
              <w:rPr>
                <w:szCs w:val="20"/>
                <w:lang w:eastAsia="ko-KR" w:bidi="ar-SA"/>
              </w:rPr>
            </w:pPr>
            <w:r w:rsidRPr="00A40B83">
              <w:rPr>
                <w:szCs w:val="20"/>
                <w:lang w:eastAsia="ko-KR" w:bidi="ar-SA"/>
              </w:rPr>
              <w:t>345.64</w:t>
            </w:r>
          </w:p>
        </w:tc>
      </w:tr>
      <w:tr w:rsidR="00A40B83" w:rsidRPr="00A40B83" w14:paraId="7B50859A" w14:textId="77777777" w:rsidTr="008D5A3F">
        <w:trPr>
          <w:trHeight w:val="252"/>
          <w:jc w:val="center"/>
        </w:trPr>
        <w:tc>
          <w:tcPr>
            <w:tcW w:w="0" w:type="auto"/>
            <w:tcBorders>
              <w:top w:val="nil"/>
              <w:left w:val="nil"/>
              <w:right w:val="nil"/>
            </w:tcBorders>
            <w:shd w:val="clear" w:color="auto" w:fill="auto"/>
            <w:noWrap/>
            <w:vAlign w:val="center"/>
          </w:tcPr>
          <w:p w14:paraId="63621B4B"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Basri et al. </w:t>
            </w:r>
            <w:r w:rsidRPr="00A40B83">
              <w:rPr>
                <w:szCs w:val="20"/>
                <w:lang w:eastAsia="ko-KR" w:bidi="ar-SA"/>
              </w:rPr>
              <w:fldChar w:fldCharType="begin" w:fldLock="1"/>
            </w:r>
            <w:r w:rsidRPr="00A40B83">
              <w:rPr>
                <w:szCs w:val="20"/>
                <w:lang w:eastAsia="ko-KR" w:bidi="ar-SA"/>
              </w:rPr>
              <w:instrText>ADDIN CSL_CITATION {"citationItems":[{"id":"ITEM-1","itemData":{"DOI":"10.1155/2014/547604","ISSN":"1537-744X","PMID":"24883406","abstract":"PtRu catalyst is a promising anodic catalyst for direct methanol fuel cells (DMFCs) but the slow reaction kinetics reduce the performance of DMFCs. Therefore, this study attempts to improve the performance of PtRu catalysts by adding nickel (Ni) and iron (Fe). Multiwalled carbon nanotubes (MWCNTs) are used to increase the active area of the catalyst and to improve the catalyst performance. Electrochemical analysis techniques, such as energy dispersive X-ray spectrometry (EDX), X-ray diffraction (XRD), field emission scanning electron microscopy (FESEM), and X-ray photoelectron spectroscopy (XPS), are used to characterize the kinetic parameters of the hybrid catalyst. Cyclic voltammetry (CV) is used to investigate the effects of adding Fe and Ni to the catalyst on the reaction kinetics. Additionally, chronoamperometry (CA) tests were conducted to study the long-term performance of the catalyst for catalyzing the methanol oxidation reaction (MOR). The binding energies of the reactants and products are compared to determine the kinetics and potential surface energy for methanol oxidation. The FESEM analysis results indicate that well-dispersed nanoscale (2-5 nm) PtRu particles are formed on the MWCNTs. Finally, PtRuFeNi/MWCNT improves the reaction kinetics of anode catalysts for DMFCs and obtains a mass current of 31 A g(-1) catalyst.","author":[{"dropping-particle":"","family":"Basri","given":"S.","non-dropping-particle":"","parse-names":false,"suffix":""},{"dropping-particle":"","family":"Kamarudin","given":"S. K.","non-dropping-particle":"","parse-names":false,"suffix":""},{"dropping-particle":"","family":"Daud","given":"W. R.W. W","non-dropping-particle":"","parse-names":false,"suffix":""},{"dropping-particle":"","family":"Yaakob","given":"Z.","non-dropping-particle":"","parse-names":false,"suffix":""},{"dropping-particle":"","family":"Kadhum","given":"A. A.H. H","non-dropping-particle":"","parse-names":false,"suffix":""}],"container-title":"TheScientificWorldJournal","id":"ITEM-1","issue":"547604","issued":{"date-parts":[["2014","4","27"]]},"page":"547604","publisher":"Hindawi","title":"Novel anode catalyst for direct methanol fuel cells.","type":"article-journal","volume":"2014"},"uris":["http://www.mendeley.com/documents/?uuid=0bf94f53-5e99-4bc8-b7be-f1a27eaca733"]}],"mendeley":{"formattedCitation":"[29]","plainTextFormattedCitation":"[29]","previouslyFormattedCitation":"[29]"},"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[29]</w:t>
            </w:r>
            <w:r w:rsidRPr="00A40B83">
              <w:rPr>
                <w:szCs w:val="20"/>
                <w:lang w:eastAsia="ko-KR" w:bidi="ar-SA"/>
              </w:rPr>
              <w:fldChar w:fldCharType="end"/>
            </w:r>
          </w:p>
        </w:tc>
        <w:tc>
          <w:tcPr>
            <w:tcW w:w="0" w:type="auto"/>
            <w:tcBorders>
              <w:top w:val="nil"/>
              <w:left w:val="nil"/>
              <w:right w:val="nil"/>
            </w:tcBorders>
            <w:vAlign w:val="center"/>
          </w:tcPr>
          <w:p w14:paraId="45BDF046" w14:textId="77777777" w:rsidR="00A40B83" w:rsidRPr="00A40B83" w:rsidRDefault="00A40B83" w:rsidP="008D5A3F">
            <w:pPr>
              <w:spacing w:before="60" w:after="0"/>
              <w:jc w:val="both"/>
              <w:rPr>
                <w:szCs w:val="20"/>
                <w:lang w:eastAsia="ko-KR" w:bidi="ar-SA"/>
              </w:rPr>
            </w:pPr>
            <w:r w:rsidRPr="00A40B83">
              <w:rPr>
                <w:szCs w:val="20"/>
                <w:lang w:eastAsia="ko-KR" w:bidi="ar-SA"/>
              </w:rPr>
              <w:t>PtRuNiFe/MWCNT</w:t>
            </w:r>
          </w:p>
        </w:tc>
        <w:tc>
          <w:tcPr>
            <w:tcW w:w="0" w:type="auto"/>
            <w:tcBorders>
              <w:top w:val="nil"/>
              <w:left w:val="nil"/>
              <w:right w:val="nil"/>
            </w:tcBorders>
            <w:shd w:val="clear" w:color="auto" w:fill="auto"/>
            <w:noWrap/>
            <w:vAlign w:val="center"/>
          </w:tcPr>
          <w:p w14:paraId="22B79A14" w14:textId="77777777" w:rsidR="00A40B83" w:rsidRPr="00A40B83" w:rsidRDefault="00A40B83" w:rsidP="008D5A3F">
            <w:pPr>
              <w:spacing w:before="60" w:after="0"/>
              <w:jc w:val="both"/>
              <w:rPr>
                <w:szCs w:val="20"/>
                <w:lang w:eastAsia="ko-KR" w:bidi="ar-SA"/>
              </w:rPr>
            </w:pPr>
            <w:r w:rsidRPr="00A40B83">
              <w:rPr>
                <w:szCs w:val="20"/>
                <w:lang w:eastAsia="ko-KR" w:bidi="ar-SA"/>
              </w:rPr>
              <w:t>-</w:t>
            </w:r>
          </w:p>
        </w:tc>
        <w:tc>
          <w:tcPr>
            <w:tcW w:w="0" w:type="auto"/>
            <w:tcBorders>
              <w:top w:val="nil"/>
              <w:left w:val="nil"/>
              <w:right w:val="nil"/>
            </w:tcBorders>
            <w:shd w:val="clear" w:color="auto" w:fill="auto"/>
            <w:noWrap/>
            <w:vAlign w:val="center"/>
          </w:tcPr>
          <w:p w14:paraId="789EB346" w14:textId="77777777" w:rsidR="00A40B83" w:rsidRPr="00A40B83" w:rsidRDefault="00A40B83" w:rsidP="008D5A3F">
            <w:pPr>
              <w:spacing w:before="60" w:after="0"/>
              <w:jc w:val="both"/>
              <w:rPr>
                <w:szCs w:val="20"/>
                <w:lang w:eastAsia="ko-KR" w:bidi="ar-SA"/>
              </w:rPr>
            </w:pPr>
            <w:r w:rsidRPr="00A40B83">
              <w:rPr>
                <w:szCs w:val="20"/>
                <w:lang w:eastAsia="ko-KR" w:bidi="ar-SA"/>
              </w:rPr>
              <w:t>151.47</w:t>
            </w:r>
          </w:p>
        </w:tc>
      </w:tr>
      <w:tr w:rsidR="00A40B83" w:rsidRPr="00A40B83" w14:paraId="20E76CF8" w14:textId="77777777" w:rsidTr="008D5A3F">
        <w:trPr>
          <w:trHeight w:val="252"/>
          <w:jc w:val="center"/>
        </w:trPr>
        <w:tc>
          <w:tcPr>
            <w:tcW w:w="0" w:type="auto"/>
            <w:tcBorders>
              <w:top w:val="nil"/>
              <w:left w:val="nil"/>
              <w:bottom w:val="single" w:sz="4" w:space="0" w:color="auto"/>
              <w:right w:val="nil"/>
            </w:tcBorders>
            <w:shd w:val="clear" w:color="auto" w:fill="auto"/>
            <w:noWrap/>
            <w:vAlign w:val="center"/>
          </w:tcPr>
          <w:p w14:paraId="5B226AD7" w14:textId="77777777" w:rsidR="00A40B83" w:rsidRPr="00A40B83" w:rsidRDefault="00A40B83" w:rsidP="008D5A3F">
            <w:pPr>
              <w:spacing w:before="60" w:after="60"/>
              <w:jc w:val="both"/>
              <w:rPr>
                <w:szCs w:val="20"/>
                <w:lang w:eastAsia="ko-KR" w:bidi="ar-SA"/>
              </w:rPr>
            </w:pPr>
            <w:r w:rsidRPr="00A40B83">
              <w:rPr>
                <w:szCs w:val="20"/>
                <w:lang w:eastAsia="ko-KR" w:bidi="ar-SA"/>
              </w:rPr>
              <w:t xml:space="preserve">Ramli et al. </w:t>
            </w:r>
            <w:r w:rsidRPr="00A40B83">
              <w:rPr>
                <w:szCs w:val="20"/>
                <w:lang w:eastAsia="ko-KR" w:bidi="ar-SA"/>
              </w:rPr>
              <w:fldChar w:fldCharType="begin" w:fldLock="1"/>
            </w:r>
            <w:r w:rsidRPr="00A40B83">
              <w:rPr>
                <w:szCs w:val="20"/>
                <w:lang w:eastAsia="ko-KR" w:bidi="ar-SA"/>
              </w:rPr>
              <w:instrText>ADDIN CSL_CITATION {"citationItems":[{"id":"ITEM-1","itemData":{"DOI":"10.1002/ER.5621","ISSN":"1099114X","abstract":"In this study, we introduce the potential for a new catalyst support, namely, carbon nanocages (CNCs) for anodic direct methanol fuel cell (DMFC). The synthesis, characterization and catalytic activities of four electrocatalysts, PtRu/CNC, PtNi/CNC, PtFe/CNC and PtCo/CNC, have been investigated. These electrocatalysts are synthesized using pyrolysis, followed by a microwave-assisted ethylene glycol reduction method. From X-ray diffraction analysis, PtNi/CNC and PtRu/CNC showed the smallest crystallite particle size of Pt-alloy, which corresponded to the (111) plane. The Raman spectra confirmed the presence of the carbon support material in all prepared electrocatalysts. The ratio value of the D band and G band (ID/IG) of all prepared samples was not much different within the electrocatalyst and CNC. The ID/IG values calculated for the CNC, PtNi/CNC, PtRu/CNC, PtCo/CNC and PtFe/CNC electrocatalysts were 0.90, 0.89, 0.83, 0.78 and 0.77, respectively. Therefore, the number of defects of graphitization in increasing order (ID/IG) was PtFe/CNC &lt; PtCo/CNC &lt; PtRu/CNC &lt; PtNi/CNC &lt; CNC. Brunauer-Emmett-Teller analysis revealed that the CNC support has a mesoporous-type structure with a high surface area of 416 m2 g−1, which indicates that this support has a high potential to act as an excellent catalyst support. From the cyclic voltammetry curve, PtRu/CNC showed the highest catalytic activity in methanol electro-oxidation and reached a value of 427 mA mg−1, followed by PtNi/CNC (384.11 mA mg−1), PtCo/CNC (150.53 mA mg−1) and PtFe/CNC (144.11 mA mg−1). PtFe/CNC exhibited a higher ratio value of If/Ib (3.24) compared with PtRu/CNC (2.34), PtNi/CNC (1.43) and PtCo/CNC (1.62). These values show that the combination of Pt and Fe catalysts in PtFe/CNC had better CO tolerance than PtRu/CNC, PtNi/CNC and PtCo/CNC electrocatalysts. The higher performance of PtRu/CNC was attributed to the fact that it had the smallest bimetallic-Pt crystallite; there was a smooth distribution of bimetallic-Pt on its CNC support, as shown by field emission scanning electron microscopy; it had the highest electrochemical surface area value (16.23 m2 g−1); and it had an overall catalytic performance enhanced by the advantages of the unique and large surface area from the CNC as support material. In passive DMFC mode, PtRu/CNC showed a maximum power density of 3.35 mW cm−2, which is 1.72 times higher than that of the PtRu/C commercial electrocatalyst.","author":[{"dropping-particle":"","family":"Ramli","given":"Zatil A.C.","non-dropping-particle":"","parse-names":false,"suffix":""},{"dropping-particle":"","family":"Kamarudin","given":"S. K.","non-dropping-particle":"","parse-names":false,"suffix":""},{"dropping-particle":"","family":"Basri","given":"Sahriah","non-dropping-particle":"","parse-names":false,"suffix":""},{"dropping-particle":"","family":"Zainoodin","given":"Azran M.","non-dropping-particle":"","parse-names":false,"suffix":""}],"container-title":"International Journal of Energy Research","id":"ITEM-1","issue":"13","issued":{"date-parts":[["2020","10","25"]]},"page":"10071-10086","publisher":"John Wiley and Sons Ltd","title":"The potential of novel carbon nanocages as a carbon support for an enhanced methanol electro-oxidation reaction in a direct methanol fuel cell","type":"article-journal","volume":"44"},"uris":["http://www.mendeley.com/documents/?uuid=5122f7cd-7e51-4ac8-afc2-eb278a86f825"]}],"mendeley":{"formattedCitation":"[30]","plainTextFormattedCitation":"[30]","previouslyFormattedCitation":"[30]"},"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[30]</w:t>
            </w:r>
            <w:r w:rsidRPr="00A40B83">
              <w:rPr>
                <w:szCs w:val="20"/>
                <w:lang w:eastAsia="ko-KR" w:bidi="ar-SA"/>
              </w:rPr>
              <w:fldChar w:fldCharType="end"/>
            </w:r>
          </w:p>
        </w:tc>
        <w:tc>
          <w:tcPr>
            <w:tcW w:w="0" w:type="auto"/>
            <w:tcBorders>
              <w:top w:val="nil"/>
              <w:left w:val="nil"/>
              <w:bottom w:val="single" w:sz="4" w:space="0" w:color="auto"/>
              <w:right w:val="nil"/>
            </w:tcBorders>
            <w:vAlign w:val="center"/>
          </w:tcPr>
          <w:p w14:paraId="5269AAB9" w14:textId="77777777" w:rsidR="00A40B83" w:rsidRPr="00A40B83" w:rsidRDefault="00A40B83" w:rsidP="008D5A3F">
            <w:pPr>
              <w:spacing w:before="60" w:after="60"/>
              <w:jc w:val="both"/>
              <w:rPr>
                <w:szCs w:val="20"/>
                <w:lang w:eastAsia="ko-KR" w:bidi="ar-SA"/>
              </w:rPr>
            </w:pPr>
            <w:r w:rsidRPr="00A40B83">
              <w:rPr>
                <w:rFonts w:eastAsia="Calibri"/>
                <w:szCs w:val="20"/>
                <w:lang w:bidi="ar-SA"/>
              </w:rPr>
              <w:t>PtRu/CNC</w:t>
            </w:r>
          </w:p>
        </w:tc>
        <w:tc>
          <w:tcPr>
            <w:tcW w:w="0" w:type="auto"/>
            <w:tcBorders>
              <w:top w:val="nil"/>
              <w:left w:val="nil"/>
              <w:bottom w:val="single" w:sz="4" w:space="0" w:color="auto"/>
              <w:right w:val="nil"/>
            </w:tcBorders>
            <w:shd w:val="clear" w:color="auto" w:fill="auto"/>
            <w:noWrap/>
            <w:vAlign w:val="center"/>
          </w:tcPr>
          <w:p w14:paraId="3AC75545" w14:textId="77777777" w:rsidR="00A40B83" w:rsidRPr="00A40B83" w:rsidRDefault="00A40B83" w:rsidP="008D5A3F">
            <w:pPr>
              <w:spacing w:before="60" w:after="60"/>
              <w:jc w:val="both"/>
              <w:rPr>
                <w:szCs w:val="20"/>
                <w:lang w:eastAsia="ko-KR" w:bidi="ar-SA"/>
              </w:rPr>
            </w:pPr>
            <w:r w:rsidRPr="00A40B83">
              <w:rPr>
                <w:rFonts w:eastAsia="Calibri"/>
                <w:szCs w:val="20"/>
                <w:lang w:bidi="ar-SA"/>
              </w:rPr>
              <w:t>16.23</w:t>
            </w:r>
          </w:p>
        </w:tc>
        <w:tc>
          <w:tcPr>
            <w:tcW w:w="0" w:type="auto"/>
            <w:tcBorders>
              <w:top w:val="nil"/>
              <w:left w:val="nil"/>
              <w:bottom w:val="single" w:sz="4" w:space="0" w:color="auto"/>
              <w:right w:val="nil"/>
            </w:tcBorders>
            <w:shd w:val="clear" w:color="auto" w:fill="auto"/>
            <w:noWrap/>
            <w:vAlign w:val="center"/>
          </w:tcPr>
          <w:p w14:paraId="0C1F1EA6" w14:textId="77777777" w:rsidR="00A40B83" w:rsidRPr="00A40B83" w:rsidRDefault="00A40B83" w:rsidP="008D5A3F">
            <w:pPr>
              <w:spacing w:before="60" w:after="60"/>
              <w:jc w:val="both"/>
              <w:rPr>
                <w:szCs w:val="20"/>
                <w:lang w:eastAsia="ko-KR" w:bidi="ar-SA"/>
              </w:rPr>
            </w:pPr>
            <w:r w:rsidRPr="00A40B83">
              <w:rPr>
                <w:rFonts w:eastAsia="Calibri"/>
                <w:szCs w:val="20"/>
                <w:lang w:bidi="ar-SA"/>
              </w:rPr>
              <w:t>427.00</w:t>
            </w:r>
          </w:p>
        </w:tc>
      </w:tr>
      <w:bookmarkEnd w:id="1"/>
    </w:tbl>
    <w:p w14:paraId="694C3571" w14:textId="77777777" w:rsidR="00A40B83" w:rsidRPr="00A40B83" w:rsidRDefault="00A40B83" w:rsidP="00A40B83">
      <w:pPr>
        <w:spacing w:after="0"/>
        <w:jc w:val="both"/>
        <w:rPr>
          <w:rFonts w:eastAsia="SimSun"/>
          <w:szCs w:val="20"/>
          <w:lang w:val="en-GB" w:eastAsia="ko-KR" w:bidi="ar-SA"/>
        </w:rPr>
      </w:pPr>
    </w:p>
    <w:p w14:paraId="69A45989" w14:textId="77777777" w:rsidR="00F26913" w:rsidRDefault="00F26913" w:rsidP="00A40B83">
      <w:pPr>
        <w:spacing w:after="0"/>
        <w:jc w:val="both"/>
        <w:rPr>
          <w:rFonts w:eastAsia="SimSun"/>
          <w:szCs w:val="20"/>
          <w:lang w:val="en-GB" w:eastAsia="ko-KR" w:bidi="ar-SA"/>
        </w:rPr>
      </w:pPr>
    </w:p>
    <w:p w14:paraId="5C0402DB" w14:textId="3D0E5374" w:rsidR="008D5A3F" w:rsidRDefault="008D5A3F" w:rsidP="00A40B83">
      <w:pPr>
        <w:spacing w:after="0"/>
        <w:jc w:val="both"/>
        <w:rPr>
          <w:rFonts w:eastAsia="SimSun"/>
          <w:szCs w:val="20"/>
          <w:lang w:val="en-GB" w:eastAsia="ko-KR" w:bidi="ar-SA"/>
        </w:rPr>
        <w:sectPr w:rsidR="008D5A3F" w:rsidSect="00A40B83">
          <w:footerReference w:type="default" r:id="rId26"/>
          <w:type w:val="continuous"/>
          <w:pgSz w:w="12240" w:h="15840" w:code="1"/>
          <w:pgMar w:top="1800" w:right="1469" w:bottom="1699" w:left="1440" w:header="706" w:footer="706" w:gutter="0"/>
          <w:pgNumType w:start="1"/>
          <w:cols w:space="708"/>
          <w:docGrid w:linePitch="360"/>
        </w:sectPr>
      </w:pPr>
    </w:p>
    <w:p w14:paraId="2BAB179A" w14:textId="77777777" w:rsidR="00A40B83" w:rsidRPr="00A40B83" w:rsidRDefault="00A40B83" w:rsidP="00A40B83">
      <w:pPr>
        <w:spacing w:after="0"/>
        <w:jc w:val="both"/>
        <w:rPr>
          <w:szCs w:val="20"/>
          <w:lang w:val="en-GB" w:eastAsia="ko-KR" w:bidi="ar-SA"/>
        </w:rPr>
      </w:pPr>
      <w:r w:rsidRPr="00A40B83">
        <w:rPr>
          <w:rFonts w:eastAsia="SimSun"/>
          <w:szCs w:val="20"/>
          <w:lang w:val="en-GB" w:eastAsia="ko-KR" w:bidi="ar-SA"/>
        </w:rPr>
        <w:t>CA tests were carried out to verify the stability of electrocatalyst and endurance for long-term MOR performance in a 1M methanol solution containing 0.5 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for 2000 seconds. At 0.6 V, the potential was kept constant. The CA curves electrocatalysts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are shown in Figure 4(c). The current density of electrocatalysts indicates a dramatic decline at the beginning of the experiment probably due to methanol oxidation mediation poisoning. The limiting current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higher than PtRu/C across the entire duration, indicating </w:t>
      </w:r>
      <w:r w:rsidRPr="00A40B83">
        <w:rPr>
          <w:rFonts w:eastAsia="SimSun"/>
          <w:szCs w:val="20"/>
          <w:lang w:val="en-GB" w:eastAsia="ko-KR" w:bidi="ar-SA"/>
        </w:rPr>
        <w:t xml:space="preserve">better stability. </w:t>
      </w:r>
      <w:r w:rsidRPr="00A40B83">
        <w:rPr>
          <w:szCs w:val="20"/>
          <w:lang w:val="en-GB" w:eastAsia="ko-KR" w:bidi="ar-SA"/>
        </w:rPr>
        <w:t xml:space="preserve">The result demonstrated that the </w:t>
      </w:r>
      <w:r w:rsidRPr="00A40B83">
        <w:rPr>
          <w:rFonts w:eastAsia="SimSun"/>
          <w:szCs w:val="20"/>
          <w:lang w:val="en-GB" w:eastAsia="ko-KR" w:bidi="ar-SA"/>
        </w:rPr>
        <w:t>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szCs w:val="20"/>
          <w:lang w:val="en-GB" w:eastAsia="ko-KR" w:bidi="ar-SA"/>
        </w:rPr>
        <w:t xml:space="preserve">catalyst showed higher stability than PtRu/C. </w:t>
      </w:r>
      <w:r w:rsidRPr="00A40B83">
        <w:rPr>
          <w:rFonts w:eastAsia="SimSun"/>
          <w:szCs w:val="20"/>
          <w:lang w:val="en-GB" w:eastAsia="ko-KR" w:bidi="ar-SA"/>
        </w:rPr>
        <w:t xml:space="preserve">Consequently, it is assumed that the synergistic effects of combining Pt and Ru help to reduce poisoning rates </w:t>
      </w:r>
      <w:r w:rsidRPr="00A40B83">
        <w:rPr>
          <w:szCs w:val="20"/>
          <w:lang w:val="en-GB" w:eastAsia="ko-KR" w:bidi="ar-SA"/>
        </w:rPr>
        <w:fldChar w:fldCharType="begin" w:fldLock="1"/>
      </w:r>
      <w:r w:rsidRPr="00A40B83">
        <w:rPr>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val="en-GB" w:eastAsia="ko-KR" w:bidi="ar-SA"/>
        </w:rPr>
        <w:fldChar w:fldCharType="separate"/>
      </w:r>
      <w:r w:rsidRPr="00A40B83">
        <w:rPr>
          <w:noProof/>
          <w:szCs w:val="20"/>
          <w:lang w:val="en-GB" w:eastAsia="ko-KR" w:bidi="ar-SA"/>
        </w:rPr>
        <w:t>[16]</w:t>
      </w:r>
      <w:r w:rsidRPr="00A40B83">
        <w:rPr>
          <w:szCs w:val="20"/>
          <w:lang w:val="en-GB" w:eastAsia="ko-KR" w:bidi="ar-SA"/>
        </w:rPr>
        <w:fldChar w:fldCharType="end"/>
      </w:r>
      <w:r w:rsidRPr="00A40B83">
        <w:rPr>
          <w:szCs w:val="20"/>
          <w:lang w:val="en-GB" w:eastAsia="ko-KR" w:bidi="ar-SA"/>
        </w:rPr>
        <w:t>. Hence, the 3D</w:t>
      </w:r>
      <w:r w:rsidRPr="00A40B83">
        <w:rPr>
          <w:rFonts w:eastAsia="SimSun"/>
          <w:szCs w:val="20"/>
          <w:lang w:val="en-GB" w:eastAsia="ko-KR" w:bidi="ar-SA"/>
        </w:rPr>
        <w:t xml:space="preserve">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w:t>
      </w:r>
      <w:r w:rsidRPr="00A40B83">
        <w:rPr>
          <w:szCs w:val="20"/>
          <w:lang w:val="en-GB" w:eastAsia="ko-KR" w:bidi="ar-SA"/>
        </w:rPr>
        <w:t xml:space="preserve"> encapsulation structure is important in enhancing the durability. This unique structure can be extensively applicable to commercial catalytic products. It was also shown that TiO</w:t>
      </w:r>
      <w:r w:rsidRPr="00A40B83">
        <w:rPr>
          <w:szCs w:val="20"/>
          <w:vertAlign w:val="subscript"/>
          <w:lang w:val="en-GB" w:eastAsia="ko-KR" w:bidi="ar-SA"/>
        </w:rPr>
        <w:t>2</w:t>
      </w:r>
      <w:r w:rsidRPr="00A40B83">
        <w:rPr>
          <w:szCs w:val="20"/>
          <w:lang w:val="en-GB" w:eastAsia="ko-KR" w:bidi="ar-SA"/>
        </w:rPr>
        <w:t xml:space="preserve">-GA as support was a better alternative to bimetallic support since the mesoporous </w:t>
      </w:r>
      <w:r w:rsidRPr="00A40B83">
        <w:rPr>
          <w:szCs w:val="20"/>
          <w:lang w:val="en-GB" w:eastAsia="ko-KR" w:bidi="ar-SA"/>
        </w:rPr>
        <w:lastRenderedPageBreak/>
        <w:t>structure of TiO</w:t>
      </w:r>
      <w:r w:rsidRPr="00A40B83">
        <w:rPr>
          <w:szCs w:val="20"/>
          <w:vertAlign w:val="subscript"/>
          <w:lang w:val="en-GB" w:eastAsia="ko-KR" w:bidi="ar-SA"/>
        </w:rPr>
        <w:t>2</w:t>
      </w:r>
      <w:r w:rsidRPr="00A40B83">
        <w:rPr>
          <w:szCs w:val="20"/>
          <w:lang w:val="en-GB" w:eastAsia="ko-KR" w:bidi="ar-SA"/>
        </w:rPr>
        <w:t>-GA could improve the total surface area on the electrocatalyst surface area.</w:t>
      </w:r>
    </w:p>
    <w:p w14:paraId="5DB549D5" w14:textId="77777777" w:rsidR="00A40B83" w:rsidRPr="00A40B83" w:rsidRDefault="00A40B83" w:rsidP="00A40B83">
      <w:pPr>
        <w:spacing w:after="0"/>
        <w:jc w:val="both"/>
        <w:rPr>
          <w:rFonts w:eastAsia="SimSun"/>
          <w:szCs w:val="20"/>
          <w:lang w:eastAsia="ko-KR" w:bidi="ar-SA"/>
        </w:rPr>
      </w:pPr>
    </w:p>
    <w:p w14:paraId="0EDE56E2"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Conclusion</w:t>
      </w:r>
    </w:p>
    <w:p w14:paraId="02B7E22A"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The novel 3D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 (TiO</w:t>
      </w:r>
      <w:r w:rsidRPr="00A40B83">
        <w:rPr>
          <w:rFonts w:eastAsia="SimSun"/>
          <w:szCs w:val="20"/>
          <w:vertAlign w:val="subscript"/>
          <w:lang w:val="en-GB" w:eastAsia="ko-KR" w:bidi="ar-SA"/>
        </w:rPr>
        <w:t>2</w:t>
      </w:r>
      <w:r w:rsidRPr="00A40B83">
        <w:rPr>
          <w:rFonts w:eastAsia="SimSun"/>
          <w:szCs w:val="20"/>
          <w:lang w:val="en-GB" w:eastAsia="ko-KR" w:bidi="ar-SA"/>
        </w:rPr>
        <w:t>-GA) was synthesized using hydrothermal technique and then freeze-dried before being used as a catalytic support for an anodic catalyst in the DMFC. Therefore, the catalytic activity of electrocatalyst was determined by comparing it to that of commercial PtRu/C. The maximal mass activity of the manufactured electrocatalyst PtRu/TiO</w:t>
      </w:r>
      <w:r w:rsidRPr="00A40B83">
        <w:rPr>
          <w:rFonts w:eastAsia="SimSun"/>
          <w:szCs w:val="20"/>
          <w:vertAlign w:val="subscript"/>
          <w:lang w:val="en-GB" w:eastAsia="ko-KR" w:bidi="ar-SA"/>
        </w:rPr>
        <w:t>2</w:t>
      </w:r>
      <w:r w:rsidRPr="00A40B83">
        <w:rPr>
          <w:rFonts w:eastAsia="SimSun"/>
          <w:szCs w:val="20"/>
          <w:lang w:val="en-GB" w:eastAsia="ko-KR" w:bidi="ar-SA"/>
        </w:rPr>
        <w:t>-GA was 12 times that of the PtRu/C commercial electrocatalyst. The catalyst support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and the graphene aerogel catalyst structure resulted in the maximum catalytic activity. The reaction between the PtRu and TiO</w:t>
      </w:r>
      <w:r w:rsidRPr="00A40B83">
        <w:rPr>
          <w:rFonts w:eastAsia="SimSun"/>
          <w:szCs w:val="20"/>
          <w:vertAlign w:val="subscript"/>
          <w:lang w:val="en-GB" w:eastAsia="ko-KR" w:bidi="ar-SA"/>
        </w:rPr>
        <w:t>2</w:t>
      </w:r>
      <w:r w:rsidRPr="00A40B83">
        <w:rPr>
          <w:rFonts w:eastAsia="SimSun"/>
          <w:szCs w:val="20"/>
          <w:lang w:val="en-GB" w:eastAsia="ko-KR" w:bidi="ar-SA"/>
        </w:rPr>
        <w:t>-GA catalysts at the metal-support interface serves to advance the characteristics of catalyst layers. Therefore, PtRu/TiO</w:t>
      </w:r>
      <w:r w:rsidRPr="00A40B83">
        <w:rPr>
          <w:rFonts w:eastAsia="SimSun"/>
          <w:szCs w:val="20"/>
          <w:vertAlign w:val="subscript"/>
          <w:lang w:val="en-GB" w:eastAsia="ko-KR" w:bidi="ar-SA"/>
        </w:rPr>
        <w:t>2</w:t>
      </w:r>
      <w:r w:rsidRPr="00A40B83">
        <w:rPr>
          <w:rFonts w:eastAsia="SimSun"/>
          <w:szCs w:val="20"/>
          <w:lang w:val="en-GB" w:eastAsia="ko-KR" w:bidi="ar-SA"/>
        </w:rPr>
        <w:t>-GA is a viable choice for anode catalyst support in DMFCs.</w:t>
      </w:r>
    </w:p>
    <w:p w14:paraId="636C125D" w14:textId="77777777" w:rsidR="00A40B83" w:rsidRPr="00A40B83" w:rsidRDefault="00A40B83" w:rsidP="00A40B83">
      <w:pPr>
        <w:spacing w:after="0"/>
        <w:jc w:val="both"/>
        <w:rPr>
          <w:rFonts w:eastAsia="SimSun"/>
          <w:szCs w:val="20"/>
          <w:lang w:eastAsia="ko-KR" w:bidi="ar-SA"/>
        </w:rPr>
      </w:pPr>
    </w:p>
    <w:p w14:paraId="440960F7"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Acknowledgement</w:t>
      </w:r>
    </w:p>
    <w:p w14:paraId="36D9B2C8" w14:textId="77777777" w:rsidR="00A40B83" w:rsidRPr="00A40B83" w:rsidRDefault="00A40B83" w:rsidP="00A40B83">
      <w:pPr>
        <w:spacing w:after="0"/>
        <w:jc w:val="both"/>
        <w:rPr>
          <w:rFonts w:eastAsia="SimSun"/>
          <w:szCs w:val="20"/>
          <w:lang w:eastAsia="ko-KR" w:bidi="ar-SA"/>
        </w:rPr>
      </w:pPr>
      <w:r w:rsidRPr="00A40B83">
        <w:rPr>
          <w:rFonts w:eastAsia="SimSun"/>
          <w:szCs w:val="20"/>
          <w:lang w:eastAsia="ko-KR" w:bidi="ar-SA"/>
        </w:rPr>
        <w:t>The authors gratefully acknowledge the financial support for this work by The Ministry of Higher Education (MOHE) MALAYSIA and Universiti Kebangsaan Malaysia under Grant No: KKP/2020/UKM-UKM/3/1.</w:t>
      </w:r>
    </w:p>
    <w:p w14:paraId="58AC6E55" w14:textId="77777777" w:rsidR="00A40B83" w:rsidRPr="00A40B83" w:rsidRDefault="00A40B83" w:rsidP="00A40B83">
      <w:pPr>
        <w:widowControl w:val="0"/>
        <w:wordWrap w:val="0"/>
        <w:autoSpaceDE w:val="0"/>
        <w:autoSpaceDN w:val="0"/>
        <w:spacing w:after="0"/>
        <w:jc w:val="both"/>
        <w:outlineLvl w:val="0"/>
        <w:rPr>
          <w:rFonts w:eastAsia="SimSun"/>
          <w:b/>
          <w:kern w:val="2"/>
          <w:szCs w:val="20"/>
          <w:lang w:eastAsia="ko-KR" w:bidi="ar-SA"/>
        </w:rPr>
      </w:pPr>
    </w:p>
    <w:p w14:paraId="6A119E40" w14:textId="77777777" w:rsidR="00A40B83" w:rsidRPr="00F44F14" w:rsidRDefault="00A40B83" w:rsidP="00F44F14">
      <w:pPr>
        <w:spacing w:after="0"/>
        <w:jc w:val="center"/>
        <w:rPr>
          <w:rFonts w:eastAsia="SimSun"/>
          <w:b/>
          <w:bCs/>
          <w:lang w:eastAsia="ko-KR" w:bidi="ar-SA"/>
        </w:rPr>
      </w:pPr>
      <w:r w:rsidRPr="00F44F14">
        <w:rPr>
          <w:rFonts w:eastAsia="SimSun"/>
          <w:b/>
          <w:bCs/>
          <w:lang w:eastAsia="ko-KR" w:bidi="ar-SA"/>
        </w:rPr>
        <w:t>References</w:t>
      </w:r>
    </w:p>
    <w:p w14:paraId="40F0E24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b/>
          <w:kern w:val="2"/>
          <w:szCs w:val="20"/>
          <w:lang w:eastAsia="ko-KR" w:bidi="ar-SA"/>
        </w:rPr>
        <w:fldChar w:fldCharType="begin" w:fldLock="1"/>
      </w:r>
      <w:r w:rsidRPr="00A40B83">
        <w:rPr>
          <w:rFonts w:eastAsia="SimSun"/>
          <w:b/>
          <w:kern w:val="2"/>
          <w:szCs w:val="20"/>
          <w:lang w:eastAsia="ko-KR" w:bidi="ar-SA"/>
        </w:rPr>
        <w:instrText xml:space="preserve">ADDIN Mendeley Bibliography CSL_BIBLIOGRAPHY </w:instrText>
      </w:r>
      <w:r w:rsidRPr="00A40B83">
        <w:rPr>
          <w:rFonts w:eastAsia="SimSun"/>
          <w:b/>
          <w:kern w:val="2"/>
          <w:szCs w:val="20"/>
          <w:lang w:eastAsia="ko-KR" w:bidi="ar-SA"/>
        </w:rPr>
        <w:fldChar w:fldCharType="separate"/>
      </w:r>
      <w:r w:rsidRPr="00A40B83">
        <w:rPr>
          <w:rFonts w:eastAsia="SimSun"/>
          <w:noProof/>
          <w:kern w:val="2"/>
          <w:szCs w:val="20"/>
          <w:lang w:eastAsia="ko-KR" w:bidi="ar-SA"/>
        </w:rPr>
        <w:t xml:space="preserve">Rashidi, R., Dincer, I., Naterer, G. F. and Berg, P. (2009). Performance evaluation of direct methanol fuel cells for portable applications.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187(2): 509-516.</w:t>
      </w:r>
    </w:p>
    <w:p w14:paraId="7424ABC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Achmad, F., Kamarudin, S. K., Daud, W. R. W. and Majlan, E. H. (2011). Passive direct methanol fuel cells for portable electronic devices. </w:t>
      </w:r>
      <w:r w:rsidRPr="00A40B83">
        <w:rPr>
          <w:rFonts w:eastAsia="SimSun"/>
          <w:i/>
          <w:iCs/>
          <w:noProof/>
          <w:kern w:val="2"/>
          <w:szCs w:val="20"/>
          <w:lang w:eastAsia="ko-KR" w:bidi="ar-SA"/>
        </w:rPr>
        <w:t xml:space="preserve">Applied Energy, </w:t>
      </w:r>
      <w:r w:rsidRPr="00A40B83">
        <w:rPr>
          <w:rFonts w:eastAsia="SimSun"/>
          <w:noProof/>
          <w:kern w:val="2"/>
          <w:szCs w:val="20"/>
          <w:lang w:eastAsia="ko-KR" w:bidi="ar-SA"/>
        </w:rPr>
        <w:t>88(5): 1681-1689.</w:t>
      </w:r>
    </w:p>
    <w:p w14:paraId="3DDE0AA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Zhao, L., Wang, Z. B., Li, J. L., Zhang, J. J., Sui, X. L. and Zhang, L. M. (2016). Hybrid of carbon-supported Pt nanoparticles and three dimensional graphene aerogel as high stable electrocatalyst for methanol electrooxidation.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189: 175-183.</w:t>
      </w:r>
    </w:p>
    <w:p w14:paraId="0A4B156A"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Bock, C., Paquet, C., Couillard, M., Botton, G. A. and MacDougall, B. R. (2004). Size-selected synthesis of PtRu nano-catalysts: reaction and size control mechanism. </w:t>
      </w:r>
      <w:r w:rsidRPr="00A40B83">
        <w:rPr>
          <w:rFonts w:eastAsia="SimSun"/>
          <w:i/>
          <w:iCs/>
          <w:noProof/>
          <w:kern w:val="2"/>
          <w:szCs w:val="20"/>
          <w:lang w:eastAsia="ko-KR" w:bidi="ar-SA"/>
        </w:rPr>
        <w:t xml:space="preserve">Journal of the American </w:t>
      </w:r>
      <w:r w:rsidRPr="00A40B83">
        <w:rPr>
          <w:rFonts w:eastAsia="SimSun"/>
          <w:i/>
          <w:iCs/>
          <w:noProof/>
          <w:kern w:val="2"/>
          <w:szCs w:val="20"/>
          <w:lang w:eastAsia="ko-KR" w:bidi="ar-SA"/>
        </w:rPr>
        <w:t xml:space="preserve">Chemical Society, </w:t>
      </w:r>
      <w:r w:rsidRPr="00A40B83">
        <w:rPr>
          <w:rFonts w:eastAsia="SimSun"/>
          <w:noProof/>
          <w:kern w:val="2"/>
          <w:szCs w:val="20"/>
          <w:lang w:eastAsia="ko-KR" w:bidi="ar-SA"/>
        </w:rPr>
        <w:t>126(25): 8028-8037.</w:t>
      </w:r>
    </w:p>
    <w:p w14:paraId="7D814332" w14:textId="03025F36" w:rsidR="00A40B83" w:rsidRPr="0004342C" w:rsidRDefault="00A40B83" w:rsidP="0004342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Zhang, X., Ma, J., Yan, R., Cheng, W., Zheng, J. and </w:t>
      </w:r>
      <w:r w:rsidRPr="0004342C">
        <w:rPr>
          <w:rFonts w:eastAsia="SimSun"/>
          <w:noProof/>
          <w:kern w:val="2"/>
          <w:szCs w:val="20"/>
          <w:lang w:eastAsia="ko-KR" w:bidi="ar-SA"/>
        </w:rPr>
        <w:t xml:space="preserve">Jin, B. (2021). Pt-Ru/polyaniline/carbon nanotube composites with three-layer tubular structure for efficient methanol oxidation. </w:t>
      </w:r>
      <w:r w:rsidRPr="0004342C">
        <w:rPr>
          <w:rFonts w:eastAsia="SimSun"/>
          <w:i/>
          <w:iCs/>
          <w:noProof/>
          <w:kern w:val="2"/>
          <w:szCs w:val="20"/>
          <w:lang w:eastAsia="ko-KR" w:bidi="ar-SA"/>
        </w:rPr>
        <w:t>Journal of Alloys and Compounds,</w:t>
      </w:r>
      <w:r w:rsidRPr="0004342C">
        <w:rPr>
          <w:rFonts w:eastAsia="SimSun"/>
          <w:noProof/>
          <w:kern w:val="2"/>
          <w:szCs w:val="20"/>
          <w:lang w:eastAsia="ko-KR" w:bidi="ar-SA"/>
        </w:rPr>
        <w:t xml:space="preserve"> 867: 159017.</w:t>
      </w:r>
    </w:p>
    <w:p w14:paraId="62FBBE23"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W., Wang, Q., Wang, L., Fu, X. Z. and Luo, J. L. (2021). Mesoporous CeO</w:t>
      </w:r>
      <w:r w:rsidRPr="00A40B83">
        <w:rPr>
          <w:rFonts w:eastAsia="SimSun"/>
          <w:noProof/>
          <w:kern w:val="2"/>
          <w:szCs w:val="20"/>
          <w:vertAlign w:val="subscript"/>
          <w:lang w:eastAsia="ko-KR" w:bidi="ar-SA"/>
        </w:rPr>
        <w:t>2</w:t>
      </w:r>
      <w:r w:rsidRPr="00A40B83">
        <w:rPr>
          <w:rFonts w:eastAsia="SimSun"/>
          <w:noProof/>
          <w:kern w:val="2"/>
          <w:szCs w:val="20"/>
          <w:lang w:eastAsia="ko-KR" w:bidi="ar-SA"/>
        </w:rPr>
        <w:t>–C hybrid spheres as efficient support for platinum nanoparticles towards methanol electrocatalytic oxidation. J</w:t>
      </w:r>
      <w:r w:rsidRPr="00A40B83">
        <w:rPr>
          <w:rFonts w:eastAsia="SimSun"/>
          <w:i/>
          <w:iCs/>
          <w:noProof/>
          <w:kern w:val="2"/>
          <w:szCs w:val="20"/>
          <w:lang w:eastAsia="ko-KR" w:bidi="ar-SA"/>
        </w:rPr>
        <w:t>ournal of Rare Earths,</w:t>
      </w:r>
      <w:r w:rsidRPr="00A40B83">
        <w:rPr>
          <w:rFonts w:eastAsia="SimSun"/>
          <w:noProof/>
          <w:kern w:val="2"/>
          <w:szCs w:val="20"/>
          <w:lang w:eastAsia="ko-KR" w:bidi="ar-SA"/>
        </w:rPr>
        <w:t xml:space="preserve"> 39(6): 674-681.</w:t>
      </w:r>
    </w:p>
    <w:p w14:paraId="6EBA30FC"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Yang, Y., Guo, Y. F., Fu, C., Zhang, R. H., Zhan, W., Wang, P., ... &amp; Zhou, X. W. (2021). In-situ loading synthesis of graphene supported PtCu nanocube and its high activity and stability for methanol oxidation reaction. </w:t>
      </w:r>
      <w:r w:rsidRPr="00A40B83">
        <w:rPr>
          <w:rFonts w:eastAsia="SimSun"/>
          <w:i/>
          <w:iCs/>
          <w:noProof/>
          <w:kern w:val="2"/>
          <w:szCs w:val="20"/>
          <w:lang w:eastAsia="ko-KR" w:bidi="ar-SA"/>
        </w:rPr>
        <w:t>Journal of Colloid and Interface Science,</w:t>
      </w:r>
      <w:r w:rsidRPr="00A40B83">
        <w:rPr>
          <w:rFonts w:eastAsia="SimSun"/>
          <w:noProof/>
          <w:kern w:val="2"/>
          <w:szCs w:val="20"/>
          <w:lang w:eastAsia="ko-KR" w:bidi="ar-SA"/>
        </w:rPr>
        <w:t xml:space="preserve"> 595: 107-117.</w:t>
      </w:r>
    </w:p>
    <w:p w14:paraId="77F61F7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Ren, X., Lv, Q., Liu, L., Liu, B., Wang, Y., Liu, A. and Wu, G. (2020). Current progress of Pt and Pt-based electrocatalysts used for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4(1): 15-30.</w:t>
      </w:r>
    </w:p>
    <w:p w14:paraId="38212178"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Karuppanan, K. K., Raghu, A. V., Panthalingal, M. K., Thiruvenkatam, V., Karthikeyan, P. and Pullithadathil, B. (2019). 3D-porous electrocatalytic foam based on Pt@ N-doped graphene for high performance and durable polymer electrolyte membrane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3(4): 996-1011.</w:t>
      </w:r>
    </w:p>
    <w:p w14:paraId="6A0DD65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Gorgolis, G. and Galiotis, C. (2017). Graphene aerogels: a review. </w:t>
      </w:r>
      <w:r w:rsidRPr="00A40B83">
        <w:rPr>
          <w:rFonts w:eastAsia="SimSun"/>
          <w:i/>
          <w:iCs/>
          <w:noProof/>
          <w:kern w:val="2"/>
          <w:szCs w:val="20"/>
          <w:lang w:eastAsia="ko-KR" w:bidi="ar-SA"/>
        </w:rPr>
        <w:t>2D Materials,</w:t>
      </w:r>
      <w:r w:rsidRPr="00A40B83">
        <w:rPr>
          <w:rFonts w:eastAsia="SimSun"/>
          <w:noProof/>
          <w:kern w:val="2"/>
          <w:szCs w:val="20"/>
          <w:lang w:eastAsia="ko-KR" w:bidi="ar-SA"/>
        </w:rPr>
        <w:t xml:space="preserve"> 4(3): 032001.</w:t>
      </w:r>
    </w:p>
    <w:p w14:paraId="2FE43746"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Mao, J., Iocozzia, J., Huang, J., Meng, K., Lai, Y. and Lin, Z. (2018). Graphene aerogels for efficient energy storage and conversion. </w:t>
      </w:r>
      <w:r w:rsidRPr="00A40B83">
        <w:rPr>
          <w:rFonts w:eastAsia="SimSun"/>
          <w:i/>
          <w:iCs/>
          <w:noProof/>
          <w:kern w:val="2"/>
          <w:szCs w:val="20"/>
          <w:lang w:eastAsia="ko-KR" w:bidi="ar-SA"/>
        </w:rPr>
        <w:t xml:space="preserve">Energy &amp; Environmental Science, </w:t>
      </w:r>
      <w:r w:rsidRPr="00A40B83">
        <w:rPr>
          <w:rFonts w:eastAsia="SimSun"/>
          <w:noProof/>
          <w:kern w:val="2"/>
          <w:szCs w:val="20"/>
          <w:lang w:eastAsia="ko-KR" w:bidi="ar-SA"/>
        </w:rPr>
        <w:t>11(4): 772-799.</w:t>
      </w:r>
    </w:p>
    <w:p w14:paraId="61293B5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Siwińska-Stefańska, K. and Jesionowski, T. (2017). Advanced hybrid materials based on titanium dioxide for environmental and electrochemical applications. In Titanium Dioxide. IntechOpen.</w:t>
      </w:r>
    </w:p>
    <w:p w14:paraId="5D1CAD05" w14:textId="30267C53" w:rsidR="008D5A3F" w:rsidRDefault="00A40B83" w:rsidP="008D5A3F">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Odling, G. and Robertson, N. (2015). Why is anatase a better photocatalyst than rutile? The importance of free hydroxyl radicals. </w:t>
      </w:r>
      <w:r w:rsidRPr="00A40B83">
        <w:rPr>
          <w:rFonts w:eastAsia="SimSun"/>
          <w:i/>
          <w:iCs/>
          <w:noProof/>
          <w:kern w:val="2"/>
          <w:szCs w:val="20"/>
          <w:lang w:eastAsia="ko-KR" w:bidi="ar-SA"/>
        </w:rPr>
        <w:t>ChemSusChem,</w:t>
      </w:r>
      <w:r w:rsidRPr="00A40B83">
        <w:rPr>
          <w:rFonts w:eastAsia="SimSun"/>
          <w:noProof/>
          <w:kern w:val="2"/>
          <w:szCs w:val="20"/>
          <w:lang w:eastAsia="ko-KR" w:bidi="ar-SA"/>
        </w:rPr>
        <w:t xml:space="preserve"> 8(11): 1838-1840.</w:t>
      </w:r>
    </w:p>
    <w:p w14:paraId="199B61DA" w14:textId="77777777" w:rsidR="00004651" w:rsidRDefault="00004651" w:rsidP="008D5A3F">
      <w:pPr>
        <w:widowControl w:val="0"/>
        <w:wordWrap w:val="0"/>
        <w:autoSpaceDE w:val="0"/>
        <w:autoSpaceDN w:val="0"/>
        <w:adjustRightInd w:val="0"/>
        <w:spacing w:after="0"/>
        <w:contextualSpacing/>
        <w:jc w:val="both"/>
        <w:rPr>
          <w:rFonts w:eastAsia="SimSun"/>
          <w:noProof/>
          <w:kern w:val="2"/>
          <w:szCs w:val="20"/>
          <w:lang w:eastAsia="ko-KR" w:bidi="ar-SA"/>
        </w:rPr>
        <w:sectPr w:rsidR="00004651" w:rsidSect="008D5A3F">
          <w:footerReference w:type="even" r:id="rId27"/>
          <w:type w:val="continuous"/>
          <w:pgSz w:w="12240" w:h="15840" w:code="1"/>
          <w:pgMar w:top="1800" w:right="1469" w:bottom="1699" w:left="1440" w:header="706" w:footer="706" w:gutter="0"/>
          <w:pgNumType w:start="1"/>
          <w:cols w:num="2" w:space="403"/>
          <w:docGrid w:linePitch="360"/>
        </w:sectPr>
      </w:pPr>
    </w:p>
    <w:p w14:paraId="3EE21156" w14:textId="01BFF879" w:rsidR="008D5A3F" w:rsidRDefault="008D5A3F" w:rsidP="008D5A3F">
      <w:pPr>
        <w:widowControl w:val="0"/>
        <w:wordWrap w:val="0"/>
        <w:autoSpaceDE w:val="0"/>
        <w:autoSpaceDN w:val="0"/>
        <w:adjustRightInd w:val="0"/>
        <w:spacing w:after="0"/>
        <w:contextualSpacing/>
        <w:jc w:val="both"/>
        <w:rPr>
          <w:rFonts w:eastAsia="SimSun"/>
          <w:noProof/>
          <w:kern w:val="2"/>
          <w:szCs w:val="20"/>
          <w:lang w:eastAsia="ko-KR" w:bidi="ar-SA"/>
        </w:rPr>
      </w:pPr>
    </w:p>
    <w:p w14:paraId="3CABE079" w14:textId="77777777" w:rsidR="008D5A3F" w:rsidRDefault="008D5A3F" w:rsidP="008D5A3F">
      <w:pPr>
        <w:widowControl w:val="0"/>
        <w:wordWrap w:val="0"/>
        <w:autoSpaceDE w:val="0"/>
        <w:autoSpaceDN w:val="0"/>
        <w:adjustRightInd w:val="0"/>
        <w:spacing w:after="0"/>
        <w:contextualSpacing/>
        <w:jc w:val="both"/>
        <w:rPr>
          <w:rFonts w:eastAsia="SimSun"/>
          <w:noProof/>
          <w:kern w:val="2"/>
          <w:szCs w:val="20"/>
          <w:lang w:eastAsia="ko-KR" w:bidi="ar-SA"/>
        </w:rPr>
      </w:pPr>
    </w:p>
    <w:p w14:paraId="79AEEA92" w14:textId="77777777" w:rsidR="0008329C" w:rsidRDefault="0008329C"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sectPr w:rsidR="0008329C" w:rsidSect="00004651">
          <w:footerReference w:type="default" r:id="rId28"/>
          <w:type w:val="oddPage"/>
          <w:pgSz w:w="12240" w:h="15840" w:code="1"/>
          <w:pgMar w:top="1800" w:right="1469" w:bottom="1699" w:left="1440" w:header="706" w:footer="706" w:gutter="0"/>
          <w:pgNumType w:start="1"/>
          <w:cols w:num="2" w:space="403"/>
          <w:docGrid w:linePitch="360"/>
        </w:sectPr>
      </w:pPr>
    </w:p>
    <w:p w14:paraId="3201542B" w14:textId="77777777" w:rsidR="0008329C" w:rsidRDefault="00A40B83"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8D5A3F">
        <w:rPr>
          <w:rFonts w:eastAsia="SimSun"/>
          <w:noProof/>
          <w:kern w:val="2"/>
          <w:szCs w:val="20"/>
          <w:lang w:eastAsia="ko-KR" w:bidi="ar-SA"/>
        </w:rPr>
        <w:t xml:space="preserve">Dey, S. and Mehta, N. S. (2020). Synthesis and applications of titanium oxide catalysts for lower temperature CO oxidation. </w:t>
      </w:r>
      <w:r w:rsidRPr="008D5A3F">
        <w:rPr>
          <w:rFonts w:eastAsia="SimSun"/>
          <w:i/>
          <w:iCs/>
          <w:noProof/>
          <w:kern w:val="2"/>
          <w:szCs w:val="20"/>
          <w:lang w:eastAsia="ko-KR" w:bidi="ar-SA"/>
        </w:rPr>
        <w:t xml:space="preserve">Current Research in Green and Sustainable Chemistry, </w:t>
      </w:r>
      <w:r w:rsidRPr="008D5A3F">
        <w:rPr>
          <w:rFonts w:eastAsia="SimSun"/>
          <w:noProof/>
          <w:kern w:val="2"/>
          <w:szCs w:val="20"/>
          <w:lang w:eastAsia="ko-KR" w:bidi="ar-SA"/>
        </w:rPr>
        <w:t>3: 10002</w:t>
      </w:r>
      <w:r w:rsidR="0004342C" w:rsidRPr="008D5A3F">
        <w:rPr>
          <w:rFonts w:eastAsia="SimSun"/>
          <w:noProof/>
          <w:kern w:val="2"/>
          <w:szCs w:val="20"/>
          <w:lang w:eastAsia="ko-KR" w:bidi="ar-SA"/>
        </w:rPr>
        <w:t>.</w:t>
      </w:r>
    </w:p>
    <w:p w14:paraId="29145878" w14:textId="77777777" w:rsidR="009E4B12" w:rsidRDefault="0008329C"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Bagheri, S., Muhd Julkapli, N. and Bee Abd Hamid, S. (2014). Titanium dioxide as a catalyst support in heterogeneous catalysis.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727496.</w:t>
      </w:r>
      <w:r w:rsidR="009E4B12" w:rsidRPr="009E4B12">
        <w:rPr>
          <w:rFonts w:eastAsia="SimSun"/>
          <w:noProof/>
          <w:kern w:val="2"/>
          <w:szCs w:val="20"/>
          <w:lang w:eastAsia="ko-KR" w:bidi="ar-SA"/>
        </w:rPr>
        <w:t xml:space="preserve"> </w:t>
      </w:r>
    </w:p>
    <w:p w14:paraId="5CF9A55B" w14:textId="77777777" w:rsidR="002B3096"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Abdullah, N., Kamarudin, S. K. and Shyuan, L. K. (2018). Novel anodic catalyst support for direct methanol fuel cell: characterizations and single-cell performances. </w:t>
      </w:r>
      <w:r w:rsidRPr="00A40B83">
        <w:rPr>
          <w:rFonts w:eastAsia="SimSun"/>
          <w:i/>
          <w:iCs/>
          <w:noProof/>
          <w:kern w:val="2"/>
          <w:szCs w:val="20"/>
          <w:lang w:eastAsia="ko-KR" w:bidi="ar-SA"/>
        </w:rPr>
        <w:t xml:space="preserve">Nanoscale Research Letters, </w:t>
      </w:r>
      <w:r w:rsidRPr="00A40B83">
        <w:rPr>
          <w:rFonts w:eastAsia="SimSun"/>
          <w:noProof/>
          <w:kern w:val="2"/>
          <w:szCs w:val="20"/>
          <w:lang w:eastAsia="ko-KR" w:bidi="ar-SA"/>
        </w:rPr>
        <w:t>13(1): 1-13.</w:t>
      </w:r>
      <w:r w:rsidRPr="009E4B12">
        <w:rPr>
          <w:rFonts w:eastAsia="SimSun"/>
          <w:noProof/>
          <w:kern w:val="2"/>
          <w:szCs w:val="20"/>
          <w:lang w:eastAsia="ko-KR" w:bidi="ar-SA"/>
        </w:rPr>
        <w:t xml:space="preserve"> </w:t>
      </w:r>
    </w:p>
    <w:p w14:paraId="2E435816" w14:textId="175CC4E1" w:rsidR="009E4B12" w:rsidRPr="00A40B83"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Ito, Y., Takeuchi, T., Tsujiguchi, T., Abdelkareem, M. A. and Nakagawa, N. (2013). Ultrahigh methanol electro-oxidation activity of PtRu nanoparticles prepared on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-embedded carbon nanofiber support.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242: 280-288.</w:t>
      </w:r>
    </w:p>
    <w:p w14:paraId="689709C0" w14:textId="77777777" w:rsidR="009E4B12" w:rsidRPr="00A40B83"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Ercelik, M., Ozden, A., Seker, E. and Colpan, C. O. (2017). Characterization and performance evaluation of PtRu/CTiO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anode electrocatalyst for DMFC applications. </w:t>
      </w:r>
      <w:r w:rsidRPr="00A40B83">
        <w:rPr>
          <w:rFonts w:eastAsia="SimSun"/>
          <w:i/>
          <w:iCs/>
          <w:noProof/>
          <w:kern w:val="2"/>
          <w:szCs w:val="20"/>
          <w:lang w:eastAsia="ko-KR" w:bidi="ar-SA"/>
        </w:rPr>
        <w:t xml:space="preserve">International Journal of Hydrogen Energy, </w:t>
      </w:r>
      <w:r w:rsidRPr="00A40B83">
        <w:rPr>
          <w:rFonts w:eastAsia="SimSun"/>
          <w:noProof/>
          <w:kern w:val="2"/>
          <w:szCs w:val="20"/>
          <w:lang w:eastAsia="ko-KR" w:bidi="ar-SA"/>
        </w:rPr>
        <w:t>42(33): 21518-21529.</w:t>
      </w:r>
    </w:p>
    <w:p w14:paraId="4FF51517" w14:textId="77777777" w:rsidR="002B3096" w:rsidRPr="00A40B83"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Liu, R., Guo, W., Sun, B., Pang, J., Pei, M. and Zhou, G. (2015). Composites of rutile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nanorods loaded on graphene oxide nanosheet with enhanced electrochemical performance.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156: 274-282.</w:t>
      </w:r>
    </w:p>
    <w:p w14:paraId="411647BB" w14:textId="77777777" w:rsidR="002B3096" w:rsidRPr="00A40B83"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Xiang, C., Guo, R., Lan, J., Jiang, S., Wang, C., Du, Z. and Cheng, C. (2018). Self-assembling porous 3D titanium dioxide-reduced graphene oxide aerogel for the tunable absorption of oleic acid and RhodamineB dye. </w:t>
      </w:r>
      <w:r w:rsidRPr="00A40B83">
        <w:rPr>
          <w:rFonts w:eastAsia="SimSun"/>
          <w:i/>
          <w:iCs/>
          <w:noProof/>
          <w:kern w:val="2"/>
          <w:szCs w:val="20"/>
          <w:lang w:eastAsia="ko-KR" w:bidi="ar-SA"/>
        </w:rPr>
        <w:t xml:space="preserve">Journal of Alloys and Compounds, </w:t>
      </w:r>
      <w:r w:rsidRPr="00A40B83">
        <w:rPr>
          <w:rFonts w:eastAsia="SimSun"/>
          <w:noProof/>
          <w:kern w:val="2"/>
          <w:szCs w:val="20"/>
          <w:lang w:eastAsia="ko-KR" w:bidi="ar-SA"/>
        </w:rPr>
        <w:t>735: 246-252.</w:t>
      </w:r>
    </w:p>
    <w:p w14:paraId="0D15217D" w14:textId="1B0B5088" w:rsidR="002B3096"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Cordero-Borboa, A. E., Sterling-Black, E., Gómez-Cortés, A. and Vázquez-Zavala, A. (2003). X-ray diffraction evidence of the single solid solution character of bi-metallic Pt-Pd catalyst particles on an amorphous SiO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substrate. </w:t>
      </w:r>
      <w:r w:rsidRPr="00A40B83">
        <w:rPr>
          <w:rFonts w:eastAsia="SimSun"/>
          <w:i/>
          <w:iCs/>
          <w:noProof/>
          <w:kern w:val="2"/>
          <w:szCs w:val="20"/>
          <w:lang w:eastAsia="ko-KR" w:bidi="ar-SA"/>
        </w:rPr>
        <w:t xml:space="preserve">Applied Surface Science, </w:t>
      </w:r>
      <w:r w:rsidRPr="00A40B83">
        <w:rPr>
          <w:rFonts w:eastAsia="SimSun"/>
          <w:noProof/>
          <w:kern w:val="2"/>
          <w:szCs w:val="20"/>
          <w:lang w:eastAsia="ko-KR" w:bidi="ar-SA"/>
        </w:rPr>
        <w:t>220(1-4): 169-174.</w:t>
      </w:r>
    </w:p>
    <w:p w14:paraId="1C1D3B10" w14:textId="12CB6AA9" w:rsidR="00972D07" w:rsidRPr="00972D07"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Vorokh, A. S. (2018). Scherrer formula: estimation of error in determining small nanoparticle size. </w:t>
      </w:r>
      <w:r w:rsidRPr="00A40B83">
        <w:rPr>
          <w:rFonts w:eastAsia="SimSun"/>
          <w:i/>
          <w:iCs/>
          <w:noProof/>
          <w:kern w:val="2"/>
          <w:szCs w:val="20"/>
          <w:lang w:eastAsia="ko-KR" w:bidi="ar-SA"/>
        </w:rPr>
        <w:t>Nanosystem Physics Chemistry Mathematics</w:t>
      </w:r>
      <w:r w:rsidRPr="00A40B83">
        <w:rPr>
          <w:rFonts w:eastAsia="SimSun"/>
          <w:noProof/>
          <w:kern w:val="2"/>
          <w:szCs w:val="20"/>
          <w:lang w:eastAsia="ko-KR" w:bidi="ar-SA"/>
        </w:rPr>
        <w:t>, pp. 364-369.</w:t>
      </w:r>
    </w:p>
    <w:p w14:paraId="41A2F9D2" w14:textId="77777777" w:rsidR="002B3096" w:rsidRPr="002B3096"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2B3096">
        <w:rPr>
          <w:rFonts w:eastAsia="SimSun"/>
          <w:noProof/>
          <w:kern w:val="2"/>
          <w:szCs w:val="20"/>
          <w:lang w:eastAsia="ko-KR" w:bidi="ar-SA"/>
        </w:rPr>
        <w:t>Stankovich, S., Dikin, D. A., Piner, R. D., Kohlhaas, K. A., Kleinhammes, A., Jia, Yue, W., SonBinh, T. N., and Ruoff, R. S. (2007). Synthesis of graphene-based nanosheets via chemical reduction of exfoliated graphite oxide. carbon, 45(7): 1558-1565.</w:t>
      </w:r>
    </w:p>
    <w:p w14:paraId="2527D5AB"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Zhu, Y., Murali, S., Cai, W., Li, X., Suk, J. W., Potts, J. R. and Ruoff, R. S. (2010). Graphene and graphene oxide: synthesis, properties, and applications. </w:t>
      </w:r>
      <w:r w:rsidRPr="00A40B83">
        <w:rPr>
          <w:rFonts w:eastAsia="SimSun"/>
          <w:i/>
          <w:iCs/>
          <w:noProof/>
          <w:kern w:val="2"/>
          <w:szCs w:val="20"/>
          <w:lang w:eastAsia="ko-KR" w:bidi="ar-SA"/>
        </w:rPr>
        <w:t xml:space="preserve">Advanced Materials, </w:t>
      </w:r>
      <w:r w:rsidRPr="00A40B83">
        <w:rPr>
          <w:rFonts w:eastAsia="SimSun"/>
          <w:noProof/>
          <w:kern w:val="2"/>
          <w:szCs w:val="20"/>
          <w:lang w:eastAsia="ko-KR" w:bidi="ar-SA"/>
        </w:rPr>
        <w:t>22(35): 3906-3924.</w:t>
      </w:r>
    </w:p>
    <w:p w14:paraId="28E33801"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Y., Cai, Q., Wang, L., Li, Q., Peng, X., Gao, B., … and Chu, P. K. (2016). Mesoporous TiO</w:t>
      </w:r>
      <w:r w:rsidRPr="00A40B83">
        <w:rPr>
          <w:rFonts w:eastAsia="SimSun"/>
          <w:noProof/>
          <w:kern w:val="2"/>
          <w:szCs w:val="20"/>
          <w:vertAlign w:val="subscript"/>
          <w:lang w:eastAsia="ko-KR" w:bidi="ar-SA"/>
        </w:rPr>
        <w:t xml:space="preserve">2 </w:t>
      </w:r>
      <w:r w:rsidRPr="00A40B83">
        <w:rPr>
          <w:rFonts w:eastAsia="SimSun"/>
          <w:noProof/>
          <w:kern w:val="2"/>
          <w:szCs w:val="20"/>
          <w:lang w:eastAsia="ko-KR" w:bidi="ar-SA"/>
        </w:rPr>
        <w:t xml:space="preserve">nanocrystals/graphene as an efficient sulfur host material for high-performance lithium–sulfur batteries. </w:t>
      </w:r>
      <w:r w:rsidRPr="00A40B83">
        <w:rPr>
          <w:rFonts w:eastAsia="SimSun"/>
          <w:i/>
          <w:iCs/>
          <w:noProof/>
          <w:kern w:val="2"/>
          <w:szCs w:val="20"/>
          <w:lang w:eastAsia="ko-KR" w:bidi="ar-SA"/>
        </w:rPr>
        <w:t>ACS Applied Materials &amp; Interfaces,</w:t>
      </w:r>
      <w:r w:rsidRPr="00A40B83">
        <w:rPr>
          <w:rFonts w:eastAsia="SimSun"/>
          <w:noProof/>
          <w:kern w:val="2"/>
          <w:szCs w:val="20"/>
          <w:lang w:eastAsia="ko-KR" w:bidi="ar-SA"/>
        </w:rPr>
        <w:t xml:space="preserve"> 8(36): 23784-23792.</w:t>
      </w:r>
    </w:p>
    <w:p w14:paraId="7D7E8C3A"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Norilhamiah, Y., Kamaruddin, S. K., Karim, N. A.,  Masdar, M. S. and Loh, K. S. (2017). Gliserol, P. E. (2017). Preliminary study on pd-based binary catalysts supported with carbon nanofiber for the electrooxidation of glycerol. </w:t>
      </w:r>
      <w:r w:rsidRPr="00A40B83">
        <w:rPr>
          <w:rFonts w:eastAsia="SimSun"/>
          <w:i/>
          <w:iCs/>
          <w:noProof/>
          <w:kern w:val="2"/>
          <w:szCs w:val="20"/>
          <w:lang w:eastAsia="ko-KR" w:bidi="ar-SA"/>
        </w:rPr>
        <w:t xml:space="preserve">Malaysian Journal of Analytical Sciences, </w:t>
      </w:r>
      <w:r w:rsidRPr="00A40B83">
        <w:rPr>
          <w:rFonts w:eastAsia="SimSun"/>
          <w:noProof/>
          <w:kern w:val="2"/>
          <w:szCs w:val="20"/>
          <w:lang w:eastAsia="ko-KR" w:bidi="ar-SA"/>
        </w:rPr>
        <w:t>21(3): 700-708.</w:t>
      </w:r>
    </w:p>
    <w:p w14:paraId="11EE3FAA" w14:textId="77777777" w:rsidR="00972D07" w:rsidRPr="00972D07"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972D07">
        <w:rPr>
          <w:rFonts w:eastAsia="SimSun"/>
          <w:noProof/>
          <w:kern w:val="2"/>
          <w:szCs w:val="20"/>
          <w:lang w:eastAsia="ko-KR" w:bidi="ar-SA"/>
        </w:rPr>
        <w:t>Ibrahim, S. A., Anwar, M. K., Ainuddin, A. R., Hariri, A., Rus, A. Z. M., Kamdi, Z., Yunos, M. Z., and Harun, Z. (2019). Synthesis and characterization of visible light active Fe-TiO</w:t>
      </w:r>
      <w:r w:rsidRPr="00972D07">
        <w:rPr>
          <w:rFonts w:eastAsia="SimSun"/>
          <w:noProof/>
          <w:kern w:val="2"/>
          <w:szCs w:val="20"/>
          <w:vertAlign w:val="subscript"/>
          <w:lang w:eastAsia="ko-KR" w:bidi="ar-SA"/>
        </w:rPr>
        <w:t>2</w:t>
      </w:r>
      <w:r w:rsidRPr="00972D07">
        <w:rPr>
          <w:rFonts w:eastAsia="SimSun"/>
          <w:noProof/>
          <w:kern w:val="2"/>
          <w:szCs w:val="20"/>
          <w:lang w:eastAsia="ko-KR" w:bidi="ar-SA"/>
        </w:rPr>
        <w:t xml:space="preserve"> using hydrothermal method. </w:t>
      </w:r>
      <w:r w:rsidRPr="00972D07">
        <w:rPr>
          <w:rFonts w:eastAsia="SimSun"/>
          <w:i/>
          <w:iCs/>
          <w:noProof/>
          <w:kern w:val="2"/>
          <w:szCs w:val="20"/>
          <w:lang w:eastAsia="ko-KR" w:bidi="ar-SA"/>
        </w:rPr>
        <w:t>International Journal of Integrated Engineering,</w:t>
      </w:r>
      <w:r w:rsidRPr="00972D07">
        <w:rPr>
          <w:rFonts w:eastAsia="SimSun"/>
          <w:noProof/>
          <w:kern w:val="2"/>
          <w:szCs w:val="20"/>
          <w:lang w:eastAsia="ko-KR" w:bidi="ar-SA"/>
        </w:rPr>
        <w:t xml:space="preserve"> 11(5): 80-85.</w:t>
      </w:r>
    </w:p>
    <w:p w14:paraId="1B09ACEC"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Shaari, N. and Kamarudin, S. K. (2019). Current status, opportunities, and challenges in fuel cell catalytic application of aerogels.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43(7): 2447-2467.</w:t>
      </w:r>
    </w:p>
    <w:p w14:paraId="5196976D"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Basri, S., Kamarudin, S. K., Daud, W. R. W., Yaakob, Z. and Kadhum, A. A. H. (2014). Novel anode catalyst for direct methanol fuel cells.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547604.</w:t>
      </w:r>
    </w:p>
    <w:p w14:paraId="3DD560F7"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Ramli, Z. A., Kamarudin, S. K., Basri, S. and Zainoodin, A. M. (2020). The potential of novel carbon nanocages as a carbon support for an enhanced methanol electro</w:t>
      </w:r>
      <w:r w:rsidRPr="00A40B83">
        <w:rPr>
          <w:rFonts w:eastAsia="Malgun Gothic"/>
          <w:noProof/>
          <w:kern w:val="2"/>
          <w:szCs w:val="20"/>
          <w:lang w:eastAsia="ko-KR" w:bidi="ar-SA"/>
        </w:rPr>
        <w:t xml:space="preserve"> - </w:t>
      </w:r>
      <w:r w:rsidRPr="00A40B83">
        <w:rPr>
          <w:rFonts w:eastAsia="SimSun"/>
          <w:noProof/>
          <w:kern w:val="2"/>
          <w:szCs w:val="20"/>
          <w:lang w:eastAsia="ko-KR" w:bidi="ar-SA"/>
        </w:rPr>
        <w:t xml:space="preserve">oxidation reaction in a direct methanol fuel cell.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44(13): 10071-10086.</w:t>
      </w:r>
    </w:p>
    <w:p w14:paraId="433F948F" w14:textId="055DE8B7" w:rsidR="0008329C" w:rsidRDefault="0008329C" w:rsidP="00152606">
      <w:pPr>
        <w:widowControl w:val="0"/>
        <w:wordWrap w:val="0"/>
        <w:autoSpaceDE w:val="0"/>
        <w:autoSpaceDN w:val="0"/>
        <w:adjustRightInd w:val="0"/>
        <w:spacing w:after="0"/>
        <w:ind w:left="360"/>
        <w:contextualSpacing/>
        <w:jc w:val="both"/>
        <w:rPr>
          <w:rFonts w:eastAsia="SimSun"/>
          <w:noProof/>
          <w:kern w:val="2"/>
          <w:szCs w:val="20"/>
          <w:lang w:eastAsia="ko-KR" w:bidi="ar-SA"/>
        </w:rPr>
      </w:pPr>
    </w:p>
    <w:p w14:paraId="6895788B" w14:textId="77777777" w:rsidR="0008329C" w:rsidRDefault="0008329C" w:rsidP="009E4B12">
      <w:pPr>
        <w:widowControl w:val="0"/>
        <w:wordWrap w:val="0"/>
        <w:autoSpaceDE w:val="0"/>
        <w:autoSpaceDN w:val="0"/>
        <w:adjustRightInd w:val="0"/>
        <w:spacing w:after="0"/>
        <w:ind w:left="360"/>
        <w:contextualSpacing/>
        <w:jc w:val="both"/>
        <w:rPr>
          <w:rFonts w:eastAsia="SimSun"/>
          <w:noProof/>
          <w:kern w:val="2"/>
          <w:szCs w:val="20"/>
          <w:lang w:eastAsia="ko-KR" w:bidi="ar-SA"/>
        </w:rPr>
      </w:pPr>
    </w:p>
    <w:p w14:paraId="4669DEF8" w14:textId="493E6355" w:rsidR="009E4B12" w:rsidRDefault="009E4B12" w:rsidP="009E4B12">
      <w:pPr>
        <w:widowControl w:val="0"/>
        <w:wordWrap w:val="0"/>
        <w:autoSpaceDE w:val="0"/>
        <w:autoSpaceDN w:val="0"/>
        <w:adjustRightInd w:val="0"/>
        <w:spacing w:after="0"/>
        <w:ind w:left="360"/>
        <w:contextualSpacing/>
        <w:jc w:val="both"/>
        <w:rPr>
          <w:rFonts w:eastAsia="SimSun"/>
          <w:noProof/>
          <w:kern w:val="2"/>
          <w:szCs w:val="20"/>
          <w:lang w:eastAsia="ko-KR" w:bidi="ar-SA"/>
        </w:rPr>
        <w:sectPr w:rsidR="009E4B12" w:rsidSect="009E4B12">
          <w:footerReference w:type="default" r:id="rId29"/>
          <w:type w:val="continuous"/>
          <w:pgSz w:w="12240" w:h="15840" w:code="1"/>
          <w:pgMar w:top="1800" w:right="1469" w:bottom="1699" w:left="1440" w:header="706" w:footer="706" w:gutter="0"/>
          <w:pgNumType w:start="1"/>
          <w:cols w:num="2" w:space="403"/>
          <w:docGrid w:linePitch="360"/>
        </w:sectPr>
      </w:pPr>
    </w:p>
    <w:p w14:paraId="2027C5BE" w14:textId="516A4BAD" w:rsidR="0004342C" w:rsidRPr="009E4B12" w:rsidRDefault="0004342C" w:rsidP="009E4B12">
      <w:pPr>
        <w:widowControl w:val="0"/>
        <w:wordWrap w:val="0"/>
        <w:autoSpaceDE w:val="0"/>
        <w:autoSpaceDN w:val="0"/>
        <w:adjustRightInd w:val="0"/>
        <w:spacing w:after="0"/>
        <w:contextualSpacing/>
        <w:jc w:val="both"/>
        <w:rPr>
          <w:rFonts w:eastAsia="SimSun"/>
          <w:noProof/>
          <w:kern w:val="2"/>
          <w:szCs w:val="20"/>
          <w:lang w:eastAsia="ko-KR" w:bidi="ar-SA"/>
        </w:rPr>
        <w:sectPr w:rsidR="0004342C" w:rsidRPr="009E4B12" w:rsidSect="008D5A3F">
          <w:type w:val="continuous"/>
          <w:pgSz w:w="12240" w:h="15840" w:code="1"/>
          <w:pgMar w:top="1800" w:right="1469" w:bottom="1699" w:left="1440" w:header="706" w:footer="706" w:gutter="0"/>
          <w:pgNumType w:start="1"/>
          <w:cols w:num="2" w:space="403"/>
          <w:docGrid w:linePitch="360"/>
        </w:sectPr>
      </w:pPr>
    </w:p>
    <w:p w14:paraId="25D2FF99" w14:textId="24C42981" w:rsidR="00A74A7E" w:rsidRDefault="00A40B83" w:rsidP="001B1299">
      <w:pPr>
        <w:spacing w:after="0"/>
        <w:ind w:left="360" w:hanging="360"/>
        <w:jc w:val="both"/>
        <w:rPr>
          <w:noProof/>
          <w:szCs w:val="20"/>
          <w:lang w:bidi="ar-SA"/>
        </w:rPr>
      </w:pPr>
      <w:r w:rsidRPr="00A40B83">
        <w:rPr>
          <w:rFonts w:eastAsia="SimSun"/>
          <w:b/>
          <w:kern w:val="2"/>
          <w:szCs w:val="20"/>
          <w:lang w:eastAsia="ko-KR" w:bidi="ar-SA"/>
        </w:rPr>
        <w:lastRenderedPageBreak/>
        <w:fldChar w:fldCharType="end"/>
      </w:r>
    </w:p>
    <w:sectPr w:rsidR="00A74A7E" w:rsidSect="00A40B83">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lang w:val="en-US"/>
      </w:rPr>
      <w:t>2</w:t>
    </w:r>
    <w:r w:rsidR="002F1D31" w:rsidRPr="002F1D31">
      <w:rPr>
        <w:lang w:val="en-US"/>
      </w:rPr>
      <w:ptab w:relativeTo="margin" w:alignment="center" w:leader="none"/>
    </w:r>
    <w:r w:rsidR="002F1D31" w:rsidRPr="002F1D31">
      <w:rPr>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FE1" w14:textId="57F539CF" w:rsidR="00004651" w:rsidRDefault="00004651">
    <w:pPr>
      <w:pStyle w:val="Footer"/>
    </w:pPr>
    <w:r>
      <w:rPr>
        <w:lang w:val="en-US"/>
      </w:rPr>
      <w:t>8</w:t>
    </w:r>
    <w:r w:rsidRPr="002F1D31">
      <w:rPr>
        <w:lang w:val="en-US"/>
      </w:rPr>
      <w:ptab w:relativeTo="margin" w:alignment="center" w:leader="none"/>
    </w:r>
    <w:r w:rsidRPr="002F1D31">
      <w:rPr>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9696" w14:textId="104BD651"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ADDC" w14:textId="77777777" w:rsidR="00FD52E1" w:rsidRPr="007D4BAB" w:rsidRDefault="00FD52E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498" w14:textId="77777777" w:rsidR="00C35751" w:rsidRDefault="00C35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612B" w14:textId="77777777" w:rsidR="00004651" w:rsidRDefault="00004651">
    <w:pPr>
      <w:pStyle w:val="Footer"/>
    </w:pPr>
    <w:r>
      <w:rPr>
        <w:lang w:val="en-US"/>
      </w:rPr>
      <w:t>2</w:t>
    </w:r>
    <w:r w:rsidRPr="002F1D31">
      <w:rPr>
        <w:lang w:val="en-US"/>
      </w:rPr>
      <w:ptab w:relativeTo="margin" w:alignment="center" w:leader="none"/>
    </w:r>
    <w:r w:rsidRPr="002F1D31">
      <w:rPr>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6D0" w14:textId="07A7AEB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8B6" w14:textId="3ED93C29" w:rsidR="00004651" w:rsidRDefault="00004651">
    <w:pPr>
      <w:pStyle w:val="Footer"/>
    </w:pPr>
    <w:r>
      <w:rPr>
        <w:lang w:val="en-US"/>
      </w:rPr>
      <w:t>4</w:t>
    </w:r>
    <w:r w:rsidRPr="002F1D31">
      <w:rPr>
        <w:lang w:val="en-US"/>
      </w:rPr>
      <w:ptab w:relativeTo="margin" w:alignment="center" w:leader="none"/>
    </w:r>
    <w:r w:rsidRPr="002F1D31">
      <w:rPr>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6BC5" w14:textId="302D44AA"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C4E" w14:textId="1CEBEB7D" w:rsidR="00004651" w:rsidRDefault="00004651">
    <w:pPr>
      <w:pStyle w:val="Footer"/>
    </w:pPr>
    <w:r>
      <w:rPr>
        <w:lang w:val="en-US"/>
      </w:rPr>
      <w:t>6</w:t>
    </w:r>
    <w:r w:rsidRPr="002F1D31">
      <w:rPr>
        <w:lang w:val="en-US"/>
      </w:rPr>
      <w:ptab w:relativeTo="margin" w:alignment="center" w:leader="none"/>
    </w:r>
    <w:r w:rsidRPr="002F1D31">
      <w:rPr>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8669" w14:textId="2EE7961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37FBCA63" w:rsidR="002B3BD8" w:rsidRPr="006B72B0" w:rsidRDefault="00F26913" w:rsidP="00C35751">
    <w:pPr>
      <w:pStyle w:val="Header"/>
      <w:ind w:left="1620" w:hanging="1620"/>
      <w:rPr>
        <w:lang w:val="en-US"/>
      </w:rPr>
    </w:pPr>
    <w:r>
      <w:rPr>
        <w:lang w:val="en-US"/>
      </w:rPr>
      <w:t xml:space="preserve">Siti </w:t>
    </w:r>
    <w:r w:rsidR="00C35751">
      <w:rPr>
        <w:lang w:val="en-US"/>
      </w:rPr>
      <w:t xml:space="preserve">Hasanah </w:t>
    </w:r>
    <w:r>
      <w:rPr>
        <w:lang w:val="en-US"/>
      </w:rPr>
      <w:t>et al</w:t>
    </w:r>
    <w:r w:rsidR="006B72B0" w:rsidRPr="006B72B0">
      <w:rPr>
        <w:lang w:val="en-US"/>
      </w:rPr>
      <w:t xml:space="preserve">: </w:t>
    </w:r>
    <w:r w:rsidR="009B0F4A">
      <w:rPr>
        <w:lang w:val="en-US"/>
      </w:rPr>
      <w:t xml:space="preserve"> </w:t>
    </w:r>
    <w:r w:rsidR="00C35751">
      <w:rPr>
        <w:lang w:val="en-US"/>
      </w:rPr>
      <w:tab/>
    </w:r>
    <w:r w:rsidRPr="00F26913">
      <w:rPr>
        <w:lang w:val="en-US"/>
      </w:rPr>
      <w:t>PtRu SUPPORTED ON POROUS 3D TITANIUM DIOXIDE-GRAPHENE AEROGEL AS A POTENTIAL ELECTROCATALYST FOR DIRECT METHANOL FUEL CELLS</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7A6264F" w:rsidR="00D75B35" w:rsidRDefault="006B72B0" w:rsidP="006B72B0">
    <w:pPr>
      <w:pStyle w:val="Header"/>
      <w:jc w:val="right"/>
      <w:rPr>
        <w:i/>
        <w:lang w:val="en-US"/>
      </w:rPr>
    </w:pPr>
    <w:r w:rsidRPr="00D75B35">
      <w:rPr>
        <w:i/>
      </w:rPr>
      <w:t xml:space="preserve">Malaysian Journal of </w:t>
    </w:r>
    <w:r w:rsidR="007D45AC">
      <w:rPr>
        <w:i/>
      </w:rPr>
      <w:t xml:space="preserve">Analytical Sciences, Vol </w:t>
    </w:r>
    <w:r w:rsidR="00153F07">
      <w:rPr>
        <w:i/>
        <w:lang w:val="en-US"/>
      </w:rPr>
      <w:t>26</w:t>
    </w:r>
    <w:r>
      <w:rPr>
        <w:i/>
      </w:rPr>
      <w:t xml:space="preserve"> </w:t>
    </w:r>
    <w:r w:rsidR="004C070C">
      <w:rPr>
        <w:i/>
        <w:lang w:val="en-US"/>
      </w:rPr>
      <w:t xml:space="preserve">No </w:t>
    </w:r>
    <w:r w:rsidR="00BF1444">
      <w:rPr>
        <w:i/>
        <w:lang w:val="en-US"/>
      </w:rPr>
      <w:t>3</w:t>
    </w:r>
    <w:r w:rsidR="009B0F4A">
      <w:rPr>
        <w:i/>
      </w:rPr>
      <w:t xml:space="preserve"> (20</w:t>
    </w:r>
    <w:r w:rsidR="009B0F4A">
      <w:rPr>
        <w:i/>
        <w:lang w:val="en-MY"/>
      </w:rPr>
      <w:t>2</w:t>
    </w:r>
    <w:r w:rsidR="00051F02">
      <w:rPr>
        <w:i/>
        <w:lang w:val="en-MY"/>
      </w:rPr>
      <w:t>2</w:t>
    </w:r>
    <w:r w:rsidRPr="00D75B35">
      <w:rPr>
        <w:i/>
      </w:rPr>
      <w:t xml:space="preserve">): </w:t>
    </w:r>
    <w:r>
      <w:rPr>
        <w:i/>
        <w:lang w:val="en-US"/>
      </w:rPr>
      <w:t xml:space="preserve">xxx </w:t>
    </w:r>
    <w:r w:rsidR="007A0583">
      <w:rPr>
        <w:i/>
        <w:lang w:val="en-US"/>
      </w:rPr>
      <w:t>-</w:t>
    </w:r>
    <w:r>
      <w:rPr>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B2B2" w14:textId="77777777" w:rsidR="00C35751" w:rsidRDefault="00C35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3B31B0"/>
    <w:multiLevelType w:val="hybridMultilevel"/>
    <w:tmpl w:val="F33CD3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9680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6985">
    <w:abstractNumId w:val="1"/>
  </w:num>
  <w:num w:numId="3" w16cid:durableId="14150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651"/>
    <w:rsid w:val="00016385"/>
    <w:rsid w:val="00041111"/>
    <w:rsid w:val="0004342C"/>
    <w:rsid w:val="00046833"/>
    <w:rsid w:val="00051F02"/>
    <w:rsid w:val="0008329C"/>
    <w:rsid w:val="00084936"/>
    <w:rsid w:val="000C49FF"/>
    <w:rsid w:val="000D16A1"/>
    <w:rsid w:val="000D2B0C"/>
    <w:rsid w:val="000F77DA"/>
    <w:rsid w:val="001068E8"/>
    <w:rsid w:val="001106D8"/>
    <w:rsid w:val="00117BCD"/>
    <w:rsid w:val="00152606"/>
    <w:rsid w:val="00152CEC"/>
    <w:rsid w:val="00153F07"/>
    <w:rsid w:val="001A3275"/>
    <w:rsid w:val="001B1299"/>
    <w:rsid w:val="001D035A"/>
    <w:rsid w:val="001D3855"/>
    <w:rsid w:val="001D6F2C"/>
    <w:rsid w:val="00233177"/>
    <w:rsid w:val="002627A2"/>
    <w:rsid w:val="00277498"/>
    <w:rsid w:val="002860B7"/>
    <w:rsid w:val="00290F4D"/>
    <w:rsid w:val="002A2FC0"/>
    <w:rsid w:val="002B188F"/>
    <w:rsid w:val="002B3096"/>
    <w:rsid w:val="002B3BD8"/>
    <w:rsid w:val="002B412F"/>
    <w:rsid w:val="002E0ED7"/>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2209"/>
    <w:rsid w:val="00494C46"/>
    <w:rsid w:val="004B43FF"/>
    <w:rsid w:val="004C070C"/>
    <w:rsid w:val="004C7089"/>
    <w:rsid w:val="004D7E25"/>
    <w:rsid w:val="004F265B"/>
    <w:rsid w:val="00502641"/>
    <w:rsid w:val="0054578F"/>
    <w:rsid w:val="0056630A"/>
    <w:rsid w:val="005C6768"/>
    <w:rsid w:val="005E4871"/>
    <w:rsid w:val="005E662A"/>
    <w:rsid w:val="00601C8A"/>
    <w:rsid w:val="006073F5"/>
    <w:rsid w:val="00617AA2"/>
    <w:rsid w:val="00625671"/>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D517A"/>
    <w:rsid w:val="007E25BD"/>
    <w:rsid w:val="00802C35"/>
    <w:rsid w:val="0082181A"/>
    <w:rsid w:val="0082457A"/>
    <w:rsid w:val="00825624"/>
    <w:rsid w:val="0083587A"/>
    <w:rsid w:val="00883CC3"/>
    <w:rsid w:val="008B470E"/>
    <w:rsid w:val="008B5904"/>
    <w:rsid w:val="008D1880"/>
    <w:rsid w:val="008D29BF"/>
    <w:rsid w:val="008D4C96"/>
    <w:rsid w:val="008D5A3F"/>
    <w:rsid w:val="008E1211"/>
    <w:rsid w:val="008E5BBF"/>
    <w:rsid w:val="008E6968"/>
    <w:rsid w:val="008F45FE"/>
    <w:rsid w:val="0090051B"/>
    <w:rsid w:val="0091237C"/>
    <w:rsid w:val="009211AF"/>
    <w:rsid w:val="00921742"/>
    <w:rsid w:val="009357B8"/>
    <w:rsid w:val="00972D07"/>
    <w:rsid w:val="009866F6"/>
    <w:rsid w:val="009B0F4A"/>
    <w:rsid w:val="009B3139"/>
    <w:rsid w:val="009D030D"/>
    <w:rsid w:val="009E4B12"/>
    <w:rsid w:val="00A049C6"/>
    <w:rsid w:val="00A14DB9"/>
    <w:rsid w:val="00A40B83"/>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6E05"/>
    <w:rsid w:val="00BE7C30"/>
    <w:rsid w:val="00BF1444"/>
    <w:rsid w:val="00C055BF"/>
    <w:rsid w:val="00C056F9"/>
    <w:rsid w:val="00C2226A"/>
    <w:rsid w:val="00C23746"/>
    <w:rsid w:val="00C35751"/>
    <w:rsid w:val="00C74D67"/>
    <w:rsid w:val="00C94D92"/>
    <w:rsid w:val="00C97340"/>
    <w:rsid w:val="00CA513F"/>
    <w:rsid w:val="00CB3AA6"/>
    <w:rsid w:val="00CE203C"/>
    <w:rsid w:val="00CE2BC6"/>
    <w:rsid w:val="00CF05FF"/>
    <w:rsid w:val="00CF07E4"/>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42F2B"/>
    <w:rsid w:val="00E54D12"/>
    <w:rsid w:val="00E66197"/>
    <w:rsid w:val="00F121A0"/>
    <w:rsid w:val="00F26913"/>
    <w:rsid w:val="00F31093"/>
    <w:rsid w:val="00F318AC"/>
    <w:rsid w:val="00F33AB1"/>
    <w:rsid w:val="00F412AF"/>
    <w:rsid w:val="00F43667"/>
    <w:rsid w:val="00F447A7"/>
    <w:rsid w:val="00F44F14"/>
    <w:rsid w:val="00F4760B"/>
    <w:rsid w:val="00F82059"/>
    <w:rsid w:val="00FB349E"/>
    <w:rsid w:val="00FB4C59"/>
    <w:rsid w:val="00FB6521"/>
    <w:rsid w:val="00FC5284"/>
    <w:rsid w:val="00FD482B"/>
    <w:rsid w:val="00FD52E1"/>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83"/>
    <w:pPr>
      <w:spacing w:after="200" w:line="276" w:lineRule="auto"/>
    </w:pPr>
    <w:rPr>
      <w:rFonts w:ascii="Times New Roman" w:eastAsia="Times New Roman" w:hAnsi="Times New Roman"/>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style>
  <w:style w:type="paragraph" w:styleId="Footer">
    <w:name w:val="footer"/>
    <w:basedOn w:val="Normal"/>
    <w:link w:val="FooterChar"/>
    <w:uiPriority w:val="99"/>
    <w:unhideWhenUsed/>
    <w:rsid w:val="00117BC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style>
  <w:style w:type="paragraph" w:customStyle="1" w:styleId="Page-2">
    <w:name w:val="Page-2"/>
    <w:basedOn w:val="Footer"/>
    <w:qFormat/>
    <w:rsid w:val="00117BCD"/>
    <w:pPr>
      <w:spacing w:after="200" w:line="276" w:lineRule="auto"/>
    </w:p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tie@ukm.edu.my" TargetMode="Externa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14759</Words>
  <Characters>84127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3</cp:revision>
  <dcterms:created xsi:type="dcterms:W3CDTF">2022-06-04T03:26:00Z</dcterms:created>
  <dcterms:modified xsi:type="dcterms:W3CDTF">2022-06-07T03:48:00Z</dcterms:modified>
</cp:coreProperties>
</file>