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EF5BF" w14:textId="77777777" w:rsidR="00F676D9" w:rsidRDefault="00F676D9" w:rsidP="00F676D9">
      <w:pPr>
        <w:spacing w:after="0"/>
        <w:jc w:val="center"/>
        <w:rPr>
          <w:rFonts w:ascii="Times New Roman" w:hAnsi="Times New Roman"/>
          <w:sz w:val="28"/>
          <w:szCs w:val="28"/>
          <w:lang w:eastAsia="zh-CN" w:bidi="ar-SA"/>
        </w:rPr>
      </w:pPr>
      <w:r>
        <w:rPr>
          <w:rFonts w:ascii="Times New Roman" w:hAnsi="Times New Roman"/>
          <w:sz w:val="28"/>
          <w:szCs w:val="28"/>
        </w:rPr>
        <w:t>OPTIMIZATION PARAMETERS FOR ELECTROPOLYMERIZATION OF MELAMINE IN DEEP EUTECTIC SOLVENT</w:t>
      </w:r>
    </w:p>
    <w:p w14:paraId="31268504" w14:textId="77777777" w:rsidR="00F676D9" w:rsidRPr="00F676D9" w:rsidRDefault="00F676D9" w:rsidP="00F676D9">
      <w:pPr>
        <w:spacing w:after="0"/>
        <w:jc w:val="center"/>
        <w:rPr>
          <w:rFonts w:ascii="Times New Roman" w:hAnsi="Times New Roman"/>
          <w:sz w:val="24"/>
          <w:szCs w:val="24"/>
        </w:rPr>
      </w:pPr>
    </w:p>
    <w:p w14:paraId="2DC9C21F" w14:textId="77777777" w:rsidR="00F676D9" w:rsidRPr="00F676D9" w:rsidRDefault="00F676D9" w:rsidP="00F676D9">
      <w:pPr>
        <w:spacing w:after="0"/>
        <w:jc w:val="center"/>
        <w:rPr>
          <w:rFonts w:ascii="Times New Roman" w:hAnsi="Times New Roman"/>
          <w:noProof/>
          <w:sz w:val="24"/>
          <w:szCs w:val="24"/>
        </w:rPr>
      </w:pPr>
      <w:r w:rsidRPr="00F676D9">
        <w:rPr>
          <w:rFonts w:ascii="Times New Roman" w:hAnsi="Times New Roman"/>
          <w:noProof/>
          <w:sz w:val="24"/>
          <w:szCs w:val="24"/>
        </w:rPr>
        <w:t>(Pengoptimuman Parameter Elektropempolimeran Melamin Dalam Pelarut Eutektik Dalam)</w:t>
      </w:r>
    </w:p>
    <w:p w14:paraId="3028E6AB" w14:textId="77777777" w:rsidR="00F676D9" w:rsidRDefault="00F676D9" w:rsidP="00F676D9">
      <w:pPr>
        <w:spacing w:after="0"/>
        <w:jc w:val="center"/>
        <w:rPr>
          <w:rFonts w:ascii="Times New Roman" w:hAnsi="Times New Roman"/>
          <w:b/>
          <w:bCs/>
          <w:sz w:val="20"/>
          <w:szCs w:val="20"/>
        </w:rPr>
      </w:pPr>
    </w:p>
    <w:p w14:paraId="2C260BEF" w14:textId="77777777" w:rsidR="00F676D9" w:rsidRDefault="00F676D9" w:rsidP="00F676D9">
      <w:pPr>
        <w:shd w:val="clear" w:color="auto" w:fill="FFFFFF"/>
        <w:spacing w:after="0"/>
        <w:jc w:val="center"/>
        <w:rPr>
          <w:rFonts w:ascii="Times New Roman" w:hAnsi="Times New Roman"/>
          <w:iCs/>
          <w:color w:val="222222"/>
          <w:sz w:val="20"/>
          <w:szCs w:val="20"/>
          <w:vertAlign w:val="superscript"/>
        </w:rPr>
      </w:pPr>
      <w:r>
        <w:rPr>
          <w:rFonts w:ascii="Times New Roman" w:hAnsi="Times New Roman"/>
          <w:iCs/>
          <w:color w:val="222222"/>
          <w:sz w:val="20"/>
          <w:szCs w:val="20"/>
        </w:rPr>
        <w:t>Yeet Hoong Chang</w:t>
      </w:r>
      <w:r>
        <w:rPr>
          <w:rFonts w:ascii="Times New Roman" w:hAnsi="Times New Roman"/>
          <w:iCs/>
          <w:color w:val="222222"/>
          <w:sz w:val="20"/>
          <w:szCs w:val="20"/>
          <w:vertAlign w:val="superscript"/>
        </w:rPr>
        <w:t>1</w:t>
      </w:r>
      <w:r>
        <w:rPr>
          <w:rFonts w:ascii="Times New Roman" w:hAnsi="Times New Roman"/>
          <w:iCs/>
          <w:color w:val="222222"/>
          <w:sz w:val="20"/>
          <w:szCs w:val="20"/>
        </w:rPr>
        <w:t>, Pei Meng Woi</w:t>
      </w:r>
      <w:r>
        <w:rPr>
          <w:rFonts w:ascii="Times New Roman" w:hAnsi="Times New Roman"/>
          <w:iCs/>
          <w:color w:val="222222"/>
          <w:sz w:val="20"/>
          <w:szCs w:val="20"/>
          <w:vertAlign w:val="superscript"/>
        </w:rPr>
        <w:t>1,2</w:t>
      </w:r>
      <w:r w:rsidRPr="00F676D9">
        <w:rPr>
          <w:rFonts w:ascii="Times New Roman" w:hAnsi="Times New Roman"/>
          <w:iCs/>
          <w:color w:val="222222"/>
          <w:sz w:val="20"/>
          <w:szCs w:val="20"/>
        </w:rPr>
        <w:t>*</w:t>
      </w:r>
      <w:r>
        <w:rPr>
          <w:rFonts w:ascii="Times New Roman" w:hAnsi="Times New Roman"/>
          <w:iCs/>
          <w:color w:val="222222"/>
          <w:sz w:val="20"/>
          <w:szCs w:val="20"/>
        </w:rPr>
        <w:t>, Yatimah Alias</w:t>
      </w:r>
      <w:r>
        <w:rPr>
          <w:rFonts w:ascii="Times New Roman" w:hAnsi="Times New Roman"/>
          <w:iCs/>
          <w:color w:val="222222"/>
          <w:sz w:val="20"/>
          <w:szCs w:val="20"/>
          <w:vertAlign w:val="superscript"/>
        </w:rPr>
        <w:t>1,2</w:t>
      </w:r>
    </w:p>
    <w:p w14:paraId="4AA4932F" w14:textId="77777777" w:rsidR="00F676D9" w:rsidRDefault="00F676D9" w:rsidP="00F676D9">
      <w:pPr>
        <w:shd w:val="clear" w:color="auto" w:fill="FFFFFF"/>
        <w:spacing w:after="0"/>
        <w:jc w:val="center"/>
        <w:rPr>
          <w:rFonts w:ascii="Times New Roman" w:hAnsi="Times New Roman"/>
          <w:i/>
          <w:iCs/>
          <w:color w:val="222222"/>
          <w:sz w:val="18"/>
          <w:szCs w:val="18"/>
        </w:rPr>
      </w:pPr>
    </w:p>
    <w:p w14:paraId="2FB22E27" w14:textId="00E0D694"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1</w:t>
      </w:r>
      <w:r>
        <w:rPr>
          <w:rFonts w:ascii="Times New Roman" w:hAnsi="Times New Roman"/>
          <w:i/>
          <w:iCs/>
          <w:color w:val="222222"/>
          <w:sz w:val="18"/>
          <w:szCs w:val="18"/>
        </w:rPr>
        <w:t xml:space="preserve">Department of Chemistry, Faculty of Science </w:t>
      </w:r>
    </w:p>
    <w:p w14:paraId="06C9D5CB" w14:textId="7A29FC2A"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vertAlign w:val="superscript"/>
        </w:rPr>
        <w:t>2</w:t>
      </w:r>
      <w:r>
        <w:rPr>
          <w:rFonts w:ascii="Times New Roman" w:hAnsi="Times New Roman"/>
          <w:i/>
          <w:iCs/>
          <w:color w:val="222222"/>
          <w:sz w:val="18"/>
          <w:szCs w:val="18"/>
        </w:rPr>
        <w:t>University Malaya Centre for Ionic Liquids (UMCiL)</w:t>
      </w:r>
    </w:p>
    <w:p w14:paraId="081B7775" w14:textId="77777777" w:rsidR="00F676D9" w:rsidRDefault="00F676D9" w:rsidP="00F676D9">
      <w:pPr>
        <w:shd w:val="clear" w:color="auto" w:fill="FFFFFF"/>
        <w:spacing w:after="0"/>
        <w:jc w:val="center"/>
        <w:rPr>
          <w:rFonts w:ascii="Times New Roman" w:hAnsi="Times New Roman"/>
          <w:i/>
          <w:iCs/>
          <w:color w:val="222222"/>
          <w:sz w:val="18"/>
          <w:szCs w:val="18"/>
        </w:rPr>
      </w:pPr>
      <w:r>
        <w:rPr>
          <w:rFonts w:ascii="Times New Roman" w:hAnsi="Times New Roman"/>
          <w:i/>
          <w:iCs/>
          <w:color w:val="222222"/>
          <w:sz w:val="18"/>
          <w:szCs w:val="18"/>
        </w:rPr>
        <w:t>University of Malaya, 50603 Kuala Lumpur, Malaysia</w:t>
      </w:r>
    </w:p>
    <w:p w14:paraId="20C28B83" w14:textId="77777777" w:rsidR="00F676D9" w:rsidRDefault="00F676D9" w:rsidP="00F676D9">
      <w:pPr>
        <w:shd w:val="clear" w:color="auto" w:fill="FFFFFF"/>
        <w:spacing w:after="0"/>
        <w:jc w:val="center"/>
        <w:rPr>
          <w:rFonts w:ascii="Times New Roman" w:hAnsi="Times New Roman"/>
          <w:color w:val="222222"/>
          <w:sz w:val="18"/>
          <w:szCs w:val="18"/>
        </w:rPr>
      </w:pPr>
    </w:p>
    <w:p w14:paraId="626EE96B" w14:textId="5859DBC9" w:rsidR="00F676D9" w:rsidRDefault="00F676D9" w:rsidP="00F676D9">
      <w:pPr>
        <w:shd w:val="clear" w:color="auto" w:fill="FFFFFF"/>
        <w:spacing w:after="0"/>
        <w:jc w:val="center"/>
        <w:rPr>
          <w:rFonts w:ascii="Times New Roman" w:hAnsi="Times New Roman"/>
          <w:i/>
          <w:color w:val="222222"/>
          <w:sz w:val="18"/>
          <w:szCs w:val="18"/>
        </w:rPr>
      </w:pPr>
      <w:r>
        <w:rPr>
          <w:rFonts w:ascii="Times New Roman" w:hAnsi="Times New Roman"/>
          <w:i/>
          <w:color w:val="222222"/>
          <w:sz w:val="18"/>
          <w:szCs w:val="18"/>
        </w:rPr>
        <w:t>*Corresponding author:  pmwoi@um.edu.my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EA85E04"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C23984">
        <w:rPr>
          <w:rFonts w:ascii="Times New Roman" w:hAnsi="Times New Roman"/>
          <w:noProof/>
          <w:sz w:val="18"/>
          <w:szCs w:val="18"/>
          <w:lang w:bidi="ar-SA"/>
        </w:rPr>
        <w:t>15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23984">
        <w:rPr>
          <w:rFonts w:ascii="Times New Roman" w:hAnsi="Times New Roman"/>
          <w:noProof/>
          <w:sz w:val="18"/>
          <w:szCs w:val="18"/>
          <w:lang w:bidi="ar-SA"/>
        </w:rPr>
        <w:t>10 December 2021</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34FE1C" w14:textId="77777777" w:rsidR="00C42066" w:rsidRPr="00EB1E77" w:rsidRDefault="00C42066" w:rsidP="00C42066">
      <w:pPr>
        <w:spacing w:after="0"/>
        <w:jc w:val="both"/>
        <w:outlineLvl w:val="0"/>
        <w:rPr>
          <w:rFonts w:ascii="Times New Roman" w:hAnsi="Times New Roman"/>
          <w:sz w:val="18"/>
          <w:szCs w:val="18"/>
        </w:rPr>
      </w:pPr>
    </w:p>
    <w:p w14:paraId="7317BD4C" w14:textId="77777777" w:rsidR="00F676D9" w:rsidRDefault="00F676D9" w:rsidP="00F676D9">
      <w:pPr>
        <w:spacing w:after="0"/>
        <w:jc w:val="both"/>
        <w:rPr>
          <w:rFonts w:ascii="Times New Roman" w:hAnsi="Times New Roman"/>
          <w:bCs/>
          <w:sz w:val="18"/>
          <w:szCs w:val="18"/>
        </w:rPr>
      </w:pPr>
      <w:r>
        <w:rPr>
          <w:rFonts w:ascii="Times New Roman" w:hAnsi="Times New Roman"/>
          <w:sz w:val="18"/>
          <w:szCs w:val="18"/>
        </w:rPr>
        <w:t xml:space="preserve">Polymelamine is a new class of polymer that possess electrocatalytic behavior in dopamine (DA) detection. Our previous studies have </w:t>
      </w:r>
      <w:r>
        <w:rPr>
          <w:rFonts w:ascii="Times New Roman" w:hAnsi="Times New Roman"/>
          <w:bCs/>
          <w:sz w:val="18"/>
          <w:szCs w:val="18"/>
        </w:rPr>
        <w:t xml:space="preserve">successfully replaced the conventional acidic electrolyte to </w:t>
      </w:r>
      <w:r>
        <w:rPr>
          <w:rFonts w:ascii="Times New Roman" w:hAnsi="Times New Roman"/>
          <w:sz w:val="18"/>
          <w:szCs w:val="18"/>
        </w:rPr>
        <w:t>deep eutectic solvent (</w:t>
      </w:r>
      <w:r>
        <w:rPr>
          <w:rFonts w:ascii="Times New Roman" w:hAnsi="Times New Roman"/>
          <w:bCs/>
          <w:sz w:val="18"/>
          <w:szCs w:val="18"/>
        </w:rPr>
        <w:t xml:space="preserve">DES) has open the opportunity for a greener solvent in used. </w:t>
      </w:r>
      <w:r>
        <w:rPr>
          <w:rFonts w:ascii="Times New Roman" w:hAnsi="Times New Roman"/>
          <w:sz w:val="18"/>
          <w:szCs w:val="18"/>
        </w:rPr>
        <w:t xml:space="preserve">Herein we report the optimization process of melamine electropolymerize in DES- reline. Various electrochemical techniques have been employed to studies the ideal parameters. The optimum </w:t>
      </w:r>
      <w:r>
        <w:rPr>
          <w:rFonts w:ascii="Times New Roman" w:hAnsi="Times New Roman"/>
          <w:bCs/>
          <w:sz w:val="18"/>
          <w:szCs w:val="18"/>
        </w:rPr>
        <w:t xml:space="preserve">potential window, scan rate, and number of scan cycles were recorded as -0.20 V – 1.60 V,  </w:t>
      </w:r>
      <w:r>
        <w:rPr>
          <w:rFonts w:ascii="Times New Roman" w:eastAsia="SimSun" w:hAnsi="Times New Roman"/>
          <w:sz w:val="18"/>
          <w:szCs w:val="18"/>
        </w:rPr>
        <w:t>50 mV s</w:t>
      </w:r>
      <w:r>
        <w:rPr>
          <w:rFonts w:ascii="Times New Roman" w:eastAsia="SimSun" w:hAnsi="Times New Roman"/>
          <w:sz w:val="18"/>
          <w:szCs w:val="18"/>
          <w:vertAlign w:val="superscript"/>
        </w:rPr>
        <w:t xml:space="preserve">-1 </w:t>
      </w:r>
      <w:r>
        <w:rPr>
          <w:rFonts w:ascii="Times New Roman" w:eastAsia="SimSun" w:hAnsi="Times New Roman"/>
          <w:sz w:val="18"/>
          <w:szCs w:val="18"/>
        </w:rPr>
        <w:t xml:space="preserve">and five scan cycles, respectively. </w:t>
      </w:r>
      <w:r>
        <w:rPr>
          <w:rFonts w:ascii="Times New Roman" w:hAnsi="Times New Roman"/>
          <w:bCs/>
          <w:sz w:val="18"/>
          <w:szCs w:val="18"/>
        </w:rPr>
        <w:t>Cyclic voltammetry (CV) was employed in the electropolymerization of melamine to optimize the redox behavior of polymelamine film on electrode surface. The growing of polymer film which indicated by the increased of reduction current can be well-controlled by the slow scan rate and optimum scan cycles which leads to strong adhesion and uniform morphology. Amperometry sensing on DA was performed to study and compare the sensitivity and limit of detection for the polymers synthesized in varied parameters. A brief discussion on the principal polymerization factors that would affecting the electrocatalytic behavior of melamine is included.</w:t>
      </w:r>
    </w:p>
    <w:p w14:paraId="70C6149A" w14:textId="77777777" w:rsidR="00F676D9" w:rsidRDefault="00F676D9" w:rsidP="00F676D9">
      <w:pPr>
        <w:spacing w:after="0"/>
        <w:jc w:val="both"/>
        <w:rPr>
          <w:rFonts w:ascii="Times New Roman" w:hAnsi="Times New Roman"/>
          <w:sz w:val="18"/>
          <w:szCs w:val="18"/>
        </w:rPr>
      </w:pPr>
    </w:p>
    <w:p w14:paraId="7A114BDB" w14:textId="389D84E7" w:rsidR="00F676D9" w:rsidRDefault="00F676D9" w:rsidP="00F676D9">
      <w:pPr>
        <w:spacing w:after="0"/>
        <w:jc w:val="both"/>
        <w:rPr>
          <w:rFonts w:ascii="Times New Roman" w:hAnsi="Times New Roman"/>
          <w:sz w:val="18"/>
          <w:szCs w:val="18"/>
        </w:rPr>
      </w:pPr>
      <w:r>
        <w:rPr>
          <w:rFonts w:ascii="Times New Roman" w:hAnsi="Times New Roman"/>
          <w:b/>
          <w:bCs/>
          <w:sz w:val="18"/>
          <w:szCs w:val="18"/>
        </w:rPr>
        <w:t>Keywords:</w:t>
      </w:r>
      <w:r>
        <w:rPr>
          <w:rFonts w:ascii="Times New Roman" w:hAnsi="Times New Roman"/>
          <w:sz w:val="18"/>
          <w:szCs w:val="18"/>
        </w:rPr>
        <w:t xml:space="preserve">  deep eutectic solvent, electropolymerization, melamine, optimization</w:t>
      </w:r>
    </w:p>
    <w:p w14:paraId="049810C4" w14:textId="77777777" w:rsidR="00F676D9" w:rsidRDefault="00F676D9" w:rsidP="00F676D9">
      <w:pPr>
        <w:spacing w:after="0"/>
        <w:jc w:val="center"/>
        <w:rPr>
          <w:rFonts w:ascii="Times New Roman" w:hAnsi="Times New Roman"/>
          <w:sz w:val="18"/>
          <w:szCs w:val="18"/>
        </w:rPr>
      </w:pPr>
    </w:p>
    <w:p w14:paraId="58C7DA96" w14:textId="77777777" w:rsidR="00F676D9" w:rsidRDefault="00F676D9" w:rsidP="00F676D9">
      <w:pPr>
        <w:spacing w:after="0"/>
        <w:jc w:val="center"/>
        <w:rPr>
          <w:rFonts w:ascii="Times New Roman" w:hAnsi="Times New Roman"/>
          <w:b/>
          <w:bCs/>
          <w:noProof/>
          <w:sz w:val="18"/>
          <w:szCs w:val="18"/>
          <w:lang w:val="ms-MY"/>
        </w:rPr>
      </w:pPr>
      <w:r>
        <w:rPr>
          <w:rFonts w:ascii="Times New Roman" w:hAnsi="Times New Roman"/>
          <w:b/>
          <w:bCs/>
          <w:noProof/>
          <w:sz w:val="18"/>
          <w:szCs w:val="18"/>
          <w:lang w:val="ms-MY"/>
        </w:rPr>
        <w:t>Abstrak</w:t>
      </w:r>
    </w:p>
    <w:p w14:paraId="06198CDB" w14:textId="77777777" w:rsidR="00F676D9" w:rsidRDefault="00F676D9" w:rsidP="00F676D9">
      <w:pPr>
        <w:spacing w:after="0"/>
        <w:jc w:val="both"/>
        <w:rPr>
          <w:rFonts w:ascii="Times New Roman" w:hAnsi="Times New Roman"/>
          <w:noProof/>
          <w:sz w:val="18"/>
          <w:szCs w:val="18"/>
          <w:lang w:val="ms-MY"/>
        </w:rPr>
      </w:pPr>
      <w:r>
        <w:rPr>
          <w:rFonts w:ascii="Times New Roman" w:hAnsi="Times New Roman"/>
          <w:noProof/>
          <w:sz w:val="18"/>
          <w:szCs w:val="18"/>
          <w:lang w:val="ms-MY"/>
        </w:rPr>
        <w:t xml:space="preserve">Polimelamin adalah kelas polimer baharu yang mempunyai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dalam pengesanan dopamin (DA). Kajian yang dilaporkan terdahulu menujukkan kerjayaan penggantian elektrolit berasid konvensional kepada pelarut eutektik (DES). </w:t>
      </w:r>
      <w:bookmarkStart w:id="0" w:name="OLE_LINK3"/>
      <w:bookmarkStart w:id="1" w:name="OLE_LINK4"/>
      <w:r>
        <w:rPr>
          <w:rFonts w:ascii="Times New Roman" w:hAnsi="Times New Roman"/>
          <w:noProof/>
          <w:sz w:val="18"/>
          <w:szCs w:val="18"/>
          <w:lang w:val="ms-MY"/>
        </w:rPr>
        <w:t>Kerjayaan ini membuka peluang untuk pelarut yang lebih mesra alam digunaka</w:t>
      </w:r>
      <w:bookmarkEnd w:id="0"/>
      <w:bookmarkEnd w:id="1"/>
      <w:r>
        <w:rPr>
          <w:rFonts w:ascii="Times New Roman" w:hAnsi="Times New Roman"/>
          <w:noProof/>
          <w:sz w:val="18"/>
          <w:szCs w:val="18"/>
          <w:lang w:val="ms-MY"/>
        </w:rPr>
        <w:t xml:space="preserve">n. Dengan ini, kami melaporkan proses pengoptimum elektropolimerisasi melamin dalam DES-relin. Pelbagai teknik elektrokimia telah digunakan untuk mengkaji parameter yang terbaik. </w:t>
      </w:r>
      <w:r>
        <w:rPr>
          <w:rFonts w:ascii="Times New Roman" w:hAnsi="Times New Roman"/>
          <w:bCs/>
          <w:noProof/>
          <w:sz w:val="18"/>
          <w:szCs w:val="18"/>
          <w:lang w:val="ms-MY"/>
        </w:rPr>
        <w:t>Julat keupayaan</w:t>
      </w:r>
      <w:r>
        <w:rPr>
          <w:rFonts w:ascii="Times New Roman" w:hAnsi="Times New Roman"/>
          <w:noProof/>
          <w:sz w:val="18"/>
          <w:szCs w:val="18"/>
          <w:lang w:val="ms-MY"/>
        </w:rPr>
        <w:t>, kadar imbasan dan bilangan kitaran imbasan yang terbaik dicatat pada -0.20 V – 1.60 V, 50 mVs</w:t>
      </w:r>
      <w:r>
        <w:rPr>
          <w:rFonts w:ascii="Times New Roman" w:hAnsi="Times New Roman"/>
          <w:noProof/>
          <w:sz w:val="18"/>
          <w:szCs w:val="18"/>
          <w:vertAlign w:val="superscript"/>
          <w:lang w:val="ms-MY"/>
        </w:rPr>
        <w:t>-1</w:t>
      </w:r>
      <w:r>
        <w:rPr>
          <w:rFonts w:ascii="Times New Roman" w:hAnsi="Times New Roman"/>
          <w:noProof/>
          <w:sz w:val="18"/>
          <w:szCs w:val="18"/>
          <w:lang w:val="ms-MY"/>
        </w:rPr>
        <w:t xml:space="preserve"> dan lima kitaran imbasan. Siklik voltametri (CV) telah digunakan dalam elektropolimerisasi melamin untuk mengoptimumkan </w:t>
      </w:r>
      <w:r>
        <w:rPr>
          <w:rFonts w:ascii="Times New Roman" w:hAnsi="Times New Roman"/>
          <w:bCs/>
          <w:noProof/>
          <w:sz w:val="18"/>
          <w:szCs w:val="18"/>
          <w:lang w:val="ms-MY"/>
        </w:rPr>
        <w:t xml:space="preserve">tingkah laku elektropemangkinan </w:t>
      </w:r>
      <w:r>
        <w:rPr>
          <w:rFonts w:ascii="Times New Roman" w:hAnsi="Times New Roman"/>
          <w:noProof/>
          <w:sz w:val="18"/>
          <w:szCs w:val="18"/>
          <w:lang w:val="ms-MY"/>
        </w:rPr>
        <w:t xml:space="preserve">lapisan polimelamin pada permukaan elektrod. Pertumbuhan lapisan polimer yang ditunjukkan dalam penainkkan arus penurunan boleh dikawal baik dengan kadar imbasan yang perlahan dan kitaran imbasan optimum untuk mencapai lekatan yang kuat dan morfologi yang seragam. Penderiaan amperometri pada DA telah dijalankan untuk mengkaji dan membandingkan kepekaan dan </w:t>
      </w:r>
      <w:r>
        <w:rPr>
          <w:rFonts w:ascii="Times New Roman" w:hAnsi="Times New Roman"/>
          <w:bCs/>
          <w:noProof/>
          <w:sz w:val="18"/>
          <w:szCs w:val="18"/>
          <w:lang w:val="ms-MY"/>
        </w:rPr>
        <w:t xml:space="preserve">had pengesanan rendah </w:t>
      </w:r>
      <w:r>
        <w:rPr>
          <w:rFonts w:ascii="Times New Roman" w:hAnsi="Times New Roman"/>
          <w:noProof/>
          <w:sz w:val="18"/>
          <w:szCs w:val="18"/>
          <w:lang w:val="ms-MY"/>
        </w:rPr>
        <w:t xml:space="preserve">untuk polimer yang disintesis dalam </w:t>
      </w:r>
      <w:r>
        <w:rPr>
          <w:rFonts w:ascii="Times New Roman" w:hAnsi="Times New Roman"/>
          <w:noProof/>
          <w:sz w:val="18"/>
          <w:szCs w:val="18"/>
          <w:lang w:val="ms-MY"/>
        </w:rPr>
        <w:lastRenderedPageBreak/>
        <w:t xml:space="preserve">parameter yang berbeza-beza. Perbincangan ringkas tentang faktor-faktor elektropolimerisasi yang mempengaruhi tingkah laku </w:t>
      </w:r>
      <w:r>
        <w:rPr>
          <w:rFonts w:ascii="Times New Roman" w:hAnsi="Times New Roman"/>
          <w:bCs/>
          <w:noProof/>
          <w:sz w:val="18"/>
          <w:szCs w:val="18"/>
          <w:lang w:val="ms-MY"/>
        </w:rPr>
        <w:t>elektromangkin</w:t>
      </w:r>
      <w:r>
        <w:rPr>
          <w:rFonts w:ascii="Times New Roman" w:hAnsi="Times New Roman"/>
          <w:noProof/>
          <w:sz w:val="18"/>
          <w:szCs w:val="18"/>
          <w:lang w:val="ms-MY"/>
        </w:rPr>
        <w:t xml:space="preserve"> melamin telah disertakan.</w:t>
      </w:r>
    </w:p>
    <w:p w14:paraId="1D3D514D" w14:textId="77777777" w:rsidR="00F676D9" w:rsidRDefault="00F676D9" w:rsidP="00F676D9">
      <w:pPr>
        <w:spacing w:after="0"/>
        <w:jc w:val="both"/>
        <w:rPr>
          <w:rFonts w:ascii="Times New Roman" w:hAnsi="Times New Roman"/>
          <w:noProof/>
          <w:sz w:val="18"/>
          <w:szCs w:val="18"/>
          <w:lang w:val="ms-MY"/>
        </w:rPr>
      </w:pPr>
    </w:p>
    <w:p w14:paraId="5464C319" w14:textId="0E005E33" w:rsidR="00F676D9" w:rsidRDefault="00F676D9" w:rsidP="00F676D9">
      <w:pPr>
        <w:spacing w:after="0"/>
        <w:jc w:val="both"/>
        <w:rPr>
          <w:rFonts w:ascii="Times New Roman" w:hAnsi="Times New Roman"/>
          <w:b/>
          <w:bCs/>
          <w:noProof/>
          <w:sz w:val="18"/>
          <w:szCs w:val="18"/>
          <w:lang w:val="ms-MY"/>
        </w:rPr>
      </w:pPr>
      <w:r>
        <w:rPr>
          <w:rFonts w:ascii="Times New Roman" w:hAnsi="Times New Roman"/>
          <w:b/>
          <w:bCs/>
          <w:noProof/>
          <w:sz w:val="18"/>
          <w:szCs w:val="18"/>
          <w:lang w:val="ms-MY"/>
        </w:rPr>
        <w:t>Kata Kunci:</w:t>
      </w:r>
      <w:r>
        <w:rPr>
          <w:noProof/>
          <w:lang w:val="ms-MY"/>
        </w:rPr>
        <w:t xml:space="preserve">  </w:t>
      </w:r>
      <w:r>
        <w:rPr>
          <w:rFonts w:ascii="Times New Roman" w:hAnsi="Times New Roman"/>
          <w:noProof/>
          <w:sz w:val="18"/>
          <w:szCs w:val="18"/>
          <w:lang w:val="ms-MY"/>
        </w:rPr>
        <w:t>pelarut eutektik dalam, elektropempolimeran, melamin, pengoptimuman</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5042BFCE" w14:textId="77777777" w:rsidR="001D1A16" w:rsidRDefault="001D1A16" w:rsidP="00383C16">
      <w:pPr>
        <w:spacing w:after="0"/>
        <w:jc w:val="center"/>
        <w:rPr>
          <w:rFonts w:ascii="Times New Roman" w:hAnsi="Times New Roman"/>
          <w:b/>
          <w:noProof/>
          <w:sz w:val="20"/>
          <w:szCs w:val="20"/>
          <w:lang w:bidi="ar-SA"/>
        </w:rPr>
        <w:sectPr w:rsidR="001D1A16" w:rsidSect="003A7CA1">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202"/>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023031B1"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Heretofore, the polymers such as polyisoprene, polystyrene, polythiophene, polyaniline, polypyrrole, formaldehyde resin and their by-products have been examined extensively as promising candidates in sensor development. A novel class of conducting polymer - polymelamine (PME) was proposed. PME is made from the nitrogen-rich melamine (1,3,5-Triazine-2,4,6-triamine) which is a heterocyclic organic compound. The synthesis methods of PME included chemical, electrochemical, photo-initiating, biocatalytic, and plasma polymerization. Among all, electropolymerization is commonly employed due to its advantages in facile engineer the morphology, thickness, density, and growing rate of the polymer. PME can be synthesized easily using electropolymerization technique by oxidize the amino groups found in melamine. In the discipline of electrochemistry, PME has been employed as a stable matrix to enhance the effective immobilization of nanomaterials on it. It is also employed as electrochemical sensor owing to the existence of numerous active groups such as nitrogen and amine. PME and its offshoots were soon utilized extensively in sensing of different neurotransmitters, pharmaceutic particles, and toxic heavy metals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{"citationItems":[{"id":"ITEM-1","itemData":{"DOI":"10.1016/j.talanta.2013.11.075","ISSN":"00399140","abstract":"A sensitive and novel electrochemical method has been developed for the determination of an important neurotransmitter, serotonin, using a polymelamine modified edge plane pyrolytic graphite sensor (EPPGS). Melamine was used for the modification of sensor by electropolymerizing it at the surface of EPPGS in acidic medium to form a layer of conducting polymer. Field emission scanning electron microscopy (FE-SEM) and electrochemical impedance spectroscopy (EIS) were used for the characterization of the surface of polymer modified sensor. The electrochemical measurements were carried out using square wave voltammetry and cyclic voltammetry. The polymelamine modified sensor exhibited excellent electrocatalytic activity towards the electrochemical oxidation of serotonin, exhibiting a larger peak current and shift of peak potential to less positive potentials as compared to the unmodified sensor. The dynamic range for the serotonin determination was found between 1-100 μm and 0.1-100 μm with detection limit of 492 nM and 30 nM for unmodified and polymer modified sensors, respectively. The determination of serotonin in human blood serum and urine has been carried out. The common metabolites such as ascorbic acid, dopamine, xanthine and hypoxanthine do not interfere in the determination up to 10-fold concentration, revealing good selectivity of the proposed sensor. © 2013 Elsevier B.V.","author":[{"dropping-particle":"","family":"Gupta","given":"Pankaj","non-dropping-particle":"","parse-names":false,"suffix":""},{"dropping-particle":"","family":"Goyal","given":"Rajendra N.","non-dropping-particle":"","parse-names":false,"suffix":""}],"container-title":"Talanta","id":"ITEM-1","issued":{"date-parts":[["2014"]]},"title":"Polymelamine modified edge plane pyrolytic graphite sensor for the electrochemical assay of serotonin","type":"article-journal"},"uris":["http://www.mendeley.com/documents/?uuid=c26b671b-2f91-449f-86c6-66449c3d5a7c"]}],"mendeley":{"formattedCitation":"[1]","plainTextFormattedCitation":"[1]","previouslyFormattedCitation":"(Gupta and Goyal, 2014)"},"properties":{"noteIndex":0},"schema":"https://github.com/citation-style-language/schema/raw/master/csl-citation.json"}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[1-3]</w:t>
      </w:r>
      <w:r>
        <w:rPr>
          <w:rFonts w:ascii="Times New Roman" w:hAnsi="Times New Roman"/>
          <w:sz w:val="20"/>
          <w:szCs w:val="20"/>
        </w:rPr>
        <w:fldChar w:fldCharType="end"/>
      </w:r>
      <w:r>
        <w:rPr>
          <w:rFonts w:ascii="Times New Roman" w:hAnsi="Times New Roman"/>
          <w:sz w:val="20"/>
          <w:szCs w:val="20"/>
          <w:lang w:val="en-MY"/>
        </w:rPr>
        <w:t xml:space="preserve">. </w:t>
      </w:r>
      <w:r>
        <w:rPr>
          <w:rFonts w:ascii="Times New Roman" w:hAnsi="Times New Roman"/>
          <w:sz w:val="20"/>
          <w:szCs w:val="20"/>
        </w:rPr>
        <w:t xml:space="preserve">Moreover, PME composited with nanocarbon demonstrated high specificity and exhibited exceptional catalytic reaction over broad extent of molarity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{"citationItems":[{"id":"ITEM-1","itemData":{"DOI":"10.1088/1755-1315/217/1/012004","ISSN":"17551315","abstract":"Polymelamine/gold nanoparticle modified carbon paste electrode (PM/AuNPs/CPE) has been developed for voltammetric study of ascorbic acid (AA). The PM/CPE was prepared onto carbon paste electrode surface via electropolymerization, then it has been deposited gold nanoparticle (AuNPs) via electrodeposition for PM/AuNPs/CPE. In pH 7.0 phosphate buffer, PM/AuNPs/CPE was oxidized during the cyclic potential sweep between 0.0 V and 1.5 V, forming polymer and gold nanoparticle at the carbon paste electrode (CPE) surface. The electrochemical behavior of ascorbic acid at the bare CPE, PM/CPE, AuNPs/CPE and PM/AuNPs/CPE were investigated. The oxidation peak potential of ascorbic acid shifts to more negative potential at PM/AuNPs/CPE Moreover, the oxidation peak current significantly increases at PM/AuNPs/CPE. The PM/AuNPs/CPE electrode exhibits a quasi-reversible electron with a peak separation 130 mV. These fenomena indicate that PM/AuNPs/CPE shows highly-efficient catalytic activity to the oxidation of ascorbic acid.","author":[{"dropping-particle":"","family":"Farida","given":"A. N.","non-dropping-particle":"","parse-names":false,"suffix":""},{"dropping-particle":"","family":"Fitriany","given":"E.","non-dropping-particle":"","parse-names":false,"suffix":""},{"dropping-particle":"","family":"Baktir","given":"A.","non-dropping-particle":"","parse-names":false,"suffix":""},{"dropping-particle":"","family":"Kurniawan","given":"F.","non-dropping-particle":"","parse-names":false,"suffix":""},{"dropping-particle":"","family":"Harsini","given":"M.","non-dropping-particle":"","parse-names":false,"suffix":""}],"container-title":"IOP Conference Series: Earth and Environmental Science","id":"ITEM-1","issued":{"date-parts":[["2019"]]},"title":"Voltammetric Study of Ascorbic Acid Using Polymelamine/Gold Nanoparticle Modified Carbon Paste Electrode","type":"paper-conference"},"uris":["http://www.mendeley.com/documents/?uuid=697a7086-0c10-4521-a480-3f4595546e02"]}],"mendeley":{"formattedCitation":"[4]","plainTextFormattedCitation":"[4]","previouslyFormattedCitation":"(Farida &lt;i&gt;et al.&lt;/i&gt;, 2019)"},"properties":{"noteIndex":0},"schema":"https://github.com/citation-style-language/schema/raw/master/csl-citation.json"}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[4]</w:t>
      </w:r>
      <w:r>
        <w:rPr>
          <w:rFonts w:ascii="Times New Roman" w:hAnsi="Times New Roman"/>
          <w:sz w:val="20"/>
          <w:szCs w:val="20"/>
        </w:rPr>
        <w:fldChar w:fldCharType="end"/>
      </w:r>
      <w:r>
        <w:rPr>
          <w:rFonts w:ascii="Times New Roman" w:hAnsi="Times New Roman"/>
          <w:sz w:val="20"/>
          <w:szCs w:val="20"/>
        </w:rPr>
        <w:t>.</w:t>
      </w:r>
    </w:p>
    <w:p w14:paraId="0DEEF5D9" w14:textId="77777777" w:rsidR="00F676D9" w:rsidRDefault="00F676D9" w:rsidP="00F676D9">
      <w:pPr>
        <w:pStyle w:val="ListParagraph"/>
        <w:spacing w:after="0"/>
        <w:ind w:left="0"/>
        <w:contextualSpacing w:val="0"/>
        <w:jc w:val="both"/>
        <w:rPr>
          <w:rFonts w:ascii="Times New Roman" w:hAnsi="Times New Roman"/>
          <w:sz w:val="20"/>
          <w:szCs w:val="20"/>
        </w:rPr>
      </w:pPr>
    </w:p>
    <w:p w14:paraId="235A2F32"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Deep eutectic solvent (DES) draws great attention lately owing to their solvation potential, conductivity, simple synthesis method, cost effective and many are biodegradable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{"citationItems":[{"id":"ITEM-1","itemData":{"DOI":"10.1016/j.gee.2019.03.002","ISSN":"24680257","abstract":"This review divides the acidic deep eutectic solvents (ADES) into Brønsted and Lewis DES according to their diversity of acidic character. The hydrogen bond donors and halide salts for formulating an ADES are classified, the synthesis methods are described, and the physicochemical properties including freezing point, acidity, density, viscosity and conductivity are presented. Furthermore, the applications of Brønsted acidic deep eutectic solvents (BADES) and Lewis acidic deep eutectic solvents (LADES) are overviewed, respectively, covering the fields in dissolution, extraction, organic reaction and metal electrodeposition. It is expected that the ADES has great potential to replace the pollutional mineral acid, expensive and unstable solid acid, and costly ionic liquid in many acid-employed chemical processes, thus meeting the demands of green chemistry.","author":[{"dropping-particle":"","family":"Qin","given":"Hao","non-dropping-particle":"","parse-names":false,"suffix":""},{"dropping-particle":"","family":"Hu","given":"Xutao","non-dropping-particle":"","parse-names":false,"suffix":""},{"dropping-particle":"","family":"Wang","given":"Jingwen","non-dropping-particle":"","parse-names":false,"suffix":""},{"dropping-particle":"","family":"Cheng","given":"Hongye","non-dropping-particle":"","parse-names":false,"suffix":""},{"dropping-particle":"","family":"Chen","given":"Lifang","non-dropping-particle":"","parse-names":false,"suffix":""},{"dropping-particle":"","family":"Qi","given":"Zhiwen","non-dropping-particle":"","parse-names":false,"suffix":""}],"container-title":"Green Energy and Environment","id":"ITEM-1","issued":{"date-parts":[["2020"]]},"title":"Overview of acidic deep eutectic solvents on synthesis, properties and applications","type":"article"},"uris":["http://www.mendeley.com/documents/?uuid=417f1324-38ec-42ae-9cfa-c54c9b996215"]}],"mendeley":{"formattedCitation":"[5]","plainTextFormattedCitation":"[5]","previouslyFormattedCitation":"(Qin &lt;i&gt;et al.&lt;/i&gt;, 2020)"},"properties":{"noteIndex":0},"schema":"https://github.com/citation-style-language/schema/raw/master/csl-citation.json"}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DES are commonly applied in two principal fields: metal processing (metal electropolishing, metal dissolution, metal deposition) and as synthesis solvent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{"citationItems":[{"id":"ITEM-1","itemData":{"DOI":"10.3390/suschem1030016","abstract":"Deep eutectic solvents (DESs) appeared recently as a new class of green designer solvents. The recovery of metals using hydrometallurgy is of major importance with the growth in metal demand. Several authors used these solvents for the hydrometallurgical recovery of metals from primary and secondary resources, and these studies are reviewed in the present work. Hydrophilic DESs can be used for the leaching of metals and have great potential to replace mineral acids, and even to reduce water consumption. Efficient and selective leaching of metals from minerals or wastes is feasible by using DESs. However, the kinetics of leaching as well as the physicochemical properties of DESs are still limiting their large-scale application. Electrochemical recovery from DES is also possible but deserves further investigation. Finally, the recovery of metals from aqueous solutions using hydrophobic DESs was studied in several works. For the solvent extraction of metals, hydrophobic DESs constitute credible alternative ionic liquids.","author":[{"dropping-particle":"","family":"Zante","given":"Guillaume","non-dropping-particle":"","parse-names":false,"suffix":""},{"dropping-particle":"","family":"Boltoeva","given":"Maria","non-dropping-particle":"","parse-names":false,"suffix":""}],"container-title":"Sustainable Chemistry","id":"ITEM-1","issued":{"date-parts":[["2020"]]},"title":"Review on Hydrometallurgical Recovery of Metals with Deep Eutectic Solvents","type":"article-journal"},"uris":["http://www.mendeley.com/documents/?uuid=939eb0ef-37e3-4e95-9065-d906ab4689a9","http://www.mendeley.com/documents/?uuid=b599037a-1653-4d4c-8b85-3cd152327690"]}],"mendeley":{"formattedCitation":"[6]","plainTextFormattedCitation":"[6]","previouslyFormattedCitation":"(Zante and Boltoeva, 2020)"},"properties":{"noteIndex":0},"schema":"https://github.com/citation-style-language/schema/raw/master/csl-citation.json"}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[6-8]</w:t>
      </w:r>
      <w:r>
        <w:rPr>
          <w:rFonts w:ascii="Times New Roman" w:hAnsi="Times New Roman"/>
          <w:sz w:val="20"/>
          <w:szCs w:val="20"/>
        </w:rPr>
        <w:fldChar w:fldCharType="end"/>
      </w:r>
      <w:r>
        <w:rPr>
          <w:rFonts w:ascii="Times New Roman" w:hAnsi="Times New Roman"/>
          <w:sz w:val="20"/>
          <w:szCs w:val="20"/>
        </w:rPr>
        <w:t xml:space="preserve">. Reline (a Type III DES) was employed as stimulant and reducing mediator for polymerization of hydrophilic monomer at temperature close to ambient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{"citationItems":[{"id":"ITEM-1","itemData":{"DOI":"10.1016/j.polymer.2017.10.060","ISSN":"00323861","abstract":"An eco-friendly type III deep eutectic solvent (reline: choline chloride/urea) was used for the supplemental activator and reducing agent atom transfer radical polymerization (SARA ATRP) of different biorelevant hydrophilic monomers (HEA: 2-hydroxyethyl acrylate, HEMA: 2-hydroxyethyl methacrylate and AMPTMA: (3-acrylamidopropyl)trimethylammonium chloride) near room temperature (30 °C). The polymerization of HEA mediated by a safe and inexpensive SARA agent (Na2S2O4) revealed controlled features, with polymers exhibiting low dispersity (Đ ≈ 1.3) throughout the course of the polymerization. Results also showed that typically, a slow and continuous feeding of the SARA agent to the reaction mixture afforded PHEA-Br with higher chain-end functionality and lower dispersity (Đ ≈ 1.1), in comparison to the one obtained without Na2S2O4 feeding. As proof-of-concept, purified PHEA-Br macroinitiators were used for the preparation of different well-defined block copolymers (PHEA-b-PAMPTMA and PHEA-b-PMA).","author":[{"dropping-particle":"V.","family":"Mendonça","given":"Patrícia","non-dropping-particle":"","parse-names":false,"suffix":""},{"dropping-particle":"","family":"Lima","given":"Mafalda S.","non-dropping-particle":"","parse-names":false,"suffix":""},{"dropping-particle":"","family":"Guliashvili","given":"Tamaz","non-dropping-particle":"","parse-names":false,"suffix":""},{"dropping-particle":"","family":"Serra","given":"Arménio C.","non-dropping-particle":"","parse-names":false,"suffix":""},{"dropping-particle":"","family":"Coelho","given":"Jorge F.J.","non-dropping-particle":"","parse-names":false,"suffix":""}],"container-title":"Polymer","id":"ITEM-1","issued":{"date-parts":[["2017"]]},"title":"Deep eutectic solvents (DES): Excellent green solvents for rapid SARA ATRP of biorelevant hydrophilic monomers at ambient temperature","type":"article-journal"},"uris":["http://www.mendeley.com/documents/?uuid=f2485bc2-cae7-4b4e-a092-8c3c4fb7baec"]}],"mendeley":{"formattedCitation":"[9]","plainTextFormattedCitation":"[9]","previouslyFormattedCitation":"(Mendonça &lt;i&gt;et al.&lt;/i&gt;, 2017)"},"properties":{"noteIndex":0},"schema":"https://github.com/citation-style-language/schema/raw/master/csl-citation.json"}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[9]</w:t>
      </w:r>
      <w:r>
        <w:rPr>
          <w:rFonts w:ascii="Times New Roman" w:hAnsi="Times New Roman"/>
          <w:sz w:val="20"/>
          <w:szCs w:val="20"/>
        </w:rPr>
        <w:fldChar w:fldCharType="end"/>
      </w:r>
      <w:r>
        <w:rPr>
          <w:rFonts w:ascii="Times New Roman" w:hAnsi="Times New Roman"/>
          <w:sz w:val="20"/>
          <w:szCs w:val="20"/>
        </w:rPr>
        <w:t xml:space="preserve">. Reline and glyceline (a Type III DES) were proposed to substitute typical aqueous </w:t>
      </w:r>
      <w:r>
        <w:rPr>
          <w:rFonts w:ascii="Times New Roman" w:hAnsi="Times New Roman"/>
          <w:sz w:val="20"/>
          <w:szCs w:val="20"/>
        </w:rPr>
        <w:t xml:space="preserve">solution in free-radical polymerization of acrylamide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{"citationItems":[{"id":"ITEM-1","itemData":{"DOI":"10.1039/c5ra27468k","ISSN":"20462069","abstract":"Deep eutectic solvents (DES) have attracted considerable attention as reaction media in biocatalysis due to their particular solvent properties. It has been demonstrated that some enzymes do not denature in these solvents and that under certain conditions, enzyme-catalyzed reactions in DES can result in higher conversions and reaction rates than those obtained in conventional media. In this work we report the enzyme-mediated free radical polymerization of acrylamide in nearly non-aqueous choline chloride-urea (CCl-U) and choline chloride-glycerol (CCl-Gly) DES. The catalytic activity of the enzyme, horseradish peroxidase (HRP), was observed to be lower at high DES concentrations than in phosphate buffer solution, whereas the thermal stability was enhanced. According to fluorescence and UV-vis spectroscopy studies, the drop in the enzyme activity could be a consequence of the partial denaturation of HRP in the \"hydrated\" DES. Despite this significant loss in activity, HRP was still able to initiate the free radical polymerization of acrylamide with full monomer conversions. For the CCl-U system, polymers with similar average molecular weight and slightly narrower polydispersities compared to those synthesized in a totally aqueous environment were obtained. Furthermore, taking advantage of the low freezing point of CCl-Gly, it was possible to synthesize polyacrylamide at 4 °C, while no polymer was obtained using water at the same temperature. These results illustrate the potential of DES to enable biotransformations in a wide range of temperatures, leading for instance to new strategies in materials synthesis, such as enzymatic cryo-polymerization.","author":[{"dropping-particle":"","family":"Sánchez-Leija","given":"R. J.","non-dropping-particle":"","parse-names":false,"suffix":""},{"dropping-particle":"","family":"Torres-Lubián","given":"J. R.","non-dropping-particle":"","parse-names":false,"suffix":""},{"dropping-particle":"","family":"Reséndiz-Rubio","given":"A.","non-dropping-particle":"","parse-names":false,"suffix":""},{"dropping-particle":"","family":"Luna-Bárcenas","given":"G.","non-dropping-particle":"","parse-names":false,"suffix":""},{"dropping-particle":"","family":"Mota-Morales","given":"J. D.","non-dropping-particle":"","parse-names":false,"suffix":""}],"container-title":"RSC Advances","id":"ITEM-1","issued":{"date-parts":[["2016"]]},"title":"Enzyme-mediated free radical polymerization of acrylamide in deep eutectic solvents","type":"article-journal"},"uris":["http://www.mendeley.com/documents/?uuid=d96dcaae-1050-4565-8788-be475466b2df"]}],"mendeley":{"formattedCitation":"[10]","plainTextFormattedCitation":"[10]","previouslyFormattedCitation":"(Sánchez-Leija &lt;i&gt;et al.&lt;/i&gt;, 2016)"},"properties":{"noteIndex":0},"schema":"https://github.com/citation-style-language/schema/raw/master/csl-citation.json"}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[10]</w:t>
      </w:r>
      <w:r>
        <w:rPr>
          <w:rFonts w:ascii="Times New Roman" w:hAnsi="Times New Roman"/>
          <w:sz w:val="20"/>
          <w:szCs w:val="20"/>
        </w:rPr>
        <w:fldChar w:fldCharType="end"/>
      </w:r>
      <w:r>
        <w:rPr>
          <w:rFonts w:ascii="Times New Roman" w:hAnsi="Times New Roman"/>
          <w:sz w:val="20"/>
          <w:szCs w:val="20"/>
        </w:rPr>
        <w:t>. The outcome shows the polymer synthesized has similar molecular mass compared to the polymer synthesized in aqueous solution. Moreover, polyaniline synthesized in DES demonstrated exceptional conductivity reported at 50 S cm</w:t>
      </w:r>
      <w:r>
        <w:rPr>
          <w:rFonts w:ascii="Times New Roman" w:hAnsi="Times New Roman"/>
          <w:sz w:val="20"/>
          <w:szCs w:val="20"/>
          <w:vertAlign w:val="superscript"/>
        </w:rPr>
        <w:t>-1</w:t>
      </w:r>
      <w:r>
        <w:rPr>
          <w:rFonts w:ascii="Times New Roman" w:hAnsi="Times New Roman"/>
          <w:sz w:val="20"/>
          <w:szCs w:val="20"/>
        </w:rPr>
        <w:t xml:space="preserv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{"citationItems":[{"id":"ITEM-1","itemData":{"DOI":"10.1007/s10800-012-0474-5","ISSN":"0021891X","abstract":"The use of inexpensive and biodegradable deep-eutectic ionic mixtures as solvents for the electrochemical synthesis of conducting polymers could potentially improve the sustainability of these processes and reduce their economic cost. Such an unexplored approach was investigated in this communication by growing a model polymer such as polyaniline from a 1:2 mixture of choline chloride and 1,2-ethanediol (the so-called Propeline) using potentiodynamic and potentiostatic electrochemical procedures. Beyond a preparation method, cyclic voltammetry was also used to characterize the growth of the polymers. The morphology of the films, and their optical properties, were assessed ex-situ by means of scanning electron microscopy and spectroscopic measurements in the UV-vis. The polyanilines thus prepared exhibited nanoparticulated morphology and high reversibility to doping/dedoping which evidences fast charge transport across the films. Excellent conductivities higher than 50 S cm-1 were found under this approach. © Springer Science+Business Media B.V. 2012.","author":[{"dropping-particle":"","family":"Fernandes","given":"Paula M.V.","non-dropping-particle":"","parse-names":false,"suffix":""},{"dropping-particle":"","family":"Campiña","given":"José M.","non-dropping-particle":"","parse-names":false,"suffix":""},{"dropping-particle":"","family":"Pereira","given":"Nuno M.","non-dropping-particle":"","parse-names":false,"suffix":""},{"dropping-particle":"","family":"Pereira","given":"Carlos M.","non-dropping-particle":"","parse-names":false,"suffix":""},{"dropping-particle":"","family":"Silva","given":"Fernando","non-dropping-particle":"","parse-names":false,"suffix":""}],"container-title":"Journal of Applied Electrochemistry","id":"ITEM-1","issued":{"date-parts":[["2012"]]},"title":"Biodegradable deep-eutectic mixtures as electrolytes for the electrochemical synthesis of conducting polymers","type":"article-journal"},"uris":["http://www.mendeley.com/documents/?uuid=8563e3e2-1216-4591-a6c7-840d7d4808d3","http://www.mendeley.com/documents/?uuid=f6349924-49ac-4366-b107-2d9242611869"]}],"mendeley":{"formattedCitation":"[11]","plainTextFormattedCitation":"[11]","previouslyFormattedCitation":"(Fernandes &lt;i&gt;et al.&lt;/i&gt;, 2012)"},"properties":{"noteIndex":0},"schema":"https://github.com/citation-style-language/schema/raw/master/csl-citation.json"}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[11]</w:t>
      </w:r>
      <w:r>
        <w:rPr>
          <w:rFonts w:ascii="Times New Roman" w:hAnsi="Times New Roman"/>
          <w:sz w:val="20"/>
          <w:szCs w:val="20"/>
        </w:rPr>
        <w:fldChar w:fldCharType="end"/>
      </w:r>
      <w:r>
        <w:rPr>
          <w:rFonts w:ascii="Times New Roman" w:hAnsi="Times New Roman"/>
          <w:sz w:val="20"/>
          <w:szCs w:val="20"/>
        </w:rPr>
        <w:t xml:space="preserve">. The polyaniline shows excellent reversibility to doping/dedoping mechanisms which indicated rapid charge transfer. Furthermore, Type I DES has effectively utilized as a cationic catalyst for epoxy resin curing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{"citationItems":[{"id":"ITEM-1","itemData":{"DOI":"10.1039/c5ra12664a","ISSN":"20462069","abstract":"The curing process of epoxy resin with deep eutectic solvents (DES), composed of choline chloride and ZnCl2 or SnCl2, as cationic catalysts has been investigated using rheometry, DSC and FTIR techniques. The differences between two DES types in the catalytic activity towards epoxy resin were discussed based on the pot life at room temperature evaluation, as well as onset temperatures and temperatures at maximum of DSC exotherms, as a function of DES/epoxy resin weight ratio. Moreover, a curing mechanism was proposed. Thermomechanical properties (glass transition temperature, tan δ), crosslink density, thermal resistance as well as the flammability of cured epoxy materials were determined.","author":[{"dropping-particle":"","family":"Maka","given":"Honorata","non-dropping-particle":"","parse-names":false,"suffix":""},{"dropping-particle":"","family":"Spychaj","given":"Tadeusz","non-dropping-particle":"","parse-names":false,"suffix":""},{"dropping-particle":"","family":"Adamus","given":"Jakub","non-dropping-particle":"","parse-names":false,"suffix":""}],"container-title":"RSC Advances","id":"ITEM-1","issued":{"date-parts":[["2015"]]},"title":"Lewis acid type deep eutectic solvents as catalysts for epoxy resin crosslinking","type":"article-journal"},"uris":["http://www.mendeley.com/documents/?uuid=370e4730-5cf9-464e-a865-455c8e407478","http://www.mendeley.com/documents/?uuid=18fd5994-519c-41c8-bd83-c1d9491e220c"]}],"mendeley":{"formattedCitation":"[12]","plainTextFormattedCitation":"[12]","previouslyFormattedCitation":"(Maka &lt;i&gt;et al.&lt;/i&gt;, 2015)"},"properties":{"noteIndex":0},"schema":"https://github.com/citation-style-language/schema/raw/master/csl-citation.json"}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[12]</w:t>
      </w:r>
      <w:r>
        <w:rPr>
          <w:rFonts w:ascii="Times New Roman" w:hAnsi="Times New Roman"/>
          <w:sz w:val="20"/>
          <w:szCs w:val="20"/>
        </w:rPr>
        <w:fldChar w:fldCharType="end"/>
      </w:r>
      <w:r>
        <w:rPr>
          <w:rFonts w:ascii="Times New Roman" w:hAnsi="Times New Roman"/>
          <w:sz w:val="20"/>
          <w:szCs w:val="20"/>
        </w:rPr>
        <w:t xml:space="preserve">. </w:t>
      </w:r>
    </w:p>
    <w:p w14:paraId="55D165D5" w14:textId="77777777" w:rsidR="00F676D9" w:rsidRDefault="00F676D9" w:rsidP="00F676D9">
      <w:pPr>
        <w:pStyle w:val="ListParagraph"/>
        <w:spacing w:after="0"/>
        <w:ind w:left="0"/>
        <w:contextualSpacing w:val="0"/>
        <w:jc w:val="both"/>
        <w:rPr>
          <w:rFonts w:ascii="Times New Roman" w:hAnsi="Times New Roman"/>
          <w:sz w:val="20"/>
          <w:szCs w:val="20"/>
        </w:rPr>
      </w:pPr>
    </w:p>
    <w:p w14:paraId="5D3C7FF5" w14:textId="77777777" w:rsidR="00F676D9" w:rsidRDefault="00F676D9" w:rsidP="00F676D9">
      <w:pPr>
        <w:pStyle w:val="ListParagraph"/>
        <w:spacing w:after="0"/>
        <w:ind w:left="0"/>
        <w:contextualSpacing w:val="0"/>
        <w:jc w:val="both"/>
        <w:rPr>
          <w:rFonts w:ascii="Times New Roman" w:hAnsi="Times New Roman"/>
          <w:sz w:val="20"/>
          <w:szCs w:val="20"/>
        </w:rPr>
      </w:pPr>
      <w:r>
        <w:rPr>
          <w:rFonts w:ascii="Times New Roman" w:hAnsi="Times New Roman"/>
          <w:sz w:val="20"/>
          <w:szCs w:val="20"/>
        </w:rPr>
        <w:t xml:space="preserve">Despite that, DES being the synthesis solvent particularly in the formation of polymers are rarely examined in terms of polymerization parameters. Conventionally, electropolymerization of melamine was conducted in acidic electrolyte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{"citationItems":[{"id":"ITEM-1","itemData":{"DOI":"10.1016/j.talanta.2013.11.075","ISSN":"00399140","abstract":"A sensitive and novel electrochemical method has been developed for the determination of an important neurotransmitter, serotonin, using a polymelamine modified edge plane pyrolytic graphite sensor (EPPGS). Melamine was used for the modification of sensor by electropolymerizing it at the surface of EPPGS in acidic medium to form a layer of conducting polymer. Field emission scanning electron microscopy (FE-SEM) and electrochemical impedance spectroscopy (EIS) were used for the characterization of the surface of polymer modified sensor. The electrochemical measurements were carried out using square wave voltammetry and cyclic voltammetry. The polymelamine modified sensor exhibited excellent electrocatalytic activity towards the electrochemical oxidation of serotonin, exhibiting a larger peak current and shift of peak potential to less positive potentials as compared to the unmodified sensor. The dynamic range for the serotonin determination was found between 1-100 μm and 0.1-100 μm with detection limit of 492 nM and 30 nM for unmodified and polymer modified sensors, respectively. The determination of serotonin in human blood serum and urine has been carried out. The common metabolites such as ascorbic acid, dopamine, xanthine and hypoxanthine do not interfere in the determination up to 10-fold concentration, revealing good selectivity of the proposed sensor. © 2013 Elsevier B.V.","author":[{"dropping-particle":"","family":"Gupta","given":"Pankaj","non-dropping-particle":"","parse-names":false,"suffix":""},{"dropping-particle":"","family":"Goyal","given":"Rajendra N.","non-dropping-particle":"","parse-names":false,"suffix":""}],"container-title":"Talanta","id":"ITEM-1","issued":{"date-parts":[["2014"]]},"title":"Polymelamine modified edge plane pyrolytic graphite sensor for the electrochemical assay of serotonin","type":"article-journal"},"uris":["http://www.mendeley.com/documents/?uuid=c26b671b-2f91-449f-86c6-66449c3d5a7c"]}],"mendeley":{"formattedCitation":"[1]","plainTextFormattedCitation":"[1]","previouslyFormattedCitation":"(Gupta and Goyal, 2014)"},"properties":{"noteIndex":0},"schema":"https://github.com/citation-style-language/schema/raw/master/csl-citation.json"}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w:t>
      </w:r>
      <w:r>
        <w:rPr>
          <w:rFonts w:ascii="Times New Roman" w:hAnsi="Times New Roman"/>
          <w:sz w:val="20"/>
          <w:szCs w:val="20"/>
        </w:rPr>
        <w:fldChar w:fldCharType="end"/>
      </w:r>
      <w:r>
        <w:rPr>
          <w:rFonts w:ascii="Times New Roman" w:hAnsi="Times New Roman"/>
          <w:sz w:val="20"/>
          <w:szCs w:val="20"/>
        </w:rPr>
        <w:t xml:space="preserve">. Acidic electrolyte with pH less than two is the key for the growth and establishment of radical cations that required in rate-limiting step during the electropolymerization of melamine. In accordance with our published work, we have successfully superseded the conventional acidic electrolyte with DES. PME synthesized in DES manifests excellent sensitivity, specificity, and stability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[13]</w:t>
      </w:r>
      <w:r>
        <w:rPr>
          <w:rFonts w:ascii="Times New Roman" w:hAnsi="Times New Roman"/>
          <w:sz w:val="20"/>
          <w:szCs w:val="20"/>
        </w:rPr>
        <w:fldChar w:fldCharType="end"/>
      </w:r>
      <w:r>
        <w:rPr>
          <w:rFonts w:ascii="Times New Roman" w:hAnsi="Times New Roman"/>
          <w:sz w:val="20"/>
          <w:szCs w:val="20"/>
        </w:rPr>
        <w:t>. In this work, we focus on the optimization of polymerization parameters, and discuss the effect of these parameters in polymerization of melamine. Reline is selected as study target due to the enlightenment of the novel perception asserted that chloride ion (Cl</w:t>
      </w:r>
      <w:r>
        <w:rPr>
          <w:rFonts w:ascii="Times New Roman" w:hAnsi="Times New Roman"/>
          <w:sz w:val="20"/>
          <w:szCs w:val="20"/>
          <w:vertAlign w:val="superscript"/>
        </w:rPr>
        <w:t>-</w:t>
      </w:r>
      <w:r>
        <w:rPr>
          <w:rFonts w:ascii="Times New Roman" w:hAnsi="Times New Roman"/>
          <w:sz w:val="20"/>
          <w:szCs w:val="20"/>
        </w:rPr>
        <w:t xml:space="preserve">) is the vital factor for PME formation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{"citationItems":[{"id":"ITEM-1","itemData":{"DOI":"10.1016/j.electacta.2018.03.146","ISSN":"00134686","abstract":"Electropolymerization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 ions. The key effects of the acidity of solution, potential window and concentration of Cl − ions and melamine monomer on the polymelamine (pMel) deposition have been further confirmed one by one, respectively. We proved that presence of Cl − ions is the necessary condition rather than H + . The electropolymerization of melamine is very sensitive to Cl −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author":[{"dropping-particle":"","family":"Chen","given":"Shu","non-dropping-particle":"","parse-names":false,"suffix":""},{"dropping-particle":"","family":"Liu","given":"Siyuan","non-dropping-particle":"","parse-names":false,"suffix":""},{"dropping-particle":"","family":"Wen","given":"Aoli","non-dropping-particle":"","parse-names":false,"suffix":""},{"dropping-particle":"","family":"Zhang","given":"Jie","non-dropping-particle":"","parse-names":false,"suffix":""},{"dropping-particle":"","family":"Nie","given":"Huidong","non-dropping-particle":"","parse-names":false,"suffix":""},{"dropping-particle":"","family":"Chen","given":"Jian","non-dropping-particle":"","parse-names":false,"suffix":""},{"dropping-particle":"","family":"Zeng","given":"Rongjin","non-dropping-particle":"","parse-names":false,"suffix":""},{"dropping-particle":"","family":"Long","given":"Yunfei","non-dropping-particle":"","parse-names":false,"suffix":""},{"dropping-particle":"","family":"Jin","given":"Yongxi","non-dropping-particle":"","parse-names":false,"suffix":""},{"dropping-particle":"","family":"Mai","given":"Ruimin","non-dropping-particle":"","parse-names":false,"suffix":""}],"container-title":"Electrochimica Acta","id":"ITEM-1","issued":{"date-parts":[["2018"]]},"title":"New insight into electropolymerization of melamine. I: Chloride promoted growth of polymelamine in different pH medium","type":"article-journal"},"uris":["http://www.mendeley.com/documents/?uuid=2b283bf1-b401-41cf-8924-b003404ad42a"]}],"mendeley":{"formattedCitation":"[14]","plainTextFormattedCitation":"[14]","previouslyFormattedCitation":"(Chen &lt;i&gt;et al.&lt;/i&gt;, 2018)"},"properties":{"noteIndex":0},"schema":"https://github.com/citation-style-language/schema/raw/master/csl-citation.json"}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[14]</w:t>
      </w:r>
      <w:r>
        <w:rPr>
          <w:rFonts w:ascii="Times New Roman" w:hAnsi="Times New Roman"/>
          <w:sz w:val="20"/>
          <w:szCs w:val="20"/>
        </w:rPr>
        <w:fldChar w:fldCharType="end"/>
      </w:r>
      <w:r>
        <w:rPr>
          <w:rFonts w:ascii="Times New Roman" w:hAnsi="Times New Roman"/>
          <w:sz w:val="20"/>
          <w:szCs w:val="20"/>
        </w:rPr>
        <w:t>. Reline is a mixture of choline chloride and urea in 1:2 ratio, urea molecules offer plentiful positive hydrogen bonding spot to adopt the Cl</w:t>
      </w:r>
      <w:r>
        <w:rPr>
          <w:rFonts w:ascii="Times New Roman" w:hAnsi="Times New Roman"/>
          <w:sz w:val="20"/>
          <w:szCs w:val="20"/>
          <w:vertAlign w:val="superscript"/>
        </w:rPr>
        <w:t>-</w:t>
      </w:r>
      <w:r>
        <w:rPr>
          <w:rFonts w:ascii="Times New Roman" w:hAnsi="Times New Roman"/>
          <w:sz w:val="20"/>
          <w:szCs w:val="20"/>
        </w:rPr>
        <w:t xml:space="preserve"> negative ion into their polar matrix </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{"citationItems":[{"id":"ITEM-1","itemData":{"DOI":"10.1016/j.cpletx.2018.100001","ISSN":"25901419","abstract":"The structural properties of two different deep eutectic solvents (DESs), namely a 1:2 mixture of choline chloride and urea and a 1:2 mixture of butyltrimethylammonium chloride and urea, have been investigated by means of Molecular Dynamics simulations. The presence or not of a hydroxyl group on the organic cation has been found to strongly affect the DES hydrogen bond network, giving rise to a different three dimensional arrangement of all the species present in the mixtures. These findings can have important implications in the future development of DESs for specific applications.","author":[{"dropping-particle":"","family":"Migliorati","given":"Valentina","non-dropping-particle":"","parse-names":false,"suffix":""},{"dropping-particle":"","family":"Sessa","given":"Francesco","non-dropping-particle":"","parse-names":false,"suffix":""},{"dropping-particle":"","family":"D'Angelo","given":"Paola","non-dropping-particle":"","parse-names":false,"suffix":""}],"container-title":"Chemical Physics Letters: X","id":"ITEM-1","issued":{"date-parts":[["2019"]]},"title":"Deep eutectic solvents: A structural point of view on the role of the cation","type":"article-journal"},"uris":["http://www.mendeley.com/documents/?uuid=ed8440e8-8119-48b9-a5e9-806b8349efdc","http://www.mendeley.com/documents/?uuid=170f2776-6461-4ea0-9777-05996d1747b4"]}],"mendeley":{"formattedCitation":"[15]","plainTextFormattedCitation":"[15]","previouslyFormattedCitation":"(Migliorati &lt;i&gt;et al.&lt;/i&gt;, 2019)"},"properties":{"noteIndex":0},"schema":"https://github.com/citation-style-language/schema/raw/master/csl-citation.json"}</w:instrText>
      </w:r>
      <w:r>
        <w:rPr>
          <w:rFonts w:ascii="Times New Roman" w:hAnsi="Times New Roman"/>
          <w:sz w:val="20"/>
          <w:szCs w:val="20"/>
        </w:rPr>
        <w:fldChar w:fldCharType="separate"/>
      </w:r>
      <w:r>
        <w:rPr>
          <w:rFonts w:ascii="Times New Roman" w:hAnsi="Times New Roman"/>
          <w:noProof/>
          <w:sz w:val="20"/>
          <w:szCs w:val="20"/>
        </w:rPr>
        <w:t>[15]</w:t>
      </w:r>
      <w:r>
        <w:rPr>
          <w:rFonts w:ascii="Times New Roman" w:hAnsi="Times New Roman"/>
          <w:sz w:val="20"/>
          <w:szCs w:val="20"/>
        </w:rPr>
        <w:fldChar w:fldCharType="end"/>
      </w:r>
      <w:r>
        <w:rPr>
          <w:rFonts w:ascii="Times New Roman" w:hAnsi="Times New Roman"/>
          <w:sz w:val="20"/>
          <w:szCs w:val="20"/>
        </w:rPr>
        <w:t xml:space="preserve">. PME synthesized in reline is then applied in electrochemical qualification and quantification of dopamine (DA). </w:t>
      </w:r>
    </w:p>
    <w:p w14:paraId="7505C333" w14:textId="77777777" w:rsidR="00F676D9" w:rsidRDefault="00F676D9" w:rsidP="00F676D9">
      <w:pPr>
        <w:pStyle w:val="ListParagraph"/>
        <w:spacing w:after="0"/>
        <w:ind w:left="0"/>
        <w:contextualSpacing w:val="0"/>
        <w:jc w:val="center"/>
        <w:rPr>
          <w:rFonts w:ascii="Times New Roman" w:hAnsi="Times New Roman"/>
          <w:sz w:val="20"/>
          <w:szCs w:val="20"/>
        </w:rPr>
      </w:pPr>
    </w:p>
    <w:p w14:paraId="791E7CA0" w14:textId="77777777" w:rsidR="00F676D9" w:rsidRDefault="00F676D9" w:rsidP="00F676D9">
      <w:pPr>
        <w:pStyle w:val="ListParagraph"/>
        <w:spacing w:after="0"/>
        <w:ind w:left="0"/>
        <w:contextualSpacing w:val="0"/>
        <w:jc w:val="center"/>
        <w:rPr>
          <w:rFonts w:ascii="Times New Roman" w:hAnsi="Times New Roman"/>
          <w:b/>
          <w:bCs/>
          <w:sz w:val="20"/>
          <w:szCs w:val="20"/>
        </w:rPr>
      </w:pPr>
      <w:r>
        <w:rPr>
          <w:rFonts w:ascii="Times New Roman" w:hAnsi="Times New Roman"/>
          <w:b/>
          <w:bCs/>
          <w:sz w:val="20"/>
          <w:szCs w:val="20"/>
        </w:rPr>
        <w:t>Materials and Methods</w:t>
      </w:r>
    </w:p>
    <w:p w14:paraId="21A00521" w14:textId="77777777" w:rsidR="00F676D9" w:rsidRDefault="00F676D9" w:rsidP="00F676D9">
      <w:pPr>
        <w:pStyle w:val="ListParagraph"/>
        <w:spacing w:after="0"/>
        <w:ind w:left="0"/>
        <w:contextualSpacing w:val="0"/>
        <w:jc w:val="both"/>
        <w:rPr>
          <w:rFonts w:ascii="Times New Roman" w:hAnsi="Times New Roman"/>
          <w:b/>
          <w:bCs/>
          <w:sz w:val="20"/>
          <w:szCs w:val="20"/>
        </w:rPr>
      </w:pPr>
      <w:r>
        <w:rPr>
          <w:rFonts w:ascii="Times New Roman" w:hAnsi="Times New Roman"/>
          <w:b/>
          <w:bCs/>
          <w:sz w:val="20"/>
          <w:szCs w:val="20"/>
        </w:rPr>
        <w:t>Materials</w:t>
      </w:r>
    </w:p>
    <w:p w14:paraId="12F19856"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 xml:space="preserve">Melamine monomer, choline chloride, ethylene glycol, urea, glycerol, dopamine (DA), potassium dihydrogen </w:t>
      </w:r>
      <w:r>
        <w:rPr>
          <w:rFonts w:ascii="Times New Roman" w:hAnsi="Times New Roman"/>
          <w:sz w:val="20"/>
          <w:szCs w:val="20"/>
        </w:rPr>
        <w:lastRenderedPageBreak/>
        <w:t>phosphate (KH</w:t>
      </w:r>
      <w:r>
        <w:rPr>
          <w:rFonts w:ascii="Times New Roman" w:hAnsi="Times New Roman"/>
          <w:sz w:val="20"/>
          <w:szCs w:val="20"/>
          <w:vertAlign w:val="subscript"/>
        </w:rPr>
        <w:t>2</w:t>
      </w:r>
      <w:r>
        <w:rPr>
          <w:rFonts w:ascii="Times New Roman" w:hAnsi="Times New Roman"/>
          <w:sz w:val="20"/>
          <w:szCs w:val="20"/>
        </w:rPr>
        <w:t>PO</w:t>
      </w:r>
      <w:r>
        <w:rPr>
          <w:rFonts w:ascii="Times New Roman" w:hAnsi="Times New Roman"/>
          <w:sz w:val="20"/>
          <w:szCs w:val="20"/>
          <w:vertAlign w:val="subscript"/>
        </w:rPr>
        <w:t>4</w:t>
      </w:r>
      <w:r>
        <w:rPr>
          <w:rFonts w:ascii="Times New Roman" w:hAnsi="Times New Roman"/>
          <w:sz w:val="20"/>
          <w:szCs w:val="20"/>
        </w:rPr>
        <w:t>) and potassium hydrogen phosphate (K</w:t>
      </w:r>
      <w:r>
        <w:rPr>
          <w:rFonts w:ascii="Times New Roman" w:hAnsi="Times New Roman"/>
          <w:sz w:val="20"/>
          <w:szCs w:val="20"/>
          <w:vertAlign w:val="subscript"/>
        </w:rPr>
        <w:t>2</w:t>
      </w:r>
      <w:r>
        <w:rPr>
          <w:rFonts w:ascii="Times New Roman" w:hAnsi="Times New Roman"/>
          <w:sz w:val="20"/>
          <w:szCs w:val="20"/>
        </w:rPr>
        <w:t>HPO</w:t>
      </w:r>
      <w:r>
        <w:rPr>
          <w:rFonts w:ascii="Times New Roman" w:hAnsi="Times New Roman"/>
          <w:sz w:val="20"/>
          <w:szCs w:val="20"/>
          <w:vertAlign w:val="subscript"/>
        </w:rPr>
        <w:t>4</w:t>
      </w:r>
      <w:r>
        <w:rPr>
          <w:rFonts w:ascii="Times New Roman" w:hAnsi="Times New Roman"/>
          <w:sz w:val="20"/>
          <w:szCs w:val="20"/>
        </w:rPr>
        <w:t>) were purchased from Sigma Aldrich. Ultra-pure deionized (DI) water with a resistance of 18.3 MΩcm (Merck Synergy) was used in all sample preparations. All the chemical reagents were of analytical grade and were used without further purification.</w:t>
      </w:r>
    </w:p>
    <w:p w14:paraId="596DCA72" w14:textId="77777777" w:rsidR="00F676D9" w:rsidRDefault="00F676D9" w:rsidP="00F676D9">
      <w:pPr>
        <w:spacing w:after="0"/>
        <w:jc w:val="both"/>
        <w:rPr>
          <w:rFonts w:ascii="Times New Roman" w:hAnsi="Times New Roman"/>
          <w:sz w:val="20"/>
          <w:szCs w:val="20"/>
        </w:rPr>
      </w:pPr>
    </w:p>
    <w:p w14:paraId="63FC61E3" w14:textId="77777777" w:rsidR="00F676D9" w:rsidRDefault="00F676D9" w:rsidP="00F676D9">
      <w:pPr>
        <w:spacing w:after="0"/>
        <w:jc w:val="both"/>
        <w:rPr>
          <w:rFonts w:ascii="Times New Roman" w:hAnsi="Times New Roman"/>
          <w:b/>
          <w:sz w:val="20"/>
          <w:szCs w:val="20"/>
        </w:rPr>
      </w:pPr>
      <w:r>
        <w:rPr>
          <w:rFonts w:ascii="Times New Roman" w:hAnsi="Times New Roman"/>
          <w:b/>
          <w:sz w:val="20"/>
          <w:szCs w:val="20"/>
        </w:rPr>
        <w:t>Instrumentation</w:t>
      </w:r>
    </w:p>
    <w:p w14:paraId="64441F93" w14:textId="77777777" w:rsidR="00F676D9" w:rsidRDefault="00F676D9" w:rsidP="00F676D9">
      <w:pPr>
        <w:spacing w:after="0"/>
        <w:jc w:val="both"/>
        <w:rPr>
          <w:rFonts w:ascii="Times New Roman" w:hAnsi="Times New Roman"/>
          <w:sz w:val="20"/>
          <w:szCs w:val="20"/>
          <w:lang w:val="en-MY"/>
        </w:rPr>
      </w:pPr>
      <w:r>
        <w:rPr>
          <w:rFonts w:ascii="Times New Roman" w:hAnsi="Times New Roman"/>
          <w:color w:val="000000"/>
          <w:sz w:val="20"/>
          <w:szCs w:val="20"/>
        </w:rPr>
        <w:t xml:space="preserve">The surface morphology of the bare and modiﬁed sensor was studied by using Horizontal Attenuated Total Reﬂectance-infrared spectroscopy (HATR-IR, PerkinElmer, Inc). </w:t>
      </w:r>
      <w:r>
        <w:rPr>
          <w:rFonts w:ascii="Times New Roman" w:hAnsi="Times New Roman"/>
          <w:sz w:val="20"/>
          <w:szCs w:val="20"/>
        </w:rPr>
        <w:t>All electrochemical experiments were carried out by Autolab potentiostat/galvanostat PGSTAT-302N with an ordinary three electrodes system, containing glassy carbon electrode (GCE) (ALS-Japan, diameter = 3.0 mm, surface area = 0.071 cm</w:t>
      </w:r>
      <w:r>
        <w:rPr>
          <w:rFonts w:ascii="Times New Roman" w:hAnsi="Times New Roman"/>
          <w:sz w:val="20"/>
          <w:szCs w:val="20"/>
          <w:vertAlign w:val="superscript"/>
        </w:rPr>
        <w:t>2</w:t>
      </w:r>
      <w:r>
        <w:rPr>
          <w:rFonts w:ascii="Times New Roman" w:hAnsi="Times New Roman"/>
          <w:sz w:val="20"/>
          <w:szCs w:val="20"/>
        </w:rPr>
        <w:t xml:space="preserve"> ) as working electrode, a platinum braid wire (BASi, diameter = 1.0 mm, surface area = 0.008 cm</w:t>
      </w:r>
      <w:r>
        <w:rPr>
          <w:rFonts w:ascii="Times New Roman" w:hAnsi="Times New Roman"/>
          <w:sz w:val="20"/>
          <w:szCs w:val="20"/>
          <w:vertAlign w:val="superscript"/>
        </w:rPr>
        <w:t>2</w:t>
      </w:r>
      <w:r>
        <w:rPr>
          <w:rFonts w:ascii="Times New Roman" w:hAnsi="Times New Roman"/>
          <w:sz w:val="20"/>
          <w:szCs w:val="20"/>
        </w:rPr>
        <w:t>)</w:t>
      </w:r>
      <w:r>
        <w:rPr>
          <w:rFonts w:ascii="Times New Roman" w:hAnsi="Times New Roman"/>
          <w:sz w:val="20"/>
          <w:szCs w:val="20"/>
          <w:lang w:val="en-MY"/>
        </w:rPr>
        <w:t xml:space="preserve"> </w:t>
      </w:r>
      <w:r>
        <w:rPr>
          <w:rFonts w:ascii="Times New Roman" w:hAnsi="Times New Roman"/>
          <w:sz w:val="20"/>
          <w:szCs w:val="20"/>
        </w:rPr>
        <w:t>as counter electrode and sodium chloride (KCl) saturated Ag/AgCl (BASi) as the reference electrode. All the potential readings were referred to Ag/AgCl unless stated elsewhere. A pseudo reference electrode (Ag wire, BASi, diameter = 1.0 mm, surface area = 0.008 cm</w:t>
      </w:r>
      <w:r>
        <w:rPr>
          <w:rFonts w:ascii="Times New Roman" w:hAnsi="Times New Roman"/>
          <w:sz w:val="20"/>
          <w:szCs w:val="20"/>
          <w:vertAlign w:val="superscript"/>
        </w:rPr>
        <w:t>2</w:t>
      </w:r>
      <w:r>
        <w:rPr>
          <w:rFonts w:ascii="Times New Roman" w:hAnsi="Times New Roman"/>
          <w:sz w:val="20"/>
          <w:szCs w:val="20"/>
        </w:rPr>
        <w:t xml:space="preserve">) was employed for electrochemical polymerization of polymer in DES or mixtures. The referred reading of the pseudo wire with respect to the Ag/AgCl electrode was at + 90 mV. Amperometry analysis of DA was conducted at constant potential (0.20 V) in PBS (0.10 M, pH 7.0). </w:t>
      </w:r>
    </w:p>
    <w:p w14:paraId="247C29A3" w14:textId="77777777" w:rsidR="00F676D9" w:rsidRDefault="00F676D9" w:rsidP="00F676D9">
      <w:pPr>
        <w:spacing w:after="0"/>
        <w:jc w:val="both"/>
        <w:rPr>
          <w:rFonts w:ascii="Times New Roman" w:eastAsiaTheme="minorEastAsia" w:hAnsi="Times New Roman"/>
          <w:sz w:val="20"/>
          <w:szCs w:val="20"/>
        </w:rPr>
      </w:pPr>
    </w:p>
    <w:p w14:paraId="4A5626E2" w14:textId="77777777" w:rsidR="00F676D9" w:rsidRDefault="00F676D9" w:rsidP="00F676D9">
      <w:pPr>
        <w:pStyle w:val="ListParagraph"/>
        <w:spacing w:after="0"/>
        <w:ind w:left="0"/>
        <w:contextualSpacing w:val="0"/>
        <w:jc w:val="both"/>
        <w:rPr>
          <w:rFonts w:ascii="Times New Roman" w:hAnsi="Times New Roman"/>
          <w:b/>
          <w:bCs/>
          <w:sz w:val="20"/>
          <w:szCs w:val="20"/>
        </w:rPr>
      </w:pPr>
      <w:r>
        <w:rPr>
          <w:rFonts w:ascii="Times New Roman" w:hAnsi="Times New Roman"/>
          <w:b/>
          <w:bCs/>
          <w:sz w:val="20"/>
          <w:szCs w:val="20"/>
        </w:rPr>
        <w:t>Preparation of deep eutectic solvent</w:t>
      </w:r>
    </w:p>
    <w:p w14:paraId="661E8FAE"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Type III DES - reline was prepared by mixing choline chloride into urea, in 1:2 molar ratio. The mixture was heat under oil bath with control temperature from 55ºC to 60ºC until a clear solution was obtained. Reline was then set aside to cool down to ambient temperature prior served as supporting electrolyte for the electropolymerization of melamine.</w:t>
      </w:r>
    </w:p>
    <w:p w14:paraId="3D7AEF69" w14:textId="77777777" w:rsidR="00F676D9" w:rsidRDefault="00F676D9" w:rsidP="00F676D9">
      <w:pPr>
        <w:spacing w:after="0"/>
        <w:jc w:val="both"/>
        <w:rPr>
          <w:rFonts w:ascii="Times New Roman" w:hAnsi="Times New Roman"/>
          <w:sz w:val="20"/>
          <w:szCs w:val="20"/>
        </w:rPr>
      </w:pPr>
    </w:p>
    <w:p w14:paraId="303F69E2" w14:textId="77777777" w:rsidR="00F676D9" w:rsidRPr="001D1A16" w:rsidRDefault="00F676D9" w:rsidP="00F676D9">
      <w:pPr>
        <w:pStyle w:val="Heading1"/>
        <w:spacing w:before="0"/>
        <w:contextualSpacing w:val="0"/>
        <w:jc w:val="both"/>
        <w:rPr>
          <w:rFonts w:ascii="Times New Roman" w:hAnsi="Times New Roman"/>
          <w:b/>
          <w:bCs/>
          <w:smallCaps w:val="0"/>
          <w:color w:val="000000" w:themeColor="text1"/>
          <w:sz w:val="20"/>
          <w:szCs w:val="20"/>
        </w:rPr>
      </w:pPr>
      <w:r w:rsidRPr="001D1A16">
        <w:rPr>
          <w:rFonts w:ascii="Times New Roman" w:hAnsi="Times New Roman"/>
          <w:b/>
          <w:bCs/>
          <w:smallCaps w:val="0"/>
          <w:color w:val="000000" w:themeColor="text1"/>
          <w:sz w:val="20"/>
          <w:szCs w:val="20"/>
        </w:rPr>
        <w:t>Preparation of 0.10 mM melamine(reline) solution</w:t>
      </w:r>
    </w:p>
    <w:p w14:paraId="0BCDDBAC"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 xml:space="preserve">A 10.0 mM of melamine was prepared by mixing 5.0 mg of melamine into 4.0 mL reline followed by ultrasonication for 30 minutes until a homogeneous </w:t>
      </w:r>
      <w:r>
        <w:rPr>
          <w:rFonts w:ascii="Times New Roman" w:hAnsi="Times New Roman"/>
          <w:sz w:val="20"/>
          <w:szCs w:val="20"/>
        </w:rPr>
        <w:t>solution is achieved. The as-prepared melamine solution was named as melamine(reline).</w:t>
      </w:r>
    </w:p>
    <w:p w14:paraId="7370FD6B" w14:textId="77777777" w:rsidR="00F676D9" w:rsidRDefault="00F676D9" w:rsidP="00F676D9">
      <w:pPr>
        <w:spacing w:after="0"/>
        <w:ind w:firstLine="284"/>
        <w:jc w:val="both"/>
        <w:rPr>
          <w:rFonts w:ascii="Times New Roman" w:hAnsi="Times New Roman"/>
          <w:sz w:val="20"/>
          <w:szCs w:val="20"/>
        </w:rPr>
      </w:pPr>
    </w:p>
    <w:p w14:paraId="50B6EAF4" w14:textId="77777777" w:rsidR="00F676D9" w:rsidRDefault="00F676D9" w:rsidP="00F676D9">
      <w:pPr>
        <w:spacing w:after="0"/>
        <w:jc w:val="both"/>
        <w:rPr>
          <w:rFonts w:ascii="Times New Roman" w:hAnsi="Times New Roman"/>
          <w:b/>
          <w:bCs/>
          <w:color w:val="FF0000"/>
          <w:sz w:val="20"/>
          <w:szCs w:val="20"/>
        </w:rPr>
      </w:pPr>
      <w:r>
        <w:rPr>
          <w:rFonts w:ascii="Times New Roman" w:hAnsi="Times New Roman"/>
          <w:b/>
          <w:bCs/>
          <w:sz w:val="20"/>
          <w:szCs w:val="20"/>
        </w:rPr>
        <w:t>Synthesis of PME(reline)/GCE</w:t>
      </w:r>
      <w:r>
        <w:rPr>
          <w:sz w:val="20"/>
          <w:szCs w:val="20"/>
        </w:rPr>
        <w:t xml:space="preserve"> </w:t>
      </w:r>
    </w:p>
    <w:p w14:paraId="146080DD" w14:textId="77777777" w:rsidR="00F676D9" w:rsidRDefault="00F676D9" w:rsidP="00F676D9">
      <w:pPr>
        <w:spacing w:after="0"/>
        <w:jc w:val="both"/>
        <w:rPr>
          <w:rFonts w:ascii="Times New Roman" w:hAnsi="Times New Roman"/>
          <w:sz w:val="20"/>
          <w:szCs w:val="20"/>
        </w:rPr>
      </w:pPr>
      <w:r>
        <w:rPr>
          <w:rFonts w:ascii="Times New Roman" w:hAnsi="Times New Roman"/>
          <w:color w:val="000000" w:themeColor="text1"/>
          <w:sz w:val="20"/>
          <w:szCs w:val="20"/>
        </w:rPr>
        <w:t>GCE w</w:t>
      </w:r>
      <w:r>
        <w:rPr>
          <w:rFonts w:ascii="Times New Roman" w:hAnsi="Times New Roman"/>
          <w:sz w:val="20"/>
          <w:szCs w:val="20"/>
        </w:rPr>
        <w:t>as gently polished with 0.05 μM alumina slurry and then rinsed with DI water and ethanol a few times until a clean mirror-like surface was obtained.</w:t>
      </w:r>
      <w:r>
        <w:rPr>
          <w:sz w:val="20"/>
          <w:szCs w:val="20"/>
        </w:rPr>
        <w:t xml:space="preserve"> </w:t>
      </w:r>
      <w:r>
        <w:rPr>
          <w:rFonts w:ascii="Times New Roman" w:hAnsi="Times New Roman"/>
          <w:sz w:val="20"/>
          <w:szCs w:val="20"/>
        </w:rPr>
        <w:t xml:space="preserve">A clean GCE was then immersed into melamine(reline) solution and CV was scanned from the studied potential window at various scan rates for different number of cycles as part of the optimization studies. The fabricated PME(reline)/GCE was gently rinsed with DI to wash off the monomer residue and then set to dry in ambient condition before used. </w:t>
      </w:r>
    </w:p>
    <w:p w14:paraId="3F45A928" w14:textId="77777777" w:rsidR="00F676D9" w:rsidRDefault="00F676D9" w:rsidP="00F676D9">
      <w:pPr>
        <w:spacing w:after="0"/>
        <w:jc w:val="both"/>
        <w:rPr>
          <w:rFonts w:ascii="Times New Roman" w:hAnsi="Times New Roman"/>
          <w:sz w:val="20"/>
          <w:szCs w:val="20"/>
        </w:rPr>
      </w:pPr>
    </w:p>
    <w:p w14:paraId="6E77307B" w14:textId="77777777" w:rsidR="00F676D9" w:rsidRDefault="00F676D9" w:rsidP="00F676D9">
      <w:pPr>
        <w:spacing w:after="0"/>
        <w:jc w:val="both"/>
        <w:rPr>
          <w:rFonts w:ascii="Times New Roman" w:hAnsi="Times New Roman"/>
          <w:sz w:val="20"/>
          <w:szCs w:val="20"/>
        </w:rPr>
      </w:pPr>
      <w:r>
        <w:rPr>
          <w:rFonts w:ascii="Times New Roman" w:hAnsi="Times New Roman"/>
          <w:b/>
          <w:bCs/>
          <w:sz w:val="20"/>
          <w:szCs w:val="20"/>
        </w:rPr>
        <w:t>Preparation of phosphate buffer solution</w:t>
      </w:r>
    </w:p>
    <w:p w14:paraId="6D8BCD6D"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Phosphate buffer solution (PBS) was used as supporting electrolyte in amperometry sensing of DA. 27.2 g of KH</w:t>
      </w:r>
      <w:r>
        <w:rPr>
          <w:rFonts w:ascii="Times New Roman" w:hAnsi="Times New Roman"/>
          <w:sz w:val="20"/>
          <w:szCs w:val="20"/>
          <w:vertAlign w:val="subscript"/>
        </w:rPr>
        <w:t>2</w:t>
      </w:r>
      <w:r>
        <w:rPr>
          <w:rFonts w:ascii="Times New Roman" w:hAnsi="Times New Roman"/>
          <w:sz w:val="20"/>
          <w:szCs w:val="20"/>
        </w:rPr>
        <w:t>PO</w:t>
      </w:r>
      <w:r>
        <w:rPr>
          <w:rFonts w:ascii="Times New Roman" w:hAnsi="Times New Roman"/>
          <w:sz w:val="20"/>
          <w:szCs w:val="20"/>
          <w:vertAlign w:val="subscript"/>
        </w:rPr>
        <w:t>4</w:t>
      </w:r>
      <w:r>
        <w:rPr>
          <w:rFonts w:ascii="Times New Roman" w:hAnsi="Times New Roman"/>
          <w:sz w:val="20"/>
          <w:szCs w:val="20"/>
        </w:rPr>
        <w:t xml:space="preserve"> and 34.8 g of K</w:t>
      </w:r>
      <w:r>
        <w:rPr>
          <w:rFonts w:ascii="Times New Roman" w:hAnsi="Times New Roman"/>
          <w:sz w:val="20"/>
          <w:szCs w:val="20"/>
          <w:vertAlign w:val="subscript"/>
        </w:rPr>
        <w:t>2</w:t>
      </w:r>
      <w:r>
        <w:rPr>
          <w:rFonts w:ascii="Times New Roman" w:hAnsi="Times New Roman"/>
          <w:sz w:val="20"/>
          <w:szCs w:val="20"/>
        </w:rPr>
        <w:t>HPO</w:t>
      </w:r>
      <w:r>
        <w:rPr>
          <w:rFonts w:ascii="Times New Roman" w:hAnsi="Times New Roman"/>
          <w:sz w:val="20"/>
          <w:szCs w:val="20"/>
          <w:vertAlign w:val="subscript"/>
        </w:rPr>
        <w:t>4</w:t>
      </w:r>
      <w:r>
        <w:rPr>
          <w:rFonts w:ascii="Times New Roman" w:hAnsi="Times New Roman"/>
          <w:sz w:val="20"/>
          <w:szCs w:val="20"/>
        </w:rPr>
        <w:t xml:space="preserve"> were individually poured into 1.0 L volumetric flask and added with DI until meniscus line forming solution A (0.20 M) and B (0.20 M), respectively. PBS (0.10 M, pH 7.0) was prepared by mixing 39.0 mL solution A and 61.0 mL solution B follow diluted with DI to 200 mL. The pH value of the buffer solution was confirmed with pH meter (model pH 700, Eutech Instruments).</w:t>
      </w:r>
    </w:p>
    <w:p w14:paraId="2754BA6C" w14:textId="77777777" w:rsidR="00F676D9" w:rsidRDefault="00F676D9" w:rsidP="00F676D9">
      <w:pPr>
        <w:spacing w:after="0"/>
        <w:jc w:val="both"/>
        <w:rPr>
          <w:rFonts w:ascii="Times New Roman" w:hAnsi="Times New Roman"/>
          <w:sz w:val="20"/>
          <w:szCs w:val="20"/>
        </w:rPr>
      </w:pPr>
    </w:p>
    <w:p w14:paraId="78808365" w14:textId="77777777" w:rsidR="00F676D9" w:rsidRDefault="00F676D9" w:rsidP="00F676D9">
      <w:pPr>
        <w:spacing w:after="0"/>
        <w:jc w:val="both"/>
        <w:rPr>
          <w:rFonts w:ascii="Times New Roman" w:hAnsi="Times New Roman"/>
          <w:b/>
          <w:bCs/>
          <w:sz w:val="20"/>
          <w:szCs w:val="20"/>
        </w:rPr>
      </w:pPr>
      <w:r>
        <w:rPr>
          <w:rFonts w:ascii="Times New Roman" w:hAnsi="Times New Roman"/>
          <w:b/>
          <w:bCs/>
          <w:sz w:val="20"/>
          <w:szCs w:val="20"/>
        </w:rPr>
        <w:t>Preparation of DA stock solution</w:t>
      </w:r>
    </w:p>
    <w:p w14:paraId="753DA270" w14:textId="77777777" w:rsidR="00F676D9" w:rsidRDefault="00F676D9" w:rsidP="00F676D9">
      <w:pPr>
        <w:spacing w:after="0"/>
        <w:jc w:val="both"/>
        <w:rPr>
          <w:rFonts w:ascii="Times New Roman" w:hAnsi="Times New Roman"/>
          <w:sz w:val="20"/>
          <w:szCs w:val="20"/>
        </w:rPr>
      </w:pPr>
      <w:r>
        <w:rPr>
          <w:rFonts w:ascii="Times New Roman" w:hAnsi="Times New Roman"/>
          <w:sz w:val="20"/>
          <w:szCs w:val="20"/>
        </w:rPr>
        <w:t>1000 μM of DA stock solution was prepared by adding 0.015 g DA into 100 mL volumetric flask and added DI until meniscus. DA solution was freshly prepared daily and kept in refrigerator at 4ºC before used for not more than 12 hours. A layer of aluminum foil was used to cover the stock solution to avoid contact with light.</w:t>
      </w:r>
    </w:p>
    <w:p w14:paraId="53E1F345" w14:textId="77777777" w:rsidR="001D1A16" w:rsidRDefault="001D1A16" w:rsidP="001D1A16">
      <w:pPr>
        <w:spacing w:after="0"/>
        <w:rPr>
          <w:rFonts w:ascii="Times New Roman" w:hAnsi="Times New Roman"/>
          <w:b/>
          <w:noProof/>
          <w:sz w:val="20"/>
          <w:szCs w:val="20"/>
          <w:lang w:bidi="ar-SA"/>
        </w:rPr>
      </w:pPr>
    </w:p>
    <w:p w14:paraId="1E3E8339" w14:textId="77777777" w:rsidR="001D1A16" w:rsidRPr="00383C16" w:rsidRDefault="001D1A16" w:rsidP="001D1A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5F3CDD6C" w14:textId="77777777" w:rsidR="001D1A16" w:rsidRPr="00EE2CC4" w:rsidRDefault="001D1A16" w:rsidP="001D1A16">
      <w:pPr>
        <w:spacing w:after="0"/>
        <w:jc w:val="both"/>
        <w:rPr>
          <w:rFonts w:ascii="Times New Roman" w:hAnsi="Times New Roman"/>
          <w:b/>
          <w:bCs/>
          <w:sz w:val="20"/>
          <w:szCs w:val="20"/>
        </w:rPr>
      </w:pPr>
      <w:r w:rsidRPr="00EE2CC4">
        <w:rPr>
          <w:rFonts w:ascii="Times New Roman" w:hAnsi="Times New Roman"/>
          <w:b/>
          <w:bCs/>
          <w:sz w:val="20"/>
          <w:szCs w:val="20"/>
        </w:rPr>
        <w:t>Optimization of potential window for melamine electropolymerization</w:t>
      </w:r>
    </w:p>
    <w:p w14:paraId="5C460130" w14:textId="77777777" w:rsidR="001D1A16" w:rsidRDefault="001D1A16" w:rsidP="001D1A16">
      <w:pPr>
        <w:spacing w:after="0"/>
        <w:jc w:val="both"/>
        <w:rPr>
          <w:rFonts w:ascii="Times New Roman" w:hAnsi="Times New Roman"/>
          <w:color w:val="000000"/>
          <w:sz w:val="20"/>
          <w:szCs w:val="20"/>
          <w:lang w:val="en-MY"/>
        </w:rPr>
      </w:pPr>
      <w:r w:rsidRPr="00EE2CC4">
        <w:rPr>
          <w:rFonts w:ascii="Times New Roman" w:hAnsi="Times New Roman"/>
          <w:sz w:val="20"/>
          <w:szCs w:val="20"/>
        </w:rPr>
        <w:t xml:space="preserve">To understand the effect of applied potential window on the melamine electropolymerization process, repeated CV cycling tests were carried out on melamine dissolved in reline. </w:t>
      </w:r>
      <w:r w:rsidRPr="00EE2CC4">
        <w:rPr>
          <w:rFonts w:ascii="Times New Roman" w:eastAsia="SimSun" w:hAnsi="Times New Roman"/>
          <w:sz w:val="20"/>
          <w:szCs w:val="20"/>
        </w:rPr>
        <w:t>To begin with the potential window investigation, parameters of melamine concentration, scan rate, scan cycles, and temperature were fixed at 10.0 mM,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five scan cycles and 25°C, respectively. </w:t>
      </w:r>
      <w:r w:rsidRPr="00EE2CC4">
        <w:rPr>
          <w:rFonts w:ascii="Times New Roman" w:hAnsi="Times New Roman"/>
          <w:sz w:val="20"/>
          <w:szCs w:val="20"/>
        </w:rPr>
        <w:t xml:space="preserve">Figure 1 shows the </w:t>
      </w:r>
      <w:r w:rsidRPr="00EE2CC4">
        <w:rPr>
          <w:rFonts w:ascii="Times New Roman" w:hAnsi="Times New Roman"/>
          <w:sz w:val="20"/>
          <w:szCs w:val="20"/>
        </w:rPr>
        <w:lastRenderedPageBreak/>
        <w:t xml:space="preserve">electropolymerization of melamine at fixed starting potential (-0.20 V) and ended with varied potentials: 1.20 V, 1.40 V, 1.60 V, and 1.80 V. </w:t>
      </w:r>
      <w:r w:rsidRPr="00EE2CC4">
        <w:rPr>
          <w:rFonts w:ascii="Times New Roman" w:eastAsia="SimSun" w:hAnsi="Times New Roman"/>
          <w:sz w:val="20"/>
          <w:szCs w:val="20"/>
        </w:rPr>
        <w:t>The electropolymerization behavior of melamine in reline was different from the conventional electrolyte - H</w:t>
      </w:r>
      <w:r w:rsidRPr="00EE2CC4">
        <w:rPr>
          <w:rFonts w:ascii="Times New Roman" w:eastAsia="SimSun" w:hAnsi="Times New Roman"/>
          <w:sz w:val="20"/>
          <w:szCs w:val="20"/>
          <w:vertAlign w:val="subscript"/>
        </w:rPr>
        <w:t>2</w:t>
      </w:r>
      <w:r w:rsidRPr="00EE2CC4">
        <w:rPr>
          <w:rFonts w:ascii="Times New Roman" w:eastAsia="SimSun" w:hAnsi="Times New Roman"/>
          <w:sz w:val="20"/>
          <w:szCs w:val="20"/>
        </w:rPr>
        <w:t>SO</w:t>
      </w:r>
      <w:r w:rsidRPr="00EE2CC4">
        <w:rPr>
          <w:rFonts w:ascii="Times New Roman" w:eastAsia="SimSun" w:hAnsi="Times New Roman"/>
          <w:sz w:val="20"/>
          <w:szCs w:val="20"/>
          <w:vertAlign w:val="subscript"/>
        </w:rPr>
        <w:t>4</w:t>
      </w:r>
      <w:r w:rsidRPr="00EE2CC4">
        <w:rPr>
          <w:rFonts w:ascii="Times New Roman" w:eastAsia="SimSun" w:hAnsi="Times New Roman"/>
          <w:sz w:val="20"/>
          <w:szCs w:val="20"/>
        </w:rPr>
        <w:t xml:space="preserve"> as in previous literature </w:t>
      </w:r>
      <w:r w:rsidRPr="00EE2CC4">
        <w:rPr>
          <w:rFonts w:ascii="Times New Roman" w:eastAsia="SimSun" w:hAnsi="Times New Roman"/>
          <w:sz w:val="20"/>
          <w:szCs w:val="20"/>
        </w:rPr>
        <w:fldChar w:fldCharType="begin" w:fldLock="1"/>
      </w:r>
      <w:r w:rsidRPr="00EE2CC4">
        <w:rPr>
          <w:rFonts w:ascii="Times New Roman" w:eastAsia="SimSun" w:hAnsi="Times New Roman"/>
          <w:sz w:val="20"/>
          <w:szCs w:val="20"/>
        </w:rPr>
        <w:instrText>ADDIN CSL_CITATION {"citationItems":[{"id":"ITEM-1","itemData":{"DOI":"10.1016/j.electacta.2018.03.146","ISSN":"00134686","abstract":"Electropolymerization of melamine, 1,3,5-triazine-2,4,6-triamine, has been investigated here in aqueous solutions in a very wide pH range, which formerly was believed to be confined only in an acidic medium. We report here for the first time the polymerization can take place in neutral and alkaline besides acidic solution in presence of Cl − ions. The key effects of the acidity of solution, potential window and concentration of Cl − ions and melamine monomer on the polymelamine (pMel) deposition have been further confirmed one by one, respectively. We proved that presence of Cl − ions is the necessary condition rather than H + . The electropolymerization of melamine is very sensitive to Cl − (even in 1 mM), and in situ electrogeneration of active chlorine effectively promote the growth of pMel film in separate solutions with different pH. Based on the relevant reactions during the process of electropolymerization, a tentative mechanism is given here. With this knowledge, a better control of the electrochemical synthesis can be envisioned, thus making pMel film suitable for the construction of multifunctional platforms.","author":[{"dropping-particle":"","family":"Chen","given":"Shu","non-dropping-particle":"","parse-names":false,"suffix":""},{"dropping-particle":"","family":"Liu","given":"Siyuan","non-dropping-particle":"","parse-names":false,"suffix":""},{"dropping-particle":"","family":"Wen","given":"Aoli","non-dropping-particle":"","parse-names":false,"suffix":""},{"dropping-particle":"","family":"Zhang","given":"Jie","non-dropping-particle":"","parse-names":false,"suffix":""},{"dropping-particle":"","family":"Nie","given":"Huidong","non-dropping-particle":"","parse-names":false,"suffix":""},{"dropping-particle":"","family":"Chen","given":"Jian","non-dropping-particle":"","parse-names":false,"suffix":""},{"dropping-particle":"","family":"Zeng","given":"Rongjin","non-dropping-particle":"","parse-names":false,"suffix":""},{"dropping-particle":"","family":"Long","given":"Yunfei","non-dropping-particle":"","parse-names":false,"suffix":""},{"dropping-particle":"","family":"Jin","given":"Yongxi","non-dropping-particle":"","parse-names":false,"suffix":""},{"dropping-particle":"","family":"Mai","given":"Ruimin","non-dropping-particle":"","parse-names":false,"suffix":""}],"container-title":"Electrochimica Acta","id":"ITEM-1","issued":{"date-parts":[["2018"]]},"title":"New insight into electropolymerization of melamine. I: Chloride promoted growth of polymelamine in different pH medium","type":"article-journal"},"uris":["http://www.mendeley.com/documents/?uuid=2b283bf1-b401-41cf-8924-b003404ad42a"]}],"mendeley":{"formattedCitation":"[14]","plainTextFormattedCitation":"[14]","previouslyFormattedCitation":"(Chen &lt;i&gt;et al.&lt;/i&gt;, 2018)"},"properties":{"noteIndex":0},"schema":"https://github.com/citation-style-language/schema/raw/master/csl-citation.json"}</w:instrText>
      </w:r>
      <w:r w:rsidRPr="00EE2CC4">
        <w:rPr>
          <w:rFonts w:ascii="Times New Roman" w:eastAsia="SimSun" w:hAnsi="Times New Roman"/>
          <w:sz w:val="20"/>
          <w:szCs w:val="20"/>
        </w:rPr>
        <w:fldChar w:fldCharType="separate"/>
      </w:r>
      <w:r w:rsidRPr="00EE2CC4">
        <w:rPr>
          <w:rFonts w:ascii="Times New Roman" w:eastAsia="SimSun" w:hAnsi="Times New Roman"/>
          <w:noProof/>
          <w:sz w:val="20"/>
          <w:szCs w:val="20"/>
        </w:rPr>
        <w:t>[14]</w:t>
      </w:r>
      <w:r w:rsidRPr="00EE2CC4">
        <w:rPr>
          <w:rFonts w:ascii="Times New Roman" w:eastAsia="SimSun" w:hAnsi="Times New Roman"/>
          <w:sz w:val="20"/>
          <w:szCs w:val="20"/>
        </w:rPr>
        <w:fldChar w:fldCharType="end"/>
      </w:r>
      <w:r w:rsidRPr="00EE2CC4">
        <w:rPr>
          <w:rFonts w:ascii="Times New Roman" w:eastAsia="SimSun" w:hAnsi="Times New Roman"/>
          <w:sz w:val="20"/>
          <w:szCs w:val="20"/>
        </w:rPr>
        <w:t xml:space="preserve">. In conventional electrolyte, a cathodic peak at around + 0.85 V was noticed owing to the coupling among the melamine molecules and carbonyl groups (C=O and/or C-O) from the DES instead of head-to-head linking of amine groups betwixt the melamine molecules </w:t>
      </w:r>
      <w:r w:rsidRPr="00EE2CC4">
        <w:rPr>
          <w:rFonts w:ascii="Times New Roman" w:hAnsi="Times New Roman"/>
          <w:sz w:val="20"/>
          <w:szCs w:val="20"/>
        </w:rPr>
        <w:fldChar w:fldCharType="begin" w:fldLock="1"/>
      </w:r>
      <w:r w:rsidRPr="00EE2CC4">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sidRPr="00EE2CC4">
        <w:rPr>
          <w:rFonts w:ascii="Times New Roman" w:hAnsi="Times New Roman"/>
          <w:sz w:val="20"/>
          <w:szCs w:val="20"/>
        </w:rPr>
        <w:fldChar w:fldCharType="separate"/>
      </w:r>
      <w:r w:rsidRPr="00EE2CC4">
        <w:rPr>
          <w:rFonts w:ascii="Times New Roman" w:hAnsi="Times New Roman"/>
          <w:noProof/>
          <w:sz w:val="20"/>
          <w:szCs w:val="20"/>
        </w:rPr>
        <w:t>[13]</w:t>
      </w:r>
      <w:r w:rsidRPr="00EE2CC4">
        <w:rPr>
          <w:rFonts w:ascii="Times New Roman" w:hAnsi="Times New Roman"/>
          <w:sz w:val="20"/>
          <w:szCs w:val="20"/>
        </w:rPr>
        <w:fldChar w:fldCharType="end"/>
      </w:r>
      <w:r w:rsidRPr="00EE2CC4">
        <w:rPr>
          <w:rFonts w:ascii="Times New Roman" w:eastAsia="SimSun" w:hAnsi="Times New Roman"/>
          <w:sz w:val="20"/>
          <w:szCs w:val="20"/>
        </w:rPr>
        <w:t xml:space="preserve">. Figure 1(c) illustrated an anodic peak at 1.20 V was observed for the electropolymerization of melamine from -0.20 to 1.60 V. The anodic peak was due to functionalization of melamine monomers with carbonyl groups (C=O) attributed from the reline and forming an electroactive PME functionalized DES. Likewise, an anodic peak at about 1.20 V was observed in Figure 1(b) for applied potential window -0.20 - 1.40 V, indicating the formation of PME. However, it noticed that the peak current was lower as compared to the electropolymerization of melamine at -0.20 to 1.60 V, indicating the limit of charge depository of polymer formed at -0.20 - 1.40 V. Noted that in Figure 1(a) and Figure 1(d), no anodic peak was observed with the applied potential. This is probably due to a narrow potential window restricts the charge depository ability of monomer during polymerization, while a wide potential window will lead to overoxidation of polymer, causing breakage of polymer chain </w:t>
      </w:r>
      <w:r w:rsidRPr="00EE2CC4">
        <w:rPr>
          <w:rFonts w:ascii="Times New Roman" w:eastAsia="SimSun" w:hAnsi="Times New Roman"/>
          <w:sz w:val="20"/>
          <w:szCs w:val="20"/>
        </w:rPr>
        <w:fldChar w:fldCharType="begin" w:fldLock="1"/>
      </w:r>
      <w:r w:rsidRPr="00EE2CC4">
        <w:rPr>
          <w:rFonts w:ascii="Times New Roman" w:eastAsia="SimSun" w:hAnsi="Times New Roman"/>
          <w:sz w:val="20"/>
          <w:szCs w:val="20"/>
        </w:rPr>
        <w:instrText>ADDIN CSL_CITATION {"citationItems":[{"id":"ITEM-1","itemData":{"DOI":"10.3390/polym8110401","ISSN":"20734360","abstract":"By combining electrochemical experiments with mass spectrometric analysis, it is found that using short chain oligomers to improve the cycling stability of conducting polymers in supercapacitors is still problematic. Cycling tests via cyclic voltammetry over a potential window of 0 to 1.0 V or 0 to 1.2 V in a two-electrode device configuration resulted in solid-state electropolymerization and chain scission. Electropolymerization of the aniline tetramer to generate long chain oligomers is shown to be possible despite the suggested decrease in reactivity and increase in intermediate stability with longer oligomers. Because aniline oligomers are more stable towards reductive cycling when compared to oxidative cycling, future conducting polymer/oligomer-based pseudocapacitors should consider using an asymmetric electrode configuration.","author":[{"dropping-particle":"","family":"Li","given":"Rebecca L.","non-dropping-particle":"","parse-names":false,"suffix":""},{"dropping-particle":"","family":"Lin","given":"Cheng Wei","non-dropping-particle":"","parse-names":false,"suffix":""},{"dropping-particle":"","family":"Shao","given":"Yuanlong","non-dropping-particle":"","parse-names":false,"suffix":""},{"dropping-particle":"","family":"Chang","given":"Che Wei","non-dropping-particle":"","parse-names":false,"suffix":""},{"dropping-particle":"","family":"Yao","given":"Fu Kai","non-dropping-particle":"","parse-names":false,"suffix":""},{"dropping-particle":"","family":"Kowal","given":"Matthew D.","non-dropping-particle":"","parse-names":false,"suffix":""},{"dropping-particle":"","family":"Wang","given":"Haosen","non-dropping-particle":"","parse-names":false,"suffix":""},{"dropping-particle":"","family":"Yeung","given":"Michael T.","non-dropping-particle":"","parse-names":false,"suffix":""},{"dropping-particle":"","family":"Huang","given":"Shu Chuan","non-dropping-particle":"","parse-names":false,"suffix":""},{"dropping-particle":"","family":"Kaner","given":"Richard B.","non-dropping-particle":"","parse-names":false,"suffix":""}],"container-title":"Polymers","id":"ITEM-1","issued":{"date-parts":[["2016"]]},"title":"Characterization of aniline tetramer by MALDI TOF mass spectrometry upon oxidative and reductive cycling","type":"article-journal"},"uris":["http://www.mendeley.com/documents/?uuid=5d54ee8c-865b-4e82-9b99-504051ec221f","http://www.mendeley.com/documents/?uuid=478feba7-93dd-433d-a279-c6e8d9cef8ac"]}],"mendeley":{"formattedCitation":"[16]","plainTextFormattedCitation":"[16]","previouslyFormattedCitation":"(Li &lt;i&gt;et al.&lt;/i&gt;, 2016)"},"properties":{"noteIndex":0},"schema":"https://github.com/citation-style-language/schema/raw/master/csl-citation.json"}</w:instrText>
      </w:r>
      <w:r w:rsidRPr="00EE2CC4">
        <w:rPr>
          <w:rFonts w:ascii="Times New Roman" w:eastAsia="SimSun" w:hAnsi="Times New Roman"/>
          <w:sz w:val="20"/>
          <w:szCs w:val="20"/>
        </w:rPr>
        <w:fldChar w:fldCharType="separate"/>
      </w:r>
      <w:r w:rsidRPr="00EE2CC4">
        <w:rPr>
          <w:rFonts w:ascii="Times New Roman" w:eastAsia="SimSun" w:hAnsi="Times New Roman"/>
          <w:noProof/>
          <w:sz w:val="20"/>
          <w:szCs w:val="20"/>
        </w:rPr>
        <w:t>[16]</w:t>
      </w:r>
      <w:r w:rsidRPr="00EE2CC4">
        <w:rPr>
          <w:rFonts w:ascii="Times New Roman" w:eastAsia="SimSun" w:hAnsi="Times New Roman"/>
          <w:sz w:val="20"/>
          <w:szCs w:val="20"/>
        </w:rPr>
        <w:fldChar w:fldCharType="end"/>
      </w:r>
      <w:r w:rsidRPr="00EE2CC4">
        <w:rPr>
          <w:rFonts w:ascii="Times New Roman" w:eastAsia="SimSun" w:hAnsi="Times New Roman"/>
          <w:sz w:val="20"/>
          <w:szCs w:val="20"/>
        </w:rPr>
        <w:t xml:space="preserve">. </w:t>
      </w:r>
      <w:r w:rsidRPr="00EE2CC4">
        <w:rPr>
          <w:rFonts w:ascii="Times New Roman" w:hAnsi="Times New Roman"/>
          <w:color w:val="000000"/>
          <w:sz w:val="20"/>
          <w:szCs w:val="20"/>
          <w:lang w:val="en-MY"/>
        </w:rPr>
        <w:t xml:space="preserve">From these, it was concluded that potential range from -0.20 V to 1.60 V is well suited to carry out the melamine electropolymerization for the PME formation. </w:t>
      </w:r>
    </w:p>
    <w:p w14:paraId="4F755245" w14:textId="77777777" w:rsidR="001D1A16" w:rsidRDefault="001D1A16" w:rsidP="001D1A16">
      <w:pPr>
        <w:spacing w:after="0"/>
        <w:jc w:val="both"/>
        <w:rPr>
          <w:rFonts w:ascii="Times New Roman" w:hAnsi="Times New Roman"/>
          <w:color w:val="000000"/>
          <w:sz w:val="20"/>
          <w:szCs w:val="20"/>
          <w:lang w:val="en-MY"/>
        </w:rPr>
      </w:pPr>
    </w:p>
    <w:p w14:paraId="62E1FF19" w14:textId="4AF49AC4" w:rsidR="001D1A16" w:rsidRPr="00EE2CC4" w:rsidRDefault="001D1A16" w:rsidP="001D1A16">
      <w:pPr>
        <w:spacing w:after="0"/>
        <w:jc w:val="both"/>
        <w:rPr>
          <w:rFonts w:ascii="Times New Roman" w:eastAsia="SimSun" w:hAnsi="Times New Roman"/>
          <w:sz w:val="20"/>
          <w:szCs w:val="20"/>
        </w:rPr>
      </w:pPr>
      <w:r w:rsidRPr="00EE2CC4">
        <w:rPr>
          <w:rFonts w:ascii="Times New Roman" w:hAnsi="Times New Roman"/>
          <w:sz w:val="20"/>
          <w:szCs w:val="20"/>
        </w:rPr>
        <w:t xml:space="preserve">To further verify how the tuning of potential window affecting the performance of PME in </w:t>
      </w:r>
      <w:r w:rsidRPr="00EE2CC4">
        <w:rPr>
          <w:rFonts w:ascii="Times New Roman" w:eastAsia="SimSun" w:hAnsi="Times New Roman"/>
          <w:sz w:val="20"/>
          <w:szCs w:val="20"/>
        </w:rPr>
        <w:t xml:space="preserve">dopamine (DA) </w:t>
      </w:r>
      <w:r w:rsidRPr="00EE2CC4">
        <w:rPr>
          <w:rFonts w:ascii="Times New Roman" w:eastAsia="SimSun" w:hAnsi="Times New Roman"/>
          <w:sz w:val="20"/>
          <w:szCs w:val="20"/>
        </w:rPr>
        <w:t xml:space="preserve">sensing, all the PME/GCE electrodes synthesized in varied potential window were further tested in two aspects: sensitivity and limit of detection (LOD). In amperometry setting, DA is oxidised at potential 0.20 V </w:t>
      </w:r>
      <w:r w:rsidRPr="00EE2CC4">
        <w:rPr>
          <w:rFonts w:ascii="Times New Roman" w:hAnsi="Times New Roman"/>
          <w:sz w:val="20"/>
          <w:szCs w:val="20"/>
        </w:rPr>
        <w:fldChar w:fldCharType="begin" w:fldLock="1"/>
      </w:r>
      <w:r w:rsidRPr="00EE2CC4">
        <w:rPr>
          <w:rFonts w:ascii="Times New Roman" w:hAnsi="Times New Roman"/>
          <w:sz w:val="20"/>
          <w:szCs w:val="20"/>
        </w:rPr>
        <w:instrText>ADDIN CSL_CITATION {"citationItems":[{"id":"ITEM-1","itemData":{"DOI":"10.1007/s12678-021-00648-9","ISSN":"18685994","abstract":"We report here for the first time the polymerization of melamine in three different type III deep eutectic solvents (DESs), namely ethaline, glyceline and reline. The novel DESs functionalized polymelamine (PME-DESs) modified glassy carbon electrode was compared with conventional electrolytes including sulphuric acid and neutral Cl− aqueous solution. The key effect of the potential window, the acidity of the electrolyte, concentration of melamine and Cl− and the temperature of electrolyte on the polymerization of melamine have been further studied to choose the best PME-DESs. The selected PME(ethaline) was further incorporated with hydroxyl functionalized multi-walled carbon nanotube (f-WMCNTs) and applied in selective sensing of dopamine. PME(ethaline)/f-MWCNTs/GCE demonstrated excellent electrocatalytic activity towards dopamine oxidation. The observed linear range for the detection of dopamine concentration, without interferences through differential pulse voltammetry (DPV), was from 1.0 μM to 1.0 mM (R2 = 0.9924), with a detection limit of 288 nM (S/N = 3). Studies proved that the modified electrode can be successfully applied for the quantitative determination of dopamine both with and without interferences. Graphical abstract: Electrochemical characterization of melamine electropolymerized in deep eutectic solvents for selective detection of dopamine[Figure not available: see fulltext.]","author":[{"dropping-particle":"","family":"Chang","given":"Yeet Hoong","non-dropping-particle":"","parse-names":false,"suffix":""},{"dropping-particle":"","family":"Woi","given":"Pei Meng","non-dropping-particle":"","parse-names":false,"suffix":""},{"dropping-particle":"","family":"Alias","given":"Yatimah Binti","non-dropping-particle":"","parse-names":false,"suffix":""}],"container-title":"Electrocatalysis","id":"ITEM-1","issued":{"date-parts":[["2021"]]},"title":"Electrochemical Characterization of Melamine Electropolymerized in Deep Eutectic Solvents for Selective Detection of Dopamine","type":"article-journal"},"uris":["http://www.mendeley.com/documents/?uuid=a092522f-2371-4ff4-a953-ae0b117422d7","http://www.mendeley.com/documents/?uuid=80e12474-791a-4f62-889c-6513eb00dcaa"]}],"mendeley":{"formattedCitation":"[13]","plainTextFormattedCitation":"[13]","previouslyFormattedCitation":"(Chang &lt;i&gt;et al.&lt;/i&gt;, 2021)"},"properties":{"noteIndex":0},"schema":"https://github.com/citation-style-language/schema/raw/master/csl-citation.json"}</w:instrText>
      </w:r>
      <w:r w:rsidRPr="00EE2CC4">
        <w:rPr>
          <w:rFonts w:ascii="Times New Roman" w:hAnsi="Times New Roman"/>
          <w:sz w:val="20"/>
          <w:szCs w:val="20"/>
        </w:rPr>
        <w:fldChar w:fldCharType="separate"/>
      </w:r>
      <w:r w:rsidRPr="00EE2CC4">
        <w:rPr>
          <w:rFonts w:ascii="Times New Roman" w:hAnsi="Times New Roman"/>
          <w:noProof/>
          <w:sz w:val="20"/>
          <w:szCs w:val="20"/>
        </w:rPr>
        <w:t>[13]</w:t>
      </w:r>
      <w:r w:rsidRPr="00EE2CC4">
        <w:rPr>
          <w:rFonts w:ascii="Times New Roman" w:hAnsi="Times New Roman"/>
          <w:sz w:val="20"/>
          <w:szCs w:val="20"/>
        </w:rPr>
        <w:fldChar w:fldCharType="end"/>
      </w:r>
      <w:r w:rsidRPr="00EE2CC4">
        <w:rPr>
          <w:rFonts w:ascii="Times New Roman" w:hAnsi="Times New Roman"/>
          <w:sz w:val="20"/>
          <w:szCs w:val="20"/>
        </w:rPr>
        <w:t xml:space="preserve">. </w:t>
      </w:r>
      <w:r w:rsidRPr="00EE2CC4">
        <w:rPr>
          <w:rFonts w:ascii="Times New Roman" w:eastAsia="SimSun" w:hAnsi="Times New Roman"/>
          <w:sz w:val="20"/>
          <w:szCs w:val="20"/>
        </w:rPr>
        <w:t xml:space="preserve">Therefore, amperometry was scanning at fixed potential (0.20 V) with additional of DA with concentration ranging from 100 - 1200 </w:t>
      </w:r>
      <w:r w:rsidRPr="00EE2CC4">
        <w:rPr>
          <w:rFonts w:ascii="Times New Roman" w:eastAsia="SimSun" w:hAnsi="Times New Roman"/>
          <w:i/>
          <w:iCs/>
          <w:sz w:val="20"/>
          <w:szCs w:val="20"/>
        </w:rPr>
        <w:t>μ</w:t>
      </w:r>
      <w:r w:rsidRPr="00EE2CC4">
        <w:rPr>
          <w:rFonts w:ascii="Times New Roman" w:eastAsia="SimSun" w:hAnsi="Times New Roman"/>
          <w:sz w:val="20"/>
          <w:szCs w:val="20"/>
        </w:rPr>
        <w:t>M in PBS (0.10 M, pH 7.0) as shown in Figure 2. Sensitivity and LOD were then calculated based on the amperometric results and summarized in Figure 3 and Table 1. Naming of PME was based on the maximum applied potential e.g., PME synthesized in reline with potential window applied at -0.20 - 1.20 V is named as PME(reline +1.20 V). Based on Figure 2, it was noticed that the amperometry result of PME(reline +1.60 V) recorded the highest current response as compared to the other PME. Figure 3(A) and (B) illustrated the calculated sensing sensitivity and LOD of DA at PME(reline), respectively. Noted that the sensing of DA at PME(reline +1.60 V) recorded the highest sensitivity and lowest LOD recorded at 0.044 μA μM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0.198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respectively which are in line with amperometry result shown in Figure 2. The sensitivity line graph of over-potential showed increment from +1.20 V and reached maximum at +1.60 V. At the same time, LOD obey the opposite relationship and reaching the minimum LOD at +1.60 V. In case, further widen the potential window of PME(reline) to +1.80 V, the electrode sensing capability has reduced drastically where the LOD did not showed any improvement and has been increased 10-fold recorded at 2.070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compared to +1.60 V. The </w:t>
      </w:r>
      <w:r>
        <w:rPr>
          <w:rFonts w:ascii="Times New Roman" w:eastAsia="SimSun" w:hAnsi="Times New Roman"/>
          <w:sz w:val="20"/>
          <w:szCs w:val="20"/>
        </w:rPr>
        <w:t xml:space="preserve"> </w:t>
      </w:r>
      <w:r w:rsidRPr="00EE2CC4">
        <w:rPr>
          <w:rFonts w:ascii="Times New Roman" w:eastAsia="SimSun" w:hAnsi="Times New Roman"/>
          <w:sz w:val="20"/>
          <w:szCs w:val="20"/>
        </w:rPr>
        <w:t xml:space="preserve">result </w:t>
      </w:r>
      <w:r>
        <w:rPr>
          <w:rFonts w:ascii="Times New Roman" w:eastAsia="SimSun" w:hAnsi="Times New Roman"/>
          <w:sz w:val="20"/>
          <w:szCs w:val="20"/>
        </w:rPr>
        <w:t xml:space="preserve"> </w:t>
      </w:r>
      <w:r w:rsidRPr="00EE2CC4">
        <w:rPr>
          <w:rFonts w:ascii="Times New Roman" w:eastAsia="SimSun" w:hAnsi="Times New Roman"/>
          <w:sz w:val="20"/>
          <w:szCs w:val="20"/>
        </w:rPr>
        <w:t>justified the optimized potential window for electropolymerization of melamine is -0.20 V to +1.60 V.</w:t>
      </w:r>
    </w:p>
    <w:p w14:paraId="29FEFEE9" w14:textId="77777777" w:rsidR="001D1A16" w:rsidRDefault="001D1A16" w:rsidP="001D1A16">
      <w:pPr>
        <w:spacing w:after="0"/>
        <w:jc w:val="both"/>
        <w:rPr>
          <w:rFonts w:ascii="Times New Roman" w:hAnsi="Times New Roman"/>
          <w:color w:val="000000"/>
          <w:sz w:val="20"/>
          <w:szCs w:val="20"/>
          <w:lang w:val="en-MY"/>
        </w:rPr>
      </w:pPr>
    </w:p>
    <w:p w14:paraId="2BC52AAA" w14:textId="130460B7" w:rsidR="001D1A16" w:rsidRPr="001D1A16" w:rsidRDefault="001D1A16" w:rsidP="001D1A16">
      <w:pPr>
        <w:spacing w:after="0"/>
        <w:jc w:val="both"/>
        <w:rPr>
          <w:rFonts w:ascii="Times New Roman" w:hAnsi="Times New Roman"/>
          <w:color w:val="000000"/>
          <w:sz w:val="20"/>
          <w:szCs w:val="20"/>
          <w:lang w:val="en-MY"/>
        </w:rPr>
        <w:sectPr w:rsidR="001D1A16" w:rsidRPr="001D1A16" w:rsidSect="001D1A16">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59FAA28B" w14:textId="77777777" w:rsidR="002F0EDB" w:rsidRDefault="002F0EDB" w:rsidP="00383C16">
      <w:pPr>
        <w:spacing w:after="0"/>
        <w:jc w:val="center"/>
        <w:rPr>
          <w:rFonts w:ascii="Times New Roman" w:hAnsi="Times New Roman"/>
          <w:b/>
          <w:noProof/>
          <w:sz w:val="20"/>
          <w:szCs w:val="20"/>
          <w:lang w:bidi="ar-SA"/>
        </w:rPr>
      </w:pPr>
    </w:p>
    <w:p w14:paraId="49BE7A7A" w14:textId="2DEE9833" w:rsidR="00EE2CC4" w:rsidRDefault="00EE2CC4" w:rsidP="00EE2CC4">
      <w:pPr>
        <w:spacing w:after="0"/>
        <w:jc w:val="both"/>
        <w:rPr>
          <w:rFonts w:ascii="Times New Roman" w:hAnsi="Times New Roman"/>
          <w:color w:val="000000"/>
          <w:sz w:val="20"/>
          <w:szCs w:val="20"/>
          <w:lang w:val="en-MY"/>
        </w:rPr>
      </w:pPr>
    </w:p>
    <w:p w14:paraId="355197CC" w14:textId="77777777" w:rsidR="00EE2CC4" w:rsidRPr="00EE2CC4" w:rsidRDefault="00EE2CC4" w:rsidP="00EE2CC4">
      <w:pPr>
        <w:spacing w:after="0"/>
        <w:jc w:val="both"/>
        <w:rPr>
          <w:rFonts w:ascii="Times New Roman" w:hAnsi="Times New Roman"/>
          <w:color w:val="000000"/>
          <w:sz w:val="20"/>
          <w:szCs w:val="20"/>
          <w:lang w:val="en-MY"/>
        </w:rPr>
      </w:pPr>
    </w:p>
    <w:p w14:paraId="21309904" w14:textId="614E21BF" w:rsidR="00EE2CC4" w:rsidRPr="001D1A16" w:rsidRDefault="00EE2CC4" w:rsidP="001D1A16">
      <w:pPr>
        <w:spacing w:after="120"/>
        <w:jc w:val="center"/>
        <w:rPr>
          <w:rFonts w:ascii="Times New Roman" w:eastAsiaTheme="minorEastAsia" w:hAnsi="Times New Roman"/>
          <w:b/>
          <w:bCs/>
          <w:sz w:val="20"/>
          <w:szCs w:val="20"/>
        </w:rPr>
      </w:pPr>
      <w:r w:rsidRPr="00EE2CC4">
        <w:rPr>
          <w:rFonts w:ascii="Times New Roman" w:hAnsi="Times New Roman"/>
          <w:noProof/>
          <w:sz w:val="20"/>
          <w:szCs w:val="20"/>
        </w:rPr>
        <w:lastRenderedPageBreak/>
        <w:drawing>
          <wp:inline distT="0" distB="0" distL="0" distR="0" wp14:anchorId="18BB3ADD" wp14:editId="1A46FBB5">
            <wp:extent cx="4791456" cy="3712464"/>
            <wp:effectExtent l="19050" t="19050" r="28575" b="215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lum bright="-40000" contrast="-40000"/>
                      <a:extLst>
                        <a:ext uri="{28A0092B-C50C-407E-A947-70E740481C1C}">
                          <a14:useLocalDpi xmlns:a14="http://schemas.microsoft.com/office/drawing/2010/main" val="0"/>
                        </a:ext>
                      </a:extLst>
                    </a:blip>
                    <a:srcRect l="2382" t="5161" r="5930" b="2464"/>
                    <a:stretch>
                      <a:fillRect/>
                    </a:stretch>
                  </pic:blipFill>
                  <pic:spPr bwMode="auto">
                    <a:xfrm>
                      <a:off x="0" y="0"/>
                      <a:ext cx="4791456" cy="3712464"/>
                    </a:xfrm>
                    <a:prstGeom prst="rect">
                      <a:avLst/>
                    </a:prstGeom>
                    <a:noFill/>
                    <a:ln w="9525" cmpd="sng">
                      <a:solidFill>
                        <a:srgbClr val="000000"/>
                      </a:solidFill>
                      <a:miter lim="800000"/>
                      <a:headEnd/>
                      <a:tailEnd/>
                    </a:ln>
                    <a:effectLst/>
                  </pic:spPr>
                </pic:pic>
              </a:graphicData>
            </a:graphic>
          </wp:inline>
        </w:drawing>
      </w:r>
    </w:p>
    <w:p w14:paraId="34A7BDD7" w14:textId="24E2408C" w:rsidR="00EE2CC4" w:rsidRPr="001D1A16" w:rsidRDefault="00EE2CC4" w:rsidP="001D1A16">
      <w:pPr>
        <w:spacing w:after="0"/>
        <w:ind w:left="851" w:hanging="851"/>
        <w:jc w:val="both"/>
        <w:rPr>
          <w:rFonts w:ascii="Times New Roman" w:hAnsi="Times New Roman"/>
          <w:sz w:val="20"/>
          <w:szCs w:val="20"/>
        </w:rPr>
      </w:pPr>
      <w:r w:rsidRPr="00EE2CC4">
        <w:rPr>
          <w:rFonts w:ascii="Times New Roman" w:hAnsi="Times New Roman"/>
          <w:sz w:val="20"/>
          <w:szCs w:val="20"/>
        </w:rPr>
        <w:t xml:space="preserve">Figure 1. </w:t>
      </w:r>
      <w:r w:rsidR="001D1A16">
        <w:rPr>
          <w:rFonts w:ascii="Times New Roman" w:hAnsi="Times New Roman"/>
          <w:sz w:val="20"/>
          <w:szCs w:val="20"/>
        </w:rPr>
        <w:tab/>
      </w:r>
      <w:r w:rsidRPr="00EE2CC4">
        <w:rPr>
          <w:rFonts w:ascii="Times New Roman" w:hAnsi="Times New Roman"/>
          <w:sz w:val="20"/>
          <w:szCs w:val="20"/>
        </w:rPr>
        <w:t>Electropolymerization of melamine (10.0 mM) in reline scanning with varied potential window a) -0.20 to 1.20 V, b) -0.20 to 1.40 V, c) -0.20 to 1.60 V, and d) -0.20 to 1.80 V at 50 mV s</w:t>
      </w:r>
      <w:r w:rsidRPr="00EE2CC4">
        <w:rPr>
          <w:rFonts w:ascii="Times New Roman" w:hAnsi="Times New Roman"/>
          <w:sz w:val="20"/>
          <w:szCs w:val="20"/>
          <w:vertAlign w:val="superscript"/>
        </w:rPr>
        <w:t>-1</w:t>
      </w:r>
      <w:r w:rsidRPr="00EE2CC4">
        <w:rPr>
          <w:rFonts w:ascii="Times New Roman" w:hAnsi="Times New Roman"/>
          <w:sz w:val="20"/>
          <w:szCs w:val="20"/>
        </w:rPr>
        <w:t xml:space="preserve"> with five scan cycles</w:t>
      </w:r>
    </w:p>
    <w:p w14:paraId="222AB21B" w14:textId="77777777" w:rsidR="00EE2CC4" w:rsidRPr="00EE2CC4" w:rsidRDefault="00EE2CC4" w:rsidP="00EE2CC4">
      <w:pPr>
        <w:spacing w:after="0"/>
        <w:jc w:val="both"/>
        <w:rPr>
          <w:rFonts w:ascii="Times New Roman" w:eastAsia="SimSun" w:hAnsi="Times New Roman"/>
          <w:sz w:val="20"/>
          <w:szCs w:val="20"/>
        </w:rPr>
      </w:pPr>
    </w:p>
    <w:p w14:paraId="157F2FC9" w14:textId="2AD83034" w:rsidR="00EE2CC4" w:rsidRPr="00EE2CC4" w:rsidRDefault="00EE2CC4" w:rsidP="00EE2CC4">
      <w:pPr>
        <w:spacing w:after="120"/>
        <w:jc w:val="center"/>
        <w:rPr>
          <w:rFonts w:ascii="Times New Roman" w:eastAsia="SimSun" w:hAnsi="Times New Roman"/>
          <w:bCs/>
          <w:sz w:val="20"/>
          <w:szCs w:val="20"/>
        </w:rPr>
      </w:pPr>
      <w:r w:rsidRPr="00EE2CC4">
        <w:rPr>
          <w:rFonts w:ascii="Times New Roman" w:eastAsia="SimSun" w:hAnsi="Times New Roman"/>
          <w:noProof/>
          <w:sz w:val="20"/>
          <w:szCs w:val="20"/>
        </w:rPr>
        <w:drawing>
          <wp:inline distT="0" distB="0" distL="0" distR="0" wp14:anchorId="3273C3D7" wp14:editId="1E2CE5F3">
            <wp:extent cx="3403600" cy="2743200"/>
            <wp:effectExtent l="19050" t="19050" r="25400" b="19050"/>
            <wp:docPr id="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8849" t="9344" r="11755" b="6721"/>
                    <a:stretch>
                      <a:fillRect/>
                    </a:stretch>
                  </pic:blipFill>
                  <pic:spPr bwMode="auto">
                    <a:xfrm>
                      <a:off x="0" y="0"/>
                      <a:ext cx="3403600" cy="2743200"/>
                    </a:xfrm>
                    <a:prstGeom prst="rect">
                      <a:avLst/>
                    </a:prstGeom>
                    <a:noFill/>
                    <a:ln w="9525" cmpd="sng">
                      <a:solidFill>
                        <a:srgbClr val="000000"/>
                      </a:solidFill>
                      <a:miter lim="800000"/>
                      <a:headEnd/>
                      <a:tailEnd/>
                    </a:ln>
                    <a:effectLst/>
                  </pic:spPr>
                </pic:pic>
              </a:graphicData>
            </a:graphic>
          </wp:inline>
        </w:drawing>
      </w:r>
    </w:p>
    <w:p w14:paraId="2DBE4420" w14:textId="30331137" w:rsidR="00EE2CC4" w:rsidRPr="00EE2CC4" w:rsidRDefault="00EE2CC4" w:rsidP="00D64DBA">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2. </w:t>
      </w:r>
      <w:r>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potential window.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038DE816" w14:textId="77777777" w:rsidR="00EE2CC4" w:rsidRPr="00EE2CC4" w:rsidRDefault="00EE2CC4" w:rsidP="00EE2CC4">
      <w:pPr>
        <w:spacing w:after="120"/>
        <w:jc w:val="center"/>
        <w:rPr>
          <w:rFonts w:ascii="Times New Roman" w:eastAsia="SimSun" w:hAnsi="Times New Roman"/>
          <w:bCs/>
          <w:sz w:val="20"/>
          <w:szCs w:val="20"/>
        </w:rPr>
      </w:pPr>
      <w:r w:rsidRPr="00EE2CC4">
        <w:rPr>
          <w:rFonts w:ascii="Times New Roman" w:hAnsi="Times New Roman"/>
          <w:noProof/>
          <w:sz w:val="20"/>
          <w:szCs w:val="20"/>
        </w:rPr>
        <w:lastRenderedPageBreak/>
        <w:drawing>
          <wp:inline distT="0" distB="0" distL="0" distR="0" wp14:anchorId="3B7E62C2" wp14:editId="7A9F9140">
            <wp:extent cx="5334000" cy="2661920"/>
            <wp:effectExtent l="19050" t="19050" r="19050" b="241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t="13512" r="3130" b="18092"/>
                    <a:stretch>
                      <a:fillRect/>
                    </a:stretch>
                  </pic:blipFill>
                  <pic:spPr bwMode="auto">
                    <a:xfrm>
                      <a:off x="0" y="0"/>
                      <a:ext cx="5334000" cy="2661920"/>
                    </a:xfrm>
                    <a:prstGeom prst="rect">
                      <a:avLst/>
                    </a:prstGeom>
                    <a:noFill/>
                    <a:ln w="9525" cmpd="sng">
                      <a:solidFill>
                        <a:srgbClr val="000000"/>
                      </a:solidFill>
                      <a:miter lim="800000"/>
                      <a:headEnd/>
                      <a:tailEnd/>
                    </a:ln>
                    <a:effectLst/>
                  </pic:spPr>
                </pic:pic>
              </a:graphicData>
            </a:graphic>
          </wp:inline>
        </w:drawing>
      </w:r>
    </w:p>
    <w:p w14:paraId="78E87C54" w14:textId="73EF2C43" w:rsidR="00EE2CC4" w:rsidRPr="00EE2CC4" w:rsidRDefault="00EE2CC4" w:rsidP="00D64DBA">
      <w:pPr>
        <w:spacing w:after="0"/>
        <w:ind w:left="810" w:hanging="810"/>
        <w:jc w:val="both"/>
        <w:rPr>
          <w:rFonts w:ascii="Times New Roman" w:eastAsiaTheme="minorEastAsia" w:hAnsi="Times New Roman"/>
          <w:bCs/>
          <w:sz w:val="20"/>
          <w:szCs w:val="20"/>
        </w:rPr>
      </w:pPr>
      <w:r w:rsidRPr="00EE2CC4">
        <w:rPr>
          <w:rFonts w:ascii="Times New Roman" w:eastAsia="SimSun" w:hAnsi="Times New Roman"/>
          <w:bCs/>
          <w:sz w:val="20"/>
          <w:szCs w:val="20"/>
        </w:rPr>
        <w:t xml:space="preserve">Figure 3. </w:t>
      </w:r>
      <w:r>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potential window applied for electropolymerization of melamine in reline.</w:t>
      </w:r>
    </w:p>
    <w:p w14:paraId="09F69AA1" w14:textId="62F5AC61" w:rsidR="00EE2CC4" w:rsidRDefault="00EE2CC4" w:rsidP="00EE2CC4">
      <w:pPr>
        <w:spacing w:after="0"/>
        <w:jc w:val="both"/>
        <w:rPr>
          <w:rFonts w:ascii="Times New Roman" w:eastAsia="SimSun" w:hAnsi="Times New Roman"/>
          <w:b/>
          <w:sz w:val="20"/>
          <w:szCs w:val="20"/>
        </w:rPr>
      </w:pPr>
    </w:p>
    <w:p w14:paraId="05E2F410" w14:textId="77777777" w:rsidR="00D64DBA" w:rsidRPr="00EE2CC4" w:rsidRDefault="00D64DBA" w:rsidP="00EE2CC4">
      <w:pPr>
        <w:spacing w:after="0"/>
        <w:jc w:val="both"/>
        <w:rPr>
          <w:rFonts w:ascii="Times New Roman" w:eastAsia="SimSun" w:hAnsi="Times New Roman"/>
          <w:b/>
          <w:sz w:val="20"/>
          <w:szCs w:val="20"/>
        </w:rPr>
      </w:pPr>
    </w:p>
    <w:p w14:paraId="38325B06" w14:textId="3ECB9829" w:rsidR="00EE2CC4" w:rsidRPr="00EE2CC4" w:rsidRDefault="00EE2CC4" w:rsidP="00EE2CC4">
      <w:pPr>
        <w:spacing w:after="120"/>
        <w:ind w:left="86" w:hanging="86"/>
        <w:jc w:val="center"/>
        <w:rPr>
          <w:rFonts w:ascii="Times New Roman" w:eastAsiaTheme="minorEastAsia" w:hAnsi="Times New Roman"/>
          <w:bCs/>
          <w:sz w:val="20"/>
          <w:szCs w:val="20"/>
        </w:rPr>
      </w:pPr>
      <w:bookmarkStart w:id="2" w:name="OLE_LINK1"/>
      <w:bookmarkStart w:id="3" w:name="OLE_LINK2"/>
      <w:r w:rsidRPr="00EE2CC4">
        <w:rPr>
          <w:rFonts w:ascii="Times New Roman" w:hAnsi="Times New Roman"/>
          <w:bCs/>
          <w:sz w:val="20"/>
          <w:szCs w:val="20"/>
        </w:rPr>
        <w:t>Table 1.</w:t>
      </w:r>
      <w:r>
        <w:rPr>
          <w:rFonts w:ascii="Times New Roman" w:hAnsi="Times New Roman"/>
          <w:bCs/>
          <w:sz w:val="20"/>
          <w:szCs w:val="20"/>
        </w:rPr>
        <w:t xml:space="preserve">  </w:t>
      </w:r>
      <w:r w:rsidRPr="00EE2CC4">
        <w:rPr>
          <w:rFonts w:ascii="Times New Roman" w:hAnsi="Times New Roman"/>
          <w:bCs/>
          <w:sz w:val="20"/>
          <w:szCs w:val="20"/>
        </w:rPr>
        <w:t>Optimization studies for electropolymerization of melamine in reline, DA as model analyte; sensing with amperometry at 0.20 V vs Ag/AgCl: Effect of electropolymerization potential window, effect of scan rate and effect of scan cycles</w:t>
      </w:r>
    </w:p>
    <w:tbl>
      <w:tblPr>
        <w:tblStyle w:val="PlainTable2"/>
        <w:tblW w:w="0" w:type="auto"/>
        <w:jc w:val="center"/>
        <w:tblLook w:val="04A0" w:firstRow="1" w:lastRow="0" w:firstColumn="1" w:lastColumn="0" w:noHBand="0" w:noVBand="1"/>
      </w:tblPr>
      <w:tblGrid>
        <w:gridCol w:w="2431"/>
        <w:gridCol w:w="657"/>
        <w:gridCol w:w="916"/>
        <w:gridCol w:w="1327"/>
        <w:gridCol w:w="1121"/>
      </w:tblGrid>
      <w:tr w:rsidR="00EE2CC4" w:rsidRPr="00EE2CC4" w14:paraId="77262358" w14:textId="77777777" w:rsidTr="00CC1893">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3088" w:type="dxa"/>
            <w:gridSpan w:val="2"/>
            <w:tcBorders>
              <w:top w:val="single" w:sz="4" w:space="0" w:color="auto"/>
              <w:left w:val="nil"/>
              <w:bottom w:val="single" w:sz="4" w:space="0" w:color="auto"/>
              <w:right w:val="nil"/>
            </w:tcBorders>
            <w:vAlign w:val="center"/>
            <w:hideMark/>
          </w:tcPr>
          <w:bookmarkEnd w:id="2"/>
          <w:bookmarkEnd w:id="3"/>
          <w:p w14:paraId="7EDABD2F" w14:textId="77777777" w:rsidR="00EE2CC4" w:rsidRPr="00EE2CC4" w:rsidRDefault="00EE2CC4" w:rsidP="00EE2CC4">
            <w:pPr>
              <w:spacing w:after="0"/>
              <w:rPr>
                <w:rFonts w:ascii="Times New Roman" w:hAnsi="Times New Roman"/>
                <w:b w:val="0"/>
                <w:bCs w:val="0"/>
                <w:sz w:val="20"/>
                <w:szCs w:val="20"/>
              </w:rPr>
            </w:pPr>
            <w:r w:rsidRPr="00EE2CC4">
              <w:rPr>
                <w:rFonts w:ascii="Times New Roman" w:hAnsi="Times New Roman"/>
                <w:sz w:val="20"/>
                <w:szCs w:val="20"/>
              </w:rPr>
              <w:t>Parameter Varied</w:t>
            </w:r>
          </w:p>
        </w:tc>
        <w:tc>
          <w:tcPr>
            <w:tcW w:w="0" w:type="auto"/>
            <w:tcBorders>
              <w:top w:val="single" w:sz="4" w:space="0" w:color="auto"/>
              <w:left w:val="nil"/>
              <w:bottom w:val="single" w:sz="4" w:space="0" w:color="auto"/>
              <w:right w:val="nil"/>
            </w:tcBorders>
            <w:vAlign w:val="center"/>
            <w:hideMark/>
          </w:tcPr>
          <w:p w14:paraId="2898A345" w14:textId="77777777" w:rsidR="00EE2CC4" w:rsidRPr="00EE2CC4" w:rsidRDefault="00EE2CC4" w:rsidP="00645A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EE2CC4">
              <w:rPr>
                <w:rFonts w:ascii="Times New Roman" w:hAnsi="Times New Roman"/>
                <w:color w:val="000000"/>
                <w:sz w:val="20"/>
                <w:szCs w:val="20"/>
              </w:rPr>
              <w:t xml:space="preserve">Eutectic </w:t>
            </w:r>
          </w:p>
          <w:p w14:paraId="02BC56D3" w14:textId="77777777" w:rsidR="00EE2CC4" w:rsidRPr="00EE2CC4" w:rsidRDefault="00EE2CC4" w:rsidP="00645AAE">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EE2CC4">
              <w:rPr>
                <w:rFonts w:ascii="Times New Roman" w:hAnsi="Times New Roman"/>
                <w:color w:val="000000"/>
                <w:sz w:val="20"/>
                <w:szCs w:val="20"/>
              </w:rPr>
              <w:t>Solvent</w:t>
            </w:r>
          </w:p>
        </w:tc>
        <w:tc>
          <w:tcPr>
            <w:tcW w:w="0" w:type="auto"/>
            <w:tcBorders>
              <w:top w:val="single" w:sz="4" w:space="0" w:color="auto"/>
              <w:left w:val="nil"/>
              <w:bottom w:val="single" w:sz="4" w:space="0" w:color="auto"/>
              <w:right w:val="nil"/>
            </w:tcBorders>
            <w:vAlign w:val="center"/>
            <w:hideMark/>
          </w:tcPr>
          <w:p w14:paraId="0E5B9E71"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hAnsi="Times New Roman"/>
                <w:sz w:val="20"/>
                <w:szCs w:val="20"/>
              </w:rPr>
              <w:t>Sensitivity /</w:t>
            </w:r>
          </w:p>
          <w:p w14:paraId="6BDA1AF5"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eastAsia="SimSun" w:hAnsi="Times New Roman"/>
                <w:i/>
                <w:iCs/>
                <w:sz w:val="20"/>
                <w:szCs w:val="20"/>
              </w:rPr>
              <w:t>μ</w:t>
            </w:r>
            <w:r w:rsidRPr="00EE2CC4">
              <w:rPr>
                <w:rFonts w:ascii="Times New Roman" w:eastAsia="SimSun" w:hAnsi="Times New Roman"/>
                <w:sz w:val="20"/>
                <w:szCs w:val="20"/>
              </w:rPr>
              <w:t xml:space="preserve">A </w:t>
            </w:r>
            <w:r w:rsidRPr="00EE2CC4">
              <w:rPr>
                <w:rFonts w:ascii="Times New Roman" w:eastAsia="SimSun" w:hAnsi="Times New Roman"/>
                <w:i/>
                <w:iCs/>
                <w:sz w:val="20"/>
                <w:szCs w:val="20"/>
              </w:rPr>
              <w:t>μ</w:t>
            </w:r>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p>
        </w:tc>
        <w:tc>
          <w:tcPr>
            <w:tcW w:w="0" w:type="auto"/>
            <w:tcBorders>
              <w:top w:val="single" w:sz="4" w:space="0" w:color="auto"/>
              <w:left w:val="nil"/>
              <w:bottom w:val="single" w:sz="4" w:space="0" w:color="auto"/>
              <w:right w:val="nil"/>
            </w:tcBorders>
            <w:vAlign w:val="center"/>
            <w:hideMark/>
          </w:tcPr>
          <w:p w14:paraId="29492BE8" w14:textId="77777777" w:rsidR="00EE2CC4" w:rsidRPr="00EE2CC4" w:rsidRDefault="00EE2CC4" w:rsidP="00645AA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EE2CC4">
              <w:rPr>
                <w:rFonts w:ascii="Times New Roman" w:hAnsi="Times New Roman"/>
                <w:sz w:val="20"/>
                <w:szCs w:val="20"/>
              </w:rPr>
              <w:t xml:space="preserve">LOD / </w:t>
            </w:r>
            <m:oMath>
              <m:r>
                <m:rPr>
                  <m:sty m:val="bi"/>
                </m:rPr>
                <w:rPr>
                  <w:rFonts w:ascii="Cambria Math" w:hAnsi="Cambria Math"/>
                  <w:sz w:val="20"/>
                  <w:szCs w:val="20"/>
                </w:rPr>
                <m:t>μ</m:t>
              </m:r>
            </m:oMath>
            <w:r w:rsidRPr="00EE2CC4">
              <w:rPr>
                <w:rFonts w:ascii="Times New Roman" w:hAnsi="Times New Roman"/>
                <w:sz w:val="20"/>
                <w:szCs w:val="20"/>
              </w:rPr>
              <w:t>M</w:t>
            </w:r>
          </w:p>
        </w:tc>
      </w:tr>
      <w:tr w:rsidR="00EE2CC4" w:rsidRPr="00EE2CC4" w14:paraId="7EB589BF" w14:textId="77777777" w:rsidTr="00CC1893">
        <w:trPr>
          <w:cnfStyle w:val="000000100000" w:firstRow="0" w:lastRow="0" w:firstColumn="0" w:lastColumn="0" w:oddVBand="0" w:evenVBand="0" w:oddHBand="1" w:evenHBand="0" w:firstRowFirstColumn="0" w:firstRowLastColumn="0" w:lastRowFirstColumn="0" w:lastRowLastColumn="0"/>
          <w:trHeight w:val="91"/>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single" w:sz="4" w:space="0" w:color="auto"/>
              <w:left w:val="nil"/>
              <w:bottom w:val="nil"/>
              <w:right w:val="nil"/>
            </w:tcBorders>
            <w:vAlign w:val="center"/>
            <w:hideMark/>
          </w:tcPr>
          <w:p w14:paraId="0D26CC6D" w14:textId="77777777" w:rsidR="00EE2CC4" w:rsidRPr="00EE2CC4" w:rsidRDefault="00EE2CC4" w:rsidP="00645AAE">
            <w:pPr>
              <w:spacing w:before="60" w:after="0"/>
              <w:rPr>
                <w:rFonts w:ascii="Times New Roman" w:hAnsi="Times New Roman"/>
                <w:b w:val="0"/>
                <w:bCs w:val="0"/>
                <w:sz w:val="20"/>
                <w:szCs w:val="20"/>
              </w:rPr>
            </w:pPr>
            <w:r w:rsidRPr="00EE2CC4">
              <w:rPr>
                <w:rFonts w:ascii="Times New Roman" w:hAnsi="Times New Roman"/>
                <w:b w:val="0"/>
                <w:bCs w:val="0"/>
                <w:sz w:val="20"/>
                <w:szCs w:val="20"/>
              </w:rPr>
              <w:t>Potential (V)</w:t>
            </w:r>
          </w:p>
        </w:tc>
        <w:tc>
          <w:tcPr>
            <w:tcW w:w="657" w:type="dxa"/>
            <w:tcBorders>
              <w:top w:val="single" w:sz="4" w:space="0" w:color="auto"/>
              <w:left w:val="nil"/>
              <w:bottom w:val="nil"/>
              <w:right w:val="nil"/>
            </w:tcBorders>
            <w:vAlign w:val="center"/>
            <w:hideMark/>
          </w:tcPr>
          <w:p w14:paraId="247D22FA" w14:textId="77777777" w:rsidR="00EE2CC4" w:rsidRPr="00EE2CC4" w:rsidRDefault="00EE2CC4" w:rsidP="00645AAE">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1.2</w:t>
            </w:r>
          </w:p>
        </w:tc>
        <w:tc>
          <w:tcPr>
            <w:tcW w:w="0" w:type="auto"/>
            <w:tcBorders>
              <w:top w:val="single" w:sz="4" w:space="0" w:color="auto"/>
              <w:left w:val="nil"/>
              <w:bottom w:val="nil"/>
              <w:right w:val="nil"/>
            </w:tcBorders>
            <w:vAlign w:val="center"/>
            <w:hideMark/>
          </w:tcPr>
          <w:p w14:paraId="6FB39F31" w14:textId="77777777" w:rsidR="00EE2CC4" w:rsidRPr="00EE2CC4" w:rsidRDefault="00EE2CC4" w:rsidP="00645AAE">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single" w:sz="4" w:space="0" w:color="auto"/>
              <w:left w:val="nil"/>
              <w:bottom w:val="nil"/>
              <w:right w:val="nil"/>
            </w:tcBorders>
            <w:vAlign w:val="center"/>
            <w:hideMark/>
          </w:tcPr>
          <w:p w14:paraId="58EF1ADA" w14:textId="77777777" w:rsidR="00EE2CC4" w:rsidRPr="00EE2CC4" w:rsidRDefault="00EE2CC4" w:rsidP="00645AA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0.032</w:t>
            </w:r>
          </w:p>
        </w:tc>
        <w:tc>
          <w:tcPr>
            <w:tcW w:w="0" w:type="auto"/>
            <w:tcBorders>
              <w:top w:val="single" w:sz="4" w:space="0" w:color="auto"/>
              <w:left w:val="nil"/>
              <w:bottom w:val="nil"/>
              <w:right w:val="nil"/>
            </w:tcBorders>
            <w:vAlign w:val="center"/>
            <w:hideMark/>
          </w:tcPr>
          <w:p w14:paraId="67E6075E" w14:textId="77777777" w:rsidR="00EE2CC4" w:rsidRPr="00EE2CC4" w:rsidRDefault="00EE2CC4" w:rsidP="00645AAE">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4.8640</w:t>
            </w:r>
          </w:p>
        </w:tc>
      </w:tr>
      <w:tr w:rsidR="00EE2CC4" w:rsidRPr="00EE2CC4" w14:paraId="3E8350C0"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1572541C"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5E11630D"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1.4</w:t>
            </w:r>
          </w:p>
        </w:tc>
        <w:tc>
          <w:tcPr>
            <w:tcW w:w="0" w:type="auto"/>
            <w:tcBorders>
              <w:top w:val="nil"/>
              <w:left w:val="nil"/>
              <w:bottom w:val="nil"/>
              <w:right w:val="nil"/>
            </w:tcBorders>
            <w:vAlign w:val="center"/>
            <w:hideMark/>
          </w:tcPr>
          <w:p w14:paraId="5C11E25B"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3525A7D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0.034</w:t>
            </w:r>
          </w:p>
        </w:tc>
        <w:tc>
          <w:tcPr>
            <w:tcW w:w="0" w:type="auto"/>
            <w:tcBorders>
              <w:top w:val="nil"/>
              <w:left w:val="nil"/>
              <w:bottom w:val="nil"/>
              <w:right w:val="nil"/>
            </w:tcBorders>
            <w:vAlign w:val="center"/>
            <w:hideMark/>
          </w:tcPr>
          <w:p w14:paraId="00A46A01"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0.4110</w:t>
            </w:r>
          </w:p>
        </w:tc>
      </w:tr>
      <w:tr w:rsidR="00EE2CC4" w:rsidRPr="00EE2CC4" w14:paraId="5A1A50D6"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4EBDABE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5D793754"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1.6</w:t>
            </w:r>
          </w:p>
        </w:tc>
        <w:tc>
          <w:tcPr>
            <w:tcW w:w="0" w:type="auto"/>
            <w:tcBorders>
              <w:top w:val="nil"/>
              <w:left w:val="nil"/>
              <w:bottom w:val="nil"/>
              <w:right w:val="nil"/>
            </w:tcBorders>
            <w:vAlign w:val="center"/>
            <w:hideMark/>
          </w:tcPr>
          <w:p w14:paraId="0E4C6D02"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24FE90E3"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5091FEB"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02395A93"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single" w:sz="4" w:space="0" w:color="auto"/>
              <w:left w:val="nil"/>
              <w:bottom w:val="nil"/>
              <w:right w:val="nil"/>
            </w:tcBorders>
            <w:vAlign w:val="center"/>
            <w:hideMark/>
          </w:tcPr>
          <w:p w14:paraId="3E9C131C"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0495EC32"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1.8</w:t>
            </w:r>
          </w:p>
        </w:tc>
        <w:tc>
          <w:tcPr>
            <w:tcW w:w="0" w:type="auto"/>
            <w:tcBorders>
              <w:top w:val="nil"/>
              <w:left w:val="nil"/>
              <w:bottom w:val="nil"/>
              <w:right w:val="nil"/>
            </w:tcBorders>
            <w:vAlign w:val="center"/>
            <w:hideMark/>
          </w:tcPr>
          <w:p w14:paraId="0692F789"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4F2EED2E"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0.038</w:t>
            </w:r>
          </w:p>
        </w:tc>
        <w:tc>
          <w:tcPr>
            <w:tcW w:w="0" w:type="auto"/>
            <w:tcBorders>
              <w:top w:val="nil"/>
              <w:left w:val="nil"/>
              <w:bottom w:val="nil"/>
              <w:right w:val="nil"/>
            </w:tcBorders>
            <w:vAlign w:val="center"/>
            <w:hideMark/>
          </w:tcPr>
          <w:p w14:paraId="564DD03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2.0700</w:t>
            </w:r>
          </w:p>
        </w:tc>
      </w:tr>
      <w:tr w:rsidR="00EE2CC4" w:rsidRPr="00EE2CC4" w14:paraId="0B27AAF7"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nil"/>
              <w:left w:val="nil"/>
              <w:bottom w:val="nil"/>
              <w:right w:val="nil"/>
            </w:tcBorders>
            <w:vAlign w:val="center"/>
            <w:hideMark/>
          </w:tcPr>
          <w:p w14:paraId="6D545A4B" w14:textId="77777777" w:rsidR="00EE2CC4" w:rsidRPr="00EE2CC4" w:rsidRDefault="00EE2CC4" w:rsidP="00CC1893">
            <w:pPr>
              <w:spacing w:before="120" w:after="0"/>
              <w:rPr>
                <w:rFonts w:ascii="Times New Roman" w:hAnsi="Times New Roman"/>
                <w:b w:val="0"/>
                <w:bCs w:val="0"/>
                <w:sz w:val="20"/>
                <w:szCs w:val="20"/>
              </w:rPr>
            </w:pPr>
            <w:r w:rsidRPr="00EE2CC4">
              <w:rPr>
                <w:rFonts w:ascii="Times New Roman" w:hAnsi="Times New Roman"/>
                <w:b w:val="0"/>
                <w:bCs w:val="0"/>
                <w:sz w:val="20"/>
                <w:szCs w:val="20"/>
              </w:rPr>
              <w:t>Scan rate (mV s</w:t>
            </w:r>
            <w:r w:rsidRPr="00EE2CC4">
              <w:rPr>
                <w:rFonts w:ascii="Times New Roman" w:hAnsi="Times New Roman"/>
                <w:b w:val="0"/>
                <w:bCs w:val="0"/>
                <w:sz w:val="20"/>
                <w:szCs w:val="20"/>
                <w:vertAlign w:val="superscript"/>
              </w:rPr>
              <w:t>-1</w:t>
            </w:r>
            <w:r w:rsidRPr="00EE2CC4">
              <w:rPr>
                <w:rFonts w:ascii="Times New Roman" w:hAnsi="Times New Roman"/>
                <w:b w:val="0"/>
                <w:bCs w:val="0"/>
                <w:sz w:val="20"/>
                <w:szCs w:val="20"/>
              </w:rPr>
              <w:t>)</w:t>
            </w:r>
          </w:p>
        </w:tc>
        <w:tc>
          <w:tcPr>
            <w:tcW w:w="657" w:type="dxa"/>
            <w:tcBorders>
              <w:top w:val="nil"/>
              <w:left w:val="nil"/>
              <w:bottom w:val="nil"/>
              <w:right w:val="nil"/>
            </w:tcBorders>
            <w:vAlign w:val="center"/>
            <w:hideMark/>
          </w:tcPr>
          <w:p w14:paraId="5818E57C" w14:textId="77777777" w:rsidR="00EE2CC4" w:rsidRPr="00EE2CC4" w:rsidRDefault="00EE2CC4" w:rsidP="00CC1893">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w:t>
            </w:r>
          </w:p>
        </w:tc>
        <w:tc>
          <w:tcPr>
            <w:tcW w:w="0" w:type="auto"/>
            <w:tcBorders>
              <w:top w:val="nil"/>
              <w:left w:val="nil"/>
              <w:bottom w:val="nil"/>
              <w:right w:val="nil"/>
            </w:tcBorders>
            <w:vAlign w:val="center"/>
            <w:hideMark/>
          </w:tcPr>
          <w:p w14:paraId="4E28A8BA" w14:textId="77777777" w:rsidR="00EE2CC4" w:rsidRPr="00EE2CC4" w:rsidRDefault="00EE2CC4" w:rsidP="00CC1893">
            <w:pPr>
              <w:spacing w:before="120"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08DDC9E1" w14:textId="77777777" w:rsidR="00EE2CC4" w:rsidRPr="00EE2CC4" w:rsidRDefault="00EE2CC4" w:rsidP="00CC1893">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0.035</w:t>
            </w:r>
          </w:p>
        </w:tc>
        <w:tc>
          <w:tcPr>
            <w:tcW w:w="0" w:type="auto"/>
            <w:tcBorders>
              <w:top w:val="nil"/>
              <w:left w:val="nil"/>
              <w:bottom w:val="nil"/>
              <w:right w:val="nil"/>
            </w:tcBorders>
            <w:vAlign w:val="center"/>
            <w:hideMark/>
          </w:tcPr>
          <w:p w14:paraId="3F967C34" w14:textId="77777777" w:rsidR="00EE2CC4" w:rsidRPr="00EE2CC4" w:rsidRDefault="00EE2CC4" w:rsidP="00CC1893">
            <w:pPr>
              <w:spacing w:before="12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0.4450</w:t>
            </w:r>
          </w:p>
        </w:tc>
      </w:tr>
      <w:tr w:rsidR="00EE2CC4" w:rsidRPr="00EE2CC4" w14:paraId="52347D00"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0BD67191"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3CCF851E"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25</w:t>
            </w:r>
          </w:p>
        </w:tc>
        <w:tc>
          <w:tcPr>
            <w:tcW w:w="0" w:type="auto"/>
            <w:tcBorders>
              <w:top w:val="nil"/>
              <w:left w:val="nil"/>
              <w:bottom w:val="nil"/>
              <w:right w:val="nil"/>
            </w:tcBorders>
            <w:vAlign w:val="center"/>
            <w:hideMark/>
          </w:tcPr>
          <w:p w14:paraId="0032A7A5"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32560CF4"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2A3BC655"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0.3260</w:t>
            </w:r>
          </w:p>
        </w:tc>
      </w:tr>
      <w:tr w:rsidR="00EE2CC4" w:rsidRPr="00EE2CC4" w14:paraId="6D082E4E" w14:textId="77777777" w:rsidTr="00645AAE">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42AC45D6"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65FFFE9A"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50</w:t>
            </w:r>
          </w:p>
        </w:tc>
        <w:tc>
          <w:tcPr>
            <w:tcW w:w="0" w:type="auto"/>
            <w:tcBorders>
              <w:top w:val="nil"/>
              <w:left w:val="nil"/>
              <w:bottom w:val="nil"/>
              <w:right w:val="nil"/>
            </w:tcBorders>
            <w:vAlign w:val="center"/>
            <w:hideMark/>
          </w:tcPr>
          <w:p w14:paraId="28D74E50"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6E409E8"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55D07FC"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5732DDC3" w14:textId="77777777" w:rsidTr="00645AAE">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6DE5456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0FA5070B"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75</w:t>
            </w:r>
          </w:p>
        </w:tc>
        <w:tc>
          <w:tcPr>
            <w:tcW w:w="0" w:type="auto"/>
            <w:tcBorders>
              <w:top w:val="nil"/>
              <w:left w:val="nil"/>
              <w:bottom w:val="nil"/>
              <w:right w:val="nil"/>
            </w:tcBorders>
            <w:vAlign w:val="center"/>
            <w:hideMark/>
          </w:tcPr>
          <w:p w14:paraId="490BFD7F"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C08DC6F"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0.046</w:t>
            </w:r>
          </w:p>
        </w:tc>
        <w:tc>
          <w:tcPr>
            <w:tcW w:w="0" w:type="auto"/>
            <w:tcBorders>
              <w:top w:val="nil"/>
              <w:left w:val="nil"/>
              <w:bottom w:val="nil"/>
              <w:right w:val="nil"/>
            </w:tcBorders>
            <w:vAlign w:val="center"/>
            <w:hideMark/>
          </w:tcPr>
          <w:p w14:paraId="2AFD6C5C"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1.0770</w:t>
            </w:r>
          </w:p>
        </w:tc>
      </w:tr>
      <w:tr w:rsidR="00EE2CC4" w:rsidRPr="00EE2CC4" w14:paraId="496142B3" w14:textId="77777777" w:rsidTr="00CC1893">
        <w:trPr>
          <w:cnfStyle w:val="000000100000" w:firstRow="0" w:lastRow="0" w:firstColumn="0" w:lastColumn="0" w:oddVBand="0" w:evenVBand="0" w:oddHBand="1" w:evenHBand="0" w:firstRowFirstColumn="0" w:firstRowLastColumn="0" w:lastRowFirstColumn="0" w:lastRowLastColumn="0"/>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nil"/>
              <w:right w:val="nil"/>
            </w:tcBorders>
            <w:vAlign w:val="center"/>
            <w:hideMark/>
          </w:tcPr>
          <w:p w14:paraId="55726199"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201709AB"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100</w:t>
            </w:r>
          </w:p>
        </w:tc>
        <w:tc>
          <w:tcPr>
            <w:tcW w:w="0" w:type="auto"/>
            <w:tcBorders>
              <w:top w:val="nil"/>
              <w:left w:val="nil"/>
              <w:bottom w:val="nil"/>
              <w:right w:val="nil"/>
            </w:tcBorders>
            <w:vAlign w:val="center"/>
            <w:hideMark/>
          </w:tcPr>
          <w:p w14:paraId="2EDAABDB"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15FFB605"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0.045</w:t>
            </w:r>
          </w:p>
        </w:tc>
        <w:tc>
          <w:tcPr>
            <w:tcW w:w="0" w:type="auto"/>
            <w:tcBorders>
              <w:top w:val="nil"/>
              <w:left w:val="nil"/>
              <w:bottom w:val="nil"/>
              <w:right w:val="nil"/>
            </w:tcBorders>
            <w:vAlign w:val="center"/>
            <w:hideMark/>
          </w:tcPr>
          <w:p w14:paraId="0DF69FE8"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0.7860</w:t>
            </w:r>
          </w:p>
        </w:tc>
      </w:tr>
      <w:tr w:rsidR="00EE2CC4" w:rsidRPr="00EE2CC4" w14:paraId="6B70F590" w14:textId="77777777" w:rsidTr="00CC1893">
        <w:trPr>
          <w:trHeight w:val="66"/>
          <w:jc w:val="center"/>
        </w:trPr>
        <w:tc>
          <w:tcPr>
            <w:cnfStyle w:val="001000000000" w:firstRow="0" w:lastRow="0" w:firstColumn="1" w:lastColumn="0" w:oddVBand="0" w:evenVBand="0" w:oddHBand="0" w:evenHBand="0" w:firstRowFirstColumn="0" w:firstRowLastColumn="0" w:lastRowFirstColumn="0" w:lastRowLastColumn="0"/>
            <w:tcW w:w="2431" w:type="dxa"/>
            <w:vMerge w:val="restart"/>
            <w:tcBorders>
              <w:top w:val="nil"/>
              <w:left w:val="nil"/>
              <w:bottom w:val="single" w:sz="4" w:space="0" w:color="auto"/>
              <w:right w:val="nil"/>
            </w:tcBorders>
            <w:vAlign w:val="center"/>
            <w:hideMark/>
          </w:tcPr>
          <w:p w14:paraId="3348A871" w14:textId="77777777" w:rsidR="00EE2CC4" w:rsidRPr="00EE2CC4" w:rsidRDefault="00EE2CC4" w:rsidP="00CC1893">
            <w:pPr>
              <w:spacing w:before="120" w:after="0"/>
              <w:rPr>
                <w:rFonts w:ascii="Times New Roman" w:hAnsi="Times New Roman"/>
                <w:b w:val="0"/>
                <w:bCs w:val="0"/>
                <w:sz w:val="20"/>
                <w:szCs w:val="20"/>
              </w:rPr>
            </w:pPr>
            <w:r w:rsidRPr="00EE2CC4">
              <w:rPr>
                <w:rFonts w:ascii="Times New Roman" w:hAnsi="Times New Roman"/>
                <w:b w:val="0"/>
                <w:bCs w:val="0"/>
                <w:sz w:val="20"/>
                <w:szCs w:val="20"/>
              </w:rPr>
              <w:t>Scan cycles</w:t>
            </w:r>
          </w:p>
        </w:tc>
        <w:tc>
          <w:tcPr>
            <w:tcW w:w="657" w:type="dxa"/>
            <w:tcBorders>
              <w:top w:val="nil"/>
              <w:left w:val="nil"/>
              <w:bottom w:val="nil"/>
              <w:right w:val="nil"/>
            </w:tcBorders>
            <w:vAlign w:val="center"/>
            <w:hideMark/>
          </w:tcPr>
          <w:p w14:paraId="0572C19C" w14:textId="77777777" w:rsidR="00EE2CC4" w:rsidRPr="00EE2CC4" w:rsidRDefault="00EE2CC4" w:rsidP="00CC1893">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3</w:t>
            </w:r>
          </w:p>
        </w:tc>
        <w:tc>
          <w:tcPr>
            <w:tcW w:w="0" w:type="auto"/>
            <w:tcBorders>
              <w:top w:val="nil"/>
              <w:left w:val="nil"/>
              <w:bottom w:val="nil"/>
              <w:right w:val="nil"/>
            </w:tcBorders>
            <w:vAlign w:val="center"/>
            <w:hideMark/>
          </w:tcPr>
          <w:p w14:paraId="1E7A26E3" w14:textId="77777777" w:rsidR="00EE2CC4" w:rsidRPr="00EE2CC4" w:rsidRDefault="00EE2CC4" w:rsidP="00CC1893">
            <w:pPr>
              <w:spacing w:before="120"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4F328232" w14:textId="77777777" w:rsidR="00EE2CC4" w:rsidRPr="00EE2CC4" w:rsidRDefault="00EE2CC4" w:rsidP="00CC1893">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0.038</w:t>
            </w:r>
          </w:p>
        </w:tc>
        <w:tc>
          <w:tcPr>
            <w:tcW w:w="0" w:type="auto"/>
            <w:tcBorders>
              <w:top w:val="nil"/>
              <w:left w:val="nil"/>
              <w:bottom w:val="nil"/>
              <w:right w:val="nil"/>
            </w:tcBorders>
            <w:vAlign w:val="center"/>
            <w:hideMark/>
          </w:tcPr>
          <w:p w14:paraId="5FB986B0" w14:textId="77777777" w:rsidR="00EE2CC4" w:rsidRPr="00EE2CC4" w:rsidRDefault="00EE2CC4" w:rsidP="00CC1893">
            <w:pPr>
              <w:spacing w:before="12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0.6800</w:t>
            </w:r>
          </w:p>
        </w:tc>
      </w:tr>
      <w:tr w:rsidR="00EE2CC4" w:rsidRPr="00EE2CC4" w14:paraId="68BA25D6" w14:textId="77777777" w:rsidTr="00CC1893">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6789772B"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1FAD8F27" w14:textId="77777777" w:rsidR="00EE2CC4" w:rsidRPr="00EE2CC4" w:rsidRDefault="00EE2CC4" w:rsidP="00EE2CC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5</w:t>
            </w:r>
          </w:p>
        </w:tc>
        <w:tc>
          <w:tcPr>
            <w:tcW w:w="0" w:type="auto"/>
            <w:tcBorders>
              <w:top w:val="nil"/>
              <w:left w:val="nil"/>
              <w:bottom w:val="nil"/>
              <w:right w:val="nil"/>
            </w:tcBorders>
            <w:vAlign w:val="center"/>
            <w:hideMark/>
          </w:tcPr>
          <w:p w14:paraId="60599F89" w14:textId="77777777" w:rsidR="00EE2CC4" w:rsidRPr="00EE2CC4" w:rsidRDefault="00EE2CC4" w:rsidP="00645AAE">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694A38D6"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nil"/>
              <w:right w:val="nil"/>
            </w:tcBorders>
            <w:vAlign w:val="center"/>
            <w:hideMark/>
          </w:tcPr>
          <w:p w14:paraId="5F73636D" w14:textId="77777777" w:rsidR="00EE2CC4" w:rsidRPr="00EE2CC4" w:rsidRDefault="00EE2CC4" w:rsidP="00645AA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0.1980</w:t>
            </w:r>
          </w:p>
        </w:tc>
      </w:tr>
      <w:tr w:rsidR="00EE2CC4" w:rsidRPr="00EE2CC4" w14:paraId="04C5C7F4" w14:textId="77777777" w:rsidTr="00CC1893">
        <w:trPr>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484A6965"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nil"/>
              <w:right w:val="nil"/>
            </w:tcBorders>
            <w:vAlign w:val="center"/>
            <w:hideMark/>
          </w:tcPr>
          <w:p w14:paraId="69BA1BAF" w14:textId="77777777" w:rsidR="00EE2CC4" w:rsidRPr="00EE2CC4" w:rsidRDefault="00EE2CC4" w:rsidP="00EE2CC4">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10</w:t>
            </w:r>
          </w:p>
        </w:tc>
        <w:tc>
          <w:tcPr>
            <w:tcW w:w="0" w:type="auto"/>
            <w:tcBorders>
              <w:top w:val="nil"/>
              <w:left w:val="nil"/>
              <w:bottom w:val="nil"/>
              <w:right w:val="nil"/>
            </w:tcBorders>
            <w:vAlign w:val="center"/>
            <w:hideMark/>
          </w:tcPr>
          <w:p w14:paraId="23C4FA2B" w14:textId="77777777" w:rsidR="00EE2CC4" w:rsidRPr="00EE2CC4" w:rsidRDefault="00EE2CC4" w:rsidP="00645AA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nil"/>
              <w:right w:val="nil"/>
            </w:tcBorders>
            <w:vAlign w:val="center"/>
            <w:hideMark/>
          </w:tcPr>
          <w:p w14:paraId="56BE052F"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0.039</w:t>
            </w:r>
          </w:p>
        </w:tc>
        <w:tc>
          <w:tcPr>
            <w:tcW w:w="0" w:type="auto"/>
            <w:tcBorders>
              <w:top w:val="nil"/>
              <w:left w:val="nil"/>
              <w:bottom w:val="nil"/>
              <w:right w:val="nil"/>
            </w:tcBorders>
            <w:vAlign w:val="center"/>
            <w:hideMark/>
          </w:tcPr>
          <w:p w14:paraId="52D9B371" w14:textId="77777777" w:rsidR="00EE2CC4" w:rsidRPr="00EE2CC4" w:rsidRDefault="00EE2CC4" w:rsidP="00645AA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1.1800</w:t>
            </w:r>
          </w:p>
        </w:tc>
      </w:tr>
      <w:tr w:rsidR="00EE2CC4" w:rsidRPr="00EE2CC4" w14:paraId="16EA0524" w14:textId="77777777" w:rsidTr="00CC1893">
        <w:trPr>
          <w:cnfStyle w:val="000000100000" w:firstRow="0" w:lastRow="0" w:firstColumn="0" w:lastColumn="0" w:oddVBand="0" w:evenVBand="0" w:oddHBand="1" w:evenHBand="0" w:firstRowFirstColumn="0" w:firstRowLastColumn="0" w:lastRowFirstColumn="0" w:lastRowLastColumn="0"/>
          <w:trHeight w:val="56"/>
          <w:jc w:val="center"/>
        </w:trPr>
        <w:tc>
          <w:tcPr>
            <w:cnfStyle w:val="001000000000" w:firstRow="0" w:lastRow="0" w:firstColumn="1" w:lastColumn="0" w:oddVBand="0" w:evenVBand="0" w:oddHBand="0" w:evenHBand="0" w:firstRowFirstColumn="0" w:firstRowLastColumn="0" w:lastRowFirstColumn="0" w:lastRowLastColumn="0"/>
            <w:tcW w:w="2431" w:type="dxa"/>
            <w:vMerge/>
            <w:tcBorders>
              <w:top w:val="nil"/>
              <w:left w:val="nil"/>
              <w:bottom w:val="single" w:sz="4" w:space="0" w:color="auto"/>
              <w:right w:val="nil"/>
            </w:tcBorders>
            <w:vAlign w:val="center"/>
            <w:hideMark/>
          </w:tcPr>
          <w:p w14:paraId="32947D36" w14:textId="77777777" w:rsidR="00EE2CC4" w:rsidRPr="00EE2CC4" w:rsidRDefault="00EE2CC4" w:rsidP="00EE2CC4">
            <w:pPr>
              <w:spacing w:after="0"/>
              <w:rPr>
                <w:rFonts w:ascii="Times New Roman" w:hAnsi="Times New Roman"/>
                <w:sz w:val="20"/>
                <w:szCs w:val="20"/>
                <w:lang w:eastAsia="zh-CN"/>
              </w:rPr>
            </w:pPr>
          </w:p>
        </w:tc>
        <w:tc>
          <w:tcPr>
            <w:tcW w:w="657" w:type="dxa"/>
            <w:tcBorders>
              <w:top w:val="nil"/>
              <w:left w:val="nil"/>
              <w:bottom w:val="single" w:sz="4" w:space="0" w:color="auto"/>
              <w:right w:val="nil"/>
            </w:tcBorders>
            <w:vAlign w:val="center"/>
            <w:hideMark/>
          </w:tcPr>
          <w:p w14:paraId="0594427C" w14:textId="77777777" w:rsidR="00EE2CC4" w:rsidRPr="00EE2CC4" w:rsidRDefault="00EE2CC4" w:rsidP="00CC189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EE2CC4">
              <w:rPr>
                <w:rFonts w:ascii="Times New Roman" w:hAnsi="Times New Roman"/>
                <w:sz w:val="20"/>
                <w:szCs w:val="20"/>
              </w:rPr>
              <w:t>15</w:t>
            </w:r>
          </w:p>
        </w:tc>
        <w:tc>
          <w:tcPr>
            <w:tcW w:w="0" w:type="auto"/>
            <w:tcBorders>
              <w:top w:val="nil"/>
              <w:left w:val="nil"/>
              <w:bottom w:val="single" w:sz="4" w:space="0" w:color="auto"/>
              <w:right w:val="nil"/>
            </w:tcBorders>
            <w:vAlign w:val="center"/>
            <w:hideMark/>
          </w:tcPr>
          <w:p w14:paraId="23C73590" w14:textId="77777777" w:rsidR="00EE2CC4" w:rsidRPr="00EE2CC4" w:rsidRDefault="00EE2CC4" w:rsidP="00CC189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reline</w:t>
            </w:r>
          </w:p>
        </w:tc>
        <w:tc>
          <w:tcPr>
            <w:tcW w:w="0" w:type="auto"/>
            <w:tcBorders>
              <w:top w:val="nil"/>
              <w:left w:val="nil"/>
              <w:bottom w:val="single" w:sz="4" w:space="0" w:color="auto"/>
              <w:right w:val="nil"/>
            </w:tcBorders>
            <w:vAlign w:val="center"/>
            <w:hideMark/>
          </w:tcPr>
          <w:p w14:paraId="2C5E96BA" w14:textId="77777777" w:rsidR="00EE2CC4" w:rsidRPr="00EE2CC4" w:rsidRDefault="00EE2CC4" w:rsidP="00CC189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0.044</w:t>
            </w:r>
          </w:p>
        </w:tc>
        <w:tc>
          <w:tcPr>
            <w:tcW w:w="0" w:type="auto"/>
            <w:tcBorders>
              <w:top w:val="nil"/>
              <w:left w:val="nil"/>
              <w:bottom w:val="single" w:sz="4" w:space="0" w:color="auto"/>
              <w:right w:val="nil"/>
            </w:tcBorders>
            <w:vAlign w:val="center"/>
            <w:hideMark/>
          </w:tcPr>
          <w:p w14:paraId="43C92700" w14:textId="77777777" w:rsidR="00EE2CC4" w:rsidRPr="00EE2CC4" w:rsidRDefault="00EE2CC4" w:rsidP="00CC1893">
            <w:pPr>
              <w:spacing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EE2CC4">
              <w:rPr>
                <w:rFonts w:ascii="Times New Roman" w:hAnsi="Times New Roman"/>
                <w:color w:val="000000"/>
                <w:sz w:val="20"/>
                <w:szCs w:val="20"/>
              </w:rPr>
              <w:t>0.5680</w:t>
            </w:r>
          </w:p>
        </w:tc>
      </w:tr>
    </w:tbl>
    <w:p w14:paraId="2AD3FD43" w14:textId="4CF6145C" w:rsidR="00EE2CC4" w:rsidRDefault="00EE2CC4" w:rsidP="00EE2CC4">
      <w:pPr>
        <w:spacing w:after="0"/>
        <w:jc w:val="both"/>
        <w:rPr>
          <w:rFonts w:ascii="Times New Roman" w:hAnsi="Times New Roman"/>
          <w:b/>
          <w:sz w:val="20"/>
          <w:szCs w:val="20"/>
          <w:lang w:eastAsia="zh-CN"/>
        </w:rPr>
      </w:pPr>
    </w:p>
    <w:p w14:paraId="1777EF6E" w14:textId="6F2918EA" w:rsidR="00645AAE" w:rsidRDefault="00645AAE" w:rsidP="00EE2CC4">
      <w:pPr>
        <w:spacing w:after="0"/>
        <w:jc w:val="both"/>
        <w:rPr>
          <w:rFonts w:ascii="Times New Roman" w:hAnsi="Times New Roman"/>
          <w:b/>
          <w:sz w:val="20"/>
          <w:szCs w:val="20"/>
          <w:lang w:eastAsia="zh-CN"/>
        </w:rPr>
      </w:pPr>
    </w:p>
    <w:p w14:paraId="16ADAD90" w14:textId="6EB9AFB9" w:rsidR="00645AAE" w:rsidRDefault="00645AAE" w:rsidP="00EE2CC4">
      <w:pPr>
        <w:spacing w:after="0"/>
        <w:jc w:val="both"/>
        <w:rPr>
          <w:rFonts w:ascii="Times New Roman" w:hAnsi="Times New Roman"/>
          <w:b/>
          <w:sz w:val="20"/>
          <w:szCs w:val="20"/>
          <w:lang w:eastAsia="zh-CN"/>
        </w:rPr>
      </w:pPr>
    </w:p>
    <w:p w14:paraId="649748F6" w14:textId="3DEEC237" w:rsidR="00D64DBA" w:rsidRDefault="00D64DBA" w:rsidP="00EE2CC4">
      <w:pPr>
        <w:spacing w:after="0"/>
        <w:jc w:val="both"/>
        <w:rPr>
          <w:rFonts w:ascii="Times New Roman" w:hAnsi="Times New Roman"/>
          <w:b/>
          <w:sz w:val="20"/>
          <w:szCs w:val="20"/>
          <w:lang w:eastAsia="zh-CN"/>
        </w:rPr>
      </w:pPr>
    </w:p>
    <w:p w14:paraId="0B9D8CA7" w14:textId="77777777" w:rsidR="00D64DBA" w:rsidRPr="00EE2CC4" w:rsidRDefault="00D64DBA" w:rsidP="00EE2CC4">
      <w:pPr>
        <w:spacing w:after="0"/>
        <w:jc w:val="both"/>
        <w:rPr>
          <w:rFonts w:ascii="Times New Roman" w:hAnsi="Times New Roman"/>
          <w:b/>
          <w:sz w:val="20"/>
          <w:szCs w:val="20"/>
          <w:lang w:eastAsia="zh-CN"/>
        </w:rPr>
      </w:pPr>
    </w:p>
    <w:p w14:paraId="408103BF" w14:textId="77777777" w:rsidR="00D64DBA" w:rsidRDefault="00D64DBA" w:rsidP="00EE2CC4">
      <w:pPr>
        <w:spacing w:after="0"/>
        <w:jc w:val="both"/>
        <w:rPr>
          <w:rFonts w:ascii="Times New Roman" w:hAnsi="Times New Roman"/>
          <w:b/>
          <w:sz w:val="20"/>
          <w:szCs w:val="20"/>
        </w:rPr>
        <w:sectPr w:rsidR="00D64DBA" w:rsidSect="001D1A16">
          <w:footerReference w:type="even" r:id="rId20"/>
          <w:footerReference w:type="default" r:id="rId21"/>
          <w:type w:val="continuous"/>
          <w:pgSz w:w="12240" w:h="15840" w:code="1"/>
          <w:pgMar w:top="1800" w:right="1469" w:bottom="1699" w:left="1440" w:header="706" w:footer="706" w:gutter="0"/>
          <w:pgNumType w:start="0"/>
          <w:cols w:space="708"/>
          <w:docGrid w:linePitch="360"/>
        </w:sectPr>
      </w:pPr>
    </w:p>
    <w:p w14:paraId="21A7BC3F" w14:textId="77777777" w:rsidR="00EE2CC4" w:rsidRPr="00EE2CC4" w:rsidRDefault="00EE2CC4" w:rsidP="00EE2CC4">
      <w:pPr>
        <w:spacing w:after="0"/>
        <w:jc w:val="both"/>
        <w:rPr>
          <w:rFonts w:ascii="Times New Roman" w:hAnsi="Times New Roman"/>
          <w:b/>
          <w:sz w:val="20"/>
          <w:szCs w:val="20"/>
        </w:rPr>
      </w:pPr>
      <w:r w:rsidRPr="00EE2CC4">
        <w:rPr>
          <w:rFonts w:ascii="Times New Roman" w:hAnsi="Times New Roman"/>
          <w:b/>
          <w:sz w:val="20"/>
          <w:szCs w:val="20"/>
        </w:rPr>
        <w:lastRenderedPageBreak/>
        <w:t>Optimization of scan rate for melamine electropolymerization</w:t>
      </w:r>
    </w:p>
    <w:p w14:paraId="3AED8C9C" w14:textId="1447D606" w:rsidR="00EE2CC4" w:rsidRDefault="00EE2CC4" w:rsidP="00EE2CC4">
      <w:pPr>
        <w:spacing w:after="0"/>
        <w:jc w:val="both"/>
        <w:rPr>
          <w:rFonts w:ascii="Times New Roman" w:hAnsi="Times New Roman"/>
          <w:bCs/>
          <w:sz w:val="20"/>
          <w:szCs w:val="20"/>
        </w:rPr>
      </w:pPr>
      <w:r w:rsidRPr="00EE2CC4">
        <w:rPr>
          <w:rFonts w:ascii="Times New Roman" w:hAnsi="Times New Roman"/>
          <w:bCs/>
          <w:sz w:val="20"/>
          <w:szCs w:val="20"/>
        </w:rPr>
        <w:t xml:space="preserve">Figure 4 illustrates the electropolymerization behavior of melamine in different scan rates. Scan rate determine the time taken to complete one polymerization cycle. In this study, the recorded voltammogram was not able to distinct any significant observation to relate the effect of scan rate on polymerization of melamine. Thus, these electrodes </w:t>
      </w:r>
      <w:r w:rsidRPr="00EE2CC4">
        <w:rPr>
          <w:rFonts w:ascii="Times New Roman" w:hAnsi="Times New Roman"/>
          <w:bCs/>
          <w:sz w:val="20"/>
          <w:szCs w:val="20"/>
        </w:rPr>
        <w:t>prepared at 10, 25, 50, 75, and 100 mV s</w:t>
      </w:r>
      <w:r w:rsidRPr="00EE2CC4">
        <w:rPr>
          <w:rFonts w:ascii="Times New Roman" w:hAnsi="Times New Roman"/>
          <w:bCs/>
          <w:sz w:val="20"/>
          <w:szCs w:val="20"/>
          <w:vertAlign w:val="superscript"/>
        </w:rPr>
        <w:t xml:space="preserve">-1 </w:t>
      </w:r>
      <w:r w:rsidRPr="00EE2CC4">
        <w:rPr>
          <w:rFonts w:ascii="Times New Roman" w:hAnsi="Times New Roman"/>
          <w:bCs/>
          <w:sz w:val="20"/>
          <w:szCs w:val="20"/>
        </w:rPr>
        <w:t xml:space="preserve">scan rates were analyzed using the amperometry technique to investigate the performance in DA sensing. Figure 5 displays </w:t>
      </w:r>
      <w:r w:rsidR="00A7073E">
        <w:rPr>
          <w:rFonts w:ascii="Times New Roman" w:hAnsi="Times New Roman"/>
          <w:bCs/>
          <w:sz w:val="20"/>
          <w:szCs w:val="20"/>
        </w:rPr>
        <w:t xml:space="preserve"> </w:t>
      </w:r>
      <w:r w:rsidRPr="00EE2CC4">
        <w:rPr>
          <w:rFonts w:ascii="Times New Roman" w:hAnsi="Times New Roman"/>
          <w:bCs/>
          <w:sz w:val="20"/>
          <w:szCs w:val="20"/>
        </w:rPr>
        <w:t xml:space="preserve">the </w:t>
      </w:r>
      <w:r w:rsidR="00A7073E">
        <w:rPr>
          <w:rFonts w:ascii="Times New Roman" w:hAnsi="Times New Roman"/>
          <w:bCs/>
          <w:sz w:val="20"/>
          <w:szCs w:val="20"/>
        </w:rPr>
        <w:t xml:space="preserve"> </w:t>
      </w:r>
      <w:r w:rsidRPr="00EE2CC4">
        <w:rPr>
          <w:rFonts w:ascii="Times New Roman" w:hAnsi="Times New Roman"/>
          <w:bCs/>
          <w:sz w:val="20"/>
          <w:szCs w:val="20"/>
        </w:rPr>
        <w:t xml:space="preserve">amperometry plot of PME whereas Figure 6 displays the calculated sensitivity and LOD based on the amperometry results obtained. </w:t>
      </w:r>
    </w:p>
    <w:p w14:paraId="44C590D0" w14:textId="77777777" w:rsidR="00D64DBA" w:rsidRPr="00EE2CC4" w:rsidRDefault="00D64DBA" w:rsidP="00EE2CC4">
      <w:pPr>
        <w:spacing w:after="0"/>
        <w:jc w:val="both"/>
        <w:rPr>
          <w:rFonts w:ascii="Times New Roman" w:hAnsi="Times New Roman"/>
          <w:bCs/>
          <w:sz w:val="20"/>
          <w:szCs w:val="20"/>
        </w:rPr>
      </w:pPr>
    </w:p>
    <w:p w14:paraId="34DAA6BE" w14:textId="77777777" w:rsidR="00D64DBA" w:rsidRDefault="00D64DBA" w:rsidP="00EE2CC4">
      <w:pPr>
        <w:spacing w:after="0"/>
        <w:jc w:val="both"/>
        <w:rPr>
          <w:rFonts w:ascii="Times New Roman" w:hAnsi="Times New Roman"/>
          <w:bCs/>
          <w:sz w:val="20"/>
          <w:szCs w:val="20"/>
        </w:rPr>
      </w:pPr>
    </w:p>
    <w:p w14:paraId="307984FD" w14:textId="5951DEBC" w:rsidR="00D64DBA" w:rsidRDefault="00D64DBA" w:rsidP="00EE2CC4">
      <w:pPr>
        <w:spacing w:after="0"/>
        <w:jc w:val="both"/>
        <w:rPr>
          <w:rFonts w:ascii="Times New Roman" w:hAnsi="Times New Roman"/>
          <w:bCs/>
          <w:sz w:val="20"/>
          <w:szCs w:val="20"/>
        </w:rPr>
        <w:sectPr w:rsidR="00D64DBA" w:rsidSect="00D64DBA">
          <w:footerReference w:type="even" r:id="rId22"/>
          <w:type w:val="continuous"/>
          <w:pgSz w:w="12240" w:h="15840" w:code="1"/>
          <w:pgMar w:top="1800" w:right="1469" w:bottom="1699" w:left="1440" w:header="706" w:footer="706" w:gutter="0"/>
          <w:pgNumType w:start="0"/>
          <w:cols w:num="2" w:space="403"/>
          <w:docGrid w:linePitch="360"/>
        </w:sectPr>
      </w:pPr>
    </w:p>
    <w:p w14:paraId="463820B3" w14:textId="36299FE3" w:rsidR="00EE2CC4" w:rsidRDefault="00EE2CC4" w:rsidP="00EE2CC4">
      <w:pPr>
        <w:spacing w:after="0"/>
        <w:jc w:val="both"/>
        <w:rPr>
          <w:rFonts w:ascii="Times New Roman" w:hAnsi="Times New Roman"/>
          <w:bCs/>
          <w:sz w:val="20"/>
          <w:szCs w:val="20"/>
        </w:rPr>
      </w:pPr>
    </w:p>
    <w:p w14:paraId="75E78A4C" w14:textId="4EB186B6" w:rsidR="00D64DBA" w:rsidRDefault="00D64DBA" w:rsidP="00EE2CC4">
      <w:pPr>
        <w:spacing w:after="0"/>
        <w:jc w:val="both"/>
        <w:rPr>
          <w:rFonts w:ascii="Times New Roman" w:hAnsi="Times New Roman"/>
          <w:bCs/>
          <w:sz w:val="20"/>
          <w:szCs w:val="20"/>
        </w:rPr>
      </w:pPr>
    </w:p>
    <w:p w14:paraId="0B89CCC3" w14:textId="77777777" w:rsidR="00D64DBA" w:rsidRPr="00EE2CC4" w:rsidRDefault="00D64DBA" w:rsidP="00EE2CC4">
      <w:pPr>
        <w:spacing w:after="0"/>
        <w:jc w:val="both"/>
        <w:rPr>
          <w:rFonts w:ascii="Times New Roman" w:hAnsi="Times New Roman"/>
          <w:bCs/>
          <w:sz w:val="20"/>
          <w:szCs w:val="20"/>
        </w:rPr>
      </w:pPr>
    </w:p>
    <w:p w14:paraId="50A231DC" w14:textId="1FE83E2A" w:rsidR="00EE2CC4" w:rsidRPr="00EE2CC4" w:rsidRDefault="00EE2CC4" w:rsidP="00645AAE">
      <w:pPr>
        <w:spacing w:after="120"/>
        <w:ind w:firstLine="288"/>
        <w:jc w:val="center"/>
        <w:rPr>
          <w:rFonts w:ascii="Times New Roman" w:eastAsia="SimSun" w:hAnsi="Times New Roman"/>
          <w:sz w:val="20"/>
          <w:szCs w:val="20"/>
        </w:rPr>
      </w:pPr>
      <w:r w:rsidRPr="00EE2CC4">
        <w:rPr>
          <w:rFonts w:ascii="Times New Roman" w:hAnsi="Times New Roman"/>
          <w:b/>
          <w:noProof/>
          <w:sz w:val="20"/>
          <w:szCs w:val="20"/>
        </w:rPr>
        <w:drawing>
          <wp:inline distT="0" distB="0" distL="0" distR="0" wp14:anchorId="56945037" wp14:editId="6575B076">
            <wp:extent cx="2880360" cy="3986784"/>
            <wp:effectExtent l="19050" t="19050" r="15240" b="1397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l="1331" t="8948" r="7434" b="2750"/>
                    <a:stretch>
                      <a:fillRect/>
                    </a:stretch>
                  </pic:blipFill>
                  <pic:spPr bwMode="auto">
                    <a:xfrm>
                      <a:off x="0" y="0"/>
                      <a:ext cx="2880360" cy="3986784"/>
                    </a:xfrm>
                    <a:prstGeom prst="rect">
                      <a:avLst/>
                    </a:prstGeom>
                    <a:noFill/>
                    <a:ln w="9525" cmpd="sng">
                      <a:solidFill>
                        <a:srgbClr val="000000"/>
                      </a:solidFill>
                      <a:miter lim="800000"/>
                      <a:headEnd/>
                      <a:tailEnd/>
                    </a:ln>
                    <a:effectLst/>
                  </pic:spPr>
                </pic:pic>
              </a:graphicData>
            </a:graphic>
          </wp:inline>
        </w:drawing>
      </w:r>
    </w:p>
    <w:p w14:paraId="795F9FCF" w14:textId="4F391B56" w:rsidR="00EE2CC4" w:rsidRPr="00EE2CC4" w:rsidRDefault="00EE2CC4" w:rsidP="00EE2CC4">
      <w:pPr>
        <w:spacing w:after="0"/>
        <w:ind w:left="851" w:hanging="851"/>
        <w:jc w:val="both"/>
        <w:rPr>
          <w:rFonts w:ascii="Times New Roman" w:eastAsiaTheme="minorEastAsia" w:hAnsi="Times New Roman"/>
          <w:sz w:val="20"/>
          <w:szCs w:val="20"/>
        </w:rPr>
      </w:pPr>
      <w:r w:rsidRPr="00EE2CC4">
        <w:rPr>
          <w:rFonts w:ascii="Times New Roman" w:eastAsia="SimSun" w:hAnsi="Times New Roman"/>
          <w:sz w:val="20"/>
          <w:szCs w:val="20"/>
        </w:rPr>
        <w:t xml:space="preserve">Figure 4. </w:t>
      </w:r>
      <w:r w:rsidR="00645AAE">
        <w:rPr>
          <w:rFonts w:ascii="Times New Roman" w:eastAsia="SimSun" w:hAnsi="Times New Roman"/>
          <w:sz w:val="20"/>
          <w:szCs w:val="20"/>
        </w:rPr>
        <w:tab/>
      </w:r>
      <w:r w:rsidRPr="00EE2CC4">
        <w:rPr>
          <w:rFonts w:ascii="Times New Roman" w:hAnsi="Times New Roman"/>
          <w:sz w:val="20"/>
          <w:szCs w:val="20"/>
        </w:rPr>
        <w:t>Electropolymerization of melamine (10.0 mM, -0.20- 1.60 V, five cycles) in reline scanning with varied scan rate (10, 25, 50, 75, and 100 mV s</w:t>
      </w:r>
      <w:r w:rsidRPr="00EE2CC4">
        <w:rPr>
          <w:rFonts w:ascii="Times New Roman" w:hAnsi="Times New Roman"/>
          <w:sz w:val="20"/>
          <w:szCs w:val="20"/>
          <w:vertAlign w:val="superscript"/>
        </w:rPr>
        <w:t>-1</w:t>
      </w:r>
      <w:r w:rsidRPr="00EE2CC4">
        <w:rPr>
          <w:rFonts w:ascii="Times New Roman" w:hAnsi="Times New Roman"/>
          <w:sz w:val="20"/>
          <w:szCs w:val="20"/>
        </w:rPr>
        <w:t>)</w:t>
      </w:r>
    </w:p>
    <w:p w14:paraId="6482AEB3" w14:textId="5CDA9885" w:rsidR="00EE2CC4" w:rsidRDefault="00EE2CC4" w:rsidP="00EE2CC4">
      <w:pPr>
        <w:spacing w:after="0"/>
        <w:jc w:val="both"/>
        <w:rPr>
          <w:rFonts w:ascii="Times New Roman" w:hAnsi="Times New Roman"/>
          <w:sz w:val="20"/>
          <w:szCs w:val="20"/>
        </w:rPr>
      </w:pPr>
    </w:p>
    <w:p w14:paraId="4919FDD5" w14:textId="052BB437" w:rsidR="00645AAE" w:rsidRDefault="00645AAE" w:rsidP="00EE2CC4">
      <w:pPr>
        <w:spacing w:after="0"/>
        <w:jc w:val="both"/>
        <w:rPr>
          <w:rFonts w:ascii="Times New Roman" w:hAnsi="Times New Roman"/>
          <w:sz w:val="20"/>
          <w:szCs w:val="20"/>
        </w:rPr>
      </w:pPr>
    </w:p>
    <w:p w14:paraId="78AD61AB" w14:textId="77777777" w:rsidR="00645AAE" w:rsidRPr="00EE2CC4" w:rsidRDefault="00645AAE" w:rsidP="00EE2CC4">
      <w:pPr>
        <w:spacing w:after="0"/>
        <w:jc w:val="both"/>
        <w:rPr>
          <w:rFonts w:ascii="Times New Roman" w:hAnsi="Times New Roman"/>
          <w:sz w:val="20"/>
          <w:szCs w:val="20"/>
        </w:rPr>
      </w:pPr>
    </w:p>
    <w:p w14:paraId="15F91040" w14:textId="712328FB" w:rsidR="00EE2CC4" w:rsidRDefault="00EE2CC4" w:rsidP="00EE2CC4">
      <w:pPr>
        <w:spacing w:after="0"/>
        <w:jc w:val="both"/>
        <w:rPr>
          <w:rFonts w:ascii="Times New Roman" w:hAnsi="Times New Roman"/>
          <w:sz w:val="20"/>
          <w:szCs w:val="20"/>
        </w:rPr>
      </w:pPr>
    </w:p>
    <w:p w14:paraId="6CE80A1C" w14:textId="1CD8C7CA" w:rsidR="00CC1893" w:rsidRDefault="00CC1893" w:rsidP="00EE2CC4">
      <w:pPr>
        <w:spacing w:after="0"/>
        <w:jc w:val="both"/>
        <w:rPr>
          <w:rFonts w:ascii="Times New Roman" w:hAnsi="Times New Roman"/>
          <w:sz w:val="20"/>
          <w:szCs w:val="20"/>
        </w:rPr>
      </w:pPr>
    </w:p>
    <w:p w14:paraId="43754E59" w14:textId="77777777" w:rsidR="00CC1893" w:rsidRPr="00EE2CC4" w:rsidRDefault="00CC1893" w:rsidP="00EE2CC4">
      <w:pPr>
        <w:spacing w:after="0"/>
        <w:jc w:val="both"/>
        <w:rPr>
          <w:rFonts w:ascii="Times New Roman" w:hAnsi="Times New Roman"/>
          <w:sz w:val="20"/>
          <w:szCs w:val="20"/>
        </w:rPr>
      </w:pPr>
    </w:p>
    <w:p w14:paraId="549ACC39" w14:textId="6A0E7E5A" w:rsidR="00EE2CC4" w:rsidRPr="00EE2CC4" w:rsidRDefault="00EE2CC4" w:rsidP="00CC1893">
      <w:pPr>
        <w:spacing w:after="120"/>
        <w:jc w:val="center"/>
        <w:rPr>
          <w:rFonts w:ascii="Times New Roman" w:hAnsi="Times New Roman"/>
          <w:bCs/>
          <w:sz w:val="20"/>
          <w:szCs w:val="20"/>
        </w:rPr>
      </w:pPr>
      <w:r w:rsidRPr="00EE2CC4">
        <w:rPr>
          <w:rFonts w:ascii="Times New Roman" w:hAnsi="Times New Roman"/>
          <w:noProof/>
          <w:sz w:val="20"/>
          <w:szCs w:val="20"/>
        </w:rPr>
        <w:lastRenderedPageBreak/>
        <w:drawing>
          <wp:inline distT="0" distB="0" distL="0" distR="0" wp14:anchorId="3E82E0C9" wp14:editId="3DF661B3">
            <wp:extent cx="3972560" cy="3261360"/>
            <wp:effectExtent l="19050" t="19050" r="27940" b="1524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l="10060" t="9503" r="12604" b="7355"/>
                    <a:stretch>
                      <a:fillRect/>
                    </a:stretch>
                  </pic:blipFill>
                  <pic:spPr bwMode="auto">
                    <a:xfrm>
                      <a:off x="0" y="0"/>
                      <a:ext cx="3972560" cy="3261360"/>
                    </a:xfrm>
                    <a:prstGeom prst="rect">
                      <a:avLst/>
                    </a:prstGeom>
                    <a:noFill/>
                    <a:ln w="9525" cmpd="sng">
                      <a:solidFill>
                        <a:srgbClr val="000000"/>
                      </a:solidFill>
                      <a:miter lim="800000"/>
                      <a:headEnd/>
                      <a:tailEnd/>
                    </a:ln>
                    <a:effectLst/>
                  </pic:spPr>
                </pic:pic>
              </a:graphicData>
            </a:graphic>
          </wp:inline>
        </w:drawing>
      </w:r>
    </w:p>
    <w:p w14:paraId="51997B73" w14:textId="0235EE95" w:rsidR="00EE2CC4" w:rsidRPr="00EE2CC4" w:rsidRDefault="00EE2CC4" w:rsidP="00EE2CC4">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5. </w:t>
      </w:r>
      <w:r w:rsidR="00CC1893">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scan rates.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0821D554" w14:textId="491233B0" w:rsidR="00EE2CC4" w:rsidRDefault="00EE2CC4" w:rsidP="00EE2CC4">
      <w:pPr>
        <w:spacing w:after="0"/>
        <w:jc w:val="both"/>
        <w:rPr>
          <w:rFonts w:ascii="Times New Roman" w:eastAsia="SimSun" w:hAnsi="Times New Roman"/>
          <w:bCs/>
          <w:sz w:val="20"/>
          <w:szCs w:val="20"/>
        </w:rPr>
      </w:pPr>
    </w:p>
    <w:p w14:paraId="5A55D47B" w14:textId="29C561F4" w:rsidR="00CC1893" w:rsidRDefault="00CC1893" w:rsidP="00EE2CC4">
      <w:pPr>
        <w:spacing w:after="0"/>
        <w:jc w:val="both"/>
        <w:rPr>
          <w:rFonts w:ascii="Times New Roman" w:eastAsia="SimSun" w:hAnsi="Times New Roman"/>
          <w:bCs/>
          <w:sz w:val="20"/>
          <w:szCs w:val="20"/>
        </w:rPr>
      </w:pPr>
    </w:p>
    <w:p w14:paraId="144B9D5E" w14:textId="77777777" w:rsidR="00CC1893" w:rsidRPr="00EE2CC4" w:rsidRDefault="00CC1893" w:rsidP="00EE2CC4">
      <w:pPr>
        <w:spacing w:after="0"/>
        <w:jc w:val="both"/>
        <w:rPr>
          <w:rFonts w:ascii="Times New Roman" w:eastAsia="SimSun" w:hAnsi="Times New Roman"/>
          <w:bCs/>
          <w:sz w:val="20"/>
          <w:szCs w:val="20"/>
        </w:rPr>
      </w:pPr>
    </w:p>
    <w:p w14:paraId="7DB8D08B" w14:textId="54840435" w:rsidR="00EE2CC4" w:rsidRPr="00EE2CC4" w:rsidRDefault="00EE2CC4" w:rsidP="00CC1893">
      <w:pPr>
        <w:spacing w:after="120"/>
        <w:jc w:val="center"/>
        <w:rPr>
          <w:rFonts w:ascii="Times New Roman" w:eastAsia="SimSun" w:hAnsi="Times New Roman"/>
          <w:bCs/>
          <w:sz w:val="20"/>
          <w:szCs w:val="20"/>
        </w:rPr>
      </w:pPr>
      <w:r w:rsidRPr="00EE2CC4">
        <w:rPr>
          <w:rFonts w:ascii="Times New Roman" w:hAnsi="Times New Roman"/>
          <w:noProof/>
          <w:sz w:val="20"/>
          <w:szCs w:val="20"/>
        </w:rPr>
        <w:drawing>
          <wp:inline distT="0" distB="0" distL="0" distR="0" wp14:anchorId="300EF256" wp14:editId="6EFF958D">
            <wp:extent cx="5038344" cy="2487168"/>
            <wp:effectExtent l="19050" t="19050" r="10160" b="279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t="16322" r="6120" b="17816"/>
                    <a:stretch>
                      <a:fillRect/>
                    </a:stretch>
                  </pic:blipFill>
                  <pic:spPr bwMode="auto">
                    <a:xfrm>
                      <a:off x="0" y="0"/>
                      <a:ext cx="5038344" cy="2487168"/>
                    </a:xfrm>
                    <a:prstGeom prst="rect">
                      <a:avLst/>
                    </a:prstGeom>
                    <a:noFill/>
                    <a:ln w="9525" cmpd="sng">
                      <a:solidFill>
                        <a:srgbClr val="000000"/>
                      </a:solidFill>
                      <a:miter lim="800000"/>
                      <a:headEnd/>
                      <a:tailEnd/>
                    </a:ln>
                    <a:effectLst/>
                  </pic:spPr>
                </pic:pic>
              </a:graphicData>
            </a:graphic>
          </wp:inline>
        </w:drawing>
      </w:r>
    </w:p>
    <w:p w14:paraId="36255FE7" w14:textId="33E0DCD1" w:rsidR="00EE2CC4" w:rsidRPr="00EE2CC4" w:rsidRDefault="00EE2CC4" w:rsidP="00EE2CC4">
      <w:pPr>
        <w:spacing w:after="0"/>
        <w:ind w:left="851" w:hanging="851"/>
        <w:jc w:val="both"/>
        <w:rPr>
          <w:rFonts w:ascii="Times New Roman" w:eastAsiaTheme="minorEastAsia" w:hAnsi="Times New Roman"/>
          <w:bCs/>
          <w:sz w:val="20"/>
          <w:szCs w:val="20"/>
        </w:rPr>
      </w:pPr>
      <w:r w:rsidRPr="00EE2CC4">
        <w:rPr>
          <w:rFonts w:ascii="Times New Roman" w:eastAsia="SimSun" w:hAnsi="Times New Roman"/>
          <w:bCs/>
          <w:sz w:val="20"/>
          <w:szCs w:val="20"/>
        </w:rPr>
        <w:t xml:space="preserve">Figure 6. </w:t>
      </w:r>
      <w:r w:rsidR="00CC1893">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scan rates applied for electropolymerization of melamine in reline</w:t>
      </w:r>
    </w:p>
    <w:p w14:paraId="52DD010D" w14:textId="380FAEE1" w:rsidR="00EE2CC4" w:rsidRDefault="00EE2CC4" w:rsidP="00EE2CC4">
      <w:pPr>
        <w:spacing w:after="0"/>
        <w:jc w:val="both"/>
        <w:rPr>
          <w:rFonts w:ascii="Times New Roman" w:eastAsia="SimSun" w:hAnsi="Times New Roman"/>
          <w:b/>
          <w:sz w:val="20"/>
          <w:szCs w:val="20"/>
        </w:rPr>
      </w:pPr>
    </w:p>
    <w:p w14:paraId="7E0CDBDF" w14:textId="77777777" w:rsidR="00A7073E" w:rsidRDefault="00A7073E" w:rsidP="00A7073E">
      <w:pPr>
        <w:spacing w:after="0"/>
        <w:jc w:val="both"/>
        <w:rPr>
          <w:rFonts w:ascii="Times New Roman" w:hAnsi="Times New Roman"/>
          <w:sz w:val="20"/>
          <w:szCs w:val="20"/>
        </w:rPr>
        <w:sectPr w:rsidR="00A7073E" w:rsidSect="001D1A16">
          <w:footerReference w:type="default" r:id="rId26"/>
          <w:type w:val="continuous"/>
          <w:pgSz w:w="12240" w:h="15840" w:code="1"/>
          <w:pgMar w:top="1800" w:right="1469" w:bottom="1699" w:left="1440" w:header="706" w:footer="706" w:gutter="0"/>
          <w:pgNumType w:start="0"/>
          <w:cols w:space="708"/>
          <w:docGrid w:linePitch="360"/>
        </w:sectPr>
      </w:pPr>
    </w:p>
    <w:p w14:paraId="29A24959" w14:textId="77777777" w:rsidR="00A7073E" w:rsidRPr="00EE2CC4" w:rsidRDefault="00A7073E" w:rsidP="00A7073E">
      <w:pPr>
        <w:spacing w:after="0"/>
        <w:jc w:val="both"/>
        <w:rPr>
          <w:rFonts w:ascii="Times New Roman" w:hAnsi="Times New Roman"/>
          <w:bCs/>
          <w:sz w:val="20"/>
          <w:szCs w:val="20"/>
        </w:rPr>
      </w:pPr>
      <w:r w:rsidRPr="00EE2CC4">
        <w:rPr>
          <w:rFonts w:ascii="Times New Roman" w:hAnsi="Times New Roman"/>
          <w:sz w:val="20"/>
          <w:szCs w:val="20"/>
        </w:rPr>
        <w:lastRenderedPageBreak/>
        <w:t xml:space="preserve">The result of amperometry sensing of DA at PME/GCE synthesized </w:t>
      </w:r>
      <w:r>
        <w:rPr>
          <w:rFonts w:ascii="Times New Roman" w:hAnsi="Times New Roman"/>
          <w:sz w:val="20"/>
          <w:szCs w:val="20"/>
        </w:rPr>
        <w:t xml:space="preserve"> </w:t>
      </w:r>
      <w:r w:rsidRPr="00EE2CC4">
        <w:rPr>
          <w:rFonts w:ascii="Times New Roman" w:hAnsi="Times New Roman"/>
          <w:sz w:val="20"/>
          <w:szCs w:val="20"/>
        </w:rPr>
        <w:t xml:space="preserve">with varied scan rates are display in Figure 5. Based on Figure 5, the amperometry plots of </w:t>
      </w:r>
      <w:r w:rsidRPr="00EE2CC4">
        <w:rPr>
          <w:rFonts w:ascii="Times New Roman" w:eastAsia="SimSun" w:hAnsi="Times New Roman"/>
          <w:sz w:val="20"/>
          <w:szCs w:val="20"/>
        </w:rPr>
        <w:t>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w:t>
      </w:r>
      <w:r w:rsidRPr="00EE2CC4">
        <w:rPr>
          <w:rFonts w:ascii="Times New Roman" w:hAnsi="Times New Roman"/>
          <w:sz w:val="20"/>
          <w:szCs w:val="20"/>
        </w:rPr>
        <w:t>were very close to each other, unable to differentiate which scan rate gives the best outcome. Figure 6(a) and (b) show the fluttered of sensitivity and LOD of varied scan rates applied in electropolymerization of melamine (10.0 mM) in reline. The scan rate applied was varied from 10 to 100 mV s</w:t>
      </w:r>
      <w:r w:rsidRPr="00EE2CC4">
        <w:rPr>
          <w:rFonts w:ascii="Times New Roman" w:hAnsi="Times New Roman"/>
          <w:sz w:val="20"/>
          <w:szCs w:val="20"/>
          <w:vertAlign w:val="superscript"/>
        </w:rPr>
        <w:t>-1</w:t>
      </w:r>
      <w:r w:rsidRPr="00EE2CC4">
        <w:rPr>
          <w:rFonts w:ascii="Times New Roman" w:hAnsi="Times New Roman"/>
          <w:sz w:val="20"/>
          <w:szCs w:val="20"/>
        </w:rPr>
        <w:t xml:space="preserve">. </w:t>
      </w:r>
      <w:r w:rsidRPr="00EE2CC4">
        <w:rPr>
          <w:rFonts w:ascii="Times New Roman" w:eastAsia="SimSun" w:hAnsi="Times New Roman"/>
          <w:sz w:val="20"/>
          <w:szCs w:val="20"/>
        </w:rPr>
        <w:t>PME(reline) synthesized with 10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is named as PME(reline 10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in accordance to the scan rate applied. </w:t>
      </w:r>
      <w:r w:rsidRPr="00EE2CC4">
        <w:rPr>
          <w:rFonts w:ascii="Times New Roman" w:hAnsi="Times New Roman"/>
          <w:sz w:val="20"/>
          <w:szCs w:val="20"/>
        </w:rPr>
        <w:t xml:space="preserve">As shown, the </w:t>
      </w:r>
      <w:r w:rsidRPr="00EE2CC4">
        <w:rPr>
          <w:rFonts w:ascii="Times New Roman" w:eastAsia="SimSun" w:hAnsi="Times New Roman"/>
          <w:sz w:val="20"/>
          <w:szCs w:val="20"/>
        </w:rPr>
        <w:t>PME(reline 50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was selected as the ideal scan rate where the sensitivity and LOD reported at 0.044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0.198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respectively. In this case, 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25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demonstrated the excellent sensitivity at 0.046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xml:space="preserve"> and 0.044 </w:t>
      </w:r>
      <m:oMath>
        <m:r>
          <m:rPr>
            <m:sty m:val="p"/>
          </m:rPr>
          <w:rPr>
            <w:rFonts w:ascii="Cambria Math" w:eastAsia="SimSun" w:hAnsi="Cambria Math"/>
            <w:sz w:val="20"/>
            <w:szCs w:val="20"/>
          </w:rPr>
          <m:t>μ</m:t>
        </m:r>
      </m:oMath>
      <w:r w:rsidRPr="00EE2CC4">
        <w:rPr>
          <w:rFonts w:ascii="Times New Roman" w:eastAsia="SimSun" w:hAnsi="Times New Roman"/>
          <w:sz w:val="20"/>
          <w:szCs w:val="20"/>
        </w:rPr>
        <w:t xml:space="preserve">A </w:t>
      </w:r>
      <m:oMath>
        <m:r>
          <m:rPr>
            <m:sty m:val="p"/>
          </m:rPr>
          <w:rPr>
            <w:rFonts w:ascii="Cambria Math" w:eastAsia="SimSun" w:hAnsi="Cambria Math"/>
            <w:sz w:val="20"/>
            <w:szCs w:val="20"/>
          </w:rPr>
          <m:t>μ</m:t>
        </m:r>
      </m:oMath>
      <w:r w:rsidRPr="00EE2CC4">
        <w:rPr>
          <w:rFonts w:ascii="Times New Roman" w:eastAsia="SimSun" w:hAnsi="Times New Roman"/>
          <w:sz w:val="20"/>
          <w:szCs w:val="20"/>
        </w:rPr>
        <w:t>M</w:t>
      </w:r>
      <w:r w:rsidRPr="00EE2CC4">
        <w:rPr>
          <w:rFonts w:ascii="Times New Roman" w:eastAsia="SimSun" w:hAnsi="Times New Roman"/>
          <w:sz w:val="20"/>
          <w:szCs w:val="20"/>
          <w:vertAlign w:val="superscript"/>
        </w:rPr>
        <w:t xml:space="preserve">-1 </w:t>
      </w:r>
      <w:r w:rsidRPr="00EE2CC4">
        <w:rPr>
          <w:rFonts w:ascii="Times New Roman" w:eastAsia="SimSun" w:hAnsi="Times New Roman"/>
          <w:sz w:val="20"/>
          <w:szCs w:val="20"/>
        </w:rPr>
        <w:t>cm</w:t>
      </w:r>
      <w:r w:rsidRPr="00EE2CC4">
        <w:rPr>
          <w:rFonts w:ascii="Times New Roman" w:eastAsia="SimSun" w:hAnsi="Times New Roman"/>
          <w:sz w:val="20"/>
          <w:szCs w:val="20"/>
          <w:vertAlign w:val="superscript"/>
        </w:rPr>
        <w:t>-2</w:t>
      </w:r>
      <w:r w:rsidRPr="00EE2CC4">
        <w:rPr>
          <w:rFonts w:ascii="Times New Roman" w:eastAsia="SimSun" w:hAnsi="Times New Roman"/>
          <w:sz w:val="20"/>
          <w:szCs w:val="20"/>
        </w:rPr>
        <w:t>, respectively. However, both PME(reline 75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and PME(reline 25 mV s</w:t>
      </w:r>
      <w:r w:rsidRPr="00EE2CC4">
        <w:rPr>
          <w:rFonts w:ascii="Times New Roman" w:eastAsia="SimSun" w:hAnsi="Times New Roman"/>
          <w:sz w:val="20"/>
          <w:szCs w:val="20"/>
          <w:vertAlign w:val="superscript"/>
        </w:rPr>
        <w:t>-1</w:t>
      </w:r>
      <w:r w:rsidRPr="00EE2CC4">
        <w:rPr>
          <w:rFonts w:ascii="Times New Roman" w:eastAsia="SimSun" w:hAnsi="Times New Roman"/>
          <w:sz w:val="20"/>
          <w:szCs w:val="20"/>
        </w:rPr>
        <w:t xml:space="preserve">) showing much poorer sensing capability with LOD recorded at 1.077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and 0.326 </w:t>
      </w:r>
      <m:oMath>
        <m:r>
          <m:rPr>
            <m:sty m:val="p"/>
          </m:rPr>
          <w:rPr>
            <w:rFonts w:ascii="Cambria Math" w:hAnsi="Cambria Math"/>
            <w:sz w:val="20"/>
            <w:szCs w:val="20"/>
          </w:rPr>
          <m:t>μ</m:t>
        </m:r>
      </m:oMath>
      <w:r w:rsidRPr="00EE2CC4">
        <w:rPr>
          <w:rFonts w:ascii="Times New Roman" w:hAnsi="Times New Roman"/>
          <w:sz w:val="20"/>
          <w:szCs w:val="20"/>
        </w:rPr>
        <w:t>M</w:t>
      </w:r>
      <w:r w:rsidRPr="00EE2CC4">
        <w:rPr>
          <w:rFonts w:ascii="Times New Roman" w:eastAsia="SimSun" w:hAnsi="Times New Roman"/>
          <w:sz w:val="20"/>
          <w:szCs w:val="20"/>
        </w:rPr>
        <w:t xml:space="preserve">, respectively as indicate in Table 1. It is noted that the change of polymerization scan rate affecting the LOD significantly. This is due to the low signal strength and high signal noise. </w:t>
      </w:r>
      <w:r w:rsidRPr="00EE2CC4">
        <w:rPr>
          <w:rFonts w:ascii="Times New Roman" w:hAnsi="Times New Roman"/>
          <w:bCs/>
          <w:sz w:val="20"/>
          <w:szCs w:val="20"/>
        </w:rPr>
        <w:t xml:space="preserve">Higher scan rate will result in branched polymer that have side chains growing out from the main chain. Branched polymer exhibits lower density and less packing where the analyte would be easily to move into the polymer cavity during the electrocatalytic activity, thus inducing flux of analyte molecules or ions at the electrode-electrolyte interface which result in a great fluctuation (noise) [17]. Whereas lower scan rate develops linear polymer which are very dense and compact, resulting there would be almost no channel for analyte to approach the electrode and hence reduced the signal strength and increased the LOD. </w:t>
      </w:r>
    </w:p>
    <w:p w14:paraId="67295158" w14:textId="77777777" w:rsidR="00A7073E" w:rsidRDefault="00A7073E" w:rsidP="00EE2CC4">
      <w:pPr>
        <w:spacing w:after="0"/>
        <w:jc w:val="both"/>
        <w:rPr>
          <w:rFonts w:ascii="Times New Roman" w:eastAsia="SimSun" w:hAnsi="Times New Roman"/>
          <w:b/>
          <w:sz w:val="20"/>
          <w:szCs w:val="20"/>
        </w:rPr>
      </w:pPr>
    </w:p>
    <w:p w14:paraId="372278AF" w14:textId="77777777" w:rsidR="00C50A9D" w:rsidRPr="00EE2CC4" w:rsidRDefault="00C50A9D" w:rsidP="00C50A9D">
      <w:pPr>
        <w:spacing w:after="0"/>
        <w:jc w:val="both"/>
        <w:rPr>
          <w:rFonts w:ascii="Times New Roman" w:eastAsiaTheme="minorEastAsia" w:hAnsi="Times New Roman"/>
          <w:b/>
          <w:sz w:val="20"/>
          <w:szCs w:val="20"/>
        </w:rPr>
      </w:pPr>
      <w:r w:rsidRPr="00EE2CC4">
        <w:rPr>
          <w:rFonts w:ascii="Times New Roman" w:hAnsi="Times New Roman"/>
          <w:b/>
          <w:sz w:val="20"/>
          <w:szCs w:val="20"/>
        </w:rPr>
        <w:t>Optimization of scan cycles on melamine electropolymerization</w:t>
      </w:r>
    </w:p>
    <w:p w14:paraId="407C91A3" w14:textId="77777777" w:rsidR="00C50A9D" w:rsidRPr="00EE2CC4" w:rsidRDefault="00C50A9D" w:rsidP="00C50A9D">
      <w:pPr>
        <w:pStyle w:val="NormalWeb"/>
        <w:spacing w:before="0" w:beforeAutospacing="0" w:after="0" w:afterAutospacing="0" w:line="276" w:lineRule="auto"/>
        <w:jc w:val="both"/>
        <w:rPr>
          <w:bCs/>
          <w:sz w:val="20"/>
          <w:szCs w:val="20"/>
        </w:rPr>
      </w:pPr>
      <w:r w:rsidRPr="00EE2CC4">
        <w:rPr>
          <w:bCs/>
          <w:sz w:val="20"/>
          <w:szCs w:val="20"/>
        </w:rPr>
        <w:t xml:space="preserve">Scan cycles influences the polymer film thickness and sensing characteristics. The optimum scan cycle was investigated using constant conditions </w:t>
      </w:r>
      <w:r w:rsidRPr="00EE2CC4">
        <w:rPr>
          <w:bCs/>
          <w:i/>
          <w:iCs/>
          <w:sz w:val="20"/>
          <w:szCs w:val="20"/>
        </w:rPr>
        <w:t>i.e.</w:t>
      </w:r>
      <w:r w:rsidRPr="00EE2CC4">
        <w:rPr>
          <w:bCs/>
          <w:sz w:val="20"/>
          <w:szCs w:val="20"/>
        </w:rPr>
        <w:t xml:space="preserve">, 10.0 mM melamine in reline electrolyte at room temperature with CV scanned from </w:t>
      </w:r>
      <w:r w:rsidRPr="00EE2CC4">
        <w:rPr>
          <w:rFonts w:eastAsia="SimSun"/>
          <w:bCs/>
          <w:sz w:val="20"/>
          <w:szCs w:val="20"/>
        </w:rPr>
        <w:t xml:space="preserve">-0.20 V - 1.60 V. </w:t>
      </w:r>
      <w:r w:rsidRPr="00EE2CC4">
        <w:rPr>
          <w:bCs/>
          <w:sz w:val="20"/>
          <w:szCs w:val="20"/>
        </w:rPr>
        <w:t xml:space="preserve">The growing of polymer film was indicated from the increase of the reduction current. Figure 7 illustrates the electropolymerization behavior of melamine in different scan cycle. Different scan cycles lead to different thickness of polymer on the surface of GCE. Unfortunately, the voltammogram could not show any significant result to relate the effect of scan cycle on polymerization behaviour of melamine as scan cycle are served to control the thickness the polymer film. Therefore, amperometry was employed to study the effect of polymer thickness on its sensing properties. Figure 8 shows the electrocatalytic performance of PME synthesized in different scan cycles. Scan cycles of five shows the steady increase of current with the increase of DA concentration, it also demonstrates the highest current response among all. </w:t>
      </w:r>
      <w:r w:rsidRPr="00EE2CC4">
        <w:rPr>
          <w:rFonts w:eastAsia="SimSun"/>
          <w:bCs/>
          <w:sz w:val="20"/>
          <w:szCs w:val="20"/>
        </w:rPr>
        <w:t>B</w:t>
      </w:r>
      <w:r w:rsidRPr="00EE2CC4">
        <w:rPr>
          <w:bCs/>
          <w:sz w:val="20"/>
          <w:szCs w:val="20"/>
        </w:rPr>
        <w:t xml:space="preserve">ased on Figure 9(a) and (b), the optimum polymeric film can be obtained in five scan cycles, due to the sharp enhancement of sensitivity that has been recorded. When the scan cycles are increased to ten, it caused a minor decreased on LOD, further increasing of scan cycles to 15 attributed to a steeply decrease in sensitivity and raising of LOD. Such phenomenon was presumably due to excess polymer deposited on the GCE surface which blocking the electron transfer that needed for the DA oxidation process. As deduced from the higher charge transferred during polymerization, thin polymer films are usually superior in sensing studies due to better conductivity and easier in accessing analyte. Hence, five scan cycles were used for film formation. </w:t>
      </w:r>
    </w:p>
    <w:p w14:paraId="49BC1AB6" w14:textId="77777777" w:rsidR="00C50A9D" w:rsidRDefault="00C50A9D" w:rsidP="00EE2CC4">
      <w:pPr>
        <w:spacing w:after="0"/>
        <w:jc w:val="both"/>
        <w:rPr>
          <w:rFonts w:ascii="Times New Roman" w:eastAsia="SimSun" w:hAnsi="Times New Roman"/>
          <w:b/>
          <w:sz w:val="20"/>
          <w:szCs w:val="20"/>
        </w:rPr>
      </w:pPr>
    </w:p>
    <w:p w14:paraId="4E5C0022" w14:textId="05EBFFAC" w:rsidR="00C50A9D" w:rsidRDefault="00C50A9D" w:rsidP="00EE2CC4">
      <w:pPr>
        <w:spacing w:after="0"/>
        <w:jc w:val="both"/>
        <w:rPr>
          <w:rFonts w:ascii="Times New Roman" w:eastAsia="SimSun" w:hAnsi="Times New Roman"/>
          <w:b/>
          <w:sz w:val="20"/>
          <w:szCs w:val="20"/>
        </w:rPr>
        <w:sectPr w:rsidR="00C50A9D" w:rsidSect="00A7073E">
          <w:footerReference w:type="even" r:id="rId27"/>
          <w:type w:val="continuous"/>
          <w:pgSz w:w="12240" w:h="15840" w:code="1"/>
          <w:pgMar w:top="1800" w:right="1469" w:bottom="1699" w:left="1440" w:header="706" w:footer="706" w:gutter="0"/>
          <w:pgNumType w:start="0"/>
          <w:cols w:num="2" w:space="403"/>
          <w:docGrid w:linePitch="360"/>
        </w:sectPr>
      </w:pPr>
    </w:p>
    <w:p w14:paraId="4CB4B213" w14:textId="4B204F8E" w:rsidR="00CC1893" w:rsidRDefault="00CC1893" w:rsidP="00EE2CC4">
      <w:pPr>
        <w:spacing w:after="0"/>
        <w:jc w:val="both"/>
        <w:rPr>
          <w:rFonts w:ascii="Times New Roman" w:eastAsia="SimSun" w:hAnsi="Times New Roman"/>
          <w:b/>
          <w:sz w:val="20"/>
          <w:szCs w:val="20"/>
        </w:rPr>
      </w:pPr>
    </w:p>
    <w:p w14:paraId="3198CD75" w14:textId="77777777" w:rsidR="00CC1893" w:rsidRPr="00EE2CC4" w:rsidRDefault="00CC1893" w:rsidP="00EE2CC4">
      <w:pPr>
        <w:spacing w:after="0"/>
        <w:jc w:val="both"/>
        <w:rPr>
          <w:rFonts w:ascii="Times New Roman" w:eastAsia="SimSun" w:hAnsi="Times New Roman"/>
          <w:b/>
          <w:sz w:val="20"/>
          <w:szCs w:val="20"/>
        </w:rPr>
      </w:pPr>
    </w:p>
    <w:p w14:paraId="7356026B" w14:textId="77777777" w:rsidR="00EE2CC4" w:rsidRPr="00EE2CC4" w:rsidRDefault="00EE2CC4" w:rsidP="00EE2CC4">
      <w:pPr>
        <w:spacing w:after="0"/>
        <w:jc w:val="both"/>
        <w:rPr>
          <w:rFonts w:ascii="Times New Roman" w:hAnsi="Times New Roman"/>
          <w:bCs/>
          <w:sz w:val="20"/>
          <w:szCs w:val="20"/>
        </w:rPr>
      </w:pPr>
    </w:p>
    <w:p w14:paraId="4F8086D2" w14:textId="45C85B9E" w:rsidR="00EE2CC4" w:rsidRPr="00EE2CC4" w:rsidRDefault="00EE2CC4" w:rsidP="00CC1893">
      <w:pPr>
        <w:spacing w:after="120"/>
        <w:jc w:val="center"/>
        <w:rPr>
          <w:rFonts w:ascii="Times New Roman" w:eastAsia="SimSun" w:hAnsi="Times New Roman"/>
          <w:sz w:val="20"/>
          <w:szCs w:val="20"/>
        </w:rPr>
      </w:pPr>
      <w:r w:rsidRPr="00EE2CC4">
        <w:rPr>
          <w:rFonts w:ascii="Times New Roman" w:hAnsi="Times New Roman"/>
          <w:b/>
          <w:noProof/>
          <w:sz w:val="20"/>
          <w:szCs w:val="20"/>
        </w:rPr>
        <w:lastRenderedPageBreak/>
        <w:drawing>
          <wp:inline distT="0" distB="0" distL="0" distR="0" wp14:anchorId="13E9CFD4" wp14:editId="6D444F92">
            <wp:extent cx="2834640" cy="3986784"/>
            <wp:effectExtent l="19050" t="19050" r="22860" b="1397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l="2716" t="8897" r="6631" b="1868"/>
                    <a:stretch>
                      <a:fillRect/>
                    </a:stretch>
                  </pic:blipFill>
                  <pic:spPr bwMode="auto">
                    <a:xfrm>
                      <a:off x="0" y="0"/>
                      <a:ext cx="2834640" cy="3986784"/>
                    </a:xfrm>
                    <a:prstGeom prst="rect">
                      <a:avLst/>
                    </a:prstGeom>
                    <a:noFill/>
                    <a:ln w="9525" cmpd="sng">
                      <a:solidFill>
                        <a:srgbClr val="000000"/>
                      </a:solidFill>
                      <a:miter lim="800000"/>
                      <a:headEnd/>
                      <a:tailEnd/>
                    </a:ln>
                    <a:effectLst/>
                  </pic:spPr>
                </pic:pic>
              </a:graphicData>
            </a:graphic>
          </wp:inline>
        </w:drawing>
      </w:r>
    </w:p>
    <w:p w14:paraId="59DDC4C0" w14:textId="066E7D13" w:rsidR="00EE2CC4" w:rsidRDefault="00EE2CC4" w:rsidP="00C50A9D">
      <w:pPr>
        <w:spacing w:after="0"/>
        <w:ind w:left="851" w:hanging="851"/>
        <w:jc w:val="both"/>
        <w:rPr>
          <w:rFonts w:ascii="Times New Roman" w:hAnsi="Times New Roman"/>
          <w:sz w:val="20"/>
          <w:szCs w:val="20"/>
        </w:rPr>
      </w:pPr>
      <w:r w:rsidRPr="00EE2CC4">
        <w:rPr>
          <w:rFonts w:ascii="Times New Roman" w:eastAsia="SimSun" w:hAnsi="Times New Roman"/>
          <w:sz w:val="20"/>
          <w:szCs w:val="20"/>
        </w:rPr>
        <w:t xml:space="preserve">Figure 7. </w:t>
      </w:r>
      <w:r w:rsidR="00CC1893">
        <w:rPr>
          <w:rFonts w:ascii="Times New Roman" w:eastAsia="SimSun" w:hAnsi="Times New Roman"/>
          <w:sz w:val="20"/>
          <w:szCs w:val="20"/>
        </w:rPr>
        <w:tab/>
      </w:r>
      <w:r w:rsidRPr="00EE2CC4">
        <w:rPr>
          <w:rFonts w:ascii="Times New Roman" w:hAnsi="Times New Roman"/>
          <w:sz w:val="20"/>
          <w:szCs w:val="20"/>
        </w:rPr>
        <w:t>Electropolymerization of melamine (10.0 mM, -0.20- 1.60 V, 50 mV s</w:t>
      </w:r>
      <w:r w:rsidRPr="00EE2CC4">
        <w:rPr>
          <w:rFonts w:ascii="Times New Roman" w:hAnsi="Times New Roman"/>
          <w:sz w:val="20"/>
          <w:szCs w:val="20"/>
          <w:vertAlign w:val="superscript"/>
        </w:rPr>
        <w:t>-1</w:t>
      </w:r>
      <w:r w:rsidRPr="00EE2CC4">
        <w:rPr>
          <w:rFonts w:ascii="Times New Roman" w:hAnsi="Times New Roman"/>
          <w:sz w:val="20"/>
          <w:szCs w:val="20"/>
        </w:rPr>
        <w:t>) in reline scanning with varied scan cycle (3, 5, 10 and 15)</w:t>
      </w:r>
    </w:p>
    <w:p w14:paraId="57C0FC6C" w14:textId="70AD9177" w:rsidR="00C50A9D" w:rsidRDefault="00C50A9D" w:rsidP="00C50A9D">
      <w:pPr>
        <w:spacing w:after="0"/>
        <w:ind w:left="851" w:hanging="851"/>
        <w:jc w:val="both"/>
        <w:rPr>
          <w:rFonts w:ascii="Times New Roman" w:eastAsiaTheme="minorEastAsia" w:hAnsi="Times New Roman"/>
          <w:sz w:val="20"/>
          <w:szCs w:val="20"/>
        </w:rPr>
      </w:pPr>
    </w:p>
    <w:p w14:paraId="4DB28521" w14:textId="54AA296A" w:rsidR="00C50A9D" w:rsidRDefault="00C50A9D" w:rsidP="00C50A9D">
      <w:pPr>
        <w:spacing w:after="0"/>
        <w:ind w:left="851" w:hanging="851"/>
        <w:jc w:val="both"/>
        <w:rPr>
          <w:rFonts w:ascii="Times New Roman" w:eastAsiaTheme="minorEastAsia" w:hAnsi="Times New Roman"/>
          <w:sz w:val="20"/>
          <w:szCs w:val="20"/>
        </w:rPr>
      </w:pPr>
    </w:p>
    <w:p w14:paraId="1F03ACF7" w14:textId="77777777" w:rsidR="00C50A9D" w:rsidRPr="00C50A9D" w:rsidRDefault="00C50A9D" w:rsidP="00C50A9D">
      <w:pPr>
        <w:spacing w:after="0"/>
        <w:ind w:left="851" w:hanging="851"/>
        <w:jc w:val="both"/>
        <w:rPr>
          <w:rFonts w:ascii="Times New Roman" w:eastAsiaTheme="minorEastAsia" w:hAnsi="Times New Roman"/>
          <w:sz w:val="20"/>
          <w:szCs w:val="20"/>
        </w:rPr>
      </w:pPr>
    </w:p>
    <w:p w14:paraId="2D7DE4B5" w14:textId="36E7D761" w:rsidR="00EE2CC4" w:rsidRPr="00EE2CC4" w:rsidRDefault="00EE2CC4" w:rsidP="00CC1893">
      <w:pPr>
        <w:spacing w:after="120"/>
        <w:jc w:val="center"/>
        <w:rPr>
          <w:rFonts w:ascii="Times New Roman" w:eastAsia="SimSun" w:hAnsi="Times New Roman"/>
          <w:bCs/>
          <w:sz w:val="20"/>
          <w:szCs w:val="20"/>
        </w:rPr>
      </w:pPr>
      <w:r w:rsidRPr="00EE2CC4">
        <w:rPr>
          <w:rFonts w:ascii="Times New Roman" w:hAnsi="Times New Roman"/>
          <w:noProof/>
          <w:sz w:val="20"/>
          <w:szCs w:val="20"/>
        </w:rPr>
        <w:lastRenderedPageBreak/>
        <w:drawing>
          <wp:inline distT="0" distB="0" distL="0" distR="0" wp14:anchorId="44589FA3" wp14:editId="5E1937A2">
            <wp:extent cx="3611880" cy="2999232"/>
            <wp:effectExtent l="19050" t="19050" r="26670" b="10795"/>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l="8607" t="9978" r="13190" b="5132"/>
                    <a:stretch>
                      <a:fillRect/>
                    </a:stretch>
                  </pic:blipFill>
                  <pic:spPr bwMode="auto">
                    <a:xfrm>
                      <a:off x="0" y="0"/>
                      <a:ext cx="3611880" cy="2999232"/>
                    </a:xfrm>
                    <a:prstGeom prst="rect">
                      <a:avLst/>
                    </a:prstGeom>
                    <a:noFill/>
                    <a:ln w="9525" cmpd="sng">
                      <a:solidFill>
                        <a:srgbClr val="000000"/>
                      </a:solidFill>
                      <a:miter lim="800000"/>
                      <a:headEnd/>
                      <a:tailEnd/>
                    </a:ln>
                    <a:effectLst/>
                  </pic:spPr>
                </pic:pic>
              </a:graphicData>
            </a:graphic>
          </wp:inline>
        </w:drawing>
      </w:r>
    </w:p>
    <w:p w14:paraId="2E6B7BE8" w14:textId="36C23724" w:rsidR="00CC1893" w:rsidRDefault="00EE2CC4" w:rsidP="008608E0">
      <w:pPr>
        <w:spacing w:after="0"/>
        <w:ind w:left="851" w:hanging="851"/>
        <w:jc w:val="both"/>
        <w:rPr>
          <w:rFonts w:ascii="Times New Roman" w:eastAsia="SimSun" w:hAnsi="Times New Roman"/>
          <w:bCs/>
          <w:sz w:val="20"/>
          <w:szCs w:val="20"/>
        </w:rPr>
      </w:pPr>
      <w:r w:rsidRPr="00EE2CC4">
        <w:rPr>
          <w:rFonts w:ascii="Times New Roman" w:eastAsia="SimSun" w:hAnsi="Times New Roman"/>
          <w:bCs/>
          <w:sz w:val="20"/>
          <w:szCs w:val="20"/>
        </w:rPr>
        <w:t xml:space="preserve">Figure 8. </w:t>
      </w:r>
      <w:r w:rsidR="00CC1893">
        <w:rPr>
          <w:rFonts w:ascii="Times New Roman" w:eastAsia="SimSun" w:hAnsi="Times New Roman"/>
          <w:bCs/>
          <w:sz w:val="20"/>
          <w:szCs w:val="20"/>
        </w:rPr>
        <w:tab/>
      </w:r>
      <w:r w:rsidRPr="00EE2CC4">
        <w:rPr>
          <w:rFonts w:ascii="Times New Roman" w:eastAsia="SimSun" w:hAnsi="Times New Roman"/>
          <w:bCs/>
          <w:sz w:val="20"/>
          <w:szCs w:val="20"/>
        </w:rPr>
        <w:t xml:space="preserve">Amperometry results of PME synthesized in different scan cycles. All the amperometry test were scanned at a fixed potential (0.20 V) with additional of DA with concentration ranging from 100 - 1200 </w:t>
      </w:r>
      <w:r w:rsidRPr="00EE2CC4">
        <w:rPr>
          <w:rFonts w:ascii="Times New Roman" w:eastAsia="SimSun" w:hAnsi="Times New Roman"/>
          <w:bCs/>
          <w:i/>
          <w:iCs/>
          <w:sz w:val="20"/>
          <w:szCs w:val="20"/>
        </w:rPr>
        <w:t>μ</w:t>
      </w:r>
      <w:r w:rsidRPr="00EE2CC4">
        <w:rPr>
          <w:rFonts w:ascii="Times New Roman" w:eastAsia="SimSun" w:hAnsi="Times New Roman"/>
          <w:bCs/>
          <w:sz w:val="20"/>
          <w:szCs w:val="20"/>
        </w:rPr>
        <w:t>M in PBS (0.10 M, pH 7.0)</w:t>
      </w:r>
    </w:p>
    <w:p w14:paraId="53CA3665" w14:textId="77777777" w:rsidR="008608E0" w:rsidRPr="008608E0" w:rsidRDefault="008608E0" w:rsidP="008608E0">
      <w:pPr>
        <w:spacing w:after="0"/>
        <w:ind w:left="851" w:hanging="851"/>
        <w:jc w:val="both"/>
        <w:rPr>
          <w:rFonts w:ascii="Times New Roman" w:eastAsia="SimSun" w:hAnsi="Times New Roman"/>
          <w:bCs/>
          <w:sz w:val="20"/>
          <w:szCs w:val="20"/>
        </w:rPr>
      </w:pPr>
    </w:p>
    <w:p w14:paraId="1CC27E6C" w14:textId="77777777" w:rsidR="00CC1893" w:rsidRPr="00EE2CC4" w:rsidRDefault="00CC1893" w:rsidP="00EE2CC4">
      <w:pPr>
        <w:autoSpaceDE w:val="0"/>
        <w:autoSpaceDN w:val="0"/>
        <w:adjustRightInd w:val="0"/>
        <w:spacing w:after="0"/>
        <w:jc w:val="both"/>
        <w:rPr>
          <w:rFonts w:ascii="Times New Roman" w:eastAsiaTheme="minorEastAsia" w:hAnsi="Times New Roman"/>
          <w:sz w:val="20"/>
          <w:szCs w:val="20"/>
        </w:rPr>
      </w:pPr>
    </w:p>
    <w:p w14:paraId="644B4062" w14:textId="77777777" w:rsidR="00EE2CC4" w:rsidRPr="00EE2CC4" w:rsidRDefault="00EE2CC4" w:rsidP="00E25A80">
      <w:pPr>
        <w:spacing w:after="120"/>
        <w:jc w:val="center"/>
        <w:rPr>
          <w:rFonts w:ascii="Times New Roman" w:eastAsia="SimSun" w:hAnsi="Times New Roman"/>
          <w:b/>
          <w:sz w:val="20"/>
          <w:szCs w:val="20"/>
        </w:rPr>
      </w:pPr>
      <w:r w:rsidRPr="00EE2CC4">
        <w:rPr>
          <w:rFonts w:ascii="Times New Roman" w:hAnsi="Times New Roman"/>
          <w:noProof/>
          <w:sz w:val="20"/>
          <w:szCs w:val="20"/>
        </w:rPr>
        <w:drawing>
          <wp:inline distT="0" distB="0" distL="0" distR="0" wp14:anchorId="37CB1061" wp14:editId="044032EE">
            <wp:extent cx="5476240" cy="2580640"/>
            <wp:effectExtent l="19050" t="19050" r="1016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t="16888" r="4904" b="19501"/>
                    <a:stretch>
                      <a:fillRect/>
                    </a:stretch>
                  </pic:blipFill>
                  <pic:spPr bwMode="auto">
                    <a:xfrm>
                      <a:off x="0" y="0"/>
                      <a:ext cx="5476240" cy="2580640"/>
                    </a:xfrm>
                    <a:prstGeom prst="rect">
                      <a:avLst/>
                    </a:prstGeom>
                    <a:noFill/>
                    <a:ln w="9525" cmpd="sng">
                      <a:solidFill>
                        <a:srgbClr val="000000"/>
                      </a:solidFill>
                      <a:miter lim="800000"/>
                      <a:headEnd/>
                      <a:tailEnd/>
                    </a:ln>
                    <a:effectLst/>
                  </pic:spPr>
                </pic:pic>
              </a:graphicData>
            </a:graphic>
          </wp:inline>
        </w:drawing>
      </w:r>
    </w:p>
    <w:p w14:paraId="35F1CFBC" w14:textId="38577B5F" w:rsidR="00EE2CC4" w:rsidRPr="00EE2CC4" w:rsidRDefault="00EE2CC4" w:rsidP="00E25A80">
      <w:pPr>
        <w:spacing w:after="0"/>
        <w:ind w:left="900" w:hanging="900"/>
        <w:jc w:val="both"/>
        <w:rPr>
          <w:rFonts w:ascii="Times New Roman" w:eastAsia="SimSun" w:hAnsi="Times New Roman"/>
          <w:bCs/>
          <w:sz w:val="20"/>
          <w:szCs w:val="20"/>
        </w:rPr>
      </w:pPr>
      <w:r w:rsidRPr="00EE2CC4">
        <w:rPr>
          <w:rFonts w:ascii="Times New Roman" w:eastAsia="SimSun" w:hAnsi="Times New Roman"/>
          <w:bCs/>
          <w:sz w:val="20"/>
          <w:szCs w:val="20"/>
        </w:rPr>
        <w:t xml:space="preserve">Figure 9. </w:t>
      </w:r>
      <w:r w:rsidR="00E25A80">
        <w:rPr>
          <w:rFonts w:ascii="Times New Roman" w:eastAsia="SimSun" w:hAnsi="Times New Roman"/>
          <w:bCs/>
          <w:sz w:val="20"/>
          <w:szCs w:val="20"/>
        </w:rPr>
        <w:t xml:space="preserve"> </w:t>
      </w:r>
      <w:r w:rsidR="00E25A80">
        <w:rPr>
          <w:rFonts w:ascii="Times New Roman" w:eastAsia="SimSun" w:hAnsi="Times New Roman"/>
          <w:bCs/>
          <w:sz w:val="20"/>
          <w:szCs w:val="20"/>
        </w:rPr>
        <w:tab/>
      </w:r>
      <w:r w:rsidRPr="00EE2CC4">
        <w:rPr>
          <w:rFonts w:ascii="Times New Roman" w:eastAsia="SimSun" w:hAnsi="Times New Roman"/>
          <w:bCs/>
          <w:sz w:val="20"/>
          <w:szCs w:val="20"/>
        </w:rPr>
        <w:t>Graphs of (a) sensitivity and (b) LOD results versus varied scan cycles applied for electropolymerization of melamine in relin</w:t>
      </w:r>
      <w:r w:rsidR="00E25A80">
        <w:rPr>
          <w:rFonts w:ascii="Times New Roman" w:eastAsia="SimSun" w:hAnsi="Times New Roman"/>
          <w:bCs/>
          <w:sz w:val="20"/>
          <w:szCs w:val="20"/>
        </w:rPr>
        <w:t xml:space="preserve"> </w:t>
      </w:r>
    </w:p>
    <w:p w14:paraId="3839B0B7" w14:textId="77777777" w:rsidR="006768E9" w:rsidRPr="00383C16" w:rsidRDefault="006768E9" w:rsidP="00383C16">
      <w:pPr>
        <w:spacing w:after="0"/>
        <w:jc w:val="center"/>
        <w:rPr>
          <w:rFonts w:ascii="Times New Roman" w:hAnsi="Times New Roman"/>
          <w:noProof/>
          <w:sz w:val="20"/>
          <w:szCs w:val="20"/>
          <w:lang w:bidi="ar-SA"/>
        </w:rPr>
      </w:pPr>
    </w:p>
    <w:p w14:paraId="0559083A" w14:textId="6B0F30F5" w:rsidR="002F0EDB" w:rsidRDefault="002F0EDB" w:rsidP="00383C16">
      <w:pPr>
        <w:spacing w:after="0"/>
        <w:jc w:val="center"/>
        <w:rPr>
          <w:rFonts w:ascii="Times New Roman" w:hAnsi="Times New Roman"/>
          <w:b/>
          <w:noProof/>
          <w:sz w:val="20"/>
          <w:szCs w:val="20"/>
          <w:lang w:bidi="ar-SA"/>
        </w:rPr>
      </w:pPr>
    </w:p>
    <w:p w14:paraId="787DBFCF" w14:textId="77777777" w:rsidR="000878C5" w:rsidRDefault="000878C5" w:rsidP="000878C5">
      <w:pPr>
        <w:spacing w:after="0"/>
        <w:rPr>
          <w:rFonts w:ascii="Times New Roman" w:hAnsi="Times New Roman"/>
          <w:b/>
          <w:noProof/>
          <w:sz w:val="20"/>
          <w:szCs w:val="20"/>
          <w:lang w:bidi="ar-SA"/>
        </w:rPr>
        <w:sectPr w:rsidR="000878C5" w:rsidSect="001D1A16">
          <w:footerReference w:type="even" r:id="rId31"/>
          <w:footerReference w:type="default" r:id="rId32"/>
          <w:type w:val="continuous"/>
          <w:pgSz w:w="12240" w:h="15840" w:code="1"/>
          <w:pgMar w:top="1800" w:right="1469" w:bottom="1699" w:left="1440" w:header="706" w:footer="706" w:gutter="0"/>
          <w:pgNumType w:start="0"/>
          <w:cols w:space="708"/>
          <w:docGrid w:linePitch="360"/>
        </w:sectPr>
      </w:pPr>
    </w:p>
    <w:p w14:paraId="1B383D8E" w14:textId="77777777" w:rsidR="00C50A9D" w:rsidRDefault="00C50A9D" w:rsidP="000878C5">
      <w:pPr>
        <w:spacing w:after="0"/>
        <w:rPr>
          <w:rFonts w:ascii="Times New Roman" w:hAnsi="Times New Roman"/>
          <w:b/>
          <w:noProof/>
          <w:sz w:val="20"/>
          <w:szCs w:val="20"/>
          <w:lang w:bidi="ar-SA"/>
        </w:rPr>
      </w:pPr>
    </w:p>
    <w:p w14:paraId="3012BED5" w14:textId="77777777" w:rsidR="008608E0" w:rsidRDefault="008608E0" w:rsidP="000878C5">
      <w:pPr>
        <w:spacing w:after="0"/>
        <w:rPr>
          <w:rFonts w:ascii="Times New Roman" w:hAnsi="Times New Roman"/>
          <w:b/>
          <w:noProof/>
          <w:sz w:val="20"/>
          <w:szCs w:val="20"/>
          <w:lang w:bidi="ar-SA"/>
        </w:rPr>
        <w:sectPr w:rsidR="008608E0" w:rsidSect="000878C5">
          <w:footerReference w:type="default" r:id="rId33"/>
          <w:type w:val="oddPage"/>
          <w:pgSz w:w="12240" w:h="15840" w:code="1"/>
          <w:pgMar w:top="1800" w:right="1469" w:bottom="1699" w:left="1440" w:header="706" w:footer="706" w:gutter="0"/>
          <w:pgNumType w:start="0"/>
          <w:cols w:space="708"/>
          <w:docGrid w:linePitch="360"/>
        </w:sectPr>
      </w:pPr>
    </w:p>
    <w:p w14:paraId="539FE979" w14:textId="38DEDFC9" w:rsidR="006768E9" w:rsidRPr="008608E0" w:rsidRDefault="006768E9" w:rsidP="000878C5">
      <w:pPr>
        <w:spacing w:after="0"/>
        <w:jc w:val="center"/>
        <w:rPr>
          <w:rFonts w:ascii="Times New Roman" w:hAnsi="Times New Roman"/>
          <w:b/>
          <w:noProof/>
          <w:sz w:val="20"/>
          <w:szCs w:val="20"/>
          <w:lang w:bidi="ar-SA"/>
        </w:rPr>
      </w:pPr>
      <w:r w:rsidRPr="008608E0">
        <w:rPr>
          <w:rFonts w:ascii="Times New Roman" w:hAnsi="Times New Roman"/>
          <w:b/>
          <w:noProof/>
          <w:sz w:val="20"/>
          <w:szCs w:val="20"/>
          <w:lang w:bidi="ar-SA"/>
        </w:rPr>
        <w:t>Conclusion</w:t>
      </w:r>
    </w:p>
    <w:p w14:paraId="61D0452D" w14:textId="77777777" w:rsidR="00E25A80" w:rsidRPr="008608E0" w:rsidRDefault="00E25A80" w:rsidP="008608E0">
      <w:pPr>
        <w:spacing w:after="0"/>
        <w:jc w:val="both"/>
        <w:rPr>
          <w:rFonts w:ascii="Times New Roman" w:eastAsiaTheme="minorEastAsia" w:hAnsi="Times New Roman"/>
          <w:bCs/>
          <w:color w:val="000000" w:themeColor="text1"/>
          <w:sz w:val="20"/>
          <w:szCs w:val="20"/>
        </w:rPr>
      </w:pPr>
      <w:r w:rsidRPr="008608E0">
        <w:rPr>
          <w:rFonts w:ascii="Times New Roman" w:hAnsi="Times New Roman"/>
          <w:sz w:val="20"/>
          <w:szCs w:val="20"/>
        </w:rPr>
        <w:t xml:space="preserve">Hereby reports the novel studies of optimization parameters for melamine electropolymerizes in DES, reline. Different parameters including potential window, scan rate, and number of scan cycles were manipulated in preparing PME in DES. </w:t>
      </w:r>
      <w:r w:rsidRPr="008608E0">
        <w:rPr>
          <w:rFonts w:ascii="Times New Roman" w:hAnsi="Times New Roman"/>
          <w:bCs/>
          <w:sz w:val="20"/>
          <w:szCs w:val="20"/>
        </w:rPr>
        <w:t xml:space="preserve">Amperometry sensing on DA was conducted to compare the sensitivity and limit of detection for the PME prepared in different parameters. </w:t>
      </w:r>
      <w:r w:rsidRPr="008608E0">
        <w:rPr>
          <w:rFonts w:ascii="Times New Roman" w:hAnsi="Times New Roman"/>
          <w:sz w:val="20"/>
          <w:szCs w:val="20"/>
        </w:rPr>
        <w:t xml:space="preserve">The optimum polymerization parameters for melamine </w:t>
      </w:r>
      <w:r w:rsidRPr="008608E0">
        <w:rPr>
          <w:rFonts w:ascii="Times New Roman" w:hAnsi="Times New Roman"/>
          <w:bCs/>
          <w:sz w:val="20"/>
          <w:szCs w:val="20"/>
        </w:rPr>
        <w:t>were discovered as -0.20 V – 1.6 V, 50 mVs</w:t>
      </w:r>
      <w:r w:rsidRPr="008608E0">
        <w:rPr>
          <w:rFonts w:ascii="Times New Roman" w:hAnsi="Times New Roman"/>
          <w:bCs/>
          <w:sz w:val="20"/>
          <w:szCs w:val="20"/>
          <w:vertAlign w:val="superscript"/>
        </w:rPr>
        <w:t>-1</w:t>
      </w:r>
      <w:r w:rsidRPr="008608E0">
        <w:rPr>
          <w:rFonts w:ascii="Times New Roman" w:hAnsi="Times New Roman"/>
          <w:bCs/>
          <w:sz w:val="20"/>
          <w:szCs w:val="20"/>
        </w:rPr>
        <w:t>, and five scan cycles, respectively</w:t>
      </w:r>
      <w:r w:rsidRPr="008608E0">
        <w:rPr>
          <w:rFonts w:ascii="Times New Roman" w:hAnsi="Times New Roman"/>
          <w:bCs/>
          <w:color w:val="000000" w:themeColor="text1"/>
          <w:sz w:val="20"/>
          <w:szCs w:val="20"/>
        </w:rPr>
        <w:t>. The effect of each parameter on the electrocatalytic behavior of PME has been clarified. With the successful optimization,</w:t>
      </w:r>
      <w:r w:rsidRPr="008608E0">
        <w:rPr>
          <w:rFonts w:ascii="Times New Roman" w:hAnsi="Times New Roman"/>
          <w:sz w:val="20"/>
          <w:szCs w:val="20"/>
        </w:rPr>
        <w:t xml:space="preserve"> </w:t>
      </w:r>
      <w:r w:rsidRPr="008608E0">
        <w:rPr>
          <w:rFonts w:ascii="Times New Roman" w:hAnsi="Times New Roman"/>
          <w:bCs/>
          <w:color w:val="000000" w:themeColor="text1"/>
          <w:sz w:val="20"/>
          <w:szCs w:val="20"/>
        </w:rPr>
        <w:t xml:space="preserve">PME(reline)/GCE with high sensitivity and low limit of detection recorded at </w:t>
      </w:r>
      <w:r w:rsidRPr="008608E0">
        <w:rPr>
          <w:rFonts w:ascii="Times New Roman" w:eastAsia="SimSun" w:hAnsi="Times New Roman"/>
          <w:sz w:val="20"/>
          <w:szCs w:val="20"/>
        </w:rPr>
        <w:t>0.044 μA μM</w:t>
      </w:r>
      <w:r w:rsidRPr="008608E0">
        <w:rPr>
          <w:rFonts w:ascii="Times New Roman" w:eastAsia="SimSun" w:hAnsi="Times New Roman"/>
          <w:sz w:val="20"/>
          <w:szCs w:val="20"/>
          <w:vertAlign w:val="superscript"/>
        </w:rPr>
        <w:t xml:space="preserve">-1 </w:t>
      </w:r>
      <w:r w:rsidRPr="008608E0">
        <w:rPr>
          <w:rFonts w:ascii="Times New Roman" w:eastAsia="SimSun" w:hAnsi="Times New Roman"/>
          <w:sz w:val="20"/>
          <w:szCs w:val="20"/>
        </w:rPr>
        <w:t>cm</w:t>
      </w:r>
      <w:r w:rsidRPr="008608E0">
        <w:rPr>
          <w:rFonts w:ascii="Times New Roman" w:eastAsia="SimSun" w:hAnsi="Times New Roman"/>
          <w:sz w:val="20"/>
          <w:szCs w:val="20"/>
          <w:vertAlign w:val="superscript"/>
        </w:rPr>
        <w:t>-2</w:t>
      </w:r>
      <w:r w:rsidRPr="008608E0">
        <w:rPr>
          <w:rFonts w:ascii="Times New Roman" w:eastAsia="SimSun" w:hAnsi="Times New Roman"/>
          <w:sz w:val="20"/>
          <w:szCs w:val="20"/>
        </w:rPr>
        <w:t xml:space="preserve"> </w:t>
      </w:r>
      <w:r w:rsidRPr="008608E0">
        <w:rPr>
          <w:rFonts w:ascii="Times New Roman" w:hAnsi="Times New Roman"/>
          <w:bCs/>
          <w:color w:val="000000" w:themeColor="text1"/>
          <w:sz w:val="20"/>
          <w:szCs w:val="20"/>
        </w:rPr>
        <w:t xml:space="preserve">and </w:t>
      </w:r>
      <w:r w:rsidRPr="008608E0">
        <w:rPr>
          <w:rFonts w:ascii="Times New Roman" w:eastAsia="SimSun" w:hAnsi="Times New Roman"/>
          <w:sz w:val="20"/>
          <w:szCs w:val="20"/>
        </w:rPr>
        <w:t xml:space="preserve">0.198 </w:t>
      </w:r>
      <m:oMath>
        <m:r>
          <m:rPr>
            <m:sty m:val="p"/>
          </m:rPr>
          <w:rPr>
            <w:rFonts w:ascii="Cambria Math" w:hAnsi="Cambria Math"/>
            <w:sz w:val="20"/>
            <w:szCs w:val="20"/>
          </w:rPr>
          <m:t>μ</m:t>
        </m:r>
      </m:oMath>
      <w:r w:rsidRPr="008608E0">
        <w:rPr>
          <w:rFonts w:ascii="Times New Roman" w:hAnsi="Times New Roman"/>
          <w:sz w:val="20"/>
          <w:szCs w:val="20"/>
        </w:rPr>
        <w:t>M</w:t>
      </w:r>
      <w:r w:rsidRPr="008608E0">
        <w:rPr>
          <w:rFonts w:ascii="Times New Roman" w:hAnsi="Times New Roman"/>
          <w:bCs/>
          <w:color w:val="000000" w:themeColor="text1"/>
          <w:sz w:val="20"/>
          <w:szCs w:val="20"/>
        </w:rPr>
        <w:t xml:space="preserve"> has achieved. Proportionally, contemporary potential polymers can be construct by manipulating the parameters accordingly. </w:t>
      </w:r>
    </w:p>
    <w:p w14:paraId="6558DB2D" w14:textId="77777777" w:rsidR="00E25A80" w:rsidRPr="008608E0" w:rsidRDefault="00E25A80" w:rsidP="008608E0">
      <w:pPr>
        <w:spacing w:after="0"/>
        <w:jc w:val="center"/>
        <w:rPr>
          <w:rFonts w:ascii="Times New Roman" w:eastAsia="SimSun" w:hAnsi="Times New Roman"/>
          <w:sz w:val="20"/>
          <w:szCs w:val="20"/>
        </w:rPr>
      </w:pPr>
    </w:p>
    <w:p w14:paraId="1CDD30A1" w14:textId="77777777" w:rsidR="00E25A80" w:rsidRPr="008608E0" w:rsidRDefault="00E25A80" w:rsidP="008608E0">
      <w:pPr>
        <w:spacing w:after="0"/>
        <w:jc w:val="center"/>
        <w:rPr>
          <w:rFonts w:ascii="Times New Roman" w:eastAsia="SimSun" w:hAnsi="Times New Roman"/>
          <w:b/>
          <w:bCs/>
          <w:sz w:val="20"/>
          <w:szCs w:val="20"/>
        </w:rPr>
      </w:pPr>
      <w:r w:rsidRPr="008608E0">
        <w:rPr>
          <w:rFonts w:ascii="Times New Roman" w:eastAsia="SimSun" w:hAnsi="Times New Roman"/>
          <w:b/>
          <w:bCs/>
          <w:sz w:val="20"/>
          <w:szCs w:val="20"/>
        </w:rPr>
        <w:t>Acknowledgement</w:t>
      </w:r>
    </w:p>
    <w:p w14:paraId="6C9F5DD0" w14:textId="77777777" w:rsidR="00E25A80" w:rsidRPr="008608E0" w:rsidRDefault="00E25A80" w:rsidP="008608E0">
      <w:pPr>
        <w:spacing w:after="0"/>
        <w:jc w:val="both"/>
        <w:rPr>
          <w:rFonts w:ascii="Times New Roman" w:eastAsia="SimSun" w:hAnsi="Times New Roman"/>
          <w:sz w:val="20"/>
          <w:szCs w:val="20"/>
        </w:rPr>
      </w:pPr>
      <w:r w:rsidRPr="008608E0">
        <w:rPr>
          <w:rFonts w:ascii="Times New Roman" w:eastAsia="SimSun" w:hAnsi="Times New Roman"/>
          <w:sz w:val="20"/>
          <w:szCs w:val="20"/>
        </w:rPr>
        <w:t xml:space="preserve">This work is financially supported by Impact Oriented Interdisciplinary Research Grant IIRG013B-2019 and Frontier Research Grant FG030-17AFR by the Universiti Malaya. </w:t>
      </w:r>
    </w:p>
    <w:p w14:paraId="63ACC625" w14:textId="77777777" w:rsidR="006768E9" w:rsidRPr="008608E0" w:rsidRDefault="006768E9" w:rsidP="008608E0">
      <w:pPr>
        <w:spacing w:after="0"/>
        <w:jc w:val="center"/>
        <w:rPr>
          <w:rFonts w:ascii="Times New Roman" w:hAnsi="Times New Roman"/>
          <w:noProof/>
          <w:sz w:val="20"/>
          <w:szCs w:val="20"/>
          <w:lang w:bidi="ar-SA"/>
        </w:rPr>
      </w:pPr>
    </w:p>
    <w:p w14:paraId="763A6DA7" w14:textId="77777777" w:rsidR="006768E9" w:rsidRPr="008608E0" w:rsidRDefault="006768E9" w:rsidP="008608E0">
      <w:pPr>
        <w:spacing w:after="0"/>
        <w:jc w:val="center"/>
        <w:rPr>
          <w:rFonts w:ascii="Times New Roman" w:hAnsi="Times New Roman"/>
          <w:b/>
          <w:noProof/>
          <w:sz w:val="20"/>
          <w:szCs w:val="20"/>
          <w:lang w:bidi="ar-SA"/>
        </w:rPr>
      </w:pPr>
      <w:r w:rsidRPr="008608E0">
        <w:rPr>
          <w:rFonts w:ascii="Times New Roman" w:hAnsi="Times New Roman"/>
          <w:b/>
          <w:noProof/>
          <w:sz w:val="20"/>
          <w:szCs w:val="20"/>
          <w:lang w:bidi="ar-SA"/>
        </w:rPr>
        <w:t>References</w:t>
      </w:r>
    </w:p>
    <w:p w14:paraId="485B9B17"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Gupta, P. and Goyal, R. N. (2014). Polymelamine modified edge plane pyrolytic graphite sensor for the electrochemical assay of serotonin. </w:t>
      </w:r>
      <w:r w:rsidRPr="008608E0">
        <w:rPr>
          <w:rFonts w:ascii="Times New Roman" w:hAnsi="Times New Roman"/>
          <w:i/>
          <w:sz w:val="20"/>
          <w:szCs w:val="20"/>
          <w:lang w:val="en-MY"/>
        </w:rPr>
        <w:t>Talanta,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120</w:t>
      </w:r>
      <w:r w:rsidRPr="008608E0">
        <w:rPr>
          <w:rFonts w:ascii="Times New Roman" w:hAnsi="Times New Roman"/>
          <w:sz w:val="20"/>
          <w:szCs w:val="20"/>
          <w:lang w:val="en-MY"/>
        </w:rPr>
        <w:t>: 17-22.</w:t>
      </w:r>
    </w:p>
    <w:p w14:paraId="34A9728D"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Kesavan, S., Kumar, D. R., Lee, Y. R. and Shim, J. J. (2017). Determination of tetracycline in the presence of major interference in human urine samples using polymelamine/electrochemically reduced graphene oxide modified electrode. </w:t>
      </w:r>
      <w:r w:rsidRPr="008608E0">
        <w:rPr>
          <w:rFonts w:ascii="Times New Roman" w:hAnsi="Times New Roman"/>
          <w:i/>
          <w:sz w:val="20"/>
          <w:szCs w:val="20"/>
          <w:lang w:val="en-MY"/>
        </w:rPr>
        <w:t>Sensors and Actuators B: Chem,</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241</w:t>
      </w:r>
      <w:r w:rsidRPr="008608E0">
        <w:rPr>
          <w:rFonts w:ascii="Times New Roman" w:hAnsi="Times New Roman"/>
          <w:sz w:val="20"/>
          <w:szCs w:val="20"/>
          <w:lang w:val="en-MY"/>
        </w:rPr>
        <w:t>: 455-465.</w:t>
      </w:r>
    </w:p>
    <w:p w14:paraId="6EF8A772"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Khosropour, H., Rezaei, B., Alinajafi, H. A. and Ensafi, A. A. (2021). Electrochemical sensor based on glassy carbon electrode modified by polymelamine formaldehyde/graphene oxide nanocomposite for ultrasensitive detection of oxycodone. </w:t>
      </w:r>
      <w:r w:rsidRPr="008608E0">
        <w:rPr>
          <w:rFonts w:ascii="Times New Roman" w:hAnsi="Times New Roman"/>
          <w:i/>
          <w:sz w:val="20"/>
          <w:szCs w:val="20"/>
          <w:lang w:val="en-MY"/>
        </w:rPr>
        <w:t>Microchimica Acta</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188</w:t>
      </w:r>
      <w:r w:rsidRPr="008608E0">
        <w:rPr>
          <w:rFonts w:ascii="Times New Roman" w:hAnsi="Times New Roman"/>
          <w:sz w:val="20"/>
          <w:szCs w:val="20"/>
          <w:lang w:val="en-MY"/>
        </w:rPr>
        <w:t xml:space="preserve">(1): 1. </w:t>
      </w:r>
    </w:p>
    <w:p w14:paraId="61B0C269"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Farida, A. N., Fitriany, E., Baktir, A., Kurniawan, F. and Harsini, M. (2019). Voltammetric study of </w:t>
      </w:r>
      <w:r w:rsidRPr="008608E0">
        <w:rPr>
          <w:rFonts w:ascii="Times New Roman" w:hAnsi="Times New Roman"/>
          <w:sz w:val="20"/>
          <w:szCs w:val="20"/>
          <w:lang w:val="en-MY"/>
        </w:rPr>
        <w:t xml:space="preserve">ascorbic acid using polymelamine/gold nanoparticle modified carbon paste electrode. </w:t>
      </w:r>
      <w:r w:rsidRPr="008608E0">
        <w:rPr>
          <w:rFonts w:ascii="Times New Roman" w:hAnsi="Times New Roman"/>
          <w:i/>
          <w:sz w:val="20"/>
          <w:szCs w:val="20"/>
          <w:lang w:val="en-MY"/>
        </w:rPr>
        <w:t xml:space="preserve">IOP </w:t>
      </w:r>
      <w:r w:rsidRPr="008608E0">
        <w:rPr>
          <w:rFonts w:ascii="Times New Roman" w:hAnsi="Times New Roman"/>
          <w:i/>
          <w:noProof/>
          <w:sz w:val="20"/>
          <w:szCs w:val="20"/>
        </w:rPr>
        <w:t>Conference Series: Earth Environmental Science</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217</w:t>
      </w:r>
      <w:r w:rsidRPr="008608E0">
        <w:rPr>
          <w:rFonts w:ascii="Times New Roman" w:hAnsi="Times New Roman"/>
          <w:sz w:val="20"/>
          <w:szCs w:val="20"/>
          <w:lang w:val="en-MY"/>
        </w:rPr>
        <w:t>: 012004.</w:t>
      </w:r>
      <w:r w:rsidRPr="008608E0">
        <w:rPr>
          <w:rFonts w:ascii="Times New Roman" w:hAnsi="Times New Roman"/>
          <w:sz w:val="20"/>
          <w:szCs w:val="20"/>
        </w:rPr>
        <w:t xml:space="preserve"> </w:t>
      </w:r>
    </w:p>
    <w:p w14:paraId="4914BCD2"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Qin, H., Hu, X., Wang, J., Cheng, H., Chen, L. and Qi, Z. (2020). Overview of acidic deep eutectic solvents on synthesis, properties and applications. </w:t>
      </w:r>
      <w:r w:rsidRPr="008608E0">
        <w:rPr>
          <w:rFonts w:ascii="Times New Roman" w:hAnsi="Times New Roman"/>
          <w:i/>
          <w:sz w:val="20"/>
          <w:szCs w:val="20"/>
          <w:lang w:val="en-MY"/>
        </w:rPr>
        <w:t>Green Energy and Environment</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 8-21.</w:t>
      </w:r>
    </w:p>
    <w:p w14:paraId="0E40DA08"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Zante, G. and Boltoeva, M. (2020). Review on hydrometallurgical recovery of metals with deep eutectic solvents. </w:t>
      </w:r>
      <w:r w:rsidRPr="008608E0">
        <w:rPr>
          <w:rFonts w:ascii="Times New Roman" w:hAnsi="Times New Roman"/>
          <w:i/>
          <w:iCs/>
          <w:noProof/>
          <w:sz w:val="20"/>
          <w:szCs w:val="20"/>
        </w:rPr>
        <w:t>Sustainable Chemistry</w:t>
      </w:r>
      <w:r w:rsidRPr="008608E0">
        <w:rPr>
          <w:rFonts w:ascii="Times New Roman" w:hAnsi="Times New Roman"/>
          <w:noProof/>
          <w:sz w:val="20"/>
          <w:szCs w:val="20"/>
        </w:rPr>
        <w:t xml:space="preserve">, </w:t>
      </w:r>
      <w:r w:rsidRPr="008608E0">
        <w:rPr>
          <w:rFonts w:ascii="Times New Roman" w:hAnsi="Times New Roman"/>
          <w:iCs/>
          <w:sz w:val="20"/>
          <w:szCs w:val="20"/>
          <w:lang w:val="en-MY"/>
        </w:rPr>
        <w:t>1</w:t>
      </w:r>
      <w:r w:rsidRPr="008608E0">
        <w:rPr>
          <w:rFonts w:ascii="Times New Roman" w:hAnsi="Times New Roman"/>
          <w:sz w:val="20"/>
          <w:szCs w:val="20"/>
          <w:lang w:val="en-MY"/>
        </w:rPr>
        <w:t>(3): 238-255.</w:t>
      </w:r>
    </w:p>
    <w:p w14:paraId="2EEC7A3F"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Cen, P., Spahiu, K., Tyumentsev, M. S. and Foreman, M. R. S. J. (2020). Metal extraction from a deep eutectic solvent, an insight into activities. </w:t>
      </w:r>
      <w:r w:rsidRPr="008608E0">
        <w:rPr>
          <w:rFonts w:ascii="Times New Roman" w:hAnsi="Times New Roman"/>
          <w:i/>
          <w:iCs/>
          <w:sz w:val="20"/>
          <w:szCs w:val="20"/>
          <w:lang w:val="en-MY"/>
        </w:rPr>
        <w:t>Physical Chemistry Chemical Physics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22</w:t>
      </w:r>
      <w:r w:rsidRPr="008608E0">
        <w:rPr>
          <w:rFonts w:ascii="Times New Roman" w:hAnsi="Times New Roman"/>
          <w:sz w:val="20"/>
          <w:szCs w:val="20"/>
          <w:lang w:val="en-MY"/>
        </w:rPr>
        <w:t>(19): 11012-11024.</w:t>
      </w:r>
    </w:p>
    <w:p w14:paraId="7B678393"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Paiva, A., Craveiro, R., Aroso, I., Martins, M., Reis, R. L. and Duarte, A. R. C. (2014). Natural deep eutectic solvents – solvents for the 21</w:t>
      </w:r>
      <w:r w:rsidRPr="008608E0">
        <w:rPr>
          <w:rFonts w:ascii="Times New Roman" w:hAnsi="Times New Roman"/>
          <w:sz w:val="20"/>
          <w:szCs w:val="20"/>
          <w:vertAlign w:val="superscript"/>
          <w:lang w:val="en-MY"/>
        </w:rPr>
        <w:t>st</w:t>
      </w:r>
      <w:r w:rsidRPr="008608E0">
        <w:rPr>
          <w:rFonts w:ascii="Times New Roman" w:hAnsi="Times New Roman"/>
          <w:sz w:val="20"/>
          <w:szCs w:val="20"/>
          <w:lang w:val="en-MY"/>
        </w:rPr>
        <w:t xml:space="preserve"> century. </w:t>
      </w:r>
      <w:r w:rsidRPr="008608E0">
        <w:rPr>
          <w:rFonts w:ascii="Times New Roman" w:hAnsi="Times New Roman"/>
          <w:i/>
          <w:iCs/>
          <w:sz w:val="20"/>
          <w:szCs w:val="20"/>
          <w:lang w:val="en-MY"/>
        </w:rPr>
        <w:t>ACS Sustainable Chemistry &amp; Engineering</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2</w:t>
      </w:r>
      <w:r w:rsidRPr="008608E0">
        <w:rPr>
          <w:rFonts w:ascii="Times New Roman" w:hAnsi="Times New Roman"/>
          <w:sz w:val="20"/>
          <w:szCs w:val="20"/>
          <w:lang w:val="en-MY"/>
        </w:rPr>
        <w:t>(5): 1063- 1071.</w:t>
      </w:r>
    </w:p>
    <w:p w14:paraId="1A12B9EB"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Mendonça, P. V., Lima, M. S., Guliashvili, T., Serra, A. C. and Coelho, J. F. (2017). Deep eutectic solvents (DES): Excellent green solvents for rapid SARA ATRP of biorelevant hydrophilic monomers at ambient temperature. </w:t>
      </w:r>
      <w:r w:rsidRPr="008608E0">
        <w:rPr>
          <w:rFonts w:ascii="Times New Roman" w:hAnsi="Times New Roman"/>
          <w:i/>
          <w:sz w:val="20"/>
          <w:szCs w:val="20"/>
          <w:lang w:val="en-MY"/>
        </w:rPr>
        <w:t>Polymer</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132</w:t>
      </w:r>
      <w:r w:rsidRPr="008608E0">
        <w:rPr>
          <w:rFonts w:ascii="Times New Roman" w:hAnsi="Times New Roman"/>
          <w:sz w:val="20"/>
          <w:szCs w:val="20"/>
          <w:lang w:val="en-MY"/>
        </w:rPr>
        <w:t>: 114-121.</w:t>
      </w:r>
    </w:p>
    <w:p w14:paraId="27811B10"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Sánchez-Leija, R. J., Torres-Lubián, J. R., Reséndiz-Rubio, A., Luna-Bárcenas, G. and Mota-Morales, J. D. (2016). Enzyme-mediated free radical polymerization of acrylamide in deep eutectic solvents.</w:t>
      </w:r>
      <w:r w:rsidRPr="008608E0">
        <w:rPr>
          <w:rFonts w:ascii="Times New Roman" w:hAnsi="Times New Roman"/>
        </w:rPr>
        <w:t xml:space="preserve"> </w:t>
      </w:r>
      <w:r w:rsidRPr="008608E0">
        <w:rPr>
          <w:rFonts w:ascii="Times New Roman" w:hAnsi="Times New Roman"/>
          <w:i/>
          <w:iCs/>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6</w:t>
      </w:r>
      <w:r w:rsidRPr="008608E0">
        <w:rPr>
          <w:rFonts w:ascii="Times New Roman" w:hAnsi="Times New Roman"/>
          <w:sz w:val="20"/>
          <w:szCs w:val="20"/>
          <w:lang w:val="en-MY"/>
        </w:rPr>
        <w:t>(16): 13072-13079.</w:t>
      </w:r>
    </w:p>
    <w:p w14:paraId="60D451AD"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Fernandes, P. M. V., Campiña, J. M., Pereira, N. M., Pereira, C. M. and Silva, F. (2012). Biodegradable deep-eutectic mixtures as electrolytes for the electrochemical synthesis of conducting polymers.</w:t>
      </w:r>
      <w:r w:rsidRPr="008608E0">
        <w:rPr>
          <w:rFonts w:ascii="Times New Roman" w:hAnsi="Times New Roman"/>
        </w:rPr>
        <w:t xml:space="preserve"> </w:t>
      </w:r>
      <w:r w:rsidRPr="008608E0">
        <w:rPr>
          <w:rFonts w:ascii="Times New Roman" w:hAnsi="Times New Roman"/>
          <w:i/>
          <w:iCs/>
          <w:sz w:val="20"/>
          <w:szCs w:val="20"/>
          <w:lang w:val="en-MY"/>
        </w:rPr>
        <w:t>Journal of Applied Electrochemistry</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42</w:t>
      </w:r>
      <w:r w:rsidRPr="008608E0">
        <w:rPr>
          <w:rFonts w:ascii="Times New Roman" w:hAnsi="Times New Roman"/>
          <w:sz w:val="20"/>
          <w:szCs w:val="20"/>
          <w:lang w:val="en-MY"/>
        </w:rPr>
        <w:t>(12): 997-1003.</w:t>
      </w:r>
    </w:p>
    <w:p w14:paraId="3B9FA1D8" w14:textId="77777777" w:rsidR="00E25A80" w:rsidRPr="008608E0" w:rsidRDefault="00F676D9"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8608E0">
        <w:rPr>
          <w:rFonts w:ascii="Times New Roman" w:hAnsi="Times New Roman"/>
          <w:sz w:val="20"/>
          <w:szCs w:val="20"/>
          <w:lang w:val="en-MY"/>
        </w:rPr>
        <w:t xml:space="preserve">Mąka, H., Spychaj, T. and Adamus, J. (2015). Lewis acid type deep eutectic solvents as catalysts for epoxy resin crosslinking. </w:t>
      </w:r>
      <w:r w:rsidRPr="008608E0">
        <w:rPr>
          <w:rFonts w:ascii="Times New Roman" w:hAnsi="Times New Roman"/>
          <w:i/>
          <w:sz w:val="20"/>
          <w:szCs w:val="20"/>
          <w:lang w:val="en-MY"/>
        </w:rPr>
        <w:t>RSC Advances</w:t>
      </w:r>
      <w:r w:rsidRPr="008608E0">
        <w:rPr>
          <w:rFonts w:ascii="Times New Roman" w:hAnsi="Times New Roman"/>
          <w:sz w:val="20"/>
          <w:szCs w:val="20"/>
          <w:lang w:val="en-MY"/>
        </w:rPr>
        <w:t xml:space="preserve">, </w:t>
      </w:r>
      <w:r w:rsidRPr="008608E0">
        <w:rPr>
          <w:rFonts w:ascii="Times New Roman" w:hAnsi="Times New Roman"/>
          <w:iCs/>
          <w:sz w:val="20"/>
          <w:szCs w:val="20"/>
          <w:lang w:val="en-MY"/>
        </w:rPr>
        <w:t>5</w:t>
      </w:r>
      <w:r w:rsidRPr="008608E0">
        <w:rPr>
          <w:rFonts w:ascii="Times New Roman" w:hAnsi="Times New Roman"/>
          <w:sz w:val="20"/>
          <w:szCs w:val="20"/>
          <w:lang w:val="en-MY"/>
        </w:rPr>
        <w:t>(101): 82813-82821.</w:t>
      </w:r>
    </w:p>
    <w:p w14:paraId="3E35F7AE" w14:textId="77777777" w:rsidR="008608E0" w:rsidRDefault="008608E0" w:rsidP="008608E0">
      <w:pPr>
        <w:spacing w:after="0"/>
        <w:jc w:val="both"/>
        <w:rPr>
          <w:rFonts w:ascii="Times New Roman" w:hAnsi="Times New Roman"/>
          <w:sz w:val="20"/>
          <w:szCs w:val="20"/>
          <w:lang w:val="en-MY"/>
        </w:rPr>
      </w:pPr>
    </w:p>
    <w:p w14:paraId="230B0756"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lastRenderedPageBreak/>
        <w:t xml:space="preserve">Chang, Y. H., Woi, P. M. and Alias, Y. B. (2021). Electrochemical characterization of melamine electropolymerized in deep eutectic solvents for selective detection of dopamine. </w:t>
      </w:r>
      <w:r w:rsidRPr="00E25A80">
        <w:rPr>
          <w:rFonts w:ascii="Times New Roman" w:hAnsi="Times New Roman"/>
          <w:i/>
          <w:sz w:val="20"/>
          <w:szCs w:val="20"/>
          <w:lang w:val="en-MY"/>
        </w:rPr>
        <w:t>Electrocatalysis,</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12</w:t>
      </w:r>
      <w:r w:rsidRPr="00E25A80">
        <w:rPr>
          <w:rFonts w:ascii="Times New Roman" w:hAnsi="Times New Roman"/>
          <w:sz w:val="20"/>
          <w:szCs w:val="20"/>
          <w:lang w:val="en-MY"/>
        </w:rPr>
        <w:t>(3): 238-250.</w:t>
      </w:r>
    </w:p>
    <w:p w14:paraId="792535CC"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Chen, S., Liu, S., Wen, A., Zhang, J., Nie, H., Chen, J., Zeng, R., Long, Y., Jin, Y. and Mai, R. (2018). New insight into electropolymerization of melamine. I: Chloride promoted growth of polymelamine in different pH medium. </w:t>
      </w:r>
      <w:r w:rsidRPr="00E25A80">
        <w:rPr>
          <w:rFonts w:ascii="Times New Roman" w:hAnsi="Times New Roman"/>
          <w:i/>
          <w:iCs/>
          <w:noProof/>
          <w:sz w:val="20"/>
          <w:szCs w:val="20"/>
        </w:rPr>
        <w:t>Electrochimica Acta</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271</w:t>
      </w:r>
      <w:r w:rsidRPr="00E25A80">
        <w:rPr>
          <w:rFonts w:ascii="Times New Roman" w:hAnsi="Times New Roman"/>
          <w:sz w:val="20"/>
          <w:szCs w:val="20"/>
          <w:lang w:val="en-MY"/>
        </w:rPr>
        <w:t>: 312-318.</w:t>
      </w:r>
    </w:p>
    <w:p w14:paraId="238DBEDC"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Migliorati, V., Sessa, F. and D’Angelo, P. (2019). Deep eutectic solvents: A structural point of view </w:t>
      </w:r>
      <w:r w:rsidRPr="00E25A80">
        <w:rPr>
          <w:rFonts w:ascii="Times New Roman" w:hAnsi="Times New Roman"/>
          <w:sz w:val="20"/>
          <w:szCs w:val="20"/>
          <w:lang w:val="en-MY"/>
        </w:rPr>
        <w:t xml:space="preserve">on the role of the cation. </w:t>
      </w:r>
      <w:r w:rsidRPr="00E25A80">
        <w:rPr>
          <w:rFonts w:ascii="Times New Roman" w:hAnsi="Times New Roman"/>
          <w:i/>
          <w:iCs/>
          <w:noProof/>
          <w:sz w:val="20"/>
          <w:szCs w:val="20"/>
        </w:rPr>
        <w:t xml:space="preserve">Chemical Physics Letters, </w:t>
      </w:r>
      <w:r w:rsidRPr="00E25A80">
        <w:rPr>
          <w:rFonts w:ascii="Times New Roman" w:hAnsi="Times New Roman"/>
          <w:iCs/>
          <w:sz w:val="20"/>
          <w:szCs w:val="20"/>
          <w:lang w:val="en-MY"/>
        </w:rPr>
        <w:t>2</w:t>
      </w:r>
      <w:r w:rsidRPr="00E25A80">
        <w:rPr>
          <w:rFonts w:ascii="Times New Roman" w:hAnsi="Times New Roman"/>
          <w:sz w:val="20"/>
          <w:szCs w:val="20"/>
          <w:lang w:val="en-MY"/>
        </w:rPr>
        <w:t>: 100001.</w:t>
      </w:r>
    </w:p>
    <w:p w14:paraId="0FDFB932" w14:textId="77777777" w:rsidR="008608E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Li, R., Lin, C. W., Shao, Y., Chang, C., Yao, F. K., Kowal, M., Wang, H., Yeung, M., Huang, S. C. and Kaner, R. (2016). Characterization of aniline tetramer by MALDI TOF mass spectrometry upon oxidative and reductive cycling. </w:t>
      </w:r>
      <w:r w:rsidRPr="00E25A80">
        <w:rPr>
          <w:rFonts w:ascii="Times New Roman" w:hAnsi="Times New Roman"/>
          <w:i/>
          <w:sz w:val="20"/>
          <w:szCs w:val="20"/>
          <w:lang w:val="en-MY"/>
        </w:rPr>
        <w:t>Polymers</w:t>
      </w:r>
      <w:r w:rsidRPr="00E25A80">
        <w:rPr>
          <w:rFonts w:ascii="Times New Roman" w:hAnsi="Times New Roman"/>
          <w:sz w:val="20"/>
          <w:szCs w:val="20"/>
          <w:lang w:val="en-MY"/>
        </w:rPr>
        <w:t xml:space="preserve">, </w:t>
      </w:r>
      <w:r w:rsidRPr="00E25A80">
        <w:rPr>
          <w:rFonts w:ascii="Times New Roman" w:hAnsi="Times New Roman"/>
          <w:iCs/>
          <w:sz w:val="20"/>
          <w:szCs w:val="20"/>
          <w:lang w:val="en-MY"/>
        </w:rPr>
        <w:t>8</w:t>
      </w:r>
      <w:r w:rsidRPr="00E25A80">
        <w:rPr>
          <w:rFonts w:ascii="Times New Roman" w:hAnsi="Times New Roman"/>
          <w:sz w:val="20"/>
          <w:szCs w:val="20"/>
          <w:lang w:val="en-MY"/>
        </w:rPr>
        <w:t>(11): 401.</w:t>
      </w:r>
    </w:p>
    <w:p w14:paraId="14D05A48" w14:textId="77777777" w:rsidR="008608E0" w:rsidRPr="00E25A80" w:rsidRDefault="008608E0" w:rsidP="008608E0">
      <w:pPr>
        <w:pStyle w:val="ListParagraph"/>
        <w:numPr>
          <w:ilvl w:val="1"/>
          <w:numId w:val="1"/>
        </w:numPr>
        <w:tabs>
          <w:tab w:val="clear" w:pos="1440"/>
        </w:tabs>
        <w:spacing w:after="0"/>
        <w:ind w:left="360"/>
        <w:jc w:val="both"/>
        <w:rPr>
          <w:rFonts w:ascii="Times New Roman" w:hAnsi="Times New Roman"/>
          <w:sz w:val="20"/>
          <w:szCs w:val="20"/>
          <w:lang w:val="en-MY"/>
        </w:rPr>
      </w:pPr>
      <w:r w:rsidRPr="00E25A80">
        <w:rPr>
          <w:rFonts w:ascii="Times New Roman" w:hAnsi="Times New Roman"/>
          <w:sz w:val="20"/>
          <w:szCs w:val="20"/>
          <w:lang w:val="en-MY"/>
        </w:rPr>
        <w:t xml:space="preserve">Gabrielli, C., Huet, F. and Keddam, M. (1993). Fluctuations in electrochemical systems. I. General theory on diffusion limited electrochemical reactions. </w:t>
      </w:r>
      <w:r w:rsidRPr="00E25A80">
        <w:rPr>
          <w:rFonts w:ascii="Times New Roman" w:hAnsi="Times New Roman"/>
          <w:i/>
          <w:iCs/>
          <w:sz w:val="20"/>
          <w:szCs w:val="20"/>
          <w:lang w:val="en-MY"/>
        </w:rPr>
        <w:t>The Journal of Chemical Physics</w:t>
      </w:r>
      <w:r w:rsidRPr="00E25A80">
        <w:rPr>
          <w:rFonts w:ascii="Times New Roman" w:hAnsi="Times New Roman"/>
          <w:sz w:val="20"/>
          <w:szCs w:val="20"/>
          <w:lang w:val="en-MY"/>
        </w:rPr>
        <w:t>, 99: 7232.</w:t>
      </w:r>
    </w:p>
    <w:p w14:paraId="5A2FC2D3" w14:textId="007119EF" w:rsidR="008608E0" w:rsidRPr="008608E0" w:rsidRDefault="008608E0" w:rsidP="008608E0">
      <w:pPr>
        <w:spacing w:after="0"/>
        <w:jc w:val="both"/>
        <w:rPr>
          <w:rFonts w:ascii="Times New Roman" w:hAnsi="Times New Roman"/>
          <w:sz w:val="20"/>
          <w:szCs w:val="20"/>
          <w:lang w:val="en-MY"/>
        </w:rPr>
        <w:sectPr w:rsidR="008608E0" w:rsidRPr="008608E0" w:rsidSect="008608E0">
          <w:footerReference w:type="even" r:id="rId34"/>
          <w:type w:val="continuous"/>
          <w:pgSz w:w="12240" w:h="15840" w:code="1"/>
          <w:pgMar w:top="1800" w:right="1469" w:bottom="1699" w:left="1440" w:header="706" w:footer="706" w:gutter="0"/>
          <w:pgNumType w:start="0"/>
          <w:cols w:num="2" w:space="403"/>
          <w:docGrid w:linePitch="360"/>
        </w:sect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1D1A1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B3FE" w14:textId="77777777" w:rsidR="002C1CB0" w:rsidRDefault="002C1CB0" w:rsidP="00FB4C59">
      <w:pPr>
        <w:spacing w:after="0" w:line="240" w:lineRule="auto"/>
      </w:pPr>
      <w:r>
        <w:separator/>
      </w:r>
    </w:p>
  </w:endnote>
  <w:endnote w:type="continuationSeparator" w:id="0">
    <w:p w14:paraId="741A75F8" w14:textId="77777777" w:rsidR="002C1CB0" w:rsidRDefault="002C1CB0"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7D53357F"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A7CA1">
      <w:rPr>
        <w:rFonts w:ascii="Times New Roman" w:hAnsi="Times New Roman"/>
        <w:lang w:val="en-US"/>
      </w:rPr>
      <w:t>202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BFB7" w14:textId="2EB1B6F3"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A7CA1">
      <w:rPr>
        <w:rFonts w:ascii="Times New Roman" w:hAnsi="Times New Roman"/>
        <w:lang w:val="en-US"/>
      </w:rPr>
      <w:t>210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3BEB" w14:textId="60BA379C"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5000C">
      <w:rPr>
        <w:rFonts w:ascii="Times New Roman" w:hAnsi="Times New Roman"/>
        <w:lang w:val="en-US"/>
      </w:rPr>
      <w:t>212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52C4" w14:textId="0FAC9404" w:rsidR="003E14AF" w:rsidRPr="004B43FF" w:rsidRDefault="003A7CA1">
    <w:pPr>
      <w:pStyle w:val="Footer"/>
      <w:rPr>
        <w:rFonts w:ascii="Times New Roman" w:hAnsi="Times New Roman"/>
        <w:lang w:val="en-US"/>
      </w:rPr>
    </w:pPr>
    <w:r>
      <w:rPr>
        <w:rFonts w:ascii="Times New Roman" w:hAnsi="Times New Roman"/>
        <w:noProof/>
        <w:lang w:val="en-US"/>
      </w:rPr>
      <w:t>211</w:t>
    </w:r>
    <w:r w:rsidR="003E14AF" w:rsidRPr="0069547D">
      <w:rPr>
        <w:rFonts w:ascii="Times New Roman" w:hAnsi="Times New Roman"/>
        <w:noProof/>
        <w:lang w:val="en-US"/>
      </w:rPr>
      <w:ptab w:relativeTo="margin" w:alignment="center" w:leader="none"/>
    </w:r>
    <w:r w:rsidR="003E14AF"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C58" w14:textId="1EE900B7" w:rsidR="008473D5" w:rsidRPr="004B43FF" w:rsidRDefault="0095000C">
    <w:pPr>
      <w:pStyle w:val="Footer"/>
      <w:rPr>
        <w:rFonts w:ascii="Times New Roman" w:hAnsi="Times New Roman"/>
        <w:lang w:val="en-US"/>
      </w:rPr>
    </w:pPr>
    <w:r>
      <w:rPr>
        <w:rFonts w:ascii="Times New Roman" w:hAnsi="Times New Roman"/>
        <w:noProof/>
        <w:lang w:val="en-US"/>
      </w:rPr>
      <w:t>213</w:t>
    </w:r>
    <w:r w:rsidR="008473D5" w:rsidRPr="0069547D">
      <w:rPr>
        <w:rFonts w:ascii="Times New Roman" w:hAnsi="Times New Roman"/>
        <w:noProof/>
        <w:lang w:val="en-US"/>
      </w:rPr>
      <w:ptab w:relativeTo="margin" w:alignment="center" w:leader="none"/>
    </w:r>
    <w:r w:rsidR="008473D5"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AF47" w14:textId="6342D934" w:rsidR="00F720DF" w:rsidRDefault="00F720D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5000C">
      <w:rPr>
        <w:rFonts w:ascii="Times New Roman" w:hAnsi="Times New Roman"/>
        <w:lang w:val="en-US"/>
      </w:rPr>
      <w:t>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4BEF02F6" w:rsidR="00D75B35" w:rsidRPr="004B43FF" w:rsidRDefault="003A7CA1">
    <w:pPr>
      <w:pStyle w:val="Footer"/>
      <w:rPr>
        <w:rFonts w:ascii="Times New Roman" w:hAnsi="Times New Roman"/>
        <w:lang w:val="en-US"/>
      </w:rPr>
    </w:pPr>
    <w:r>
      <w:rPr>
        <w:rFonts w:ascii="Times New Roman" w:hAnsi="Times New Roman"/>
        <w:noProof/>
        <w:lang w:val="en-US"/>
      </w:rPr>
      <w:t>203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9322" w14:textId="77777777" w:rsidR="0095000C" w:rsidRDefault="00950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4DA2" w14:textId="70CC74C4"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r w:rsidR="003A7CA1">
      <w:rPr>
        <w:rFonts w:ascii="Times New Roman" w:hAnsi="Times New Roman"/>
        <w:lang w:val="en-US"/>
      </w:rPr>
      <w:t>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E965" w14:textId="0016DB30" w:rsidR="003E14AF" w:rsidRPr="004B43FF" w:rsidRDefault="003A7CA1">
    <w:pPr>
      <w:pStyle w:val="Footer"/>
      <w:rPr>
        <w:rFonts w:ascii="Times New Roman" w:hAnsi="Times New Roman"/>
        <w:lang w:val="en-US"/>
      </w:rPr>
    </w:pPr>
    <w:r>
      <w:rPr>
        <w:rFonts w:ascii="Times New Roman" w:hAnsi="Times New Roman"/>
        <w:noProof/>
        <w:lang w:val="en-US"/>
      </w:rPr>
      <w:t>205</w:t>
    </w:r>
    <w:r w:rsidR="003E14AF" w:rsidRPr="0069547D">
      <w:rPr>
        <w:rFonts w:ascii="Times New Roman" w:hAnsi="Times New Roman"/>
        <w:noProof/>
        <w:lang w:val="en-US"/>
      </w:rPr>
      <w:ptab w:relativeTo="margin" w:alignment="center" w:leader="none"/>
    </w:r>
    <w:r w:rsidR="003E14AF"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DA06" w14:textId="788E5344"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A7CA1">
      <w:rPr>
        <w:rFonts w:ascii="Times New Roman" w:hAnsi="Times New Roman"/>
        <w:lang w:val="en-US"/>
      </w:rPr>
      <w:t>206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D6DD6" w14:textId="4349B3ED" w:rsidR="000878C5" w:rsidRPr="004B43FF" w:rsidRDefault="003A7CA1">
    <w:pPr>
      <w:pStyle w:val="Footer"/>
      <w:rPr>
        <w:rFonts w:ascii="Times New Roman" w:hAnsi="Times New Roman"/>
        <w:lang w:val="en-US"/>
      </w:rPr>
    </w:pPr>
    <w:r>
      <w:rPr>
        <w:rFonts w:ascii="Times New Roman" w:hAnsi="Times New Roman"/>
        <w:noProof/>
        <w:lang w:val="en-US"/>
      </w:rPr>
      <w:t>207</w:t>
    </w:r>
    <w:r w:rsidR="000878C5" w:rsidRPr="0069547D">
      <w:rPr>
        <w:rFonts w:ascii="Times New Roman" w:hAnsi="Times New Roman"/>
        <w:noProof/>
        <w:lang w:val="en-US"/>
      </w:rPr>
      <w:ptab w:relativeTo="margin" w:alignment="center" w:leader="none"/>
    </w:r>
    <w:r w:rsidR="000878C5"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D620" w14:textId="1BE43227" w:rsidR="003E14AF" w:rsidRDefault="003E14A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A7CA1">
      <w:rPr>
        <w:rFonts w:ascii="Times New Roman" w:hAnsi="Times New Roman"/>
        <w:lang w:val="en-US"/>
      </w:rPr>
      <w:t>208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A515" w14:textId="082DC75E" w:rsidR="003E14AF" w:rsidRPr="004B43FF" w:rsidRDefault="003A7CA1">
    <w:pPr>
      <w:pStyle w:val="Footer"/>
      <w:rPr>
        <w:rFonts w:ascii="Times New Roman" w:hAnsi="Times New Roman"/>
        <w:lang w:val="en-US"/>
      </w:rPr>
    </w:pPr>
    <w:r>
      <w:rPr>
        <w:rFonts w:ascii="Times New Roman" w:hAnsi="Times New Roman"/>
        <w:noProof/>
        <w:lang w:val="en-US"/>
      </w:rPr>
      <w:t>209</w:t>
    </w:r>
    <w:r w:rsidR="003E14AF" w:rsidRPr="0069547D">
      <w:rPr>
        <w:rFonts w:ascii="Times New Roman" w:hAnsi="Times New Roman"/>
        <w:noProof/>
        <w:lang w:val="en-US"/>
      </w:rPr>
      <w:ptab w:relativeTo="margin" w:alignment="center" w:leader="none"/>
    </w:r>
    <w:r w:rsidR="003E14AF"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4FB72" w14:textId="77777777" w:rsidR="002C1CB0" w:rsidRDefault="002C1CB0" w:rsidP="00FB4C59">
      <w:pPr>
        <w:spacing w:after="0" w:line="240" w:lineRule="auto"/>
      </w:pPr>
      <w:r>
        <w:separator/>
      </w:r>
    </w:p>
  </w:footnote>
  <w:footnote w:type="continuationSeparator" w:id="0">
    <w:p w14:paraId="04E9CF78" w14:textId="77777777" w:rsidR="002C1CB0" w:rsidRDefault="002C1CB0"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414C4D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3A7CA1">
      <w:rPr>
        <w:rFonts w:ascii="Times New Roman" w:hAnsi="Times New Roman"/>
        <w:i/>
        <w:lang w:val="en-US"/>
      </w:rPr>
      <w:t>202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5000C">
      <w:rPr>
        <w:rFonts w:ascii="Times New Roman" w:hAnsi="Times New Roman"/>
        <w:i/>
        <w:lang w:val="en-US"/>
      </w:rPr>
      <w:t>214</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3D6ED" w14:textId="6EDDC6E1" w:rsidR="00F676D9" w:rsidRPr="00F676D9" w:rsidRDefault="00F676D9" w:rsidP="00F676D9">
    <w:pPr>
      <w:spacing w:after="0"/>
      <w:ind w:left="1260" w:hanging="1260"/>
      <w:rPr>
        <w:rFonts w:ascii="Times New Roman" w:hAnsi="Times New Roman"/>
        <w:sz w:val="20"/>
        <w:szCs w:val="20"/>
        <w:lang w:eastAsia="zh-CN" w:bidi="ar-SA"/>
      </w:rPr>
    </w:pPr>
    <w:r w:rsidRPr="00F676D9">
      <w:rPr>
        <w:rFonts w:ascii="Times New Roman" w:hAnsi="Times New Roman"/>
        <w:sz w:val="20"/>
        <w:szCs w:val="20"/>
      </w:rPr>
      <w:t>Chang et al</w:t>
    </w:r>
    <w:r w:rsidR="00A37A74" w:rsidRPr="00F676D9">
      <w:rPr>
        <w:rFonts w:ascii="Times New Roman" w:hAnsi="Times New Roman"/>
        <w:sz w:val="20"/>
        <w:szCs w:val="20"/>
      </w:rPr>
      <w:t xml:space="preserve">:     </w:t>
    </w:r>
    <w:r w:rsidR="00EE2CC4">
      <w:rPr>
        <w:rFonts w:ascii="Times New Roman" w:hAnsi="Times New Roman"/>
        <w:sz w:val="20"/>
        <w:szCs w:val="20"/>
      </w:rPr>
      <w:tab/>
    </w:r>
    <w:r w:rsidRPr="00F676D9">
      <w:rPr>
        <w:rFonts w:ascii="Times New Roman" w:hAnsi="Times New Roman"/>
        <w:sz w:val="20"/>
        <w:szCs w:val="20"/>
      </w:rPr>
      <w:t>OPTIMIZATION PARAMETERS FOR ELECTROPOLYMERIZATION OF MELAMINE IN DEEP EUTECTIC SOLVENT</w:t>
    </w:r>
  </w:p>
  <w:p w14:paraId="652E6EB3" w14:textId="7968FDBD" w:rsidR="00D75B35" w:rsidRPr="00B75BF6" w:rsidRDefault="00D75B35" w:rsidP="00CB59E0">
    <w:pPr>
      <w:pStyle w:val="Header"/>
      <w:ind w:left="1170" w:hanging="1170"/>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FA4C" w14:textId="77777777" w:rsidR="0095000C" w:rsidRDefault="0095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3108691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3429754">
    <w:abstractNumId w:val="0"/>
  </w:num>
  <w:num w:numId="3" w16cid:durableId="32331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66DF"/>
    <w:rsid w:val="00070690"/>
    <w:rsid w:val="00084936"/>
    <w:rsid w:val="000878C5"/>
    <w:rsid w:val="000944A8"/>
    <w:rsid w:val="000B781E"/>
    <w:rsid w:val="000C49FF"/>
    <w:rsid w:val="000C5261"/>
    <w:rsid w:val="000E5AF1"/>
    <w:rsid w:val="000F77DA"/>
    <w:rsid w:val="001068E8"/>
    <w:rsid w:val="00117BCD"/>
    <w:rsid w:val="0019452D"/>
    <w:rsid w:val="001B0F9D"/>
    <w:rsid w:val="001D035A"/>
    <w:rsid w:val="001D1A16"/>
    <w:rsid w:val="001D3855"/>
    <w:rsid w:val="001D6F2C"/>
    <w:rsid w:val="001F72B9"/>
    <w:rsid w:val="002004F5"/>
    <w:rsid w:val="00221D39"/>
    <w:rsid w:val="002752F0"/>
    <w:rsid w:val="002867F0"/>
    <w:rsid w:val="0029079C"/>
    <w:rsid w:val="002B188F"/>
    <w:rsid w:val="002B3BD8"/>
    <w:rsid w:val="002C1CB0"/>
    <w:rsid w:val="002F0EDB"/>
    <w:rsid w:val="002F3F91"/>
    <w:rsid w:val="00304767"/>
    <w:rsid w:val="00304B34"/>
    <w:rsid w:val="00312C0E"/>
    <w:rsid w:val="00345738"/>
    <w:rsid w:val="00361BAF"/>
    <w:rsid w:val="0036379A"/>
    <w:rsid w:val="00367D1F"/>
    <w:rsid w:val="00373A9B"/>
    <w:rsid w:val="0038323C"/>
    <w:rsid w:val="00383C16"/>
    <w:rsid w:val="00383F26"/>
    <w:rsid w:val="0039005B"/>
    <w:rsid w:val="003A7CA1"/>
    <w:rsid w:val="003B0AC0"/>
    <w:rsid w:val="003D585B"/>
    <w:rsid w:val="003E14AF"/>
    <w:rsid w:val="003E7DA6"/>
    <w:rsid w:val="003F12FF"/>
    <w:rsid w:val="00420074"/>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D3BF9"/>
    <w:rsid w:val="005E38E7"/>
    <w:rsid w:val="00624C7C"/>
    <w:rsid w:val="0063144D"/>
    <w:rsid w:val="00634C25"/>
    <w:rsid w:val="006416AB"/>
    <w:rsid w:val="00645AAE"/>
    <w:rsid w:val="00672075"/>
    <w:rsid w:val="006768E9"/>
    <w:rsid w:val="00687982"/>
    <w:rsid w:val="0069547D"/>
    <w:rsid w:val="00695D0E"/>
    <w:rsid w:val="006A3A0F"/>
    <w:rsid w:val="006B3EC8"/>
    <w:rsid w:val="006C412F"/>
    <w:rsid w:val="006D695E"/>
    <w:rsid w:val="00725A6A"/>
    <w:rsid w:val="00730CB3"/>
    <w:rsid w:val="00735444"/>
    <w:rsid w:val="007703FE"/>
    <w:rsid w:val="007859BE"/>
    <w:rsid w:val="007943F3"/>
    <w:rsid w:val="007A738C"/>
    <w:rsid w:val="007B1349"/>
    <w:rsid w:val="007C7480"/>
    <w:rsid w:val="007E25BD"/>
    <w:rsid w:val="007F4ECC"/>
    <w:rsid w:val="00801E18"/>
    <w:rsid w:val="00802C35"/>
    <w:rsid w:val="00816289"/>
    <w:rsid w:val="0082181A"/>
    <w:rsid w:val="00845527"/>
    <w:rsid w:val="008473D5"/>
    <w:rsid w:val="008608E0"/>
    <w:rsid w:val="0086622B"/>
    <w:rsid w:val="008B02C7"/>
    <w:rsid w:val="008B470E"/>
    <w:rsid w:val="008C14D6"/>
    <w:rsid w:val="008E1211"/>
    <w:rsid w:val="008E5BBF"/>
    <w:rsid w:val="008E6968"/>
    <w:rsid w:val="008F2DC2"/>
    <w:rsid w:val="009110FB"/>
    <w:rsid w:val="00917637"/>
    <w:rsid w:val="00917A23"/>
    <w:rsid w:val="0095000C"/>
    <w:rsid w:val="00975FE1"/>
    <w:rsid w:val="00992776"/>
    <w:rsid w:val="009A32D9"/>
    <w:rsid w:val="00A14DB9"/>
    <w:rsid w:val="00A37A74"/>
    <w:rsid w:val="00A4762A"/>
    <w:rsid w:val="00A7073E"/>
    <w:rsid w:val="00A74A7E"/>
    <w:rsid w:val="00A87399"/>
    <w:rsid w:val="00AD1B8A"/>
    <w:rsid w:val="00AD76AF"/>
    <w:rsid w:val="00AE713F"/>
    <w:rsid w:val="00B1121C"/>
    <w:rsid w:val="00B21436"/>
    <w:rsid w:val="00B25B65"/>
    <w:rsid w:val="00B2770A"/>
    <w:rsid w:val="00B314AD"/>
    <w:rsid w:val="00B36193"/>
    <w:rsid w:val="00B7255A"/>
    <w:rsid w:val="00B75BF6"/>
    <w:rsid w:val="00B95E42"/>
    <w:rsid w:val="00BA1F7B"/>
    <w:rsid w:val="00BB223B"/>
    <w:rsid w:val="00BB58AF"/>
    <w:rsid w:val="00BD2480"/>
    <w:rsid w:val="00BE2D36"/>
    <w:rsid w:val="00BE7C30"/>
    <w:rsid w:val="00C055BF"/>
    <w:rsid w:val="00C0756D"/>
    <w:rsid w:val="00C141CE"/>
    <w:rsid w:val="00C2226A"/>
    <w:rsid w:val="00C23984"/>
    <w:rsid w:val="00C42066"/>
    <w:rsid w:val="00C50A9D"/>
    <w:rsid w:val="00C73C7A"/>
    <w:rsid w:val="00C80273"/>
    <w:rsid w:val="00C943DD"/>
    <w:rsid w:val="00C94D92"/>
    <w:rsid w:val="00C97340"/>
    <w:rsid w:val="00CA2E2F"/>
    <w:rsid w:val="00CA513F"/>
    <w:rsid w:val="00CB59E0"/>
    <w:rsid w:val="00CC1893"/>
    <w:rsid w:val="00CC6D67"/>
    <w:rsid w:val="00CD41CA"/>
    <w:rsid w:val="00CF05FF"/>
    <w:rsid w:val="00D33D1A"/>
    <w:rsid w:val="00D340BB"/>
    <w:rsid w:val="00D348AF"/>
    <w:rsid w:val="00D505D5"/>
    <w:rsid w:val="00D63C28"/>
    <w:rsid w:val="00D64DBA"/>
    <w:rsid w:val="00D75B35"/>
    <w:rsid w:val="00D76E09"/>
    <w:rsid w:val="00D9736F"/>
    <w:rsid w:val="00D97773"/>
    <w:rsid w:val="00D9792A"/>
    <w:rsid w:val="00DD377F"/>
    <w:rsid w:val="00E17493"/>
    <w:rsid w:val="00E229C4"/>
    <w:rsid w:val="00E25547"/>
    <w:rsid w:val="00E25A80"/>
    <w:rsid w:val="00E275F6"/>
    <w:rsid w:val="00E2773B"/>
    <w:rsid w:val="00E3287E"/>
    <w:rsid w:val="00E429D7"/>
    <w:rsid w:val="00E66197"/>
    <w:rsid w:val="00E77ED9"/>
    <w:rsid w:val="00E95DB4"/>
    <w:rsid w:val="00E9669B"/>
    <w:rsid w:val="00EB5BA5"/>
    <w:rsid w:val="00EE2CC4"/>
    <w:rsid w:val="00EF4195"/>
    <w:rsid w:val="00F202C3"/>
    <w:rsid w:val="00F23D94"/>
    <w:rsid w:val="00F307D5"/>
    <w:rsid w:val="00F31093"/>
    <w:rsid w:val="00F412AF"/>
    <w:rsid w:val="00F43667"/>
    <w:rsid w:val="00F43942"/>
    <w:rsid w:val="00F447A7"/>
    <w:rsid w:val="00F467A2"/>
    <w:rsid w:val="00F567E6"/>
    <w:rsid w:val="00F60D89"/>
    <w:rsid w:val="00F62342"/>
    <w:rsid w:val="00F676D9"/>
    <w:rsid w:val="00F720DF"/>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styleId="NormalWeb">
    <w:name w:val="Normal (Web)"/>
    <w:basedOn w:val="Normal"/>
    <w:uiPriority w:val="99"/>
    <w:semiHidden/>
    <w:unhideWhenUsed/>
    <w:rsid w:val="00F676D9"/>
    <w:pPr>
      <w:spacing w:before="100" w:beforeAutospacing="1" w:after="100" w:afterAutospacing="1" w:line="240" w:lineRule="auto"/>
    </w:pPr>
    <w:rPr>
      <w:rFonts w:ascii="Times New Roman" w:hAnsi="Times New Roman"/>
      <w:sz w:val="24"/>
      <w:szCs w:val="24"/>
      <w:lang w:val="en-MY"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9269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7.emf"/><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image" Target="media/image10.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9805</Words>
  <Characters>55891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4</cp:revision>
  <cp:lastPrinted>2022-03-08T04:11:00Z</cp:lastPrinted>
  <dcterms:created xsi:type="dcterms:W3CDTF">2022-04-24T00:20:00Z</dcterms:created>
  <dcterms:modified xsi:type="dcterms:W3CDTF">2022-04-24T01:16:00Z</dcterms:modified>
</cp:coreProperties>
</file>