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6486F4E8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F7575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D34192">
        <w:rPr>
          <w:rFonts w:ascii="Times New Roman" w:hAnsi="Times New Roman" w:cs="Times New Roman"/>
          <w:b/>
          <w:i/>
          <w:sz w:val="24"/>
          <w:szCs w:val="24"/>
        </w:rPr>
        <w:t>426</w:t>
      </w:r>
      <w:r w:rsidR="009B31A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D34192">
        <w:rPr>
          <w:rFonts w:ascii="Times New Roman" w:hAnsi="Times New Roman" w:cs="Times New Roman"/>
          <w:b/>
          <w:i/>
          <w:sz w:val="24"/>
          <w:szCs w:val="24"/>
        </w:rPr>
        <w:t>435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286E5AD9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1CDA23" w14:textId="77777777" w:rsidR="00D34192" w:rsidRPr="00537CC9" w:rsidRDefault="00D34192" w:rsidP="00D34192">
      <w:pPr>
        <w:spacing w:after="0"/>
        <w:jc w:val="center"/>
        <w:rPr>
          <w:rFonts w:ascii="Times New Roman" w:hAnsi="Times New Roman"/>
          <w:bCs/>
          <w:caps/>
          <w:sz w:val="28"/>
          <w:szCs w:val="28"/>
          <w:lang w:eastAsia="zh-CN"/>
        </w:rPr>
      </w:pPr>
      <w:r w:rsidRPr="00537CC9">
        <w:rPr>
          <w:rFonts w:ascii="Times New Roman" w:hAnsi="Times New Roman"/>
          <w:bCs/>
          <w:caps/>
          <w:sz w:val="28"/>
          <w:szCs w:val="28"/>
        </w:rPr>
        <w:t>Essential</w:t>
      </w:r>
      <w:r w:rsidRPr="00537CC9">
        <w:rPr>
          <w:rFonts w:ascii="Times New Roman" w:hAnsi="Times New Roman"/>
          <w:bCs/>
          <w:caps/>
          <w:sz w:val="28"/>
          <w:szCs w:val="28"/>
          <w:lang w:eastAsia="zh-CN"/>
        </w:rPr>
        <w:t xml:space="preserve"> </w:t>
      </w:r>
      <w:r w:rsidRPr="00537CC9">
        <w:rPr>
          <w:rFonts w:ascii="Times New Roman" w:hAnsi="Times New Roman"/>
          <w:bCs/>
          <w:caps/>
          <w:sz w:val="28"/>
          <w:szCs w:val="28"/>
        </w:rPr>
        <w:t>Mineral</w:t>
      </w:r>
      <w:r w:rsidRPr="00537CC9">
        <w:rPr>
          <w:rFonts w:ascii="Times New Roman" w:hAnsi="Times New Roman"/>
          <w:bCs/>
          <w:caps/>
          <w:sz w:val="28"/>
          <w:szCs w:val="28"/>
          <w:lang w:eastAsia="zh-CN"/>
        </w:rPr>
        <w:t>s and Heavy Metals</w:t>
      </w:r>
      <w:r w:rsidRPr="00537CC9">
        <w:rPr>
          <w:rFonts w:ascii="Times New Roman" w:hAnsi="Times New Roman"/>
          <w:bCs/>
          <w:caps/>
          <w:sz w:val="28"/>
          <w:szCs w:val="28"/>
        </w:rPr>
        <w:t xml:space="preserve"> Analysis of Penang Assam Laksa Using Atomic Absorption Spectrometry, </w:t>
      </w:r>
      <w:r w:rsidRPr="00537CC9">
        <w:rPr>
          <w:rFonts w:ascii="Times New Roman" w:hAnsi="Times New Roman"/>
          <w:bCs/>
          <w:caps/>
          <w:sz w:val="28"/>
          <w:szCs w:val="28"/>
          <w:lang w:eastAsia="zh-CN"/>
        </w:rPr>
        <w:t>Flow Injection Mercury System,</w:t>
      </w:r>
      <w:r w:rsidRPr="00537CC9">
        <w:rPr>
          <w:rFonts w:ascii="Times New Roman" w:hAnsi="Times New Roman"/>
          <w:bCs/>
          <w:caps/>
          <w:sz w:val="28"/>
          <w:szCs w:val="28"/>
        </w:rPr>
        <w:t xml:space="preserve"> And Inductively Coupled Plasma Optical Emission Spectrometry</w:t>
      </w:r>
    </w:p>
    <w:p w14:paraId="77E9211E" w14:textId="77777777" w:rsidR="00D34192" w:rsidRPr="00537CC9" w:rsidRDefault="00D34192" w:rsidP="00D34192">
      <w:pPr>
        <w:spacing w:after="0"/>
        <w:jc w:val="center"/>
        <w:rPr>
          <w:rFonts w:ascii="Times New Roman" w:hAnsi="Times New Roman"/>
          <w:bCs/>
          <w:caps/>
          <w:sz w:val="24"/>
          <w:szCs w:val="24"/>
          <w:lang w:eastAsia="zh-CN"/>
        </w:rPr>
      </w:pPr>
    </w:p>
    <w:p w14:paraId="45A862C6" w14:textId="77777777" w:rsidR="00D34192" w:rsidRPr="00537CC9" w:rsidRDefault="00D34192" w:rsidP="00D34192">
      <w:pPr>
        <w:spacing w:after="0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537CC9">
        <w:rPr>
          <w:rFonts w:ascii="Times New Roman" w:hAnsi="Times New Roman"/>
          <w:bCs/>
          <w:caps/>
          <w:sz w:val="24"/>
          <w:szCs w:val="24"/>
          <w:lang w:eastAsia="zh-CN"/>
        </w:rPr>
        <w:t>(</w:t>
      </w:r>
      <w:r w:rsidRPr="00537CC9">
        <w:rPr>
          <w:rFonts w:ascii="Times New Roman" w:hAnsi="Times New Roman"/>
          <w:noProof/>
          <w:sz w:val="24"/>
          <w:szCs w:val="24"/>
          <w:lang w:val="ms-MY"/>
        </w:rPr>
        <w:t xml:space="preserve">Analisis Mineral Penting dan Logam Berat </w:t>
      </w:r>
      <w:r w:rsidRPr="00537CC9">
        <w:rPr>
          <w:rFonts w:ascii="Times New Roman" w:hAnsi="Times New Roman"/>
          <w:noProof/>
          <w:sz w:val="24"/>
          <w:szCs w:val="24"/>
          <w:lang w:val="ms-MY" w:eastAsia="zh-CN"/>
        </w:rPr>
        <w:t xml:space="preserve">Asam </w:t>
      </w:r>
      <w:r w:rsidRPr="00537CC9">
        <w:rPr>
          <w:rFonts w:ascii="Times New Roman" w:hAnsi="Times New Roman"/>
          <w:noProof/>
          <w:sz w:val="24"/>
          <w:szCs w:val="24"/>
          <w:lang w:val="ms-MY"/>
        </w:rPr>
        <w:t xml:space="preserve">Laksa Pulau Pinang Menggunakan Spektrometri Penyerapan Atom dn </w:t>
      </w:r>
      <w:bookmarkStart w:id="0" w:name="_Hlk100661151"/>
      <w:r w:rsidRPr="00537CC9">
        <w:rPr>
          <w:rFonts w:ascii="Times New Roman" w:hAnsi="Times New Roman"/>
          <w:noProof/>
          <w:sz w:val="24"/>
          <w:szCs w:val="24"/>
          <w:lang w:val="ms-MY"/>
        </w:rPr>
        <w:t>Spektrometri Pancaran Optik Induktif Gabungan Plasma</w:t>
      </w:r>
      <w:bookmarkEnd w:id="0"/>
      <w:r w:rsidRPr="00537CC9">
        <w:rPr>
          <w:rFonts w:ascii="Times New Roman" w:hAnsi="Times New Roman"/>
          <w:sz w:val="24"/>
          <w:szCs w:val="24"/>
          <w:lang w:eastAsia="zh-CN"/>
        </w:rPr>
        <w:t>)</w:t>
      </w:r>
    </w:p>
    <w:p w14:paraId="67E22EE7" w14:textId="77777777" w:rsidR="00D34192" w:rsidRPr="00537CC9" w:rsidRDefault="00D34192" w:rsidP="00D34192">
      <w:pPr>
        <w:spacing w:after="0"/>
        <w:jc w:val="center"/>
        <w:rPr>
          <w:rFonts w:ascii="Times New Roman" w:hAnsi="Times New Roman"/>
          <w:bCs/>
          <w:caps/>
          <w:sz w:val="20"/>
          <w:szCs w:val="20"/>
          <w:lang w:eastAsia="zh-CN"/>
        </w:rPr>
      </w:pPr>
    </w:p>
    <w:p w14:paraId="6B2E401D" w14:textId="77777777" w:rsidR="00D34192" w:rsidRPr="00537CC9" w:rsidRDefault="00D34192" w:rsidP="00D34192">
      <w:pPr>
        <w:spacing w:after="0"/>
        <w:jc w:val="center"/>
        <w:rPr>
          <w:rFonts w:ascii="Times New Roman" w:eastAsia="SimSun" w:hAnsi="Times New Roman"/>
          <w:bCs/>
          <w:noProof/>
          <w:sz w:val="20"/>
          <w:szCs w:val="20"/>
          <w:lang w:val="ms-MY" w:eastAsia="zh-CN"/>
        </w:rPr>
      </w:pPr>
      <w:r w:rsidRPr="00537CC9">
        <w:rPr>
          <w:rFonts w:ascii="Times New Roman" w:eastAsia="Arial,Bold" w:hAnsi="Times New Roman"/>
          <w:bCs/>
          <w:noProof/>
          <w:sz w:val="20"/>
          <w:szCs w:val="20"/>
          <w:lang w:val="ms-MY"/>
        </w:rPr>
        <w:t>Phang Hui Lee</w:t>
      </w:r>
      <w:r w:rsidRPr="00537CC9">
        <w:rPr>
          <w:rFonts w:ascii="Times New Roman" w:hAnsi="Times New Roman"/>
          <w:bCs/>
          <w:noProof/>
          <w:sz w:val="20"/>
          <w:szCs w:val="20"/>
          <w:vertAlign w:val="superscript"/>
          <w:lang w:val="ms-MY" w:eastAsia="zh-CN"/>
        </w:rPr>
        <w:t>1,2</w:t>
      </w:r>
      <w:r w:rsidRPr="00537CC9">
        <w:rPr>
          <w:rFonts w:ascii="Times New Roman" w:eastAsia="Arial,Bold" w:hAnsi="Times New Roman"/>
          <w:bCs/>
          <w:noProof/>
          <w:sz w:val="20"/>
          <w:szCs w:val="20"/>
          <w:lang w:val="ms-MY"/>
        </w:rPr>
        <w:t>, Koo Pooi Ling</w:t>
      </w:r>
      <w:r w:rsidRPr="00537CC9">
        <w:rPr>
          <w:rFonts w:ascii="Times New Roman" w:hAnsi="Times New Roman"/>
          <w:bCs/>
          <w:noProof/>
          <w:sz w:val="20"/>
          <w:szCs w:val="20"/>
          <w:vertAlign w:val="superscript"/>
          <w:lang w:val="ms-MY" w:eastAsia="zh-CN"/>
        </w:rPr>
        <w:t>2</w:t>
      </w:r>
      <w:r w:rsidRPr="00537CC9">
        <w:rPr>
          <w:rFonts w:ascii="Times New Roman" w:eastAsia="Arial,Bold" w:hAnsi="Times New Roman"/>
          <w:bCs/>
          <w:noProof/>
          <w:sz w:val="20"/>
          <w:szCs w:val="20"/>
          <w:lang w:val="ms-MY"/>
        </w:rPr>
        <w:t>, Lim Gin Keat</w:t>
      </w:r>
      <w:r w:rsidRPr="00537CC9">
        <w:rPr>
          <w:rFonts w:ascii="Times New Roman" w:hAnsi="Times New Roman"/>
          <w:bCs/>
          <w:noProof/>
          <w:sz w:val="20"/>
          <w:szCs w:val="20"/>
          <w:vertAlign w:val="superscript"/>
          <w:lang w:val="ms-MY" w:eastAsia="zh-CN"/>
        </w:rPr>
        <w:t>2</w:t>
      </w:r>
      <w:r w:rsidRPr="00537CC9">
        <w:rPr>
          <w:rFonts w:ascii="Times New Roman" w:eastAsia="Arial,Bold" w:hAnsi="Times New Roman"/>
          <w:bCs/>
          <w:noProof/>
          <w:sz w:val="20"/>
          <w:szCs w:val="20"/>
          <w:lang w:val="ms-MY"/>
        </w:rPr>
        <w:t>*, Oo Chuan Wei</w:t>
      </w:r>
      <w:r w:rsidRPr="00537CC9">
        <w:rPr>
          <w:rFonts w:ascii="Times New Roman" w:eastAsia="Arial,Bold" w:hAnsi="Times New Roman"/>
          <w:bCs/>
          <w:noProof/>
          <w:sz w:val="20"/>
          <w:szCs w:val="20"/>
          <w:vertAlign w:val="superscript"/>
          <w:lang w:val="ms-MY"/>
        </w:rPr>
        <w:t>2</w:t>
      </w:r>
      <w:r w:rsidRPr="00537CC9">
        <w:rPr>
          <w:rFonts w:ascii="Times New Roman" w:eastAsia="SimSun" w:hAnsi="Times New Roman"/>
          <w:bCs/>
          <w:noProof/>
          <w:sz w:val="20"/>
          <w:szCs w:val="20"/>
          <w:lang w:val="ms-MY" w:eastAsia="zh-CN"/>
        </w:rPr>
        <w:t>, Tan Kean Chye</w:t>
      </w:r>
      <w:r w:rsidRPr="00537CC9">
        <w:rPr>
          <w:rFonts w:ascii="Times New Roman" w:eastAsia="SimSun" w:hAnsi="Times New Roman"/>
          <w:bCs/>
          <w:noProof/>
          <w:sz w:val="20"/>
          <w:szCs w:val="20"/>
          <w:vertAlign w:val="superscript"/>
          <w:lang w:val="ms-MY" w:eastAsia="zh-CN"/>
        </w:rPr>
        <w:t>3</w:t>
      </w:r>
    </w:p>
    <w:p w14:paraId="685E7D76" w14:textId="77777777" w:rsidR="00D34192" w:rsidRPr="00D34192" w:rsidRDefault="00D34192" w:rsidP="00D34192">
      <w:pPr>
        <w:spacing w:after="0"/>
        <w:jc w:val="center"/>
        <w:rPr>
          <w:rFonts w:ascii="Times New Roman" w:eastAsia="SimSun" w:hAnsi="Times New Roman"/>
          <w:bCs/>
          <w:noProof/>
          <w:sz w:val="20"/>
          <w:szCs w:val="20"/>
          <w:lang w:val="ms-MY" w:eastAsia="zh-CN"/>
        </w:rPr>
      </w:pPr>
    </w:p>
    <w:p w14:paraId="0C000B7C" w14:textId="77777777" w:rsidR="00D34192" w:rsidRPr="00D34192" w:rsidRDefault="00D34192" w:rsidP="00D34192">
      <w:pPr>
        <w:spacing w:after="0"/>
        <w:jc w:val="center"/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ms-MY"/>
        </w:rPr>
      </w:pPr>
      <w:r w:rsidRPr="00D34192">
        <w:rPr>
          <w:rFonts w:ascii="Times New Roman" w:eastAsia="SimSun" w:hAnsi="Times New Roman"/>
          <w:bCs/>
          <w:i/>
          <w:noProof/>
          <w:sz w:val="20"/>
          <w:szCs w:val="20"/>
          <w:vertAlign w:val="superscript"/>
          <w:lang w:val="ms-MY" w:eastAsia="zh-CN"/>
        </w:rPr>
        <w:t>1</w:t>
      </w:r>
      <w:r w:rsidRPr="00D34192"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ms-MY"/>
        </w:rPr>
        <w:t xml:space="preserve">Jabatan Perubatan Forensik, </w:t>
      </w:r>
    </w:p>
    <w:p w14:paraId="78C551EF" w14:textId="77777777" w:rsidR="00D34192" w:rsidRPr="00D34192" w:rsidRDefault="00D34192" w:rsidP="00D34192">
      <w:pPr>
        <w:spacing w:after="0"/>
        <w:jc w:val="center"/>
        <w:rPr>
          <w:rFonts w:ascii="Times New Roman" w:hAnsi="Times New Roman"/>
          <w:noProof/>
          <w:sz w:val="20"/>
          <w:szCs w:val="20"/>
          <w:lang w:val="ms-MY"/>
        </w:rPr>
      </w:pPr>
      <w:r w:rsidRPr="00D34192"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ms-MY"/>
        </w:rPr>
        <w:t>Hospital Pulau Pinang,</w:t>
      </w:r>
      <w:r w:rsidRPr="00D34192">
        <w:rPr>
          <w:rFonts w:ascii="Times New Roman" w:hAnsi="Times New Roman"/>
          <w:noProof/>
          <w:sz w:val="20"/>
          <w:szCs w:val="20"/>
          <w:lang w:val="ms-MY"/>
        </w:rPr>
        <w:t xml:space="preserve"> </w:t>
      </w:r>
    </w:p>
    <w:p w14:paraId="44E53F60" w14:textId="77777777" w:rsidR="00D34192" w:rsidRPr="00D34192" w:rsidRDefault="00D34192" w:rsidP="00D34192">
      <w:pPr>
        <w:spacing w:after="0"/>
        <w:jc w:val="center"/>
        <w:rPr>
          <w:rFonts w:ascii="Times New Roman" w:eastAsia="SimSun" w:hAnsi="Times New Roman"/>
          <w:bCs/>
          <w:i/>
          <w:noProof/>
          <w:sz w:val="20"/>
          <w:szCs w:val="20"/>
          <w:lang w:val="ms-MY" w:eastAsia="zh-CN"/>
        </w:rPr>
      </w:pPr>
      <w:r w:rsidRPr="00D34192"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ms-MY"/>
        </w:rPr>
        <w:t>1, Jalan Tull, George Town, 10450 George Town, Pulau Pinang, Malaysia</w:t>
      </w:r>
    </w:p>
    <w:p w14:paraId="29BD21F7" w14:textId="77777777" w:rsidR="00D34192" w:rsidRPr="00D34192" w:rsidRDefault="00D34192" w:rsidP="00D34192">
      <w:pPr>
        <w:spacing w:after="0"/>
        <w:jc w:val="center"/>
        <w:rPr>
          <w:rFonts w:ascii="Times New Roman" w:eastAsia="Arial,Bold" w:hAnsi="Times New Roman"/>
          <w:bCs/>
          <w:i/>
          <w:iCs/>
          <w:noProof/>
          <w:sz w:val="20"/>
          <w:szCs w:val="20"/>
          <w:lang w:val="ms-MY"/>
        </w:rPr>
      </w:pPr>
      <w:r w:rsidRPr="00D34192">
        <w:rPr>
          <w:rFonts w:ascii="Times New Roman" w:hAnsi="Times New Roman"/>
          <w:bCs/>
          <w:i/>
          <w:iCs/>
          <w:noProof/>
          <w:sz w:val="20"/>
          <w:szCs w:val="20"/>
          <w:vertAlign w:val="superscript"/>
          <w:lang w:val="ms-MY" w:eastAsia="zh-CN"/>
        </w:rPr>
        <w:t>2</w:t>
      </w:r>
      <w:r w:rsidRPr="00D34192">
        <w:rPr>
          <w:rFonts w:ascii="Times New Roman" w:eastAsia="Arial,Bold" w:hAnsi="Times New Roman"/>
          <w:bCs/>
          <w:i/>
          <w:iCs/>
          <w:noProof/>
          <w:sz w:val="20"/>
          <w:szCs w:val="20"/>
          <w:lang w:val="ms-MY"/>
        </w:rPr>
        <w:t xml:space="preserve">School of Chemical Sciences, </w:t>
      </w:r>
    </w:p>
    <w:p w14:paraId="57CCBD45" w14:textId="77777777" w:rsidR="00D34192" w:rsidRPr="00D34192" w:rsidRDefault="00D34192" w:rsidP="00D34192">
      <w:pPr>
        <w:spacing w:after="0"/>
        <w:jc w:val="center"/>
        <w:rPr>
          <w:rFonts w:ascii="Times New Roman" w:hAnsi="Times New Roman"/>
          <w:bCs/>
          <w:i/>
          <w:iCs/>
          <w:noProof/>
          <w:sz w:val="20"/>
          <w:szCs w:val="20"/>
          <w:lang w:val="ms-MY" w:eastAsia="zh-CN"/>
        </w:rPr>
      </w:pPr>
      <w:r w:rsidRPr="00D34192">
        <w:rPr>
          <w:rFonts w:ascii="Times New Roman" w:eastAsia="Arial,Bold" w:hAnsi="Times New Roman"/>
          <w:bCs/>
          <w:i/>
          <w:iCs/>
          <w:noProof/>
          <w:sz w:val="20"/>
          <w:szCs w:val="20"/>
          <w:lang w:val="ms-MY"/>
        </w:rPr>
        <w:t>Universiti Sains Malaysia, 11800 USM, Penang, Malaysia</w:t>
      </w:r>
    </w:p>
    <w:p w14:paraId="6485F747" w14:textId="77777777" w:rsidR="00D34192" w:rsidRPr="00D34192" w:rsidRDefault="00D34192" w:rsidP="00D34192">
      <w:pPr>
        <w:spacing w:after="0"/>
        <w:jc w:val="center"/>
        <w:rPr>
          <w:rFonts w:ascii="Times New Roman" w:eastAsia="SimSun" w:hAnsi="Times New Roman"/>
          <w:bCs/>
          <w:i/>
          <w:iCs/>
          <w:noProof/>
          <w:sz w:val="20"/>
          <w:szCs w:val="20"/>
          <w:lang w:val="ms-MY" w:eastAsia="zh-CN"/>
        </w:rPr>
      </w:pPr>
      <w:r w:rsidRPr="00D34192">
        <w:rPr>
          <w:rFonts w:ascii="Times New Roman" w:hAnsi="Times New Roman"/>
          <w:bCs/>
          <w:i/>
          <w:iCs/>
          <w:noProof/>
          <w:sz w:val="20"/>
          <w:szCs w:val="20"/>
          <w:lang w:val="ms-MY"/>
        </w:rPr>
        <w:t xml:space="preserve"> </w:t>
      </w:r>
      <w:r w:rsidRPr="00D34192">
        <w:rPr>
          <w:rFonts w:ascii="Times New Roman" w:eastAsia="SimSun" w:hAnsi="Times New Roman"/>
          <w:bCs/>
          <w:i/>
          <w:iCs/>
          <w:noProof/>
          <w:sz w:val="20"/>
          <w:szCs w:val="20"/>
          <w:vertAlign w:val="superscript"/>
          <w:lang w:val="ms-MY" w:eastAsia="zh-CN"/>
        </w:rPr>
        <w:t>3</w:t>
      </w:r>
      <w:r w:rsidRPr="00D34192">
        <w:rPr>
          <w:rFonts w:ascii="Times New Roman" w:eastAsia="SimSun" w:hAnsi="Times New Roman"/>
          <w:bCs/>
          <w:i/>
          <w:iCs/>
          <w:noProof/>
          <w:sz w:val="20"/>
          <w:szCs w:val="20"/>
          <w:lang w:val="ms-MY" w:eastAsia="zh-CN"/>
        </w:rPr>
        <w:t xml:space="preserve">Department of Family Medicine, </w:t>
      </w:r>
    </w:p>
    <w:p w14:paraId="026C3843" w14:textId="77777777" w:rsidR="00D34192" w:rsidRPr="00D34192" w:rsidRDefault="00D34192" w:rsidP="00D34192">
      <w:pPr>
        <w:spacing w:after="0"/>
        <w:jc w:val="center"/>
        <w:rPr>
          <w:rFonts w:ascii="Times New Roman" w:eastAsia="SimSun" w:hAnsi="Times New Roman"/>
          <w:bCs/>
          <w:i/>
          <w:iCs/>
          <w:noProof/>
          <w:sz w:val="20"/>
          <w:szCs w:val="20"/>
          <w:lang w:val="ms-MY" w:eastAsia="zh-CN"/>
        </w:rPr>
      </w:pPr>
      <w:r w:rsidRPr="00D34192">
        <w:rPr>
          <w:rFonts w:ascii="Times New Roman" w:eastAsia="SimSun" w:hAnsi="Times New Roman"/>
          <w:bCs/>
          <w:i/>
          <w:iCs/>
          <w:noProof/>
          <w:sz w:val="20"/>
          <w:szCs w:val="20"/>
          <w:lang w:val="ms-MY" w:eastAsia="zh-CN"/>
        </w:rPr>
        <w:t xml:space="preserve">RCSI and UCD Malaysia Campus, </w:t>
      </w:r>
    </w:p>
    <w:p w14:paraId="0CB7112C" w14:textId="77777777" w:rsidR="00D34192" w:rsidRPr="00D34192" w:rsidRDefault="00D34192" w:rsidP="00D34192">
      <w:pPr>
        <w:spacing w:after="0"/>
        <w:jc w:val="center"/>
        <w:rPr>
          <w:rFonts w:ascii="Times New Roman" w:eastAsia="SimSun" w:hAnsi="Times New Roman"/>
          <w:bCs/>
          <w:i/>
          <w:iCs/>
          <w:noProof/>
          <w:sz w:val="20"/>
          <w:szCs w:val="20"/>
          <w:shd w:val="clear" w:color="auto" w:fill="FFFFFF"/>
          <w:lang w:val="ms-MY" w:eastAsia="zh-CN"/>
        </w:rPr>
      </w:pPr>
      <w:r w:rsidRPr="00D34192">
        <w:rPr>
          <w:rFonts w:ascii="Times New Roman" w:eastAsia="SimSun" w:hAnsi="Times New Roman"/>
          <w:bCs/>
          <w:i/>
          <w:iCs/>
          <w:noProof/>
          <w:sz w:val="20"/>
          <w:szCs w:val="20"/>
          <w:shd w:val="clear" w:color="auto" w:fill="FFFFFF"/>
          <w:lang w:val="ms-MY"/>
        </w:rPr>
        <w:t>4, Jalan Sepoy Lines, 10450 George Town, Pulau Pinang</w:t>
      </w:r>
      <w:r w:rsidRPr="00D34192">
        <w:rPr>
          <w:rFonts w:ascii="Times New Roman" w:eastAsia="SimSun" w:hAnsi="Times New Roman"/>
          <w:bCs/>
          <w:i/>
          <w:iCs/>
          <w:noProof/>
          <w:sz w:val="20"/>
          <w:szCs w:val="20"/>
          <w:shd w:val="clear" w:color="auto" w:fill="FFFFFF"/>
          <w:lang w:val="ms-MY" w:eastAsia="zh-CN"/>
        </w:rPr>
        <w:t>, Malaysia</w:t>
      </w:r>
    </w:p>
    <w:p w14:paraId="661A8C9E" w14:textId="77777777" w:rsidR="00D34192" w:rsidRPr="00D34192" w:rsidRDefault="00D34192" w:rsidP="00D34192">
      <w:pPr>
        <w:spacing w:after="0"/>
        <w:jc w:val="center"/>
        <w:rPr>
          <w:rFonts w:ascii="Times New Roman" w:eastAsia="Arial,Bold" w:hAnsi="Times New Roman"/>
          <w:bCs/>
          <w:i/>
          <w:iCs/>
          <w:noProof/>
          <w:sz w:val="20"/>
          <w:szCs w:val="20"/>
          <w:lang w:val="ms-MY"/>
        </w:rPr>
      </w:pPr>
    </w:p>
    <w:p w14:paraId="23916CBF" w14:textId="77777777" w:rsidR="00D34192" w:rsidRPr="00D34192" w:rsidRDefault="00D34192" w:rsidP="00D34192">
      <w:pPr>
        <w:spacing w:after="0"/>
        <w:jc w:val="center"/>
        <w:rPr>
          <w:rFonts w:ascii="Times New Roman" w:hAnsi="Times New Roman"/>
          <w:i/>
          <w:noProof/>
          <w:sz w:val="20"/>
          <w:szCs w:val="20"/>
        </w:rPr>
      </w:pPr>
      <w:r w:rsidRPr="00D34192">
        <w:rPr>
          <w:rFonts w:ascii="Times New Roman" w:hAnsi="Times New Roman"/>
          <w:i/>
          <w:noProof/>
          <w:sz w:val="20"/>
          <w:szCs w:val="20"/>
          <w:lang w:val="ms-MY"/>
        </w:rPr>
        <w:t>*Corresponding author:</w:t>
      </w:r>
      <w:r w:rsidRPr="00D34192">
        <w:rPr>
          <w:rFonts w:ascii="Times New Roman" w:eastAsia="SimSun" w:hAnsi="Times New Roman"/>
          <w:bCs/>
          <w:i/>
          <w:noProof/>
          <w:sz w:val="20"/>
          <w:szCs w:val="20"/>
          <w:shd w:val="clear" w:color="auto" w:fill="FFFFFF"/>
          <w:lang w:val="ms-MY" w:eastAsia="zh-CN"/>
        </w:rPr>
        <w:t xml:space="preserve"> limgk@usm.my</w:t>
      </w:r>
    </w:p>
    <w:p w14:paraId="1D05A066" w14:textId="77777777" w:rsidR="00D34192" w:rsidRPr="00D34192" w:rsidRDefault="00D34192" w:rsidP="00D3419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7BE727B1" w14:textId="77777777" w:rsidR="00D34192" w:rsidRPr="00D34192" w:rsidRDefault="00D34192" w:rsidP="00D3419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DEAABCE" w14:textId="77777777" w:rsidR="00D34192" w:rsidRPr="00D34192" w:rsidRDefault="00D34192" w:rsidP="00D3419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D34192">
        <w:rPr>
          <w:rFonts w:ascii="Times New Roman" w:hAnsi="Times New Roman"/>
          <w:noProof/>
          <w:sz w:val="20"/>
          <w:szCs w:val="20"/>
        </w:rPr>
        <w:t>Received:  9 November 2021; Accepted:  10 February 2022; Published:  xx April 2022</w:t>
      </w:r>
    </w:p>
    <w:p w14:paraId="5ECDFD70" w14:textId="77777777" w:rsidR="00D34192" w:rsidRPr="00D34192" w:rsidRDefault="00D34192" w:rsidP="00D3419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F80986B" w14:textId="77777777" w:rsidR="00D34192" w:rsidRPr="00D34192" w:rsidRDefault="00D34192" w:rsidP="00D3419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2363F579" w14:textId="77777777" w:rsidR="00D34192" w:rsidRPr="00D34192" w:rsidRDefault="00D34192" w:rsidP="00D34192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D34192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4CCCEA10" w14:textId="77777777" w:rsidR="00D34192" w:rsidRPr="00D34192" w:rsidRDefault="00D34192" w:rsidP="00D34192">
      <w:pPr>
        <w:pStyle w:val="Abstract"/>
        <w:spacing w:before="0" w:after="0" w:line="276" w:lineRule="auto"/>
        <w:ind w:left="0" w:right="-51"/>
        <w:jc w:val="both"/>
        <w:rPr>
          <w:sz w:val="20"/>
          <w:szCs w:val="20"/>
          <w:lang w:val="en-US" w:eastAsia="zh-CN"/>
        </w:rPr>
      </w:pPr>
      <w:r w:rsidRPr="00D34192">
        <w:rPr>
          <w:sz w:val="20"/>
          <w:szCs w:val="20"/>
          <w:lang w:val="en-US"/>
        </w:rPr>
        <w:t xml:space="preserve">Penang Assam Laksa is a sour, fish-based soup popular in Malaysian street food. The content of heavy metals (Cd, Hg, and Pb) as well as essential minerals (Fe, Ca, Na, and K) in ready-to-eat Penang Assam Laksa food samples collected from five stalls over three different days was determined using flame atomic absorption spectrometry (FAAS), a Flow Injection Mercury System (FIMS), and inductively coupled plasma optical emission spectrometry (ICP-OES) after a wet-digestion procedure. Statistical analyses such as </w:t>
      </w:r>
      <w:r w:rsidRPr="00D34192">
        <w:rPr>
          <w:iCs/>
          <w:sz w:val="20"/>
          <w:szCs w:val="20"/>
          <w:lang w:val="en-US"/>
        </w:rPr>
        <w:t>Student’s</w:t>
      </w:r>
      <w:r w:rsidRPr="00D34192">
        <w:rPr>
          <w:i/>
          <w:sz w:val="20"/>
          <w:szCs w:val="20"/>
          <w:lang w:val="en-US"/>
        </w:rPr>
        <w:t xml:space="preserve"> t-</w:t>
      </w:r>
      <w:r w:rsidRPr="00D34192">
        <w:rPr>
          <w:iCs/>
          <w:sz w:val="20"/>
          <w:szCs w:val="20"/>
          <w:lang w:val="en-US"/>
        </w:rPr>
        <w:t>test</w:t>
      </w:r>
      <w:r w:rsidRPr="00D34192">
        <w:rPr>
          <w:i/>
          <w:sz w:val="20"/>
          <w:szCs w:val="20"/>
          <w:lang w:val="en-US"/>
        </w:rPr>
        <w:t xml:space="preserve"> </w:t>
      </w:r>
      <w:r w:rsidRPr="00D34192">
        <w:rPr>
          <w:sz w:val="20"/>
          <w:szCs w:val="20"/>
          <w:lang w:val="en-US"/>
        </w:rPr>
        <w:t xml:space="preserve">and an inter-day precision study were conducted on the obtained results. The wet-digestion procedure was found to be effective, with recoveries above 85%. Meanwhile, an inconsistency in element content was observed for food samples collected on different days. Based on </w:t>
      </w:r>
      <w:r w:rsidRPr="00D34192">
        <w:rPr>
          <w:iCs/>
          <w:sz w:val="20"/>
          <w:szCs w:val="20"/>
          <w:lang w:val="en-US"/>
        </w:rPr>
        <w:t>Student’s</w:t>
      </w:r>
      <w:r w:rsidRPr="00D34192">
        <w:rPr>
          <w:i/>
          <w:sz w:val="20"/>
          <w:szCs w:val="20"/>
          <w:lang w:val="en-US"/>
        </w:rPr>
        <w:t xml:space="preserve"> t-</w:t>
      </w:r>
      <w:r w:rsidRPr="00D34192">
        <w:rPr>
          <w:iCs/>
          <w:sz w:val="20"/>
          <w:szCs w:val="20"/>
          <w:lang w:val="en-US"/>
        </w:rPr>
        <w:t>test</w:t>
      </w:r>
      <w:r w:rsidRPr="00D34192">
        <w:rPr>
          <w:sz w:val="20"/>
          <w:szCs w:val="20"/>
          <w:lang w:val="en-US"/>
        </w:rPr>
        <w:t>, both FAAS and ICP-OES were suitable for detecting and quantifying heavy metals and essential minerals in the food samples.</w:t>
      </w:r>
    </w:p>
    <w:p w14:paraId="6C3C501C" w14:textId="77777777" w:rsidR="00D34192" w:rsidRPr="00D34192" w:rsidRDefault="00D34192" w:rsidP="00D34192">
      <w:pPr>
        <w:pStyle w:val="Keywords"/>
        <w:spacing w:after="0" w:line="276" w:lineRule="auto"/>
        <w:ind w:left="0" w:right="-51"/>
        <w:jc w:val="both"/>
        <w:rPr>
          <w:rFonts w:cs="Times New Roman"/>
          <w:lang w:eastAsia="zh-CN"/>
        </w:rPr>
      </w:pPr>
    </w:p>
    <w:p w14:paraId="60DA3C61" w14:textId="77777777" w:rsidR="00D34192" w:rsidRPr="00D34192" w:rsidRDefault="00D34192" w:rsidP="00D34192">
      <w:pPr>
        <w:pStyle w:val="Keywords"/>
        <w:spacing w:after="0" w:line="276" w:lineRule="auto"/>
        <w:ind w:left="0" w:right="-51"/>
        <w:jc w:val="both"/>
        <w:rPr>
          <w:rFonts w:cs="Times New Roman"/>
          <w:lang w:eastAsia="zh-CN"/>
        </w:rPr>
      </w:pPr>
      <w:r w:rsidRPr="00D34192">
        <w:rPr>
          <w:rFonts w:cs="Times New Roman"/>
          <w:bCs/>
        </w:rPr>
        <w:t>Keywords:</w:t>
      </w:r>
      <w:r w:rsidRPr="00D34192">
        <w:rPr>
          <w:rFonts w:cs="Times New Roman"/>
        </w:rPr>
        <w:t xml:space="preserve">  </w:t>
      </w:r>
      <w:r w:rsidRPr="00D34192">
        <w:rPr>
          <w:rFonts w:cs="Times New Roman"/>
          <w:b w:val="0"/>
          <w:bCs/>
        </w:rPr>
        <w:t>Penang Assam Laksa, heavy metal, essential minerals, street food</w:t>
      </w:r>
    </w:p>
    <w:p w14:paraId="2F4B38F8" w14:textId="77777777" w:rsidR="00D34192" w:rsidRPr="00D34192" w:rsidRDefault="00D34192" w:rsidP="00D34192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eastAsia="zh-CN"/>
        </w:rPr>
      </w:pPr>
    </w:p>
    <w:p w14:paraId="73D552DD" w14:textId="77777777" w:rsidR="00D34192" w:rsidRPr="00D34192" w:rsidRDefault="00D34192" w:rsidP="00D34192">
      <w:pPr>
        <w:spacing w:after="0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D34192">
        <w:rPr>
          <w:rFonts w:ascii="Times New Roman" w:hAnsi="Times New Roman"/>
          <w:b/>
          <w:noProof/>
          <w:sz w:val="20"/>
          <w:szCs w:val="20"/>
          <w:lang w:val="ms-MY"/>
        </w:rPr>
        <w:t>Abstrak</w:t>
      </w:r>
    </w:p>
    <w:p w14:paraId="59D8E125" w14:textId="77777777" w:rsidR="00D34192" w:rsidRPr="00D34192" w:rsidRDefault="00D34192" w:rsidP="00D34192">
      <w:pPr>
        <w:pStyle w:val="Paragraph"/>
        <w:spacing w:before="0" w:after="0" w:line="276" w:lineRule="auto"/>
        <w:rPr>
          <w:rStyle w:val="jlqj4b"/>
          <w:rFonts w:cs="Times New Roman"/>
          <w:noProof/>
          <w:sz w:val="20"/>
          <w:szCs w:val="20"/>
          <w:lang w:val="ms-MY"/>
        </w:rPr>
      </w:pP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 xml:space="preserve">Asam Laksa Pulau Pinang adalah sup </w:t>
      </w:r>
      <w:r w:rsidRPr="00D34192">
        <w:rPr>
          <w:rStyle w:val="jlqj4b"/>
          <w:rFonts w:cs="Times New Roman"/>
          <w:noProof/>
          <w:sz w:val="20"/>
          <w:szCs w:val="20"/>
          <w:lang w:val="ms-MY" w:eastAsia="zh-CN"/>
        </w:rPr>
        <w:t xml:space="preserve">masam yang 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>berasaskan ikan.</w:t>
      </w:r>
      <w:r w:rsidRPr="00D34192">
        <w:rPr>
          <w:rStyle w:val="jlqj4b"/>
          <w:rFonts w:cs="Times New Roman"/>
          <w:noProof/>
          <w:sz w:val="20"/>
          <w:szCs w:val="20"/>
          <w:lang w:val="ms-MY" w:eastAsia="zh-CN"/>
        </w:rPr>
        <w:t xml:space="preserve"> 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>Kandungan logam berat (Cd, Hg, Pb) serta mineral penting (Fe, Ca, Na, K) d</w:t>
      </w:r>
      <w:r w:rsidRPr="00D34192">
        <w:rPr>
          <w:rStyle w:val="jlqj4b"/>
          <w:rFonts w:cs="Times New Roman"/>
          <w:noProof/>
          <w:sz w:val="20"/>
          <w:szCs w:val="20"/>
          <w:lang w:val="ms-MY" w:eastAsia="zh-CN"/>
        </w:rPr>
        <w:t>alam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 xml:space="preserve"> Asam Laksa Pulau Pinang (makanan sedia dimakan) yang dikumpul dari lima gerai terpilih pada tiga hari berbeza</w:t>
      </w:r>
      <w:r w:rsidRPr="00D34192">
        <w:rPr>
          <w:rStyle w:val="viiyi"/>
          <w:rFonts w:cs="Times New Roman"/>
          <w:noProof/>
          <w:sz w:val="20"/>
          <w:szCs w:val="20"/>
          <w:lang w:val="ms-MY"/>
        </w:rPr>
        <w:t xml:space="preserve"> 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>telah ditentukan menggunakan FAAS (</w:t>
      </w:r>
      <w:r w:rsidRPr="00D34192">
        <w:rPr>
          <w:rStyle w:val="jlqj4b"/>
          <w:rFonts w:cs="Times New Roman"/>
          <w:noProof/>
          <w:sz w:val="20"/>
          <w:szCs w:val="20"/>
          <w:lang w:val="ms-MY" w:eastAsia="zh-CN"/>
        </w:rPr>
        <w:t>spektrometri penyerapan atom nyalaan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 xml:space="preserve">), FIMS (sistem merkuri suntikan aliran) dan ICP-OES (spektrometri pancaran optik induktif gabungan plasma) selepas prosedur </w:t>
      </w:r>
      <w:r w:rsidRPr="00D34192">
        <w:rPr>
          <w:rStyle w:val="jlqj4b"/>
          <w:rFonts w:cs="Times New Roman"/>
          <w:noProof/>
          <w:sz w:val="20"/>
          <w:szCs w:val="20"/>
          <w:lang w:val="ms-MY" w:eastAsia="zh-CN"/>
        </w:rPr>
        <w:t>pencernaan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 xml:space="preserve"> basah.</w:t>
      </w:r>
      <w:r w:rsidRPr="00D34192">
        <w:rPr>
          <w:rStyle w:val="jlqj4b"/>
          <w:rFonts w:cs="Times New Roman"/>
          <w:noProof/>
          <w:sz w:val="20"/>
          <w:szCs w:val="20"/>
          <w:lang w:val="ms-MY" w:eastAsia="zh-CN"/>
        </w:rPr>
        <w:t xml:space="preserve"> 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 xml:space="preserve">Analisis statistik seperti </w:t>
      </w:r>
      <w:r w:rsidRPr="00D34192">
        <w:rPr>
          <w:rStyle w:val="jlqj4b"/>
          <w:rFonts w:cs="Times New Roman"/>
          <w:i/>
          <w:noProof/>
          <w:sz w:val="20"/>
          <w:szCs w:val="20"/>
          <w:lang w:val="ms-MY"/>
        </w:rPr>
        <w:t xml:space="preserve">Ujian-t </w:t>
      </w:r>
      <w:r w:rsidRPr="00D34192">
        <w:rPr>
          <w:rStyle w:val="jlqj4b"/>
          <w:rFonts w:cs="Times New Roman"/>
          <w:iCs/>
          <w:noProof/>
          <w:sz w:val="20"/>
          <w:szCs w:val="20"/>
          <w:lang w:val="ms-MY"/>
        </w:rPr>
        <w:t>pelajar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 xml:space="preserve"> dan kajian ketepatan antara hari telah dijalankan ke atas keputusan yang diperolehi.</w:t>
      </w:r>
      <w:r w:rsidRPr="00D34192">
        <w:rPr>
          <w:rFonts w:cs="Times New Roman"/>
          <w:noProof/>
          <w:sz w:val="20"/>
          <w:szCs w:val="20"/>
          <w:lang w:val="ms-MY"/>
        </w:rPr>
        <w:t xml:space="preserve"> 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 xml:space="preserve">Prosedur pencernaan basah didapati </w:t>
      </w:r>
      <w:r w:rsidRPr="00D34192">
        <w:rPr>
          <w:rStyle w:val="jlqj4b"/>
          <w:rFonts w:cs="Times New Roman"/>
          <w:noProof/>
          <w:sz w:val="20"/>
          <w:szCs w:val="20"/>
          <w:lang w:val="ms-MY" w:eastAsia="zh-CN"/>
        </w:rPr>
        <w:t xml:space="preserve">merupakan 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>kaedah yang berkesan dalam mencerna sampel makanan dengan pemulihan lebih daripada 85%.</w:t>
      </w:r>
      <w:r w:rsidRPr="00D34192">
        <w:rPr>
          <w:rStyle w:val="jlqj4b"/>
          <w:rFonts w:cs="Times New Roman"/>
          <w:noProof/>
          <w:sz w:val="20"/>
          <w:szCs w:val="20"/>
          <w:lang w:val="ms-MY" w:eastAsia="zh-CN"/>
        </w:rPr>
        <w:t xml:space="preserve"> 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>Sementara itu, ketidakselarasan kandungan unsur diperhatikan daripada sampel makanan yang dikumpul pada hari yang berbeza.</w:t>
      </w:r>
      <w:r w:rsidRPr="00D34192">
        <w:rPr>
          <w:rStyle w:val="jlqj4b"/>
          <w:rFonts w:cs="Times New Roman"/>
          <w:noProof/>
          <w:sz w:val="20"/>
          <w:szCs w:val="20"/>
          <w:lang w:val="ms-MY" w:eastAsia="zh-CN"/>
        </w:rPr>
        <w:t xml:space="preserve"> 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 xml:space="preserve">Berdasarkan </w:t>
      </w:r>
      <w:r w:rsidRPr="00D34192">
        <w:rPr>
          <w:rStyle w:val="jlqj4b"/>
          <w:rFonts w:cs="Times New Roman"/>
          <w:i/>
          <w:noProof/>
          <w:sz w:val="20"/>
          <w:szCs w:val="20"/>
          <w:lang w:val="ms-MY"/>
        </w:rPr>
        <w:t xml:space="preserve">Ujian-t </w:t>
      </w:r>
      <w:r w:rsidRPr="00D34192">
        <w:rPr>
          <w:rStyle w:val="jlqj4b"/>
          <w:rFonts w:cs="Times New Roman"/>
          <w:iCs/>
          <w:noProof/>
          <w:sz w:val="20"/>
          <w:szCs w:val="20"/>
          <w:lang w:val="ms-MY"/>
        </w:rPr>
        <w:t>pelajar,</w:t>
      </w:r>
      <w:r w:rsidRPr="00D34192">
        <w:rPr>
          <w:rStyle w:val="jlqj4b"/>
          <w:rFonts w:cs="Times New Roman"/>
          <w:noProof/>
          <w:sz w:val="20"/>
          <w:szCs w:val="20"/>
          <w:lang w:val="ms-MY"/>
        </w:rPr>
        <w:t xml:space="preserve"> kedua-dua FAAS dan ICP-OES sesuai untuk pengesanan dan penentuan logam berat dan mineral penting dalam sampel makanan.</w:t>
      </w:r>
    </w:p>
    <w:p w14:paraId="704221D4" w14:textId="77777777" w:rsidR="00D34192" w:rsidRPr="00D34192" w:rsidRDefault="00D34192" w:rsidP="00D34192">
      <w:pPr>
        <w:pStyle w:val="Newparagraph"/>
        <w:spacing w:line="276" w:lineRule="auto"/>
        <w:jc w:val="both"/>
        <w:rPr>
          <w:sz w:val="20"/>
          <w:szCs w:val="20"/>
          <w:lang w:val="ms-MY"/>
        </w:rPr>
      </w:pPr>
    </w:p>
    <w:p w14:paraId="3418B69B" w14:textId="539AA216" w:rsidR="00D34192" w:rsidRDefault="00D34192" w:rsidP="00D34192">
      <w:pPr>
        <w:pStyle w:val="Keywords"/>
        <w:spacing w:after="0" w:line="276" w:lineRule="auto"/>
        <w:ind w:left="0" w:right="-51"/>
        <w:jc w:val="both"/>
        <w:rPr>
          <w:rFonts w:cs="Times New Roman"/>
          <w:b w:val="0"/>
          <w:bCs/>
          <w:lang w:val="ms-MY"/>
        </w:rPr>
      </w:pPr>
      <w:r w:rsidRPr="00D34192">
        <w:rPr>
          <w:rFonts w:cs="Times New Roman"/>
          <w:bCs/>
          <w:lang w:val="ms-MY"/>
        </w:rPr>
        <w:t>Kata kunci:</w:t>
      </w:r>
      <w:r w:rsidRPr="00D34192">
        <w:rPr>
          <w:rFonts w:cs="Times New Roman"/>
          <w:lang w:val="ms-MY"/>
        </w:rPr>
        <w:t xml:space="preserve">  </w:t>
      </w:r>
      <w:r w:rsidRPr="00D34192">
        <w:rPr>
          <w:rStyle w:val="jlqj4b"/>
          <w:rFonts w:cs="Times New Roman"/>
          <w:b w:val="0"/>
          <w:bCs/>
          <w:noProof/>
          <w:lang w:val="ms-MY"/>
        </w:rPr>
        <w:t>Asam Laksa Pulau Pinang</w:t>
      </w:r>
      <w:r w:rsidRPr="00D34192">
        <w:rPr>
          <w:rFonts w:cs="Times New Roman"/>
          <w:b w:val="0"/>
          <w:bCs/>
          <w:lang w:val="ms-MY"/>
        </w:rPr>
        <w:t>, logam berat, mineral penting, makanan jalanan</w:t>
      </w:r>
    </w:p>
    <w:p w14:paraId="6E4906A6" w14:textId="0290F449" w:rsidR="00D34192" w:rsidRDefault="00D34192" w:rsidP="00D34192">
      <w:pPr>
        <w:pStyle w:val="Keywords"/>
        <w:spacing w:after="0" w:line="276" w:lineRule="auto"/>
        <w:ind w:left="0" w:right="-51"/>
        <w:jc w:val="both"/>
        <w:rPr>
          <w:rFonts w:cs="Times New Roman"/>
          <w:b w:val="0"/>
          <w:bCs/>
          <w:lang w:val="ms-MY"/>
        </w:rPr>
      </w:pPr>
    </w:p>
    <w:p w14:paraId="3CE5A925" w14:textId="77777777" w:rsidR="00D34192" w:rsidRPr="00383C16" w:rsidRDefault="00D34192" w:rsidP="00D34192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383C16">
        <w:rPr>
          <w:rFonts w:ascii="Times New Roman" w:hAnsi="Times New Roman"/>
          <w:b/>
          <w:noProof/>
          <w:sz w:val="20"/>
          <w:szCs w:val="20"/>
        </w:rPr>
        <w:t>References</w:t>
      </w:r>
    </w:p>
    <w:p w14:paraId="5196CB7B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>Food and Agriculture Organization. (1997). Street Foods: Report of an FAO technical meeting on street foods. Calcutta, India: Food and Agriculture Organization.</w:t>
      </w:r>
    </w:p>
    <w:p w14:paraId="2108FBC3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Tuzen, M., and Soylak, M. (2007). Evaluation of trace element contents in canned foods marketed from Turkey. </w:t>
      </w:r>
      <w:r w:rsidRPr="000C15D7">
        <w:rPr>
          <w:rFonts w:ascii="Times New Roman" w:hAnsi="Times New Roman"/>
          <w:i/>
          <w:sz w:val="20"/>
          <w:szCs w:val="20"/>
        </w:rPr>
        <w:t>Food Chemistry</w:t>
      </w:r>
      <w:r w:rsidRPr="000C15D7">
        <w:rPr>
          <w:rFonts w:ascii="Times New Roman" w:hAnsi="Times New Roman"/>
          <w:sz w:val="20"/>
          <w:szCs w:val="20"/>
        </w:rPr>
        <w:t>, 102(4): 1089-1095.</w:t>
      </w:r>
    </w:p>
    <w:p w14:paraId="0A447241" w14:textId="729B5231" w:rsidR="00D34192" w:rsidRPr="00D34192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Damastuti E., Syahfitri W. Y. N., Santoso M. and Lestiani D. D. (2012). Assessment of trace element daily intake based on consumption rate of foodstuffs in Bandung City. </w:t>
      </w:r>
      <w:r w:rsidRPr="000C15D7">
        <w:rPr>
          <w:rFonts w:ascii="Times New Roman" w:hAnsi="Times New Roman"/>
          <w:i/>
          <w:sz w:val="20"/>
          <w:szCs w:val="20"/>
        </w:rPr>
        <w:t>Atom Indonesia</w:t>
      </w:r>
      <w:r w:rsidRPr="000C15D7">
        <w:rPr>
          <w:rFonts w:ascii="Times New Roman" w:hAnsi="Times New Roman"/>
          <w:sz w:val="20"/>
          <w:szCs w:val="20"/>
        </w:rPr>
        <w:t>,</w:t>
      </w:r>
      <w:r w:rsidRPr="000C15D7">
        <w:rPr>
          <w:rFonts w:ascii="Times New Roman" w:hAnsi="Times New Roman"/>
          <w:i/>
          <w:sz w:val="20"/>
          <w:szCs w:val="20"/>
        </w:rPr>
        <w:t xml:space="preserve"> </w:t>
      </w:r>
      <w:r w:rsidRPr="000C15D7">
        <w:rPr>
          <w:rFonts w:ascii="Times New Roman" w:hAnsi="Times New Roman"/>
          <w:iCs/>
          <w:sz w:val="20"/>
          <w:szCs w:val="20"/>
        </w:rPr>
        <w:t>38</w:t>
      </w:r>
      <w:r w:rsidRPr="000C15D7">
        <w:rPr>
          <w:rFonts w:ascii="Times New Roman" w:hAnsi="Times New Roman"/>
          <w:sz w:val="20"/>
          <w:szCs w:val="20"/>
        </w:rPr>
        <w:t>(1): 29-34.</w:t>
      </w:r>
    </w:p>
    <w:p w14:paraId="7EDFE161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Jignesh, S., Vineeta, K., Abhay, S. and Vilasrao, K. (2012). Analytical methods for estimation of metals. </w:t>
      </w:r>
      <w:r w:rsidRPr="000C15D7">
        <w:rPr>
          <w:rFonts w:ascii="Times New Roman" w:hAnsi="Times New Roman"/>
          <w:i/>
          <w:sz w:val="20"/>
          <w:szCs w:val="20"/>
        </w:rPr>
        <w:t>International Journal of Research in Pharmacy and Chemistry</w:t>
      </w:r>
      <w:r w:rsidRPr="000C15D7">
        <w:rPr>
          <w:rFonts w:ascii="Times New Roman" w:hAnsi="Times New Roman"/>
          <w:sz w:val="20"/>
          <w:szCs w:val="20"/>
        </w:rPr>
        <w:t>, 2(1): 146-163.</w:t>
      </w:r>
    </w:p>
    <w:p w14:paraId="6DD64829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Salau, R. B. and Hassan, M. N. (2014). Evaluation and analysis of dietary essential mineral micronutrients in selected Malaysian foods using FAAS and ICP-MS. </w:t>
      </w:r>
      <w:r w:rsidRPr="000C15D7">
        <w:rPr>
          <w:rFonts w:ascii="Times New Roman" w:hAnsi="Times New Roman"/>
          <w:i/>
          <w:sz w:val="20"/>
          <w:szCs w:val="20"/>
        </w:rPr>
        <w:t>Modern Applied Science</w:t>
      </w:r>
      <w:r w:rsidRPr="000C15D7">
        <w:rPr>
          <w:rFonts w:ascii="Times New Roman" w:hAnsi="Times New Roman"/>
          <w:sz w:val="20"/>
          <w:szCs w:val="20"/>
        </w:rPr>
        <w:t>, 8(6): 103-111.</w:t>
      </w:r>
    </w:p>
    <w:p w14:paraId="509B4BE6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>World Health Organization (1996). Trace elements in health and nutrition. Geneva: WHO.</w:t>
      </w:r>
    </w:p>
    <w:p w14:paraId="70BB8BE5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>Tee, E. S. and Rodolfo, F. F. (2005). Recommended dietary allowances: Homogenization in Southeast Asia. International Life Sciences Institute, Southeast Region (ILSI SEA Region).</w:t>
      </w:r>
    </w:p>
    <w:p w14:paraId="65F2CC1F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>U.S. Department of Agriculture and U.S. Department of Human Services. (2010). Dietary Guidelines for Americans. 7</w:t>
      </w:r>
      <w:r w:rsidRPr="000C15D7">
        <w:rPr>
          <w:rFonts w:ascii="Times New Roman" w:hAnsi="Times New Roman"/>
          <w:sz w:val="20"/>
          <w:szCs w:val="20"/>
          <w:vertAlign w:val="superscript"/>
        </w:rPr>
        <w:t>th</w:t>
      </w:r>
      <w:r w:rsidRPr="000C15D7">
        <w:rPr>
          <w:rFonts w:ascii="Times New Roman" w:hAnsi="Times New Roman"/>
          <w:sz w:val="20"/>
          <w:szCs w:val="20"/>
        </w:rPr>
        <w:t xml:space="preserve"> Edition. Washington, DC.</w:t>
      </w:r>
    </w:p>
    <w:p w14:paraId="2E8DABE3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Zukowska, J. and Biziuk, M. (2008). Methodological evaluation of method for dietary heavy metal intake. </w:t>
      </w:r>
      <w:r w:rsidRPr="000C15D7">
        <w:rPr>
          <w:rFonts w:ascii="Times New Roman" w:hAnsi="Times New Roman"/>
          <w:i/>
          <w:sz w:val="20"/>
          <w:szCs w:val="20"/>
        </w:rPr>
        <w:t>Journal of Food Science</w:t>
      </w:r>
      <w:r w:rsidRPr="000C15D7">
        <w:rPr>
          <w:rFonts w:ascii="Times New Roman" w:hAnsi="Times New Roman"/>
          <w:sz w:val="20"/>
          <w:szCs w:val="20"/>
        </w:rPr>
        <w:t xml:space="preserve">, </w:t>
      </w:r>
      <w:r w:rsidRPr="000C15D7">
        <w:rPr>
          <w:rFonts w:ascii="Times New Roman" w:hAnsi="Times New Roman"/>
          <w:iCs/>
          <w:sz w:val="20"/>
          <w:szCs w:val="20"/>
        </w:rPr>
        <w:t>73</w:t>
      </w:r>
      <w:r w:rsidRPr="000C15D7">
        <w:rPr>
          <w:rFonts w:ascii="Times New Roman" w:hAnsi="Times New Roman"/>
          <w:sz w:val="20"/>
          <w:szCs w:val="20"/>
        </w:rPr>
        <w:t>(2): 1-9.</w:t>
      </w:r>
    </w:p>
    <w:p w14:paraId="0C07E927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Das, S. K., Grewal, A. S. and Banerjee, M. (2011). A brief review: Heavy metal and their analysis. </w:t>
      </w:r>
      <w:r w:rsidRPr="000C15D7">
        <w:rPr>
          <w:rFonts w:ascii="Times New Roman" w:hAnsi="Times New Roman"/>
          <w:i/>
          <w:iCs/>
          <w:sz w:val="20"/>
          <w:szCs w:val="20"/>
        </w:rPr>
        <w:t>International Journal of Pharmaceutical Sciences Review and Research,</w:t>
      </w:r>
      <w:r w:rsidRPr="000C15D7">
        <w:rPr>
          <w:rFonts w:ascii="Times New Roman" w:hAnsi="Times New Roman"/>
          <w:sz w:val="20"/>
          <w:szCs w:val="20"/>
        </w:rPr>
        <w:t xml:space="preserve"> 11(1): 13-18.</w:t>
      </w:r>
    </w:p>
    <w:p w14:paraId="26882DCC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Korn, M. D. G. A., Morte, E. S. D. B., Santos, D. C. M. B. D., Castro, J. T., Barbosa, J. T. P., Teixeira, A. P., Fernandes, A. P., Welz, B., Santos, W. P. C. D., Santos, E. B. G. N. D. and Korn, M. (2008). Sample preparation for determination of metals in food samples using spectroanalytical methods – A review. </w:t>
      </w:r>
      <w:r w:rsidRPr="000C15D7">
        <w:rPr>
          <w:rFonts w:ascii="Times New Roman" w:hAnsi="Times New Roman"/>
          <w:i/>
          <w:sz w:val="20"/>
          <w:szCs w:val="20"/>
        </w:rPr>
        <w:t>Applied Spectroscopy Reviews</w:t>
      </w:r>
      <w:r w:rsidRPr="000C15D7">
        <w:rPr>
          <w:rFonts w:ascii="Times New Roman" w:hAnsi="Times New Roman"/>
          <w:sz w:val="20"/>
          <w:szCs w:val="20"/>
        </w:rPr>
        <w:t>, 43(2): 67-92.</w:t>
      </w:r>
    </w:p>
    <w:p w14:paraId="5151C087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>Tuzen, M., Sari, H., Narin, I. and Soylak, M. (2004). Comparison of microwave, dry and wet digestion procedures for the determination of trace metal contents in spice samples produced in Turkey.</w:t>
      </w:r>
      <w:r w:rsidRPr="000C15D7">
        <w:rPr>
          <w:rFonts w:ascii="Times New Roman" w:hAnsi="Times New Roman"/>
          <w:i/>
          <w:iCs/>
          <w:sz w:val="20"/>
          <w:szCs w:val="20"/>
        </w:rPr>
        <w:t xml:space="preserve"> Journal of Food and Drug Analysis</w:t>
      </w:r>
      <w:r w:rsidRPr="000C15D7">
        <w:rPr>
          <w:rFonts w:ascii="Times New Roman" w:hAnsi="Times New Roman"/>
          <w:sz w:val="20"/>
          <w:szCs w:val="20"/>
        </w:rPr>
        <w:t>, 12(3): 254-258.</w:t>
      </w:r>
    </w:p>
    <w:p w14:paraId="4853D794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Momen, A. A., Georage, A. Z., Anthemidis, A. N. and Stratis, J. A. (2006). Investigation of four digestion procedures for multi-element determination of toxic and nutrient elements in legumes by inductively coupled plasma-optical emission spectrometry. </w:t>
      </w:r>
      <w:r w:rsidRPr="000C15D7">
        <w:rPr>
          <w:rFonts w:ascii="Times New Roman" w:hAnsi="Times New Roman"/>
          <w:i/>
          <w:iCs/>
          <w:sz w:val="20"/>
          <w:szCs w:val="20"/>
        </w:rPr>
        <w:t>Analytica Chimica Acta</w:t>
      </w:r>
      <w:r w:rsidRPr="000C15D7">
        <w:rPr>
          <w:rFonts w:ascii="Times New Roman" w:hAnsi="Times New Roman"/>
          <w:sz w:val="20"/>
          <w:szCs w:val="20"/>
        </w:rPr>
        <w:t>, 565(1): 81-88.</w:t>
      </w:r>
    </w:p>
    <w:p w14:paraId="53822F1E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Kira, C. S. and Maihara, V. A. (2007). Determination of major and minor elements in dairy products through </w:t>
      </w:r>
      <w:r w:rsidRPr="000C15D7">
        <w:rPr>
          <w:rFonts w:ascii="Times New Roman" w:hAnsi="Times New Roman"/>
          <w:sz w:val="20"/>
          <w:szCs w:val="20"/>
        </w:rPr>
        <w:lastRenderedPageBreak/>
        <w:t xml:space="preserve">inductively coupled plasma optical emission spectrometry after wet partial digestion and neutron activation analysis. </w:t>
      </w:r>
      <w:r w:rsidRPr="000C15D7">
        <w:rPr>
          <w:rFonts w:ascii="Times New Roman" w:hAnsi="Times New Roman"/>
          <w:i/>
          <w:iCs/>
          <w:sz w:val="20"/>
          <w:szCs w:val="20"/>
        </w:rPr>
        <w:t xml:space="preserve">Food Chemistry, </w:t>
      </w:r>
      <w:r w:rsidRPr="000C15D7">
        <w:rPr>
          <w:rFonts w:ascii="Times New Roman" w:hAnsi="Times New Roman"/>
          <w:sz w:val="20"/>
          <w:szCs w:val="20"/>
        </w:rPr>
        <w:t>100(1): 390-395.</w:t>
      </w:r>
    </w:p>
    <w:p w14:paraId="44567062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Luo, Y., Zhang, B., Chen, M., Wang, J., Zhang, X., Gao, W. Y. and Huang, J. F. (2010). Rapid and simultaneous determination of essential minerals and trace elements in human milk by improved flame atomic absorption spectroscopy (FAAS) with microwave digestion. </w:t>
      </w:r>
      <w:r w:rsidRPr="000C15D7">
        <w:rPr>
          <w:rFonts w:ascii="Times New Roman" w:hAnsi="Times New Roman"/>
          <w:i/>
          <w:sz w:val="20"/>
          <w:szCs w:val="20"/>
        </w:rPr>
        <w:t xml:space="preserve">Journal of Agricultural and Food Chemistry, </w:t>
      </w:r>
      <w:r w:rsidRPr="000C15D7">
        <w:rPr>
          <w:rFonts w:ascii="Times New Roman" w:hAnsi="Times New Roman"/>
          <w:iCs/>
          <w:sz w:val="20"/>
          <w:szCs w:val="20"/>
        </w:rPr>
        <w:t>58</w:t>
      </w:r>
      <w:r w:rsidRPr="000C15D7">
        <w:rPr>
          <w:rFonts w:ascii="Times New Roman" w:hAnsi="Times New Roman"/>
          <w:sz w:val="20"/>
          <w:szCs w:val="20"/>
        </w:rPr>
        <w:t>(17): 9396-9400.</w:t>
      </w:r>
    </w:p>
    <w:p w14:paraId="43223B50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Boutakhrit, K., Crisci, M., Bolle, F. and Loca, J. V. (2011). Comparison of four analytical techniques based on atomic spectrometry for the determination of total tin in canned foodstuffs. </w:t>
      </w:r>
      <w:r w:rsidRPr="000C15D7">
        <w:rPr>
          <w:rFonts w:ascii="Times New Roman" w:hAnsi="Times New Roman"/>
          <w:i/>
          <w:sz w:val="20"/>
          <w:szCs w:val="20"/>
        </w:rPr>
        <w:t xml:space="preserve">Food Additives and Contaminants, </w:t>
      </w:r>
      <w:r w:rsidRPr="000C15D7">
        <w:rPr>
          <w:rFonts w:ascii="Times New Roman" w:hAnsi="Times New Roman"/>
          <w:iCs/>
          <w:sz w:val="20"/>
          <w:szCs w:val="20"/>
        </w:rPr>
        <w:t>28</w:t>
      </w:r>
      <w:r w:rsidRPr="000C15D7">
        <w:rPr>
          <w:rFonts w:ascii="Times New Roman" w:hAnsi="Times New Roman"/>
          <w:sz w:val="20"/>
          <w:szCs w:val="20"/>
        </w:rPr>
        <w:t>(2): 1-18.</w:t>
      </w:r>
    </w:p>
    <w:p w14:paraId="134A527E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iCs/>
          <w:sz w:val="20"/>
          <w:szCs w:val="20"/>
        </w:rPr>
      </w:pPr>
      <w:r w:rsidRPr="000C15D7">
        <w:rPr>
          <w:rFonts w:ascii="Times New Roman" w:hAnsi="Times New Roman"/>
          <w:iCs/>
          <w:sz w:val="20"/>
          <w:szCs w:val="20"/>
        </w:rPr>
        <w:t>Perkin Elmer (2011). Exceptional performance for challenging mercury analyses. Perkinelmer, Inc.</w:t>
      </w:r>
    </w:p>
    <w:p w14:paraId="254B6ADD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  <w:shd w:val="clear" w:color="auto" w:fill="FFFFFF"/>
        </w:rPr>
        <w:t xml:space="preserve">Khor, S. (2015). Penang Laksa isn't the only laksa out there. You need to try them all. like really. SAYS. </w:t>
      </w:r>
      <w:r w:rsidRPr="003F4F45">
        <w:rPr>
          <w:rFonts w:ascii="Times New Roman" w:hAnsi="Times New Roman"/>
          <w:sz w:val="20"/>
          <w:szCs w:val="20"/>
          <w:shd w:val="clear" w:color="auto" w:fill="FFFFFF"/>
        </w:rPr>
        <w:t>https://says.com/my/lifestyle/let-s-talk-about-laksa</w:t>
      </w:r>
      <w:r w:rsidRPr="000C15D7">
        <w:rPr>
          <w:rStyle w:val="Hyperlink"/>
          <w:rFonts w:ascii="Times New Roman" w:hAnsi="Times New Roman"/>
          <w:sz w:val="20"/>
          <w:szCs w:val="20"/>
          <w:shd w:val="clear" w:color="auto" w:fill="FFFFFF"/>
        </w:rPr>
        <w:t>.</w:t>
      </w:r>
      <w:r w:rsidRPr="000C15D7">
        <w:rPr>
          <w:rFonts w:ascii="Times New Roman" w:hAnsi="Times New Roman"/>
          <w:sz w:val="20"/>
          <w:szCs w:val="20"/>
          <w:shd w:val="clear" w:color="auto" w:fill="FFFFFF"/>
        </w:rPr>
        <w:t xml:space="preserve"> [Access online 27 March 2020]. </w:t>
      </w:r>
    </w:p>
    <w:p w14:paraId="594F77E0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>Malaysia Food Act 1983 and Food Regulations 1985 (2017). Warta Kerajaan Malaysia. Kuala Lumpur: Ministry of Health Malaysia.</w:t>
      </w:r>
    </w:p>
    <w:p w14:paraId="58B6B32D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Yuvarani, T., Anuradha, V., and Praveena, A. (2013). Analysis of antioxidants, minerals and vitamins composition between male and female Indian mackerel – Rastrelliger Kanagurta. </w:t>
      </w:r>
      <w:r w:rsidRPr="000C15D7">
        <w:rPr>
          <w:rFonts w:ascii="Times New Roman" w:hAnsi="Times New Roman"/>
          <w:i/>
          <w:sz w:val="20"/>
          <w:szCs w:val="20"/>
        </w:rPr>
        <w:t>International Journal of Food, Agriculture and Veterinary Sciences</w:t>
      </w:r>
      <w:r w:rsidRPr="000C15D7">
        <w:rPr>
          <w:rFonts w:ascii="Times New Roman" w:hAnsi="Times New Roman"/>
          <w:sz w:val="20"/>
          <w:szCs w:val="20"/>
        </w:rPr>
        <w:t xml:space="preserve">, </w:t>
      </w:r>
      <w:r w:rsidRPr="000C15D7">
        <w:rPr>
          <w:rFonts w:ascii="Times New Roman" w:hAnsi="Times New Roman"/>
          <w:iCs/>
          <w:sz w:val="20"/>
          <w:szCs w:val="20"/>
        </w:rPr>
        <w:t>3</w:t>
      </w:r>
      <w:r w:rsidRPr="000C15D7">
        <w:rPr>
          <w:rFonts w:ascii="Times New Roman" w:hAnsi="Times New Roman"/>
          <w:sz w:val="20"/>
          <w:szCs w:val="20"/>
        </w:rPr>
        <w:t>(1): 76-81.</w:t>
      </w:r>
    </w:p>
    <w:p w14:paraId="7404A747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Nurnadia, A. A., Azrina, A., Amin, I., Mohd Yunus, A. S. and Mohd Izuan, E. H. (2013). Mineral contents of selected marine fish and shellfish from the west coast of Peninsular Malaysia. </w:t>
      </w:r>
      <w:r w:rsidRPr="000C15D7">
        <w:rPr>
          <w:rFonts w:ascii="Times New Roman" w:hAnsi="Times New Roman"/>
          <w:i/>
          <w:sz w:val="20"/>
          <w:szCs w:val="20"/>
        </w:rPr>
        <w:t xml:space="preserve">International Food Research Journal, </w:t>
      </w:r>
      <w:r w:rsidRPr="000C15D7">
        <w:rPr>
          <w:rFonts w:ascii="Times New Roman" w:hAnsi="Times New Roman"/>
          <w:iCs/>
          <w:sz w:val="20"/>
          <w:szCs w:val="20"/>
        </w:rPr>
        <w:t>20</w:t>
      </w:r>
      <w:r w:rsidRPr="000C15D7">
        <w:rPr>
          <w:rFonts w:ascii="Times New Roman" w:hAnsi="Times New Roman"/>
          <w:sz w:val="20"/>
          <w:szCs w:val="20"/>
        </w:rPr>
        <w:t>(1): 431-437.</w:t>
      </w:r>
    </w:p>
    <w:p w14:paraId="71923824" w14:textId="77777777" w:rsidR="00D34192" w:rsidRPr="000C15D7" w:rsidRDefault="00D34192" w:rsidP="00D34192">
      <w:pPr>
        <w:pStyle w:val="ListParagraph"/>
        <w:widowControl w:val="0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Mehrdad, R. R., Mehravar, R. R., Sohrab, K. and Ali, A. M. (2017). Cadmium toxicity and treatment: An update. </w:t>
      </w:r>
      <w:r w:rsidRPr="000C15D7">
        <w:rPr>
          <w:rFonts w:ascii="Times New Roman" w:hAnsi="Times New Roman"/>
          <w:i/>
          <w:sz w:val="20"/>
          <w:szCs w:val="20"/>
        </w:rPr>
        <w:t xml:space="preserve">Caspian Journal of Internal Medicine, </w:t>
      </w:r>
      <w:r w:rsidRPr="000C15D7">
        <w:rPr>
          <w:rFonts w:ascii="Times New Roman" w:hAnsi="Times New Roman"/>
          <w:iCs/>
          <w:sz w:val="20"/>
          <w:szCs w:val="20"/>
        </w:rPr>
        <w:t>8</w:t>
      </w:r>
      <w:r w:rsidRPr="000C15D7">
        <w:rPr>
          <w:rFonts w:ascii="Times New Roman" w:hAnsi="Times New Roman"/>
          <w:sz w:val="20"/>
          <w:szCs w:val="20"/>
        </w:rPr>
        <w:t>(3): 135-145.</w:t>
      </w:r>
    </w:p>
    <w:p w14:paraId="1180A5E8" w14:textId="77777777" w:rsidR="00D34192" w:rsidRPr="000C15D7" w:rsidRDefault="00D34192" w:rsidP="00D34192">
      <w:pPr>
        <w:pStyle w:val="ListParagraph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5D7">
        <w:rPr>
          <w:rFonts w:ascii="Times New Roman" w:hAnsi="Times New Roman"/>
          <w:sz w:val="20"/>
          <w:szCs w:val="20"/>
        </w:rPr>
        <w:t xml:space="preserve">Salama, A. K., and Radwan, M. A. (2005). Heavy metals (Cd, Pb) and trace elements (Cu, Zn) contents in some foodstuffs from the Egyptian market. </w:t>
      </w:r>
      <w:r w:rsidRPr="000C15D7">
        <w:rPr>
          <w:rFonts w:ascii="Times New Roman" w:hAnsi="Times New Roman"/>
          <w:i/>
          <w:iCs/>
          <w:sz w:val="20"/>
          <w:szCs w:val="20"/>
        </w:rPr>
        <w:t>Journal of Agricultural Sciences</w:t>
      </w:r>
      <w:r w:rsidRPr="000C15D7">
        <w:rPr>
          <w:rFonts w:ascii="Times New Roman" w:hAnsi="Times New Roman"/>
          <w:sz w:val="20"/>
          <w:szCs w:val="20"/>
        </w:rPr>
        <w:t>, 17(1): 34-42.</w:t>
      </w:r>
    </w:p>
    <w:p w14:paraId="0DF8503E" w14:textId="0F696D42" w:rsidR="00D34192" w:rsidRPr="00D34192" w:rsidRDefault="00D34192" w:rsidP="00D34192">
      <w:pPr>
        <w:pStyle w:val="Keywords"/>
        <w:spacing w:after="0" w:line="276" w:lineRule="auto"/>
        <w:ind w:left="0" w:right="-51"/>
        <w:jc w:val="both"/>
        <w:rPr>
          <w:rFonts w:cs="Times New Roman"/>
          <w:b w:val="0"/>
          <w:bCs/>
          <w:lang w:val="ms-MY" w:eastAsia="zh-CN"/>
        </w:rPr>
      </w:pPr>
      <w:r w:rsidRPr="000C15D7">
        <w:t xml:space="preserve">Jarup, L. (2003). Hazards of heavy metal contamination. </w:t>
      </w:r>
      <w:r w:rsidRPr="000C15D7">
        <w:rPr>
          <w:i/>
        </w:rPr>
        <w:t>British Medical Bulletin</w:t>
      </w:r>
      <w:r w:rsidRPr="000C15D7">
        <w:t xml:space="preserve">, </w:t>
      </w:r>
      <w:r w:rsidRPr="000C15D7">
        <w:rPr>
          <w:iCs/>
        </w:rPr>
        <w:t>68</w:t>
      </w:r>
      <w:r w:rsidRPr="000C15D7">
        <w:t>: 167-182.</w:t>
      </w:r>
    </w:p>
    <w:p w14:paraId="2CA00642" w14:textId="77777777" w:rsidR="00D34192" w:rsidRDefault="00D34192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D2528" w14:textId="77777777" w:rsidR="007F08A2" w:rsidRDefault="007F08A2" w:rsidP="00F37874">
      <w:pPr>
        <w:spacing w:after="0"/>
        <w:outlineLvl w:val="0"/>
        <w:rPr>
          <w:rFonts w:ascii="Times New Roman" w:hAnsi="Times New Roman"/>
          <w:sz w:val="28"/>
          <w:szCs w:val="28"/>
          <w:lang w:val="en-GB"/>
        </w:rPr>
        <w:sectPr w:rsidR="007F08A2" w:rsidSect="007962C4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7938" w14:textId="77777777" w:rsidR="00443367" w:rsidRDefault="00443367">
      <w:pPr>
        <w:spacing w:after="0" w:line="240" w:lineRule="auto"/>
      </w:pPr>
      <w:r>
        <w:separator/>
      </w:r>
    </w:p>
  </w:endnote>
  <w:endnote w:type="continuationSeparator" w:id="0">
    <w:p w14:paraId="18611C23" w14:textId="77777777" w:rsidR="00443367" w:rsidRDefault="0044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,Bold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585" w14:textId="77777777" w:rsidR="007F08A2" w:rsidRDefault="007F08A2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0C4" w14:textId="4E7A3DA4" w:rsidR="007F08A2" w:rsidRPr="004B43FF" w:rsidRDefault="007F08A2">
    <w:pPr>
      <w:pStyle w:val="Footer"/>
      <w:rPr>
        <w:rFonts w:ascii="Times New Roman" w:hAnsi="Times New Roman"/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1827" w14:textId="77777777" w:rsidR="00443367" w:rsidRDefault="00443367">
      <w:pPr>
        <w:spacing w:after="0" w:line="240" w:lineRule="auto"/>
      </w:pPr>
      <w:r>
        <w:separator/>
      </w:r>
    </w:p>
  </w:footnote>
  <w:footnote w:type="continuationSeparator" w:id="0">
    <w:p w14:paraId="22708ED0" w14:textId="77777777" w:rsidR="00443367" w:rsidRDefault="0044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44336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443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7D655606"/>
    <w:multiLevelType w:val="hybridMultilevel"/>
    <w:tmpl w:val="F3688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52719">
    <w:abstractNumId w:val="4"/>
  </w:num>
  <w:num w:numId="2" w16cid:durableId="1621719910">
    <w:abstractNumId w:val="3"/>
  </w:num>
  <w:num w:numId="3" w16cid:durableId="169686432">
    <w:abstractNumId w:val="9"/>
  </w:num>
  <w:num w:numId="4" w16cid:durableId="1488783781">
    <w:abstractNumId w:val="2"/>
  </w:num>
  <w:num w:numId="5" w16cid:durableId="1095051155">
    <w:abstractNumId w:val="5"/>
  </w:num>
  <w:num w:numId="6" w16cid:durableId="341202229">
    <w:abstractNumId w:val="8"/>
  </w:num>
  <w:num w:numId="7" w16cid:durableId="1033337285">
    <w:abstractNumId w:val="1"/>
  </w:num>
  <w:num w:numId="8" w16cid:durableId="2027166915">
    <w:abstractNumId w:val="6"/>
  </w:num>
  <w:num w:numId="9" w16cid:durableId="1961647862">
    <w:abstractNumId w:val="7"/>
  </w:num>
  <w:num w:numId="10" w16cid:durableId="2013412185">
    <w:abstractNumId w:val="0"/>
  </w:num>
  <w:num w:numId="11" w16cid:durableId="1563868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77CE7"/>
    <w:rsid w:val="00095557"/>
    <w:rsid w:val="000D2B53"/>
    <w:rsid w:val="00100CEF"/>
    <w:rsid w:val="001573E3"/>
    <w:rsid w:val="00184405"/>
    <w:rsid w:val="00185EDF"/>
    <w:rsid w:val="001E55BE"/>
    <w:rsid w:val="00226372"/>
    <w:rsid w:val="002B425B"/>
    <w:rsid w:val="002D51DC"/>
    <w:rsid w:val="002F626B"/>
    <w:rsid w:val="00357881"/>
    <w:rsid w:val="00385369"/>
    <w:rsid w:val="003A1F80"/>
    <w:rsid w:val="003F1CFF"/>
    <w:rsid w:val="0044292C"/>
    <w:rsid w:val="00443367"/>
    <w:rsid w:val="00460C95"/>
    <w:rsid w:val="00473CD4"/>
    <w:rsid w:val="00487993"/>
    <w:rsid w:val="005119B4"/>
    <w:rsid w:val="005136AA"/>
    <w:rsid w:val="005644C8"/>
    <w:rsid w:val="005F401D"/>
    <w:rsid w:val="006149E4"/>
    <w:rsid w:val="00677937"/>
    <w:rsid w:val="006E79D9"/>
    <w:rsid w:val="006F3FC1"/>
    <w:rsid w:val="00774151"/>
    <w:rsid w:val="007761C2"/>
    <w:rsid w:val="007962C4"/>
    <w:rsid w:val="007D0E7F"/>
    <w:rsid w:val="007D191B"/>
    <w:rsid w:val="007F08A2"/>
    <w:rsid w:val="007F7EB3"/>
    <w:rsid w:val="00832F59"/>
    <w:rsid w:val="00834CDE"/>
    <w:rsid w:val="00863F22"/>
    <w:rsid w:val="00900BAC"/>
    <w:rsid w:val="00920B02"/>
    <w:rsid w:val="00950912"/>
    <w:rsid w:val="00975E1A"/>
    <w:rsid w:val="00985BE2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E5F5F"/>
    <w:rsid w:val="00C24D5C"/>
    <w:rsid w:val="00C71438"/>
    <w:rsid w:val="00C72F3E"/>
    <w:rsid w:val="00C73A4A"/>
    <w:rsid w:val="00C91816"/>
    <w:rsid w:val="00CE6DF3"/>
    <w:rsid w:val="00D04BC8"/>
    <w:rsid w:val="00D0718B"/>
    <w:rsid w:val="00D34192"/>
    <w:rsid w:val="00D40B1F"/>
    <w:rsid w:val="00D414B9"/>
    <w:rsid w:val="00DE20A8"/>
    <w:rsid w:val="00E67FF6"/>
    <w:rsid w:val="00EA6DE5"/>
    <w:rsid w:val="00EC5D90"/>
    <w:rsid w:val="00F10961"/>
    <w:rsid w:val="00F37874"/>
    <w:rsid w:val="00F437F2"/>
    <w:rsid w:val="00F75758"/>
    <w:rsid w:val="00FA1675"/>
    <w:rsid w:val="00FC0E69"/>
    <w:rsid w:val="00FE4E1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  <w:style w:type="paragraph" w:customStyle="1" w:styleId="Keywords">
    <w:name w:val="Keywords"/>
    <w:basedOn w:val="Normal"/>
    <w:qFormat/>
    <w:rsid w:val="00D34192"/>
    <w:pPr>
      <w:spacing w:after="120" w:line="240" w:lineRule="auto"/>
      <w:ind w:left="288" w:right="288"/>
    </w:pPr>
    <w:rPr>
      <w:rFonts w:ascii="Times New Roman" w:eastAsia="Times New Roman" w:hAnsi="Times New Roman" w:cs="Angsana New"/>
      <w:b/>
      <w:sz w:val="20"/>
      <w:szCs w:val="20"/>
    </w:rPr>
  </w:style>
  <w:style w:type="character" w:customStyle="1" w:styleId="ParagraphChar">
    <w:name w:val="Paragraph Char"/>
    <w:basedOn w:val="DefaultParagraphFont"/>
    <w:link w:val="Paragraph"/>
    <w:locked/>
    <w:rsid w:val="00D34192"/>
    <w:rPr>
      <w:rFonts w:ascii="Times New Roman" w:eastAsia="Droid Sans" w:hAnsi="Times New Roman" w:cs="Calibri"/>
    </w:rPr>
  </w:style>
  <w:style w:type="paragraph" w:customStyle="1" w:styleId="Paragraph">
    <w:name w:val="Paragraph"/>
    <w:basedOn w:val="Normal"/>
    <w:link w:val="ParagraphChar"/>
    <w:qFormat/>
    <w:rsid w:val="00D34192"/>
    <w:pPr>
      <w:tabs>
        <w:tab w:val="left" w:pos="708"/>
      </w:tabs>
      <w:suppressAutoHyphens/>
      <w:spacing w:before="40" w:after="40" w:line="240" w:lineRule="auto"/>
      <w:jc w:val="both"/>
    </w:pPr>
    <w:rPr>
      <w:rFonts w:ascii="Times New Roman" w:eastAsia="Droid Sans" w:hAnsi="Times New Roman" w:cs="Calibri"/>
    </w:rPr>
  </w:style>
  <w:style w:type="paragraph" w:customStyle="1" w:styleId="Abstract">
    <w:name w:val="Abstract"/>
    <w:basedOn w:val="Normal"/>
    <w:next w:val="Keywords"/>
    <w:qFormat/>
    <w:rsid w:val="00D34192"/>
    <w:pPr>
      <w:spacing w:before="360" w:after="300" w:line="360" w:lineRule="auto"/>
      <w:ind w:left="720" w:right="567"/>
    </w:pPr>
    <w:rPr>
      <w:rFonts w:ascii="Times New Roman" w:eastAsiaTheme="minorEastAsia" w:hAnsi="Times New Roman" w:cs="Times New Roman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D34192"/>
    <w:pPr>
      <w:spacing w:after="0" w:line="480" w:lineRule="auto"/>
      <w:ind w:firstLine="720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jlqj4b">
    <w:name w:val="jlqj4b"/>
    <w:basedOn w:val="DefaultParagraphFont"/>
    <w:rsid w:val="00D34192"/>
  </w:style>
  <w:style w:type="character" w:customStyle="1" w:styleId="viiyi">
    <w:name w:val="viiyi"/>
    <w:basedOn w:val="DefaultParagraphFont"/>
    <w:rsid w:val="00D34192"/>
  </w:style>
  <w:style w:type="paragraph" w:styleId="IntenseQuote">
    <w:name w:val="Intense Quote"/>
    <w:basedOn w:val="Normal"/>
    <w:next w:val="Normal"/>
    <w:link w:val="IntenseQuoteChar"/>
    <w:uiPriority w:val="30"/>
    <w:qFormat/>
    <w:rsid w:val="00D341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  <w:lang w:val="x-none" w:eastAsia="x-none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192"/>
    <w:rPr>
      <w:rFonts w:ascii="Cambria" w:eastAsia="Times New Roman" w:hAnsi="Cambria" w:cs="Times New Roman"/>
      <w:i/>
      <w:iCs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26 No 1 (2022)</vt:lpstr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26 No 2 (2022)</dc:title>
  <dc:creator>Harun Hamzah</dc:creator>
  <cp:lastModifiedBy>Harun Hamzah</cp:lastModifiedBy>
  <cp:revision>2</cp:revision>
  <cp:lastPrinted>2020-04-01T04:48:00Z</cp:lastPrinted>
  <dcterms:created xsi:type="dcterms:W3CDTF">2022-04-15T00:08:00Z</dcterms:created>
  <dcterms:modified xsi:type="dcterms:W3CDTF">2022-04-15T00:08:00Z</dcterms:modified>
</cp:coreProperties>
</file>