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5EE6" w14:textId="10830630"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985BE2">
        <w:rPr>
          <w:rFonts w:ascii="Times New Roman" w:hAnsi="Times New Roman" w:cs="Times New Roman"/>
          <w:b/>
          <w:i/>
          <w:sz w:val="24"/>
          <w:szCs w:val="24"/>
        </w:rPr>
        <w:t>3</w:t>
      </w:r>
      <w:r w:rsidR="00C244E9">
        <w:rPr>
          <w:rFonts w:ascii="Times New Roman" w:hAnsi="Times New Roman" w:cs="Times New Roman"/>
          <w:b/>
          <w:i/>
          <w:sz w:val="24"/>
          <w:szCs w:val="24"/>
        </w:rPr>
        <w:t>96</w:t>
      </w:r>
      <w:r w:rsidR="009B31A6">
        <w:rPr>
          <w:rFonts w:ascii="Times New Roman" w:hAnsi="Times New Roman" w:cs="Times New Roman"/>
          <w:b/>
          <w:i/>
          <w:sz w:val="24"/>
          <w:szCs w:val="24"/>
        </w:rPr>
        <w:t xml:space="preserve"> - </w:t>
      </w:r>
      <w:r w:rsidR="00C244E9">
        <w:rPr>
          <w:rFonts w:ascii="Times New Roman" w:hAnsi="Times New Roman" w:cs="Times New Roman"/>
          <w:b/>
          <w:i/>
          <w:sz w:val="24"/>
          <w:szCs w:val="24"/>
        </w:rPr>
        <w:t>411</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D91250D" w:rsidR="00185EDF" w:rsidRDefault="00185EDF" w:rsidP="001E55BE">
      <w:pPr>
        <w:spacing w:after="0"/>
        <w:rPr>
          <w:rFonts w:ascii="Times New Roman" w:hAnsi="Times New Roman" w:cs="Times New Roman"/>
          <w:sz w:val="24"/>
          <w:szCs w:val="24"/>
        </w:rPr>
      </w:pPr>
    </w:p>
    <w:p w14:paraId="04D94225" w14:textId="77777777" w:rsidR="00C244E9" w:rsidRPr="00507074" w:rsidRDefault="00C244E9" w:rsidP="00C244E9">
      <w:pPr>
        <w:spacing w:after="0"/>
        <w:jc w:val="center"/>
        <w:rPr>
          <w:rFonts w:ascii="Times New Roman" w:hAnsi="Times New Roman"/>
          <w:caps/>
          <w:sz w:val="28"/>
          <w:szCs w:val="28"/>
          <w:lang w:eastAsia="zh-CN"/>
        </w:rPr>
      </w:pPr>
      <w:r w:rsidRPr="00507074">
        <w:rPr>
          <w:rFonts w:ascii="Times New Roman" w:hAnsi="Times New Roman"/>
          <w:caps/>
          <w:sz w:val="28"/>
          <w:szCs w:val="28"/>
        </w:rPr>
        <w:t>Initiatives in utilizing natural reagents and natural materials for chemical analysis:</w:t>
      </w:r>
      <w:r>
        <w:rPr>
          <w:rFonts w:ascii="Times New Roman" w:hAnsi="Times New Roman"/>
          <w:caps/>
          <w:sz w:val="28"/>
          <w:szCs w:val="28"/>
          <w:lang w:eastAsia="zh-CN"/>
        </w:rPr>
        <w:t xml:space="preserve"> </w:t>
      </w:r>
      <w:r w:rsidRPr="00507074">
        <w:rPr>
          <w:rFonts w:ascii="Times New Roman" w:hAnsi="Times New Roman"/>
          <w:caps/>
          <w:sz w:val="28"/>
          <w:szCs w:val="28"/>
        </w:rPr>
        <w:t xml:space="preserve">Talent and challenge for ASEAN in new normal chemical analysis  </w:t>
      </w:r>
    </w:p>
    <w:p w14:paraId="1DCB3B3E" w14:textId="77777777" w:rsidR="00C244E9" w:rsidRPr="00507074" w:rsidRDefault="00C244E9" w:rsidP="00C244E9">
      <w:pPr>
        <w:spacing w:after="0"/>
        <w:jc w:val="center"/>
        <w:rPr>
          <w:rFonts w:ascii="Times New Roman" w:hAnsi="Times New Roman"/>
          <w:b/>
          <w:bCs/>
          <w:caps/>
          <w:sz w:val="24"/>
          <w:szCs w:val="24"/>
        </w:rPr>
      </w:pPr>
    </w:p>
    <w:p w14:paraId="18AC7D09" w14:textId="77777777" w:rsidR="00C244E9" w:rsidRPr="00507074" w:rsidRDefault="00C244E9" w:rsidP="00C244E9">
      <w:pPr>
        <w:spacing w:after="0"/>
        <w:jc w:val="center"/>
        <w:rPr>
          <w:rFonts w:ascii="Times New Roman" w:hAnsi="Times New Roman"/>
          <w:noProof/>
          <w:sz w:val="24"/>
          <w:szCs w:val="24"/>
        </w:rPr>
      </w:pPr>
      <w:r w:rsidRPr="00507074">
        <w:rPr>
          <w:rFonts w:ascii="Times New Roman" w:hAnsi="Times New Roman"/>
          <w:noProof/>
          <w:sz w:val="24"/>
          <w:szCs w:val="24"/>
        </w:rPr>
        <w:t>(Inisiatif dalam Penggunaan Reagen Semulajadi dan Bahan Semulajadi bagi Analisis Kimia: Bakat dan Cabaran untuk ASEAN dalam Analisis Kimia Norma Baru)</w:t>
      </w:r>
    </w:p>
    <w:p w14:paraId="2C458EFF" w14:textId="77777777" w:rsidR="00C244E9" w:rsidRPr="00507074" w:rsidRDefault="00C244E9" w:rsidP="00C244E9">
      <w:pPr>
        <w:spacing w:after="0"/>
        <w:jc w:val="center"/>
        <w:rPr>
          <w:rFonts w:ascii="Times New Roman" w:hAnsi="Times New Roman"/>
          <w:b/>
          <w:bCs/>
          <w:sz w:val="20"/>
          <w:szCs w:val="20"/>
        </w:rPr>
      </w:pPr>
    </w:p>
    <w:p w14:paraId="038BA67B" w14:textId="66227883" w:rsidR="00C244E9" w:rsidRPr="00507074" w:rsidRDefault="00C244E9" w:rsidP="00C244E9">
      <w:pPr>
        <w:shd w:val="clear" w:color="auto" w:fill="FFFFFF"/>
        <w:spacing w:after="0"/>
        <w:jc w:val="center"/>
        <w:rPr>
          <w:rFonts w:ascii="Times New Roman" w:hAnsi="Times New Roman"/>
          <w:iCs/>
          <w:noProof/>
          <w:sz w:val="20"/>
          <w:szCs w:val="20"/>
          <w:lang w:val="ms-MY"/>
        </w:rPr>
      </w:pPr>
      <w:r w:rsidRPr="00507074">
        <w:rPr>
          <w:rFonts w:ascii="Times New Roman" w:hAnsi="Times New Roman"/>
          <w:iCs/>
          <w:noProof/>
          <w:sz w:val="20"/>
          <w:szCs w:val="20"/>
          <w:lang w:val="ms-MY"/>
        </w:rPr>
        <w:t>Kanokwan Kiwfo</w:t>
      </w:r>
      <w:r w:rsidRPr="00507074">
        <w:rPr>
          <w:rFonts w:ascii="Times New Roman" w:hAnsi="Times New Roman"/>
          <w:iCs/>
          <w:noProof/>
          <w:sz w:val="20"/>
          <w:szCs w:val="20"/>
          <w:vertAlign w:val="superscript"/>
          <w:lang w:val="ms-MY"/>
        </w:rPr>
        <w:t>1,2</w:t>
      </w:r>
      <w:r w:rsidRPr="00507074">
        <w:rPr>
          <w:rFonts w:ascii="Times New Roman" w:hAnsi="Times New Roman"/>
          <w:iCs/>
          <w:noProof/>
          <w:sz w:val="20"/>
          <w:szCs w:val="20"/>
          <w:lang w:val="ms-MY"/>
        </w:rPr>
        <w:t>, Pei Meng Woi</w:t>
      </w:r>
      <w:r w:rsidRPr="00507074">
        <w:rPr>
          <w:rFonts w:ascii="Times New Roman" w:hAnsi="Times New Roman"/>
          <w:iCs/>
          <w:noProof/>
          <w:sz w:val="20"/>
          <w:szCs w:val="20"/>
          <w:vertAlign w:val="superscript"/>
          <w:lang w:val="ms-MY"/>
        </w:rPr>
        <w:t>3</w:t>
      </w:r>
      <w:r w:rsidRPr="00507074">
        <w:rPr>
          <w:rFonts w:ascii="Times New Roman" w:hAnsi="Times New Roman"/>
          <w:iCs/>
          <w:noProof/>
          <w:sz w:val="20"/>
          <w:szCs w:val="20"/>
          <w:lang w:val="ms-MY"/>
        </w:rPr>
        <w:t>*, Chalermpong Saenjum</w:t>
      </w:r>
      <w:r w:rsidRPr="00507074">
        <w:rPr>
          <w:rFonts w:ascii="Times New Roman" w:hAnsi="Times New Roman"/>
          <w:iCs/>
          <w:noProof/>
          <w:sz w:val="20"/>
          <w:szCs w:val="20"/>
          <w:vertAlign w:val="superscript"/>
          <w:lang w:val="ms-MY"/>
        </w:rPr>
        <w:t>1</w:t>
      </w:r>
      <w:r w:rsidR="00206477">
        <w:rPr>
          <w:rFonts w:ascii="Times New Roman" w:hAnsi="Times New Roman"/>
          <w:iCs/>
          <w:noProof/>
          <w:sz w:val="20"/>
          <w:szCs w:val="20"/>
          <w:vertAlign w:val="superscript"/>
          <w:lang w:val="ms-MY"/>
        </w:rPr>
        <w:t>,</w:t>
      </w:r>
      <w:r w:rsidRPr="00507074">
        <w:rPr>
          <w:rFonts w:ascii="Times New Roman" w:hAnsi="Times New Roman"/>
          <w:iCs/>
          <w:noProof/>
          <w:sz w:val="20"/>
          <w:szCs w:val="20"/>
          <w:vertAlign w:val="superscript"/>
          <w:lang w:val="ms-MY"/>
        </w:rPr>
        <w:t>2</w:t>
      </w:r>
      <w:r w:rsidR="00206477">
        <w:rPr>
          <w:rFonts w:ascii="Times New Roman" w:hAnsi="Times New Roman"/>
          <w:iCs/>
          <w:noProof/>
          <w:sz w:val="20"/>
          <w:szCs w:val="20"/>
          <w:vertAlign w:val="superscript"/>
          <w:lang w:val="ms-MY"/>
        </w:rPr>
        <w:t>,</w:t>
      </w:r>
      <w:r w:rsidRPr="00507074">
        <w:rPr>
          <w:rFonts w:ascii="Times New Roman" w:hAnsi="Times New Roman"/>
          <w:iCs/>
          <w:noProof/>
          <w:sz w:val="20"/>
          <w:szCs w:val="20"/>
          <w:vertAlign w:val="superscript"/>
          <w:lang w:val="ms-MY"/>
        </w:rPr>
        <w:t>4</w:t>
      </w:r>
      <w:r w:rsidRPr="00507074">
        <w:rPr>
          <w:rFonts w:ascii="Times New Roman" w:hAnsi="Times New Roman"/>
          <w:iCs/>
          <w:noProof/>
          <w:sz w:val="20"/>
          <w:szCs w:val="20"/>
          <w:lang w:val="ms-MY"/>
        </w:rPr>
        <w:t>, Treethip Sukkho</w:t>
      </w:r>
      <w:r w:rsidRPr="00507074">
        <w:rPr>
          <w:rFonts w:ascii="Times New Roman" w:hAnsi="Times New Roman"/>
          <w:iCs/>
          <w:noProof/>
          <w:sz w:val="20"/>
          <w:szCs w:val="20"/>
          <w:vertAlign w:val="superscript"/>
          <w:lang w:val="ms-MY"/>
        </w:rPr>
        <w:t>1,2,4</w:t>
      </w:r>
      <w:r w:rsidRPr="00507074">
        <w:rPr>
          <w:rFonts w:ascii="Times New Roman" w:hAnsi="Times New Roman"/>
          <w:iCs/>
          <w:noProof/>
          <w:sz w:val="20"/>
          <w:szCs w:val="20"/>
          <w:lang w:val="ms-MY"/>
        </w:rPr>
        <w:t>, Kate Grudpan</w:t>
      </w:r>
      <w:r w:rsidRPr="00507074">
        <w:rPr>
          <w:rFonts w:ascii="Times New Roman" w:hAnsi="Times New Roman"/>
          <w:iCs/>
          <w:noProof/>
          <w:sz w:val="20"/>
          <w:szCs w:val="20"/>
          <w:vertAlign w:val="superscript"/>
          <w:lang w:val="ms-MY"/>
        </w:rPr>
        <w:t>1,2,5</w:t>
      </w:r>
    </w:p>
    <w:p w14:paraId="1F7E67FF" w14:textId="77777777" w:rsidR="00C244E9" w:rsidRPr="00C244E9" w:rsidRDefault="00C244E9" w:rsidP="00C244E9">
      <w:pPr>
        <w:shd w:val="clear" w:color="auto" w:fill="FFFFFF"/>
        <w:spacing w:after="0"/>
        <w:jc w:val="center"/>
        <w:rPr>
          <w:rFonts w:ascii="Times New Roman" w:hAnsi="Times New Roman"/>
          <w:i/>
          <w:iCs/>
          <w:noProof/>
          <w:sz w:val="20"/>
          <w:szCs w:val="20"/>
          <w:lang w:val="ms-MY"/>
        </w:rPr>
      </w:pPr>
    </w:p>
    <w:p w14:paraId="4F6854AA" w14:textId="77777777" w:rsidR="00C244E9" w:rsidRPr="00C244E9" w:rsidRDefault="00C244E9" w:rsidP="00C244E9">
      <w:pPr>
        <w:tabs>
          <w:tab w:val="left" w:pos="284"/>
        </w:tabs>
        <w:spacing w:after="0"/>
        <w:jc w:val="center"/>
        <w:rPr>
          <w:rFonts w:ascii="Times New Roman" w:eastAsia="SimSun" w:hAnsi="Times New Roman"/>
          <w:i/>
          <w:noProof/>
          <w:w w:val="105"/>
          <w:sz w:val="20"/>
          <w:szCs w:val="20"/>
          <w:lang w:val="ms-MY"/>
        </w:rPr>
      </w:pPr>
      <w:r w:rsidRPr="00C244E9">
        <w:rPr>
          <w:rFonts w:ascii="Times New Roman" w:eastAsia="SimSun" w:hAnsi="Times New Roman"/>
          <w:i/>
          <w:noProof/>
          <w:w w:val="105"/>
          <w:sz w:val="20"/>
          <w:szCs w:val="20"/>
          <w:vertAlign w:val="superscript"/>
          <w:lang w:val="ms-MY"/>
        </w:rPr>
        <w:t>1</w:t>
      </w:r>
      <w:r w:rsidRPr="00C244E9">
        <w:rPr>
          <w:rFonts w:ascii="Times New Roman" w:eastAsia="SimSun" w:hAnsi="Times New Roman"/>
          <w:i/>
          <w:noProof/>
          <w:w w:val="105"/>
          <w:sz w:val="20"/>
          <w:szCs w:val="20"/>
          <w:lang w:val="ms-MY"/>
        </w:rPr>
        <w:t xml:space="preserve">Center of Excellence for Innovation in Analytical Science and Technology </w:t>
      </w:r>
    </w:p>
    <w:p w14:paraId="7084CBFB" w14:textId="77777777" w:rsidR="00C244E9" w:rsidRPr="00C244E9" w:rsidRDefault="00C244E9" w:rsidP="00C244E9">
      <w:pPr>
        <w:tabs>
          <w:tab w:val="left" w:pos="284"/>
        </w:tabs>
        <w:spacing w:after="0"/>
        <w:jc w:val="center"/>
        <w:rPr>
          <w:rFonts w:ascii="Times New Roman" w:eastAsia="SimSun" w:hAnsi="Times New Roman"/>
          <w:i/>
          <w:noProof/>
          <w:w w:val="105"/>
          <w:sz w:val="20"/>
          <w:szCs w:val="20"/>
          <w:lang w:val="ms-MY"/>
        </w:rPr>
      </w:pPr>
      <w:r w:rsidRPr="00C244E9">
        <w:rPr>
          <w:rFonts w:ascii="Times New Roman" w:eastAsia="SimSun" w:hAnsi="Times New Roman"/>
          <w:i/>
          <w:noProof/>
          <w:w w:val="105"/>
          <w:sz w:val="20"/>
          <w:szCs w:val="20"/>
          <w:vertAlign w:val="superscript"/>
          <w:lang w:val="ms-MY"/>
        </w:rPr>
        <w:t>2</w:t>
      </w:r>
      <w:r w:rsidRPr="00C244E9">
        <w:rPr>
          <w:rFonts w:ascii="Times New Roman" w:eastAsia="SimSun" w:hAnsi="Times New Roman"/>
          <w:i/>
          <w:noProof/>
          <w:w w:val="105"/>
          <w:sz w:val="20"/>
          <w:szCs w:val="20"/>
          <w:lang w:val="ms-MY"/>
        </w:rPr>
        <w:t xml:space="preserve">Cluster of Excellence on Biodiversity-based Economic and Society (B.BES-CMU) </w:t>
      </w:r>
    </w:p>
    <w:p w14:paraId="31924E4D" w14:textId="77777777" w:rsidR="00C244E9" w:rsidRPr="00C244E9" w:rsidRDefault="00C244E9" w:rsidP="00C244E9">
      <w:pPr>
        <w:tabs>
          <w:tab w:val="left" w:pos="284"/>
        </w:tabs>
        <w:spacing w:after="0"/>
        <w:jc w:val="center"/>
        <w:rPr>
          <w:rFonts w:ascii="Times New Roman" w:eastAsia="SimSun" w:hAnsi="Times New Roman"/>
          <w:i/>
          <w:noProof/>
          <w:w w:val="105"/>
          <w:sz w:val="20"/>
          <w:szCs w:val="20"/>
          <w:lang w:val="ms-MY"/>
        </w:rPr>
      </w:pPr>
      <w:r w:rsidRPr="00C244E9">
        <w:rPr>
          <w:rFonts w:ascii="Times New Roman" w:eastAsia="SimSun" w:hAnsi="Times New Roman"/>
          <w:i/>
          <w:noProof/>
          <w:w w:val="105"/>
          <w:sz w:val="20"/>
          <w:szCs w:val="20"/>
          <w:lang w:val="ms-MY"/>
        </w:rPr>
        <w:t>Chiang Mai University, Chiang Mai 50200, Thailand</w:t>
      </w:r>
    </w:p>
    <w:p w14:paraId="54D2AC06" w14:textId="77777777" w:rsidR="00C244E9" w:rsidRPr="00C244E9" w:rsidRDefault="00C244E9" w:rsidP="00C244E9">
      <w:pPr>
        <w:tabs>
          <w:tab w:val="left" w:pos="284"/>
        </w:tabs>
        <w:spacing w:after="0"/>
        <w:jc w:val="center"/>
        <w:rPr>
          <w:rFonts w:ascii="Times New Roman" w:eastAsia="SimSun" w:hAnsi="Times New Roman"/>
          <w:i/>
          <w:noProof/>
          <w:w w:val="105"/>
          <w:sz w:val="20"/>
          <w:szCs w:val="20"/>
          <w:lang w:val="ms-MY"/>
        </w:rPr>
      </w:pPr>
      <w:r w:rsidRPr="00C244E9">
        <w:rPr>
          <w:rFonts w:ascii="Times New Roman" w:eastAsia="SimSun" w:hAnsi="Times New Roman"/>
          <w:i/>
          <w:noProof/>
          <w:w w:val="105"/>
          <w:sz w:val="20"/>
          <w:szCs w:val="20"/>
          <w:vertAlign w:val="superscript"/>
          <w:lang w:val="ms-MY"/>
        </w:rPr>
        <w:t>3</w:t>
      </w:r>
      <w:r w:rsidRPr="00C244E9">
        <w:rPr>
          <w:rFonts w:ascii="Times New Roman" w:eastAsia="SimSun" w:hAnsi="Times New Roman"/>
          <w:i/>
          <w:noProof/>
          <w:w w:val="105"/>
          <w:sz w:val="20"/>
          <w:szCs w:val="20"/>
          <w:lang w:val="ms-MY"/>
        </w:rPr>
        <w:t xml:space="preserve">Chemistry Department, </w:t>
      </w:r>
    </w:p>
    <w:p w14:paraId="311E4A08" w14:textId="77777777" w:rsidR="00C244E9" w:rsidRPr="00C244E9" w:rsidRDefault="00C244E9" w:rsidP="00C244E9">
      <w:pPr>
        <w:tabs>
          <w:tab w:val="left" w:pos="284"/>
        </w:tabs>
        <w:spacing w:after="0"/>
        <w:jc w:val="center"/>
        <w:rPr>
          <w:rFonts w:ascii="Times New Roman" w:eastAsia="SimSun" w:hAnsi="Times New Roman"/>
          <w:i/>
          <w:noProof/>
          <w:w w:val="105"/>
          <w:sz w:val="20"/>
          <w:szCs w:val="20"/>
          <w:vertAlign w:val="superscript"/>
          <w:lang w:val="ms-MY"/>
        </w:rPr>
      </w:pPr>
      <w:r w:rsidRPr="00C244E9">
        <w:rPr>
          <w:rFonts w:ascii="Times New Roman" w:eastAsia="SimSun" w:hAnsi="Times New Roman"/>
          <w:i/>
          <w:noProof/>
          <w:w w:val="105"/>
          <w:sz w:val="20"/>
          <w:szCs w:val="20"/>
          <w:lang w:val="ms-MY"/>
        </w:rPr>
        <w:t>Faculty of Science, Universiti Malaya, 50603 Kuala Lumpur, Malaysia</w:t>
      </w:r>
    </w:p>
    <w:p w14:paraId="720AE54D" w14:textId="77777777" w:rsidR="00C244E9" w:rsidRPr="00C244E9" w:rsidRDefault="00C244E9" w:rsidP="00C244E9">
      <w:pPr>
        <w:tabs>
          <w:tab w:val="left" w:pos="284"/>
        </w:tabs>
        <w:spacing w:after="0"/>
        <w:jc w:val="center"/>
        <w:rPr>
          <w:rFonts w:ascii="Times New Roman" w:eastAsia="SimSun" w:hAnsi="Times New Roman"/>
          <w:i/>
          <w:noProof/>
          <w:w w:val="105"/>
          <w:sz w:val="20"/>
          <w:szCs w:val="20"/>
          <w:lang w:val="ms-MY"/>
        </w:rPr>
      </w:pPr>
      <w:r w:rsidRPr="00C244E9">
        <w:rPr>
          <w:rFonts w:ascii="Times New Roman" w:eastAsia="SimSun" w:hAnsi="Times New Roman"/>
          <w:i/>
          <w:noProof/>
          <w:w w:val="105"/>
          <w:sz w:val="20"/>
          <w:szCs w:val="20"/>
          <w:vertAlign w:val="superscript"/>
          <w:lang w:val="ms-MY"/>
        </w:rPr>
        <w:t>4</w:t>
      </w:r>
      <w:r w:rsidRPr="00C244E9">
        <w:rPr>
          <w:rFonts w:ascii="Times New Roman" w:eastAsia="SimSun" w:hAnsi="Times New Roman"/>
          <w:i/>
          <w:noProof/>
          <w:w w:val="105"/>
          <w:sz w:val="20"/>
          <w:szCs w:val="20"/>
          <w:lang w:val="ms-MY"/>
        </w:rPr>
        <w:t>Pharmaceutical Sciences, Faculty of Pharmacy</w:t>
      </w:r>
    </w:p>
    <w:p w14:paraId="270BB75B" w14:textId="77777777" w:rsidR="00C244E9" w:rsidRPr="00C244E9" w:rsidRDefault="00C244E9" w:rsidP="00C244E9">
      <w:pPr>
        <w:tabs>
          <w:tab w:val="left" w:pos="284"/>
        </w:tabs>
        <w:spacing w:after="0"/>
        <w:jc w:val="center"/>
        <w:rPr>
          <w:rFonts w:ascii="Times New Roman" w:eastAsia="SimSun" w:hAnsi="Times New Roman"/>
          <w:i/>
          <w:noProof/>
          <w:w w:val="105"/>
          <w:sz w:val="20"/>
          <w:szCs w:val="20"/>
          <w:lang w:val="ms-MY"/>
        </w:rPr>
      </w:pPr>
      <w:r w:rsidRPr="00C244E9">
        <w:rPr>
          <w:rFonts w:ascii="Times New Roman" w:eastAsia="SimSun" w:hAnsi="Times New Roman"/>
          <w:i/>
          <w:noProof/>
          <w:w w:val="105"/>
          <w:sz w:val="20"/>
          <w:szCs w:val="20"/>
          <w:vertAlign w:val="superscript"/>
          <w:lang w:val="ms-MY"/>
        </w:rPr>
        <w:t>5</w:t>
      </w:r>
      <w:r w:rsidRPr="00C244E9">
        <w:rPr>
          <w:rFonts w:ascii="Times New Roman" w:eastAsia="SimSun" w:hAnsi="Times New Roman"/>
          <w:i/>
          <w:noProof/>
          <w:w w:val="105"/>
          <w:sz w:val="20"/>
          <w:szCs w:val="20"/>
          <w:lang w:val="ms-MY"/>
        </w:rPr>
        <w:t>Department of Chemistry, Faculty of Science</w:t>
      </w:r>
    </w:p>
    <w:p w14:paraId="0785E59E" w14:textId="77777777" w:rsidR="00C244E9" w:rsidRPr="00C244E9" w:rsidRDefault="00C244E9" w:rsidP="00C244E9">
      <w:pPr>
        <w:tabs>
          <w:tab w:val="left" w:pos="284"/>
        </w:tabs>
        <w:spacing w:after="0"/>
        <w:jc w:val="center"/>
        <w:rPr>
          <w:rFonts w:ascii="Times New Roman" w:eastAsia="SimSun" w:hAnsi="Times New Roman"/>
          <w:i/>
          <w:noProof/>
          <w:w w:val="105"/>
          <w:sz w:val="20"/>
          <w:szCs w:val="20"/>
          <w:lang w:val="ms-MY"/>
        </w:rPr>
      </w:pPr>
      <w:r w:rsidRPr="00C244E9">
        <w:rPr>
          <w:rFonts w:ascii="Times New Roman" w:eastAsia="SimSun" w:hAnsi="Times New Roman"/>
          <w:i/>
          <w:noProof/>
          <w:w w:val="105"/>
          <w:sz w:val="20"/>
          <w:szCs w:val="20"/>
          <w:lang w:val="ms-MY"/>
        </w:rPr>
        <w:t>Chiang Mai University, Chiang Mai 50200, Thailand</w:t>
      </w:r>
    </w:p>
    <w:p w14:paraId="36C6A3C8" w14:textId="77777777" w:rsidR="00C244E9" w:rsidRPr="00C244E9" w:rsidRDefault="00C244E9" w:rsidP="00C244E9">
      <w:pPr>
        <w:tabs>
          <w:tab w:val="left" w:pos="284"/>
        </w:tabs>
        <w:spacing w:after="0"/>
        <w:jc w:val="center"/>
        <w:rPr>
          <w:rFonts w:ascii="Times New Roman" w:eastAsia="SimSun" w:hAnsi="Times New Roman"/>
          <w:i/>
          <w:noProof/>
          <w:w w:val="105"/>
          <w:sz w:val="20"/>
          <w:szCs w:val="20"/>
          <w:lang w:val="ms-MY"/>
        </w:rPr>
      </w:pPr>
    </w:p>
    <w:p w14:paraId="7D861122" w14:textId="77777777" w:rsidR="00C244E9" w:rsidRPr="00C244E9" w:rsidRDefault="00C244E9" w:rsidP="00C244E9">
      <w:pPr>
        <w:shd w:val="clear" w:color="auto" w:fill="FFFFFF"/>
        <w:spacing w:after="0"/>
        <w:jc w:val="center"/>
        <w:rPr>
          <w:rFonts w:ascii="Times New Roman" w:hAnsi="Times New Roman"/>
          <w:i/>
          <w:iCs/>
          <w:sz w:val="20"/>
          <w:szCs w:val="20"/>
        </w:rPr>
      </w:pPr>
      <w:r w:rsidRPr="00C244E9">
        <w:rPr>
          <w:rFonts w:ascii="Times New Roman" w:hAnsi="Times New Roman"/>
          <w:i/>
          <w:iCs/>
          <w:noProof/>
          <w:sz w:val="20"/>
          <w:szCs w:val="20"/>
          <w:lang w:val="ms-MY"/>
        </w:rPr>
        <w:t>*Corresponding author:  pmwoi@um.edu.my</w:t>
      </w:r>
      <w:r w:rsidRPr="00C244E9">
        <w:rPr>
          <w:rFonts w:ascii="Times New Roman" w:hAnsi="Times New Roman"/>
          <w:i/>
          <w:iCs/>
          <w:sz w:val="20"/>
          <w:szCs w:val="20"/>
          <w:lang w:val="ms-MY"/>
        </w:rPr>
        <w:t xml:space="preserve"> </w:t>
      </w:r>
    </w:p>
    <w:p w14:paraId="1B4C519F" w14:textId="77777777" w:rsidR="00C244E9" w:rsidRPr="00C244E9" w:rsidRDefault="00C244E9" w:rsidP="00C244E9">
      <w:pPr>
        <w:spacing w:after="0"/>
        <w:jc w:val="center"/>
        <w:rPr>
          <w:rFonts w:ascii="Times New Roman" w:hAnsi="Times New Roman"/>
          <w:noProof/>
          <w:sz w:val="20"/>
          <w:szCs w:val="20"/>
        </w:rPr>
      </w:pPr>
    </w:p>
    <w:p w14:paraId="59E3F56F" w14:textId="77777777" w:rsidR="00C244E9" w:rsidRPr="00C244E9" w:rsidRDefault="00C244E9" w:rsidP="00C244E9">
      <w:pPr>
        <w:spacing w:after="0"/>
        <w:jc w:val="center"/>
        <w:rPr>
          <w:rFonts w:ascii="Times New Roman" w:hAnsi="Times New Roman"/>
          <w:noProof/>
          <w:sz w:val="20"/>
          <w:szCs w:val="20"/>
        </w:rPr>
      </w:pPr>
    </w:p>
    <w:p w14:paraId="194B97C4" w14:textId="77777777" w:rsidR="00C244E9" w:rsidRPr="00C244E9" w:rsidRDefault="00C244E9" w:rsidP="00C244E9">
      <w:pPr>
        <w:spacing w:after="0"/>
        <w:jc w:val="center"/>
        <w:rPr>
          <w:rFonts w:ascii="Times New Roman" w:hAnsi="Times New Roman"/>
          <w:noProof/>
          <w:sz w:val="20"/>
          <w:szCs w:val="20"/>
        </w:rPr>
      </w:pPr>
      <w:r w:rsidRPr="00C244E9">
        <w:rPr>
          <w:rFonts w:ascii="Times New Roman" w:hAnsi="Times New Roman"/>
          <w:noProof/>
          <w:sz w:val="20"/>
          <w:szCs w:val="20"/>
        </w:rPr>
        <w:t>Received:  19 September 2021; Accepted:  28 November 2021; Published:  xx April 2022</w:t>
      </w:r>
    </w:p>
    <w:p w14:paraId="0409F806" w14:textId="77777777" w:rsidR="00C244E9" w:rsidRPr="00C244E9" w:rsidRDefault="00C244E9" w:rsidP="00C244E9">
      <w:pPr>
        <w:spacing w:after="0"/>
        <w:jc w:val="center"/>
        <w:rPr>
          <w:rFonts w:ascii="Times New Roman" w:hAnsi="Times New Roman"/>
          <w:noProof/>
          <w:sz w:val="20"/>
          <w:szCs w:val="20"/>
        </w:rPr>
      </w:pPr>
    </w:p>
    <w:p w14:paraId="0D7CAC0A" w14:textId="77777777" w:rsidR="00C244E9" w:rsidRPr="00C244E9" w:rsidRDefault="00C244E9" w:rsidP="00C244E9">
      <w:pPr>
        <w:spacing w:after="0"/>
        <w:jc w:val="center"/>
        <w:rPr>
          <w:rFonts w:ascii="Times New Roman" w:hAnsi="Times New Roman"/>
          <w:noProof/>
          <w:sz w:val="20"/>
          <w:szCs w:val="20"/>
        </w:rPr>
      </w:pPr>
    </w:p>
    <w:p w14:paraId="02E0B568" w14:textId="77777777" w:rsidR="00C244E9" w:rsidRPr="00C244E9" w:rsidRDefault="00C244E9" w:rsidP="00C244E9">
      <w:pPr>
        <w:spacing w:after="0"/>
        <w:jc w:val="center"/>
        <w:rPr>
          <w:rFonts w:ascii="Times New Roman" w:hAnsi="Times New Roman"/>
          <w:b/>
          <w:noProof/>
          <w:sz w:val="20"/>
          <w:szCs w:val="20"/>
        </w:rPr>
      </w:pPr>
      <w:r w:rsidRPr="00C244E9">
        <w:rPr>
          <w:rFonts w:ascii="Times New Roman" w:hAnsi="Times New Roman"/>
          <w:b/>
          <w:noProof/>
          <w:sz w:val="20"/>
          <w:szCs w:val="20"/>
        </w:rPr>
        <w:t>Abstract</w:t>
      </w:r>
    </w:p>
    <w:p w14:paraId="019C0BFC" w14:textId="77777777" w:rsidR="00C244E9" w:rsidRPr="00C244E9" w:rsidRDefault="00C244E9" w:rsidP="00C244E9">
      <w:pPr>
        <w:spacing w:after="0"/>
        <w:jc w:val="both"/>
        <w:rPr>
          <w:rFonts w:ascii="Times New Roman" w:hAnsi="Times New Roman"/>
          <w:sz w:val="20"/>
          <w:szCs w:val="20"/>
        </w:rPr>
      </w:pPr>
      <w:r w:rsidRPr="00C244E9">
        <w:rPr>
          <w:rFonts w:ascii="Times New Roman" w:hAnsi="Times New Roman"/>
          <w:sz w:val="20"/>
          <w:szCs w:val="20"/>
        </w:rPr>
        <w:t>This review explores the contributions of natural resources with diverse disciplines which offers the insights into the design of greener chemical analysis. The discussion was focused on the published works in our group where a diverse range of natural reagents used in the determination of various environmental analytes has been highlighted, aiming to discuss the initiatives and applicability of the usage of alternative natural reagents and substitute synthetic methods in optimizing analytical processes, which in turn would lead to cost-effective and time-efficient in handling analytes assay. By exploring the potential of natural reagents, the sustainability in green chemical analysis could be promised in coming near future, especially in convincing for the talent and challenge for ASEAN in this new normal chemical analysis.</w:t>
      </w:r>
    </w:p>
    <w:p w14:paraId="5A8474AD" w14:textId="77777777" w:rsidR="00C244E9" w:rsidRPr="00C244E9" w:rsidRDefault="00C244E9" w:rsidP="00C244E9">
      <w:pPr>
        <w:spacing w:after="0"/>
        <w:jc w:val="both"/>
        <w:rPr>
          <w:rFonts w:ascii="Times New Roman" w:hAnsi="Times New Roman"/>
          <w:sz w:val="20"/>
          <w:szCs w:val="20"/>
        </w:rPr>
      </w:pPr>
      <w:r w:rsidRPr="00C244E9">
        <w:rPr>
          <w:rFonts w:ascii="Times New Roman" w:hAnsi="Times New Roman"/>
          <w:sz w:val="20"/>
          <w:szCs w:val="20"/>
        </w:rPr>
        <w:t xml:space="preserve"> </w:t>
      </w:r>
    </w:p>
    <w:p w14:paraId="267CEF2E" w14:textId="77777777" w:rsidR="00C244E9" w:rsidRPr="00C244E9" w:rsidRDefault="00C244E9" w:rsidP="00C244E9">
      <w:pPr>
        <w:spacing w:after="0"/>
        <w:jc w:val="both"/>
        <w:rPr>
          <w:rFonts w:ascii="Times New Roman" w:hAnsi="Times New Roman"/>
          <w:sz w:val="20"/>
          <w:szCs w:val="20"/>
        </w:rPr>
      </w:pPr>
      <w:r w:rsidRPr="00C244E9">
        <w:rPr>
          <w:rFonts w:ascii="Times New Roman" w:hAnsi="Times New Roman"/>
          <w:b/>
          <w:bCs/>
          <w:sz w:val="20"/>
          <w:szCs w:val="20"/>
        </w:rPr>
        <w:t xml:space="preserve">Keywords:  </w:t>
      </w:r>
      <w:r w:rsidRPr="00C244E9">
        <w:rPr>
          <w:rFonts w:ascii="Times New Roman" w:hAnsi="Times New Roman"/>
          <w:sz w:val="20"/>
          <w:szCs w:val="20"/>
        </w:rPr>
        <w:t xml:space="preserve">green analytical chemistry, natural reagent, natural material, local wisdom, sustainable chemistry  </w:t>
      </w:r>
    </w:p>
    <w:p w14:paraId="21F07262" w14:textId="77777777" w:rsidR="00C244E9" w:rsidRPr="00C244E9" w:rsidRDefault="00C244E9" w:rsidP="00C244E9">
      <w:pPr>
        <w:spacing w:after="0"/>
        <w:jc w:val="center"/>
        <w:rPr>
          <w:rFonts w:ascii="Times New Roman" w:hAnsi="Times New Roman"/>
          <w:b/>
          <w:bCs/>
          <w:sz w:val="20"/>
          <w:szCs w:val="20"/>
        </w:rPr>
      </w:pPr>
    </w:p>
    <w:p w14:paraId="2060D5B2" w14:textId="77777777" w:rsidR="00C244E9" w:rsidRPr="00C244E9" w:rsidRDefault="00C244E9" w:rsidP="00C244E9">
      <w:pPr>
        <w:spacing w:after="0"/>
        <w:jc w:val="center"/>
        <w:rPr>
          <w:rFonts w:ascii="Times New Roman" w:hAnsi="Times New Roman"/>
          <w:b/>
          <w:bCs/>
          <w:noProof/>
          <w:sz w:val="20"/>
          <w:szCs w:val="20"/>
          <w:lang w:val="ms-MY"/>
        </w:rPr>
      </w:pPr>
      <w:r w:rsidRPr="00C244E9">
        <w:rPr>
          <w:rFonts w:ascii="Times New Roman" w:hAnsi="Times New Roman"/>
          <w:b/>
          <w:bCs/>
          <w:noProof/>
          <w:sz w:val="20"/>
          <w:szCs w:val="20"/>
          <w:lang w:val="ms-MY"/>
        </w:rPr>
        <w:t>Abstrak</w:t>
      </w:r>
    </w:p>
    <w:p w14:paraId="3DF2DB11" w14:textId="77777777" w:rsidR="00C244E9" w:rsidRPr="00C244E9" w:rsidRDefault="00C244E9" w:rsidP="00C244E9">
      <w:pPr>
        <w:spacing w:after="0"/>
        <w:jc w:val="both"/>
        <w:rPr>
          <w:rFonts w:ascii="Times New Roman" w:hAnsi="Times New Roman"/>
          <w:noProof/>
          <w:sz w:val="20"/>
          <w:szCs w:val="20"/>
          <w:lang w:val="ms-MY"/>
        </w:rPr>
      </w:pPr>
      <w:r w:rsidRPr="00C244E9">
        <w:rPr>
          <w:rFonts w:ascii="Times New Roman" w:hAnsi="Times New Roman"/>
          <w:noProof/>
          <w:sz w:val="20"/>
          <w:szCs w:val="20"/>
          <w:lang w:val="ms-MY"/>
        </w:rPr>
        <w:lastRenderedPageBreak/>
        <w:t xml:space="preserve">Ulasan ini membincangkan sumbangan reagen semula jadi dalam pelbagai disiplin ilmu yang dapat memberikan gambaran mengenai analisis kimia hijau. Perbincangan in fokus kepada penerbitan yang telah diterbitkan oleh kumpulan kami di mana beberapa jenis reagen semula jadi yang digunakan dalam penentuan pelbagai analit persekitaran akan diutamakan, bagi membincangkan inisiatif dan penerapan penggunaan reagen semulajadi alternatif dan kaedah sintetik gantian dalam mengoptimumkan proses analisis, supaya analisis dapat dikendalikan secara kos efektif dan cekap masa. Dengan menerokai potensi reagen semula jadi, kesinambungan dalam analisis kimia hijau akan dapat dijanjikan dalam masa terdekat terutamanya dapat memberikan keyakinan dalam bakat dan cabaran di ASEAN dari segi analisis kimia di norma baru ini. </w:t>
      </w:r>
    </w:p>
    <w:p w14:paraId="28CAE701" w14:textId="77777777" w:rsidR="00C244E9" w:rsidRPr="00C244E9" w:rsidRDefault="00C244E9" w:rsidP="00C244E9">
      <w:pPr>
        <w:spacing w:after="0"/>
        <w:jc w:val="both"/>
        <w:rPr>
          <w:rFonts w:ascii="Times New Roman" w:hAnsi="Times New Roman"/>
          <w:noProof/>
          <w:sz w:val="20"/>
          <w:szCs w:val="20"/>
          <w:lang w:val="ms-MY"/>
        </w:rPr>
      </w:pPr>
    </w:p>
    <w:p w14:paraId="0B0CE450" w14:textId="4BF25132" w:rsidR="00C244E9" w:rsidRDefault="00C244E9" w:rsidP="00C244E9">
      <w:pPr>
        <w:spacing w:after="0"/>
        <w:jc w:val="both"/>
        <w:rPr>
          <w:rFonts w:ascii="Times New Roman" w:hAnsi="Times New Roman"/>
          <w:noProof/>
          <w:sz w:val="20"/>
          <w:szCs w:val="20"/>
          <w:lang w:val="ms-MY"/>
        </w:rPr>
      </w:pPr>
      <w:r w:rsidRPr="00C244E9">
        <w:rPr>
          <w:rFonts w:ascii="Times New Roman" w:hAnsi="Times New Roman"/>
          <w:b/>
          <w:bCs/>
          <w:noProof/>
          <w:sz w:val="20"/>
          <w:szCs w:val="20"/>
          <w:lang w:val="ms-MY"/>
        </w:rPr>
        <w:t>Kata kunci:</w:t>
      </w:r>
      <w:r w:rsidRPr="00C244E9">
        <w:rPr>
          <w:rFonts w:ascii="Times New Roman" w:hAnsi="Times New Roman"/>
          <w:noProof/>
          <w:sz w:val="20"/>
          <w:szCs w:val="20"/>
          <w:lang w:val="ms-MY"/>
        </w:rPr>
        <w:t xml:space="preserve">  kimia analisis hijau, reagen semula jadi, bahan semula jadi, kebijaksaan tempatan, kimia kelestarian</w:t>
      </w:r>
    </w:p>
    <w:p w14:paraId="2A21D02B" w14:textId="6E3BD5C3" w:rsidR="00C244E9" w:rsidRDefault="00C244E9" w:rsidP="00C244E9">
      <w:pPr>
        <w:spacing w:after="0"/>
        <w:jc w:val="both"/>
        <w:rPr>
          <w:rFonts w:ascii="Times New Roman" w:hAnsi="Times New Roman"/>
          <w:noProof/>
          <w:sz w:val="20"/>
          <w:szCs w:val="20"/>
          <w:lang w:val="ms-MY"/>
        </w:rPr>
      </w:pPr>
    </w:p>
    <w:p w14:paraId="20FAE50D" w14:textId="77777777" w:rsidR="00C244E9" w:rsidRPr="00383C16" w:rsidRDefault="00C244E9" w:rsidP="00C244E9">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5431DF71" w14:textId="77777777" w:rsidR="00C244E9" w:rsidRPr="00B87A2A"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6F7640">
        <w:rPr>
          <w:rFonts w:ascii="Times New Roman" w:eastAsia="SimSun" w:hAnsi="Times New Roman"/>
          <w:b/>
          <w:bCs/>
          <w:sz w:val="20"/>
          <w:szCs w:val="20"/>
        </w:rPr>
        <w:fldChar w:fldCharType="begin"/>
      </w:r>
      <w:r w:rsidRPr="006F7640">
        <w:rPr>
          <w:rFonts w:ascii="Times New Roman" w:eastAsia="SimSun" w:hAnsi="Times New Roman"/>
          <w:b/>
          <w:bCs/>
          <w:sz w:val="20"/>
          <w:szCs w:val="20"/>
        </w:rPr>
        <w:instrText xml:space="preserve"> ADDIN EN.REFLIST </w:instrText>
      </w:r>
      <w:r w:rsidRPr="006F7640">
        <w:rPr>
          <w:rFonts w:ascii="Times New Roman" w:eastAsia="SimSun" w:hAnsi="Times New Roman"/>
          <w:b/>
          <w:bCs/>
          <w:sz w:val="20"/>
          <w:szCs w:val="20"/>
        </w:rPr>
        <w:fldChar w:fldCharType="separate"/>
      </w:r>
      <w:r w:rsidRPr="00B87A2A">
        <w:rPr>
          <w:rFonts w:ascii="Times New Roman" w:eastAsia="DengXian" w:hAnsi="Times New Roman"/>
          <w:sz w:val="20"/>
          <w:szCs w:val="20"/>
        </w:rPr>
        <w:t xml:space="preserve">Anastas, P. and Eghbali, N. (2010). Green chemistry: principles and practice. </w:t>
      </w:r>
      <w:r w:rsidRPr="00B87A2A">
        <w:rPr>
          <w:rFonts w:ascii="Times New Roman" w:eastAsia="DengXian" w:hAnsi="Times New Roman"/>
          <w:i/>
          <w:sz w:val="20"/>
          <w:szCs w:val="20"/>
        </w:rPr>
        <w:t>Chemical Society Reviews</w:t>
      </w:r>
      <w:r w:rsidRPr="00B87A2A">
        <w:rPr>
          <w:rFonts w:ascii="Times New Roman" w:eastAsia="DengXian" w:hAnsi="Times New Roman"/>
          <w:sz w:val="20"/>
          <w:szCs w:val="20"/>
        </w:rPr>
        <w:t>,</w:t>
      </w:r>
      <w:r w:rsidRPr="00B87A2A">
        <w:rPr>
          <w:rFonts w:ascii="Times New Roman" w:eastAsia="DengXian" w:hAnsi="Times New Roman"/>
          <w:i/>
          <w:sz w:val="20"/>
          <w:szCs w:val="20"/>
        </w:rPr>
        <w:t xml:space="preserve"> </w:t>
      </w:r>
      <w:r w:rsidRPr="00B87A2A">
        <w:rPr>
          <w:rFonts w:ascii="Times New Roman" w:eastAsia="DengXian" w:hAnsi="Times New Roman"/>
          <w:iCs/>
          <w:sz w:val="20"/>
          <w:szCs w:val="20"/>
        </w:rPr>
        <w:t>39(1): 301-312.</w:t>
      </w:r>
    </w:p>
    <w:p w14:paraId="1855C2FA" w14:textId="77777777" w:rsidR="00C244E9" w:rsidRPr="00B87A2A"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B87A2A">
        <w:rPr>
          <w:rFonts w:ascii="Times New Roman" w:eastAsia="DengXian" w:hAnsi="Times New Roman"/>
          <w:sz w:val="20"/>
          <w:szCs w:val="20"/>
        </w:rPr>
        <w:t xml:space="preserve">Abdussalam-Mohammed, W., Qasem Ali, A. and Errayes, A. O. (2020). Green Chemistry: principles, applications, and disadvantages. </w:t>
      </w:r>
      <w:r w:rsidRPr="00B87A2A">
        <w:rPr>
          <w:rFonts w:ascii="Times New Roman" w:eastAsia="DengXian" w:hAnsi="Times New Roman"/>
          <w:i/>
          <w:sz w:val="20"/>
          <w:szCs w:val="20"/>
        </w:rPr>
        <w:t>Chemical Methodologies</w:t>
      </w:r>
      <w:r w:rsidRPr="00B87A2A">
        <w:rPr>
          <w:rFonts w:ascii="Times New Roman" w:eastAsia="DengXian" w:hAnsi="Times New Roman"/>
          <w:sz w:val="20"/>
          <w:szCs w:val="20"/>
        </w:rPr>
        <w:t>,</w:t>
      </w:r>
      <w:r w:rsidRPr="00B87A2A">
        <w:rPr>
          <w:rFonts w:ascii="Times New Roman" w:eastAsia="DengXian" w:hAnsi="Times New Roman"/>
          <w:i/>
          <w:sz w:val="20"/>
          <w:szCs w:val="20"/>
        </w:rPr>
        <w:t xml:space="preserve"> </w:t>
      </w:r>
      <w:r w:rsidRPr="00B87A2A">
        <w:rPr>
          <w:rFonts w:ascii="Times New Roman" w:eastAsia="DengXian" w:hAnsi="Times New Roman"/>
          <w:iCs/>
          <w:sz w:val="20"/>
          <w:szCs w:val="20"/>
        </w:rPr>
        <w:t xml:space="preserve">4(4): 408-423. </w:t>
      </w:r>
    </w:p>
    <w:p w14:paraId="2D25AAE4" w14:textId="77777777" w:rsidR="00C244E9" w:rsidRPr="00B87A2A"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B87A2A">
        <w:rPr>
          <w:rFonts w:ascii="Times New Roman" w:eastAsia="DengXian" w:hAnsi="Times New Roman"/>
          <w:sz w:val="20"/>
          <w:szCs w:val="20"/>
        </w:rPr>
        <w:t xml:space="preserve">OECD (2021). </w:t>
      </w:r>
      <w:r w:rsidRPr="00B87A2A">
        <w:rPr>
          <w:rFonts w:ascii="Times New Roman" w:eastAsia="DengXian" w:hAnsi="Times New Roman"/>
          <w:iCs/>
          <w:sz w:val="20"/>
          <w:szCs w:val="20"/>
        </w:rPr>
        <w:t xml:space="preserve">Sustainable chemistry. Access from </w:t>
      </w:r>
      <w:r w:rsidRPr="00B87A2A">
        <w:rPr>
          <w:rFonts w:ascii="Times New Roman" w:eastAsia="DengXian" w:hAnsi="Times New Roman"/>
          <w:sz w:val="20"/>
          <w:szCs w:val="20"/>
        </w:rPr>
        <w:t>https://www.oecd.org/chemicalsafety/risk-management/sustainablechemistry.htm [Retrieved 13 September 2021].</w:t>
      </w:r>
    </w:p>
    <w:p w14:paraId="1919BDE7"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B87A2A">
        <w:rPr>
          <w:rFonts w:ascii="Times New Roman" w:eastAsia="DengXian" w:hAnsi="Times New Roman"/>
          <w:sz w:val="20"/>
          <w:szCs w:val="20"/>
        </w:rPr>
        <w:t xml:space="preserve">Gamal, M., Naguib, I. A., Panda, D. S. and Abdallah, F. F. (2021). Comparative study of four greenness assessment tools for selection of greenest analytical method for assay of hyoscine N-butyl bromide. </w:t>
      </w:r>
      <w:r w:rsidRPr="00B87A2A">
        <w:rPr>
          <w:rFonts w:ascii="Times New Roman" w:eastAsia="DengXian" w:hAnsi="Times New Roman"/>
          <w:i/>
          <w:sz w:val="20"/>
          <w:szCs w:val="20"/>
        </w:rPr>
        <w:t>Analytical Methods</w:t>
      </w:r>
      <w:r w:rsidRPr="00B87A2A">
        <w:rPr>
          <w:rFonts w:ascii="Times New Roman" w:eastAsia="DengXian" w:hAnsi="Times New Roman"/>
          <w:sz w:val="20"/>
          <w:szCs w:val="20"/>
        </w:rPr>
        <w:t>,</w:t>
      </w:r>
      <w:r w:rsidRPr="00B87A2A">
        <w:rPr>
          <w:rFonts w:ascii="Times New Roman" w:eastAsia="DengXian" w:hAnsi="Times New Roman"/>
          <w:i/>
          <w:sz w:val="20"/>
          <w:szCs w:val="20"/>
        </w:rPr>
        <w:t xml:space="preserve"> </w:t>
      </w:r>
      <w:r w:rsidRPr="00B87A2A">
        <w:rPr>
          <w:rFonts w:ascii="Times New Roman" w:eastAsia="DengXian" w:hAnsi="Times New Roman"/>
          <w:iCs/>
          <w:sz w:val="20"/>
          <w:szCs w:val="20"/>
        </w:rPr>
        <w:t xml:space="preserve">13(3): 369-380. </w:t>
      </w:r>
    </w:p>
    <w:p w14:paraId="0B970EED"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Koel, M. (2016). Do we need green analytical chemistry?. </w:t>
      </w:r>
      <w:r w:rsidRPr="00FD2A95">
        <w:rPr>
          <w:rFonts w:ascii="Times New Roman" w:eastAsia="DengXian" w:hAnsi="Times New Roman"/>
          <w:i/>
          <w:sz w:val="20"/>
          <w:szCs w:val="20"/>
        </w:rPr>
        <w:t>Green Chemistry</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18(4): 923-931.</w:t>
      </w:r>
    </w:p>
    <w:p w14:paraId="3D2462EE"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Chang, F., Zhang, X., Zhan, G., Duan, Y. and Zhang, S. (2021). Review of methods for sustainability assessment of chemical engineering processes. </w:t>
      </w:r>
      <w:r w:rsidRPr="00FD2A95">
        <w:rPr>
          <w:rFonts w:ascii="Times New Roman" w:eastAsia="DengXian" w:hAnsi="Times New Roman"/>
          <w:i/>
          <w:sz w:val="20"/>
          <w:szCs w:val="20"/>
        </w:rPr>
        <w:t>Industrial &amp; Engineering Chemistry Research</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60(1): 52-</w:t>
      </w:r>
      <w:r w:rsidRPr="00FD2A95">
        <w:rPr>
          <w:rFonts w:ascii="Times New Roman" w:eastAsia="DengXian" w:hAnsi="Times New Roman"/>
          <w:sz w:val="20"/>
          <w:szCs w:val="20"/>
        </w:rPr>
        <w:t xml:space="preserve">66. </w:t>
      </w:r>
    </w:p>
    <w:p w14:paraId="37F40D38"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Chinwong, D., Charaj, P., Panitsupakamol, P., Chankaew, T., Chinwong, S. and Saenjum, C. (2021). Local wisdom of miang lifestyle and community for sustainable development in Northern Thailand. </w:t>
      </w:r>
      <w:r w:rsidRPr="00FD2A95">
        <w:rPr>
          <w:rFonts w:ascii="Times New Roman" w:eastAsia="DengXian" w:hAnsi="Times New Roman"/>
          <w:i/>
          <w:sz w:val="20"/>
          <w:szCs w:val="20"/>
        </w:rPr>
        <w:t>Sustainability</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13: 7381.</w:t>
      </w:r>
    </w:p>
    <w:p w14:paraId="28ABDF22"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Lim, T. K. (2012). Garcinia dulcis. In </w:t>
      </w:r>
      <w:r w:rsidRPr="00FD2A95">
        <w:rPr>
          <w:rFonts w:ascii="Times New Roman" w:eastAsia="DengXian" w:hAnsi="Times New Roman"/>
          <w:iCs/>
          <w:sz w:val="20"/>
          <w:szCs w:val="20"/>
        </w:rPr>
        <w:t xml:space="preserve">edible medicinal and non-medicinal plants: fruits. </w:t>
      </w:r>
      <w:r w:rsidRPr="00FD2A95">
        <w:rPr>
          <w:rFonts w:ascii="Times New Roman" w:eastAsia="DengXian" w:hAnsi="Times New Roman"/>
          <w:sz w:val="20"/>
          <w:szCs w:val="20"/>
        </w:rPr>
        <w:t>Springer Netherlands: pp. 35-40.</w:t>
      </w:r>
    </w:p>
    <w:p w14:paraId="649BE142"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Purnama, H., Hidayati, N., Safitri, D. S. and Rahmawati, S. (2017). Effect of initial treatment in the preparation of natural indigo dye from Indigofera tinctoria. </w:t>
      </w:r>
      <w:r w:rsidRPr="00FD2A95">
        <w:rPr>
          <w:rFonts w:ascii="Times New Roman" w:eastAsia="DengXian" w:hAnsi="Times New Roman"/>
          <w:i/>
          <w:sz w:val="20"/>
          <w:szCs w:val="20"/>
        </w:rPr>
        <w:t>AIP Conference Proceedings</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 xml:space="preserve">1855(1): </w:t>
      </w:r>
      <w:r w:rsidRPr="00FD2A95">
        <w:rPr>
          <w:rFonts w:ascii="Times New Roman" w:eastAsia="DengXian" w:hAnsi="Times New Roman"/>
          <w:sz w:val="20"/>
          <w:szCs w:val="20"/>
        </w:rPr>
        <w:t>020022.</w:t>
      </w:r>
    </w:p>
    <w:p w14:paraId="2AD6A67F"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sz w:val="20"/>
          <w:szCs w:val="20"/>
        </w:rPr>
      </w:pPr>
      <w:r w:rsidRPr="00FD2A95">
        <w:rPr>
          <w:rFonts w:ascii="Times New Roman" w:eastAsia="DengXian" w:hAnsi="Times New Roman"/>
          <w:sz w:val="20"/>
          <w:szCs w:val="20"/>
        </w:rPr>
        <w:t xml:space="preserve">Settheeworrarit, T., Hartwell, S. K., Lapanatnoppakhun, S., Jakmunee, J., Christian, G. D. and Grudpan, K. (2005). Exploiting guava leaf extract as an alternative natural reagent for flow injection determination of iron. </w:t>
      </w:r>
      <w:r w:rsidRPr="00FD2A95">
        <w:rPr>
          <w:rFonts w:ascii="Times New Roman" w:eastAsia="DengXian" w:hAnsi="Times New Roman"/>
          <w:i/>
          <w:sz w:val="20"/>
          <w:szCs w:val="20"/>
        </w:rPr>
        <w:t>Talanta</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68(2):</w:t>
      </w:r>
      <w:r w:rsidRPr="00FD2A95">
        <w:rPr>
          <w:rFonts w:ascii="Times New Roman" w:eastAsia="DengXian" w:hAnsi="Times New Roman"/>
          <w:sz w:val="20"/>
          <w:szCs w:val="20"/>
        </w:rPr>
        <w:t xml:space="preserve"> 262-26</w:t>
      </w:r>
      <w:r>
        <w:rPr>
          <w:rFonts w:ascii="Times New Roman" w:eastAsia="DengXian" w:hAnsi="Times New Roman"/>
          <w:sz w:val="20"/>
          <w:szCs w:val="20"/>
        </w:rPr>
        <w:t>.</w:t>
      </w:r>
    </w:p>
    <w:p w14:paraId="52194924" w14:textId="77777777" w:rsidR="00C244E9" w:rsidRDefault="00C244E9" w:rsidP="00C244E9">
      <w:pPr>
        <w:spacing w:after="0"/>
        <w:jc w:val="both"/>
        <w:rPr>
          <w:rFonts w:ascii="Times New Roman" w:eastAsia="DengXian" w:hAnsi="Times New Roman"/>
          <w:sz w:val="20"/>
          <w:szCs w:val="20"/>
        </w:rPr>
      </w:pPr>
    </w:p>
    <w:p w14:paraId="47B2366E" w14:textId="77777777" w:rsidR="00C244E9" w:rsidRPr="00357D4F" w:rsidRDefault="00C244E9" w:rsidP="00C244E9">
      <w:pPr>
        <w:pStyle w:val="ListParagraph"/>
        <w:numPr>
          <w:ilvl w:val="0"/>
          <w:numId w:val="11"/>
        </w:numPr>
        <w:spacing w:after="0"/>
        <w:ind w:left="360"/>
        <w:contextualSpacing w:val="0"/>
        <w:jc w:val="both"/>
        <w:rPr>
          <w:rFonts w:ascii="Times New Roman" w:eastAsia="DengXian" w:hAnsi="Times New Roman"/>
          <w:sz w:val="20"/>
          <w:szCs w:val="20"/>
        </w:rPr>
      </w:pPr>
      <w:r w:rsidRPr="00357D4F">
        <w:rPr>
          <w:rFonts w:ascii="Times New Roman" w:eastAsia="DengXian" w:hAnsi="Times New Roman"/>
          <w:sz w:val="20"/>
          <w:szCs w:val="20"/>
        </w:rPr>
        <w:t xml:space="preserve">Grudpan, K., Hartwell, S. K., Wongwilai, W., Grudpan, S. and Lapanantnoppakhun, S. (2011). Exploiting green analytical procedures for acidity and iron assays employing flow analysis with simple natural reagent extracts. </w:t>
      </w:r>
      <w:r w:rsidRPr="00357D4F">
        <w:rPr>
          <w:rFonts w:ascii="Times New Roman" w:eastAsia="DengXian" w:hAnsi="Times New Roman"/>
          <w:i/>
          <w:sz w:val="20"/>
          <w:szCs w:val="20"/>
        </w:rPr>
        <w:t>Talanta</w:t>
      </w:r>
      <w:r w:rsidRPr="00357D4F">
        <w:rPr>
          <w:rFonts w:ascii="Times New Roman" w:eastAsia="DengXian" w:hAnsi="Times New Roman"/>
          <w:sz w:val="20"/>
          <w:szCs w:val="20"/>
        </w:rPr>
        <w:t>,</w:t>
      </w:r>
      <w:r w:rsidRPr="00357D4F">
        <w:rPr>
          <w:rFonts w:ascii="Times New Roman" w:eastAsia="DengXian" w:hAnsi="Times New Roman"/>
          <w:i/>
          <w:sz w:val="20"/>
          <w:szCs w:val="20"/>
        </w:rPr>
        <w:t xml:space="preserve"> </w:t>
      </w:r>
      <w:r w:rsidRPr="00357D4F">
        <w:rPr>
          <w:rFonts w:ascii="Times New Roman" w:eastAsia="DengXian" w:hAnsi="Times New Roman"/>
          <w:iCs/>
          <w:sz w:val="20"/>
          <w:szCs w:val="20"/>
        </w:rPr>
        <w:t xml:space="preserve">84(5): </w:t>
      </w:r>
      <w:r w:rsidRPr="00357D4F">
        <w:rPr>
          <w:rFonts w:ascii="Times New Roman" w:eastAsia="DengXian" w:hAnsi="Times New Roman"/>
          <w:sz w:val="20"/>
          <w:szCs w:val="20"/>
        </w:rPr>
        <w:t xml:space="preserve">1396-1400. </w:t>
      </w:r>
    </w:p>
    <w:p w14:paraId="1ADEF7A0"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Kanna, M., Somnam, S., Wongwilai, W. and Grudpan, K. (2019). Towards green titration: Batchwise titration with reusable solid sorbed indicators. </w:t>
      </w:r>
      <w:r w:rsidRPr="00FD2A95">
        <w:rPr>
          <w:rFonts w:ascii="Times New Roman" w:eastAsia="DengXian" w:hAnsi="Times New Roman"/>
          <w:i/>
          <w:sz w:val="20"/>
          <w:szCs w:val="20"/>
        </w:rPr>
        <w:t>Analytical Sciences</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 xml:space="preserve">35(3): 347-350. </w:t>
      </w:r>
    </w:p>
    <w:p w14:paraId="76CE6A8C"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Pinyou, P., Kradtap Hartwell, S., Jakmunee, J., Lapanantnoppakhun, S. and Grudpan, K. (2010). Flow Injection determination of iron ions with green tea extracts as a natural chromogenic reagent. </w:t>
      </w:r>
      <w:r w:rsidRPr="00FD2A95">
        <w:rPr>
          <w:rFonts w:ascii="Times New Roman" w:eastAsia="DengXian" w:hAnsi="Times New Roman"/>
          <w:i/>
          <w:sz w:val="20"/>
          <w:szCs w:val="20"/>
        </w:rPr>
        <w:t>Analytical Sciences</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26(5): 619-623.</w:t>
      </w:r>
    </w:p>
    <w:p w14:paraId="67DA6A41"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hAnsi="Times New Roman"/>
          <w:sz w:val="20"/>
          <w:szCs w:val="20"/>
        </w:rPr>
        <w:t xml:space="preserve">Siriangkhawut, W., Ponhong, K. and Grudpan, K. (2019). A green colorimetric method using guava leaves extract for quality control of iron content in pharmaceutical formulations. </w:t>
      </w:r>
      <w:r w:rsidRPr="00FD2A95">
        <w:rPr>
          <w:rFonts w:ascii="Times New Roman" w:eastAsia="DengXian" w:hAnsi="Times New Roman"/>
          <w:i/>
          <w:sz w:val="20"/>
          <w:szCs w:val="20"/>
        </w:rPr>
        <w:t>Malaysian Journal of Analytical Sciences</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23(4):</w:t>
      </w:r>
      <w:r w:rsidRPr="00FD2A95">
        <w:rPr>
          <w:rFonts w:ascii="Times New Roman" w:eastAsia="DengXian" w:hAnsi="Times New Roman"/>
          <w:sz w:val="20"/>
          <w:szCs w:val="20"/>
        </w:rPr>
        <w:t xml:space="preserve"> 595-603.</w:t>
      </w:r>
    </w:p>
    <w:p w14:paraId="412B20F2" w14:textId="77777777" w:rsidR="00C244E9" w:rsidRPr="00BD662B"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lastRenderedPageBreak/>
        <w:t xml:space="preserve">Supharoek, S.-A., Ponhong, K. and Grudpan, K. (2017). A green analytical method for benzoyl peroxide determination by a sequential injection spectrophotometry using natural reagent extracts from pumpkin. </w:t>
      </w:r>
      <w:r w:rsidRPr="00FD2A95">
        <w:rPr>
          <w:rFonts w:ascii="Times New Roman" w:eastAsia="DengXian" w:hAnsi="Times New Roman"/>
          <w:i/>
          <w:sz w:val="20"/>
          <w:szCs w:val="20"/>
        </w:rPr>
        <w:t>Talanta</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171</w:t>
      </w:r>
      <w:r w:rsidRPr="00FD2A95">
        <w:rPr>
          <w:rFonts w:ascii="Times New Roman" w:eastAsia="DengXian" w:hAnsi="Times New Roman"/>
          <w:sz w:val="20"/>
          <w:szCs w:val="20"/>
        </w:rPr>
        <w:t>, 236-241.</w:t>
      </w:r>
    </w:p>
    <w:p w14:paraId="2E9BBBE2"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analytical methodology using indian almond (</w:t>
      </w:r>
      <w:r w:rsidRPr="00FD2A95">
        <w:rPr>
          <w:rFonts w:ascii="Times New Roman" w:eastAsia="DengXian" w:hAnsi="Times New Roman"/>
          <w:i/>
          <w:iCs/>
          <w:sz w:val="20"/>
          <w:szCs w:val="20"/>
        </w:rPr>
        <w:t>Terminalia Catappa L.</w:t>
      </w:r>
      <w:r w:rsidRPr="00FD2A95">
        <w:rPr>
          <w:rFonts w:ascii="Times New Roman" w:eastAsia="DengXian" w:hAnsi="Times New Roman"/>
          <w:sz w:val="20"/>
          <w:szCs w:val="20"/>
        </w:rPr>
        <w:t xml:space="preserve">) leaf extract for Insain, P., Khonyoung, S., Sooksamiti, P., Lapanantnoppakhun, S., Jakmunee, J., Grudpan, K., Zajicek, K. and Kradtap Hartwell, S. (2013). Green determination of aluminum ion in waste water from ceramic factories. </w:t>
      </w:r>
      <w:r w:rsidRPr="00FD2A95">
        <w:rPr>
          <w:rFonts w:ascii="Times New Roman" w:eastAsia="DengXian" w:hAnsi="Times New Roman"/>
          <w:i/>
          <w:sz w:val="20"/>
          <w:szCs w:val="20"/>
        </w:rPr>
        <w:t>Analytical Sciences</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29</w:t>
      </w:r>
      <w:r w:rsidRPr="00FD2A95">
        <w:rPr>
          <w:rFonts w:ascii="Times New Roman" w:eastAsia="DengXian" w:hAnsi="Times New Roman"/>
          <w:sz w:val="20"/>
          <w:szCs w:val="20"/>
        </w:rPr>
        <w:t>(6): 655-659.</w:t>
      </w:r>
    </w:p>
    <w:p w14:paraId="27838A05"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Siriangkhawut, W., Khanhuathon, Y., Chantiratikul, P., Ponhong, K. and Grudpan, K. (2016). A green sequential injection spectrophotometric approach using natural reagent extracts from heartwood of </w:t>
      </w:r>
      <w:r w:rsidRPr="00FD2A95">
        <w:rPr>
          <w:rFonts w:ascii="Times New Roman" w:eastAsia="DengXian" w:hAnsi="Times New Roman"/>
          <w:i/>
          <w:iCs/>
          <w:sz w:val="20"/>
          <w:szCs w:val="20"/>
        </w:rPr>
        <w:t>Ceasalpinia sappan Linn</w:t>
      </w:r>
      <w:r w:rsidRPr="00FD2A95">
        <w:rPr>
          <w:rFonts w:ascii="Times New Roman" w:eastAsia="DengXian" w:hAnsi="Times New Roman"/>
          <w:sz w:val="20"/>
          <w:szCs w:val="20"/>
        </w:rPr>
        <w:t xml:space="preserve">. for Determination of Aluminium. </w:t>
      </w:r>
      <w:r w:rsidRPr="00FD2A95">
        <w:rPr>
          <w:rFonts w:ascii="Times New Roman" w:eastAsia="DengXian" w:hAnsi="Times New Roman"/>
          <w:i/>
          <w:sz w:val="20"/>
          <w:szCs w:val="20"/>
        </w:rPr>
        <w:t>Analytical Sciences</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32(3):</w:t>
      </w:r>
      <w:r w:rsidRPr="00FD2A95">
        <w:rPr>
          <w:rFonts w:ascii="Times New Roman" w:eastAsia="DengXian" w:hAnsi="Times New Roman"/>
          <w:sz w:val="20"/>
          <w:szCs w:val="20"/>
        </w:rPr>
        <w:t xml:space="preserve"> 329-336.</w:t>
      </w:r>
    </w:p>
    <w:p w14:paraId="7C52AF24"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Kiwfo, K., Wongwilai, W., Paengnakorn, P., Boonmapa, S., Sateanchok, S. and Grudpan, K. (2018). Noodle based analytical devices for cost effective green chemical analysis. </w:t>
      </w:r>
      <w:r w:rsidRPr="00FD2A95">
        <w:rPr>
          <w:rFonts w:ascii="Times New Roman" w:eastAsia="DengXian" w:hAnsi="Times New Roman"/>
          <w:i/>
          <w:sz w:val="20"/>
          <w:szCs w:val="20"/>
        </w:rPr>
        <w:t>Talanta</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181: 1-5.</w:t>
      </w:r>
    </w:p>
    <w:p w14:paraId="0B15E34E"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Siriangkhawut, W., Didpinrum, P., Khanhuathon, Y., Ponhong, K. and Grudpan, K. (2020). Small-scale ultrasound-assisted extraction of phenolics from pomegranate peels and their application as a natural reagent for the colorimetric assay of iron. </w:t>
      </w:r>
      <w:r w:rsidRPr="00FD2A95">
        <w:rPr>
          <w:rFonts w:ascii="Times New Roman" w:eastAsia="DengXian" w:hAnsi="Times New Roman"/>
          <w:i/>
          <w:sz w:val="20"/>
          <w:szCs w:val="20"/>
        </w:rPr>
        <w:t>Analytical Letters</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53(6): 887-904.</w:t>
      </w:r>
    </w:p>
    <w:p w14:paraId="61BDD81D"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Kotchabhakdi, N., Seanjum, C., Kiwfo, K. and Grudpan, K. (2021). A simple extract of Leucaena leucocephala (Lam.) de Wit leaf containing mimosine as a natural color reagent for iron determination. </w:t>
      </w:r>
      <w:r w:rsidRPr="00FD2A95">
        <w:rPr>
          <w:rFonts w:ascii="Times New Roman" w:eastAsia="DengXian" w:hAnsi="Times New Roman"/>
          <w:i/>
          <w:sz w:val="20"/>
          <w:szCs w:val="20"/>
        </w:rPr>
        <w:t>Microchemical Journal</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162: 105860.</w:t>
      </w:r>
    </w:p>
    <w:p w14:paraId="4B18B3E4"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Weerasuk, B., Supharoek, S.-a., Grudpan, K. and Ponhong, K. (2021). Exploiting crude betel nut (</w:t>
      </w:r>
      <w:r w:rsidRPr="00FD2A95">
        <w:rPr>
          <w:rFonts w:ascii="Times New Roman" w:eastAsia="DengXian" w:hAnsi="Times New Roman"/>
          <w:i/>
          <w:iCs/>
          <w:sz w:val="20"/>
          <w:szCs w:val="20"/>
        </w:rPr>
        <w:t xml:space="preserve">Areca catechu </w:t>
      </w:r>
      <w:r w:rsidRPr="00FD2A95">
        <w:rPr>
          <w:rFonts w:ascii="Times New Roman" w:eastAsia="DengXian" w:hAnsi="Times New Roman"/>
          <w:sz w:val="20"/>
          <w:szCs w:val="20"/>
        </w:rPr>
        <w:t xml:space="preserve">Linn.) extracted solution as a natural reagent with sequential injection spectrophotometry for iron analysis in rice samples. </w:t>
      </w:r>
      <w:r w:rsidRPr="00FD2A95">
        <w:rPr>
          <w:rFonts w:ascii="Times New Roman" w:eastAsia="DengXian" w:hAnsi="Times New Roman"/>
          <w:i/>
          <w:sz w:val="20"/>
          <w:szCs w:val="20"/>
        </w:rPr>
        <w:t>Journal of the Iranian Chemical Society</w:t>
      </w:r>
      <w:r w:rsidRPr="00FD2A95">
        <w:rPr>
          <w:rFonts w:ascii="Times New Roman" w:eastAsia="DengXian" w:hAnsi="Times New Roman"/>
          <w:sz w:val="20"/>
          <w:szCs w:val="20"/>
        </w:rPr>
        <w:t>, 19: 741-751.</w:t>
      </w:r>
    </w:p>
    <w:p w14:paraId="0DBA0620"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Tapala, W., Chankaew, C., Grudpan, K. and Rujiwatra, A. (2021). Silver-miang nanocomposites: A green, rapid and simple approach for selective determination of nitrite in water and meat samples. </w:t>
      </w:r>
      <w:r w:rsidRPr="00FD2A95">
        <w:rPr>
          <w:rFonts w:ascii="Times New Roman" w:eastAsia="DengXian" w:hAnsi="Times New Roman"/>
          <w:i/>
          <w:sz w:val="20"/>
          <w:szCs w:val="20"/>
        </w:rPr>
        <w:t>Microchemical Journal</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162: 105879.</w:t>
      </w:r>
    </w:p>
    <w:p w14:paraId="3489BA5D"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Ganranoo, L., Chokchaisiri, R. and Grudpan, K. (2019). Simple simultaneous determination of iron and manganese by sequential injection spectrophotometry using astilbin extracted from Smilax china L. root. </w:t>
      </w:r>
      <w:r w:rsidRPr="00FD2A95">
        <w:rPr>
          <w:rFonts w:ascii="Times New Roman" w:eastAsia="DengXian" w:hAnsi="Times New Roman"/>
          <w:i/>
          <w:sz w:val="20"/>
          <w:szCs w:val="20"/>
        </w:rPr>
        <w:t>Talanta</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191:</w:t>
      </w:r>
      <w:r w:rsidRPr="00FD2A95">
        <w:rPr>
          <w:rFonts w:ascii="Times New Roman" w:eastAsia="DengXian" w:hAnsi="Times New Roman"/>
          <w:sz w:val="20"/>
          <w:szCs w:val="20"/>
        </w:rPr>
        <w:t xml:space="preserve"> 307-312.</w:t>
      </w:r>
    </w:p>
    <w:p w14:paraId="22BF593B"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Jaikang, P., Paengnakorn, P. and Grudpan, K. (2020). Simple colorimetric ammonium assay employing well microplate with gas pervaporation and diffusion for natural indicator immobilized paper sensor via smartphone detection. </w:t>
      </w:r>
      <w:r w:rsidRPr="00FD2A95">
        <w:rPr>
          <w:rFonts w:ascii="Times New Roman" w:eastAsia="DengXian" w:hAnsi="Times New Roman"/>
          <w:i/>
          <w:sz w:val="20"/>
          <w:szCs w:val="20"/>
        </w:rPr>
        <w:t>Microchemical Journal</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 xml:space="preserve">152: 104283. </w:t>
      </w:r>
    </w:p>
    <w:p w14:paraId="6C509083" w14:textId="55746E98" w:rsidR="00C244E9" w:rsidRPr="000567AF"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BD662B">
        <w:rPr>
          <w:rFonts w:ascii="Times New Roman" w:eastAsia="DengXian" w:hAnsi="Times New Roman"/>
          <w:sz w:val="20"/>
          <w:szCs w:val="20"/>
        </w:rPr>
        <w:t xml:space="preserve">Sabarudin, A. and Indrayani, D. O. (2019). Sequential Injection analysis for determination of lead(II) using extract of </w:t>
      </w:r>
      <w:r w:rsidRPr="00BD662B">
        <w:rPr>
          <w:rFonts w:ascii="Times New Roman" w:eastAsia="DengXian" w:hAnsi="Times New Roman"/>
          <w:i/>
          <w:iCs/>
          <w:sz w:val="20"/>
          <w:szCs w:val="20"/>
        </w:rPr>
        <w:t>Caesalpinia pulcherrima</w:t>
      </w:r>
      <w:r w:rsidRPr="00BD662B">
        <w:rPr>
          <w:rFonts w:ascii="Times New Roman" w:eastAsia="DengXian" w:hAnsi="Times New Roman"/>
          <w:sz w:val="20"/>
          <w:szCs w:val="20"/>
        </w:rPr>
        <w:t xml:space="preserve"> as a natural reagent. </w:t>
      </w:r>
      <w:r w:rsidRPr="00BD662B">
        <w:rPr>
          <w:rFonts w:ascii="Times New Roman" w:eastAsia="DengXian" w:hAnsi="Times New Roman"/>
          <w:i/>
          <w:sz w:val="20"/>
          <w:szCs w:val="20"/>
        </w:rPr>
        <w:t>IOP Conference Series. Materials Science and Engineering</w:t>
      </w:r>
      <w:r w:rsidRPr="00BD662B">
        <w:rPr>
          <w:rFonts w:ascii="Times New Roman" w:eastAsia="DengXian" w:hAnsi="Times New Roman"/>
          <w:sz w:val="20"/>
          <w:szCs w:val="20"/>
        </w:rPr>
        <w:t>,</w:t>
      </w:r>
      <w:r w:rsidRPr="00BD662B">
        <w:rPr>
          <w:rFonts w:ascii="Times New Roman" w:eastAsia="DengXian" w:hAnsi="Times New Roman"/>
          <w:i/>
          <w:sz w:val="20"/>
          <w:szCs w:val="20"/>
        </w:rPr>
        <w:t xml:space="preserve"> </w:t>
      </w:r>
      <w:r w:rsidRPr="00BD662B">
        <w:rPr>
          <w:rFonts w:ascii="Times New Roman" w:eastAsia="DengXian" w:hAnsi="Times New Roman"/>
          <w:iCs/>
          <w:sz w:val="20"/>
          <w:szCs w:val="20"/>
        </w:rPr>
        <w:t>546(3): 032027.</w:t>
      </w:r>
    </w:p>
    <w:p w14:paraId="69C4EB1F" w14:textId="77777777" w:rsidR="00C244E9"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Kiwfo, K., Woi, P. M., Saenjum, C. and Grudpan, K. (2022). New designs of paper based analytical devices (PADs) for completing replication analysis of a sample within a single run by employing smartphone. </w:t>
      </w:r>
      <w:r w:rsidRPr="00FD2A95">
        <w:rPr>
          <w:rFonts w:ascii="Times New Roman" w:eastAsia="DengXian" w:hAnsi="Times New Roman"/>
          <w:i/>
          <w:sz w:val="20"/>
          <w:szCs w:val="20"/>
        </w:rPr>
        <w:t>Talanta</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236: 122848.</w:t>
      </w:r>
    </w:p>
    <w:p w14:paraId="427CF614"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Kiwfo, K., Wongwilai, W., Sakai, T. N. T., Murakami, H.P. P., Phojuang, K., Kotchabhakdi, N. and Grudpan, K. (2020). Simple natural material based microfluidic platforms with a smartphone detection employing natural reagent for acidity assay. </w:t>
      </w:r>
      <w:r w:rsidRPr="00FD2A95">
        <w:rPr>
          <w:rFonts w:ascii="Times New Roman" w:eastAsia="DengXian" w:hAnsi="Times New Roman"/>
          <w:i/>
          <w:sz w:val="20"/>
          <w:szCs w:val="20"/>
        </w:rPr>
        <w:t>Journal Flow Injection Analysis</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37</w:t>
      </w:r>
      <w:r w:rsidRPr="00FD2A95">
        <w:rPr>
          <w:rFonts w:ascii="Times New Roman" w:eastAsia="DengXian" w:hAnsi="Times New Roman"/>
          <w:sz w:val="20"/>
          <w:szCs w:val="20"/>
        </w:rPr>
        <w:t xml:space="preserve">(1): 9-12. </w:t>
      </w:r>
    </w:p>
    <w:p w14:paraId="4EF933BB"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Sateanchok, S., Wongwilai, W., Kiwfo, K. and Grudpan, K. (2016). The assay of anionic surfactant employing thread based analytical device with mobile phone. </w:t>
      </w:r>
      <w:r w:rsidRPr="00FD2A95">
        <w:rPr>
          <w:rFonts w:ascii="Times New Roman" w:eastAsia="DengXian" w:hAnsi="Times New Roman"/>
          <w:i/>
          <w:sz w:val="20"/>
          <w:szCs w:val="20"/>
        </w:rPr>
        <w:t>Journal Flow Injection Analysis</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33(1): 5-</w:t>
      </w:r>
      <w:r w:rsidRPr="00FD2A95">
        <w:rPr>
          <w:rFonts w:ascii="Times New Roman" w:eastAsia="DengXian" w:hAnsi="Times New Roman"/>
          <w:sz w:val="20"/>
          <w:szCs w:val="20"/>
        </w:rPr>
        <w:t>7.</w:t>
      </w:r>
    </w:p>
    <w:p w14:paraId="49427E4D" w14:textId="77777777" w:rsidR="00C244E9" w:rsidRPr="002B4B22"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Sateanchok, S., Wangkarn, S., Saenjum, C. and Grudpan, K. (2018). A cost-effective assay for antioxidant using simple cotton thread combining paper based device with mobile phone detection. </w:t>
      </w:r>
      <w:r w:rsidRPr="00FD2A95">
        <w:rPr>
          <w:rFonts w:ascii="Times New Roman" w:eastAsia="DengXian" w:hAnsi="Times New Roman"/>
          <w:i/>
          <w:sz w:val="20"/>
          <w:szCs w:val="20"/>
        </w:rPr>
        <w:t>Talanta</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 xml:space="preserve">177: 171-175. </w:t>
      </w:r>
    </w:p>
    <w:p w14:paraId="16F422FF"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t xml:space="preserve">Chankaew, C., Tapala, W., Grudpan, K. and Rujiwatra, A. (2019). Microwave synthesis of ZnO nanoparticles using longan seeds biowaste and their efficiencies in photocatalytic decolorization of organic dyes. </w:t>
      </w:r>
      <w:r w:rsidRPr="00FD2A95">
        <w:rPr>
          <w:rFonts w:ascii="Times New Roman" w:eastAsia="DengXian" w:hAnsi="Times New Roman"/>
          <w:i/>
          <w:sz w:val="20"/>
          <w:szCs w:val="20"/>
        </w:rPr>
        <w:t>Environmental Sciene Pollution Research International</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 xml:space="preserve">26(17): </w:t>
      </w:r>
      <w:r w:rsidRPr="00FD2A95">
        <w:rPr>
          <w:rFonts w:ascii="Times New Roman" w:eastAsia="DengXian" w:hAnsi="Times New Roman"/>
          <w:sz w:val="20"/>
          <w:szCs w:val="20"/>
        </w:rPr>
        <w:t>17548-17554.</w:t>
      </w:r>
    </w:p>
    <w:p w14:paraId="2EEF4E01" w14:textId="77777777" w:rsidR="00C244E9" w:rsidRPr="00FD2A95"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pPr>
      <w:r w:rsidRPr="00FD2A95">
        <w:rPr>
          <w:rFonts w:ascii="Times New Roman" w:eastAsia="DengXian" w:hAnsi="Times New Roman"/>
          <w:sz w:val="20"/>
          <w:szCs w:val="20"/>
        </w:rPr>
        <w:lastRenderedPageBreak/>
        <w:t xml:space="preserve">Kiwfo, K., Yeerum, C., Issarangkura Na Ayutthaya, P., Kesonkan, K., Suteerapataranon, S., Panitsupakamol, P., Chinwong, D., Paengnakorn, P., Chinwong, S., Kotchabhakdi, N., Saenjum, C., Vongboot, M. and Grudpan, K. (2021). Sustainable Education with local-wisdom based natural reagent for green chemical analysis with a smart device: experiences in Thailand. </w:t>
      </w:r>
      <w:r w:rsidRPr="00FD2A95">
        <w:rPr>
          <w:rFonts w:ascii="Times New Roman" w:eastAsia="DengXian" w:hAnsi="Times New Roman"/>
          <w:i/>
          <w:sz w:val="20"/>
          <w:szCs w:val="20"/>
        </w:rPr>
        <w:t>Sustainability</w:t>
      </w:r>
      <w:r w:rsidRPr="00FD2A95">
        <w:rPr>
          <w:rFonts w:ascii="Times New Roman" w:eastAsia="DengXian" w:hAnsi="Times New Roman"/>
          <w:sz w:val="20"/>
          <w:szCs w:val="20"/>
        </w:rPr>
        <w:t>,</w:t>
      </w:r>
      <w:r w:rsidRPr="00FD2A95">
        <w:rPr>
          <w:rFonts w:ascii="Times New Roman" w:eastAsia="DengXian" w:hAnsi="Times New Roman"/>
          <w:i/>
          <w:sz w:val="20"/>
          <w:szCs w:val="20"/>
        </w:rPr>
        <w:t xml:space="preserve"> </w:t>
      </w:r>
      <w:r w:rsidRPr="00FD2A95">
        <w:rPr>
          <w:rFonts w:ascii="Times New Roman" w:eastAsia="DengXian" w:hAnsi="Times New Roman"/>
          <w:iCs/>
          <w:sz w:val="20"/>
          <w:szCs w:val="20"/>
        </w:rPr>
        <w:t xml:space="preserve">13(20): </w:t>
      </w:r>
      <w:r w:rsidRPr="00FD2A95">
        <w:rPr>
          <w:rFonts w:ascii="Times New Roman" w:eastAsia="DengXian" w:hAnsi="Times New Roman"/>
          <w:sz w:val="20"/>
          <w:szCs w:val="20"/>
        </w:rPr>
        <w:t xml:space="preserve">11147. </w:t>
      </w:r>
    </w:p>
    <w:p w14:paraId="2D904D23" w14:textId="77777777" w:rsidR="00C244E9" w:rsidRPr="00BD662B" w:rsidRDefault="00C244E9" w:rsidP="00C244E9">
      <w:pPr>
        <w:pStyle w:val="ListParagraph"/>
        <w:numPr>
          <w:ilvl w:val="0"/>
          <w:numId w:val="11"/>
        </w:numPr>
        <w:spacing w:after="0"/>
        <w:ind w:left="360"/>
        <w:contextualSpacing w:val="0"/>
        <w:jc w:val="both"/>
        <w:rPr>
          <w:rFonts w:ascii="Times New Roman" w:eastAsia="DengXian" w:hAnsi="Times New Roman"/>
          <w:iCs/>
          <w:sz w:val="20"/>
          <w:szCs w:val="20"/>
        </w:rPr>
        <w:sectPr w:rsidR="00C244E9" w:rsidRPr="00BD662B" w:rsidSect="00C244E9">
          <w:footerReference w:type="even" r:id="rId7"/>
          <w:footerReference w:type="default" r:id="rId8"/>
          <w:type w:val="evenPage"/>
          <w:pgSz w:w="12240" w:h="15840" w:code="1"/>
          <w:pgMar w:top="1800" w:right="1469" w:bottom="1699" w:left="1440" w:header="706" w:footer="706" w:gutter="0"/>
          <w:pgNumType w:start="396"/>
          <w:cols w:space="403"/>
          <w:docGrid w:linePitch="360"/>
        </w:sectPr>
      </w:pPr>
      <w:r w:rsidRPr="00FD2A95">
        <w:rPr>
          <w:rFonts w:ascii="Times New Roman" w:eastAsia="DengXian" w:hAnsi="Times New Roman"/>
          <w:sz w:val="20"/>
          <w:szCs w:val="20"/>
        </w:rPr>
        <w:t>Center, C. C. A. R. (2021). CMU researcher creates green innovation in chemical analysis from century-old wisdom of the Fang people. Access from https://www.cmu.ac.th/en/article/7b2719e8-86bc-4d0c-9205-9b4a40647597</w:t>
      </w:r>
    </w:p>
    <w:p w14:paraId="13EC0A37" w14:textId="77777777" w:rsidR="00C244E9" w:rsidRDefault="00C244E9" w:rsidP="00C244E9">
      <w:pPr>
        <w:spacing w:after="0"/>
        <w:jc w:val="both"/>
        <w:rPr>
          <w:rFonts w:ascii="Times New Roman" w:eastAsia="DengXian" w:hAnsi="Times New Roman"/>
          <w:iCs/>
          <w:sz w:val="20"/>
          <w:szCs w:val="20"/>
        </w:rPr>
      </w:pPr>
    </w:p>
    <w:p w14:paraId="615092EE" w14:textId="77777777" w:rsidR="00C244E9" w:rsidRDefault="00C244E9" w:rsidP="00C244E9">
      <w:pPr>
        <w:spacing w:after="0"/>
        <w:jc w:val="both"/>
        <w:rPr>
          <w:rFonts w:ascii="Times New Roman" w:eastAsia="DengXian" w:hAnsi="Times New Roman"/>
          <w:iCs/>
          <w:sz w:val="20"/>
          <w:szCs w:val="20"/>
        </w:rPr>
      </w:pPr>
    </w:p>
    <w:p w14:paraId="6B21A214" w14:textId="77777777" w:rsidR="00C244E9" w:rsidRPr="001522EB" w:rsidRDefault="00C244E9" w:rsidP="00C244E9">
      <w:pPr>
        <w:spacing w:after="0"/>
        <w:jc w:val="both"/>
        <w:rPr>
          <w:rFonts w:ascii="Times New Roman" w:eastAsia="DengXian" w:hAnsi="Times New Roman"/>
          <w:iCs/>
          <w:sz w:val="20"/>
          <w:szCs w:val="20"/>
        </w:rPr>
      </w:pPr>
    </w:p>
    <w:p w14:paraId="0453CF82" w14:textId="77777777" w:rsidR="00C244E9" w:rsidRPr="006F7640" w:rsidRDefault="00C244E9" w:rsidP="00C244E9">
      <w:pPr>
        <w:pStyle w:val="EndNoteBibliography"/>
        <w:spacing w:line="276" w:lineRule="auto"/>
        <w:ind w:left="567" w:hanging="567"/>
        <w:jc w:val="both"/>
        <w:rPr>
          <w:rFonts w:ascii="Times New Roman" w:hAnsi="Times New Roman" w:cs="Times New Roman"/>
          <w:sz w:val="20"/>
          <w:szCs w:val="20"/>
        </w:rPr>
      </w:pPr>
    </w:p>
    <w:p w14:paraId="76C4A7EB" w14:textId="77777777" w:rsidR="00C244E9" w:rsidRDefault="00C244E9" w:rsidP="00C244E9">
      <w:pPr>
        <w:spacing w:after="0"/>
        <w:jc w:val="both"/>
        <w:rPr>
          <w:rFonts w:ascii="Times New Roman" w:eastAsia="SimSun" w:hAnsi="Times New Roman"/>
          <w:b/>
          <w:bCs/>
          <w:sz w:val="20"/>
          <w:szCs w:val="20"/>
        </w:rPr>
        <w:sectPr w:rsidR="00C244E9" w:rsidSect="00C244E9">
          <w:footerReference w:type="even" r:id="rId9"/>
          <w:footerReference w:type="default" r:id="rId10"/>
          <w:type w:val="continuous"/>
          <w:pgSz w:w="12240" w:h="15840" w:code="1"/>
          <w:pgMar w:top="1800" w:right="1469" w:bottom="1699" w:left="1440" w:header="706" w:footer="706" w:gutter="0"/>
          <w:pgNumType w:start="0"/>
          <w:cols w:space="403"/>
          <w:docGrid w:linePitch="360"/>
        </w:sectPr>
      </w:pPr>
      <w:r w:rsidRPr="006F7640">
        <w:rPr>
          <w:rFonts w:ascii="Times New Roman" w:eastAsia="SimSun" w:hAnsi="Times New Roman"/>
          <w:b/>
          <w:bCs/>
          <w:sz w:val="20"/>
          <w:szCs w:val="20"/>
        </w:rPr>
        <w:fldChar w:fldCharType="end"/>
      </w:r>
    </w:p>
    <w:p w14:paraId="0884995F" w14:textId="1E4C539E" w:rsidR="00C244E9" w:rsidRPr="00383C16" w:rsidRDefault="00C244E9" w:rsidP="00C244E9">
      <w:pPr>
        <w:spacing w:after="0"/>
        <w:jc w:val="both"/>
        <w:rPr>
          <w:rFonts w:ascii="Times New Roman" w:hAnsi="Times New Roman"/>
          <w:noProof/>
          <w:sz w:val="20"/>
          <w:szCs w:val="20"/>
        </w:rPr>
      </w:pPr>
    </w:p>
    <w:p w14:paraId="14470D63" w14:textId="77777777" w:rsidR="00C244E9" w:rsidRDefault="00C244E9"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0567AF">
      <w:pPr>
        <w:spacing w:after="0"/>
        <w:jc w:val="both"/>
        <w:rPr>
          <w:rFonts w:ascii="Times New Roman" w:hAnsi="Times New Roman"/>
          <w:b/>
          <w:sz w:val="20"/>
          <w:szCs w:val="20"/>
          <w:lang w:val="ms-MY"/>
        </w:rPr>
      </w:pPr>
    </w:p>
    <w:sectPr w:rsidR="00385369" w:rsidRPr="00385369" w:rsidSect="006E79D9">
      <w:headerReference w:type="even" r:id="rId11"/>
      <w:headerReference w:type="default" r:id="rId12"/>
      <w:footerReference w:type="even" r:id="rId13"/>
      <w:headerReference w:type="first" r:id="rId14"/>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B5CC" w14:textId="77777777" w:rsidR="00F00254" w:rsidRDefault="00F00254">
      <w:pPr>
        <w:spacing w:after="0" w:line="240" w:lineRule="auto"/>
      </w:pPr>
      <w:r>
        <w:separator/>
      </w:r>
    </w:p>
  </w:endnote>
  <w:endnote w:type="continuationSeparator" w:id="0">
    <w:p w14:paraId="2472061F" w14:textId="77777777" w:rsidR="00F00254" w:rsidRDefault="00F0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B1FD" w14:textId="77777777" w:rsidR="00C244E9" w:rsidRPr="00D1549D" w:rsidRDefault="00C244E9">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MY"/>
      </w:rPr>
      <w:t>410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B419" w14:textId="77777777" w:rsidR="00C244E9" w:rsidRPr="004B43FF" w:rsidRDefault="00C244E9">
    <w:pPr>
      <w:pStyle w:val="Footer"/>
      <w:rPr>
        <w:rFonts w:ascii="Times New Roman" w:hAnsi="Times New Roman"/>
        <w:lang w:val="en-US"/>
      </w:rPr>
    </w:pPr>
    <w:r>
      <w:rPr>
        <w:rFonts w:ascii="Times New Roman" w:hAnsi="Times New Roman"/>
        <w:noProof/>
        <w:lang w:val="en-US"/>
      </w:rPr>
      <w:t>411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A7FC" w14:textId="77777777" w:rsidR="00F00254" w:rsidRDefault="00F00254">
      <w:pPr>
        <w:spacing w:after="0" w:line="240" w:lineRule="auto"/>
      </w:pPr>
      <w:r>
        <w:separator/>
      </w:r>
    </w:p>
  </w:footnote>
  <w:footnote w:type="continuationSeparator" w:id="0">
    <w:p w14:paraId="7DAF483F" w14:textId="77777777" w:rsidR="00F00254" w:rsidRDefault="00F00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F00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F00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5D240B"/>
    <w:multiLevelType w:val="hybridMultilevel"/>
    <w:tmpl w:val="058408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605645475">
    <w:abstractNumId w:val="5"/>
  </w:num>
  <w:num w:numId="2" w16cid:durableId="1938364021">
    <w:abstractNumId w:val="4"/>
  </w:num>
  <w:num w:numId="3" w16cid:durableId="1323267513">
    <w:abstractNumId w:val="10"/>
  </w:num>
  <w:num w:numId="4" w16cid:durableId="1178615761">
    <w:abstractNumId w:val="3"/>
  </w:num>
  <w:num w:numId="5" w16cid:durableId="530460176">
    <w:abstractNumId w:val="6"/>
  </w:num>
  <w:num w:numId="6" w16cid:durableId="1267536497">
    <w:abstractNumId w:val="9"/>
  </w:num>
  <w:num w:numId="7" w16cid:durableId="990058126">
    <w:abstractNumId w:val="2"/>
  </w:num>
  <w:num w:numId="8" w16cid:durableId="1686243510">
    <w:abstractNumId w:val="7"/>
  </w:num>
  <w:num w:numId="9" w16cid:durableId="1573269679">
    <w:abstractNumId w:val="8"/>
  </w:num>
  <w:num w:numId="10" w16cid:durableId="1080178001">
    <w:abstractNumId w:val="0"/>
  </w:num>
  <w:num w:numId="11" w16cid:durableId="162943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567AF"/>
    <w:rsid w:val="00077CE7"/>
    <w:rsid w:val="00095557"/>
    <w:rsid w:val="000D2B53"/>
    <w:rsid w:val="00100CEF"/>
    <w:rsid w:val="001573E3"/>
    <w:rsid w:val="00172550"/>
    <w:rsid w:val="00184405"/>
    <w:rsid w:val="00185EDF"/>
    <w:rsid w:val="001E55BE"/>
    <w:rsid w:val="00206477"/>
    <w:rsid w:val="00226372"/>
    <w:rsid w:val="002860E8"/>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4E9"/>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00254"/>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customStyle="1" w:styleId="EndNoteBibliography">
    <w:name w:val="EndNote Bibliography"/>
    <w:basedOn w:val="Normal"/>
    <w:link w:val="EndNoteBibliographyChar"/>
    <w:rsid w:val="00C244E9"/>
    <w:pPr>
      <w:spacing w:after="0" w:line="240" w:lineRule="auto"/>
      <w:jc w:val="center"/>
    </w:pPr>
    <w:rPr>
      <w:rFonts w:ascii="Calibri" w:eastAsiaTheme="minorEastAsia" w:hAnsi="Calibri" w:cs="Calibri"/>
      <w:noProof/>
      <w:sz w:val="24"/>
      <w:szCs w:val="24"/>
      <w:lang w:eastAsia="zh-CN"/>
    </w:rPr>
  </w:style>
  <w:style w:type="character" w:customStyle="1" w:styleId="EndNoteBibliographyChar">
    <w:name w:val="EndNote Bibliography Char"/>
    <w:basedOn w:val="DefaultParagraphFont"/>
    <w:link w:val="EndNoteBibliography"/>
    <w:rsid w:val="00C244E9"/>
    <w:rPr>
      <w:rFonts w:ascii="Calibri" w:eastAsiaTheme="minorEastAsia" w:hAnsi="Calibri" w:cs="Calibri"/>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5</cp:revision>
  <cp:lastPrinted>2020-04-01T04:48:00Z</cp:lastPrinted>
  <dcterms:created xsi:type="dcterms:W3CDTF">2022-04-10T05:08:00Z</dcterms:created>
  <dcterms:modified xsi:type="dcterms:W3CDTF">2022-04-11T02:33:00Z</dcterms:modified>
</cp:coreProperties>
</file>