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97C8" w14:textId="77777777" w:rsidR="00410883" w:rsidRPr="00C1299C" w:rsidRDefault="001F7B08" w:rsidP="00410883">
      <w:pPr>
        <w:jc w:val="center"/>
        <w:outlineLvl w:val="0"/>
        <w:rPr>
          <w:rFonts w:ascii="Times New Roman" w:hAnsi="Times New Roman" w:cs="Times New Roman"/>
          <w:sz w:val="28"/>
        </w:rPr>
      </w:pPr>
      <w:r w:rsidRPr="00C1299C">
        <w:rPr>
          <w:rFonts w:ascii="Times New Roman" w:hAnsi="Times New Roman" w:cs="Times New Roman"/>
          <w:sz w:val="28"/>
        </w:rPr>
        <w:t xml:space="preserve">MEASUREMENT OF SOLVENT PROPERTIES USING KAMLET-TAFT </w:t>
      </w:r>
      <w:r w:rsidR="0039564A" w:rsidRPr="00C1299C">
        <w:rPr>
          <w:rFonts w:ascii="Times New Roman" w:hAnsi="Times New Roman" w:cs="Times New Roman"/>
          <w:sz w:val="28"/>
        </w:rPr>
        <w:t>APPROACH</w:t>
      </w:r>
      <w:r w:rsidRPr="00C1299C">
        <w:rPr>
          <w:rFonts w:ascii="Times New Roman" w:hAnsi="Times New Roman" w:cs="Times New Roman"/>
          <w:sz w:val="28"/>
        </w:rPr>
        <w:t xml:space="preserve"> FOR APPLICATION IN SYNTHESIS</w:t>
      </w:r>
    </w:p>
    <w:p w14:paraId="5109CA44" w14:textId="77777777" w:rsidR="00785CA6" w:rsidRPr="00C1299C" w:rsidRDefault="00785CA6" w:rsidP="00C63ADC">
      <w:pPr>
        <w:jc w:val="center"/>
        <w:outlineLvl w:val="0"/>
        <w:rPr>
          <w:rFonts w:ascii="Times New Roman" w:hAnsi="Times New Roman" w:cs="Times New Roman"/>
          <w:b/>
          <w:sz w:val="24"/>
        </w:rPr>
      </w:pPr>
    </w:p>
    <w:p w14:paraId="781366DC" w14:textId="77777777" w:rsidR="00C1299C" w:rsidRDefault="001F7B08" w:rsidP="00C63ADC">
      <w:pPr>
        <w:jc w:val="center"/>
        <w:rPr>
          <w:rFonts w:ascii="Times New Roman" w:hAnsi="Times New Roman" w:cs="Times New Roman"/>
          <w:bCs/>
          <w:noProof/>
          <w:sz w:val="24"/>
          <w:szCs w:val="24"/>
        </w:rPr>
      </w:pPr>
      <w:r w:rsidRPr="00C1299C">
        <w:rPr>
          <w:rFonts w:ascii="Times New Roman" w:hAnsi="Times New Roman" w:cs="Times New Roman"/>
          <w:sz w:val="24"/>
        </w:rPr>
        <w:t>(</w:t>
      </w:r>
      <w:r w:rsidR="003C0465" w:rsidRPr="00C1299C">
        <w:rPr>
          <w:rFonts w:ascii="Times New Roman" w:hAnsi="Times New Roman" w:cs="Times New Roman"/>
          <w:bCs/>
          <w:noProof/>
          <w:sz w:val="24"/>
          <w:szCs w:val="24"/>
        </w:rPr>
        <w:t xml:space="preserve">Pengukuran Sifat Pelarut Menggunakan Pendekatan Kamlet-Taft </w:t>
      </w:r>
    </w:p>
    <w:p w14:paraId="7FA18138" w14:textId="19128F62" w:rsidR="00785CA6" w:rsidRPr="00C1299C" w:rsidRDefault="003C0465" w:rsidP="00C63ADC">
      <w:pPr>
        <w:jc w:val="center"/>
        <w:rPr>
          <w:rFonts w:ascii="Times New Roman" w:hAnsi="Times New Roman" w:cs="Times New Roman"/>
          <w:sz w:val="24"/>
        </w:rPr>
      </w:pPr>
      <w:r w:rsidRPr="00C1299C">
        <w:rPr>
          <w:rFonts w:ascii="Times New Roman" w:hAnsi="Times New Roman" w:cs="Times New Roman"/>
          <w:bCs/>
          <w:noProof/>
          <w:sz w:val="24"/>
          <w:szCs w:val="24"/>
        </w:rPr>
        <w:t>untuk Penggunaan dalam Sintesis</w:t>
      </w:r>
      <w:r w:rsidR="001F7B08" w:rsidRPr="00C1299C">
        <w:rPr>
          <w:rFonts w:ascii="Times New Roman" w:hAnsi="Times New Roman" w:cs="Times New Roman"/>
          <w:sz w:val="24"/>
        </w:rPr>
        <w:t>)</w:t>
      </w:r>
    </w:p>
    <w:p w14:paraId="71E73E79" w14:textId="77777777" w:rsidR="00C63ADC" w:rsidRPr="00C1299C" w:rsidRDefault="00C63ADC" w:rsidP="00C63ADC">
      <w:pPr>
        <w:jc w:val="center"/>
        <w:rPr>
          <w:rFonts w:ascii="Times New Roman" w:hAnsi="Times New Roman" w:cs="Times New Roman"/>
          <w:bCs/>
          <w:sz w:val="24"/>
          <w:szCs w:val="24"/>
        </w:rPr>
      </w:pPr>
    </w:p>
    <w:p w14:paraId="4F548EFC" w14:textId="77777777" w:rsidR="00785CA6" w:rsidRPr="00C1299C" w:rsidRDefault="001F7B08" w:rsidP="00785CA6">
      <w:pPr>
        <w:jc w:val="center"/>
        <w:outlineLvl w:val="0"/>
        <w:rPr>
          <w:rFonts w:ascii="Times New Roman" w:hAnsi="Times New Roman" w:cs="Times New Roman"/>
          <w:szCs w:val="20"/>
        </w:rPr>
      </w:pPr>
      <w:r w:rsidRPr="00C1299C">
        <w:rPr>
          <w:rFonts w:ascii="Times New Roman" w:hAnsi="Times New Roman" w:cs="Times New Roman"/>
          <w:szCs w:val="20"/>
        </w:rPr>
        <w:t>Tariqul Islam</w:t>
      </w:r>
      <w:r w:rsidRPr="00C1299C">
        <w:rPr>
          <w:rFonts w:ascii="Times New Roman" w:hAnsi="Times New Roman" w:cs="Times New Roman"/>
          <w:szCs w:val="20"/>
          <w:vertAlign w:val="superscript"/>
        </w:rPr>
        <w:t>1</w:t>
      </w:r>
      <w:r w:rsidRPr="00C1299C">
        <w:rPr>
          <w:rFonts w:ascii="Times New Roman" w:hAnsi="Times New Roman" w:cs="Times New Roman"/>
          <w:szCs w:val="20"/>
        </w:rPr>
        <w:t>,</w:t>
      </w:r>
      <w:r w:rsidR="00A53955" w:rsidRPr="00C1299C">
        <w:rPr>
          <w:rFonts w:ascii="Times New Roman" w:hAnsi="Times New Roman" w:cs="Times New Roman"/>
          <w:szCs w:val="20"/>
        </w:rPr>
        <w:t xml:space="preserve"> </w:t>
      </w:r>
      <w:r w:rsidRPr="00C1299C">
        <w:rPr>
          <w:rFonts w:ascii="Times New Roman" w:hAnsi="Times New Roman" w:cs="Times New Roman"/>
          <w:szCs w:val="20"/>
        </w:rPr>
        <w:t>A</w:t>
      </w:r>
      <w:r w:rsidR="00A53955" w:rsidRPr="00C1299C">
        <w:rPr>
          <w:rFonts w:ascii="Times New Roman" w:hAnsi="Times New Roman" w:cs="Times New Roman"/>
          <w:szCs w:val="20"/>
        </w:rPr>
        <w:t xml:space="preserve">. </w:t>
      </w:r>
      <w:r w:rsidRPr="00C1299C">
        <w:rPr>
          <w:rFonts w:ascii="Times New Roman" w:hAnsi="Times New Roman" w:cs="Times New Roman"/>
          <w:szCs w:val="20"/>
        </w:rPr>
        <w:t>B</w:t>
      </w:r>
      <w:r w:rsidR="00A53955" w:rsidRPr="00C1299C">
        <w:rPr>
          <w:rFonts w:ascii="Times New Roman" w:hAnsi="Times New Roman" w:cs="Times New Roman"/>
          <w:szCs w:val="20"/>
        </w:rPr>
        <w:t xml:space="preserve">. </w:t>
      </w:r>
      <w:r w:rsidRPr="00C1299C">
        <w:rPr>
          <w:rFonts w:ascii="Times New Roman" w:hAnsi="Times New Roman" w:cs="Times New Roman"/>
          <w:szCs w:val="20"/>
        </w:rPr>
        <w:t>M</w:t>
      </w:r>
      <w:r w:rsidR="00A53955" w:rsidRPr="00C1299C">
        <w:rPr>
          <w:rFonts w:ascii="Times New Roman" w:hAnsi="Times New Roman" w:cs="Times New Roman"/>
          <w:szCs w:val="20"/>
        </w:rPr>
        <w:t>.</w:t>
      </w:r>
      <w:r w:rsidRPr="00C1299C">
        <w:rPr>
          <w:rFonts w:ascii="Times New Roman" w:hAnsi="Times New Roman" w:cs="Times New Roman"/>
          <w:szCs w:val="20"/>
        </w:rPr>
        <w:t xml:space="preserve"> Helal Uddin</w:t>
      </w:r>
      <w:r w:rsidRPr="00C1299C">
        <w:rPr>
          <w:rFonts w:ascii="Times New Roman" w:hAnsi="Times New Roman" w:cs="Times New Roman"/>
          <w:szCs w:val="20"/>
          <w:vertAlign w:val="superscript"/>
        </w:rPr>
        <w:t>1</w:t>
      </w:r>
      <w:r w:rsidRPr="00C1299C">
        <w:rPr>
          <w:rFonts w:ascii="Times New Roman" w:hAnsi="Times New Roman" w:cs="Times New Roman"/>
          <w:szCs w:val="20"/>
        </w:rPr>
        <w:t>, Sahena Ferdosh</w:t>
      </w:r>
      <w:r w:rsidR="00A53955" w:rsidRPr="00C1299C">
        <w:rPr>
          <w:rFonts w:ascii="Times New Roman" w:hAnsi="Times New Roman" w:cs="Times New Roman"/>
          <w:szCs w:val="20"/>
          <w:vertAlign w:val="superscript"/>
        </w:rPr>
        <w:t>2</w:t>
      </w:r>
      <w:r w:rsidRPr="00C1299C">
        <w:rPr>
          <w:rFonts w:ascii="Times New Roman" w:hAnsi="Times New Roman" w:cs="Times New Roman"/>
          <w:szCs w:val="20"/>
        </w:rPr>
        <w:t xml:space="preserve">, </w:t>
      </w:r>
      <w:r w:rsidR="00A53955" w:rsidRPr="00C1299C">
        <w:rPr>
          <w:rFonts w:ascii="Times New Roman" w:hAnsi="Times New Roman" w:cs="Times New Roman"/>
          <w:szCs w:val="20"/>
        </w:rPr>
        <w:t>Md. Zaidul Islam Sarker</w:t>
      </w:r>
      <w:r w:rsidR="00A53955" w:rsidRPr="00C1299C">
        <w:rPr>
          <w:rFonts w:ascii="Times New Roman" w:hAnsi="Times New Roman" w:cs="Times New Roman"/>
          <w:szCs w:val="20"/>
          <w:vertAlign w:val="superscript"/>
        </w:rPr>
        <w:t>1,</w:t>
      </w:r>
      <w:r w:rsidR="00713384" w:rsidRPr="00C1299C">
        <w:rPr>
          <w:rFonts w:ascii="Times New Roman" w:hAnsi="Times New Roman" w:cs="Times New Roman"/>
          <w:szCs w:val="20"/>
          <w:vertAlign w:val="superscript"/>
        </w:rPr>
        <w:t>3</w:t>
      </w:r>
      <w:r w:rsidR="00A53955" w:rsidRPr="00C1299C">
        <w:rPr>
          <w:rFonts w:ascii="Times New Roman" w:hAnsi="Times New Roman" w:cs="Times New Roman"/>
          <w:szCs w:val="20"/>
          <w:vertAlign w:val="superscript"/>
        </w:rPr>
        <w:t>*</w:t>
      </w:r>
    </w:p>
    <w:p w14:paraId="79FE2A17" w14:textId="77777777" w:rsidR="00785CA6" w:rsidRPr="00C1299C" w:rsidRDefault="00785CA6" w:rsidP="00785CA6">
      <w:pPr>
        <w:jc w:val="center"/>
        <w:outlineLvl w:val="0"/>
        <w:rPr>
          <w:rFonts w:ascii="Times New Roman" w:hAnsi="Times New Roman" w:cs="Times New Roman"/>
          <w:b/>
          <w:sz w:val="18"/>
          <w:szCs w:val="18"/>
        </w:rPr>
      </w:pPr>
    </w:p>
    <w:p w14:paraId="3DF202AE" w14:textId="77777777" w:rsidR="001F0AB2" w:rsidRDefault="001F7B08" w:rsidP="00C63ADC">
      <w:pPr>
        <w:jc w:val="center"/>
        <w:outlineLvl w:val="0"/>
        <w:rPr>
          <w:rFonts w:ascii="Times New Roman" w:hAnsi="Times New Roman" w:cs="Times New Roman"/>
          <w:i/>
          <w:sz w:val="18"/>
          <w:szCs w:val="18"/>
        </w:rPr>
      </w:pPr>
      <w:r w:rsidRPr="00C1299C">
        <w:rPr>
          <w:rFonts w:ascii="Times New Roman" w:hAnsi="Times New Roman" w:cs="Times New Roman"/>
          <w:i/>
          <w:sz w:val="18"/>
          <w:szCs w:val="18"/>
          <w:vertAlign w:val="superscript"/>
        </w:rPr>
        <w:t>1</w:t>
      </w:r>
      <w:r w:rsidRPr="00C1299C">
        <w:rPr>
          <w:rFonts w:ascii="Times New Roman" w:hAnsi="Times New Roman" w:cs="Times New Roman"/>
          <w:i/>
          <w:sz w:val="18"/>
          <w:szCs w:val="18"/>
        </w:rPr>
        <w:t xml:space="preserve">Faculty of Pharmacy, </w:t>
      </w:r>
    </w:p>
    <w:p w14:paraId="26A1BEAD" w14:textId="6030747E" w:rsidR="00C63ADC" w:rsidRPr="00C1299C" w:rsidRDefault="001F7B08" w:rsidP="00C63ADC">
      <w:pPr>
        <w:jc w:val="center"/>
        <w:outlineLvl w:val="0"/>
        <w:rPr>
          <w:rFonts w:ascii="Times New Roman" w:hAnsi="Times New Roman" w:cs="Times New Roman"/>
          <w:i/>
          <w:sz w:val="18"/>
          <w:szCs w:val="18"/>
        </w:rPr>
      </w:pPr>
      <w:r w:rsidRPr="00C1299C">
        <w:rPr>
          <w:rFonts w:ascii="Times New Roman" w:hAnsi="Times New Roman" w:cs="Times New Roman"/>
          <w:i/>
          <w:sz w:val="18"/>
          <w:szCs w:val="18"/>
        </w:rPr>
        <w:t>International Islamic University Malaysia, 25200 Kuantan, Pahang, Malaysia</w:t>
      </w:r>
    </w:p>
    <w:p w14:paraId="0AB09CFA" w14:textId="77777777" w:rsidR="001F0AB2" w:rsidRDefault="001F7B08" w:rsidP="00A53955">
      <w:pPr>
        <w:jc w:val="center"/>
        <w:outlineLvl w:val="0"/>
        <w:rPr>
          <w:rFonts w:ascii="Times New Roman" w:hAnsi="Times New Roman" w:cs="Times New Roman"/>
          <w:i/>
          <w:sz w:val="18"/>
          <w:szCs w:val="18"/>
        </w:rPr>
      </w:pPr>
      <w:r w:rsidRPr="00C1299C">
        <w:rPr>
          <w:rFonts w:ascii="Times New Roman" w:hAnsi="Times New Roman" w:cs="Times New Roman"/>
          <w:i/>
          <w:sz w:val="18"/>
          <w:szCs w:val="18"/>
          <w:vertAlign w:val="superscript"/>
        </w:rPr>
        <w:t>2</w:t>
      </w:r>
      <w:r w:rsidRPr="00C1299C">
        <w:rPr>
          <w:rFonts w:ascii="Times New Roman" w:hAnsi="Times New Roman" w:cs="Times New Roman"/>
          <w:i/>
          <w:sz w:val="18"/>
          <w:szCs w:val="18"/>
        </w:rPr>
        <w:t xml:space="preserve">Faculty of Science, </w:t>
      </w:r>
    </w:p>
    <w:p w14:paraId="261CB250" w14:textId="0B279592" w:rsidR="00A53955" w:rsidRPr="00C1299C" w:rsidRDefault="001F7B08" w:rsidP="00A53955">
      <w:pPr>
        <w:jc w:val="center"/>
        <w:outlineLvl w:val="0"/>
        <w:rPr>
          <w:rFonts w:ascii="Times New Roman" w:hAnsi="Times New Roman" w:cs="Times New Roman"/>
          <w:b/>
          <w:i/>
          <w:sz w:val="18"/>
          <w:szCs w:val="18"/>
        </w:rPr>
      </w:pPr>
      <w:r w:rsidRPr="00C1299C">
        <w:rPr>
          <w:rFonts w:ascii="Times New Roman" w:hAnsi="Times New Roman" w:cs="Times New Roman"/>
          <w:i/>
          <w:sz w:val="18"/>
          <w:szCs w:val="18"/>
        </w:rPr>
        <w:t>International Islamic University Malaysia, 25200 Kuantan, Pahang, Malaysia</w:t>
      </w:r>
      <w:r w:rsidRPr="00C1299C">
        <w:rPr>
          <w:rFonts w:ascii="Times New Roman" w:hAnsi="Times New Roman" w:cs="Times New Roman"/>
          <w:b/>
          <w:i/>
          <w:sz w:val="18"/>
          <w:szCs w:val="18"/>
        </w:rPr>
        <w:t xml:space="preserve"> </w:t>
      </w:r>
    </w:p>
    <w:p w14:paraId="3EF1184C" w14:textId="77777777" w:rsidR="001F0AB2" w:rsidRDefault="001F7B08" w:rsidP="00C63ADC">
      <w:pPr>
        <w:jc w:val="center"/>
        <w:outlineLvl w:val="0"/>
        <w:rPr>
          <w:rFonts w:ascii="Times New Roman" w:hAnsi="Times New Roman" w:cs="Times New Roman"/>
          <w:i/>
          <w:sz w:val="18"/>
          <w:szCs w:val="18"/>
        </w:rPr>
      </w:pPr>
      <w:r w:rsidRPr="00C1299C">
        <w:rPr>
          <w:rFonts w:ascii="Times New Roman" w:hAnsi="Times New Roman" w:cs="Times New Roman"/>
          <w:i/>
          <w:sz w:val="18"/>
          <w:szCs w:val="18"/>
          <w:vertAlign w:val="superscript"/>
        </w:rPr>
        <w:t>3</w:t>
      </w:r>
      <w:r w:rsidRPr="00C1299C">
        <w:rPr>
          <w:rFonts w:ascii="Times New Roman" w:hAnsi="Times New Roman" w:cs="Times New Roman"/>
          <w:i/>
          <w:sz w:val="18"/>
          <w:szCs w:val="18"/>
        </w:rPr>
        <w:t xml:space="preserve">Food Science Program, </w:t>
      </w:r>
    </w:p>
    <w:p w14:paraId="35F17B22" w14:textId="1746A487" w:rsidR="00C63ADC" w:rsidRPr="00C1299C" w:rsidRDefault="001F7B08" w:rsidP="00C63ADC">
      <w:pPr>
        <w:jc w:val="center"/>
        <w:outlineLvl w:val="0"/>
        <w:rPr>
          <w:rFonts w:ascii="Times New Roman" w:hAnsi="Times New Roman" w:cs="Times New Roman"/>
          <w:i/>
          <w:sz w:val="18"/>
          <w:szCs w:val="18"/>
        </w:rPr>
      </w:pPr>
      <w:r w:rsidRPr="00C1299C">
        <w:rPr>
          <w:rFonts w:ascii="Times New Roman" w:hAnsi="Times New Roman" w:cs="Times New Roman"/>
          <w:i/>
          <w:sz w:val="18"/>
          <w:szCs w:val="18"/>
        </w:rPr>
        <w:t>Northern Marianas College, 501250, Saipan MP 96950, USA</w:t>
      </w:r>
    </w:p>
    <w:p w14:paraId="0C0D998D" w14:textId="77777777" w:rsidR="00A415C1" w:rsidRPr="00C1299C" w:rsidRDefault="00A415C1" w:rsidP="00785CA6">
      <w:pPr>
        <w:jc w:val="center"/>
        <w:outlineLvl w:val="0"/>
        <w:rPr>
          <w:rFonts w:ascii="Times New Roman" w:hAnsi="Times New Roman" w:cs="Times New Roman"/>
          <w:b/>
          <w:sz w:val="18"/>
          <w:szCs w:val="18"/>
        </w:rPr>
      </w:pPr>
    </w:p>
    <w:p w14:paraId="00C873AB" w14:textId="0630C01C" w:rsidR="00A415C1" w:rsidRPr="00C1299C" w:rsidRDefault="001F7B08" w:rsidP="00A415C1">
      <w:pPr>
        <w:jc w:val="center"/>
        <w:outlineLvl w:val="0"/>
        <w:rPr>
          <w:rFonts w:ascii="Times New Roman" w:hAnsi="Times New Roman" w:cs="Times New Roman"/>
          <w:i/>
          <w:sz w:val="18"/>
        </w:rPr>
      </w:pPr>
      <w:r w:rsidRPr="00C1299C">
        <w:rPr>
          <w:rFonts w:ascii="Times New Roman" w:hAnsi="Times New Roman" w:cs="Times New Roman"/>
          <w:i/>
          <w:sz w:val="18"/>
          <w:vertAlign w:val="superscript"/>
        </w:rPr>
        <w:t>*</w:t>
      </w:r>
      <w:r w:rsidRPr="00C1299C">
        <w:rPr>
          <w:rFonts w:ascii="Times New Roman" w:hAnsi="Times New Roman" w:cs="Times New Roman"/>
          <w:i/>
          <w:sz w:val="18"/>
        </w:rPr>
        <w:t xml:space="preserve">Corresponding author: </w:t>
      </w:r>
      <w:r w:rsidR="00C63ADC" w:rsidRPr="00C1299C">
        <w:rPr>
          <w:rFonts w:ascii="Times New Roman" w:hAnsi="Times New Roman" w:cs="Times New Roman"/>
          <w:i/>
          <w:sz w:val="18"/>
        </w:rPr>
        <w:t>mdzaidul.sarker@marianas.edu</w:t>
      </w:r>
    </w:p>
    <w:p w14:paraId="250A1880" w14:textId="77777777" w:rsidR="00785CA6" w:rsidRPr="00C1299C" w:rsidRDefault="00785CA6" w:rsidP="00785CA6">
      <w:pPr>
        <w:jc w:val="center"/>
        <w:outlineLvl w:val="0"/>
        <w:rPr>
          <w:rFonts w:ascii="Times New Roman" w:hAnsi="Times New Roman" w:cs="Times New Roman"/>
          <w:b/>
          <w:sz w:val="18"/>
          <w:szCs w:val="18"/>
        </w:rPr>
      </w:pPr>
    </w:p>
    <w:p w14:paraId="0F5AB4E1" w14:textId="77777777" w:rsidR="009C4E07" w:rsidRPr="00C1299C" w:rsidRDefault="00EE54C4" w:rsidP="00785CA6">
      <w:pPr>
        <w:jc w:val="center"/>
        <w:outlineLvl w:val="0"/>
        <w:rPr>
          <w:rFonts w:ascii="Times New Roman" w:hAnsi="Times New Roman" w:cs="Times New Roman"/>
          <w:b/>
          <w:sz w:val="18"/>
          <w:szCs w:val="18"/>
        </w:rPr>
      </w:pPr>
      <w:r w:rsidRPr="00C1299C">
        <w:rPr>
          <w:rFonts w:ascii="Times New Roman" w:hAnsi="Times New Roman" w:cs="Times New Roman"/>
          <w:b/>
          <w:sz w:val="18"/>
          <w:szCs w:val="18"/>
        </w:rPr>
        <w:t>Abstract</w:t>
      </w:r>
    </w:p>
    <w:p w14:paraId="25D9DA91" w14:textId="77777777" w:rsidR="0036097C" w:rsidRPr="00C1299C" w:rsidRDefault="0036097C" w:rsidP="0036097C">
      <w:pPr>
        <w:outlineLvl w:val="0"/>
        <w:rPr>
          <w:rFonts w:ascii="Times New Roman" w:hAnsi="Times New Roman" w:cs="Times New Roman"/>
          <w:sz w:val="18"/>
          <w:szCs w:val="18"/>
        </w:rPr>
      </w:pPr>
      <w:r w:rsidRPr="00C1299C">
        <w:rPr>
          <w:rFonts w:ascii="Times New Roman" w:hAnsi="Times New Roman" w:cs="Times New Roman"/>
          <w:sz w:val="18"/>
          <w:szCs w:val="18"/>
        </w:rPr>
        <w:t xml:space="preserve">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presented the possibility for the replacement/limitation of dipolar aprotic solvent in drug synthesis by solvent-pair mixture where the Kamlet-Taft (KT) parameter worked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parameter was a simplified approach to determine which mixture can bind with active pharmaceutical ingredients (API) that is indicated by KT solvatochromic properties and solvent classification. </w:t>
      </w:r>
    </w:p>
    <w:p w14:paraId="31A2BF10" w14:textId="77777777" w:rsidR="003F3701" w:rsidRPr="00C1299C" w:rsidRDefault="003F3701" w:rsidP="00785CA6">
      <w:pPr>
        <w:outlineLvl w:val="0"/>
        <w:rPr>
          <w:rFonts w:ascii="Times New Roman" w:hAnsi="Times New Roman" w:cs="Times New Roman"/>
          <w:sz w:val="18"/>
          <w:szCs w:val="18"/>
        </w:rPr>
      </w:pPr>
    </w:p>
    <w:p w14:paraId="4B88847E" w14:textId="77777777" w:rsidR="00142D20" w:rsidRPr="00C1299C" w:rsidRDefault="001F7B08" w:rsidP="00785CA6">
      <w:pPr>
        <w:outlineLvl w:val="0"/>
        <w:rPr>
          <w:rFonts w:ascii="Times New Roman" w:hAnsi="Times New Roman" w:cs="Times New Roman"/>
          <w:sz w:val="18"/>
          <w:szCs w:val="18"/>
        </w:rPr>
      </w:pPr>
      <w:r w:rsidRPr="00C1299C">
        <w:rPr>
          <w:rFonts w:ascii="Times New Roman" w:hAnsi="Times New Roman" w:cs="Times New Roman"/>
          <w:b/>
          <w:sz w:val="18"/>
          <w:szCs w:val="18"/>
        </w:rPr>
        <w:t>Keyword</w:t>
      </w:r>
      <w:r w:rsidR="009C4E07" w:rsidRPr="00C1299C">
        <w:rPr>
          <w:rFonts w:ascii="Times New Roman" w:hAnsi="Times New Roman" w:cs="Times New Roman"/>
          <w:b/>
          <w:sz w:val="18"/>
          <w:szCs w:val="18"/>
        </w:rPr>
        <w:t>s</w:t>
      </w:r>
      <w:r w:rsidRPr="001F0AB2">
        <w:rPr>
          <w:rFonts w:ascii="Times New Roman" w:hAnsi="Times New Roman" w:cs="Times New Roman"/>
          <w:b/>
          <w:bCs/>
          <w:sz w:val="18"/>
          <w:szCs w:val="18"/>
        </w:rPr>
        <w:t>:</w:t>
      </w:r>
      <w:r w:rsidR="003B22C5" w:rsidRPr="00C1299C">
        <w:rPr>
          <w:rFonts w:ascii="Times New Roman" w:hAnsi="Times New Roman" w:cs="Times New Roman"/>
          <w:sz w:val="18"/>
          <w:szCs w:val="18"/>
        </w:rPr>
        <w:t xml:space="preserve"> Kamlet-Taft parameters, </w:t>
      </w:r>
      <w:r w:rsidR="00722AB3" w:rsidRPr="00C1299C">
        <w:rPr>
          <w:rFonts w:ascii="Times New Roman" w:hAnsi="Times New Roman" w:cs="Times New Roman"/>
          <w:sz w:val="18"/>
          <w:szCs w:val="18"/>
        </w:rPr>
        <w:t>h</w:t>
      </w:r>
      <w:r w:rsidR="003B22C5" w:rsidRPr="00C1299C">
        <w:rPr>
          <w:rFonts w:ascii="Times New Roman" w:hAnsi="Times New Roman" w:cs="Times New Roman"/>
          <w:sz w:val="18"/>
          <w:szCs w:val="18"/>
        </w:rPr>
        <w:t>azardous solvent, solvent-pair mixture, dipolar aprotic solvent, drug synthesis</w:t>
      </w:r>
    </w:p>
    <w:p w14:paraId="4F4FB665" w14:textId="77777777" w:rsidR="00142D20" w:rsidRPr="00C1299C" w:rsidRDefault="00142D20" w:rsidP="00785CA6">
      <w:pPr>
        <w:outlineLvl w:val="0"/>
        <w:rPr>
          <w:rFonts w:ascii="Times New Roman" w:hAnsi="Times New Roman" w:cs="Times New Roman"/>
          <w:sz w:val="18"/>
          <w:szCs w:val="18"/>
        </w:rPr>
      </w:pPr>
    </w:p>
    <w:p w14:paraId="40150FF7" w14:textId="77777777" w:rsidR="00142D20" w:rsidRPr="001F0AB2" w:rsidRDefault="00142D20" w:rsidP="00142D20">
      <w:pPr>
        <w:jc w:val="center"/>
        <w:rPr>
          <w:rFonts w:ascii="Times New Roman" w:hAnsi="Times New Roman" w:cs="Times New Roman"/>
          <w:b/>
          <w:bCs/>
          <w:noProof/>
          <w:sz w:val="18"/>
          <w:szCs w:val="20"/>
          <w:lang w:val="ms-MY"/>
        </w:rPr>
      </w:pPr>
      <w:r w:rsidRPr="001F0AB2">
        <w:rPr>
          <w:rFonts w:ascii="Times New Roman" w:hAnsi="Times New Roman" w:cs="Times New Roman"/>
          <w:b/>
          <w:bCs/>
          <w:noProof/>
          <w:sz w:val="18"/>
          <w:szCs w:val="20"/>
          <w:lang w:val="ms-MY"/>
        </w:rPr>
        <w:t>Abstrak</w:t>
      </w:r>
    </w:p>
    <w:p w14:paraId="03125751" w14:textId="77777777" w:rsidR="00142D20" w:rsidRPr="001F0AB2" w:rsidRDefault="00142D20" w:rsidP="00142D20">
      <w:pPr>
        <w:rPr>
          <w:rFonts w:ascii="Times New Roman" w:hAnsi="Times New Roman" w:cs="Times New Roman"/>
          <w:noProof/>
          <w:sz w:val="18"/>
          <w:szCs w:val="18"/>
          <w:lang w:val="ms-MY"/>
        </w:rPr>
      </w:pPr>
      <w:r w:rsidRPr="001F0AB2">
        <w:rPr>
          <w:rFonts w:ascii="Times New Roman" w:hAnsi="Times New Roman" w:cs="Times New Roman"/>
          <w:noProof/>
          <w:sz w:val="18"/>
          <w:szCs w:val="18"/>
          <w:lang w:val="ms-MY"/>
        </w:rPr>
        <w:t>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71AC7712" w14:textId="77777777" w:rsidR="00142D20" w:rsidRPr="001F0AB2" w:rsidRDefault="00142D20" w:rsidP="00142D20">
      <w:pPr>
        <w:rPr>
          <w:rFonts w:ascii="Times New Roman" w:hAnsi="Times New Roman" w:cs="Times New Roman"/>
          <w:b/>
          <w:bCs/>
          <w:noProof/>
          <w:sz w:val="18"/>
          <w:szCs w:val="18"/>
          <w:lang w:val="ms-MY"/>
        </w:rPr>
      </w:pPr>
    </w:p>
    <w:p w14:paraId="0060D3AC" w14:textId="77777777" w:rsidR="00142D20" w:rsidRPr="001F0AB2" w:rsidRDefault="00142D20" w:rsidP="00142D20">
      <w:pPr>
        <w:rPr>
          <w:rFonts w:ascii="Times New Roman" w:hAnsi="Times New Roman" w:cs="Times New Roman"/>
          <w:noProof/>
          <w:sz w:val="18"/>
          <w:szCs w:val="18"/>
          <w:lang w:val="ms-MY"/>
        </w:rPr>
      </w:pPr>
      <w:r w:rsidRPr="001F0AB2">
        <w:rPr>
          <w:rFonts w:ascii="Times New Roman" w:hAnsi="Times New Roman" w:cs="Times New Roman"/>
          <w:b/>
          <w:bCs/>
          <w:noProof/>
          <w:sz w:val="18"/>
          <w:szCs w:val="18"/>
          <w:lang w:val="ms-MY"/>
        </w:rPr>
        <w:t>Kata kunci:</w:t>
      </w:r>
      <w:r w:rsidRPr="001F0AB2">
        <w:rPr>
          <w:rFonts w:ascii="Times New Roman" w:hAnsi="Times New Roman" w:cs="Times New Roman"/>
          <w:noProof/>
          <w:sz w:val="18"/>
          <w:szCs w:val="18"/>
          <w:lang w:val="ms-MY"/>
        </w:rPr>
        <w:t xml:space="preserve"> Parameter Kamlet-Taft, pelarut berbahaya, campuran pasangan pelarut, pelarut aprotik dipolar, sintesis ubat</w:t>
      </w:r>
    </w:p>
    <w:p w14:paraId="63F10366" w14:textId="0C2284EB" w:rsidR="003F3701" w:rsidRPr="00C1299C" w:rsidRDefault="00142D20" w:rsidP="001F0AB2">
      <w:pPr>
        <w:rPr>
          <w:rFonts w:ascii="Times New Roman" w:hAnsi="Times New Roman" w:cs="Times New Roman"/>
        </w:rPr>
      </w:pPr>
      <w:r w:rsidRPr="00C1299C">
        <w:rPr>
          <w:rFonts w:ascii="Times New Roman" w:hAnsi="Times New Roman" w:cs="Times New Roman"/>
        </w:rPr>
        <w:t xml:space="preserve"> </w:t>
      </w:r>
    </w:p>
    <w:p w14:paraId="301C5492" w14:textId="77777777" w:rsidR="00785CA6" w:rsidRPr="00C1299C" w:rsidRDefault="001F7B08" w:rsidP="00785CA6">
      <w:pPr>
        <w:jc w:val="center"/>
        <w:outlineLvl w:val="0"/>
        <w:rPr>
          <w:rFonts w:ascii="Times New Roman" w:hAnsi="Times New Roman" w:cs="Times New Roman"/>
          <w:b/>
        </w:rPr>
      </w:pPr>
      <w:r w:rsidRPr="00C1299C">
        <w:rPr>
          <w:rFonts w:ascii="Times New Roman" w:hAnsi="Times New Roman" w:cs="Times New Roman"/>
          <w:b/>
        </w:rPr>
        <w:t>Introduction</w:t>
      </w:r>
    </w:p>
    <w:p w14:paraId="49E529D3" w14:textId="77777777" w:rsidR="003B22C5" w:rsidRPr="00C1299C" w:rsidRDefault="001F7B08" w:rsidP="003B22C5">
      <w:pPr>
        <w:outlineLvl w:val="0"/>
        <w:rPr>
          <w:rFonts w:ascii="Times New Roman" w:hAnsi="Times New Roman" w:cs="Times New Roman"/>
          <w:szCs w:val="20"/>
        </w:rPr>
      </w:pPr>
      <w:r w:rsidRPr="00C1299C">
        <w:rPr>
          <w:rFonts w:ascii="Times New Roman" w:hAnsi="Times New Roman" w:cs="Times New Roman"/>
          <w:szCs w:val="20"/>
        </w:rPr>
        <w:t>In 1976, Kamlet and Taft introduced a model to measure the solvatochromic properties, known as Kamlet-Taft parameters</w:t>
      </w:r>
      <w:r w:rsidR="005C74D5" w:rsidRPr="00C1299C">
        <w:rPr>
          <w:rFonts w:ascii="Times New Roman" w:hAnsi="Times New Roman" w:cs="Times New Roman"/>
          <w:szCs w:val="20"/>
        </w:rPr>
        <w:t xml:space="preserve"> [1]</w:t>
      </w:r>
      <w:r w:rsidRPr="00C1299C">
        <w:rPr>
          <w:rFonts w:ascii="Times New Roman" w:hAnsi="Times New Roman" w:cs="Times New Roman"/>
          <w:szCs w:val="20"/>
        </w:rPr>
        <w:t>. In 1997, Marcus brought some modifications in the measurement of KT parameters</w:t>
      </w:r>
      <w:r w:rsidR="005C74D5" w:rsidRPr="00C1299C">
        <w:rPr>
          <w:rFonts w:ascii="Times New Roman" w:hAnsi="Times New Roman" w:cs="Times New Roman"/>
          <w:szCs w:val="20"/>
        </w:rPr>
        <w:t xml:space="preserve"> [2]</w:t>
      </w:r>
      <w:r w:rsidRPr="00C1299C">
        <w:rPr>
          <w:rFonts w:ascii="Times New Roman" w:hAnsi="Times New Roman" w:cs="Times New Roman"/>
          <w:szCs w:val="20"/>
        </w:rPr>
        <w:t xml:space="preserve">. Various equations and indicators </w:t>
      </w:r>
      <w:r w:rsidR="007968D8" w:rsidRPr="00C1299C">
        <w:rPr>
          <w:rFonts w:ascii="Times New Roman" w:hAnsi="Times New Roman" w:cs="Times New Roman"/>
          <w:szCs w:val="20"/>
        </w:rPr>
        <w:t>were</w:t>
      </w:r>
      <w:r w:rsidRPr="00C1299C">
        <w:rPr>
          <w:rFonts w:ascii="Times New Roman" w:hAnsi="Times New Roman" w:cs="Times New Roman"/>
          <w:szCs w:val="20"/>
        </w:rPr>
        <w:t xml:space="preserve"> used to calculate the KT parameters </w:t>
      </w:r>
      <w:r w:rsidR="00FD1BF0" w:rsidRPr="00C1299C">
        <w:rPr>
          <w:rFonts w:ascii="Times New Roman" w:hAnsi="Times New Roman" w:cs="Times New Roman"/>
          <w:szCs w:val="20"/>
        </w:rPr>
        <w:t>(</w:t>
      </w:r>
      <w:r w:rsidRPr="00C1299C">
        <w:rPr>
          <w:rFonts w:ascii="Times New Roman" w:hAnsi="Times New Roman" w:cs="Times New Roman"/>
          <w:szCs w:val="20"/>
        </w:rPr>
        <w:t>KT acidity, KT basicity, and KT polarity</w:t>
      </w:r>
      <w:r w:rsidR="00FD1BF0" w:rsidRPr="00C1299C">
        <w:rPr>
          <w:rFonts w:ascii="Times New Roman" w:hAnsi="Times New Roman" w:cs="Times New Roman"/>
          <w:szCs w:val="20"/>
        </w:rPr>
        <w:t>)</w:t>
      </w:r>
      <w:r w:rsidRPr="00C1299C">
        <w:rPr>
          <w:rFonts w:ascii="Times New Roman" w:hAnsi="Times New Roman" w:cs="Times New Roman"/>
          <w:szCs w:val="20"/>
        </w:rPr>
        <w:t xml:space="preserve"> so </w:t>
      </w:r>
      <w:r w:rsidRPr="00C1299C">
        <w:rPr>
          <w:rFonts w:ascii="Times New Roman" w:hAnsi="Times New Roman" w:cs="Times New Roman"/>
          <w:szCs w:val="20"/>
        </w:rPr>
        <w:lastRenderedPageBreak/>
        <w:t>that the appropriate result is obtained by averaging</w:t>
      </w:r>
      <w:r w:rsidR="005C74D5" w:rsidRPr="00C1299C">
        <w:rPr>
          <w:rFonts w:ascii="Times New Roman" w:hAnsi="Times New Roman" w:cs="Times New Roman"/>
          <w:szCs w:val="20"/>
        </w:rPr>
        <w:t xml:space="preserve"> [3]</w:t>
      </w:r>
      <w:r w:rsidRPr="00C1299C">
        <w:rPr>
          <w:rFonts w:ascii="Times New Roman" w:hAnsi="Times New Roman" w:cs="Times New Roman"/>
          <w:szCs w:val="20"/>
        </w:rPr>
        <w:t>.</w:t>
      </w:r>
      <w:r w:rsidR="00353787" w:rsidRPr="00C1299C">
        <w:rPr>
          <w:rFonts w:ascii="Times New Roman" w:hAnsi="Times New Roman" w:cs="Times New Roman"/>
          <w:szCs w:val="20"/>
        </w:rPr>
        <w:t xml:space="preserve"> </w:t>
      </w:r>
      <w:r w:rsidRPr="00C1299C">
        <w:rPr>
          <w:rFonts w:ascii="Times New Roman" w:hAnsi="Times New Roman" w:cs="Times New Roman"/>
          <w:szCs w:val="20"/>
        </w:rPr>
        <w:t xml:space="preserve">The most used indicators </w:t>
      </w:r>
      <w:r w:rsidR="007B534B" w:rsidRPr="00C1299C">
        <w:rPr>
          <w:rFonts w:ascii="Times New Roman" w:hAnsi="Times New Roman" w:cs="Times New Roman"/>
          <w:szCs w:val="20"/>
        </w:rPr>
        <w:t>were</w:t>
      </w:r>
      <w:r w:rsidRPr="00C1299C">
        <w:rPr>
          <w:rFonts w:ascii="Times New Roman" w:hAnsi="Times New Roman" w:cs="Times New Roman"/>
          <w:szCs w:val="20"/>
        </w:rPr>
        <w:t xml:space="preserve"> N, N-dimethyl-4-nitroaniline, 4-nitro anisole, and N,N-dimethyl-3-nitro aniline for π* value; 4-nitroaniline, 4-nitrophenol, 4-aminoacetophenone and (tetramethylethylenediamine)(acetylacetonato)copper(II) perchlorate for β value; Cis-bis-(1,10-phenanthroline)dicyanoiron (II), 2,6-dichloro-4-(2,4,6-triphenyl-1-pyridinio) phenolate, and 2,6-diphenyl-4-(2, 4, 6-triphenyl-1-pyridinio) phenoxide/ phenolate for α value. The indicators </w:t>
      </w:r>
      <w:r w:rsidR="00651418" w:rsidRPr="00C1299C">
        <w:rPr>
          <w:rFonts w:ascii="Times New Roman" w:hAnsi="Times New Roman" w:cs="Times New Roman"/>
          <w:szCs w:val="20"/>
        </w:rPr>
        <w:t>were</w:t>
      </w:r>
      <w:r w:rsidRPr="00C1299C">
        <w:rPr>
          <w:rFonts w:ascii="Times New Roman" w:hAnsi="Times New Roman" w:cs="Times New Roman"/>
          <w:szCs w:val="20"/>
        </w:rPr>
        <w:t xml:space="preserve"> utilized in KT measurement because their UV variations are higher than the UV-Vis cutoff (310 nm) of the cyclic ketone</w:t>
      </w:r>
      <w:r w:rsidR="005C74D5" w:rsidRPr="00C1299C">
        <w:rPr>
          <w:rFonts w:ascii="Times New Roman" w:hAnsi="Times New Roman" w:cs="Times New Roman"/>
          <w:szCs w:val="20"/>
        </w:rPr>
        <w:t xml:space="preserve"> [4]</w:t>
      </w:r>
      <w:r w:rsidRPr="00C1299C">
        <w:rPr>
          <w:rFonts w:ascii="Times New Roman" w:hAnsi="Times New Roman" w:cs="Times New Roman"/>
          <w:szCs w:val="20"/>
        </w:rPr>
        <w:t xml:space="preserve">. </w:t>
      </w:r>
      <w:r w:rsidR="00F24666" w:rsidRPr="00C1299C">
        <w:rPr>
          <w:rFonts w:ascii="Times New Roman" w:hAnsi="Times New Roman" w:cs="Times New Roman"/>
          <w:szCs w:val="20"/>
        </w:rPr>
        <w:t xml:space="preserve">In analysis, many specific equations </w:t>
      </w:r>
      <w:r w:rsidR="00D25C35" w:rsidRPr="00C1299C">
        <w:rPr>
          <w:rFonts w:ascii="Times New Roman" w:hAnsi="Times New Roman" w:cs="Times New Roman"/>
          <w:szCs w:val="20"/>
        </w:rPr>
        <w:t>are</w:t>
      </w:r>
      <w:r w:rsidR="00F24666" w:rsidRPr="00C1299C">
        <w:rPr>
          <w:rFonts w:ascii="Times New Roman" w:hAnsi="Times New Roman" w:cs="Times New Roman"/>
          <w:szCs w:val="20"/>
        </w:rPr>
        <w:t xml:space="preserve"> used to calculate the KT parameters that were prepared based on the indicators [2,5], and the concentration of the indicator</w:t>
      </w:r>
      <w:r w:rsidR="00651418" w:rsidRPr="00C1299C">
        <w:rPr>
          <w:rFonts w:ascii="Times New Roman" w:hAnsi="Times New Roman" w:cs="Times New Roman"/>
          <w:szCs w:val="20"/>
        </w:rPr>
        <w:t xml:space="preserve"> </w:t>
      </w:r>
      <w:r w:rsidR="00F24666" w:rsidRPr="00C1299C">
        <w:rPr>
          <w:rFonts w:ascii="Times New Roman" w:hAnsi="Times New Roman" w:cs="Times New Roman"/>
          <w:szCs w:val="20"/>
        </w:rPr>
        <w:t>greatly affect</w:t>
      </w:r>
      <w:r w:rsidR="00D25C35" w:rsidRPr="00C1299C">
        <w:rPr>
          <w:rFonts w:ascii="Times New Roman" w:hAnsi="Times New Roman" w:cs="Times New Roman"/>
          <w:szCs w:val="20"/>
        </w:rPr>
        <w:t>s</w:t>
      </w:r>
      <w:r w:rsidR="00F24666" w:rsidRPr="00C1299C">
        <w:rPr>
          <w:rFonts w:ascii="Times New Roman" w:hAnsi="Times New Roman" w:cs="Times New Roman"/>
          <w:szCs w:val="20"/>
        </w:rPr>
        <w:t xml:space="preserve"> the result [6].</w:t>
      </w:r>
    </w:p>
    <w:p w14:paraId="778253BF" w14:textId="77777777" w:rsidR="00B53B6D" w:rsidRPr="00C1299C" w:rsidRDefault="00B53B6D" w:rsidP="003B22C5">
      <w:pPr>
        <w:outlineLvl w:val="0"/>
        <w:rPr>
          <w:rFonts w:ascii="Times New Roman" w:hAnsi="Times New Roman" w:cs="Times New Roman"/>
          <w:szCs w:val="20"/>
        </w:rPr>
      </w:pPr>
    </w:p>
    <w:p w14:paraId="5DD3CD42" w14:textId="77777777" w:rsidR="00785CA6" w:rsidRPr="00C1299C" w:rsidRDefault="001F7B08" w:rsidP="003B22C5">
      <w:pPr>
        <w:outlineLvl w:val="0"/>
        <w:rPr>
          <w:rFonts w:ascii="Times New Roman" w:hAnsi="Times New Roman" w:cs="Times New Roman"/>
          <w:szCs w:val="20"/>
        </w:rPr>
      </w:pPr>
      <w:r w:rsidRPr="00C1299C">
        <w:rPr>
          <w:rFonts w:ascii="Times New Roman" w:hAnsi="Times New Roman" w:cs="Times New Roman"/>
          <w:szCs w:val="20"/>
          <w:lang w:val="en-MY"/>
        </w:rPr>
        <w:t xml:space="preserve">Solvents </w:t>
      </w:r>
      <w:r w:rsidR="003040EF" w:rsidRPr="00C1299C">
        <w:rPr>
          <w:rFonts w:ascii="Times New Roman" w:hAnsi="Times New Roman" w:cs="Times New Roman"/>
          <w:szCs w:val="20"/>
          <w:lang w:val="en-MY"/>
        </w:rPr>
        <w:t>are</w:t>
      </w:r>
      <w:r w:rsidRPr="00C1299C">
        <w:rPr>
          <w:rFonts w:ascii="Times New Roman" w:hAnsi="Times New Roman" w:cs="Times New Roman"/>
          <w:szCs w:val="20"/>
          <w:lang w:val="en-MY"/>
        </w:rPr>
        <w:t xml:space="preserve"> categorized into four major types; recommended, problematic, hazardous, and highly hazardous based on health, safety, environment, </w:t>
      </w:r>
      <w:r w:rsidR="00253FB8" w:rsidRPr="00C1299C">
        <w:rPr>
          <w:rFonts w:ascii="Times New Roman" w:hAnsi="Times New Roman" w:cs="Times New Roman"/>
          <w:szCs w:val="20"/>
          <w:lang w:val="en-MY"/>
        </w:rPr>
        <w:t xml:space="preserve">and </w:t>
      </w:r>
      <w:r w:rsidR="00F10418" w:rsidRPr="00C1299C">
        <w:rPr>
          <w:rFonts w:ascii="Times New Roman" w:hAnsi="Times New Roman" w:cs="Times New Roman"/>
          <w:szCs w:val="20"/>
          <w:lang w:val="en-MY"/>
        </w:rPr>
        <w:t>g</w:t>
      </w:r>
      <w:r w:rsidRPr="00C1299C">
        <w:rPr>
          <w:rFonts w:ascii="Times New Roman" w:hAnsi="Times New Roman" w:cs="Times New Roman"/>
          <w:szCs w:val="20"/>
          <w:lang w:val="en-MY"/>
        </w:rPr>
        <w:t>lobal harmonized system (GHS) hazards statements</w:t>
      </w:r>
      <w:r w:rsidR="004032B5" w:rsidRPr="00C1299C">
        <w:rPr>
          <w:rFonts w:ascii="Times New Roman" w:hAnsi="Times New Roman" w:cs="Times New Roman"/>
          <w:szCs w:val="20"/>
          <w:lang w:val="en-MY"/>
        </w:rPr>
        <w:t xml:space="preserve"> </w:t>
      </w:r>
      <w:r w:rsidR="005C74D5" w:rsidRPr="00C1299C">
        <w:rPr>
          <w:rFonts w:ascii="Times New Roman" w:hAnsi="Times New Roman" w:cs="Times New Roman"/>
          <w:szCs w:val="20"/>
        </w:rPr>
        <w:t>[7]</w:t>
      </w:r>
      <w:r w:rsidR="003B22C5" w:rsidRPr="00C1299C">
        <w:rPr>
          <w:rFonts w:ascii="Times New Roman" w:hAnsi="Times New Roman" w:cs="Times New Roman"/>
          <w:szCs w:val="20"/>
        </w:rPr>
        <w:t xml:space="preserve">. </w:t>
      </w:r>
      <w:r w:rsidR="002B5009" w:rsidRPr="00C1299C">
        <w:rPr>
          <w:rFonts w:ascii="Times New Roman" w:hAnsi="Times New Roman" w:cs="Times New Roman"/>
          <w:szCs w:val="20"/>
        </w:rPr>
        <w:t xml:space="preserve">Most used solvents are hazardous as per </w:t>
      </w:r>
      <w:r w:rsidR="004B44D6" w:rsidRPr="00C1299C">
        <w:rPr>
          <w:rFonts w:ascii="Times New Roman" w:hAnsi="Times New Roman" w:cs="Times New Roman"/>
          <w:szCs w:val="20"/>
        </w:rPr>
        <w:t xml:space="preserve">the </w:t>
      </w:r>
      <w:r w:rsidR="004B2346" w:rsidRPr="00C1299C">
        <w:rPr>
          <w:rFonts w:ascii="Times New Roman" w:hAnsi="Times New Roman" w:cs="Times New Roman"/>
          <w:szCs w:val="20"/>
        </w:rPr>
        <w:t>recommendation</w:t>
      </w:r>
      <w:r w:rsidR="002B5009" w:rsidRPr="00C1299C">
        <w:rPr>
          <w:rFonts w:ascii="Times New Roman" w:hAnsi="Times New Roman" w:cs="Times New Roman"/>
          <w:szCs w:val="20"/>
        </w:rPr>
        <w:t xml:space="preserve"> of the international conference on harmonization (ICH), Pfizer, GSK</w:t>
      </w:r>
      <w:r w:rsidR="003864CC" w:rsidRPr="00C1299C">
        <w:rPr>
          <w:rFonts w:ascii="Times New Roman" w:hAnsi="Times New Roman" w:cs="Times New Roman"/>
          <w:szCs w:val="20"/>
        </w:rPr>
        <w:t>,</w:t>
      </w:r>
      <w:r w:rsidR="002B5009" w:rsidRPr="00C1299C">
        <w:rPr>
          <w:rFonts w:ascii="Times New Roman" w:hAnsi="Times New Roman" w:cs="Times New Roman"/>
          <w:szCs w:val="20"/>
        </w:rPr>
        <w:t xml:space="preserve"> and Sanofi [</w:t>
      </w:r>
      <w:r w:rsidR="0082059B" w:rsidRPr="00C1299C">
        <w:rPr>
          <w:rFonts w:ascii="Times New Roman" w:hAnsi="Times New Roman" w:cs="Times New Roman"/>
          <w:szCs w:val="20"/>
        </w:rPr>
        <w:t>8</w:t>
      </w:r>
      <w:r w:rsidR="004B2346" w:rsidRPr="00C1299C">
        <w:rPr>
          <w:rFonts w:ascii="Times New Roman" w:hAnsi="Times New Roman" w:cs="Times New Roman"/>
          <w:szCs w:val="20"/>
        </w:rPr>
        <w:t>,</w:t>
      </w:r>
      <w:r w:rsidR="0082059B" w:rsidRPr="00C1299C">
        <w:rPr>
          <w:rFonts w:ascii="Times New Roman" w:hAnsi="Times New Roman" w:cs="Times New Roman"/>
          <w:szCs w:val="20"/>
        </w:rPr>
        <w:t>9</w:t>
      </w:r>
      <w:r w:rsidR="004B2346" w:rsidRPr="00C1299C">
        <w:rPr>
          <w:rFonts w:ascii="Times New Roman" w:hAnsi="Times New Roman" w:cs="Times New Roman"/>
          <w:szCs w:val="20"/>
        </w:rPr>
        <w:t>], as shown in Table 1.</w:t>
      </w:r>
      <w:r w:rsidR="00572A3D" w:rsidRPr="00C1299C">
        <w:rPr>
          <w:rFonts w:ascii="Times New Roman" w:hAnsi="Times New Roman" w:cs="Times New Roman"/>
          <w:szCs w:val="20"/>
        </w:rPr>
        <w:t xml:space="preserve"> </w:t>
      </w:r>
      <w:r w:rsidR="003B22C5" w:rsidRPr="00C1299C">
        <w:rPr>
          <w:rFonts w:ascii="Times New Roman" w:hAnsi="Times New Roman" w:cs="Times New Roman"/>
          <w:szCs w:val="20"/>
        </w:rPr>
        <w:t xml:space="preserve">Recently, KT parameters have </w:t>
      </w:r>
      <w:r w:rsidR="00897CA1" w:rsidRPr="00C1299C">
        <w:rPr>
          <w:rFonts w:ascii="Times New Roman" w:hAnsi="Times New Roman" w:cs="Times New Roman"/>
          <w:szCs w:val="20"/>
        </w:rPr>
        <w:t xml:space="preserve">been </w:t>
      </w:r>
      <w:r w:rsidR="003B22C5" w:rsidRPr="00C1299C">
        <w:rPr>
          <w:rFonts w:ascii="Times New Roman" w:hAnsi="Times New Roman" w:cs="Times New Roman"/>
          <w:szCs w:val="20"/>
        </w:rPr>
        <w:t>used to investigate the replacement/limitation of hazardous solvents</w:t>
      </w:r>
      <w:r w:rsidR="000610D3" w:rsidRPr="00C1299C">
        <w:rPr>
          <w:rFonts w:ascii="Times New Roman" w:hAnsi="Times New Roman" w:cs="Times New Roman"/>
          <w:szCs w:val="20"/>
        </w:rPr>
        <w:t xml:space="preserve"> </w:t>
      </w:r>
      <w:r w:rsidR="003040EF" w:rsidRPr="00C1299C">
        <w:rPr>
          <w:rFonts w:ascii="Times New Roman" w:hAnsi="Times New Roman" w:cs="Times New Roman"/>
          <w:szCs w:val="20"/>
        </w:rPr>
        <w:t>using solvent-pair mixtures</w:t>
      </w:r>
      <w:r w:rsidR="003B22C5" w:rsidRPr="00C1299C">
        <w:rPr>
          <w:rFonts w:ascii="Times New Roman" w:hAnsi="Times New Roman" w:cs="Times New Roman"/>
          <w:szCs w:val="20"/>
        </w:rPr>
        <w:t xml:space="preserve"> in synthetic chemistry. Most of the HBD-HBA solvent mixtures </w:t>
      </w:r>
      <w:r w:rsidR="000610D3" w:rsidRPr="00C1299C">
        <w:rPr>
          <w:rFonts w:ascii="Times New Roman" w:hAnsi="Times New Roman" w:cs="Times New Roman"/>
          <w:szCs w:val="20"/>
        </w:rPr>
        <w:t>exhibit</w:t>
      </w:r>
      <w:r w:rsidR="003B22C5" w:rsidRPr="00C1299C">
        <w:rPr>
          <w:rFonts w:ascii="Times New Roman" w:hAnsi="Times New Roman" w:cs="Times New Roman"/>
          <w:szCs w:val="20"/>
        </w:rPr>
        <w:t xml:space="preserve"> </w:t>
      </w:r>
      <w:r w:rsidR="000610D3" w:rsidRPr="00C1299C">
        <w:rPr>
          <w:rFonts w:ascii="Times New Roman" w:hAnsi="Times New Roman" w:cs="Times New Roman"/>
          <w:szCs w:val="20"/>
        </w:rPr>
        <w:t>as</w:t>
      </w:r>
      <w:r w:rsidR="003B22C5" w:rsidRPr="00C1299C">
        <w:rPr>
          <w:rFonts w:ascii="Times New Roman" w:hAnsi="Times New Roman" w:cs="Times New Roman"/>
          <w:szCs w:val="20"/>
        </w:rPr>
        <w:t xml:space="preserve"> </w:t>
      </w:r>
      <w:r w:rsidR="000610D3" w:rsidRPr="00C1299C">
        <w:rPr>
          <w:rFonts w:ascii="Times New Roman" w:hAnsi="Times New Roman" w:cs="Times New Roman"/>
          <w:szCs w:val="20"/>
        </w:rPr>
        <w:t xml:space="preserve">solvent of </w:t>
      </w:r>
      <w:r w:rsidR="003B22C5" w:rsidRPr="00C1299C">
        <w:rPr>
          <w:rFonts w:ascii="Times New Roman" w:hAnsi="Times New Roman" w:cs="Times New Roman"/>
          <w:szCs w:val="20"/>
        </w:rPr>
        <w:t>recommended and problematic category</w:t>
      </w:r>
      <w:r w:rsidR="005C74D5" w:rsidRPr="00C1299C">
        <w:rPr>
          <w:rFonts w:ascii="Times New Roman" w:hAnsi="Times New Roman" w:cs="Times New Roman"/>
          <w:szCs w:val="20"/>
        </w:rPr>
        <w:t xml:space="preserve"> [7</w:t>
      </w:r>
      <w:r w:rsidR="0082059B" w:rsidRPr="00C1299C">
        <w:rPr>
          <w:rFonts w:ascii="Times New Roman" w:hAnsi="Times New Roman" w:cs="Times New Roman"/>
          <w:szCs w:val="20"/>
        </w:rPr>
        <w:t>,10,11</w:t>
      </w:r>
      <w:r w:rsidR="005C74D5" w:rsidRPr="00C1299C">
        <w:rPr>
          <w:rFonts w:ascii="Times New Roman" w:hAnsi="Times New Roman" w:cs="Times New Roman"/>
          <w:szCs w:val="20"/>
        </w:rPr>
        <w:t>]</w:t>
      </w:r>
      <w:r w:rsidR="00F57118" w:rsidRPr="00C1299C">
        <w:rPr>
          <w:rFonts w:ascii="Times New Roman" w:hAnsi="Times New Roman" w:cs="Times New Roman"/>
          <w:szCs w:val="20"/>
        </w:rPr>
        <w:t xml:space="preserve">, </w:t>
      </w:r>
      <w:r w:rsidR="00A56B0F" w:rsidRPr="00C1299C">
        <w:rPr>
          <w:rFonts w:ascii="Times New Roman" w:hAnsi="Times New Roman" w:cs="Times New Roman"/>
          <w:szCs w:val="20"/>
        </w:rPr>
        <w:t>they</w:t>
      </w:r>
      <w:r w:rsidR="003B22C5" w:rsidRPr="00C1299C">
        <w:rPr>
          <w:rFonts w:ascii="Times New Roman" w:hAnsi="Times New Roman" w:cs="Times New Roman"/>
          <w:szCs w:val="20"/>
        </w:rPr>
        <w:t xml:space="preserve"> can be applied in API</w:t>
      </w:r>
      <w:r w:rsidR="00247767" w:rsidRPr="00C1299C">
        <w:rPr>
          <w:rFonts w:ascii="Times New Roman" w:hAnsi="Times New Roman" w:cs="Times New Roman"/>
          <w:szCs w:val="20"/>
        </w:rPr>
        <w:t xml:space="preserve"> </w:t>
      </w:r>
      <w:r w:rsidR="005C74D5" w:rsidRPr="00C1299C">
        <w:rPr>
          <w:rFonts w:ascii="Times New Roman" w:hAnsi="Times New Roman" w:cs="Times New Roman"/>
          <w:szCs w:val="20"/>
        </w:rPr>
        <w:t>[4,</w:t>
      </w:r>
      <w:r w:rsidR="0082059B" w:rsidRPr="00C1299C">
        <w:rPr>
          <w:rFonts w:ascii="Times New Roman" w:hAnsi="Times New Roman" w:cs="Times New Roman"/>
          <w:szCs w:val="20"/>
        </w:rPr>
        <w:t>11</w:t>
      </w:r>
      <w:r w:rsidR="005C74D5" w:rsidRPr="00C1299C">
        <w:rPr>
          <w:rFonts w:ascii="Times New Roman" w:hAnsi="Times New Roman" w:cs="Times New Roman"/>
          <w:szCs w:val="20"/>
        </w:rPr>
        <w:t>]</w:t>
      </w:r>
      <w:r w:rsidR="003B22C5" w:rsidRPr="00C1299C">
        <w:rPr>
          <w:rFonts w:ascii="Times New Roman" w:hAnsi="Times New Roman" w:cs="Times New Roman"/>
          <w:szCs w:val="20"/>
        </w:rPr>
        <w:t xml:space="preserve"> and non-API chemical</w:t>
      </w:r>
      <w:r w:rsidR="005C74D5" w:rsidRPr="00C1299C">
        <w:rPr>
          <w:rFonts w:ascii="Times New Roman" w:hAnsi="Times New Roman" w:cs="Times New Roman"/>
          <w:szCs w:val="20"/>
        </w:rPr>
        <w:t xml:space="preserve"> [5,</w:t>
      </w:r>
      <w:r w:rsidR="0082059B" w:rsidRPr="00C1299C">
        <w:rPr>
          <w:rFonts w:ascii="Times New Roman" w:hAnsi="Times New Roman" w:cs="Times New Roman"/>
          <w:szCs w:val="20"/>
        </w:rPr>
        <w:t>12</w:t>
      </w:r>
      <w:r w:rsidR="005C74D5" w:rsidRPr="00C1299C">
        <w:rPr>
          <w:rFonts w:ascii="Times New Roman" w:hAnsi="Times New Roman" w:cs="Times New Roman"/>
          <w:szCs w:val="20"/>
        </w:rPr>
        <w:t>,1</w:t>
      </w:r>
      <w:r w:rsidR="0082059B" w:rsidRPr="00C1299C">
        <w:rPr>
          <w:rFonts w:ascii="Times New Roman" w:hAnsi="Times New Roman" w:cs="Times New Roman"/>
          <w:szCs w:val="20"/>
        </w:rPr>
        <w:t>3</w:t>
      </w:r>
      <w:r w:rsidR="005C74D5" w:rsidRPr="00C1299C">
        <w:rPr>
          <w:rFonts w:ascii="Times New Roman" w:hAnsi="Times New Roman" w:cs="Times New Roman"/>
          <w:szCs w:val="20"/>
        </w:rPr>
        <w:t>]</w:t>
      </w:r>
      <w:r w:rsidR="003B22C5" w:rsidRPr="00C1299C">
        <w:rPr>
          <w:rFonts w:ascii="Times New Roman" w:hAnsi="Times New Roman" w:cs="Times New Roman"/>
          <w:szCs w:val="20"/>
        </w:rPr>
        <w:t xml:space="preserve"> </w:t>
      </w:r>
      <w:r w:rsidR="00247767" w:rsidRPr="00C1299C">
        <w:rPr>
          <w:rFonts w:ascii="Times New Roman" w:hAnsi="Times New Roman" w:cs="Times New Roman"/>
          <w:szCs w:val="20"/>
        </w:rPr>
        <w:t>synthesis</w:t>
      </w:r>
      <w:r w:rsidR="003B22C5" w:rsidRPr="00C1299C">
        <w:rPr>
          <w:rFonts w:ascii="Times New Roman" w:hAnsi="Times New Roman" w:cs="Times New Roman"/>
          <w:szCs w:val="20"/>
        </w:rPr>
        <w:t>. The maximum use of safe solvents can minimize the health risks and negative impacts on the environment, which can be the most effective way to limit the use of hazardous solvents</w:t>
      </w:r>
      <w:r w:rsidR="005C74D5" w:rsidRPr="00C1299C">
        <w:rPr>
          <w:rFonts w:ascii="Times New Roman" w:hAnsi="Times New Roman" w:cs="Times New Roman"/>
          <w:szCs w:val="20"/>
        </w:rPr>
        <w:t xml:space="preserve"> [1</w:t>
      </w:r>
      <w:r w:rsidR="0082059B" w:rsidRPr="00C1299C">
        <w:rPr>
          <w:rFonts w:ascii="Times New Roman" w:hAnsi="Times New Roman" w:cs="Times New Roman"/>
          <w:szCs w:val="20"/>
        </w:rPr>
        <w:t>4</w:t>
      </w:r>
      <w:r w:rsidR="005C74D5" w:rsidRPr="00C1299C">
        <w:rPr>
          <w:rFonts w:ascii="Times New Roman" w:hAnsi="Times New Roman" w:cs="Times New Roman"/>
          <w:szCs w:val="20"/>
        </w:rPr>
        <w:t>-1</w:t>
      </w:r>
      <w:r w:rsidR="0082059B" w:rsidRPr="00C1299C">
        <w:rPr>
          <w:rFonts w:ascii="Times New Roman" w:hAnsi="Times New Roman" w:cs="Times New Roman"/>
          <w:szCs w:val="20"/>
        </w:rPr>
        <w:t>7</w:t>
      </w:r>
      <w:r w:rsidR="005C74D5" w:rsidRPr="00C1299C">
        <w:rPr>
          <w:rFonts w:ascii="Times New Roman" w:hAnsi="Times New Roman" w:cs="Times New Roman"/>
          <w:szCs w:val="20"/>
        </w:rPr>
        <w:t>]</w:t>
      </w:r>
      <w:r w:rsidR="003B22C5" w:rsidRPr="00C1299C">
        <w:rPr>
          <w:rFonts w:ascii="Times New Roman" w:hAnsi="Times New Roman" w:cs="Times New Roman"/>
          <w:szCs w:val="20"/>
        </w:rPr>
        <w:t xml:space="preserve">. </w:t>
      </w:r>
      <w:r w:rsidR="002F182B" w:rsidRPr="00C1299C">
        <w:rPr>
          <w:rFonts w:ascii="Times New Roman" w:hAnsi="Times New Roman" w:cs="Times New Roman"/>
          <w:szCs w:val="20"/>
        </w:rPr>
        <w:t>However, many methods; KT solvatochromic parameters using COSMO-RS [18], KT parameters using solvate ionic liquids [19] were more complex</w:t>
      </w:r>
      <w:r w:rsidR="00190AED" w:rsidRPr="00C1299C">
        <w:rPr>
          <w:rFonts w:ascii="TimesNewRomanPSMT" w:hAnsi="TimesNewRomanPSMT" w:cs="TimesNewRomanPSMT"/>
        </w:rPr>
        <w:t>.</w:t>
      </w:r>
      <w:r w:rsidR="002F182B" w:rsidRPr="00C1299C">
        <w:rPr>
          <w:rFonts w:ascii="TimesNewRomanPSMT" w:hAnsi="TimesNewRomanPSMT" w:cs="TimesNewRomanPSMT"/>
        </w:rPr>
        <w:t xml:space="preserve"> </w:t>
      </w:r>
      <w:r w:rsidR="003B22C5" w:rsidRPr="00C1299C">
        <w:rPr>
          <w:rFonts w:ascii="Times New Roman" w:hAnsi="Times New Roman" w:cs="Times New Roman"/>
          <w:szCs w:val="20"/>
        </w:rPr>
        <w:t>Taking into consideration the advancement of the K</w:t>
      </w:r>
      <w:r w:rsidR="00897CA1" w:rsidRPr="00C1299C">
        <w:rPr>
          <w:rFonts w:ascii="Times New Roman" w:hAnsi="Times New Roman" w:cs="Times New Roman"/>
          <w:szCs w:val="20"/>
        </w:rPr>
        <w:t>T</w:t>
      </w:r>
      <w:r w:rsidR="003B22C5" w:rsidRPr="00C1299C">
        <w:rPr>
          <w:rFonts w:ascii="Times New Roman" w:hAnsi="Times New Roman" w:cs="Times New Roman"/>
          <w:szCs w:val="20"/>
        </w:rPr>
        <w:t xml:space="preserve"> parameters in synthetic chemistry, the measurement technique has been </w:t>
      </w:r>
      <w:r w:rsidR="000E4666" w:rsidRPr="00C1299C">
        <w:rPr>
          <w:rFonts w:ascii="Times New Roman" w:hAnsi="Times New Roman" w:cs="Times New Roman"/>
          <w:szCs w:val="20"/>
        </w:rPr>
        <w:t>simplified</w:t>
      </w:r>
      <w:r w:rsidR="00144439" w:rsidRPr="00C1299C">
        <w:rPr>
          <w:rFonts w:ascii="Times New Roman" w:hAnsi="Times New Roman" w:cs="Times New Roman"/>
          <w:szCs w:val="20"/>
        </w:rPr>
        <w:t xml:space="preserve"> </w:t>
      </w:r>
      <w:r w:rsidR="003B22C5" w:rsidRPr="00C1299C">
        <w:rPr>
          <w:rFonts w:ascii="Times New Roman" w:hAnsi="Times New Roman" w:cs="Times New Roman"/>
          <w:szCs w:val="20"/>
        </w:rPr>
        <w:t xml:space="preserve">for determining the solvatochromic parameters. The 16 solvent-pair mixtures and 10 pure solvents were analyzed to </w:t>
      </w:r>
      <w:r w:rsidR="00585B8E" w:rsidRPr="00C1299C">
        <w:rPr>
          <w:rFonts w:ascii="Times New Roman" w:hAnsi="Times New Roman" w:cs="Times New Roman"/>
          <w:szCs w:val="20"/>
        </w:rPr>
        <w:t>determine</w:t>
      </w:r>
      <w:r w:rsidR="003B22C5" w:rsidRPr="00C1299C">
        <w:rPr>
          <w:rFonts w:ascii="Times New Roman" w:hAnsi="Times New Roman" w:cs="Times New Roman"/>
          <w:szCs w:val="20"/>
        </w:rPr>
        <w:t xml:space="preserve"> the probability of application in replacing dipolar aprotic solvents</w:t>
      </w:r>
      <w:r w:rsidR="00107451" w:rsidRPr="00C1299C">
        <w:rPr>
          <w:rFonts w:ascii="Times New Roman" w:hAnsi="Times New Roman" w:cs="Times New Roman"/>
          <w:szCs w:val="20"/>
        </w:rPr>
        <w:t xml:space="preserve"> (</w:t>
      </w:r>
      <w:r w:rsidR="00107451" w:rsidRPr="00C1299C">
        <w:rPr>
          <w:rFonts w:ascii="Times New Roman" w:eastAsia="Calibri" w:hAnsi="Times New Roman" w:cs="Times New Roman"/>
          <w:kern w:val="24"/>
          <w:sz w:val="18"/>
          <w:szCs w:val="18"/>
          <w:lang w:eastAsia="en-MY"/>
        </w:rPr>
        <w:t xml:space="preserve">dimethylformamide, dimethylacetamide, </w:t>
      </w:r>
      <w:r w:rsidR="00107451" w:rsidRPr="00C1299C">
        <w:rPr>
          <w:rFonts w:ascii="Times New Roman" w:eastAsia="Times New Roman" w:hAnsi="Times New Roman" w:cs="Times New Roman"/>
          <w:kern w:val="24"/>
          <w:sz w:val="18"/>
          <w:szCs w:val="18"/>
          <w:lang w:eastAsia="en-MY"/>
        </w:rPr>
        <w:t>N-methyl-2-pyrrolidone, pyridine etc.).</w:t>
      </w:r>
    </w:p>
    <w:p w14:paraId="21763505" w14:textId="77777777" w:rsidR="00572A3D" w:rsidRPr="00C1299C" w:rsidRDefault="00572A3D" w:rsidP="00572A3D">
      <w:pPr>
        <w:jc w:val="left"/>
        <w:outlineLvl w:val="0"/>
        <w:rPr>
          <w:rFonts w:ascii="Times New Roman" w:hAnsi="Times New Roman" w:cs="Times New Roman"/>
          <w:szCs w:val="20"/>
        </w:rPr>
      </w:pPr>
    </w:p>
    <w:tbl>
      <w:tblPr>
        <w:tblW w:w="8815" w:type="dxa"/>
        <w:jc w:val="center"/>
        <w:tblLayout w:type="fixed"/>
        <w:tblCellMar>
          <w:left w:w="0" w:type="dxa"/>
          <w:right w:w="0" w:type="dxa"/>
        </w:tblCellMar>
        <w:tblLook w:val="0420" w:firstRow="1" w:lastRow="0" w:firstColumn="0" w:lastColumn="0" w:noHBand="0" w:noVBand="1"/>
      </w:tblPr>
      <w:tblGrid>
        <w:gridCol w:w="2276"/>
        <w:gridCol w:w="1279"/>
        <w:gridCol w:w="1422"/>
        <w:gridCol w:w="2262"/>
        <w:gridCol w:w="1576"/>
      </w:tblGrid>
      <w:tr w:rsidR="00C1299C" w:rsidRPr="00C1299C" w14:paraId="0672F699" w14:textId="77777777" w:rsidTr="00E55EFB">
        <w:trPr>
          <w:trHeight w:val="154"/>
          <w:jc w:val="center"/>
        </w:trPr>
        <w:tc>
          <w:tcPr>
            <w:tcW w:w="8815" w:type="dxa"/>
            <w:gridSpan w:val="5"/>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EDCC4B3" w14:textId="77777777" w:rsidR="00C7673E" w:rsidRPr="00C1299C" w:rsidRDefault="001F7B08" w:rsidP="00F92660">
            <w:pPr>
              <w:jc w:val="center"/>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Table 1. Recommendation from Pfizer, GSK, Sanofi, and ICH regarding the use of</w:t>
            </w:r>
            <w:r w:rsidR="004B44D6" w:rsidRPr="00C1299C">
              <w:rPr>
                <w:rFonts w:ascii="Times New Roman" w:eastAsia="Times New Roman" w:hAnsi="Times New Roman" w:cs="Times New Roman"/>
                <w:kern w:val="24"/>
                <w:szCs w:val="20"/>
                <w:lang w:eastAsia="en-MY"/>
              </w:rPr>
              <w:t xml:space="preserve"> the</w:t>
            </w:r>
            <w:r w:rsidRPr="00C1299C">
              <w:rPr>
                <w:rFonts w:ascii="Times New Roman" w:eastAsia="Times New Roman" w:hAnsi="Times New Roman" w:cs="Times New Roman"/>
                <w:kern w:val="24"/>
                <w:szCs w:val="20"/>
                <w:lang w:eastAsia="en-MY"/>
              </w:rPr>
              <w:t xml:space="preserve"> following solvents</w:t>
            </w:r>
          </w:p>
        </w:tc>
      </w:tr>
      <w:tr w:rsidR="00C1299C" w:rsidRPr="00C1299C" w14:paraId="798B2EF2" w14:textId="77777777" w:rsidTr="00E55EFB">
        <w:trPr>
          <w:trHeight w:val="154"/>
          <w:jc w:val="center"/>
        </w:trPr>
        <w:tc>
          <w:tcPr>
            <w:tcW w:w="2276" w:type="dxa"/>
            <w:vMerge w:val="restart"/>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036B10D2" w14:textId="78ED28A4" w:rsidR="00C7673E" w:rsidRPr="00C1299C" w:rsidRDefault="001F7B08" w:rsidP="001F0AB2">
            <w:pPr>
              <w:jc w:val="center"/>
              <w:rPr>
                <w:rFonts w:ascii="Times New Roman" w:eastAsia="Times New Roman" w:hAnsi="Times New Roman" w:cs="Times New Roman"/>
                <w:b/>
                <w:bCs/>
                <w:kern w:val="24"/>
                <w:szCs w:val="20"/>
                <w:lang w:eastAsia="en-MY"/>
              </w:rPr>
            </w:pPr>
            <w:r w:rsidRPr="00C1299C">
              <w:rPr>
                <w:rFonts w:ascii="Times New Roman" w:eastAsia="Times New Roman" w:hAnsi="Times New Roman" w:cs="Times New Roman"/>
                <w:b/>
                <w:bCs/>
                <w:kern w:val="24"/>
                <w:szCs w:val="20"/>
                <w:lang w:eastAsia="en-MY"/>
              </w:rPr>
              <w:t xml:space="preserve">Most </w:t>
            </w:r>
            <w:r w:rsidR="001F0AB2" w:rsidRPr="00C1299C">
              <w:rPr>
                <w:rFonts w:ascii="Times New Roman" w:eastAsia="Times New Roman" w:hAnsi="Times New Roman" w:cs="Times New Roman"/>
                <w:b/>
                <w:bCs/>
                <w:kern w:val="24"/>
                <w:szCs w:val="20"/>
                <w:lang w:eastAsia="en-MY"/>
              </w:rPr>
              <w:t>Used Organic</w:t>
            </w:r>
          </w:p>
          <w:p w14:paraId="3D70F579" w14:textId="6709AADF" w:rsidR="00C7673E" w:rsidRPr="00C1299C" w:rsidRDefault="001F0AB2" w:rsidP="001F0AB2">
            <w:pPr>
              <w:jc w:val="center"/>
              <w:rPr>
                <w:rFonts w:ascii="Times New Roman" w:eastAsia="Times New Roman" w:hAnsi="Times New Roman" w:cs="Times New Roman"/>
                <w:b/>
                <w:bCs/>
                <w:kern w:val="24"/>
                <w:szCs w:val="20"/>
                <w:lang w:eastAsia="en-MY"/>
              </w:rPr>
            </w:pPr>
            <w:r w:rsidRPr="00C1299C">
              <w:rPr>
                <w:rFonts w:ascii="Times New Roman" w:eastAsia="Times New Roman" w:hAnsi="Times New Roman" w:cs="Times New Roman"/>
                <w:b/>
                <w:bCs/>
                <w:kern w:val="24"/>
                <w:szCs w:val="20"/>
                <w:lang w:eastAsia="en-MY"/>
              </w:rPr>
              <w:t>Solvents</w:t>
            </w:r>
          </w:p>
        </w:tc>
        <w:tc>
          <w:tcPr>
            <w:tcW w:w="6539" w:type="dxa"/>
            <w:gridSpan w:val="4"/>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185EABD" w14:textId="06C95D15"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b/>
                <w:bCs/>
                <w:kern w:val="24"/>
                <w:szCs w:val="20"/>
                <w:lang w:eastAsia="en-MY"/>
              </w:rPr>
              <w:t xml:space="preserve">Concern in </w:t>
            </w:r>
            <w:r w:rsidR="001F0AB2">
              <w:rPr>
                <w:rFonts w:ascii="Times New Roman" w:eastAsia="Times New Roman" w:hAnsi="Times New Roman" w:cs="Times New Roman"/>
                <w:b/>
                <w:bCs/>
                <w:kern w:val="24"/>
                <w:szCs w:val="20"/>
                <w:lang w:eastAsia="en-MY"/>
              </w:rPr>
              <w:t>U</w:t>
            </w:r>
            <w:r w:rsidRPr="00C1299C">
              <w:rPr>
                <w:rFonts w:ascii="Times New Roman" w:eastAsia="Times New Roman" w:hAnsi="Times New Roman" w:cs="Times New Roman"/>
                <w:b/>
                <w:bCs/>
                <w:kern w:val="24"/>
                <w:szCs w:val="20"/>
                <w:lang w:eastAsia="en-MY"/>
              </w:rPr>
              <w:t>se (</w:t>
            </w:r>
            <w:r w:rsidR="001F0AB2">
              <w:rPr>
                <w:rFonts w:ascii="Times New Roman" w:eastAsia="Times New Roman" w:hAnsi="Times New Roman" w:cs="Times New Roman"/>
                <w:b/>
                <w:bCs/>
                <w:kern w:val="24"/>
                <w:szCs w:val="20"/>
                <w:lang w:eastAsia="en-MY"/>
              </w:rPr>
              <w:t>C</w:t>
            </w:r>
            <w:r w:rsidRPr="00C1299C">
              <w:rPr>
                <w:rFonts w:ascii="Times New Roman" w:eastAsia="Times New Roman" w:hAnsi="Times New Roman" w:cs="Times New Roman"/>
                <w:b/>
                <w:bCs/>
                <w:kern w:val="24"/>
                <w:szCs w:val="20"/>
                <w:lang w:eastAsia="en-MY"/>
              </w:rPr>
              <w:t>omment)</w:t>
            </w:r>
          </w:p>
        </w:tc>
      </w:tr>
      <w:tr w:rsidR="00C1299C" w:rsidRPr="00C1299C" w14:paraId="2E7B63E0" w14:textId="77777777" w:rsidTr="00E55EFB">
        <w:trPr>
          <w:trHeight w:val="154"/>
          <w:jc w:val="center"/>
        </w:trPr>
        <w:tc>
          <w:tcPr>
            <w:tcW w:w="2276" w:type="dxa"/>
            <w:vMerge/>
            <w:tcBorders>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B94F565" w14:textId="77777777" w:rsidR="00C7673E" w:rsidRPr="00C1299C" w:rsidRDefault="00C7673E" w:rsidP="001F0AB2">
            <w:pPr>
              <w:jc w:val="left"/>
              <w:rPr>
                <w:rFonts w:ascii="Times New Roman" w:eastAsia="Times New Roman" w:hAnsi="Times New Roman" w:cs="Times New Roman"/>
                <w:szCs w:val="20"/>
                <w:lang w:eastAsia="en-MY"/>
              </w:rPr>
            </w:pPr>
          </w:p>
        </w:tc>
        <w:tc>
          <w:tcPr>
            <w:tcW w:w="12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970AB8" w14:textId="77777777" w:rsidR="00C7673E" w:rsidRPr="00C1299C" w:rsidRDefault="001F7B08" w:rsidP="001F0AB2">
            <w:pPr>
              <w:jc w:val="center"/>
              <w:rPr>
                <w:rFonts w:ascii="Times New Roman" w:eastAsia="Times New Roman" w:hAnsi="Times New Roman" w:cs="Times New Roman"/>
                <w:b/>
                <w:bCs/>
                <w:szCs w:val="20"/>
                <w:lang w:eastAsia="en-MY"/>
              </w:rPr>
            </w:pPr>
            <w:r w:rsidRPr="00C1299C">
              <w:rPr>
                <w:rFonts w:ascii="Times New Roman" w:eastAsia="Times New Roman" w:hAnsi="Times New Roman" w:cs="Times New Roman"/>
                <w:b/>
                <w:bCs/>
                <w:kern w:val="24"/>
                <w:szCs w:val="20"/>
                <w:lang w:eastAsia="en-MY"/>
              </w:rPr>
              <w:t>Pfizer</w:t>
            </w:r>
          </w:p>
        </w:tc>
        <w:tc>
          <w:tcPr>
            <w:tcW w:w="142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9830564" w14:textId="77777777" w:rsidR="00C7673E" w:rsidRPr="00C1299C" w:rsidRDefault="001F7B08" w:rsidP="001F0AB2">
            <w:pPr>
              <w:jc w:val="center"/>
              <w:rPr>
                <w:rFonts w:ascii="Times New Roman" w:eastAsia="Times New Roman" w:hAnsi="Times New Roman" w:cs="Times New Roman"/>
                <w:b/>
                <w:bCs/>
                <w:szCs w:val="20"/>
                <w:lang w:eastAsia="en-MY"/>
              </w:rPr>
            </w:pPr>
            <w:r w:rsidRPr="00C1299C">
              <w:rPr>
                <w:rFonts w:ascii="Times New Roman" w:eastAsia="Times New Roman" w:hAnsi="Times New Roman" w:cs="Times New Roman"/>
                <w:b/>
                <w:bCs/>
                <w:kern w:val="24"/>
                <w:szCs w:val="20"/>
                <w:lang w:eastAsia="en-MY"/>
              </w:rPr>
              <w:t>GSK</w:t>
            </w:r>
          </w:p>
        </w:tc>
        <w:tc>
          <w:tcPr>
            <w:tcW w:w="226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272B149" w14:textId="77777777" w:rsidR="00C7673E" w:rsidRPr="00C1299C" w:rsidRDefault="001F7B08" w:rsidP="001F0AB2">
            <w:pPr>
              <w:jc w:val="center"/>
              <w:rPr>
                <w:rFonts w:ascii="Times New Roman" w:eastAsia="Times New Roman" w:hAnsi="Times New Roman" w:cs="Times New Roman"/>
                <w:b/>
                <w:bCs/>
                <w:szCs w:val="20"/>
                <w:lang w:eastAsia="en-MY"/>
              </w:rPr>
            </w:pPr>
            <w:r w:rsidRPr="00C1299C">
              <w:rPr>
                <w:rFonts w:ascii="Times New Roman" w:eastAsia="Times New Roman" w:hAnsi="Times New Roman" w:cs="Times New Roman"/>
                <w:b/>
                <w:bCs/>
                <w:kern w:val="24"/>
                <w:szCs w:val="20"/>
                <w:lang w:eastAsia="en-MY"/>
              </w:rPr>
              <w:t>Sanofi</w:t>
            </w:r>
          </w:p>
        </w:tc>
        <w:tc>
          <w:tcPr>
            <w:tcW w:w="157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507FCD5" w14:textId="77777777" w:rsidR="00C7673E" w:rsidRPr="00C1299C" w:rsidRDefault="001F7B08" w:rsidP="001F0AB2">
            <w:pPr>
              <w:jc w:val="center"/>
              <w:rPr>
                <w:rFonts w:ascii="Times New Roman" w:eastAsia="Times New Roman" w:hAnsi="Times New Roman" w:cs="Times New Roman"/>
                <w:b/>
                <w:bCs/>
                <w:szCs w:val="20"/>
                <w:lang w:eastAsia="en-MY"/>
              </w:rPr>
            </w:pPr>
            <w:r w:rsidRPr="00C1299C">
              <w:rPr>
                <w:rFonts w:ascii="Times New Roman" w:eastAsia="Times New Roman" w:hAnsi="Times New Roman" w:cs="Times New Roman"/>
                <w:b/>
                <w:bCs/>
                <w:kern w:val="24"/>
                <w:szCs w:val="20"/>
                <w:lang w:eastAsia="en-MY"/>
              </w:rPr>
              <w:t>ICH</w:t>
            </w:r>
          </w:p>
        </w:tc>
      </w:tr>
      <w:tr w:rsidR="00C1299C" w:rsidRPr="00C1299C" w14:paraId="4E5D50DA" w14:textId="77777777" w:rsidTr="001F0AB2">
        <w:trPr>
          <w:trHeight w:val="211"/>
          <w:jc w:val="center"/>
        </w:trPr>
        <w:tc>
          <w:tcPr>
            <w:tcW w:w="22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EB362D0" w14:textId="77777777" w:rsidR="00C7673E" w:rsidRPr="00C1299C" w:rsidRDefault="001F7B08" w:rsidP="001F0AB2">
            <w:pPr>
              <w:jc w:val="left"/>
              <w:rPr>
                <w:rFonts w:ascii="Times New Roman" w:eastAsia="Calibri" w:hAnsi="Times New Roman" w:cs="Times New Roman"/>
                <w:kern w:val="24"/>
                <w:szCs w:val="20"/>
                <w:lang w:eastAsia="en-MY"/>
              </w:rPr>
            </w:pPr>
            <w:r w:rsidRPr="00C1299C">
              <w:rPr>
                <w:rFonts w:ascii="Times New Roman" w:eastAsia="Calibri" w:hAnsi="Times New Roman" w:cs="Times New Roman"/>
                <w:kern w:val="24"/>
                <w:szCs w:val="20"/>
                <w:lang w:eastAsia="en-MY"/>
              </w:rPr>
              <w:t xml:space="preserve">Dimethylformamide </w:t>
            </w:r>
          </w:p>
          <w:p w14:paraId="52E2A89E"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Calibri" w:hAnsi="Times New Roman" w:cs="Times New Roman"/>
                <w:kern w:val="24"/>
                <w:szCs w:val="20"/>
                <w:lang w:eastAsia="en-MY"/>
              </w:rPr>
              <w:t>(DMF)</w:t>
            </w:r>
          </w:p>
        </w:tc>
        <w:tc>
          <w:tcPr>
            <w:tcW w:w="127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6B942E"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20A04C"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CB2598D" w14:textId="77777777" w:rsidR="00C7673E" w:rsidRPr="00C1299C" w:rsidRDefault="001F7B08" w:rsidP="001F0AB2">
            <w:pPr>
              <w:jc w:val="center"/>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Substitution requested</w:t>
            </w:r>
          </w:p>
        </w:tc>
        <w:tc>
          <w:tcPr>
            <w:tcW w:w="157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1225D2C"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To be limited</w:t>
            </w:r>
          </w:p>
        </w:tc>
      </w:tr>
      <w:tr w:rsidR="00C1299C" w:rsidRPr="00C1299C" w14:paraId="70527542" w14:textId="77777777" w:rsidTr="001F0AB2">
        <w:trPr>
          <w:trHeight w:val="20"/>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CF39C60" w14:textId="77777777" w:rsidR="00C7673E" w:rsidRPr="00C1299C" w:rsidRDefault="001F7B08" w:rsidP="001F0AB2">
            <w:pPr>
              <w:jc w:val="left"/>
              <w:rPr>
                <w:rFonts w:ascii="Times New Roman" w:eastAsia="Calibri" w:hAnsi="Times New Roman" w:cs="Times New Roman"/>
                <w:kern w:val="24"/>
                <w:szCs w:val="20"/>
                <w:lang w:eastAsia="en-MY"/>
              </w:rPr>
            </w:pPr>
            <w:r w:rsidRPr="00C1299C">
              <w:rPr>
                <w:rFonts w:ascii="Times New Roman" w:eastAsia="Calibri" w:hAnsi="Times New Roman" w:cs="Times New Roman"/>
                <w:kern w:val="24"/>
                <w:szCs w:val="20"/>
                <w:lang w:eastAsia="en-MY"/>
              </w:rPr>
              <w:t xml:space="preserve">Dimethylacetamide </w:t>
            </w:r>
          </w:p>
          <w:p w14:paraId="58C2FF44"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Calibri" w:hAnsi="Times New Roman" w:cs="Times New Roman"/>
                <w:kern w:val="24"/>
                <w:szCs w:val="20"/>
                <w:lang w:eastAsia="en-MY"/>
              </w:rPr>
              <w:t>(DMAC)</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C7BF3A"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8FFE0A6"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B5A0C36" w14:textId="77777777" w:rsidR="00C7673E" w:rsidRPr="00C1299C" w:rsidRDefault="001F7B08" w:rsidP="001F0AB2">
            <w:pPr>
              <w:jc w:val="center"/>
              <w:rPr>
                <w:rFonts w:ascii="Times New Roman" w:hAnsi="Times New Roman" w:cs="Times New Roman"/>
                <w:kern w:val="24"/>
                <w:szCs w:val="20"/>
                <w:lang w:eastAsia="en-MY"/>
              </w:rPr>
            </w:pPr>
            <w:r w:rsidRPr="00C1299C">
              <w:rPr>
                <w:rFonts w:ascii="Times New Roman" w:hAnsi="Times New Roman" w:cs="Times New Roman"/>
                <w:kern w:val="24"/>
                <w:szCs w:val="20"/>
                <w:lang w:eastAsia="en-MY"/>
              </w:rPr>
              <w:t>Substitution requested</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893272A"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C1299C" w:rsidRPr="00C1299C" w14:paraId="136705E9" w14:textId="77777777" w:rsidTr="00E55EF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69609C"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N-methyl-2-pyrrolidone(NMP)</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3AC0F6C"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AD87866"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D8FDCEA" w14:textId="77777777" w:rsidR="00C7673E" w:rsidRPr="00C1299C" w:rsidRDefault="001F7B08" w:rsidP="001F0AB2">
            <w:pPr>
              <w:jc w:val="center"/>
              <w:rPr>
                <w:rFonts w:ascii="Times New Roman" w:hAnsi="Times New Roman" w:cs="Times New Roman"/>
                <w:kern w:val="24"/>
                <w:szCs w:val="20"/>
                <w:lang w:eastAsia="en-MY"/>
              </w:rPr>
            </w:pPr>
            <w:r w:rsidRPr="00C1299C">
              <w:rPr>
                <w:rFonts w:ascii="Times New Roman" w:hAnsi="Times New Roman" w:cs="Times New Roman"/>
                <w:kern w:val="24"/>
                <w:szCs w:val="20"/>
                <w:lang w:eastAsia="en-MY"/>
              </w:rPr>
              <w:t>Substitution requested</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31ABA39"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C1299C" w:rsidRPr="00C1299C" w14:paraId="1249A2BD" w14:textId="77777777" w:rsidTr="00E55EF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25A7004" w14:textId="77777777" w:rsidR="00C7673E" w:rsidRPr="00C1299C" w:rsidRDefault="001F7B08" w:rsidP="001F0AB2">
            <w:pPr>
              <w:jc w:val="left"/>
              <w:rPr>
                <w:rFonts w:ascii="Times New Roman" w:eastAsia="Calibri" w:hAnsi="Times New Roman" w:cs="Times New Roman"/>
                <w:kern w:val="24"/>
                <w:szCs w:val="20"/>
                <w:lang w:eastAsia="en-MY"/>
              </w:rPr>
            </w:pPr>
            <w:r w:rsidRPr="00C1299C">
              <w:rPr>
                <w:rFonts w:ascii="Times New Roman" w:eastAsia="Calibri" w:hAnsi="Times New Roman" w:cs="Times New Roman"/>
                <w:kern w:val="24"/>
                <w:szCs w:val="20"/>
                <w:lang w:eastAsia="en-MY"/>
              </w:rPr>
              <w:t xml:space="preserve">Dichloromethane </w:t>
            </w:r>
          </w:p>
          <w:p w14:paraId="12884862"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Calibri" w:hAnsi="Times New Roman" w:cs="Times New Roman"/>
                <w:kern w:val="24"/>
                <w:szCs w:val="20"/>
                <w:lang w:eastAsia="en-MY"/>
              </w:rPr>
              <w:t>(DCM)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14DA60E"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AE82161"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556C37" w14:textId="77777777" w:rsidR="00C7673E" w:rsidRPr="00C1299C" w:rsidRDefault="001F7B08" w:rsidP="001F0AB2">
            <w:pPr>
              <w:jc w:val="center"/>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Substitution advisable</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6255C0F"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C1299C" w:rsidRPr="00C1299C" w14:paraId="5B9A292C" w14:textId="77777777" w:rsidTr="00E55EF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DF4E6BB"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Chloroform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7446502"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E3C5BD"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E258621"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No comment</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09768BE"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C1299C" w:rsidRPr="00C1299C" w14:paraId="39055512" w14:textId="77777777" w:rsidTr="00E55EF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42A6941"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1,4-Dioxane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A14CE83"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B4340A4"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E13D79A" w14:textId="77777777" w:rsidR="00C7673E" w:rsidRPr="00C1299C" w:rsidRDefault="001F7B08" w:rsidP="001F0AB2">
            <w:pPr>
              <w:jc w:val="center"/>
              <w:rPr>
                <w:rFonts w:ascii="Times New Roman" w:hAnsi="Times New Roman" w:cs="Times New Roman"/>
                <w:kern w:val="24"/>
                <w:szCs w:val="20"/>
                <w:lang w:eastAsia="en-MY"/>
              </w:rPr>
            </w:pPr>
            <w:r w:rsidRPr="00C1299C">
              <w:rPr>
                <w:rFonts w:ascii="Times New Roman" w:hAnsi="Times New Roman" w:cs="Times New Roman"/>
                <w:kern w:val="24"/>
                <w:szCs w:val="20"/>
                <w:lang w:eastAsia="en-MY"/>
              </w:rPr>
              <w:t>Substitution requested</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A430AE2"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C1299C" w:rsidRPr="00C1299C" w14:paraId="1C5CD6D2" w14:textId="77777777" w:rsidTr="00E55EF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C9D6CA2"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Pyridine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E5D3534"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8CEE821"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No comment</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4AC0477" w14:textId="77777777" w:rsidR="00C7673E" w:rsidRPr="00C1299C" w:rsidRDefault="001F7B08" w:rsidP="001F0AB2">
            <w:pPr>
              <w:jc w:val="center"/>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Substitution advisable</w:t>
            </w:r>
          </w:p>
        </w:tc>
        <w:tc>
          <w:tcPr>
            <w:tcW w:w="157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6343834"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hAnsi="Times New Roman" w:cs="Times New Roman"/>
                <w:kern w:val="24"/>
                <w:szCs w:val="20"/>
                <w:lang w:eastAsia="en-MY"/>
              </w:rPr>
              <w:t>To be limited</w:t>
            </w:r>
          </w:p>
        </w:tc>
      </w:tr>
      <w:tr w:rsidR="00082E77" w:rsidRPr="00C1299C" w14:paraId="724B50DF" w14:textId="77777777" w:rsidTr="00E55EFB">
        <w:trPr>
          <w:trHeight w:val="154"/>
          <w:jc w:val="center"/>
        </w:trPr>
        <w:tc>
          <w:tcPr>
            <w:tcW w:w="22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0A9E50C" w14:textId="77777777" w:rsidR="00C7673E" w:rsidRPr="00C1299C" w:rsidRDefault="001F7B08" w:rsidP="001F0AB2">
            <w:pPr>
              <w:jc w:val="left"/>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 xml:space="preserve">Diisopropyl ether </w:t>
            </w:r>
          </w:p>
          <w:p w14:paraId="00C4BE07" w14:textId="77777777" w:rsidR="00C7673E" w:rsidRPr="00C1299C" w:rsidRDefault="001F7B08" w:rsidP="001F0AB2">
            <w:pPr>
              <w:jc w:val="left"/>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(IPE)</w:t>
            </w:r>
          </w:p>
        </w:tc>
        <w:tc>
          <w:tcPr>
            <w:tcW w:w="127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6BABCA8"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Undesirable</w:t>
            </w:r>
          </w:p>
        </w:tc>
        <w:tc>
          <w:tcPr>
            <w:tcW w:w="142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4E42FA8"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Major issues</w:t>
            </w:r>
          </w:p>
        </w:tc>
        <w:tc>
          <w:tcPr>
            <w:tcW w:w="22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1050EF9" w14:textId="77777777" w:rsidR="00C7673E" w:rsidRPr="00C1299C" w:rsidRDefault="001F7B08" w:rsidP="001F0AB2">
            <w:pPr>
              <w:jc w:val="center"/>
              <w:rPr>
                <w:rFonts w:ascii="Times New Roman" w:eastAsia="Times New Roman" w:hAnsi="Times New Roman" w:cs="Times New Roman"/>
                <w:kern w:val="24"/>
                <w:szCs w:val="20"/>
                <w:lang w:eastAsia="en-MY"/>
              </w:rPr>
            </w:pPr>
            <w:r w:rsidRPr="00C1299C">
              <w:rPr>
                <w:rFonts w:ascii="Times New Roman" w:eastAsia="Times New Roman" w:hAnsi="Times New Roman" w:cs="Times New Roman"/>
                <w:kern w:val="24"/>
                <w:szCs w:val="20"/>
                <w:lang w:eastAsia="en-MY"/>
              </w:rPr>
              <w:t>Substitution advisable</w:t>
            </w:r>
          </w:p>
        </w:tc>
        <w:tc>
          <w:tcPr>
            <w:tcW w:w="157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1C1481" w14:textId="77777777" w:rsidR="00C7673E" w:rsidRPr="00C1299C" w:rsidRDefault="001F7B08" w:rsidP="001F0AB2">
            <w:pPr>
              <w:jc w:val="center"/>
              <w:rPr>
                <w:rFonts w:ascii="Times New Roman" w:eastAsia="Times New Roman" w:hAnsi="Times New Roman" w:cs="Times New Roman"/>
                <w:szCs w:val="20"/>
                <w:lang w:eastAsia="en-MY"/>
              </w:rPr>
            </w:pPr>
            <w:r w:rsidRPr="00C1299C">
              <w:rPr>
                <w:rFonts w:ascii="Times New Roman" w:eastAsia="Times New Roman" w:hAnsi="Times New Roman" w:cs="Times New Roman"/>
                <w:kern w:val="24"/>
                <w:szCs w:val="20"/>
                <w:lang w:eastAsia="en-MY"/>
              </w:rPr>
              <w:t>Unknown</w:t>
            </w:r>
          </w:p>
        </w:tc>
      </w:tr>
    </w:tbl>
    <w:p w14:paraId="61DCBEAE" w14:textId="77777777" w:rsidR="00E55EFB" w:rsidRPr="00C1299C" w:rsidRDefault="00E55EFB" w:rsidP="001F0AB2">
      <w:pPr>
        <w:outlineLvl w:val="0"/>
        <w:rPr>
          <w:rFonts w:ascii="Times New Roman" w:hAnsi="Times New Roman" w:cs="Times New Roman"/>
          <w:b/>
          <w:szCs w:val="20"/>
        </w:rPr>
      </w:pPr>
    </w:p>
    <w:p w14:paraId="6C8BF55F" w14:textId="77777777" w:rsidR="00785CA6" w:rsidRPr="00C1299C" w:rsidRDefault="001F7B08" w:rsidP="00785CA6">
      <w:pPr>
        <w:jc w:val="center"/>
        <w:outlineLvl w:val="0"/>
        <w:rPr>
          <w:rFonts w:ascii="Times New Roman" w:hAnsi="Times New Roman" w:cs="Times New Roman"/>
          <w:b/>
          <w:szCs w:val="20"/>
        </w:rPr>
      </w:pPr>
      <w:r w:rsidRPr="00C1299C">
        <w:rPr>
          <w:rFonts w:ascii="Times New Roman" w:hAnsi="Times New Roman" w:cs="Times New Roman"/>
          <w:b/>
          <w:szCs w:val="20"/>
        </w:rPr>
        <w:t>Materials and Methods</w:t>
      </w:r>
    </w:p>
    <w:p w14:paraId="50512762" w14:textId="77777777" w:rsidR="004E5EE2" w:rsidRPr="00C1299C" w:rsidRDefault="001F7B08" w:rsidP="003F3701">
      <w:pPr>
        <w:jc w:val="left"/>
        <w:outlineLvl w:val="0"/>
        <w:rPr>
          <w:rFonts w:ascii="Times New Roman" w:hAnsi="Times New Roman" w:cs="Times New Roman"/>
          <w:b/>
          <w:szCs w:val="20"/>
        </w:rPr>
      </w:pPr>
      <w:r w:rsidRPr="00C1299C">
        <w:rPr>
          <w:rFonts w:ascii="Times New Roman" w:hAnsi="Times New Roman" w:cs="Times New Roman"/>
          <w:b/>
        </w:rPr>
        <w:t xml:space="preserve">Materials </w:t>
      </w:r>
    </w:p>
    <w:p w14:paraId="5460CDC4" w14:textId="0D4AD92E" w:rsidR="00553A36" w:rsidRPr="00C1299C" w:rsidRDefault="001F7B08" w:rsidP="00553A36">
      <w:pPr>
        <w:outlineLvl w:val="0"/>
        <w:rPr>
          <w:rFonts w:ascii="Times New Roman" w:hAnsi="Times New Roman" w:cs="Times New Roman"/>
          <w:szCs w:val="20"/>
        </w:rPr>
      </w:pPr>
      <w:r w:rsidRPr="00C1299C">
        <w:rPr>
          <w:rFonts w:ascii="Times New Roman" w:hAnsi="Times New Roman" w:cs="Times New Roman"/>
          <w:szCs w:val="20"/>
        </w:rPr>
        <w:t>Analytical reagent (AR) grade methanol (MeOH 99.9%), acetone (Ace 99.8%), tetrahydrofuran (THF 99.8%),</w:t>
      </w:r>
      <w:r w:rsidR="00540E4F" w:rsidRPr="00C1299C">
        <w:rPr>
          <w:rFonts w:ascii="Times New Roman" w:hAnsi="Times New Roman" w:cs="Times New Roman"/>
          <w:szCs w:val="20"/>
        </w:rPr>
        <w:t xml:space="preserve"> </w:t>
      </w:r>
      <w:r w:rsidRPr="00C1299C">
        <w:rPr>
          <w:rFonts w:ascii="Times New Roman" w:hAnsi="Times New Roman" w:cs="Times New Roman"/>
          <w:szCs w:val="20"/>
        </w:rPr>
        <w:t>dimethyl sulfoxide (DMSO 99.9%)</w:t>
      </w:r>
      <w:r w:rsidR="00333353" w:rsidRPr="00C1299C">
        <w:rPr>
          <w:rFonts w:ascii="Times New Roman" w:hAnsi="Times New Roman" w:cs="Times New Roman"/>
          <w:szCs w:val="20"/>
        </w:rPr>
        <w:t>,</w:t>
      </w:r>
      <w:r w:rsidR="002D2479" w:rsidRPr="00C1299C">
        <w:rPr>
          <w:rFonts w:ascii="Times New Roman" w:hAnsi="Times New Roman" w:cs="Times New Roman"/>
          <w:szCs w:val="20"/>
        </w:rPr>
        <w:t xml:space="preserve"> and calcium chloride anhydrous (99.9</w:t>
      </w:r>
      <w:r w:rsidR="00333353" w:rsidRPr="00C1299C">
        <w:rPr>
          <w:rFonts w:ascii="Times New Roman" w:hAnsi="Times New Roman" w:cs="Times New Roman"/>
          <w:szCs w:val="20"/>
        </w:rPr>
        <w:t>%)</w:t>
      </w:r>
      <w:r w:rsidRPr="00C1299C">
        <w:rPr>
          <w:rFonts w:ascii="Times New Roman" w:hAnsi="Times New Roman" w:cs="Times New Roman"/>
          <w:szCs w:val="20"/>
        </w:rPr>
        <w:t xml:space="preserve"> were received from Merck KGaA</w:t>
      </w:r>
      <w:r w:rsidR="003864CC" w:rsidRPr="00C1299C">
        <w:rPr>
          <w:rFonts w:ascii="Times New Roman" w:hAnsi="Times New Roman" w:cs="Times New Roman"/>
          <w:szCs w:val="20"/>
        </w:rPr>
        <w:t>,</w:t>
      </w:r>
      <w:r w:rsidRPr="00C1299C">
        <w:rPr>
          <w:rFonts w:ascii="Times New Roman" w:hAnsi="Times New Roman" w:cs="Times New Roman"/>
          <w:szCs w:val="20"/>
        </w:rPr>
        <w:t xml:space="preserve"> Germany. Ethanol (EtOH 99.8%) was purchased from HmbG chemicals, Malaysia. HPLC grade acetonitrile (ACN 99.99%), AR grade dichloromethane (DCM 99.9%) were purchased from QREC (Asia), Malaysia. AR grade dimethylformamide (DMF 99.99%), and isopropyl alcohol (iPrOH 99.99%) were received from Fisher Scientific, UK.</w:t>
      </w:r>
      <w:r w:rsidR="000B5D98" w:rsidRPr="00C1299C">
        <w:rPr>
          <w:rFonts w:ascii="Times New Roman" w:hAnsi="Times New Roman" w:cs="Times New Roman"/>
          <w:szCs w:val="20"/>
        </w:rPr>
        <w:t xml:space="preserve"> </w:t>
      </w:r>
      <w:r w:rsidRPr="00C1299C">
        <w:rPr>
          <w:rFonts w:ascii="Times New Roman" w:hAnsi="Times New Roman" w:cs="Times New Roman"/>
          <w:szCs w:val="20"/>
        </w:rPr>
        <w:t xml:space="preserve">Three solvatochromic indicators were purchased: </w:t>
      </w:r>
      <w:r w:rsidR="001F0AB2" w:rsidRPr="00C1299C">
        <w:rPr>
          <w:rFonts w:ascii="Times New Roman" w:hAnsi="Times New Roman" w:cs="Times New Roman"/>
          <w:szCs w:val="20"/>
        </w:rPr>
        <w:t>N, N</w:t>
      </w:r>
      <w:r w:rsidRPr="00C1299C">
        <w:rPr>
          <w:rFonts w:ascii="Times New Roman" w:hAnsi="Times New Roman" w:cs="Times New Roman"/>
          <w:szCs w:val="20"/>
        </w:rPr>
        <w:t xml:space="preserve">-dimethyl-4-nitroaniline 98% as indicator 1 from Alfa Aesar through Permula chemicals, Malaysia; 4-nitroaniline 99% (Indicator 2) and Reichardt’s dye 90% or 2,6-diphenyl-4-(2,4,6-triphenyl-1-pyridinio) phenolate 90% as indicator 3 from Sigma-Aldrich. To avoid humidity contamination or light degradation, the samples and indicators were weighted cautiously. A </w:t>
      </w:r>
      <w:r w:rsidRPr="00C1299C">
        <w:rPr>
          <w:rFonts w:ascii="Times New Roman" w:hAnsi="Times New Roman" w:cs="Times New Roman"/>
          <w:szCs w:val="20"/>
        </w:rPr>
        <w:lastRenderedPageBreak/>
        <w:t>microbalance (Brand: Mettler Toledo; model: AX-205) was used to prepare the samples by mass with an uncertainty of ±1×10-4 g.</w:t>
      </w:r>
    </w:p>
    <w:p w14:paraId="20C2B903" w14:textId="77777777" w:rsidR="00954DC5" w:rsidRPr="00C1299C" w:rsidRDefault="00954DC5" w:rsidP="00553A36">
      <w:pPr>
        <w:outlineLvl w:val="0"/>
        <w:rPr>
          <w:rFonts w:ascii="Times New Roman" w:hAnsi="Times New Roman" w:cs="Times New Roman"/>
          <w:b/>
          <w:szCs w:val="20"/>
        </w:rPr>
      </w:pPr>
    </w:p>
    <w:p w14:paraId="694075A3" w14:textId="4682EA97" w:rsidR="00553A36" w:rsidRPr="00C1299C" w:rsidRDefault="000D14B2" w:rsidP="00553A36">
      <w:pPr>
        <w:outlineLvl w:val="0"/>
        <w:rPr>
          <w:rFonts w:ascii="Times New Roman" w:hAnsi="Times New Roman" w:cs="Times New Roman"/>
          <w:b/>
          <w:szCs w:val="20"/>
        </w:rPr>
      </w:pPr>
      <w:r w:rsidRPr="00C1299C">
        <w:rPr>
          <w:rFonts w:ascii="Times New Roman" w:hAnsi="Times New Roman" w:cs="Times New Roman"/>
          <w:b/>
          <w:szCs w:val="20"/>
        </w:rPr>
        <w:t>A</w:t>
      </w:r>
      <w:r w:rsidR="001F7B08" w:rsidRPr="00C1299C">
        <w:rPr>
          <w:rFonts w:ascii="Times New Roman" w:hAnsi="Times New Roman" w:cs="Times New Roman"/>
          <w:b/>
          <w:szCs w:val="20"/>
        </w:rPr>
        <w:t>nalytical</w:t>
      </w:r>
      <w:r w:rsidRPr="00C1299C">
        <w:rPr>
          <w:rFonts w:ascii="Times New Roman" w:hAnsi="Times New Roman" w:cs="Times New Roman"/>
          <w:b/>
          <w:szCs w:val="20"/>
        </w:rPr>
        <w:t xml:space="preserve"> </w:t>
      </w:r>
      <w:r w:rsidR="001F0AB2">
        <w:rPr>
          <w:rFonts w:ascii="Times New Roman" w:hAnsi="Times New Roman" w:cs="Times New Roman"/>
          <w:b/>
          <w:szCs w:val="20"/>
        </w:rPr>
        <w:t>c</w:t>
      </w:r>
      <w:r w:rsidRPr="00C1299C">
        <w:rPr>
          <w:rFonts w:ascii="Times New Roman" w:hAnsi="Times New Roman" w:cs="Times New Roman"/>
          <w:b/>
          <w:szCs w:val="20"/>
        </w:rPr>
        <w:t>ondition of</w:t>
      </w:r>
      <w:r w:rsidR="001F7B08" w:rsidRPr="00C1299C">
        <w:rPr>
          <w:rFonts w:ascii="Times New Roman" w:hAnsi="Times New Roman" w:cs="Times New Roman"/>
          <w:b/>
          <w:szCs w:val="20"/>
        </w:rPr>
        <w:t xml:space="preserve"> </w:t>
      </w:r>
      <w:r w:rsidR="005453C4" w:rsidRPr="00C1299C">
        <w:rPr>
          <w:rFonts w:ascii="Times New Roman" w:hAnsi="Times New Roman" w:cs="Times New Roman"/>
          <w:b/>
          <w:szCs w:val="20"/>
        </w:rPr>
        <w:t xml:space="preserve">KT </w:t>
      </w:r>
      <w:r w:rsidR="001F0AB2">
        <w:rPr>
          <w:rFonts w:ascii="Times New Roman" w:hAnsi="Times New Roman" w:cs="Times New Roman"/>
          <w:b/>
          <w:szCs w:val="20"/>
        </w:rPr>
        <w:t>p</w:t>
      </w:r>
      <w:r w:rsidR="005453C4" w:rsidRPr="00C1299C">
        <w:rPr>
          <w:rFonts w:ascii="Times New Roman" w:hAnsi="Times New Roman" w:cs="Times New Roman"/>
          <w:b/>
          <w:szCs w:val="20"/>
        </w:rPr>
        <w:t>arameters</w:t>
      </w:r>
    </w:p>
    <w:p w14:paraId="68EDEE57" w14:textId="54596E58" w:rsidR="003744F6" w:rsidRPr="00C1299C" w:rsidRDefault="001F7B08" w:rsidP="00553A36">
      <w:pPr>
        <w:outlineLvl w:val="0"/>
        <w:rPr>
          <w:rFonts w:ascii="Times New Roman" w:hAnsi="Times New Roman" w:cs="Times New Roman"/>
          <w:bCs/>
          <w:szCs w:val="20"/>
          <w:lang w:val="en-MY"/>
        </w:rPr>
      </w:pPr>
      <w:bookmarkStart w:id="0" w:name="_Hlk85014722"/>
      <w:r w:rsidRPr="00C1299C">
        <w:rPr>
          <w:rFonts w:ascii="Times New Roman" w:hAnsi="Times New Roman" w:cs="Times New Roman"/>
          <w:bCs/>
          <w:szCs w:val="20"/>
          <w:lang w:val="en-MY"/>
        </w:rPr>
        <w:t>O</w:t>
      </w:r>
      <w:r w:rsidR="00E7636F" w:rsidRPr="00C1299C">
        <w:rPr>
          <w:rFonts w:ascii="Times New Roman" w:hAnsi="Times New Roman" w:cs="Times New Roman"/>
          <w:bCs/>
          <w:szCs w:val="20"/>
          <w:lang w:val="en-MY"/>
        </w:rPr>
        <w:t>rganic solvent</w:t>
      </w:r>
      <w:r w:rsidRPr="00C1299C">
        <w:rPr>
          <w:rFonts w:ascii="Times New Roman" w:hAnsi="Times New Roman" w:cs="Times New Roman"/>
          <w:bCs/>
          <w:szCs w:val="20"/>
          <w:lang w:val="en-MY"/>
        </w:rPr>
        <w:t>s</w:t>
      </w:r>
      <w:r w:rsidR="00E7636F" w:rsidRPr="00C1299C">
        <w:rPr>
          <w:rFonts w:ascii="Times New Roman" w:hAnsi="Times New Roman" w:cs="Times New Roman"/>
          <w:bCs/>
          <w:szCs w:val="20"/>
          <w:lang w:val="en-MY"/>
        </w:rPr>
        <w:t xml:space="preserve"> w</w:t>
      </w:r>
      <w:r w:rsidRPr="00C1299C">
        <w:rPr>
          <w:rFonts w:ascii="Times New Roman" w:hAnsi="Times New Roman" w:cs="Times New Roman"/>
          <w:bCs/>
          <w:szCs w:val="20"/>
          <w:lang w:val="en-MY"/>
        </w:rPr>
        <w:t>ere</w:t>
      </w:r>
      <w:r w:rsidR="00E7636F" w:rsidRPr="00C1299C">
        <w:rPr>
          <w:rFonts w:ascii="Times New Roman" w:hAnsi="Times New Roman" w:cs="Times New Roman"/>
          <w:bCs/>
          <w:szCs w:val="20"/>
          <w:lang w:val="en-MY"/>
        </w:rPr>
        <w:t xml:space="preserve"> dried</w:t>
      </w:r>
      <w:r w:rsidR="008A48FA" w:rsidRPr="00C1299C">
        <w:rPr>
          <w:rFonts w:ascii="Times New Roman" w:hAnsi="Times New Roman" w:cs="Times New Roman"/>
          <w:bCs/>
          <w:szCs w:val="20"/>
          <w:lang w:val="en-MY"/>
        </w:rPr>
        <w:t xml:space="preserve"> </w:t>
      </w:r>
      <w:r w:rsidR="00E7636F" w:rsidRPr="00C1299C">
        <w:rPr>
          <w:rFonts w:ascii="Times New Roman" w:hAnsi="Times New Roman" w:cs="Times New Roman"/>
          <w:bCs/>
          <w:szCs w:val="20"/>
          <w:lang w:val="en-MY"/>
        </w:rPr>
        <w:t xml:space="preserve">to </w:t>
      </w:r>
      <w:r w:rsidRPr="00C1299C">
        <w:rPr>
          <w:rFonts w:ascii="Times New Roman" w:hAnsi="Times New Roman" w:cs="Times New Roman"/>
          <w:bCs/>
          <w:szCs w:val="20"/>
          <w:lang w:val="en-MY"/>
        </w:rPr>
        <w:t>free</w:t>
      </w:r>
      <w:r w:rsidR="00E7636F" w:rsidRPr="00C1299C">
        <w:rPr>
          <w:rFonts w:ascii="Times New Roman" w:hAnsi="Times New Roman" w:cs="Times New Roman"/>
          <w:bCs/>
          <w:szCs w:val="20"/>
          <w:lang w:val="en-MY"/>
        </w:rPr>
        <w:t xml:space="preserve"> residual water</w:t>
      </w:r>
      <w:r w:rsidR="00867126" w:rsidRPr="00C1299C">
        <w:rPr>
          <w:rFonts w:ascii="Times New Roman" w:hAnsi="Times New Roman" w:cs="Times New Roman"/>
          <w:bCs/>
          <w:szCs w:val="20"/>
          <w:lang w:val="en-MY"/>
        </w:rPr>
        <w:t xml:space="preserve"> before analysis</w:t>
      </w:r>
      <w:r w:rsidR="00E7636F" w:rsidRPr="00C1299C">
        <w:rPr>
          <w:rFonts w:ascii="Times New Roman" w:hAnsi="Times New Roman" w:cs="Times New Roman"/>
          <w:bCs/>
          <w:szCs w:val="20"/>
          <w:lang w:val="en-MY"/>
        </w:rPr>
        <w:t xml:space="preserve"> using </w:t>
      </w:r>
      <w:r w:rsidR="008A48FA" w:rsidRPr="00C1299C">
        <w:rPr>
          <w:rFonts w:ascii="Times New Roman" w:hAnsi="Times New Roman" w:cs="Times New Roman"/>
          <w:bCs/>
          <w:szCs w:val="20"/>
          <w:lang w:val="en-MY"/>
        </w:rPr>
        <w:t>calcium chloride</w:t>
      </w:r>
      <w:r w:rsidR="00543AAD" w:rsidRPr="00C1299C">
        <w:rPr>
          <w:rFonts w:ascii="Times New Roman" w:hAnsi="Times New Roman" w:cs="Times New Roman"/>
          <w:bCs/>
          <w:szCs w:val="20"/>
          <w:lang w:val="en-MY"/>
        </w:rPr>
        <w:t xml:space="preserve"> anhydrous</w:t>
      </w:r>
      <w:bookmarkEnd w:id="0"/>
      <w:r w:rsidR="008A48FA" w:rsidRPr="00C1299C">
        <w:rPr>
          <w:rFonts w:ascii="Times New Roman" w:hAnsi="Times New Roman" w:cs="Times New Roman"/>
          <w:bCs/>
          <w:szCs w:val="20"/>
          <w:lang w:val="en-MY"/>
        </w:rPr>
        <w:t xml:space="preserve">. </w:t>
      </w:r>
      <w:r w:rsidR="00553A36" w:rsidRPr="00C1299C">
        <w:rPr>
          <w:rFonts w:ascii="Times New Roman" w:hAnsi="Times New Roman" w:cs="Times New Roman"/>
          <w:bCs/>
          <w:szCs w:val="20"/>
        </w:rPr>
        <w:t>Indicator concentration in the solvent w</w:t>
      </w:r>
      <w:r w:rsidR="003B2CBB" w:rsidRPr="00C1299C">
        <w:rPr>
          <w:rFonts w:ascii="Times New Roman" w:hAnsi="Times New Roman" w:cs="Times New Roman"/>
          <w:bCs/>
          <w:szCs w:val="20"/>
        </w:rPr>
        <w:t>as</w:t>
      </w:r>
      <w:r w:rsidR="00553A36" w:rsidRPr="00C1299C">
        <w:rPr>
          <w:rFonts w:ascii="Times New Roman" w:hAnsi="Times New Roman" w:cs="Times New Roman"/>
          <w:bCs/>
          <w:szCs w:val="20"/>
        </w:rPr>
        <w:t xml:space="preserve"> from 0.03 mM to 0.05 mM (for indicator 1 &amp; 2) and 0.1 mM (for indicator 3). The indicator and </w:t>
      </w:r>
      <w:r w:rsidR="003B2CBB" w:rsidRPr="00C1299C">
        <w:rPr>
          <w:rFonts w:ascii="Times New Roman" w:hAnsi="Times New Roman" w:cs="Times New Roman"/>
          <w:bCs/>
          <w:szCs w:val="20"/>
        </w:rPr>
        <w:t>solvent</w:t>
      </w:r>
      <w:r w:rsidR="00553A36" w:rsidRPr="00C1299C">
        <w:rPr>
          <w:rFonts w:ascii="Times New Roman" w:hAnsi="Times New Roman" w:cs="Times New Roman"/>
          <w:bCs/>
          <w:szCs w:val="20"/>
        </w:rPr>
        <w:t xml:space="preserve"> were mixed properly before analysis to limit a variety of UV absorption to 0.5</w:t>
      </w:r>
      <w:r w:rsidR="001F0AB2">
        <w:rPr>
          <w:rFonts w:ascii="Times New Roman" w:hAnsi="Times New Roman" w:cs="Times New Roman"/>
          <w:bCs/>
          <w:szCs w:val="20"/>
        </w:rPr>
        <w:t>-</w:t>
      </w:r>
      <w:r w:rsidR="00553A36" w:rsidRPr="00C1299C">
        <w:rPr>
          <w:rFonts w:ascii="Times New Roman" w:hAnsi="Times New Roman" w:cs="Times New Roman"/>
          <w:bCs/>
          <w:szCs w:val="20"/>
        </w:rPr>
        <w:t xml:space="preserve">1.2. The desired UV spectra of the solution </w:t>
      </w:r>
      <w:r w:rsidR="003B2CBB" w:rsidRPr="00C1299C">
        <w:rPr>
          <w:rFonts w:ascii="Times New Roman" w:hAnsi="Times New Roman" w:cs="Times New Roman"/>
          <w:bCs/>
          <w:szCs w:val="20"/>
        </w:rPr>
        <w:t>w</w:t>
      </w:r>
      <w:r w:rsidR="00A458AB" w:rsidRPr="00C1299C">
        <w:rPr>
          <w:rFonts w:ascii="Times New Roman" w:hAnsi="Times New Roman" w:cs="Times New Roman"/>
          <w:bCs/>
          <w:szCs w:val="20"/>
        </w:rPr>
        <w:t>ere</w:t>
      </w:r>
      <w:r w:rsidR="00553A36" w:rsidRPr="00C1299C">
        <w:rPr>
          <w:rFonts w:ascii="Times New Roman" w:hAnsi="Times New Roman" w:cs="Times New Roman"/>
          <w:bCs/>
          <w:szCs w:val="20"/>
        </w:rPr>
        <w:t xml:space="preserve"> determined at a resolution of 0.2 nm using a double beam UV-Vis spectrophotometer (Shimadzu, UV-1800). Every UV-Vis spectrum was performed in triplicate. During the UV analysis, the temperature has been controlled at 25±0.1 °C using a temperature controller (Shimadzu, TCC-240A).</w:t>
      </w:r>
    </w:p>
    <w:p w14:paraId="0ADD70AD" w14:textId="77777777" w:rsidR="003744F6" w:rsidRPr="00C1299C" w:rsidRDefault="001F7B08" w:rsidP="003744F6">
      <w:pPr>
        <w:spacing w:line="480" w:lineRule="auto"/>
        <w:jc w:val="center"/>
        <w:rPr>
          <w:szCs w:val="24"/>
          <w:shd w:val="clear" w:color="auto" w:fill="FFFFFF"/>
        </w:rPr>
      </w:pPr>
      <w:r w:rsidRPr="00C1299C">
        <w:rPr>
          <w:noProof/>
        </w:rPr>
        <w:drawing>
          <wp:inline distT="0" distB="0" distL="0" distR="0" wp14:anchorId="427B8734" wp14:editId="17FEAC83">
            <wp:extent cx="5074874" cy="161043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BEBA8EAE-BF5A-486C-A8C5-ECC9F3942E4B}">
                          <a14:imgProps xmlns:a14="http://schemas.microsoft.com/office/drawing/2010/main">
                            <a14:imgLayer>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5090715" cy="1615463"/>
                    </a:xfrm>
                    <a:prstGeom prst="rect">
                      <a:avLst/>
                    </a:prstGeom>
                    <a:noFill/>
                    <a:ln>
                      <a:noFill/>
                    </a:ln>
                  </pic:spPr>
                </pic:pic>
              </a:graphicData>
            </a:graphic>
          </wp:inline>
        </w:drawing>
      </w:r>
    </w:p>
    <w:p w14:paraId="6C3853FE" w14:textId="685F8CA3" w:rsidR="003744F6" w:rsidRPr="00C1299C" w:rsidRDefault="001F7B08" w:rsidP="007930D1">
      <w:pPr>
        <w:spacing w:line="480" w:lineRule="auto"/>
        <w:jc w:val="center"/>
        <w:rPr>
          <w:bCs/>
          <w:szCs w:val="24"/>
          <w:shd w:val="clear" w:color="auto" w:fill="FFFFFF"/>
        </w:rPr>
      </w:pPr>
      <w:r w:rsidRPr="00C1299C">
        <w:rPr>
          <w:rFonts w:ascii="Times New Roman" w:hAnsi="Times New Roman" w:cs="Times New Roman"/>
          <w:bCs/>
          <w:szCs w:val="24"/>
        </w:rPr>
        <w:t>Figure 1.</w:t>
      </w:r>
      <w:r w:rsidRPr="00C1299C">
        <w:rPr>
          <w:rFonts w:ascii="Times New Roman" w:hAnsi="Times New Roman" w:cs="Times New Roman"/>
          <w:bCs/>
          <w:szCs w:val="24"/>
          <w:shd w:val="clear" w:color="auto" w:fill="FFFFFF"/>
        </w:rPr>
        <w:t xml:space="preserve"> Measurement overview of solvatochromic parameters (π*, β, α) using the KT theory</w:t>
      </w:r>
    </w:p>
    <w:p w14:paraId="47FB2B7D" w14:textId="2C715FD1" w:rsidR="003744F6" w:rsidRPr="00C1299C" w:rsidRDefault="001F7B08" w:rsidP="003744F6">
      <w:pPr>
        <w:outlineLvl w:val="0"/>
        <w:rPr>
          <w:rFonts w:ascii="Times New Roman" w:hAnsi="Times New Roman" w:cs="Times New Roman"/>
          <w:b/>
          <w:szCs w:val="20"/>
        </w:rPr>
      </w:pPr>
      <w:r w:rsidRPr="00C1299C">
        <w:rPr>
          <w:rFonts w:ascii="Times New Roman" w:hAnsi="Times New Roman" w:cs="Times New Roman"/>
          <w:b/>
          <w:szCs w:val="20"/>
        </w:rPr>
        <w:t xml:space="preserve">Measurement </w:t>
      </w:r>
      <w:r w:rsidR="007930D1">
        <w:rPr>
          <w:rFonts w:ascii="Times New Roman" w:hAnsi="Times New Roman" w:cs="Times New Roman"/>
          <w:b/>
          <w:szCs w:val="20"/>
        </w:rPr>
        <w:t>e</w:t>
      </w:r>
      <w:r w:rsidRPr="00C1299C">
        <w:rPr>
          <w:rFonts w:ascii="Times New Roman" w:hAnsi="Times New Roman" w:cs="Times New Roman"/>
          <w:b/>
          <w:szCs w:val="20"/>
        </w:rPr>
        <w:t xml:space="preserve">quation of KT </w:t>
      </w:r>
      <w:r w:rsidR="007930D1">
        <w:rPr>
          <w:rFonts w:ascii="Times New Roman" w:hAnsi="Times New Roman" w:cs="Times New Roman"/>
          <w:b/>
          <w:szCs w:val="20"/>
        </w:rPr>
        <w:t>p</w:t>
      </w:r>
      <w:r w:rsidRPr="00C1299C">
        <w:rPr>
          <w:rFonts w:ascii="Times New Roman" w:hAnsi="Times New Roman" w:cs="Times New Roman"/>
          <w:b/>
          <w:szCs w:val="20"/>
        </w:rPr>
        <w:t>arameters</w:t>
      </w:r>
    </w:p>
    <w:p w14:paraId="09C029C3" w14:textId="77777777" w:rsidR="00551342" w:rsidRPr="00C1299C" w:rsidRDefault="001F7B08" w:rsidP="003744F6">
      <w:pPr>
        <w:outlineLvl w:val="0"/>
        <w:rPr>
          <w:rFonts w:ascii="Times New Roman" w:hAnsi="Times New Roman" w:cs="Times New Roman"/>
          <w:bCs/>
          <w:szCs w:val="20"/>
        </w:rPr>
      </w:pPr>
      <w:r w:rsidRPr="00C1299C">
        <w:rPr>
          <w:rFonts w:ascii="Times New Roman" w:hAnsi="Times New Roman" w:cs="Times New Roman"/>
          <w:bCs/>
          <w:szCs w:val="20"/>
        </w:rPr>
        <w:t>Three solvatochromic parameters i.e., KT polarit</w:t>
      </w:r>
      <w:r w:rsidR="001062C7" w:rsidRPr="00C1299C">
        <w:rPr>
          <w:rFonts w:ascii="Times New Roman" w:hAnsi="Times New Roman" w:cs="Times New Roman"/>
          <w:bCs/>
          <w:szCs w:val="20"/>
        </w:rPr>
        <w:t>y</w:t>
      </w:r>
      <w:r w:rsidRPr="00C1299C">
        <w:rPr>
          <w:rFonts w:ascii="Times New Roman" w:hAnsi="Times New Roman" w:cs="Times New Roman"/>
          <w:bCs/>
          <w:szCs w:val="20"/>
        </w:rPr>
        <w:t>, KT basicity, and KT acidity were measured according to the original approach of K</w:t>
      </w:r>
      <w:r w:rsidR="00061441" w:rsidRPr="00C1299C">
        <w:rPr>
          <w:rFonts w:ascii="Times New Roman" w:hAnsi="Times New Roman" w:cs="Times New Roman"/>
          <w:bCs/>
          <w:szCs w:val="20"/>
        </w:rPr>
        <w:t xml:space="preserve">T </w:t>
      </w:r>
      <w:r w:rsidRPr="00C1299C">
        <w:rPr>
          <w:rFonts w:ascii="Times New Roman" w:hAnsi="Times New Roman" w:cs="Times New Roman"/>
          <w:bCs/>
          <w:szCs w:val="20"/>
        </w:rPr>
        <w:t>theory using three equations (equation S1 to equation S3)</w:t>
      </w:r>
      <w:r w:rsidR="00A879B1" w:rsidRPr="00C1299C">
        <w:rPr>
          <w:rFonts w:ascii="Times New Roman" w:hAnsi="Times New Roman" w:cs="Times New Roman"/>
          <w:bCs/>
          <w:szCs w:val="20"/>
        </w:rPr>
        <w:t xml:space="preserve"> [3,4]</w:t>
      </w:r>
      <w:r w:rsidRPr="00C1299C">
        <w:rPr>
          <w:rFonts w:ascii="Times New Roman" w:hAnsi="Times New Roman" w:cs="Times New Roman"/>
          <w:bCs/>
          <w:szCs w:val="20"/>
        </w:rPr>
        <w:t>. The absorption wavenumber (V</w:t>
      </w:r>
      <w:r w:rsidRPr="00C1299C">
        <w:rPr>
          <w:rFonts w:ascii="Times New Roman" w:hAnsi="Times New Roman" w:cs="Times New Roman"/>
          <w:bCs/>
          <w:szCs w:val="20"/>
          <w:vertAlign w:val="subscript"/>
        </w:rPr>
        <w:t>max</w:t>
      </w:r>
      <w:r w:rsidRPr="00C1299C">
        <w:rPr>
          <w:rFonts w:ascii="Times New Roman" w:hAnsi="Times New Roman" w:cs="Times New Roman"/>
          <w:bCs/>
          <w:szCs w:val="20"/>
        </w:rPr>
        <w:t>) from the highest wavelength value of the analytical sample was converted</w:t>
      </w:r>
      <w:r w:rsidR="007712A0" w:rsidRPr="00C1299C">
        <w:rPr>
          <w:rFonts w:ascii="Times New Roman" w:hAnsi="Times New Roman" w:cs="Times New Roman"/>
          <w:bCs/>
          <w:szCs w:val="20"/>
        </w:rPr>
        <w:t xml:space="preserve"> into</w:t>
      </w:r>
      <w:r w:rsidRPr="00C1299C">
        <w:rPr>
          <w:rFonts w:ascii="Times New Roman" w:hAnsi="Times New Roman" w:cs="Times New Roman"/>
          <w:bCs/>
          <w:szCs w:val="20"/>
        </w:rPr>
        <w:t xml:space="preserve"> KiloKaiser unit (1KK = 1000 cm</w:t>
      </w:r>
      <w:r w:rsidRPr="00C1299C">
        <w:rPr>
          <w:rFonts w:ascii="Times New Roman" w:hAnsi="Times New Roman" w:cs="Times New Roman"/>
          <w:bCs/>
          <w:szCs w:val="20"/>
          <w:vertAlign w:val="superscript"/>
        </w:rPr>
        <w:t>-1</w:t>
      </w:r>
      <w:r w:rsidRPr="00C1299C">
        <w:rPr>
          <w:rFonts w:ascii="Times New Roman" w:hAnsi="Times New Roman" w:cs="Times New Roman"/>
          <w:bCs/>
          <w:szCs w:val="20"/>
        </w:rPr>
        <w:t xml:space="preserve">) to calculate the equations. </w:t>
      </w:r>
    </w:p>
    <w:p w14:paraId="2C0EDF07" w14:textId="77777777" w:rsidR="00F568A1" w:rsidRPr="00C1299C" w:rsidRDefault="00F568A1" w:rsidP="003744F6">
      <w:pPr>
        <w:outlineLvl w:val="0"/>
        <w:rPr>
          <w:rFonts w:ascii="Times New Roman" w:hAnsi="Times New Roman" w:cs="Times New Roman"/>
          <w:bCs/>
          <w:szCs w:val="20"/>
        </w:rPr>
      </w:pPr>
    </w:p>
    <w:p w14:paraId="518EEA6E" w14:textId="75C58A11" w:rsidR="004331C2" w:rsidRPr="00C1299C" w:rsidRDefault="001F7B08" w:rsidP="007930D1">
      <w:pPr>
        <w:ind w:firstLine="720"/>
        <w:jc w:val="left"/>
        <w:rPr>
          <w:rFonts w:ascii="Times New Roman" w:hAnsi="Times New Roman" w:cs="Times New Roman"/>
          <w:szCs w:val="24"/>
        </w:rPr>
      </w:pPr>
      <w:r w:rsidRPr="00C1299C">
        <w:rPr>
          <w:rFonts w:ascii="Times New Roman" w:hAnsi="Times New Roman" w:cs="Times New Roman"/>
          <w:szCs w:val="24"/>
        </w:rPr>
        <w:t xml:space="preserve">Indicator 1: </w:t>
      </w:r>
      <w:r w:rsidRPr="00C1299C">
        <w:rPr>
          <w:rFonts w:ascii="Times New Roman" w:hAnsi="Times New Roman" w:cs="Times New Roman"/>
          <w:szCs w:val="24"/>
        </w:rPr>
        <w:tab/>
        <w:t xml:space="preserve">Polarity (π*) = (28.10 – </w:t>
      </w:r>
      <w:r w:rsidRPr="00C1299C">
        <w:rPr>
          <w:rFonts w:ascii="Times New Roman" w:hAnsi="Times New Roman" w:cs="Times New Roman"/>
          <w:i/>
          <w:szCs w:val="24"/>
        </w:rPr>
        <w:t>V</w:t>
      </w:r>
      <w:r w:rsidRPr="00C1299C">
        <w:rPr>
          <w:rFonts w:ascii="Times New Roman" w:hAnsi="Times New Roman" w:cs="Times New Roman"/>
          <w:szCs w:val="24"/>
          <w:vertAlign w:val="subscript"/>
        </w:rPr>
        <w:t>max1</w:t>
      </w:r>
      <w:r w:rsidRPr="00C1299C">
        <w:rPr>
          <w:rFonts w:ascii="Times New Roman" w:hAnsi="Times New Roman" w:cs="Times New Roman"/>
          <w:szCs w:val="24"/>
        </w:rPr>
        <w:t xml:space="preserve">) / 3.52               </w:t>
      </w:r>
      <w:r w:rsidRPr="00C1299C">
        <w:rPr>
          <w:rFonts w:ascii="Times New Roman" w:hAnsi="Times New Roman" w:cs="Times New Roman"/>
          <w:szCs w:val="24"/>
        </w:rPr>
        <w:tab/>
      </w:r>
      <w:r w:rsidRPr="00C1299C">
        <w:rPr>
          <w:rFonts w:ascii="Times New Roman" w:hAnsi="Times New Roman" w:cs="Times New Roman"/>
          <w:szCs w:val="24"/>
        </w:rPr>
        <w:tab/>
      </w:r>
      <w:r w:rsidRPr="00C1299C">
        <w:rPr>
          <w:rFonts w:ascii="Times New Roman" w:hAnsi="Times New Roman" w:cs="Times New Roman"/>
          <w:szCs w:val="24"/>
        </w:rPr>
        <w:tab/>
      </w:r>
      <w:r w:rsidR="007930D1">
        <w:rPr>
          <w:rFonts w:ascii="Times New Roman" w:hAnsi="Times New Roman" w:cs="Times New Roman"/>
          <w:szCs w:val="24"/>
        </w:rPr>
        <w:tab/>
        <w:t xml:space="preserve">   </w:t>
      </w:r>
      <w:r w:rsidRPr="00C1299C">
        <w:rPr>
          <w:rFonts w:ascii="Times New Roman" w:hAnsi="Times New Roman" w:cs="Times New Roman"/>
          <w:szCs w:val="24"/>
        </w:rPr>
        <w:t>(1)</w:t>
      </w:r>
    </w:p>
    <w:p w14:paraId="72C46476" w14:textId="2A4B1AF4" w:rsidR="004331C2" w:rsidRPr="00C1299C" w:rsidRDefault="001F7B08" w:rsidP="007930D1">
      <w:pPr>
        <w:ind w:firstLine="720"/>
        <w:jc w:val="left"/>
        <w:rPr>
          <w:rFonts w:ascii="Times New Roman" w:hAnsi="Times New Roman" w:cs="Times New Roman"/>
          <w:szCs w:val="24"/>
        </w:rPr>
      </w:pPr>
      <w:r w:rsidRPr="00C1299C">
        <w:rPr>
          <w:rFonts w:ascii="Times New Roman" w:hAnsi="Times New Roman" w:cs="Times New Roman"/>
          <w:szCs w:val="24"/>
        </w:rPr>
        <w:t xml:space="preserve">Indicator 2: </w:t>
      </w:r>
      <w:r w:rsidRPr="00C1299C">
        <w:rPr>
          <w:rFonts w:ascii="Times New Roman" w:hAnsi="Times New Roman" w:cs="Times New Roman"/>
          <w:szCs w:val="24"/>
        </w:rPr>
        <w:tab/>
        <w:t>Basicity (β) = (0.984</w:t>
      </w:r>
      <w:r w:rsidRPr="00C1299C">
        <w:rPr>
          <w:rFonts w:ascii="Times New Roman" w:hAnsi="Times New Roman" w:cs="Times New Roman"/>
          <w:i/>
          <w:szCs w:val="24"/>
        </w:rPr>
        <w:t>V</w:t>
      </w:r>
      <w:r w:rsidRPr="00C1299C">
        <w:rPr>
          <w:rFonts w:ascii="Times New Roman" w:hAnsi="Times New Roman" w:cs="Times New Roman"/>
          <w:szCs w:val="24"/>
          <w:vertAlign w:val="subscript"/>
        </w:rPr>
        <w:t>max1</w:t>
      </w:r>
      <w:r w:rsidRPr="00C1299C">
        <w:rPr>
          <w:rFonts w:ascii="Times New Roman" w:hAnsi="Times New Roman" w:cs="Times New Roman"/>
          <w:szCs w:val="24"/>
        </w:rPr>
        <w:t xml:space="preserve"> + 3.49 – </w:t>
      </w:r>
      <w:r w:rsidRPr="00C1299C">
        <w:rPr>
          <w:rFonts w:ascii="Times New Roman" w:hAnsi="Times New Roman" w:cs="Times New Roman"/>
          <w:i/>
          <w:szCs w:val="24"/>
        </w:rPr>
        <w:t>V</w:t>
      </w:r>
      <w:r w:rsidRPr="00C1299C">
        <w:rPr>
          <w:rFonts w:ascii="Times New Roman" w:hAnsi="Times New Roman" w:cs="Times New Roman"/>
          <w:szCs w:val="24"/>
          <w:vertAlign w:val="subscript"/>
        </w:rPr>
        <w:t>max2</w:t>
      </w:r>
      <w:r w:rsidRPr="00C1299C">
        <w:rPr>
          <w:rFonts w:ascii="Times New Roman" w:hAnsi="Times New Roman" w:cs="Times New Roman"/>
          <w:szCs w:val="24"/>
        </w:rPr>
        <w:t xml:space="preserve">) / 2.759       </w:t>
      </w:r>
      <w:r w:rsidRPr="00C1299C">
        <w:rPr>
          <w:rFonts w:ascii="Times New Roman" w:hAnsi="Times New Roman" w:cs="Times New Roman"/>
          <w:szCs w:val="24"/>
        </w:rPr>
        <w:tab/>
      </w:r>
      <w:r w:rsidRPr="00C1299C">
        <w:rPr>
          <w:rFonts w:ascii="Times New Roman" w:hAnsi="Times New Roman" w:cs="Times New Roman"/>
          <w:szCs w:val="24"/>
        </w:rPr>
        <w:tab/>
      </w:r>
      <w:r w:rsidRPr="00C1299C">
        <w:rPr>
          <w:rFonts w:ascii="Times New Roman" w:hAnsi="Times New Roman" w:cs="Times New Roman"/>
          <w:szCs w:val="24"/>
        </w:rPr>
        <w:tab/>
      </w:r>
      <w:r w:rsidR="007930D1">
        <w:rPr>
          <w:rFonts w:ascii="Times New Roman" w:hAnsi="Times New Roman" w:cs="Times New Roman"/>
          <w:szCs w:val="24"/>
        </w:rPr>
        <w:tab/>
        <w:t xml:space="preserve">   </w:t>
      </w:r>
      <w:r w:rsidRPr="00C1299C">
        <w:rPr>
          <w:rFonts w:ascii="Times New Roman" w:hAnsi="Times New Roman" w:cs="Times New Roman"/>
          <w:szCs w:val="24"/>
        </w:rPr>
        <w:t>(2)</w:t>
      </w:r>
    </w:p>
    <w:p w14:paraId="734EEF49" w14:textId="73612ED9" w:rsidR="004331C2" w:rsidRPr="00C1299C" w:rsidRDefault="001F7B08" w:rsidP="007930D1">
      <w:pPr>
        <w:ind w:firstLine="720"/>
        <w:jc w:val="left"/>
        <w:rPr>
          <w:rFonts w:ascii="Times New Roman" w:hAnsi="Times New Roman" w:cs="Times New Roman"/>
          <w:szCs w:val="24"/>
        </w:rPr>
      </w:pPr>
      <w:r w:rsidRPr="00C1299C">
        <w:rPr>
          <w:rFonts w:ascii="Times New Roman" w:hAnsi="Times New Roman" w:cs="Times New Roman"/>
          <w:szCs w:val="24"/>
        </w:rPr>
        <w:t xml:space="preserve">Indicator 3: </w:t>
      </w:r>
      <w:r w:rsidRPr="00C1299C">
        <w:rPr>
          <w:rFonts w:ascii="Times New Roman" w:hAnsi="Times New Roman" w:cs="Times New Roman"/>
          <w:szCs w:val="24"/>
        </w:rPr>
        <w:tab/>
        <w:t>Acidity (α) = (1.318</w:t>
      </w:r>
      <w:r w:rsidRPr="00C1299C">
        <w:rPr>
          <w:rFonts w:ascii="Times New Roman" w:hAnsi="Times New Roman" w:cs="Times New Roman"/>
          <w:i/>
          <w:szCs w:val="24"/>
        </w:rPr>
        <w:t>V</w:t>
      </w:r>
      <w:r w:rsidRPr="00C1299C">
        <w:rPr>
          <w:rFonts w:ascii="Times New Roman" w:hAnsi="Times New Roman" w:cs="Times New Roman"/>
          <w:szCs w:val="24"/>
          <w:vertAlign w:val="subscript"/>
        </w:rPr>
        <w:t>max1</w:t>
      </w:r>
      <w:r w:rsidRPr="00C1299C">
        <w:rPr>
          <w:rFonts w:ascii="Times New Roman" w:hAnsi="Times New Roman" w:cs="Times New Roman"/>
          <w:szCs w:val="24"/>
        </w:rPr>
        <w:t xml:space="preserve"> – 47.7 + </w:t>
      </w:r>
      <w:r w:rsidRPr="00C1299C">
        <w:rPr>
          <w:rFonts w:ascii="Times New Roman" w:hAnsi="Times New Roman" w:cs="Times New Roman"/>
          <w:i/>
          <w:szCs w:val="24"/>
        </w:rPr>
        <w:t>V</w:t>
      </w:r>
      <w:r w:rsidRPr="00C1299C">
        <w:rPr>
          <w:rFonts w:ascii="Times New Roman" w:hAnsi="Times New Roman" w:cs="Times New Roman"/>
          <w:szCs w:val="24"/>
          <w:vertAlign w:val="subscript"/>
        </w:rPr>
        <w:t>max3</w:t>
      </w:r>
      <w:r w:rsidRPr="00C1299C">
        <w:rPr>
          <w:rFonts w:ascii="Times New Roman" w:hAnsi="Times New Roman" w:cs="Times New Roman"/>
          <w:szCs w:val="24"/>
        </w:rPr>
        <w:t xml:space="preserve">) / 5.47             </w:t>
      </w:r>
      <w:r w:rsidRPr="00C1299C">
        <w:rPr>
          <w:rFonts w:ascii="Times New Roman" w:hAnsi="Times New Roman" w:cs="Times New Roman"/>
          <w:szCs w:val="24"/>
        </w:rPr>
        <w:tab/>
      </w:r>
      <w:r w:rsidRPr="00C1299C">
        <w:rPr>
          <w:rFonts w:ascii="Times New Roman" w:hAnsi="Times New Roman" w:cs="Times New Roman"/>
          <w:szCs w:val="24"/>
        </w:rPr>
        <w:tab/>
      </w:r>
      <w:r w:rsidR="007930D1">
        <w:rPr>
          <w:rFonts w:ascii="Times New Roman" w:hAnsi="Times New Roman" w:cs="Times New Roman"/>
          <w:szCs w:val="24"/>
        </w:rPr>
        <w:tab/>
        <w:t xml:space="preserve">   </w:t>
      </w:r>
      <w:r w:rsidRPr="00C1299C">
        <w:rPr>
          <w:rFonts w:ascii="Times New Roman" w:hAnsi="Times New Roman" w:cs="Times New Roman"/>
          <w:szCs w:val="24"/>
        </w:rPr>
        <w:t>(3)</w:t>
      </w:r>
    </w:p>
    <w:p w14:paraId="363EBD6E" w14:textId="77777777" w:rsidR="004331C2" w:rsidRPr="00C1299C" w:rsidRDefault="004331C2" w:rsidP="003744F6">
      <w:pPr>
        <w:outlineLvl w:val="0"/>
        <w:rPr>
          <w:rFonts w:ascii="Times New Roman" w:hAnsi="Times New Roman" w:cs="Times New Roman"/>
          <w:bCs/>
          <w:szCs w:val="20"/>
        </w:rPr>
      </w:pPr>
    </w:p>
    <w:p w14:paraId="1FF5ECD2" w14:textId="02EF17B7" w:rsidR="003744F6" w:rsidRPr="00C1299C" w:rsidRDefault="001F7B08" w:rsidP="003744F6">
      <w:pPr>
        <w:outlineLvl w:val="0"/>
        <w:rPr>
          <w:rFonts w:ascii="Times New Roman" w:hAnsi="Times New Roman" w:cs="Times New Roman"/>
          <w:bCs/>
          <w:szCs w:val="20"/>
        </w:rPr>
      </w:pPr>
      <w:r w:rsidRPr="00C1299C">
        <w:rPr>
          <w:rFonts w:ascii="Times New Roman" w:hAnsi="Times New Roman" w:cs="Times New Roman"/>
          <w:b/>
          <w:szCs w:val="20"/>
        </w:rPr>
        <w:t xml:space="preserve">Statistical </w:t>
      </w:r>
      <w:r w:rsidR="007930D1">
        <w:rPr>
          <w:rFonts w:ascii="Times New Roman" w:hAnsi="Times New Roman" w:cs="Times New Roman"/>
          <w:b/>
          <w:szCs w:val="20"/>
        </w:rPr>
        <w:t>a</w:t>
      </w:r>
      <w:r w:rsidRPr="00C1299C">
        <w:rPr>
          <w:rFonts w:ascii="Times New Roman" w:hAnsi="Times New Roman" w:cs="Times New Roman"/>
          <w:b/>
          <w:szCs w:val="20"/>
        </w:rPr>
        <w:t>nalysis</w:t>
      </w:r>
    </w:p>
    <w:p w14:paraId="388AEF2F" w14:textId="77777777" w:rsidR="003744F6" w:rsidRPr="00C1299C" w:rsidRDefault="001F7B08" w:rsidP="003744F6">
      <w:pPr>
        <w:outlineLvl w:val="0"/>
        <w:rPr>
          <w:rFonts w:ascii="Times New Roman" w:hAnsi="Times New Roman" w:cs="Times New Roman"/>
          <w:bCs/>
          <w:szCs w:val="20"/>
        </w:rPr>
      </w:pPr>
      <w:r w:rsidRPr="00C1299C">
        <w:rPr>
          <w:rFonts w:ascii="Times New Roman" w:hAnsi="Times New Roman" w:cs="Times New Roman"/>
          <w:bCs/>
          <w:szCs w:val="20"/>
        </w:rPr>
        <w:t>Experimental results were expressed as mean (n = 3)</w:t>
      </w:r>
      <w:r w:rsidR="00903F20" w:rsidRPr="00C1299C">
        <w:rPr>
          <w:rFonts w:ascii="Times New Roman" w:hAnsi="Times New Roman" w:cs="Times New Roman"/>
          <w:bCs/>
          <w:szCs w:val="20"/>
        </w:rPr>
        <w:t xml:space="preserve"> with uncertainty values</w:t>
      </w:r>
      <w:r w:rsidRPr="00C1299C">
        <w:rPr>
          <w:rFonts w:ascii="Times New Roman" w:hAnsi="Times New Roman" w:cs="Times New Roman"/>
          <w:bCs/>
          <w:szCs w:val="20"/>
        </w:rPr>
        <w:t xml:space="preserve"> and the data was analyzed using ANOVA and Dunnett's t-test in SPSS (version 20). *P values of 0.05 or less were regarded as significant.</w:t>
      </w:r>
    </w:p>
    <w:p w14:paraId="4506AF12" w14:textId="77777777" w:rsidR="00785CA6" w:rsidRPr="00C1299C" w:rsidRDefault="00785CA6" w:rsidP="003F3701">
      <w:pPr>
        <w:jc w:val="center"/>
        <w:outlineLvl w:val="0"/>
        <w:rPr>
          <w:rFonts w:ascii="Times New Roman" w:hAnsi="Times New Roman" w:cs="Times New Roman"/>
          <w:b/>
          <w:szCs w:val="20"/>
        </w:rPr>
      </w:pPr>
    </w:p>
    <w:p w14:paraId="2C772CF1" w14:textId="296D7198" w:rsidR="00785CA6" w:rsidRPr="00C1299C" w:rsidRDefault="001F7B08" w:rsidP="00785CA6">
      <w:pPr>
        <w:jc w:val="center"/>
        <w:outlineLvl w:val="0"/>
        <w:rPr>
          <w:rFonts w:ascii="Times New Roman" w:hAnsi="Times New Roman" w:cs="Times New Roman"/>
          <w:b/>
          <w:szCs w:val="20"/>
        </w:rPr>
      </w:pPr>
      <w:r w:rsidRPr="00C1299C">
        <w:rPr>
          <w:rFonts w:ascii="Times New Roman" w:hAnsi="Times New Roman" w:cs="Times New Roman"/>
          <w:b/>
          <w:szCs w:val="20"/>
        </w:rPr>
        <w:t>Result</w:t>
      </w:r>
      <w:r w:rsidR="007930D1">
        <w:rPr>
          <w:rFonts w:ascii="Times New Roman" w:hAnsi="Times New Roman" w:cs="Times New Roman"/>
          <w:b/>
          <w:szCs w:val="20"/>
        </w:rPr>
        <w:t>s</w:t>
      </w:r>
      <w:r w:rsidRPr="00C1299C">
        <w:rPr>
          <w:rFonts w:ascii="Times New Roman" w:hAnsi="Times New Roman" w:cs="Times New Roman"/>
          <w:b/>
          <w:szCs w:val="20"/>
        </w:rPr>
        <w:t xml:space="preserve"> and Discussion</w:t>
      </w:r>
    </w:p>
    <w:p w14:paraId="7303E680" w14:textId="52361707" w:rsidR="00F43A1C" w:rsidRPr="00C1299C" w:rsidRDefault="001F7B08" w:rsidP="003744F6">
      <w:pPr>
        <w:outlineLvl w:val="0"/>
        <w:rPr>
          <w:rFonts w:ascii="Times New Roman" w:hAnsi="Times New Roman" w:cs="Times New Roman"/>
          <w:szCs w:val="20"/>
        </w:rPr>
      </w:pPr>
      <w:r w:rsidRPr="00C1299C">
        <w:rPr>
          <w:rFonts w:ascii="Times New Roman" w:hAnsi="Times New Roman" w:cs="Times New Roman"/>
          <w:szCs w:val="20"/>
        </w:rPr>
        <w:t xml:space="preserve">The values of the measured wavenumbers (Vmax) and the obtained KT parameters have been expressed in Table </w:t>
      </w:r>
      <w:r w:rsidR="00291ED7" w:rsidRPr="00C1299C">
        <w:rPr>
          <w:rFonts w:ascii="Times New Roman" w:hAnsi="Times New Roman" w:cs="Times New Roman"/>
          <w:szCs w:val="20"/>
        </w:rPr>
        <w:t>2</w:t>
      </w:r>
      <w:r w:rsidRPr="00C1299C">
        <w:rPr>
          <w:rFonts w:ascii="Times New Roman" w:hAnsi="Times New Roman" w:cs="Times New Roman"/>
          <w:szCs w:val="20"/>
        </w:rPr>
        <w:t xml:space="preserve"> and Table </w:t>
      </w:r>
      <w:r w:rsidR="00291ED7" w:rsidRPr="00C1299C">
        <w:rPr>
          <w:rFonts w:ascii="Times New Roman" w:hAnsi="Times New Roman" w:cs="Times New Roman"/>
          <w:szCs w:val="20"/>
        </w:rPr>
        <w:t>3</w:t>
      </w:r>
      <w:r w:rsidRPr="00C1299C">
        <w:rPr>
          <w:rFonts w:ascii="Times New Roman" w:hAnsi="Times New Roman" w:cs="Times New Roman"/>
          <w:szCs w:val="20"/>
        </w:rPr>
        <w:t xml:space="preserve">. The absorbance range was established among the samples confined within 0.5 to 1.2. A total of ten pure solvents were analyzed to determine π*, β, and α. At the same time, </w:t>
      </w:r>
      <w:r w:rsidR="000059A3" w:rsidRPr="00C1299C">
        <w:rPr>
          <w:rFonts w:ascii="Times New Roman" w:hAnsi="Times New Roman" w:cs="Times New Roman"/>
          <w:szCs w:val="20"/>
        </w:rPr>
        <w:t>six</w:t>
      </w:r>
      <w:r w:rsidRPr="00C1299C">
        <w:rPr>
          <w:rFonts w:ascii="Times New Roman" w:hAnsi="Times New Roman" w:cs="Times New Roman"/>
          <w:szCs w:val="20"/>
        </w:rPr>
        <w:t xml:space="preserve">teen mixed (HBD-HBA) solvents were also analyzed, involving eight aqueous and eight non-aqueous solvent pairs. </w:t>
      </w:r>
      <w:bookmarkStart w:id="1" w:name="_Hlk82209698"/>
      <w:r w:rsidRPr="00C1299C">
        <w:rPr>
          <w:rFonts w:ascii="Times New Roman" w:hAnsi="Times New Roman" w:cs="Times New Roman"/>
          <w:szCs w:val="20"/>
        </w:rPr>
        <w:t>In pure solvents, EtOH, MeOH, H</w:t>
      </w:r>
      <w:r w:rsidRPr="00C1299C">
        <w:rPr>
          <w:rFonts w:ascii="Times New Roman" w:hAnsi="Times New Roman" w:cs="Times New Roman"/>
          <w:szCs w:val="20"/>
          <w:vertAlign w:val="subscript"/>
        </w:rPr>
        <w:t>2</w:t>
      </w:r>
      <w:r w:rsidRPr="00C1299C">
        <w:rPr>
          <w:rFonts w:ascii="Times New Roman" w:hAnsi="Times New Roman" w:cs="Times New Roman"/>
          <w:szCs w:val="20"/>
        </w:rPr>
        <w:t>O, iPrOH showed a high</w:t>
      </w:r>
      <w:r w:rsidR="00515681" w:rsidRPr="00C1299C">
        <w:rPr>
          <w:rFonts w:ascii="Times New Roman" w:hAnsi="Times New Roman" w:cs="Times New Roman"/>
          <w:szCs w:val="20"/>
        </w:rPr>
        <w:t xml:space="preserve"> KT</w:t>
      </w:r>
      <w:r w:rsidRPr="00C1299C">
        <w:rPr>
          <w:rFonts w:ascii="Times New Roman" w:hAnsi="Times New Roman" w:cs="Times New Roman"/>
          <w:szCs w:val="20"/>
        </w:rPr>
        <w:t xml:space="preserve"> acidity and low </w:t>
      </w:r>
      <w:r w:rsidR="00515681" w:rsidRPr="00C1299C">
        <w:rPr>
          <w:rFonts w:ascii="Times New Roman" w:hAnsi="Times New Roman" w:cs="Times New Roman"/>
          <w:szCs w:val="20"/>
        </w:rPr>
        <w:t xml:space="preserve">KT </w:t>
      </w:r>
      <w:r w:rsidRPr="00C1299C">
        <w:rPr>
          <w:rFonts w:ascii="Times New Roman" w:hAnsi="Times New Roman" w:cs="Times New Roman"/>
          <w:szCs w:val="20"/>
        </w:rPr>
        <w:t>polarity, whereas, DCM, ACN showed a low</w:t>
      </w:r>
      <w:r w:rsidR="00515681" w:rsidRPr="00C1299C">
        <w:rPr>
          <w:rFonts w:ascii="Times New Roman" w:hAnsi="Times New Roman" w:cs="Times New Roman"/>
          <w:szCs w:val="20"/>
        </w:rPr>
        <w:t xml:space="preserve"> KT</w:t>
      </w:r>
      <w:r w:rsidRPr="00C1299C">
        <w:rPr>
          <w:rFonts w:ascii="Times New Roman" w:hAnsi="Times New Roman" w:cs="Times New Roman"/>
          <w:szCs w:val="20"/>
        </w:rPr>
        <w:t xml:space="preserve"> basicity. On the other hand, Ace, ACN, DMSO, DMF, and THF showed low acidity. In other words, the recommended solvents showed a high KT acidity, low KT basicity, and low KT polarity. In contrast, maximum problematic and hazardous solvents showed low KT acidity, high KT basicity, and high KT polarity except for DCM, iPrOH, and MeOH. Almost similar findings have been reported in the literature</w:t>
      </w:r>
      <w:r w:rsidR="00A879B1" w:rsidRPr="00C1299C">
        <w:rPr>
          <w:rFonts w:ascii="Times New Roman" w:hAnsi="Times New Roman" w:cs="Times New Roman"/>
          <w:szCs w:val="20"/>
        </w:rPr>
        <w:t xml:space="preserve"> [</w:t>
      </w:r>
      <w:r w:rsidR="009D23AF" w:rsidRPr="00C1299C">
        <w:rPr>
          <w:rFonts w:ascii="Times New Roman" w:hAnsi="Times New Roman" w:cs="Times New Roman"/>
          <w:szCs w:val="20"/>
        </w:rPr>
        <w:t>20</w:t>
      </w:r>
      <w:r w:rsidR="00A879B1" w:rsidRPr="00C1299C">
        <w:rPr>
          <w:rFonts w:ascii="Times New Roman" w:hAnsi="Times New Roman" w:cs="Times New Roman"/>
          <w:szCs w:val="20"/>
        </w:rPr>
        <w:t>,</w:t>
      </w:r>
      <w:r w:rsidR="007930D1">
        <w:rPr>
          <w:rFonts w:ascii="Times New Roman" w:hAnsi="Times New Roman" w:cs="Times New Roman"/>
          <w:szCs w:val="20"/>
        </w:rPr>
        <w:t xml:space="preserve"> </w:t>
      </w:r>
      <w:r w:rsidR="009D23AF" w:rsidRPr="00C1299C">
        <w:rPr>
          <w:rFonts w:ascii="Times New Roman" w:hAnsi="Times New Roman" w:cs="Times New Roman"/>
          <w:szCs w:val="20"/>
        </w:rPr>
        <w:t>21</w:t>
      </w:r>
      <w:r w:rsidR="00A879B1" w:rsidRPr="00C1299C">
        <w:rPr>
          <w:rFonts w:ascii="Times New Roman" w:hAnsi="Times New Roman" w:cs="Times New Roman"/>
          <w:szCs w:val="20"/>
        </w:rPr>
        <w:t>]</w:t>
      </w:r>
      <w:r w:rsidRPr="00C1299C">
        <w:rPr>
          <w:rFonts w:ascii="Times New Roman" w:hAnsi="Times New Roman" w:cs="Times New Roman"/>
          <w:szCs w:val="20"/>
        </w:rPr>
        <w:t xml:space="preserve">. </w:t>
      </w:r>
      <w:bookmarkEnd w:id="1"/>
    </w:p>
    <w:p w14:paraId="77AEAB3E" w14:textId="77777777" w:rsidR="002D1CA6" w:rsidRPr="00C1299C" w:rsidRDefault="002D1CA6" w:rsidP="003744F6">
      <w:pPr>
        <w:outlineLvl w:val="0"/>
        <w:rPr>
          <w:rFonts w:ascii="Times New Roman" w:hAnsi="Times New Roman" w:cs="Times New Roman"/>
          <w:szCs w:val="20"/>
        </w:rPr>
      </w:pPr>
    </w:p>
    <w:p w14:paraId="0A005DC7" w14:textId="77777777" w:rsidR="00E06550" w:rsidRPr="00C1299C" w:rsidRDefault="005C5B07" w:rsidP="00E06550">
      <w:pPr>
        <w:outlineLvl w:val="0"/>
        <w:rPr>
          <w:rFonts w:ascii="Times New Roman" w:hAnsi="Times New Roman" w:cs="Times New Roman"/>
          <w:szCs w:val="20"/>
        </w:rPr>
      </w:pPr>
      <w:r w:rsidRPr="00C1299C">
        <w:rPr>
          <w:rFonts w:ascii="Times New Roman" w:hAnsi="Times New Roman" w:cs="Times New Roman"/>
          <w:szCs w:val="20"/>
        </w:rPr>
        <w:t>Among the 16 mixed solvents, only four solvent mixtures i.e., H</w:t>
      </w:r>
      <w:r w:rsidRPr="00C1299C">
        <w:rPr>
          <w:rFonts w:ascii="Times New Roman" w:hAnsi="Times New Roman" w:cs="Times New Roman"/>
          <w:szCs w:val="20"/>
          <w:vertAlign w:val="subscript"/>
        </w:rPr>
        <w:t>2</w:t>
      </w:r>
      <w:r w:rsidRPr="00C1299C">
        <w:rPr>
          <w:rFonts w:ascii="Times New Roman" w:hAnsi="Times New Roman" w:cs="Times New Roman"/>
          <w:szCs w:val="20"/>
        </w:rPr>
        <w:t>O-EtOH, H</w:t>
      </w:r>
      <w:r w:rsidRPr="00C1299C">
        <w:rPr>
          <w:rFonts w:ascii="Times New Roman" w:hAnsi="Times New Roman" w:cs="Times New Roman"/>
          <w:szCs w:val="20"/>
          <w:vertAlign w:val="subscript"/>
        </w:rPr>
        <w:t>2</w:t>
      </w:r>
      <w:r w:rsidRPr="00C1299C">
        <w:rPr>
          <w:rFonts w:ascii="Times New Roman" w:hAnsi="Times New Roman" w:cs="Times New Roman"/>
          <w:szCs w:val="20"/>
        </w:rPr>
        <w:t>O-iPrOH, H</w:t>
      </w:r>
      <w:r w:rsidRPr="00C1299C">
        <w:rPr>
          <w:rFonts w:ascii="Times New Roman" w:hAnsi="Times New Roman" w:cs="Times New Roman"/>
          <w:szCs w:val="20"/>
          <w:vertAlign w:val="subscript"/>
        </w:rPr>
        <w:t>2</w:t>
      </w:r>
      <w:r w:rsidRPr="00C1299C">
        <w:rPr>
          <w:rFonts w:ascii="Times New Roman" w:hAnsi="Times New Roman" w:cs="Times New Roman"/>
          <w:szCs w:val="20"/>
        </w:rPr>
        <w:t>O-DMSO, EtOH-DMSO</w:t>
      </w:r>
      <w:r w:rsidR="00E505C5" w:rsidRPr="00C1299C">
        <w:rPr>
          <w:rFonts w:ascii="Times New Roman" w:hAnsi="Times New Roman" w:cs="Times New Roman"/>
          <w:szCs w:val="20"/>
        </w:rPr>
        <w:t xml:space="preserve"> </w:t>
      </w:r>
      <w:r w:rsidRPr="00C1299C">
        <w:rPr>
          <w:rFonts w:ascii="Times New Roman" w:hAnsi="Times New Roman" w:cs="Times New Roman"/>
          <w:szCs w:val="20"/>
        </w:rPr>
        <w:t>were exhibited as recommended solvents, and the other 12 solvent mixtures were demonstrated as problematic in which 5 solvent mixtures (H</w:t>
      </w:r>
      <w:r w:rsidRPr="00C1299C">
        <w:rPr>
          <w:rFonts w:ascii="Times New Roman" w:hAnsi="Times New Roman" w:cs="Times New Roman"/>
          <w:szCs w:val="20"/>
          <w:vertAlign w:val="subscript"/>
        </w:rPr>
        <w:t>2</w:t>
      </w:r>
      <w:r w:rsidRPr="00C1299C">
        <w:rPr>
          <w:rFonts w:ascii="Times New Roman" w:hAnsi="Times New Roman" w:cs="Times New Roman"/>
          <w:szCs w:val="20"/>
        </w:rPr>
        <w:t>O-Ace, EtOH-Ace, MeOH-Ace, H</w:t>
      </w:r>
      <w:r w:rsidRPr="00C1299C">
        <w:rPr>
          <w:rFonts w:ascii="Times New Roman" w:hAnsi="Times New Roman" w:cs="Times New Roman"/>
          <w:szCs w:val="20"/>
          <w:vertAlign w:val="subscript"/>
        </w:rPr>
        <w:t>2</w:t>
      </w:r>
      <w:r w:rsidRPr="00C1299C">
        <w:rPr>
          <w:rFonts w:ascii="Times New Roman" w:hAnsi="Times New Roman" w:cs="Times New Roman"/>
          <w:szCs w:val="20"/>
        </w:rPr>
        <w:t>O-ACN, EtOH-ACN) showed as near to recommended</w:t>
      </w:r>
      <w:r w:rsidR="006A65B9" w:rsidRPr="00C1299C">
        <w:rPr>
          <w:rFonts w:ascii="Times New Roman" w:hAnsi="Times New Roman" w:cs="Times New Roman"/>
          <w:szCs w:val="20"/>
        </w:rPr>
        <w:t xml:space="preserve"> solvent</w:t>
      </w:r>
      <w:r w:rsidRPr="00C1299C">
        <w:rPr>
          <w:rFonts w:ascii="Times New Roman" w:hAnsi="Times New Roman" w:cs="Times New Roman"/>
          <w:szCs w:val="20"/>
        </w:rPr>
        <w:t>, as shown in Table 4</w:t>
      </w:r>
      <w:r w:rsidR="001F7B08" w:rsidRPr="00C1299C">
        <w:rPr>
          <w:rFonts w:ascii="Times New Roman" w:hAnsi="Times New Roman" w:cs="Times New Roman"/>
          <w:szCs w:val="20"/>
        </w:rPr>
        <w:t xml:space="preserve">. </w:t>
      </w:r>
      <w:bookmarkStart w:id="2" w:name="_Hlk82209633"/>
      <w:r w:rsidR="001F7B08" w:rsidRPr="00C1299C">
        <w:rPr>
          <w:rFonts w:ascii="Times New Roman" w:hAnsi="Times New Roman" w:cs="Times New Roman"/>
          <w:szCs w:val="20"/>
        </w:rPr>
        <w:t>Eight aqueous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O-MeOH,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O-Ace,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O-EtOH,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O-ACN,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O-iPrOH,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O-DMSO,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O-DMF, H</w:t>
      </w:r>
      <w:r w:rsidR="001F7B08" w:rsidRPr="00C1299C">
        <w:rPr>
          <w:rFonts w:ascii="Times New Roman" w:hAnsi="Times New Roman" w:cs="Times New Roman"/>
          <w:szCs w:val="20"/>
          <w:vertAlign w:val="subscript"/>
        </w:rPr>
        <w:t>2</w:t>
      </w:r>
      <w:r w:rsidR="001F7B08" w:rsidRPr="00C1299C">
        <w:rPr>
          <w:rFonts w:ascii="Times New Roman" w:hAnsi="Times New Roman" w:cs="Times New Roman"/>
          <w:szCs w:val="20"/>
        </w:rPr>
        <w:t>O-THF) and two non-aqueous solvent mixtures (EtOH-DMF, EtOH-DMSO) showed a low KT acidity, low KT basicity</w:t>
      </w:r>
      <w:r w:rsidR="00FF03B6" w:rsidRPr="00C1299C">
        <w:rPr>
          <w:rFonts w:ascii="Times New Roman" w:hAnsi="Times New Roman" w:cs="Times New Roman"/>
          <w:szCs w:val="20"/>
        </w:rPr>
        <w:t>,</w:t>
      </w:r>
      <w:r w:rsidR="001F7B08" w:rsidRPr="00C1299C">
        <w:rPr>
          <w:rFonts w:ascii="Times New Roman" w:hAnsi="Times New Roman" w:cs="Times New Roman"/>
          <w:szCs w:val="20"/>
        </w:rPr>
        <w:t xml:space="preserve"> and high KT polarity. On the contrary, other non-aqueous solvent mixtures (EtOH-ACN, EtOH-Ace, EtOH-THF, MeOH-Ace, MeOH-DMF, MeOH-THF) showed a high KT acidity, low KT polarity, and low KT basicity</w:t>
      </w:r>
      <w:r w:rsidR="00CF0447" w:rsidRPr="00C1299C">
        <w:rPr>
          <w:rFonts w:ascii="Times New Roman" w:hAnsi="Times New Roman" w:cs="Times New Roman"/>
          <w:szCs w:val="20"/>
        </w:rPr>
        <w:t>,</w:t>
      </w:r>
      <w:r w:rsidR="00821ED0" w:rsidRPr="00C1299C">
        <w:rPr>
          <w:rFonts w:ascii="Times New Roman" w:hAnsi="Times New Roman" w:cs="Times New Roman"/>
          <w:szCs w:val="20"/>
        </w:rPr>
        <w:t xml:space="preserve"> tabulated (</w:t>
      </w:r>
      <w:r w:rsidR="001F7B08" w:rsidRPr="00C1299C">
        <w:rPr>
          <w:rFonts w:ascii="Times New Roman" w:hAnsi="Times New Roman" w:cs="Times New Roman"/>
          <w:szCs w:val="20"/>
        </w:rPr>
        <w:t xml:space="preserve">Table </w:t>
      </w:r>
      <w:r w:rsidR="00291ED7" w:rsidRPr="00C1299C">
        <w:rPr>
          <w:rFonts w:ascii="Times New Roman" w:hAnsi="Times New Roman" w:cs="Times New Roman"/>
          <w:szCs w:val="20"/>
        </w:rPr>
        <w:t>3</w:t>
      </w:r>
      <w:r w:rsidR="00821ED0" w:rsidRPr="00C1299C">
        <w:rPr>
          <w:rFonts w:ascii="Times New Roman" w:hAnsi="Times New Roman" w:cs="Times New Roman"/>
          <w:szCs w:val="20"/>
        </w:rPr>
        <w:t>)</w:t>
      </w:r>
      <w:r w:rsidR="001F7B08" w:rsidRPr="00C1299C">
        <w:rPr>
          <w:rFonts w:ascii="Times New Roman" w:hAnsi="Times New Roman" w:cs="Times New Roman"/>
          <w:szCs w:val="20"/>
        </w:rPr>
        <w:t>. Similar results were found in the literature and previous work</w:t>
      </w:r>
      <w:r w:rsidR="00A879B1" w:rsidRPr="00C1299C">
        <w:rPr>
          <w:rFonts w:ascii="Times New Roman" w:hAnsi="Times New Roman" w:cs="Times New Roman"/>
          <w:szCs w:val="20"/>
        </w:rPr>
        <w:t xml:space="preserve"> [6,</w:t>
      </w:r>
      <w:r w:rsidR="0058311E" w:rsidRPr="00C1299C">
        <w:rPr>
          <w:rFonts w:ascii="Times New Roman" w:hAnsi="Times New Roman" w:cs="Times New Roman"/>
          <w:szCs w:val="20"/>
        </w:rPr>
        <w:t>11</w:t>
      </w:r>
      <w:r w:rsidR="00A879B1" w:rsidRPr="00C1299C">
        <w:rPr>
          <w:rFonts w:ascii="Times New Roman" w:hAnsi="Times New Roman" w:cs="Times New Roman"/>
          <w:szCs w:val="20"/>
        </w:rPr>
        <w:t>,1</w:t>
      </w:r>
      <w:r w:rsidR="0058311E" w:rsidRPr="00C1299C">
        <w:rPr>
          <w:rFonts w:ascii="Times New Roman" w:hAnsi="Times New Roman" w:cs="Times New Roman"/>
          <w:szCs w:val="20"/>
        </w:rPr>
        <w:t>2</w:t>
      </w:r>
      <w:r w:rsidR="00A879B1" w:rsidRPr="00C1299C">
        <w:rPr>
          <w:rFonts w:ascii="Times New Roman" w:hAnsi="Times New Roman" w:cs="Times New Roman"/>
          <w:szCs w:val="20"/>
        </w:rPr>
        <w:t>]</w:t>
      </w:r>
      <w:r w:rsidR="001F7B08" w:rsidRPr="00C1299C">
        <w:rPr>
          <w:rFonts w:ascii="Times New Roman" w:hAnsi="Times New Roman" w:cs="Times New Roman"/>
          <w:szCs w:val="20"/>
        </w:rPr>
        <w:t xml:space="preserve">. </w:t>
      </w:r>
      <w:bookmarkEnd w:id="2"/>
      <w:r w:rsidR="00062E9A" w:rsidRPr="00C1299C">
        <w:rPr>
          <w:rFonts w:ascii="Times New Roman" w:hAnsi="Times New Roman" w:cs="Times New Roman"/>
          <w:szCs w:val="20"/>
        </w:rPr>
        <w:t xml:space="preserve">The solvent ranking </w:t>
      </w:r>
      <w:r w:rsidR="00E477D1" w:rsidRPr="00C1299C">
        <w:rPr>
          <w:rFonts w:ascii="Times New Roman" w:hAnsi="Times New Roman" w:cs="Times New Roman"/>
          <w:szCs w:val="20"/>
        </w:rPr>
        <w:t>was</w:t>
      </w:r>
      <w:r w:rsidR="00062E9A" w:rsidRPr="00C1299C">
        <w:rPr>
          <w:rFonts w:ascii="Times New Roman" w:hAnsi="Times New Roman" w:cs="Times New Roman"/>
          <w:szCs w:val="20"/>
        </w:rPr>
        <w:t xml:space="preserve"> required for the application of mixed solvents that was prepared based on the GSK2016 and Innovative Medicines Initiative CHEM21 (IMI-</w:t>
      </w:r>
      <w:r w:rsidR="00062E9A" w:rsidRPr="00C1299C">
        <w:rPr>
          <w:rFonts w:ascii="Times New Roman" w:hAnsi="Times New Roman" w:cs="Times New Roman"/>
          <w:szCs w:val="20"/>
        </w:rPr>
        <w:lastRenderedPageBreak/>
        <w:t>CHEM21) solvent selection guideline</w:t>
      </w:r>
      <w:r w:rsidR="00160D7F" w:rsidRPr="00C1299C">
        <w:rPr>
          <w:rFonts w:ascii="Times New Roman" w:hAnsi="Times New Roman" w:cs="Times New Roman"/>
          <w:szCs w:val="20"/>
        </w:rPr>
        <w:t xml:space="preserve"> [</w:t>
      </w:r>
      <w:r w:rsidR="0058311E" w:rsidRPr="00C1299C">
        <w:rPr>
          <w:rFonts w:ascii="Times New Roman" w:hAnsi="Times New Roman" w:cs="Times New Roman"/>
          <w:szCs w:val="20"/>
        </w:rPr>
        <w:t>2</w:t>
      </w:r>
      <w:r w:rsidR="00C2039A" w:rsidRPr="00C1299C">
        <w:rPr>
          <w:rFonts w:ascii="Times New Roman" w:hAnsi="Times New Roman" w:cs="Times New Roman"/>
          <w:szCs w:val="20"/>
        </w:rPr>
        <w:t>2</w:t>
      </w:r>
      <w:r w:rsidR="00160D7F" w:rsidRPr="00C1299C">
        <w:rPr>
          <w:rFonts w:ascii="Times New Roman" w:hAnsi="Times New Roman" w:cs="Times New Roman"/>
          <w:szCs w:val="20"/>
        </w:rPr>
        <w:t>]</w:t>
      </w:r>
      <w:r w:rsidR="001F7B08" w:rsidRPr="00C1299C">
        <w:rPr>
          <w:rFonts w:ascii="Times New Roman" w:hAnsi="Times New Roman" w:cs="Times New Roman"/>
          <w:szCs w:val="20"/>
        </w:rPr>
        <w:t>. The ranking of mixed solvents was ascertained from the minimum value of the GSK health and safety scores of HBA solvent using the equation (S4) [2</w:t>
      </w:r>
      <w:r w:rsidR="00CA2C03" w:rsidRPr="00C1299C">
        <w:rPr>
          <w:rFonts w:ascii="Times New Roman" w:hAnsi="Times New Roman" w:cs="Times New Roman"/>
          <w:szCs w:val="20"/>
        </w:rPr>
        <w:t>2</w:t>
      </w:r>
      <w:r w:rsidR="001F7B08" w:rsidRPr="00C1299C">
        <w:rPr>
          <w:rFonts w:ascii="Times New Roman" w:hAnsi="Times New Roman" w:cs="Times New Roman"/>
          <w:szCs w:val="20"/>
        </w:rPr>
        <w:t>].</w:t>
      </w:r>
    </w:p>
    <w:p w14:paraId="7E0A95F0" w14:textId="77777777" w:rsidR="007930D1" w:rsidRDefault="007930D1" w:rsidP="003744F6">
      <w:pPr>
        <w:outlineLvl w:val="0"/>
        <w:rPr>
          <w:rFonts w:ascii="Times New Roman" w:hAnsi="Times New Roman" w:cs="Times New Roman"/>
          <w:szCs w:val="20"/>
        </w:rPr>
      </w:pPr>
    </w:p>
    <w:p w14:paraId="4B1A5B0E" w14:textId="0DCCF976" w:rsidR="00E24000" w:rsidRDefault="001F7B08" w:rsidP="007930D1">
      <w:pPr>
        <w:ind w:firstLine="720"/>
        <w:outlineLvl w:val="0"/>
        <w:rPr>
          <w:rFonts w:ascii="Times New Roman" w:hAnsi="Times New Roman" w:cs="Times New Roman"/>
          <w:szCs w:val="20"/>
        </w:rPr>
      </w:pPr>
      <w:r w:rsidRPr="00C1299C">
        <w:rPr>
          <w:rFonts w:ascii="Times New Roman" w:hAnsi="Times New Roman" w:cs="Times New Roman" w:hint="eastAsia"/>
          <w:szCs w:val="20"/>
        </w:rPr>
        <w:t xml:space="preserve">Composite score = </w:t>
      </w:r>
      <w:r w:rsidRPr="00C1299C">
        <w:rPr>
          <w:rFonts w:ascii="Times New Roman" w:hAnsi="Times New Roman" w:cs="Times New Roman" w:hint="eastAsia"/>
          <w:szCs w:val="20"/>
        </w:rPr>
        <w:t>√</w:t>
      </w:r>
      <w:r w:rsidRPr="00C1299C">
        <w:rPr>
          <w:rFonts w:ascii="Times New Roman" w:hAnsi="Times New Roman" w:cs="Times New Roman"/>
          <w:szCs w:val="20"/>
        </w:rPr>
        <w:t xml:space="preserve"> (</w:t>
      </w:r>
      <w:r w:rsidRPr="00C1299C">
        <w:rPr>
          <w:rFonts w:ascii="Times New Roman" w:hAnsi="Times New Roman" w:cs="Times New Roman" w:hint="eastAsia"/>
          <w:szCs w:val="20"/>
        </w:rPr>
        <w:t>Safety score x Health score)</w:t>
      </w:r>
      <w:r w:rsidRPr="00C1299C">
        <w:rPr>
          <w:rFonts w:ascii="Times New Roman" w:hAnsi="Times New Roman" w:cs="Times New Roman" w:hint="eastAsia"/>
          <w:szCs w:val="20"/>
        </w:rPr>
        <w:tab/>
      </w:r>
      <w:r w:rsidRPr="00C1299C">
        <w:rPr>
          <w:rFonts w:ascii="Times New Roman" w:hAnsi="Times New Roman" w:cs="Times New Roman" w:hint="eastAsia"/>
          <w:szCs w:val="20"/>
        </w:rPr>
        <w:tab/>
        <w:t xml:space="preserve">      </w:t>
      </w:r>
      <w:r w:rsidRPr="00C1299C">
        <w:rPr>
          <w:rFonts w:ascii="Times New Roman" w:hAnsi="Times New Roman" w:cs="Times New Roman" w:hint="eastAsia"/>
          <w:szCs w:val="20"/>
        </w:rPr>
        <w:tab/>
      </w:r>
      <w:r w:rsidRPr="00C1299C">
        <w:rPr>
          <w:rFonts w:ascii="Times New Roman" w:hAnsi="Times New Roman" w:cs="Times New Roman" w:hint="eastAsia"/>
          <w:szCs w:val="20"/>
        </w:rPr>
        <w:tab/>
      </w:r>
      <w:r w:rsidRPr="00C1299C">
        <w:rPr>
          <w:rFonts w:ascii="Times New Roman" w:hAnsi="Times New Roman" w:cs="Times New Roman" w:hint="eastAsia"/>
          <w:szCs w:val="20"/>
        </w:rPr>
        <w:tab/>
      </w:r>
      <w:r w:rsidR="007930D1">
        <w:rPr>
          <w:rFonts w:ascii="Times New Roman" w:hAnsi="Times New Roman" w:cs="Times New Roman"/>
          <w:szCs w:val="20"/>
        </w:rPr>
        <w:tab/>
        <w:t xml:space="preserve">   </w:t>
      </w:r>
      <w:r w:rsidRPr="00C1299C">
        <w:rPr>
          <w:rFonts w:ascii="Times New Roman" w:hAnsi="Times New Roman" w:cs="Times New Roman" w:hint="eastAsia"/>
          <w:szCs w:val="20"/>
        </w:rPr>
        <w:t xml:space="preserve">(4) </w:t>
      </w:r>
    </w:p>
    <w:p w14:paraId="4C25E668" w14:textId="65050244" w:rsidR="007930D1" w:rsidRDefault="007930D1" w:rsidP="003744F6">
      <w:pPr>
        <w:outlineLvl w:val="0"/>
        <w:rPr>
          <w:rFonts w:ascii="Times New Roman" w:hAnsi="Times New Roman" w:cs="Times New Roman"/>
          <w:szCs w:val="20"/>
        </w:rPr>
      </w:pPr>
    </w:p>
    <w:tbl>
      <w:tblPr>
        <w:tblW w:w="8757" w:type="dxa"/>
        <w:jc w:val="center"/>
        <w:tblLayout w:type="fixed"/>
        <w:tblLook w:val="04A0" w:firstRow="1" w:lastRow="0" w:firstColumn="1" w:lastColumn="0" w:noHBand="0" w:noVBand="1"/>
      </w:tblPr>
      <w:tblGrid>
        <w:gridCol w:w="1023"/>
        <w:gridCol w:w="1594"/>
        <w:gridCol w:w="1077"/>
        <w:gridCol w:w="1522"/>
        <w:gridCol w:w="1094"/>
        <w:gridCol w:w="1494"/>
        <w:gridCol w:w="953"/>
      </w:tblGrid>
      <w:tr w:rsidR="007930D1" w:rsidRPr="00C1299C" w14:paraId="7FF2D446" w14:textId="77777777" w:rsidTr="00C552F7">
        <w:trPr>
          <w:trHeight w:val="467"/>
          <w:jc w:val="center"/>
        </w:trPr>
        <w:tc>
          <w:tcPr>
            <w:tcW w:w="8757" w:type="dxa"/>
            <w:gridSpan w:val="7"/>
            <w:tcBorders>
              <w:bottom w:val="single" w:sz="4" w:space="0" w:color="auto"/>
            </w:tcBorders>
            <w:shd w:val="clear" w:color="auto" w:fill="auto"/>
          </w:tcPr>
          <w:p w14:paraId="5FACB6EF" w14:textId="77777777" w:rsidR="007930D1" w:rsidRPr="00C1299C" w:rsidRDefault="007930D1" w:rsidP="007930D1">
            <w:pPr>
              <w:ind w:left="751" w:hanging="751"/>
              <w:rPr>
                <w:rFonts w:ascii="Times New Roman" w:eastAsia="Calibri" w:hAnsi="Times New Roman" w:cs="Times New Roman"/>
                <w:bCs/>
                <w:szCs w:val="20"/>
              </w:rPr>
            </w:pPr>
            <w:r w:rsidRPr="00C1299C">
              <w:rPr>
                <w:rFonts w:ascii="Times New Roman" w:eastAsia="Calibri" w:hAnsi="Times New Roman" w:cs="Times New Roman"/>
                <w:bCs/>
                <w:szCs w:val="20"/>
              </w:rPr>
              <w:t>Table 2. The properties of pure solvents from the wavenumber average (V</w:t>
            </w:r>
            <w:r w:rsidRPr="00C1299C">
              <w:rPr>
                <w:rFonts w:ascii="Times New Roman" w:eastAsia="Calibri" w:hAnsi="Times New Roman" w:cs="Times New Roman"/>
                <w:bCs/>
                <w:szCs w:val="20"/>
                <w:vertAlign w:val="subscript"/>
              </w:rPr>
              <w:t>max</w:t>
            </w:r>
            <w:r w:rsidRPr="00C1299C">
              <w:rPr>
                <w:rFonts w:ascii="Times New Roman" w:eastAsia="Calibri" w:hAnsi="Times New Roman" w:cs="Times New Roman"/>
                <w:bCs/>
                <w:szCs w:val="20"/>
              </w:rPr>
              <w:t>) using the original approach of KT equations</w:t>
            </w:r>
          </w:p>
        </w:tc>
      </w:tr>
      <w:tr w:rsidR="007930D1" w:rsidRPr="00C1299C" w14:paraId="1AA16F78" w14:textId="77777777" w:rsidTr="00C552F7">
        <w:trPr>
          <w:trHeight w:val="609"/>
          <w:jc w:val="center"/>
        </w:trPr>
        <w:tc>
          <w:tcPr>
            <w:tcW w:w="1023" w:type="dxa"/>
            <w:vMerge w:val="restart"/>
            <w:tcBorders>
              <w:top w:val="single" w:sz="4" w:space="0" w:color="auto"/>
            </w:tcBorders>
            <w:shd w:val="clear" w:color="auto" w:fill="auto"/>
            <w:vAlign w:val="center"/>
          </w:tcPr>
          <w:p w14:paraId="21C67F63" w14:textId="77777777" w:rsidR="007930D1" w:rsidRPr="00C1299C" w:rsidRDefault="007930D1" w:rsidP="00C552F7">
            <w:pPr>
              <w:jc w:val="left"/>
              <w:rPr>
                <w:rFonts w:ascii="Times New Roman" w:eastAsia="Calibri" w:hAnsi="Times New Roman" w:cs="Times New Roman"/>
                <w:b/>
                <w:szCs w:val="20"/>
              </w:rPr>
            </w:pPr>
            <w:r w:rsidRPr="00C1299C">
              <w:rPr>
                <w:rFonts w:ascii="Times New Roman" w:eastAsia="Calibri" w:hAnsi="Times New Roman" w:cs="Times New Roman"/>
                <w:b/>
                <w:szCs w:val="20"/>
              </w:rPr>
              <w:t>Solvent</w:t>
            </w:r>
          </w:p>
        </w:tc>
        <w:tc>
          <w:tcPr>
            <w:tcW w:w="1594" w:type="dxa"/>
            <w:tcBorders>
              <w:top w:val="single" w:sz="4" w:space="0" w:color="auto"/>
              <w:bottom w:val="single" w:sz="4" w:space="0" w:color="auto"/>
            </w:tcBorders>
            <w:shd w:val="clear" w:color="auto" w:fill="auto"/>
            <w:vAlign w:val="center"/>
          </w:tcPr>
          <w:p w14:paraId="5711B97A" w14:textId="77777777" w:rsidR="007930D1" w:rsidRPr="00C1299C" w:rsidRDefault="007930D1" w:rsidP="00C552F7">
            <w:pPr>
              <w:jc w:val="center"/>
              <w:rPr>
                <w:rFonts w:ascii="Times New Roman" w:eastAsia="Calibri" w:hAnsi="Times New Roman" w:cs="Times New Roman"/>
                <w:b/>
                <w:szCs w:val="20"/>
                <w:vertAlign w:val="subscript"/>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p w14:paraId="5E056638" w14:textId="77777777" w:rsidR="007930D1" w:rsidRPr="00C1299C" w:rsidRDefault="007930D1" w:rsidP="00C552F7">
            <w:pPr>
              <w:jc w:val="center"/>
              <w:rPr>
                <w:rFonts w:ascii="Times New Roman" w:eastAsia="Calibri" w:hAnsi="Times New Roman" w:cs="Times New Roman"/>
                <w:b/>
                <w:szCs w:val="20"/>
              </w:rPr>
            </w:pPr>
          </w:p>
        </w:tc>
        <w:tc>
          <w:tcPr>
            <w:tcW w:w="1077" w:type="dxa"/>
            <w:tcBorders>
              <w:top w:val="single" w:sz="4" w:space="0" w:color="auto"/>
              <w:bottom w:val="single" w:sz="4" w:space="0" w:color="auto"/>
            </w:tcBorders>
            <w:shd w:val="clear" w:color="auto" w:fill="auto"/>
            <w:vAlign w:val="center"/>
          </w:tcPr>
          <w:p w14:paraId="102F5793"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*Polarity</w:t>
            </w:r>
          </w:p>
          <w:p w14:paraId="033F6518"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(π*)</w:t>
            </w:r>
          </w:p>
        </w:tc>
        <w:tc>
          <w:tcPr>
            <w:tcW w:w="1522" w:type="dxa"/>
            <w:tcBorders>
              <w:top w:val="single" w:sz="4" w:space="0" w:color="auto"/>
              <w:bottom w:val="single" w:sz="4" w:space="0" w:color="auto"/>
            </w:tcBorders>
            <w:shd w:val="clear" w:color="auto" w:fill="auto"/>
            <w:vAlign w:val="center"/>
          </w:tcPr>
          <w:p w14:paraId="3215F028" w14:textId="77777777" w:rsidR="007930D1" w:rsidRPr="00C1299C" w:rsidRDefault="007930D1" w:rsidP="00C552F7">
            <w:pPr>
              <w:jc w:val="center"/>
              <w:rPr>
                <w:rFonts w:ascii="Times New Roman" w:eastAsia="Calibri" w:hAnsi="Times New Roman" w:cs="Times New Roman"/>
                <w:b/>
                <w:szCs w:val="20"/>
                <w:vertAlign w:val="subscript"/>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p w14:paraId="0EAB0F58" w14:textId="77777777" w:rsidR="007930D1" w:rsidRPr="00C1299C" w:rsidRDefault="007930D1" w:rsidP="00C552F7">
            <w:pPr>
              <w:jc w:val="center"/>
              <w:rPr>
                <w:rFonts w:ascii="Times New Roman" w:eastAsia="Calibri" w:hAnsi="Times New Roman" w:cs="Times New Roman"/>
                <w:b/>
                <w:szCs w:val="20"/>
              </w:rPr>
            </w:pPr>
          </w:p>
        </w:tc>
        <w:tc>
          <w:tcPr>
            <w:tcW w:w="1094" w:type="dxa"/>
            <w:tcBorders>
              <w:top w:val="single" w:sz="4" w:space="0" w:color="auto"/>
              <w:bottom w:val="single" w:sz="4" w:space="0" w:color="auto"/>
            </w:tcBorders>
            <w:shd w:val="clear" w:color="auto" w:fill="auto"/>
            <w:vAlign w:val="center"/>
          </w:tcPr>
          <w:p w14:paraId="53786129"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*Basicity</w:t>
            </w:r>
          </w:p>
          <w:p w14:paraId="4C343298"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(β)</w:t>
            </w:r>
          </w:p>
        </w:tc>
        <w:tc>
          <w:tcPr>
            <w:tcW w:w="1494" w:type="dxa"/>
            <w:tcBorders>
              <w:top w:val="single" w:sz="4" w:space="0" w:color="auto"/>
              <w:bottom w:val="single" w:sz="4" w:space="0" w:color="auto"/>
            </w:tcBorders>
            <w:shd w:val="clear" w:color="auto" w:fill="auto"/>
            <w:vAlign w:val="center"/>
          </w:tcPr>
          <w:p w14:paraId="0985BCC0" w14:textId="77777777" w:rsidR="007930D1" w:rsidRPr="00C1299C" w:rsidRDefault="007930D1" w:rsidP="00C552F7">
            <w:pPr>
              <w:jc w:val="center"/>
              <w:rPr>
                <w:rFonts w:ascii="Times New Roman" w:eastAsia="Calibri" w:hAnsi="Times New Roman" w:cs="Times New Roman"/>
                <w:b/>
                <w:szCs w:val="20"/>
                <w:vertAlign w:val="subscript"/>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p w14:paraId="6AA6C8D2" w14:textId="77777777" w:rsidR="007930D1" w:rsidRPr="00C1299C" w:rsidRDefault="007930D1" w:rsidP="00C552F7">
            <w:pPr>
              <w:jc w:val="center"/>
              <w:rPr>
                <w:rFonts w:ascii="Times New Roman" w:eastAsia="Calibri" w:hAnsi="Times New Roman" w:cs="Times New Roman"/>
                <w:b/>
                <w:szCs w:val="20"/>
              </w:rPr>
            </w:pPr>
          </w:p>
        </w:tc>
        <w:tc>
          <w:tcPr>
            <w:tcW w:w="953" w:type="dxa"/>
            <w:tcBorders>
              <w:top w:val="single" w:sz="4" w:space="0" w:color="auto"/>
              <w:bottom w:val="single" w:sz="4" w:space="0" w:color="auto"/>
            </w:tcBorders>
            <w:shd w:val="clear" w:color="auto" w:fill="auto"/>
            <w:vAlign w:val="center"/>
          </w:tcPr>
          <w:p w14:paraId="1B730D89"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*Acidity</w:t>
            </w:r>
          </w:p>
          <w:p w14:paraId="27DB142B"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(α)</w:t>
            </w:r>
          </w:p>
        </w:tc>
      </w:tr>
      <w:tr w:rsidR="007930D1" w:rsidRPr="00C1299C" w14:paraId="0C651956" w14:textId="77777777" w:rsidTr="00C552F7">
        <w:trPr>
          <w:trHeight w:val="318"/>
          <w:jc w:val="center"/>
        </w:trPr>
        <w:tc>
          <w:tcPr>
            <w:tcW w:w="1023" w:type="dxa"/>
            <w:vMerge/>
            <w:tcBorders>
              <w:bottom w:val="single" w:sz="4" w:space="0" w:color="auto"/>
            </w:tcBorders>
            <w:shd w:val="clear" w:color="auto" w:fill="auto"/>
            <w:vAlign w:val="center"/>
          </w:tcPr>
          <w:p w14:paraId="3E3E0AC3" w14:textId="77777777" w:rsidR="007930D1" w:rsidRPr="00C1299C" w:rsidRDefault="007930D1" w:rsidP="00C552F7">
            <w:pPr>
              <w:jc w:val="center"/>
              <w:rPr>
                <w:rFonts w:ascii="Times New Roman" w:eastAsia="Calibri" w:hAnsi="Times New Roman" w:cs="Times New Roman"/>
                <w:b/>
                <w:szCs w:val="20"/>
              </w:rPr>
            </w:pPr>
          </w:p>
        </w:tc>
        <w:tc>
          <w:tcPr>
            <w:tcW w:w="1594" w:type="dxa"/>
            <w:tcBorders>
              <w:top w:val="single" w:sz="4" w:space="0" w:color="auto"/>
              <w:bottom w:val="single" w:sz="4" w:space="0" w:color="auto"/>
            </w:tcBorders>
            <w:shd w:val="clear" w:color="auto" w:fill="auto"/>
            <w:vAlign w:val="center"/>
          </w:tcPr>
          <w:p w14:paraId="6D2FAF35"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1077" w:type="dxa"/>
            <w:tcBorders>
              <w:top w:val="single" w:sz="4" w:space="0" w:color="auto"/>
              <w:bottom w:val="single" w:sz="4" w:space="0" w:color="auto"/>
            </w:tcBorders>
            <w:shd w:val="clear" w:color="auto" w:fill="auto"/>
            <w:vAlign w:val="center"/>
          </w:tcPr>
          <w:p w14:paraId="59617253"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c>
          <w:tcPr>
            <w:tcW w:w="1522" w:type="dxa"/>
            <w:tcBorders>
              <w:top w:val="single" w:sz="4" w:space="0" w:color="auto"/>
              <w:bottom w:val="single" w:sz="4" w:space="0" w:color="auto"/>
            </w:tcBorders>
            <w:shd w:val="clear" w:color="auto" w:fill="auto"/>
            <w:vAlign w:val="center"/>
          </w:tcPr>
          <w:p w14:paraId="0A6BAD8D"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1094" w:type="dxa"/>
            <w:tcBorders>
              <w:top w:val="single" w:sz="4" w:space="0" w:color="auto"/>
              <w:bottom w:val="single" w:sz="4" w:space="0" w:color="auto"/>
            </w:tcBorders>
            <w:shd w:val="clear" w:color="auto" w:fill="auto"/>
            <w:vAlign w:val="center"/>
          </w:tcPr>
          <w:p w14:paraId="5FEDB411"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c>
          <w:tcPr>
            <w:tcW w:w="1494" w:type="dxa"/>
            <w:tcBorders>
              <w:top w:val="single" w:sz="4" w:space="0" w:color="auto"/>
              <w:bottom w:val="single" w:sz="4" w:space="0" w:color="auto"/>
            </w:tcBorders>
            <w:shd w:val="clear" w:color="auto" w:fill="auto"/>
            <w:vAlign w:val="center"/>
          </w:tcPr>
          <w:p w14:paraId="3D21D2B5"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953" w:type="dxa"/>
            <w:tcBorders>
              <w:top w:val="single" w:sz="4" w:space="0" w:color="auto"/>
              <w:bottom w:val="single" w:sz="4" w:space="0" w:color="auto"/>
            </w:tcBorders>
            <w:shd w:val="clear" w:color="auto" w:fill="auto"/>
            <w:vAlign w:val="center"/>
          </w:tcPr>
          <w:p w14:paraId="559D3E1F" w14:textId="77777777" w:rsidR="007930D1" w:rsidRPr="00C1299C" w:rsidRDefault="007930D1" w:rsidP="00C552F7">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r>
      <w:tr w:rsidR="007930D1" w:rsidRPr="00C1299C" w14:paraId="1757BF7D" w14:textId="77777777" w:rsidTr="00C552F7">
        <w:trPr>
          <w:trHeight w:val="300"/>
          <w:jc w:val="center"/>
        </w:trPr>
        <w:tc>
          <w:tcPr>
            <w:tcW w:w="1023" w:type="dxa"/>
            <w:tcBorders>
              <w:top w:val="single" w:sz="4" w:space="0" w:color="auto"/>
            </w:tcBorders>
            <w:shd w:val="clear" w:color="auto" w:fill="auto"/>
          </w:tcPr>
          <w:p w14:paraId="1D89A534"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EtOH</w:t>
            </w:r>
          </w:p>
        </w:tc>
        <w:tc>
          <w:tcPr>
            <w:tcW w:w="1594" w:type="dxa"/>
            <w:tcBorders>
              <w:top w:val="single" w:sz="4" w:space="0" w:color="auto"/>
            </w:tcBorders>
            <w:shd w:val="clear" w:color="auto" w:fill="auto"/>
          </w:tcPr>
          <w:p w14:paraId="44936EC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25.92</w:t>
            </w:r>
            <w:r w:rsidRPr="00C1299C">
              <w:rPr>
                <w:rFonts w:ascii="Times New Roman" w:hAnsi="Times New Roman" w:cs="Times New Roman"/>
                <w:bCs/>
                <w:szCs w:val="20"/>
              </w:rPr>
              <w:t>±0.06</w:t>
            </w:r>
          </w:p>
        </w:tc>
        <w:tc>
          <w:tcPr>
            <w:tcW w:w="1077" w:type="dxa"/>
            <w:tcBorders>
              <w:top w:val="single" w:sz="4" w:space="0" w:color="auto"/>
            </w:tcBorders>
            <w:shd w:val="clear" w:color="auto" w:fill="D6E3BC" w:themeFill="accent3" w:themeFillTint="66"/>
          </w:tcPr>
          <w:p w14:paraId="670D3BDA"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0.62</w:t>
            </w:r>
          </w:p>
        </w:tc>
        <w:tc>
          <w:tcPr>
            <w:tcW w:w="1522" w:type="dxa"/>
            <w:tcBorders>
              <w:top w:val="single" w:sz="4" w:space="0" w:color="auto"/>
            </w:tcBorders>
            <w:shd w:val="clear" w:color="auto" w:fill="auto"/>
          </w:tcPr>
          <w:p w14:paraId="01BE148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25.80</w:t>
            </w:r>
            <w:r w:rsidRPr="00C1299C">
              <w:rPr>
                <w:rFonts w:ascii="Times New Roman" w:hAnsi="Times New Roman" w:cs="Times New Roman"/>
                <w:bCs/>
                <w:szCs w:val="20"/>
              </w:rPr>
              <w:t>±0.03</w:t>
            </w:r>
          </w:p>
        </w:tc>
        <w:tc>
          <w:tcPr>
            <w:tcW w:w="1094" w:type="dxa"/>
            <w:tcBorders>
              <w:top w:val="single" w:sz="4" w:space="0" w:color="auto"/>
            </w:tcBorders>
            <w:shd w:val="clear" w:color="auto" w:fill="D6E3BC" w:themeFill="accent3" w:themeFillTint="66"/>
          </w:tcPr>
          <w:p w14:paraId="742756D0"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0.70</w:t>
            </w:r>
          </w:p>
        </w:tc>
        <w:tc>
          <w:tcPr>
            <w:tcW w:w="1494" w:type="dxa"/>
            <w:tcBorders>
              <w:top w:val="single" w:sz="4" w:space="0" w:color="auto"/>
            </w:tcBorders>
            <w:shd w:val="clear" w:color="auto" w:fill="auto"/>
          </w:tcPr>
          <w:p w14:paraId="243A517E"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25.80</w:t>
            </w:r>
            <w:r w:rsidRPr="00C1299C">
              <w:rPr>
                <w:rFonts w:ascii="Times New Roman" w:hAnsi="Times New Roman" w:cs="Times New Roman"/>
                <w:bCs/>
                <w:szCs w:val="20"/>
              </w:rPr>
              <w:t>±0.02</w:t>
            </w:r>
          </w:p>
        </w:tc>
        <w:tc>
          <w:tcPr>
            <w:tcW w:w="953" w:type="dxa"/>
            <w:tcBorders>
              <w:top w:val="single" w:sz="4" w:space="0" w:color="auto"/>
            </w:tcBorders>
            <w:shd w:val="clear" w:color="auto" w:fill="D6E3BC" w:themeFill="accent3" w:themeFillTint="66"/>
          </w:tcPr>
          <w:p w14:paraId="6C5516C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0.82</w:t>
            </w:r>
          </w:p>
        </w:tc>
      </w:tr>
      <w:tr w:rsidR="007930D1" w:rsidRPr="00C1299C" w14:paraId="76F7482F" w14:textId="77777777" w:rsidTr="00C552F7">
        <w:trPr>
          <w:trHeight w:val="300"/>
          <w:jc w:val="center"/>
        </w:trPr>
        <w:tc>
          <w:tcPr>
            <w:tcW w:w="1023" w:type="dxa"/>
            <w:shd w:val="clear" w:color="auto" w:fill="auto"/>
          </w:tcPr>
          <w:p w14:paraId="1C59E72B"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MeOH</w:t>
            </w:r>
          </w:p>
        </w:tc>
        <w:tc>
          <w:tcPr>
            <w:tcW w:w="1594" w:type="dxa"/>
            <w:shd w:val="clear" w:color="auto" w:fill="auto"/>
          </w:tcPr>
          <w:p w14:paraId="40061E69"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25.64</w:t>
            </w:r>
            <w:r w:rsidRPr="00C1299C">
              <w:rPr>
                <w:rFonts w:ascii="Times New Roman" w:hAnsi="Times New Roman" w:cs="Times New Roman"/>
                <w:bCs/>
                <w:szCs w:val="20"/>
              </w:rPr>
              <w:t>±0.02</w:t>
            </w:r>
          </w:p>
        </w:tc>
        <w:tc>
          <w:tcPr>
            <w:tcW w:w="1077" w:type="dxa"/>
            <w:shd w:val="clear" w:color="auto" w:fill="D6E3BC" w:themeFill="accent3" w:themeFillTint="66"/>
          </w:tcPr>
          <w:p w14:paraId="45C9680D"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0.70</w:t>
            </w:r>
          </w:p>
        </w:tc>
        <w:tc>
          <w:tcPr>
            <w:tcW w:w="1522" w:type="dxa"/>
            <w:shd w:val="clear" w:color="auto" w:fill="auto"/>
          </w:tcPr>
          <w:p w14:paraId="5AA9A69E"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25.66</w:t>
            </w:r>
            <w:r w:rsidRPr="00C1299C">
              <w:rPr>
                <w:rFonts w:ascii="Times New Roman" w:hAnsi="Times New Roman" w:cs="Times New Roman"/>
                <w:bCs/>
                <w:szCs w:val="20"/>
              </w:rPr>
              <w:t>±0.05</w:t>
            </w:r>
          </w:p>
        </w:tc>
        <w:tc>
          <w:tcPr>
            <w:tcW w:w="1094" w:type="dxa"/>
            <w:shd w:val="clear" w:color="auto" w:fill="D6E3BC" w:themeFill="accent3" w:themeFillTint="66"/>
          </w:tcPr>
          <w:p w14:paraId="3969EAD1"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0.64</w:t>
            </w:r>
          </w:p>
        </w:tc>
        <w:tc>
          <w:tcPr>
            <w:tcW w:w="1494" w:type="dxa"/>
            <w:shd w:val="clear" w:color="auto" w:fill="auto"/>
          </w:tcPr>
          <w:p w14:paraId="2F623196"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25.66</w:t>
            </w:r>
            <w:r w:rsidRPr="00C1299C">
              <w:rPr>
                <w:rFonts w:ascii="Times New Roman" w:hAnsi="Times New Roman" w:cs="Times New Roman"/>
                <w:bCs/>
                <w:szCs w:val="20"/>
              </w:rPr>
              <w:t>±0.02</w:t>
            </w:r>
          </w:p>
        </w:tc>
        <w:tc>
          <w:tcPr>
            <w:tcW w:w="953" w:type="dxa"/>
            <w:shd w:val="clear" w:color="auto" w:fill="D6E3BC" w:themeFill="accent3" w:themeFillTint="66"/>
          </w:tcPr>
          <w:p w14:paraId="6515234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1.00</w:t>
            </w:r>
          </w:p>
        </w:tc>
      </w:tr>
      <w:tr w:rsidR="007930D1" w:rsidRPr="00C1299C" w14:paraId="100897B3" w14:textId="77777777" w:rsidTr="00C552F7">
        <w:trPr>
          <w:trHeight w:val="300"/>
          <w:jc w:val="center"/>
        </w:trPr>
        <w:tc>
          <w:tcPr>
            <w:tcW w:w="1023" w:type="dxa"/>
            <w:shd w:val="clear" w:color="auto" w:fill="auto"/>
          </w:tcPr>
          <w:p w14:paraId="07993AC6"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Ace</w:t>
            </w:r>
          </w:p>
        </w:tc>
        <w:tc>
          <w:tcPr>
            <w:tcW w:w="1594" w:type="dxa"/>
            <w:shd w:val="clear" w:color="auto" w:fill="auto"/>
          </w:tcPr>
          <w:p w14:paraId="1C706F9C"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25.66</w:t>
            </w:r>
            <w:r w:rsidRPr="00C1299C">
              <w:rPr>
                <w:rFonts w:ascii="Times New Roman" w:hAnsi="Times New Roman" w:cs="Times New Roman"/>
                <w:bCs/>
                <w:szCs w:val="20"/>
              </w:rPr>
              <w:t>±0.04</w:t>
            </w:r>
          </w:p>
        </w:tc>
        <w:tc>
          <w:tcPr>
            <w:tcW w:w="1077" w:type="dxa"/>
            <w:shd w:val="clear" w:color="auto" w:fill="D6E3BC" w:themeFill="accent3" w:themeFillTint="66"/>
          </w:tcPr>
          <w:p w14:paraId="2076778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0.69</w:t>
            </w:r>
          </w:p>
        </w:tc>
        <w:tc>
          <w:tcPr>
            <w:tcW w:w="1522" w:type="dxa"/>
            <w:shd w:val="clear" w:color="auto" w:fill="auto"/>
          </w:tcPr>
          <w:p w14:paraId="7BD5722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25.59</w:t>
            </w:r>
            <w:r w:rsidRPr="00C1299C">
              <w:rPr>
                <w:rFonts w:ascii="Times New Roman" w:hAnsi="Times New Roman" w:cs="Times New Roman"/>
                <w:bCs/>
                <w:szCs w:val="20"/>
              </w:rPr>
              <w:t>±0.03</w:t>
            </w:r>
          </w:p>
        </w:tc>
        <w:tc>
          <w:tcPr>
            <w:tcW w:w="1094" w:type="dxa"/>
            <w:shd w:val="clear" w:color="auto" w:fill="D6E3BC" w:themeFill="accent3" w:themeFillTint="66"/>
          </w:tcPr>
          <w:p w14:paraId="46892DC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0.49</w:t>
            </w:r>
          </w:p>
        </w:tc>
        <w:tc>
          <w:tcPr>
            <w:tcW w:w="1494" w:type="dxa"/>
            <w:shd w:val="clear" w:color="auto" w:fill="auto"/>
          </w:tcPr>
          <w:p w14:paraId="17AD8BC0"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25.59</w:t>
            </w:r>
            <w:r w:rsidRPr="00C1299C">
              <w:rPr>
                <w:rFonts w:ascii="Times New Roman" w:hAnsi="Times New Roman" w:cs="Times New Roman"/>
                <w:bCs/>
                <w:szCs w:val="20"/>
              </w:rPr>
              <w:t>±0.02</w:t>
            </w:r>
          </w:p>
        </w:tc>
        <w:tc>
          <w:tcPr>
            <w:tcW w:w="953" w:type="dxa"/>
            <w:shd w:val="clear" w:color="auto" w:fill="D6E3BC" w:themeFill="accent3" w:themeFillTint="66"/>
          </w:tcPr>
          <w:p w14:paraId="77D70C8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0.24</w:t>
            </w:r>
          </w:p>
        </w:tc>
      </w:tr>
      <w:tr w:rsidR="007930D1" w:rsidRPr="00C1299C" w14:paraId="60204253" w14:textId="77777777" w:rsidTr="00C552F7">
        <w:trPr>
          <w:trHeight w:val="300"/>
          <w:jc w:val="center"/>
        </w:trPr>
        <w:tc>
          <w:tcPr>
            <w:tcW w:w="1023" w:type="dxa"/>
            <w:shd w:val="clear" w:color="auto" w:fill="auto"/>
          </w:tcPr>
          <w:p w14:paraId="34B05CDC"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ACN</w:t>
            </w:r>
          </w:p>
        </w:tc>
        <w:tc>
          <w:tcPr>
            <w:tcW w:w="1594" w:type="dxa"/>
            <w:shd w:val="clear" w:color="auto" w:fill="auto"/>
          </w:tcPr>
          <w:p w14:paraId="6CE72B8D"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25.41</w:t>
            </w:r>
            <w:r w:rsidRPr="00C1299C">
              <w:rPr>
                <w:rFonts w:ascii="Times New Roman" w:hAnsi="Times New Roman" w:cs="Times New Roman"/>
                <w:bCs/>
                <w:szCs w:val="20"/>
              </w:rPr>
              <w:t>±0.02</w:t>
            </w:r>
          </w:p>
        </w:tc>
        <w:tc>
          <w:tcPr>
            <w:tcW w:w="1077" w:type="dxa"/>
            <w:shd w:val="clear" w:color="auto" w:fill="D6E3BC" w:themeFill="accent3" w:themeFillTint="66"/>
          </w:tcPr>
          <w:p w14:paraId="7B7EB2E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0.76</w:t>
            </w:r>
          </w:p>
        </w:tc>
        <w:tc>
          <w:tcPr>
            <w:tcW w:w="1522" w:type="dxa"/>
            <w:shd w:val="clear" w:color="auto" w:fill="auto"/>
          </w:tcPr>
          <w:p w14:paraId="46A37E9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25.39</w:t>
            </w:r>
            <w:r w:rsidRPr="00C1299C">
              <w:rPr>
                <w:rFonts w:ascii="Times New Roman" w:hAnsi="Times New Roman" w:cs="Times New Roman"/>
                <w:bCs/>
                <w:szCs w:val="20"/>
              </w:rPr>
              <w:t>±0.03</w:t>
            </w:r>
          </w:p>
        </w:tc>
        <w:tc>
          <w:tcPr>
            <w:tcW w:w="1094" w:type="dxa"/>
            <w:shd w:val="clear" w:color="auto" w:fill="D6E3BC" w:themeFill="accent3" w:themeFillTint="66"/>
          </w:tcPr>
          <w:p w14:paraId="093D8716"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0.33</w:t>
            </w:r>
          </w:p>
        </w:tc>
        <w:tc>
          <w:tcPr>
            <w:tcW w:w="1494" w:type="dxa"/>
            <w:shd w:val="clear" w:color="auto" w:fill="auto"/>
          </w:tcPr>
          <w:p w14:paraId="18740AF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25.39</w:t>
            </w:r>
            <w:r w:rsidRPr="00C1299C">
              <w:rPr>
                <w:rFonts w:ascii="Times New Roman" w:hAnsi="Times New Roman" w:cs="Times New Roman"/>
                <w:bCs/>
                <w:szCs w:val="20"/>
              </w:rPr>
              <w:t>±0.01</w:t>
            </w:r>
          </w:p>
        </w:tc>
        <w:tc>
          <w:tcPr>
            <w:tcW w:w="953" w:type="dxa"/>
            <w:shd w:val="clear" w:color="auto" w:fill="D6E3BC" w:themeFill="accent3" w:themeFillTint="66"/>
          </w:tcPr>
          <w:p w14:paraId="36D68E5C"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0.38</w:t>
            </w:r>
          </w:p>
        </w:tc>
      </w:tr>
      <w:tr w:rsidR="007930D1" w:rsidRPr="00C1299C" w14:paraId="1BD2ED1A" w14:textId="77777777" w:rsidTr="00C552F7">
        <w:trPr>
          <w:trHeight w:val="300"/>
          <w:jc w:val="center"/>
        </w:trPr>
        <w:tc>
          <w:tcPr>
            <w:tcW w:w="1023" w:type="dxa"/>
            <w:shd w:val="clear" w:color="auto" w:fill="auto"/>
          </w:tcPr>
          <w:p w14:paraId="509D615D"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i-PrOH</w:t>
            </w:r>
          </w:p>
        </w:tc>
        <w:tc>
          <w:tcPr>
            <w:tcW w:w="1594" w:type="dxa"/>
            <w:shd w:val="clear" w:color="auto" w:fill="auto"/>
          </w:tcPr>
          <w:p w14:paraId="40AD0640"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25.94</w:t>
            </w:r>
            <w:r w:rsidRPr="00C1299C">
              <w:rPr>
                <w:rFonts w:ascii="Times New Roman" w:hAnsi="Times New Roman" w:cs="Times New Roman"/>
                <w:bCs/>
                <w:szCs w:val="20"/>
              </w:rPr>
              <w:t>±0.02</w:t>
            </w:r>
          </w:p>
        </w:tc>
        <w:tc>
          <w:tcPr>
            <w:tcW w:w="1077" w:type="dxa"/>
            <w:shd w:val="clear" w:color="auto" w:fill="D6E3BC" w:themeFill="accent3" w:themeFillTint="66"/>
          </w:tcPr>
          <w:p w14:paraId="48D59A71"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0.61</w:t>
            </w:r>
          </w:p>
        </w:tc>
        <w:tc>
          <w:tcPr>
            <w:tcW w:w="1522" w:type="dxa"/>
            <w:shd w:val="clear" w:color="auto" w:fill="auto"/>
          </w:tcPr>
          <w:p w14:paraId="4592CF0C"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25.91</w:t>
            </w:r>
            <w:r w:rsidRPr="00C1299C">
              <w:rPr>
                <w:rFonts w:ascii="Times New Roman" w:hAnsi="Times New Roman" w:cs="Times New Roman"/>
                <w:bCs/>
                <w:szCs w:val="20"/>
              </w:rPr>
              <w:t>±0.07</w:t>
            </w:r>
          </w:p>
        </w:tc>
        <w:tc>
          <w:tcPr>
            <w:tcW w:w="1094" w:type="dxa"/>
            <w:shd w:val="clear" w:color="auto" w:fill="D6E3BC" w:themeFill="accent3" w:themeFillTint="66"/>
          </w:tcPr>
          <w:p w14:paraId="2C1DCBB6"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0.56</w:t>
            </w:r>
          </w:p>
        </w:tc>
        <w:tc>
          <w:tcPr>
            <w:tcW w:w="1494" w:type="dxa"/>
            <w:shd w:val="clear" w:color="auto" w:fill="auto"/>
          </w:tcPr>
          <w:p w14:paraId="0E1CE27B"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25.91</w:t>
            </w:r>
            <w:r w:rsidRPr="00C1299C">
              <w:rPr>
                <w:rFonts w:ascii="Times New Roman" w:hAnsi="Times New Roman" w:cs="Times New Roman"/>
                <w:bCs/>
                <w:szCs w:val="20"/>
              </w:rPr>
              <w:t>±0.01</w:t>
            </w:r>
          </w:p>
        </w:tc>
        <w:tc>
          <w:tcPr>
            <w:tcW w:w="953" w:type="dxa"/>
            <w:shd w:val="clear" w:color="auto" w:fill="D6E3BC" w:themeFill="accent3" w:themeFillTint="66"/>
          </w:tcPr>
          <w:p w14:paraId="0529489A"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0.60</w:t>
            </w:r>
          </w:p>
        </w:tc>
      </w:tr>
      <w:tr w:rsidR="007930D1" w:rsidRPr="00C1299C" w14:paraId="4502A39D" w14:textId="77777777" w:rsidTr="00C552F7">
        <w:trPr>
          <w:trHeight w:val="300"/>
          <w:jc w:val="center"/>
        </w:trPr>
        <w:tc>
          <w:tcPr>
            <w:tcW w:w="1023" w:type="dxa"/>
            <w:shd w:val="clear" w:color="auto" w:fill="auto"/>
          </w:tcPr>
          <w:p w14:paraId="05DEB7EB"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DMSO</w:t>
            </w:r>
          </w:p>
        </w:tc>
        <w:tc>
          <w:tcPr>
            <w:tcW w:w="1594" w:type="dxa"/>
            <w:shd w:val="clear" w:color="auto" w:fill="auto"/>
          </w:tcPr>
          <w:p w14:paraId="4C42720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24.55</w:t>
            </w:r>
            <w:r w:rsidRPr="00C1299C">
              <w:rPr>
                <w:rFonts w:ascii="Times New Roman" w:hAnsi="Times New Roman" w:cs="Times New Roman"/>
                <w:bCs/>
                <w:szCs w:val="20"/>
              </w:rPr>
              <w:t>±0.02</w:t>
            </w:r>
          </w:p>
        </w:tc>
        <w:tc>
          <w:tcPr>
            <w:tcW w:w="1077" w:type="dxa"/>
            <w:shd w:val="clear" w:color="auto" w:fill="D6E3BC" w:themeFill="accent3" w:themeFillTint="66"/>
          </w:tcPr>
          <w:p w14:paraId="2C1E926D"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1.01</w:t>
            </w:r>
          </w:p>
        </w:tc>
        <w:tc>
          <w:tcPr>
            <w:tcW w:w="1522" w:type="dxa"/>
            <w:shd w:val="clear" w:color="auto" w:fill="auto"/>
          </w:tcPr>
          <w:p w14:paraId="2BE4256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24.57</w:t>
            </w:r>
            <w:r w:rsidRPr="00C1299C">
              <w:rPr>
                <w:rFonts w:ascii="Times New Roman" w:hAnsi="Times New Roman" w:cs="Times New Roman"/>
                <w:bCs/>
                <w:szCs w:val="20"/>
              </w:rPr>
              <w:t>±0.05</w:t>
            </w:r>
          </w:p>
        </w:tc>
        <w:tc>
          <w:tcPr>
            <w:tcW w:w="1094" w:type="dxa"/>
            <w:shd w:val="clear" w:color="auto" w:fill="D6E3BC" w:themeFill="accent3" w:themeFillTint="66"/>
          </w:tcPr>
          <w:p w14:paraId="6A7CD1E3"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0.69</w:t>
            </w:r>
          </w:p>
        </w:tc>
        <w:tc>
          <w:tcPr>
            <w:tcW w:w="1494" w:type="dxa"/>
            <w:shd w:val="clear" w:color="auto" w:fill="auto"/>
          </w:tcPr>
          <w:p w14:paraId="518CE501"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24.57</w:t>
            </w:r>
            <w:r w:rsidRPr="00C1299C">
              <w:rPr>
                <w:rFonts w:ascii="Times New Roman" w:hAnsi="Times New Roman" w:cs="Times New Roman"/>
                <w:bCs/>
                <w:szCs w:val="20"/>
              </w:rPr>
              <w:t>±0.01</w:t>
            </w:r>
          </w:p>
        </w:tc>
        <w:tc>
          <w:tcPr>
            <w:tcW w:w="953" w:type="dxa"/>
            <w:shd w:val="clear" w:color="auto" w:fill="D6E3BC" w:themeFill="accent3" w:themeFillTint="66"/>
          </w:tcPr>
          <w:p w14:paraId="253A34A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0.10</w:t>
            </w:r>
          </w:p>
        </w:tc>
      </w:tr>
      <w:tr w:rsidR="007930D1" w:rsidRPr="00C1299C" w14:paraId="7279F8EF" w14:textId="77777777" w:rsidTr="00C552F7">
        <w:trPr>
          <w:trHeight w:val="300"/>
          <w:jc w:val="center"/>
        </w:trPr>
        <w:tc>
          <w:tcPr>
            <w:tcW w:w="1023" w:type="dxa"/>
            <w:shd w:val="clear" w:color="auto" w:fill="auto"/>
          </w:tcPr>
          <w:p w14:paraId="114B99AD"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 xml:space="preserve"> DMF</w:t>
            </w:r>
          </w:p>
        </w:tc>
        <w:tc>
          <w:tcPr>
            <w:tcW w:w="1594" w:type="dxa"/>
            <w:shd w:val="clear" w:color="auto" w:fill="auto"/>
          </w:tcPr>
          <w:p w14:paraId="1C533AF2"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25.07</w:t>
            </w:r>
            <w:r w:rsidRPr="00C1299C">
              <w:rPr>
                <w:rFonts w:ascii="Times New Roman" w:hAnsi="Times New Roman" w:cs="Times New Roman"/>
                <w:bCs/>
                <w:szCs w:val="20"/>
              </w:rPr>
              <w:t>±0.02</w:t>
            </w:r>
          </w:p>
        </w:tc>
        <w:tc>
          <w:tcPr>
            <w:tcW w:w="1077" w:type="dxa"/>
            <w:shd w:val="clear" w:color="auto" w:fill="D6E3BC" w:themeFill="accent3" w:themeFillTint="66"/>
          </w:tcPr>
          <w:p w14:paraId="40091920"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0.86</w:t>
            </w:r>
          </w:p>
        </w:tc>
        <w:tc>
          <w:tcPr>
            <w:tcW w:w="1522" w:type="dxa"/>
            <w:shd w:val="clear" w:color="auto" w:fill="auto"/>
          </w:tcPr>
          <w:p w14:paraId="3815B7D8"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25.07</w:t>
            </w:r>
            <w:r w:rsidRPr="00C1299C">
              <w:rPr>
                <w:rFonts w:ascii="Times New Roman" w:hAnsi="Times New Roman" w:cs="Times New Roman"/>
                <w:bCs/>
                <w:szCs w:val="20"/>
              </w:rPr>
              <w:t>±0.02</w:t>
            </w:r>
          </w:p>
        </w:tc>
        <w:tc>
          <w:tcPr>
            <w:tcW w:w="1094" w:type="dxa"/>
            <w:shd w:val="clear" w:color="auto" w:fill="D6E3BC" w:themeFill="accent3" w:themeFillTint="66"/>
          </w:tcPr>
          <w:p w14:paraId="343A9D6E"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0.71</w:t>
            </w:r>
          </w:p>
        </w:tc>
        <w:tc>
          <w:tcPr>
            <w:tcW w:w="1494" w:type="dxa"/>
            <w:shd w:val="clear" w:color="auto" w:fill="auto"/>
          </w:tcPr>
          <w:p w14:paraId="47B65522"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25.07</w:t>
            </w:r>
            <w:r w:rsidRPr="00C1299C">
              <w:rPr>
                <w:rFonts w:ascii="Times New Roman" w:hAnsi="Times New Roman" w:cs="Times New Roman"/>
                <w:bCs/>
                <w:szCs w:val="20"/>
              </w:rPr>
              <w:t>±0.01</w:t>
            </w:r>
          </w:p>
        </w:tc>
        <w:tc>
          <w:tcPr>
            <w:tcW w:w="953" w:type="dxa"/>
            <w:shd w:val="clear" w:color="auto" w:fill="D6E3BC" w:themeFill="accent3" w:themeFillTint="66"/>
          </w:tcPr>
          <w:p w14:paraId="38ECE0D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0.09</w:t>
            </w:r>
          </w:p>
        </w:tc>
      </w:tr>
      <w:tr w:rsidR="007930D1" w:rsidRPr="00C1299C" w14:paraId="715C8A39" w14:textId="77777777" w:rsidTr="00C552F7">
        <w:trPr>
          <w:trHeight w:val="300"/>
          <w:jc w:val="center"/>
        </w:trPr>
        <w:tc>
          <w:tcPr>
            <w:tcW w:w="1023" w:type="dxa"/>
            <w:shd w:val="clear" w:color="auto" w:fill="auto"/>
          </w:tcPr>
          <w:p w14:paraId="4C4FD372"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THF</w:t>
            </w:r>
          </w:p>
        </w:tc>
        <w:tc>
          <w:tcPr>
            <w:tcW w:w="1594" w:type="dxa"/>
            <w:shd w:val="clear" w:color="auto" w:fill="auto"/>
          </w:tcPr>
          <w:p w14:paraId="2D6FA889"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26.05</w:t>
            </w:r>
            <w:r w:rsidRPr="00C1299C">
              <w:rPr>
                <w:rFonts w:ascii="Times New Roman" w:hAnsi="Times New Roman" w:cs="Times New Roman"/>
                <w:bCs/>
                <w:szCs w:val="20"/>
              </w:rPr>
              <w:t>±0.05</w:t>
            </w:r>
          </w:p>
        </w:tc>
        <w:tc>
          <w:tcPr>
            <w:tcW w:w="1077" w:type="dxa"/>
            <w:shd w:val="clear" w:color="auto" w:fill="D6E3BC" w:themeFill="accent3" w:themeFillTint="66"/>
          </w:tcPr>
          <w:p w14:paraId="2FA16DBB"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0.58</w:t>
            </w:r>
          </w:p>
        </w:tc>
        <w:tc>
          <w:tcPr>
            <w:tcW w:w="1522" w:type="dxa"/>
            <w:shd w:val="clear" w:color="auto" w:fill="auto"/>
          </w:tcPr>
          <w:p w14:paraId="5EFB703B"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25.95</w:t>
            </w:r>
            <w:r w:rsidRPr="00C1299C">
              <w:rPr>
                <w:rFonts w:ascii="Times New Roman" w:hAnsi="Times New Roman" w:cs="Times New Roman"/>
                <w:bCs/>
                <w:szCs w:val="20"/>
              </w:rPr>
              <w:t>±0.05</w:t>
            </w:r>
          </w:p>
        </w:tc>
        <w:tc>
          <w:tcPr>
            <w:tcW w:w="1094" w:type="dxa"/>
            <w:shd w:val="clear" w:color="auto" w:fill="D6E3BC" w:themeFill="accent3" w:themeFillTint="66"/>
          </w:tcPr>
          <w:p w14:paraId="6F0D6458"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0.48</w:t>
            </w:r>
          </w:p>
        </w:tc>
        <w:tc>
          <w:tcPr>
            <w:tcW w:w="1494" w:type="dxa"/>
            <w:shd w:val="clear" w:color="auto" w:fill="auto"/>
          </w:tcPr>
          <w:p w14:paraId="6FCF66CC"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25.95</w:t>
            </w:r>
            <w:r w:rsidRPr="00C1299C">
              <w:rPr>
                <w:rFonts w:ascii="Times New Roman" w:hAnsi="Times New Roman" w:cs="Times New Roman"/>
                <w:bCs/>
                <w:szCs w:val="20"/>
              </w:rPr>
              <w:t>±0.11</w:t>
            </w:r>
          </w:p>
        </w:tc>
        <w:tc>
          <w:tcPr>
            <w:tcW w:w="953" w:type="dxa"/>
            <w:shd w:val="clear" w:color="auto" w:fill="D6E3BC" w:themeFill="accent3" w:themeFillTint="66"/>
          </w:tcPr>
          <w:p w14:paraId="02A7906E"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0.00</w:t>
            </w:r>
          </w:p>
        </w:tc>
      </w:tr>
      <w:tr w:rsidR="007930D1" w:rsidRPr="00C1299C" w14:paraId="5D7B7649" w14:textId="77777777" w:rsidTr="00C552F7">
        <w:trPr>
          <w:trHeight w:val="300"/>
          <w:jc w:val="center"/>
        </w:trPr>
        <w:tc>
          <w:tcPr>
            <w:tcW w:w="1023" w:type="dxa"/>
            <w:shd w:val="clear" w:color="auto" w:fill="auto"/>
          </w:tcPr>
          <w:p w14:paraId="062FAABE"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DCM</w:t>
            </w:r>
          </w:p>
        </w:tc>
        <w:tc>
          <w:tcPr>
            <w:tcW w:w="1594" w:type="dxa"/>
            <w:shd w:val="clear" w:color="auto" w:fill="auto"/>
          </w:tcPr>
          <w:p w14:paraId="6DB5F32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25.48</w:t>
            </w:r>
            <w:r w:rsidRPr="00C1299C">
              <w:rPr>
                <w:rFonts w:ascii="Times New Roman" w:hAnsi="Times New Roman" w:cs="Times New Roman"/>
                <w:bCs/>
                <w:szCs w:val="20"/>
              </w:rPr>
              <w:t>±0.03</w:t>
            </w:r>
          </w:p>
        </w:tc>
        <w:tc>
          <w:tcPr>
            <w:tcW w:w="1077" w:type="dxa"/>
            <w:shd w:val="clear" w:color="auto" w:fill="D6E3BC" w:themeFill="accent3" w:themeFillTint="66"/>
          </w:tcPr>
          <w:p w14:paraId="783DAE27"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0.74</w:t>
            </w:r>
          </w:p>
        </w:tc>
        <w:tc>
          <w:tcPr>
            <w:tcW w:w="1522" w:type="dxa"/>
            <w:shd w:val="clear" w:color="auto" w:fill="auto"/>
          </w:tcPr>
          <w:p w14:paraId="714EF498"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25.43</w:t>
            </w:r>
            <w:r w:rsidRPr="00C1299C">
              <w:rPr>
                <w:rFonts w:ascii="Times New Roman" w:hAnsi="Times New Roman" w:cs="Times New Roman"/>
                <w:bCs/>
                <w:szCs w:val="20"/>
              </w:rPr>
              <w:t>±0.04</w:t>
            </w:r>
          </w:p>
        </w:tc>
        <w:tc>
          <w:tcPr>
            <w:tcW w:w="1094" w:type="dxa"/>
            <w:shd w:val="clear" w:color="auto" w:fill="D6E3BC" w:themeFill="accent3" w:themeFillTint="66"/>
          </w:tcPr>
          <w:p w14:paraId="7D0A50BE"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0.00</w:t>
            </w:r>
          </w:p>
        </w:tc>
        <w:tc>
          <w:tcPr>
            <w:tcW w:w="1494" w:type="dxa"/>
            <w:shd w:val="clear" w:color="auto" w:fill="auto"/>
          </w:tcPr>
          <w:p w14:paraId="0FC88E06"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25.43</w:t>
            </w:r>
            <w:r w:rsidRPr="00C1299C">
              <w:rPr>
                <w:rFonts w:ascii="Times New Roman" w:hAnsi="Times New Roman" w:cs="Times New Roman"/>
                <w:bCs/>
                <w:szCs w:val="20"/>
              </w:rPr>
              <w:t>±0.06</w:t>
            </w:r>
          </w:p>
        </w:tc>
        <w:tc>
          <w:tcPr>
            <w:tcW w:w="953" w:type="dxa"/>
            <w:shd w:val="clear" w:color="auto" w:fill="D6E3BC" w:themeFill="accent3" w:themeFillTint="66"/>
          </w:tcPr>
          <w:p w14:paraId="1BFD3F8B"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0.04</w:t>
            </w:r>
          </w:p>
        </w:tc>
      </w:tr>
      <w:tr w:rsidR="007930D1" w:rsidRPr="00C1299C" w14:paraId="1147AE7F" w14:textId="77777777" w:rsidTr="00C552F7">
        <w:trPr>
          <w:trHeight w:val="300"/>
          <w:jc w:val="center"/>
        </w:trPr>
        <w:tc>
          <w:tcPr>
            <w:tcW w:w="1023" w:type="dxa"/>
            <w:tcBorders>
              <w:bottom w:val="single" w:sz="4" w:space="0" w:color="auto"/>
            </w:tcBorders>
            <w:shd w:val="clear" w:color="auto" w:fill="auto"/>
          </w:tcPr>
          <w:p w14:paraId="6475B099" w14:textId="77777777" w:rsidR="007930D1" w:rsidRPr="00C1299C" w:rsidRDefault="007930D1" w:rsidP="00C552F7">
            <w:pPr>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w:t>
            </w:r>
          </w:p>
        </w:tc>
        <w:tc>
          <w:tcPr>
            <w:tcW w:w="1594" w:type="dxa"/>
            <w:tcBorders>
              <w:bottom w:val="single" w:sz="4" w:space="0" w:color="auto"/>
            </w:tcBorders>
            <w:shd w:val="clear" w:color="auto" w:fill="auto"/>
          </w:tcPr>
          <w:p w14:paraId="1204D4DF"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23.68</w:t>
            </w:r>
            <w:r w:rsidRPr="00C1299C">
              <w:rPr>
                <w:rFonts w:ascii="Times New Roman" w:hAnsi="Times New Roman" w:cs="Times New Roman"/>
                <w:bCs/>
                <w:szCs w:val="20"/>
              </w:rPr>
              <w:t>±0.02</w:t>
            </w:r>
          </w:p>
        </w:tc>
        <w:tc>
          <w:tcPr>
            <w:tcW w:w="1077" w:type="dxa"/>
            <w:tcBorders>
              <w:bottom w:val="single" w:sz="4" w:space="0" w:color="auto"/>
            </w:tcBorders>
            <w:shd w:val="clear" w:color="auto" w:fill="D6E3BC" w:themeFill="accent3" w:themeFillTint="66"/>
          </w:tcPr>
          <w:p w14:paraId="5E67291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1.26</w:t>
            </w:r>
          </w:p>
        </w:tc>
        <w:tc>
          <w:tcPr>
            <w:tcW w:w="1522" w:type="dxa"/>
            <w:tcBorders>
              <w:bottom w:val="single" w:sz="4" w:space="0" w:color="auto"/>
            </w:tcBorders>
            <w:shd w:val="clear" w:color="auto" w:fill="auto"/>
          </w:tcPr>
          <w:p w14:paraId="369FDBB4"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23.64</w:t>
            </w:r>
            <w:r w:rsidRPr="00C1299C">
              <w:rPr>
                <w:rFonts w:ascii="Times New Roman" w:hAnsi="Times New Roman" w:cs="Times New Roman"/>
                <w:bCs/>
                <w:szCs w:val="20"/>
              </w:rPr>
              <w:t>±0.03</w:t>
            </w:r>
          </w:p>
        </w:tc>
        <w:tc>
          <w:tcPr>
            <w:tcW w:w="1094" w:type="dxa"/>
            <w:tcBorders>
              <w:bottom w:val="single" w:sz="4" w:space="0" w:color="auto"/>
            </w:tcBorders>
            <w:shd w:val="clear" w:color="auto" w:fill="D6E3BC" w:themeFill="accent3" w:themeFillTint="66"/>
          </w:tcPr>
          <w:p w14:paraId="2DBC5066"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0.16</w:t>
            </w:r>
          </w:p>
        </w:tc>
        <w:tc>
          <w:tcPr>
            <w:tcW w:w="1494" w:type="dxa"/>
            <w:tcBorders>
              <w:bottom w:val="single" w:sz="4" w:space="0" w:color="auto"/>
            </w:tcBorders>
            <w:shd w:val="clear" w:color="auto" w:fill="auto"/>
          </w:tcPr>
          <w:p w14:paraId="2C6521E3"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23.64</w:t>
            </w:r>
            <w:r w:rsidRPr="00C1299C">
              <w:rPr>
                <w:rFonts w:ascii="Times New Roman" w:hAnsi="Times New Roman" w:cs="Times New Roman"/>
                <w:bCs/>
                <w:szCs w:val="20"/>
              </w:rPr>
              <w:t>±0.14</w:t>
            </w:r>
          </w:p>
        </w:tc>
        <w:tc>
          <w:tcPr>
            <w:tcW w:w="953" w:type="dxa"/>
            <w:tcBorders>
              <w:bottom w:val="single" w:sz="4" w:space="0" w:color="auto"/>
            </w:tcBorders>
            <w:shd w:val="clear" w:color="auto" w:fill="D6E3BC" w:themeFill="accent3" w:themeFillTint="66"/>
          </w:tcPr>
          <w:p w14:paraId="3ED1CA38" w14:textId="77777777" w:rsidR="007930D1" w:rsidRPr="00C1299C" w:rsidRDefault="007930D1" w:rsidP="00C552F7">
            <w:pPr>
              <w:jc w:val="center"/>
              <w:rPr>
                <w:rFonts w:ascii="Times New Roman" w:eastAsia="Calibri" w:hAnsi="Times New Roman" w:cs="Times New Roman"/>
                <w:szCs w:val="20"/>
              </w:rPr>
            </w:pPr>
            <w:r w:rsidRPr="00C1299C">
              <w:rPr>
                <w:rFonts w:ascii="Times New Roman" w:eastAsia="Calibri" w:hAnsi="Times New Roman" w:cs="Times New Roman"/>
                <w:szCs w:val="20"/>
              </w:rPr>
              <w:t>1.27</w:t>
            </w:r>
          </w:p>
        </w:tc>
      </w:tr>
      <w:tr w:rsidR="007930D1" w:rsidRPr="00C1299C" w14:paraId="7CEE05E4" w14:textId="77777777" w:rsidTr="00C552F7">
        <w:trPr>
          <w:trHeight w:val="300"/>
          <w:jc w:val="center"/>
        </w:trPr>
        <w:tc>
          <w:tcPr>
            <w:tcW w:w="8757" w:type="dxa"/>
            <w:gridSpan w:val="7"/>
            <w:tcBorders>
              <w:top w:val="single" w:sz="4" w:space="0" w:color="auto"/>
            </w:tcBorders>
            <w:shd w:val="clear" w:color="auto" w:fill="auto"/>
          </w:tcPr>
          <w:p w14:paraId="05FE040C" w14:textId="77777777" w:rsidR="007930D1" w:rsidRPr="007930D1" w:rsidRDefault="007930D1" w:rsidP="00C552F7">
            <w:pPr>
              <w:jc w:val="left"/>
              <w:rPr>
                <w:rFonts w:ascii="Times New Roman" w:eastAsia="Calibri" w:hAnsi="Times New Roman" w:cs="Times New Roman"/>
                <w:sz w:val="16"/>
                <w:szCs w:val="16"/>
              </w:rPr>
            </w:pPr>
            <w:r w:rsidRPr="007930D1">
              <w:rPr>
                <w:rFonts w:ascii="Times New Roman" w:hAnsi="Times New Roman" w:cs="Times New Roman"/>
                <w:sz w:val="16"/>
                <w:szCs w:val="16"/>
              </w:rPr>
              <w:t xml:space="preserve">Key: </w:t>
            </w:r>
            <w:r w:rsidRPr="007930D1">
              <w:rPr>
                <w:rFonts w:ascii="Times New Roman" w:hAnsi="Times New Roman" w:cs="Times New Roman"/>
                <w:bCs/>
                <w:sz w:val="16"/>
                <w:szCs w:val="16"/>
              </w:rPr>
              <w:t>*P values (P&lt;0.05) were regarded as significant. Uncertainty value of π* = 8×10</w:t>
            </w:r>
            <w:r w:rsidRPr="007930D1">
              <w:rPr>
                <w:rFonts w:ascii="Times New Roman" w:hAnsi="Times New Roman" w:cs="Times New Roman"/>
                <w:bCs/>
                <w:sz w:val="16"/>
                <w:szCs w:val="16"/>
                <w:vertAlign w:val="superscript"/>
              </w:rPr>
              <w:t>-3</w:t>
            </w:r>
            <w:r w:rsidRPr="007930D1">
              <w:rPr>
                <w:rFonts w:ascii="Times New Roman" w:hAnsi="Times New Roman" w:cs="Times New Roman"/>
                <w:bCs/>
                <w:sz w:val="16"/>
                <w:szCs w:val="16"/>
              </w:rPr>
              <w:t>, β = 6×10</w:t>
            </w:r>
            <w:r w:rsidRPr="007930D1">
              <w:rPr>
                <w:rFonts w:ascii="Times New Roman" w:hAnsi="Times New Roman" w:cs="Times New Roman"/>
                <w:bCs/>
                <w:sz w:val="16"/>
                <w:szCs w:val="16"/>
                <w:vertAlign w:val="superscript"/>
              </w:rPr>
              <w:t>-3</w:t>
            </w:r>
            <w:r w:rsidRPr="007930D1">
              <w:rPr>
                <w:rFonts w:ascii="Times New Roman" w:hAnsi="Times New Roman" w:cs="Times New Roman"/>
                <w:bCs/>
                <w:sz w:val="16"/>
                <w:szCs w:val="16"/>
              </w:rPr>
              <w:t>, and α = 8×10</w:t>
            </w:r>
            <w:r w:rsidRPr="007930D1">
              <w:rPr>
                <w:rFonts w:ascii="Times New Roman" w:hAnsi="Times New Roman" w:cs="Times New Roman"/>
                <w:bCs/>
                <w:sz w:val="16"/>
                <w:szCs w:val="16"/>
                <w:vertAlign w:val="superscript"/>
              </w:rPr>
              <w:t>-3</w:t>
            </w:r>
          </w:p>
        </w:tc>
      </w:tr>
    </w:tbl>
    <w:p w14:paraId="4D241807" w14:textId="77777777" w:rsidR="002D1CA6" w:rsidRPr="00C1299C" w:rsidRDefault="002D1CA6" w:rsidP="003744F6">
      <w:pPr>
        <w:outlineLvl w:val="0"/>
        <w:rPr>
          <w:rFonts w:ascii="Times New Roman" w:hAnsi="Times New Roman" w:cs="Times New Roman"/>
          <w:szCs w:val="20"/>
        </w:rPr>
      </w:pPr>
    </w:p>
    <w:tbl>
      <w:tblPr>
        <w:tblW w:w="8765" w:type="dxa"/>
        <w:jc w:val="center"/>
        <w:tblLayout w:type="fixed"/>
        <w:tblLook w:val="04A0" w:firstRow="1" w:lastRow="0" w:firstColumn="1" w:lastColumn="0" w:noHBand="0" w:noVBand="1"/>
      </w:tblPr>
      <w:tblGrid>
        <w:gridCol w:w="1526"/>
        <w:gridCol w:w="1276"/>
        <w:gridCol w:w="1144"/>
        <w:gridCol w:w="1357"/>
        <w:gridCol w:w="1053"/>
        <w:gridCol w:w="1417"/>
        <w:gridCol w:w="992"/>
      </w:tblGrid>
      <w:tr w:rsidR="00C1299C" w:rsidRPr="00C1299C" w14:paraId="207D0EB4" w14:textId="77777777" w:rsidTr="002F59DB">
        <w:trPr>
          <w:trHeight w:val="538"/>
          <w:jc w:val="center"/>
        </w:trPr>
        <w:tc>
          <w:tcPr>
            <w:tcW w:w="8765" w:type="dxa"/>
            <w:gridSpan w:val="7"/>
            <w:tcBorders>
              <w:bottom w:val="single" w:sz="4" w:space="0" w:color="auto"/>
            </w:tcBorders>
            <w:shd w:val="clear" w:color="auto" w:fill="auto"/>
          </w:tcPr>
          <w:p w14:paraId="7CBAAC9D" w14:textId="77777777" w:rsidR="002D1CA6" w:rsidRPr="00C1299C" w:rsidRDefault="001F7B08" w:rsidP="007930D1">
            <w:pPr>
              <w:ind w:left="892" w:hanging="892"/>
              <w:rPr>
                <w:rFonts w:ascii="Times New Roman" w:eastAsia="Calibri" w:hAnsi="Times New Roman" w:cs="Times New Roman"/>
                <w:szCs w:val="20"/>
              </w:rPr>
            </w:pPr>
            <w:r w:rsidRPr="00C1299C">
              <w:rPr>
                <w:rFonts w:ascii="Times New Roman" w:eastAsia="Calibri" w:hAnsi="Times New Roman" w:cs="Times New Roman"/>
                <w:szCs w:val="20"/>
              </w:rPr>
              <w:t xml:space="preserve">Table </w:t>
            </w:r>
            <w:r w:rsidR="00291ED7" w:rsidRPr="00C1299C">
              <w:rPr>
                <w:rFonts w:ascii="Times New Roman" w:eastAsia="Calibri" w:hAnsi="Times New Roman" w:cs="Times New Roman"/>
                <w:szCs w:val="20"/>
              </w:rPr>
              <w:t>3</w:t>
            </w:r>
            <w:r w:rsidRPr="00C1299C">
              <w:rPr>
                <w:rFonts w:ascii="Times New Roman" w:eastAsia="Calibri" w:hAnsi="Times New Roman" w:cs="Times New Roman"/>
                <w:szCs w:val="20"/>
              </w:rPr>
              <w:t xml:space="preserve">. </w:t>
            </w:r>
            <w:r w:rsidR="00C8190C" w:rsidRPr="00C1299C">
              <w:rPr>
                <w:rFonts w:ascii="Times New Roman" w:eastAsia="Calibri" w:hAnsi="Times New Roman" w:cs="Times New Roman"/>
                <w:bCs/>
                <w:szCs w:val="20"/>
              </w:rPr>
              <w:t>The properties of mixed solvents from the wavenumber average (V</w:t>
            </w:r>
            <w:r w:rsidR="00C8190C" w:rsidRPr="00C1299C">
              <w:rPr>
                <w:rFonts w:ascii="Times New Roman" w:eastAsia="Calibri" w:hAnsi="Times New Roman" w:cs="Times New Roman"/>
                <w:bCs/>
                <w:szCs w:val="20"/>
                <w:vertAlign w:val="subscript"/>
              </w:rPr>
              <w:t>max</w:t>
            </w:r>
            <w:r w:rsidR="00C8190C" w:rsidRPr="00C1299C">
              <w:rPr>
                <w:rFonts w:ascii="Times New Roman" w:eastAsia="Calibri" w:hAnsi="Times New Roman" w:cs="Times New Roman"/>
                <w:bCs/>
                <w:szCs w:val="20"/>
              </w:rPr>
              <w:t>) using the original approach of K</w:t>
            </w:r>
            <w:r w:rsidR="00252163" w:rsidRPr="00C1299C">
              <w:rPr>
                <w:rFonts w:ascii="Times New Roman" w:eastAsia="Calibri" w:hAnsi="Times New Roman" w:cs="Times New Roman"/>
                <w:bCs/>
                <w:szCs w:val="20"/>
              </w:rPr>
              <w:t>T</w:t>
            </w:r>
            <w:r w:rsidR="00C8190C" w:rsidRPr="00C1299C">
              <w:rPr>
                <w:rFonts w:ascii="Times New Roman" w:eastAsia="Calibri" w:hAnsi="Times New Roman" w:cs="Times New Roman"/>
                <w:bCs/>
                <w:szCs w:val="20"/>
              </w:rPr>
              <w:t xml:space="preserve"> equations</w:t>
            </w:r>
          </w:p>
        </w:tc>
      </w:tr>
      <w:tr w:rsidR="00C1299C" w:rsidRPr="00C1299C" w14:paraId="75D6A030" w14:textId="77777777" w:rsidTr="002F59DB">
        <w:trPr>
          <w:trHeight w:val="257"/>
          <w:jc w:val="center"/>
        </w:trPr>
        <w:tc>
          <w:tcPr>
            <w:tcW w:w="1526" w:type="dxa"/>
            <w:vMerge w:val="restart"/>
            <w:tcBorders>
              <w:top w:val="single" w:sz="4" w:space="0" w:color="auto"/>
            </w:tcBorders>
            <w:shd w:val="clear" w:color="auto" w:fill="auto"/>
            <w:vAlign w:val="center"/>
          </w:tcPr>
          <w:p w14:paraId="78A9D90B" w14:textId="77777777" w:rsidR="002D1CA6" w:rsidRPr="00C1299C" w:rsidRDefault="001F7B08" w:rsidP="00CC58FD">
            <w:pPr>
              <w:jc w:val="left"/>
              <w:rPr>
                <w:rFonts w:ascii="Times New Roman" w:eastAsia="Calibri" w:hAnsi="Times New Roman" w:cs="Times New Roman"/>
                <w:b/>
                <w:szCs w:val="20"/>
              </w:rPr>
            </w:pPr>
            <w:r w:rsidRPr="00C1299C">
              <w:rPr>
                <w:rFonts w:ascii="Times New Roman" w:eastAsia="Calibri" w:hAnsi="Times New Roman" w:cs="Times New Roman"/>
                <w:b/>
                <w:szCs w:val="20"/>
              </w:rPr>
              <w:t>HBD-HBA</w:t>
            </w:r>
          </w:p>
          <w:p w14:paraId="26F86A0B" w14:textId="2EC3587E" w:rsidR="002D1CA6" w:rsidRPr="00C1299C" w:rsidRDefault="007930D1" w:rsidP="00CC58FD">
            <w:pPr>
              <w:jc w:val="left"/>
              <w:rPr>
                <w:rFonts w:ascii="Times New Roman" w:eastAsia="Calibri" w:hAnsi="Times New Roman" w:cs="Times New Roman"/>
                <w:b/>
                <w:szCs w:val="20"/>
              </w:rPr>
            </w:pPr>
            <w:r>
              <w:rPr>
                <w:rFonts w:ascii="Times New Roman" w:eastAsia="Calibri" w:hAnsi="Times New Roman" w:cs="Times New Roman"/>
                <w:b/>
                <w:szCs w:val="20"/>
              </w:rPr>
              <w:t>M</w:t>
            </w:r>
            <w:r w:rsidR="001F7B08" w:rsidRPr="00C1299C">
              <w:rPr>
                <w:rFonts w:ascii="Times New Roman" w:eastAsia="Calibri" w:hAnsi="Times New Roman" w:cs="Times New Roman"/>
                <w:b/>
                <w:szCs w:val="20"/>
              </w:rPr>
              <w:t>ixture</w:t>
            </w:r>
          </w:p>
        </w:tc>
        <w:tc>
          <w:tcPr>
            <w:tcW w:w="1276" w:type="dxa"/>
            <w:tcBorders>
              <w:top w:val="single" w:sz="4" w:space="0" w:color="auto"/>
              <w:bottom w:val="single" w:sz="4" w:space="0" w:color="auto"/>
            </w:tcBorders>
            <w:shd w:val="clear" w:color="auto" w:fill="auto"/>
          </w:tcPr>
          <w:p w14:paraId="2308E2F7"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tc>
        <w:tc>
          <w:tcPr>
            <w:tcW w:w="1144" w:type="dxa"/>
            <w:tcBorders>
              <w:top w:val="single" w:sz="4" w:space="0" w:color="auto"/>
              <w:bottom w:val="single" w:sz="4" w:space="0" w:color="auto"/>
            </w:tcBorders>
            <w:shd w:val="clear" w:color="auto" w:fill="auto"/>
          </w:tcPr>
          <w:p w14:paraId="26F7F5B3"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*Polarity</w:t>
            </w:r>
          </w:p>
          <w:p w14:paraId="119990F2"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(π)</w:t>
            </w:r>
          </w:p>
        </w:tc>
        <w:tc>
          <w:tcPr>
            <w:tcW w:w="1357" w:type="dxa"/>
            <w:tcBorders>
              <w:top w:val="single" w:sz="4" w:space="0" w:color="auto"/>
              <w:bottom w:val="single" w:sz="4" w:space="0" w:color="auto"/>
            </w:tcBorders>
            <w:shd w:val="clear" w:color="auto" w:fill="auto"/>
          </w:tcPr>
          <w:p w14:paraId="4B5A613D"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tc>
        <w:tc>
          <w:tcPr>
            <w:tcW w:w="1053" w:type="dxa"/>
            <w:tcBorders>
              <w:top w:val="single" w:sz="4" w:space="0" w:color="auto"/>
              <w:bottom w:val="single" w:sz="4" w:space="0" w:color="auto"/>
            </w:tcBorders>
            <w:shd w:val="clear" w:color="auto" w:fill="auto"/>
          </w:tcPr>
          <w:p w14:paraId="65514C61"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*Basicity</w:t>
            </w:r>
          </w:p>
          <w:p w14:paraId="7AEC22AA"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(β)</w:t>
            </w:r>
          </w:p>
        </w:tc>
        <w:tc>
          <w:tcPr>
            <w:tcW w:w="1417" w:type="dxa"/>
            <w:tcBorders>
              <w:top w:val="single" w:sz="4" w:space="0" w:color="auto"/>
              <w:bottom w:val="single" w:sz="4" w:space="0" w:color="auto"/>
            </w:tcBorders>
            <w:shd w:val="clear" w:color="auto" w:fill="auto"/>
          </w:tcPr>
          <w:p w14:paraId="4FFAD682"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*V</w:t>
            </w:r>
            <w:r w:rsidRPr="00C1299C">
              <w:rPr>
                <w:rFonts w:ascii="Times New Roman" w:eastAsia="Calibri" w:hAnsi="Times New Roman" w:cs="Times New Roman"/>
                <w:b/>
                <w:szCs w:val="20"/>
                <w:vertAlign w:val="subscript"/>
              </w:rPr>
              <w:t>max</w:t>
            </w:r>
          </w:p>
        </w:tc>
        <w:tc>
          <w:tcPr>
            <w:tcW w:w="992" w:type="dxa"/>
            <w:tcBorders>
              <w:top w:val="single" w:sz="4" w:space="0" w:color="auto"/>
              <w:bottom w:val="single" w:sz="4" w:space="0" w:color="auto"/>
            </w:tcBorders>
            <w:shd w:val="clear" w:color="auto" w:fill="auto"/>
          </w:tcPr>
          <w:p w14:paraId="650411B7"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*Acidity</w:t>
            </w:r>
          </w:p>
          <w:p w14:paraId="6828872C"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(α)</w:t>
            </w:r>
          </w:p>
        </w:tc>
      </w:tr>
      <w:tr w:rsidR="00C1299C" w:rsidRPr="00C1299C" w14:paraId="58C54A4B" w14:textId="77777777" w:rsidTr="002F59DB">
        <w:trPr>
          <w:trHeight w:val="257"/>
          <w:jc w:val="center"/>
        </w:trPr>
        <w:tc>
          <w:tcPr>
            <w:tcW w:w="1526" w:type="dxa"/>
            <w:vMerge/>
            <w:tcBorders>
              <w:bottom w:val="single" w:sz="4" w:space="0" w:color="auto"/>
            </w:tcBorders>
            <w:shd w:val="clear" w:color="auto" w:fill="auto"/>
          </w:tcPr>
          <w:p w14:paraId="45CC3F48" w14:textId="77777777" w:rsidR="002D1CA6" w:rsidRPr="00C1299C" w:rsidRDefault="002D1CA6" w:rsidP="002F59DB">
            <w:pPr>
              <w:jc w:val="center"/>
              <w:rPr>
                <w:rFonts w:ascii="Times New Roman" w:eastAsia="Calibri" w:hAnsi="Times New Roman" w:cs="Times New Roman"/>
                <w:b/>
                <w:szCs w:val="20"/>
              </w:rPr>
            </w:pPr>
          </w:p>
        </w:tc>
        <w:tc>
          <w:tcPr>
            <w:tcW w:w="1276" w:type="dxa"/>
            <w:tcBorders>
              <w:top w:val="single" w:sz="4" w:space="0" w:color="auto"/>
              <w:bottom w:val="single" w:sz="4" w:space="0" w:color="auto"/>
            </w:tcBorders>
            <w:shd w:val="clear" w:color="auto" w:fill="auto"/>
          </w:tcPr>
          <w:p w14:paraId="47A49216"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1144" w:type="dxa"/>
            <w:tcBorders>
              <w:top w:val="single" w:sz="4" w:space="0" w:color="auto"/>
              <w:bottom w:val="single" w:sz="4" w:space="0" w:color="auto"/>
            </w:tcBorders>
            <w:shd w:val="clear" w:color="auto" w:fill="auto"/>
          </w:tcPr>
          <w:p w14:paraId="0F85232C"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c>
          <w:tcPr>
            <w:tcW w:w="1357" w:type="dxa"/>
            <w:tcBorders>
              <w:top w:val="single" w:sz="4" w:space="0" w:color="auto"/>
              <w:bottom w:val="single" w:sz="4" w:space="0" w:color="auto"/>
            </w:tcBorders>
            <w:shd w:val="clear" w:color="auto" w:fill="auto"/>
          </w:tcPr>
          <w:p w14:paraId="01A305E9"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1053" w:type="dxa"/>
            <w:tcBorders>
              <w:top w:val="single" w:sz="4" w:space="0" w:color="auto"/>
              <w:bottom w:val="single" w:sz="4" w:space="0" w:color="auto"/>
            </w:tcBorders>
            <w:shd w:val="clear" w:color="auto" w:fill="auto"/>
          </w:tcPr>
          <w:p w14:paraId="66267497"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c>
          <w:tcPr>
            <w:tcW w:w="1417" w:type="dxa"/>
            <w:tcBorders>
              <w:top w:val="single" w:sz="4" w:space="0" w:color="auto"/>
              <w:bottom w:val="single" w:sz="4" w:space="0" w:color="auto"/>
            </w:tcBorders>
            <w:shd w:val="clear" w:color="auto" w:fill="auto"/>
          </w:tcPr>
          <w:p w14:paraId="6C53A07E"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r w:rsidRPr="00C1299C">
              <w:rPr>
                <w:rFonts w:ascii="Times New Roman" w:hAnsi="Times New Roman" w:cs="Times New Roman"/>
                <w:b/>
                <w:szCs w:val="20"/>
              </w:rPr>
              <w:t>±SD)</w:t>
            </w:r>
          </w:p>
        </w:tc>
        <w:tc>
          <w:tcPr>
            <w:tcW w:w="992" w:type="dxa"/>
            <w:tcBorders>
              <w:top w:val="single" w:sz="4" w:space="0" w:color="auto"/>
              <w:bottom w:val="single" w:sz="4" w:space="0" w:color="auto"/>
            </w:tcBorders>
            <w:shd w:val="clear" w:color="auto" w:fill="auto"/>
          </w:tcPr>
          <w:p w14:paraId="5F40ECB2" w14:textId="77777777" w:rsidR="002D1CA6" w:rsidRPr="00C1299C" w:rsidRDefault="001F7B08" w:rsidP="002F59DB">
            <w:pPr>
              <w:jc w:val="center"/>
              <w:rPr>
                <w:rFonts w:ascii="Times New Roman" w:eastAsia="Calibri" w:hAnsi="Times New Roman" w:cs="Times New Roman"/>
                <w:b/>
                <w:szCs w:val="20"/>
              </w:rPr>
            </w:pPr>
            <w:r w:rsidRPr="00C1299C">
              <w:rPr>
                <w:rFonts w:ascii="Times New Roman" w:eastAsia="Calibri" w:hAnsi="Times New Roman" w:cs="Times New Roman"/>
                <w:b/>
                <w:szCs w:val="20"/>
              </w:rPr>
              <w:t>(Mean)</w:t>
            </w:r>
          </w:p>
        </w:tc>
      </w:tr>
      <w:tr w:rsidR="00C1299C" w:rsidRPr="00C1299C" w14:paraId="1AA905CA" w14:textId="77777777" w:rsidTr="002F59DB">
        <w:trPr>
          <w:trHeight w:val="303"/>
          <w:jc w:val="center"/>
        </w:trPr>
        <w:tc>
          <w:tcPr>
            <w:tcW w:w="8765" w:type="dxa"/>
            <w:gridSpan w:val="7"/>
            <w:tcBorders>
              <w:top w:val="single" w:sz="4" w:space="0" w:color="auto"/>
              <w:bottom w:val="single" w:sz="4" w:space="0" w:color="auto"/>
            </w:tcBorders>
            <w:shd w:val="clear" w:color="auto" w:fill="auto"/>
          </w:tcPr>
          <w:p w14:paraId="23C01316"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Aqueous solvent mixture</w:t>
            </w:r>
          </w:p>
        </w:tc>
      </w:tr>
      <w:tr w:rsidR="00C1299C" w:rsidRPr="00C1299C" w14:paraId="24202D63" w14:textId="77777777" w:rsidTr="002F59DB">
        <w:trPr>
          <w:trHeight w:val="246"/>
          <w:jc w:val="center"/>
        </w:trPr>
        <w:tc>
          <w:tcPr>
            <w:tcW w:w="1526" w:type="dxa"/>
            <w:tcBorders>
              <w:top w:val="single" w:sz="4" w:space="0" w:color="auto"/>
            </w:tcBorders>
            <w:shd w:val="clear" w:color="auto" w:fill="auto"/>
          </w:tcPr>
          <w:p w14:paraId="614FE535"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O-MeOH</w:t>
            </w:r>
          </w:p>
        </w:tc>
        <w:tc>
          <w:tcPr>
            <w:tcW w:w="1276" w:type="dxa"/>
            <w:tcBorders>
              <w:top w:val="single" w:sz="4" w:space="0" w:color="auto"/>
            </w:tcBorders>
            <w:shd w:val="clear" w:color="auto" w:fill="auto"/>
          </w:tcPr>
          <w:p w14:paraId="5118FF64"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24.14</w:t>
            </w:r>
            <w:r w:rsidRPr="00C1299C">
              <w:rPr>
                <w:rFonts w:ascii="Times New Roman" w:hAnsi="Times New Roman" w:cs="Times New Roman"/>
                <w:bCs/>
                <w:szCs w:val="20"/>
              </w:rPr>
              <w:t>±0.02</w:t>
            </w:r>
          </w:p>
        </w:tc>
        <w:tc>
          <w:tcPr>
            <w:tcW w:w="1144" w:type="dxa"/>
            <w:tcBorders>
              <w:top w:val="single" w:sz="4" w:space="0" w:color="auto"/>
            </w:tcBorders>
            <w:shd w:val="clear" w:color="auto" w:fill="D6E3BC" w:themeFill="accent3" w:themeFillTint="66"/>
          </w:tcPr>
          <w:p w14:paraId="470A70B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1.12</w:t>
            </w:r>
          </w:p>
        </w:tc>
        <w:tc>
          <w:tcPr>
            <w:tcW w:w="1357" w:type="dxa"/>
            <w:tcBorders>
              <w:top w:val="single" w:sz="4" w:space="0" w:color="auto"/>
            </w:tcBorders>
            <w:shd w:val="clear" w:color="auto" w:fill="auto"/>
          </w:tcPr>
          <w:p w14:paraId="769266E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24.14</w:t>
            </w:r>
            <w:r w:rsidRPr="00C1299C">
              <w:rPr>
                <w:rFonts w:ascii="Times New Roman" w:hAnsi="Times New Roman" w:cs="Times New Roman"/>
                <w:bCs/>
                <w:szCs w:val="20"/>
              </w:rPr>
              <w:t>±0.05</w:t>
            </w:r>
          </w:p>
        </w:tc>
        <w:tc>
          <w:tcPr>
            <w:tcW w:w="1053" w:type="dxa"/>
            <w:tcBorders>
              <w:top w:val="single" w:sz="4" w:space="0" w:color="auto"/>
            </w:tcBorders>
            <w:shd w:val="clear" w:color="auto" w:fill="D6E3BC" w:themeFill="accent3" w:themeFillTint="66"/>
          </w:tcPr>
          <w:p w14:paraId="6982B0F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0.40</w:t>
            </w:r>
          </w:p>
        </w:tc>
        <w:tc>
          <w:tcPr>
            <w:tcW w:w="1417" w:type="dxa"/>
            <w:tcBorders>
              <w:top w:val="single" w:sz="4" w:space="0" w:color="auto"/>
            </w:tcBorders>
            <w:shd w:val="clear" w:color="auto" w:fill="auto"/>
          </w:tcPr>
          <w:p w14:paraId="55CCCA8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24.14</w:t>
            </w:r>
            <w:r w:rsidRPr="00C1299C">
              <w:rPr>
                <w:rFonts w:ascii="Times New Roman" w:hAnsi="Times New Roman" w:cs="Times New Roman"/>
                <w:bCs/>
                <w:szCs w:val="20"/>
              </w:rPr>
              <w:t>±0.03</w:t>
            </w:r>
          </w:p>
        </w:tc>
        <w:tc>
          <w:tcPr>
            <w:tcW w:w="992" w:type="dxa"/>
            <w:tcBorders>
              <w:top w:val="single" w:sz="4" w:space="0" w:color="auto"/>
            </w:tcBorders>
            <w:shd w:val="clear" w:color="auto" w:fill="D6E3BC" w:themeFill="accent3" w:themeFillTint="66"/>
          </w:tcPr>
          <w:p w14:paraId="2C82771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0.82</w:t>
            </w:r>
          </w:p>
        </w:tc>
      </w:tr>
      <w:tr w:rsidR="00C1299C" w:rsidRPr="00C1299C" w14:paraId="5952ADE9" w14:textId="77777777" w:rsidTr="002F59DB">
        <w:trPr>
          <w:trHeight w:val="257"/>
          <w:jc w:val="center"/>
        </w:trPr>
        <w:tc>
          <w:tcPr>
            <w:tcW w:w="1526" w:type="dxa"/>
            <w:shd w:val="clear" w:color="auto" w:fill="auto"/>
          </w:tcPr>
          <w:p w14:paraId="0179FBFF"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O-Ace</w:t>
            </w:r>
          </w:p>
        </w:tc>
        <w:tc>
          <w:tcPr>
            <w:tcW w:w="1276" w:type="dxa"/>
            <w:shd w:val="clear" w:color="auto" w:fill="auto"/>
          </w:tcPr>
          <w:p w14:paraId="3FC50E9F"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24.39</w:t>
            </w:r>
            <w:r w:rsidRPr="00C1299C">
              <w:rPr>
                <w:rFonts w:ascii="Times New Roman" w:hAnsi="Times New Roman" w:cs="Times New Roman"/>
                <w:bCs/>
                <w:szCs w:val="20"/>
              </w:rPr>
              <w:t>±0.03</w:t>
            </w:r>
          </w:p>
        </w:tc>
        <w:tc>
          <w:tcPr>
            <w:tcW w:w="1144" w:type="dxa"/>
            <w:shd w:val="clear" w:color="auto" w:fill="D6E3BC" w:themeFill="accent3" w:themeFillTint="66"/>
          </w:tcPr>
          <w:p w14:paraId="05CED15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1.05</w:t>
            </w:r>
          </w:p>
        </w:tc>
        <w:tc>
          <w:tcPr>
            <w:tcW w:w="1357" w:type="dxa"/>
            <w:shd w:val="clear" w:color="auto" w:fill="auto"/>
          </w:tcPr>
          <w:p w14:paraId="6A40D06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24.39</w:t>
            </w:r>
            <w:r w:rsidRPr="00C1299C">
              <w:rPr>
                <w:rFonts w:ascii="Times New Roman" w:hAnsi="Times New Roman" w:cs="Times New Roman"/>
                <w:bCs/>
                <w:szCs w:val="20"/>
              </w:rPr>
              <w:t>±0.03</w:t>
            </w:r>
          </w:p>
        </w:tc>
        <w:tc>
          <w:tcPr>
            <w:tcW w:w="1053" w:type="dxa"/>
            <w:shd w:val="clear" w:color="auto" w:fill="D6E3BC" w:themeFill="accent3" w:themeFillTint="66"/>
          </w:tcPr>
          <w:p w14:paraId="538850FE"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0.48</w:t>
            </w:r>
          </w:p>
        </w:tc>
        <w:tc>
          <w:tcPr>
            <w:tcW w:w="1417" w:type="dxa"/>
            <w:shd w:val="clear" w:color="auto" w:fill="auto"/>
          </w:tcPr>
          <w:p w14:paraId="2F97FBF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24.39</w:t>
            </w:r>
            <w:r w:rsidRPr="00C1299C">
              <w:rPr>
                <w:rFonts w:ascii="Times New Roman" w:hAnsi="Times New Roman" w:cs="Times New Roman"/>
                <w:bCs/>
                <w:szCs w:val="20"/>
              </w:rPr>
              <w:t>±0.01</w:t>
            </w:r>
          </w:p>
        </w:tc>
        <w:tc>
          <w:tcPr>
            <w:tcW w:w="992" w:type="dxa"/>
            <w:shd w:val="clear" w:color="auto" w:fill="D6E3BC" w:themeFill="accent3" w:themeFillTint="66"/>
          </w:tcPr>
          <w:p w14:paraId="74AAD8F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0.68</w:t>
            </w:r>
          </w:p>
        </w:tc>
      </w:tr>
      <w:tr w:rsidR="00C1299C" w:rsidRPr="00C1299C" w14:paraId="4ABD72BB" w14:textId="77777777" w:rsidTr="002F59DB">
        <w:trPr>
          <w:trHeight w:val="246"/>
          <w:jc w:val="center"/>
        </w:trPr>
        <w:tc>
          <w:tcPr>
            <w:tcW w:w="1526" w:type="dxa"/>
            <w:shd w:val="clear" w:color="auto" w:fill="auto"/>
          </w:tcPr>
          <w:p w14:paraId="53E69B62"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O-EtOH</w:t>
            </w:r>
          </w:p>
        </w:tc>
        <w:tc>
          <w:tcPr>
            <w:tcW w:w="1276" w:type="dxa"/>
            <w:shd w:val="clear" w:color="auto" w:fill="auto"/>
          </w:tcPr>
          <w:p w14:paraId="50E3F35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24.31</w:t>
            </w:r>
            <w:r w:rsidRPr="00C1299C">
              <w:rPr>
                <w:rFonts w:ascii="Times New Roman" w:hAnsi="Times New Roman" w:cs="Times New Roman"/>
                <w:bCs/>
                <w:szCs w:val="20"/>
              </w:rPr>
              <w:t>±0.02</w:t>
            </w:r>
          </w:p>
        </w:tc>
        <w:tc>
          <w:tcPr>
            <w:tcW w:w="1144" w:type="dxa"/>
            <w:shd w:val="clear" w:color="auto" w:fill="D6E3BC" w:themeFill="accent3" w:themeFillTint="66"/>
          </w:tcPr>
          <w:p w14:paraId="53FB2A4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1.08</w:t>
            </w:r>
          </w:p>
        </w:tc>
        <w:tc>
          <w:tcPr>
            <w:tcW w:w="1357" w:type="dxa"/>
            <w:shd w:val="clear" w:color="auto" w:fill="auto"/>
          </w:tcPr>
          <w:p w14:paraId="65926958"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24.31</w:t>
            </w:r>
            <w:r w:rsidRPr="00C1299C">
              <w:rPr>
                <w:rFonts w:ascii="Times New Roman" w:hAnsi="Times New Roman" w:cs="Times New Roman"/>
                <w:bCs/>
                <w:szCs w:val="20"/>
              </w:rPr>
              <w:t>±0.03</w:t>
            </w:r>
          </w:p>
        </w:tc>
        <w:tc>
          <w:tcPr>
            <w:tcW w:w="1053" w:type="dxa"/>
            <w:shd w:val="clear" w:color="auto" w:fill="D6E3BC" w:themeFill="accent3" w:themeFillTint="66"/>
          </w:tcPr>
          <w:p w14:paraId="3CE0369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0.48</w:t>
            </w:r>
          </w:p>
        </w:tc>
        <w:tc>
          <w:tcPr>
            <w:tcW w:w="1417" w:type="dxa"/>
            <w:shd w:val="clear" w:color="auto" w:fill="auto"/>
          </w:tcPr>
          <w:p w14:paraId="009B7F6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24.31</w:t>
            </w:r>
            <w:r w:rsidRPr="00C1299C">
              <w:rPr>
                <w:rFonts w:ascii="Times New Roman" w:hAnsi="Times New Roman" w:cs="Times New Roman"/>
                <w:bCs/>
                <w:szCs w:val="20"/>
              </w:rPr>
              <w:t>±0.01</w:t>
            </w:r>
          </w:p>
        </w:tc>
        <w:tc>
          <w:tcPr>
            <w:tcW w:w="992" w:type="dxa"/>
            <w:shd w:val="clear" w:color="auto" w:fill="D6E3BC" w:themeFill="accent3" w:themeFillTint="66"/>
          </w:tcPr>
          <w:p w14:paraId="6874250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0.67</w:t>
            </w:r>
          </w:p>
        </w:tc>
      </w:tr>
      <w:tr w:rsidR="00C1299C" w:rsidRPr="00C1299C" w14:paraId="0C09B6B5" w14:textId="77777777" w:rsidTr="002F59DB">
        <w:trPr>
          <w:trHeight w:val="257"/>
          <w:jc w:val="center"/>
        </w:trPr>
        <w:tc>
          <w:tcPr>
            <w:tcW w:w="1526" w:type="dxa"/>
            <w:shd w:val="clear" w:color="auto" w:fill="auto"/>
          </w:tcPr>
          <w:p w14:paraId="60E75888"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O-ACN</w:t>
            </w:r>
          </w:p>
        </w:tc>
        <w:tc>
          <w:tcPr>
            <w:tcW w:w="1276" w:type="dxa"/>
            <w:shd w:val="clear" w:color="auto" w:fill="auto"/>
          </w:tcPr>
          <w:p w14:paraId="263C4920"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24.51</w:t>
            </w:r>
            <w:r w:rsidRPr="00C1299C">
              <w:rPr>
                <w:rFonts w:ascii="Times New Roman" w:hAnsi="Times New Roman" w:cs="Times New Roman"/>
                <w:bCs/>
                <w:szCs w:val="20"/>
              </w:rPr>
              <w:t>±0.02</w:t>
            </w:r>
          </w:p>
        </w:tc>
        <w:tc>
          <w:tcPr>
            <w:tcW w:w="1144" w:type="dxa"/>
            <w:shd w:val="clear" w:color="auto" w:fill="D6E3BC" w:themeFill="accent3" w:themeFillTint="66"/>
          </w:tcPr>
          <w:p w14:paraId="71CE23C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1.02</w:t>
            </w:r>
          </w:p>
        </w:tc>
        <w:tc>
          <w:tcPr>
            <w:tcW w:w="1357" w:type="dxa"/>
            <w:shd w:val="clear" w:color="auto" w:fill="auto"/>
          </w:tcPr>
          <w:p w14:paraId="0C40146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24.51</w:t>
            </w:r>
            <w:r w:rsidRPr="00C1299C">
              <w:rPr>
                <w:rFonts w:ascii="Times New Roman" w:hAnsi="Times New Roman" w:cs="Times New Roman"/>
                <w:bCs/>
                <w:szCs w:val="20"/>
              </w:rPr>
              <w:t>±0.04</w:t>
            </w:r>
          </w:p>
        </w:tc>
        <w:tc>
          <w:tcPr>
            <w:tcW w:w="1053" w:type="dxa"/>
            <w:shd w:val="clear" w:color="auto" w:fill="D6E3BC" w:themeFill="accent3" w:themeFillTint="66"/>
          </w:tcPr>
          <w:p w14:paraId="115BEF1E"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0.41</w:t>
            </w:r>
          </w:p>
        </w:tc>
        <w:tc>
          <w:tcPr>
            <w:tcW w:w="1417" w:type="dxa"/>
            <w:shd w:val="clear" w:color="auto" w:fill="auto"/>
          </w:tcPr>
          <w:p w14:paraId="0EF105C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24.51</w:t>
            </w:r>
            <w:r w:rsidRPr="00C1299C">
              <w:rPr>
                <w:rFonts w:ascii="Times New Roman" w:hAnsi="Times New Roman" w:cs="Times New Roman"/>
                <w:bCs/>
                <w:szCs w:val="20"/>
              </w:rPr>
              <w:t>±0.01</w:t>
            </w:r>
          </w:p>
        </w:tc>
        <w:tc>
          <w:tcPr>
            <w:tcW w:w="992" w:type="dxa"/>
            <w:shd w:val="clear" w:color="auto" w:fill="D6E3BC" w:themeFill="accent3" w:themeFillTint="66"/>
          </w:tcPr>
          <w:p w14:paraId="4F7664E6"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0.82</w:t>
            </w:r>
          </w:p>
        </w:tc>
      </w:tr>
      <w:tr w:rsidR="00C1299C" w:rsidRPr="00C1299C" w14:paraId="5A995C3E" w14:textId="77777777" w:rsidTr="002F59DB">
        <w:trPr>
          <w:trHeight w:val="246"/>
          <w:jc w:val="center"/>
        </w:trPr>
        <w:tc>
          <w:tcPr>
            <w:tcW w:w="1526" w:type="dxa"/>
            <w:shd w:val="clear" w:color="auto" w:fill="auto"/>
          </w:tcPr>
          <w:p w14:paraId="6BB2E77D"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O-iPrOH</w:t>
            </w:r>
          </w:p>
        </w:tc>
        <w:tc>
          <w:tcPr>
            <w:tcW w:w="1276" w:type="dxa"/>
            <w:shd w:val="clear" w:color="auto" w:fill="auto"/>
          </w:tcPr>
          <w:p w14:paraId="496786E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24.62</w:t>
            </w:r>
            <w:r w:rsidRPr="00C1299C">
              <w:rPr>
                <w:rFonts w:ascii="Times New Roman" w:hAnsi="Times New Roman" w:cs="Times New Roman"/>
                <w:bCs/>
                <w:szCs w:val="20"/>
              </w:rPr>
              <w:t>±0.02</w:t>
            </w:r>
          </w:p>
        </w:tc>
        <w:tc>
          <w:tcPr>
            <w:tcW w:w="1144" w:type="dxa"/>
            <w:shd w:val="clear" w:color="auto" w:fill="D6E3BC" w:themeFill="accent3" w:themeFillTint="66"/>
          </w:tcPr>
          <w:p w14:paraId="23AFBD6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0.99</w:t>
            </w:r>
          </w:p>
        </w:tc>
        <w:tc>
          <w:tcPr>
            <w:tcW w:w="1357" w:type="dxa"/>
            <w:shd w:val="clear" w:color="auto" w:fill="auto"/>
          </w:tcPr>
          <w:p w14:paraId="28024F6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24.62</w:t>
            </w:r>
            <w:r w:rsidRPr="00C1299C">
              <w:rPr>
                <w:rFonts w:ascii="Times New Roman" w:hAnsi="Times New Roman" w:cs="Times New Roman"/>
                <w:bCs/>
                <w:szCs w:val="20"/>
              </w:rPr>
              <w:t>±0.03</w:t>
            </w:r>
          </w:p>
        </w:tc>
        <w:tc>
          <w:tcPr>
            <w:tcW w:w="1053" w:type="dxa"/>
            <w:shd w:val="clear" w:color="auto" w:fill="D6E3BC" w:themeFill="accent3" w:themeFillTint="66"/>
          </w:tcPr>
          <w:p w14:paraId="7BAC9EE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0.57</w:t>
            </w:r>
          </w:p>
        </w:tc>
        <w:tc>
          <w:tcPr>
            <w:tcW w:w="1417" w:type="dxa"/>
            <w:shd w:val="clear" w:color="auto" w:fill="auto"/>
          </w:tcPr>
          <w:p w14:paraId="2858A2C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24.62</w:t>
            </w:r>
            <w:r w:rsidRPr="00C1299C">
              <w:rPr>
                <w:rFonts w:ascii="Times New Roman" w:hAnsi="Times New Roman" w:cs="Times New Roman"/>
                <w:bCs/>
                <w:szCs w:val="20"/>
              </w:rPr>
              <w:t>±0.01</w:t>
            </w:r>
          </w:p>
        </w:tc>
        <w:tc>
          <w:tcPr>
            <w:tcW w:w="992" w:type="dxa"/>
            <w:shd w:val="clear" w:color="auto" w:fill="D6E3BC" w:themeFill="accent3" w:themeFillTint="66"/>
          </w:tcPr>
          <w:p w14:paraId="6B69F2E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0.65</w:t>
            </w:r>
          </w:p>
        </w:tc>
      </w:tr>
      <w:tr w:rsidR="00C1299C" w:rsidRPr="00C1299C" w14:paraId="300A1F6C" w14:textId="77777777" w:rsidTr="002F59DB">
        <w:trPr>
          <w:trHeight w:val="257"/>
          <w:jc w:val="center"/>
        </w:trPr>
        <w:tc>
          <w:tcPr>
            <w:tcW w:w="1526" w:type="dxa"/>
            <w:shd w:val="clear" w:color="auto" w:fill="auto"/>
          </w:tcPr>
          <w:p w14:paraId="487490F6"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O-DMSO</w:t>
            </w:r>
          </w:p>
        </w:tc>
        <w:tc>
          <w:tcPr>
            <w:tcW w:w="1276" w:type="dxa"/>
            <w:shd w:val="clear" w:color="auto" w:fill="auto"/>
          </w:tcPr>
          <w:p w14:paraId="3AEA106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23.88</w:t>
            </w:r>
            <w:r w:rsidRPr="00C1299C">
              <w:rPr>
                <w:rFonts w:ascii="Times New Roman" w:hAnsi="Times New Roman" w:cs="Times New Roman"/>
                <w:bCs/>
                <w:szCs w:val="20"/>
              </w:rPr>
              <w:t>±0.02</w:t>
            </w:r>
          </w:p>
        </w:tc>
        <w:tc>
          <w:tcPr>
            <w:tcW w:w="1144" w:type="dxa"/>
            <w:shd w:val="clear" w:color="auto" w:fill="D6E3BC" w:themeFill="accent3" w:themeFillTint="66"/>
          </w:tcPr>
          <w:p w14:paraId="4084DE0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1.20</w:t>
            </w:r>
          </w:p>
        </w:tc>
        <w:tc>
          <w:tcPr>
            <w:tcW w:w="1357" w:type="dxa"/>
            <w:shd w:val="clear" w:color="auto" w:fill="auto"/>
          </w:tcPr>
          <w:p w14:paraId="4446370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23.88</w:t>
            </w:r>
            <w:r w:rsidRPr="00C1299C">
              <w:rPr>
                <w:rFonts w:ascii="Times New Roman" w:hAnsi="Times New Roman" w:cs="Times New Roman"/>
                <w:bCs/>
                <w:szCs w:val="20"/>
              </w:rPr>
              <w:t>±0.02</w:t>
            </w:r>
          </w:p>
        </w:tc>
        <w:tc>
          <w:tcPr>
            <w:tcW w:w="1053" w:type="dxa"/>
            <w:shd w:val="clear" w:color="auto" w:fill="D6E3BC" w:themeFill="accent3" w:themeFillTint="66"/>
          </w:tcPr>
          <w:p w14:paraId="54BA509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0.43</w:t>
            </w:r>
          </w:p>
        </w:tc>
        <w:tc>
          <w:tcPr>
            <w:tcW w:w="1417" w:type="dxa"/>
            <w:shd w:val="clear" w:color="auto" w:fill="auto"/>
          </w:tcPr>
          <w:p w14:paraId="0AB1FE5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23.88</w:t>
            </w:r>
            <w:r w:rsidRPr="00C1299C">
              <w:rPr>
                <w:rFonts w:ascii="Times New Roman" w:hAnsi="Times New Roman" w:cs="Times New Roman"/>
                <w:bCs/>
                <w:szCs w:val="20"/>
              </w:rPr>
              <w:t>±0.03</w:t>
            </w:r>
          </w:p>
        </w:tc>
        <w:tc>
          <w:tcPr>
            <w:tcW w:w="992" w:type="dxa"/>
            <w:shd w:val="clear" w:color="auto" w:fill="D6E3BC" w:themeFill="accent3" w:themeFillTint="66"/>
          </w:tcPr>
          <w:p w14:paraId="6977B290"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0.58</w:t>
            </w:r>
          </w:p>
        </w:tc>
      </w:tr>
      <w:tr w:rsidR="00C1299C" w:rsidRPr="00C1299C" w14:paraId="0286FACF" w14:textId="77777777" w:rsidTr="002F59DB">
        <w:trPr>
          <w:trHeight w:val="246"/>
          <w:jc w:val="center"/>
        </w:trPr>
        <w:tc>
          <w:tcPr>
            <w:tcW w:w="1526" w:type="dxa"/>
            <w:shd w:val="clear" w:color="auto" w:fill="auto"/>
          </w:tcPr>
          <w:p w14:paraId="0F64354C"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O-DMF</w:t>
            </w:r>
          </w:p>
        </w:tc>
        <w:tc>
          <w:tcPr>
            <w:tcW w:w="1276" w:type="dxa"/>
            <w:shd w:val="clear" w:color="auto" w:fill="auto"/>
          </w:tcPr>
          <w:p w14:paraId="125D6DE4"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24.08</w:t>
            </w:r>
            <w:r w:rsidRPr="00C1299C">
              <w:rPr>
                <w:rFonts w:ascii="Times New Roman" w:hAnsi="Times New Roman" w:cs="Times New Roman"/>
                <w:bCs/>
                <w:szCs w:val="20"/>
              </w:rPr>
              <w:t>±0.01</w:t>
            </w:r>
          </w:p>
        </w:tc>
        <w:tc>
          <w:tcPr>
            <w:tcW w:w="1144" w:type="dxa"/>
            <w:shd w:val="clear" w:color="auto" w:fill="D6E3BC" w:themeFill="accent3" w:themeFillTint="66"/>
          </w:tcPr>
          <w:p w14:paraId="254D9008"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1.14</w:t>
            </w:r>
          </w:p>
        </w:tc>
        <w:tc>
          <w:tcPr>
            <w:tcW w:w="1357" w:type="dxa"/>
            <w:shd w:val="clear" w:color="auto" w:fill="auto"/>
          </w:tcPr>
          <w:p w14:paraId="2B9B525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24.08</w:t>
            </w:r>
            <w:r w:rsidRPr="00C1299C">
              <w:rPr>
                <w:rFonts w:ascii="Times New Roman" w:hAnsi="Times New Roman" w:cs="Times New Roman"/>
                <w:bCs/>
                <w:szCs w:val="20"/>
              </w:rPr>
              <w:t>±0.02</w:t>
            </w:r>
          </w:p>
        </w:tc>
        <w:tc>
          <w:tcPr>
            <w:tcW w:w="1053" w:type="dxa"/>
            <w:shd w:val="clear" w:color="auto" w:fill="D6E3BC" w:themeFill="accent3" w:themeFillTint="66"/>
          </w:tcPr>
          <w:p w14:paraId="00B24F0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0.48</w:t>
            </w:r>
          </w:p>
        </w:tc>
        <w:tc>
          <w:tcPr>
            <w:tcW w:w="1417" w:type="dxa"/>
            <w:shd w:val="clear" w:color="auto" w:fill="auto"/>
          </w:tcPr>
          <w:p w14:paraId="538EE30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24.08</w:t>
            </w:r>
            <w:r w:rsidRPr="00C1299C">
              <w:rPr>
                <w:rFonts w:ascii="Times New Roman" w:hAnsi="Times New Roman" w:cs="Times New Roman"/>
                <w:bCs/>
                <w:szCs w:val="20"/>
              </w:rPr>
              <w:t>±0.03</w:t>
            </w:r>
          </w:p>
        </w:tc>
        <w:tc>
          <w:tcPr>
            <w:tcW w:w="992" w:type="dxa"/>
            <w:shd w:val="clear" w:color="auto" w:fill="D6E3BC" w:themeFill="accent3" w:themeFillTint="66"/>
          </w:tcPr>
          <w:p w14:paraId="2BA8B726"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0.62</w:t>
            </w:r>
          </w:p>
        </w:tc>
      </w:tr>
      <w:tr w:rsidR="00C1299C" w:rsidRPr="00C1299C" w14:paraId="063A926B" w14:textId="77777777" w:rsidTr="002F59DB">
        <w:trPr>
          <w:trHeight w:val="246"/>
          <w:jc w:val="center"/>
        </w:trPr>
        <w:tc>
          <w:tcPr>
            <w:tcW w:w="1526" w:type="dxa"/>
            <w:tcBorders>
              <w:bottom w:val="single" w:sz="4" w:space="0" w:color="auto"/>
            </w:tcBorders>
            <w:shd w:val="clear" w:color="auto" w:fill="auto"/>
          </w:tcPr>
          <w:p w14:paraId="0F508E0D"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H</w:t>
            </w:r>
            <w:r w:rsidRPr="00C1299C">
              <w:rPr>
                <w:rFonts w:ascii="Times New Roman" w:eastAsia="Calibri" w:hAnsi="Times New Roman" w:cs="Times New Roman"/>
                <w:szCs w:val="20"/>
                <w:vertAlign w:val="subscript"/>
              </w:rPr>
              <w:t>2</w:t>
            </w:r>
            <w:r w:rsidRPr="00C1299C">
              <w:rPr>
                <w:rFonts w:ascii="Times New Roman" w:eastAsia="Calibri" w:hAnsi="Times New Roman" w:cs="Times New Roman"/>
                <w:szCs w:val="20"/>
              </w:rPr>
              <w:t>O-THF</w:t>
            </w:r>
          </w:p>
        </w:tc>
        <w:tc>
          <w:tcPr>
            <w:tcW w:w="1276" w:type="dxa"/>
            <w:tcBorders>
              <w:bottom w:val="single" w:sz="4" w:space="0" w:color="auto"/>
            </w:tcBorders>
            <w:shd w:val="clear" w:color="auto" w:fill="auto"/>
          </w:tcPr>
          <w:p w14:paraId="20663AB4"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24.98</w:t>
            </w:r>
            <w:r w:rsidRPr="00C1299C">
              <w:rPr>
                <w:rFonts w:ascii="Times New Roman" w:hAnsi="Times New Roman" w:cs="Times New Roman"/>
                <w:bCs/>
                <w:szCs w:val="20"/>
              </w:rPr>
              <w:t>±0.02</w:t>
            </w:r>
          </w:p>
        </w:tc>
        <w:tc>
          <w:tcPr>
            <w:tcW w:w="1144" w:type="dxa"/>
            <w:tcBorders>
              <w:bottom w:val="single" w:sz="4" w:space="0" w:color="auto"/>
            </w:tcBorders>
            <w:shd w:val="clear" w:color="auto" w:fill="D6E3BC" w:themeFill="accent3" w:themeFillTint="66"/>
          </w:tcPr>
          <w:p w14:paraId="0CE6DBC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0.89</w:t>
            </w:r>
          </w:p>
        </w:tc>
        <w:tc>
          <w:tcPr>
            <w:tcW w:w="1357" w:type="dxa"/>
            <w:tcBorders>
              <w:bottom w:val="single" w:sz="4" w:space="0" w:color="auto"/>
            </w:tcBorders>
            <w:shd w:val="clear" w:color="auto" w:fill="auto"/>
          </w:tcPr>
          <w:p w14:paraId="0F8AAA6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24.98</w:t>
            </w:r>
            <w:r w:rsidRPr="00C1299C">
              <w:rPr>
                <w:rFonts w:ascii="Times New Roman" w:hAnsi="Times New Roman" w:cs="Times New Roman"/>
                <w:bCs/>
                <w:szCs w:val="20"/>
              </w:rPr>
              <w:t>±0.02</w:t>
            </w:r>
          </w:p>
        </w:tc>
        <w:tc>
          <w:tcPr>
            <w:tcW w:w="1053" w:type="dxa"/>
            <w:tcBorders>
              <w:bottom w:val="single" w:sz="4" w:space="0" w:color="auto"/>
            </w:tcBorders>
            <w:shd w:val="clear" w:color="auto" w:fill="D6E3BC" w:themeFill="accent3" w:themeFillTint="66"/>
          </w:tcPr>
          <w:p w14:paraId="55B7F8F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0.60</w:t>
            </w:r>
          </w:p>
        </w:tc>
        <w:tc>
          <w:tcPr>
            <w:tcW w:w="1417" w:type="dxa"/>
            <w:tcBorders>
              <w:bottom w:val="single" w:sz="4" w:space="0" w:color="auto"/>
            </w:tcBorders>
            <w:shd w:val="clear" w:color="auto" w:fill="auto"/>
          </w:tcPr>
          <w:p w14:paraId="0DD7543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24.98</w:t>
            </w:r>
            <w:r w:rsidRPr="00C1299C">
              <w:rPr>
                <w:rFonts w:ascii="Times New Roman" w:hAnsi="Times New Roman" w:cs="Times New Roman"/>
                <w:bCs/>
                <w:szCs w:val="20"/>
              </w:rPr>
              <w:t>±0.01</w:t>
            </w:r>
          </w:p>
        </w:tc>
        <w:tc>
          <w:tcPr>
            <w:tcW w:w="992" w:type="dxa"/>
            <w:tcBorders>
              <w:bottom w:val="single" w:sz="4" w:space="0" w:color="auto"/>
            </w:tcBorders>
            <w:shd w:val="clear" w:color="auto" w:fill="D6E3BC" w:themeFill="accent3" w:themeFillTint="66"/>
          </w:tcPr>
          <w:p w14:paraId="18C63060"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0.64</w:t>
            </w:r>
          </w:p>
        </w:tc>
      </w:tr>
      <w:tr w:rsidR="00C1299C" w:rsidRPr="00C1299C" w14:paraId="486713EF" w14:textId="77777777" w:rsidTr="002F59DB">
        <w:trPr>
          <w:trHeight w:val="334"/>
          <w:jc w:val="center"/>
        </w:trPr>
        <w:tc>
          <w:tcPr>
            <w:tcW w:w="8765" w:type="dxa"/>
            <w:gridSpan w:val="7"/>
            <w:tcBorders>
              <w:top w:val="single" w:sz="4" w:space="0" w:color="auto"/>
              <w:bottom w:val="single" w:sz="4" w:space="0" w:color="auto"/>
            </w:tcBorders>
            <w:shd w:val="clear" w:color="auto" w:fill="auto"/>
          </w:tcPr>
          <w:p w14:paraId="100FC78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Non-aqueous solvent mixture</w:t>
            </w:r>
          </w:p>
        </w:tc>
      </w:tr>
      <w:tr w:rsidR="00C1299C" w:rsidRPr="00C1299C" w14:paraId="3AE6CDBD" w14:textId="77777777" w:rsidTr="002F59DB">
        <w:trPr>
          <w:trHeight w:val="257"/>
          <w:jc w:val="center"/>
        </w:trPr>
        <w:tc>
          <w:tcPr>
            <w:tcW w:w="1526" w:type="dxa"/>
            <w:tcBorders>
              <w:top w:val="single" w:sz="4" w:space="0" w:color="auto"/>
            </w:tcBorders>
            <w:shd w:val="clear" w:color="auto" w:fill="auto"/>
          </w:tcPr>
          <w:p w14:paraId="35749C01"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EtOH-ACN</w:t>
            </w:r>
          </w:p>
        </w:tc>
        <w:tc>
          <w:tcPr>
            <w:tcW w:w="1276" w:type="dxa"/>
            <w:tcBorders>
              <w:top w:val="single" w:sz="4" w:space="0" w:color="auto"/>
            </w:tcBorders>
            <w:shd w:val="clear" w:color="auto" w:fill="auto"/>
          </w:tcPr>
          <w:p w14:paraId="5591A69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25.46</w:t>
            </w:r>
            <w:r w:rsidRPr="00C1299C">
              <w:rPr>
                <w:rFonts w:ascii="Times New Roman" w:hAnsi="Times New Roman" w:cs="Times New Roman"/>
                <w:bCs/>
                <w:szCs w:val="20"/>
              </w:rPr>
              <w:t>±0.02</w:t>
            </w:r>
          </w:p>
        </w:tc>
        <w:tc>
          <w:tcPr>
            <w:tcW w:w="1144" w:type="dxa"/>
            <w:tcBorders>
              <w:top w:val="single" w:sz="4" w:space="0" w:color="auto"/>
            </w:tcBorders>
            <w:shd w:val="clear" w:color="auto" w:fill="D6E3BC" w:themeFill="accent3" w:themeFillTint="66"/>
          </w:tcPr>
          <w:p w14:paraId="4FB0824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0.75</w:t>
            </w:r>
          </w:p>
        </w:tc>
        <w:tc>
          <w:tcPr>
            <w:tcW w:w="1357" w:type="dxa"/>
            <w:tcBorders>
              <w:top w:val="single" w:sz="4" w:space="0" w:color="auto"/>
            </w:tcBorders>
            <w:shd w:val="clear" w:color="auto" w:fill="auto"/>
          </w:tcPr>
          <w:p w14:paraId="41821FE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25.46</w:t>
            </w:r>
            <w:r w:rsidRPr="00C1299C">
              <w:rPr>
                <w:rFonts w:ascii="Times New Roman" w:hAnsi="Times New Roman" w:cs="Times New Roman"/>
                <w:bCs/>
                <w:szCs w:val="20"/>
              </w:rPr>
              <w:t>±0.05</w:t>
            </w:r>
          </w:p>
        </w:tc>
        <w:tc>
          <w:tcPr>
            <w:tcW w:w="1053" w:type="dxa"/>
            <w:tcBorders>
              <w:top w:val="single" w:sz="4" w:space="0" w:color="auto"/>
            </w:tcBorders>
            <w:shd w:val="clear" w:color="auto" w:fill="D6E3BC" w:themeFill="accent3" w:themeFillTint="66"/>
          </w:tcPr>
          <w:p w14:paraId="380EB96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0.51</w:t>
            </w:r>
          </w:p>
        </w:tc>
        <w:tc>
          <w:tcPr>
            <w:tcW w:w="1417" w:type="dxa"/>
            <w:tcBorders>
              <w:top w:val="single" w:sz="4" w:space="0" w:color="auto"/>
            </w:tcBorders>
            <w:shd w:val="clear" w:color="auto" w:fill="auto"/>
          </w:tcPr>
          <w:p w14:paraId="27EBB87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25.46</w:t>
            </w:r>
            <w:r w:rsidRPr="00C1299C">
              <w:rPr>
                <w:rFonts w:ascii="Times New Roman" w:hAnsi="Times New Roman" w:cs="Times New Roman"/>
                <w:bCs/>
                <w:szCs w:val="20"/>
              </w:rPr>
              <w:t>±0.001</w:t>
            </w:r>
          </w:p>
        </w:tc>
        <w:tc>
          <w:tcPr>
            <w:tcW w:w="992" w:type="dxa"/>
            <w:tcBorders>
              <w:top w:val="single" w:sz="4" w:space="0" w:color="auto"/>
            </w:tcBorders>
            <w:shd w:val="clear" w:color="auto" w:fill="D6E3BC" w:themeFill="accent3" w:themeFillTint="66"/>
          </w:tcPr>
          <w:p w14:paraId="1910F72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0.82</w:t>
            </w:r>
          </w:p>
        </w:tc>
      </w:tr>
      <w:tr w:rsidR="00C1299C" w:rsidRPr="00C1299C" w14:paraId="651BDFAD" w14:textId="77777777" w:rsidTr="002F59DB">
        <w:trPr>
          <w:trHeight w:val="246"/>
          <w:jc w:val="center"/>
        </w:trPr>
        <w:tc>
          <w:tcPr>
            <w:tcW w:w="1526" w:type="dxa"/>
            <w:shd w:val="clear" w:color="auto" w:fill="auto"/>
          </w:tcPr>
          <w:p w14:paraId="436FB070"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EtOH-Ace</w:t>
            </w:r>
          </w:p>
        </w:tc>
        <w:tc>
          <w:tcPr>
            <w:tcW w:w="1276" w:type="dxa"/>
            <w:shd w:val="clear" w:color="auto" w:fill="auto"/>
          </w:tcPr>
          <w:p w14:paraId="2ED09E4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25.64</w:t>
            </w:r>
            <w:r w:rsidRPr="00C1299C">
              <w:rPr>
                <w:rFonts w:ascii="Times New Roman" w:hAnsi="Times New Roman" w:cs="Times New Roman"/>
                <w:bCs/>
                <w:szCs w:val="20"/>
              </w:rPr>
              <w:t>±0.02</w:t>
            </w:r>
          </w:p>
        </w:tc>
        <w:tc>
          <w:tcPr>
            <w:tcW w:w="1144" w:type="dxa"/>
            <w:shd w:val="clear" w:color="auto" w:fill="D6E3BC" w:themeFill="accent3" w:themeFillTint="66"/>
          </w:tcPr>
          <w:p w14:paraId="1455626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0.70</w:t>
            </w:r>
          </w:p>
        </w:tc>
        <w:tc>
          <w:tcPr>
            <w:tcW w:w="1357" w:type="dxa"/>
            <w:shd w:val="clear" w:color="auto" w:fill="auto"/>
          </w:tcPr>
          <w:p w14:paraId="2AAD34B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25.64</w:t>
            </w:r>
            <w:r w:rsidRPr="00C1299C">
              <w:rPr>
                <w:rFonts w:ascii="Times New Roman" w:hAnsi="Times New Roman" w:cs="Times New Roman"/>
                <w:bCs/>
                <w:szCs w:val="20"/>
              </w:rPr>
              <w:t>±0.03</w:t>
            </w:r>
          </w:p>
        </w:tc>
        <w:tc>
          <w:tcPr>
            <w:tcW w:w="1053" w:type="dxa"/>
            <w:shd w:val="clear" w:color="auto" w:fill="D6E3BC" w:themeFill="accent3" w:themeFillTint="66"/>
          </w:tcPr>
          <w:p w14:paraId="51CBC012"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0.59</w:t>
            </w:r>
          </w:p>
        </w:tc>
        <w:tc>
          <w:tcPr>
            <w:tcW w:w="1417" w:type="dxa"/>
            <w:shd w:val="clear" w:color="auto" w:fill="auto"/>
          </w:tcPr>
          <w:p w14:paraId="109454D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25.64</w:t>
            </w:r>
            <w:r w:rsidRPr="00C1299C">
              <w:rPr>
                <w:rFonts w:ascii="Times New Roman" w:hAnsi="Times New Roman" w:cs="Times New Roman"/>
                <w:bCs/>
                <w:szCs w:val="20"/>
              </w:rPr>
              <w:t>±0.01</w:t>
            </w:r>
          </w:p>
        </w:tc>
        <w:tc>
          <w:tcPr>
            <w:tcW w:w="992" w:type="dxa"/>
            <w:shd w:val="clear" w:color="auto" w:fill="D6E3BC" w:themeFill="accent3" w:themeFillTint="66"/>
          </w:tcPr>
          <w:p w14:paraId="2587C84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0.76</w:t>
            </w:r>
          </w:p>
        </w:tc>
      </w:tr>
      <w:tr w:rsidR="00C1299C" w:rsidRPr="00C1299C" w14:paraId="6C38FB50" w14:textId="77777777" w:rsidTr="002F59DB">
        <w:trPr>
          <w:trHeight w:val="257"/>
          <w:jc w:val="center"/>
        </w:trPr>
        <w:tc>
          <w:tcPr>
            <w:tcW w:w="1526" w:type="dxa"/>
            <w:shd w:val="clear" w:color="auto" w:fill="auto"/>
          </w:tcPr>
          <w:p w14:paraId="7960E867"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EtOH-DMF</w:t>
            </w:r>
          </w:p>
        </w:tc>
        <w:tc>
          <w:tcPr>
            <w:tcW w:w="1276" w:type="dxa"/>
            <w:shd w:val="clear" w:color="auto" w:fill="auto"/>
          </w:tcPr>
          <w:p w14:paraId="15C0C19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25.36</w:t>
            </w:r>
            <w:r w:rsidRPr="00C1299C">
              <w:rPr>
                <w:rFonts w:ascii="Times New Roman" w:hAnsi="Times New Roman" w:cs="Times New Roman"/>
                <w:bCs/>
                <w:szCs w:val="20"/>
              </w:rPr>
              <w:t>±0.02</w:t>
            </w:r>
          </w:p>
        </w:tc>
        <w:tc>
          <w:tcPr>
            <w:tcW w:w="1144" w:type="dxa"/>
            <w:shd w:val="clear" w:color="auto" w:fill="D6E3BC" w:themeFill="accent3" w:themeFillTint="66"/>
          </w:tcPr>
          <w:p w14:paraId="1ECF6F3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0.78</w:t>
            </w:r>
          </w:p>
        </w:tc>
        <w:tc>
          <w:tcPr>
            <w:tcW w:w="1357" w:type="dxa"/>
            <w:shd w:val="clear" w:color="auto" w:fill="auto"/>
          </w:tcPr>
          <w:p w14:paraId="16EB1F2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25.36</w:t>
            </w:r>
            <w:r w:rsidRPr="00C1299C">
              <w:rPr>
                <w:rFonts w:ascii="Times New Roman" w:hAnsi="Times New Roman" w:cs="Times New Roman"/>
                <w:bCs/>
                <w:szCs w:val="20"/>
              </w:rPr>
              <w:t>±0.04</w:t>
            </w:r>
          </w:p>
        </w:tc>
        <w:tc>
          <w:tcPr>
            <w:tcW w:w="1053" w:type="dxa"/>
            <w:shd w:val="clear" w:color="auto" w:fill="D6E3BC" w:themeFill="accent3" w:themeFillTint="66"/>
          </w:tcPr>
          <w:p w14:paraId="5517B4A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0.65</w:t>
            </w:r>
          </w:p>
        </w:tc>
        <w:tc>
          <w:tcPr>
            <w:tcW w:w="1417" w:type="dxa"/>
            <w:shd w:val="clear" w:color="auto" w:fill="auto"/>
          </w:tcPr>
          <w:p w14:paraId="097B1496"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25.36</w:t>
            </w:r>
            <w:r w:rsidRPr="00C1299C">
              <w:rPr>
                <w:rFonts w:ascii="Times New Roman" w:hAnsi="Times New Roman" w:cs="Times New Roman"/>
                <w:bCs/>
                <w:szCs w:val="20"/>
              </w:rPr>
              <w:t>±0.02</w:t>
            </w:r>
          </w:p>
        </w:tc>
        <w:tc>
          <w:tcPr>
            <w:tcW w:w="992" w:type="dxa"/>
            <w:shd w:val="clear" w:color="auto" w:fill="D6E3BC" w:themeFill="accent3" w:themeFillTint="66"/>
          </w:tcPr>
          <w:p w14:paraId="51D179C2"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0.67</w:t>
            </w:r>
          </w:p>
        </w:tc>
      </w:tr>
      <w:tr w:rsidR="00C1299C" w:rsidRPr="00C1299C" w14:paraId="21160C5E" w14:textId="77777777" w:rsidTr="002F59DB">
        <w:trPr>
          <w:trHeight w:val="246"/>
          <w:jc w:val="center"/>
        </w:trPr>
        <w:tc>
          <w:tcPr>
            <w:tcW w:w="1526" w:type="dxa"/>
            <w:shd w:val="clear" w:color="auto" w:fill="auto"/>
          </w:tcPr>
          <w:p w14:paraId="610E2538"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EtOH-DMSO</w:t>
            </w:r>
          </w:p>
        </w:tc>
        <w:tc>
          <w:tcPr>
            <w:tcW w:w="1276" w:type="dxa"/>
            <w:shd w:val="clear" w:color="auto" w:fill="auto"/>
          </w:tcPr>
          <w:p w14:paraId="76B6CA9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25.17</w:t>
            </w:r>
            <w:r w:rsidRPr="00C1299C">
              <w:rPr>
                <w:rFonts w:ascii="Times New Roman" w:hAnsi="Times New Roman" w:cs="Times New Roman"/>
                <w:bCs/>
                <w:szCs w:val="20"/>
              </w:rPr>
              <w:t>±0.02</w:t>
            </w:r>
          </w:p>
        </w:tc>
        <w:tc>
          <w:tcPr>
            <w:tcW w:w="1144" w:type="dxa"/>
            <w:shd w:val="clear" w:color="auto" w:fill="D6E3BC" w:themeFill="accent3" w:themeFillTint="66"/>
          </w:tcPr>
          <w:p w14:paraId="5D87806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0.83</w:t>
            </w:r>
          </w:p>
        </w:tc>
        <w:tc>
          <w:tcPr>
            <w:tcW w:w="1357" w:type="dxa"/>
            <w:shd w:val="clear" w:color="auto" w:fill="auto"/>
          </w:tcPr>
          <w:p w14:paraId="32562FC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25.17</w:t>
            </w:r>
            <w:r w:rsidRPr="00C1299C">
              <w:rPr>
                <w:rFonts w:ascii="Times New Roman" w:hAnsi="Times New Roman" w:cs="Times New Roman"/>
                <w:bCs/>
                <w:szCs w:val="20"/>
              </w:rPr>
              <w:t>±0.04</w:t>
            </w:r>
          </w:p>
        </w:tc>
        <w:tc>
          <w:tcPr>
            <w:tcW w:w="1053" w:type="dxa"/>
            <w:shd w:val="clear" w:color="auto" w:fill="D6E3BC" w:themeFill="accent3" w:themeFillTint="66"/>
          </w:tcPr>
          <w:p w14:paraId="2F7309BB"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0.74</w:t>
            </w:r>
          </w:p>
        </w:tc>
        <w:tc>
          <w:tcPr>
            <w:tcW w:w="1417" w:type="dxa"/>
            <w:shd w:val="clear" w:color="auto" w:fill="auto"/>
          </w:tcPr>
          <w:p w14:paraId="6B49261E"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25.17</w:t>
            </w:r>
            <w:r w:rsidRPr="00C1299C">
              <w:rPr>
                <w:rFonts w:ascii="Times New Roman" w:hAnsi="Times New Roman" w:cs="Times New Roman"/>
                <w:bCs/>
                <w:szCs w:val="20"/>
              </w:rPr>
              <w:t>±0.01</w:t>
            </w:r>
          </w:p>
        </w:tc>
        <w:tc>
          <w:tcPr>
            <w:tcW w:w="992" w:type="dxa"/>
            <w:shd w:val="clear" w:color="auto" w:fill="D6E3BC" w:themeFill="accent3" w:themeFillTint="66"/>
          </w:tcPr>
          <w:p w14:paraId="70484F4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0.60</w:t>
            </w:r>
          </w:p>
        </w:tc>
      </w:tr>
      <w:tr w:rsidR="00C1299C" w:rsidRPr="00C1299C" w14:paraId="37C74115" w14:textId="77777777" w:rsidTr="002F59DB">
        <w:trPr>
          <w:trHeight w:val="257"/>
          <w:jc w:val="center"/>
        </w:trPr>
        <w:tc>
          <w:tcPr>
            <w:tcW w:w="1526" w:type="dxa"/>
            <w:shd w:val="clear" w:color="auto" w:fill="auto"/>
          </w:tcPr>
          <w:p w14:paraId="65E54731"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EtOH-THF</w:t>
            </w:r>
          </w:p>
        </w:tc>
        <w:tc>
          <w:tcPr>
            <w:tcW w:w="1276" w:type="dxa"/>
            <w:shd w:val="clear" w:color="auto" w:fill="auto"/>
          </w:tcPr>
          <w:p w14:paraId="27E902D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25.81</w:t>
            </w:r>
            <w:r w:rsidRPr="00C1299C">
              <w:rPr>
                <w:rFonts w:ascii="Times New Roman" w:hAnsi="Times New Roman" w:cs="Times New Roman"/>
                <w:bCs/>
                <w:szCs w:val="20"/>
              </w:rPr>
              <w:t>±0.02</w:t>
            </w:r>
          </w:p>
        </w:tc>
        <w:tc>
          <w:tcPr>
            <w:tcW w:w="1144" w:type="dxa"/>
            <w:shd w:val="clear" w:color="auto" w:fill="D6E3BC" w:themeFill="accent3" w:themeFillTint="66"/>
          </w:tcPr>
          <w:p w14:paraId="311F8684"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0.65</w:t>
            </w:r>
          </w:p>
        </w:tc>
        <w:tc>
          <w:tcPr>
            <w:tcW w:w="1357" w:type="dxa"/>
            <w:shd w:val="clear" w:color="auto" w:fill="auto"/>
          </w:tcPr>
          <w:p w14:paraId="2178529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25.81</w:t>
            </w:r>
            <w:r w:rsidRPr="00C1299C">
              <w:rPr>
                <w:rFonts w:ascii="Times New Roman" w:hAnsi="Times New Roman" w:cs="Times New Roman"/>
                <w:bCs/>
                <w:szCs w:val="20"/>
              </w:rPr>
              <w:t>±0.02</w:t>
            </w:r>
          </w:p>
        </w:tc>
        <w:tc>
          <w:tcPr>
            <w:tcW w:w="1053" w:type="dxa"/>
            <w:shd w:val="clear" w:color="auto" w:fill="D6E3BC" w:themeFill="accent3" w:themeFillTint="66"/>
          </w:tcPr>
          <w:p w14:paraId="20044BA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0.64</w:t>
            </w:r>
          </w:p>
        </w:tc>
        <w:tc>
          <w:tcPr>
            <w:tcW w:w="1417" w:type="dxa"/>
            <w:shd w:val="clear" w:color="auto" w:fill="auto"/>
          </w:tcPr>
          <w:p w14:paraId="5FD6603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25.81</w:t>
            </w:r>
            <w:r w:rsidRPr="00C1299C">
              <w:rPr>
                <w:rFonts w:ascii="Times New Roman" w:hAnsi="Times New Roman" w:cs="Times New Roman"/>
                <w:bCs/>
                <w:szCs w:val="20"/>
              </w:rPr>
              <w:t>±0.02</w:t>
            </w:r>
          </w:p>
        </w:tc>
        <w:tc>
          <w:tcPr>
            <w:tcW w:w="992" w:type="dxa"/>
            <w:shd w:val="clear" w:color="auto" w:fill="D6E3BC" w:themeFill="accent3" w:themeFillTint="66"/>
          </w:tcPr>
          <w:p w14:paraId="3E35FA1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0.70</w:t>
            </w:r>
          </w:p>
        </w:tc>
      </w:tr>
      <w:tr w:rsidR="00C1299C" w:rsidRPr="00C1299C" w14:paraId="2A4FE283" w14:textId="77777777" w:rsidTr="002F59DB">
        <w:trPr>
          <w:trHeight w:val="246"/>
          <w:jc w:val="center"/>
        </w:trPr>
        <w:tc>
          <w:tcPr>
            <w:tcW w:w="1526" w:type="dxa"/>
            <w:shd w:val="clear" w:color="auto" w:fill="auto"/>
          </w:tcPr>
          <w:p w14:paraId="72189379"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MeOH-Ace</w:t>
            </w:r>
          </w:p>
        </w:tc>
        <w:tc>
          <w:tcPr>
            <w:tcW w:w="1276" w:type="dxa"/>
            <w:shd w:val="clear" w:color="auto" w:fill="auto"/>
          </w:tcPr>
          <w:p w14:paraId="33DE88C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25.54</w:t>
            </w:r>
            <w:r w:rsidRPr="00C1299C">
              <w:rPr>
                <w:rFonts w:ascii="Times New Roman" w:hAnsi="Times New Roman" w:cs="Times New Roman"/>
                <w:bCs/>
                <w:szCs w:val="20"/>
              </w:rPr>
              <w:t>±0.02</w:t>
            </w:r>
          </w:p>
        </w:tc>
        <w:tc>
          <w:tcPr>
            <w:tcW w:w="1144" w:type="dxa"/>
            <w:shd w:val="clear" w:color="auto" w:fill="D6E3BC" w:themeFill="accent3" w:themeFillTint="66"/>
          </w:tcPr>
          <w:p w14:paraId="7B325C5C"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0.73</w:t>
            </w:r>
          </w:p>
        </w:tc>
        <w:tc>
          <w:tcPr>
            <w:tcW w:w="1357" w:type="dxa"/>
            <w:shd w:val="clear" w:color="auto" w:fill="auto"/>
          </w:tcPr>
          <w:p w14:paraId="560E315A"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25.54</w:t>
            </w:r>
            <w:r w:rsidRPr="00C1299C">
              <w:rPr>
                <w:rFonts w:ascii="Times New Roman" w:hAnsi="Times New Roman" w:cs="Times New Roman"/>
                <w:bCs/>
                <w:szCs w:val="20"/>
              </w:rPr>
              <w:t>±0.03</w:t>
            </w:r>
          </w:p>
        </w:tc>
        <w:tc>
          <w:tcPr>
            <w:tcW w:w="1053" w:type="dxa"/>
            <w:shd w:val="clear" w:color="auto" w:fill="D6E3BC" w:themeFill="accent3" w:themeFillTint="66"/>
          </w:tcPr>
          <w:p w14:paraId="7988345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0.56</w:t>
            </w:r>
          </w:p>
        </w:tc>
        <w:tc>
          <w:tcPr>
            <w:tcW w:w="1417" w:type="dxa"/>
            <w:shd w:val="clear" w:color="auto" w:fill="auto"/>
          </w:tcPr>
          <w:p w14:paraId="794BF378"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25.54</w:t>
            </w:r>
            <w:r w:rsidRPr="00C1299C">
              <w:rPr>
                <w:rFonts w:ascii="Times New Roman" w:hAnsi="Times New Roman" w:cs="Times New Roman"/>
                <w:bCs/>
                <w:szCs w:val="20"/>
              </w:rPr>
              <w:t>±0.02</w:t>
            </w:r>
          </w:p>
        </w:tc>
        <w:tc>
          <w:tcPr>
            <w:tcW w:w="992" w:type="dxa"/>
            <w:shd w:val="clear" w:color="auto" w:fill="D6E3BC" w:themeFill="accent3" w:themeFillTint="66"/>
          </w:tcPr>
          <w:p w14:paraId="71C84019"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0.88</w:t>
            </w:r>
          </w:p>
        </w:tc>
      </w:tr>
      <w:tr w:rsidR="00C1299C" w:rsidRPr="00C1299C" w14:paraId="60D7E3E4" w14:textId="77777777" w:rsidTr="002F59DB">
        <w:trPr>
          <w:trHeight w:val="257"/>
          <w:jc w:val="center"/>
        </w:trPr>
        <w:tc>
          <w:tcPr>
            <w:tcW w:w="1526" w:type="dxa"/>
            <w:shd w:val="clear" w:color="auto" w:fill="auto"/>
          </w:tcPr>
          <w:p w14:paraId="55B196ED"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MeOH-DMF</w:t>
            </w:r>
          </w:p>
        </w:tc>
        <w:tc>
          <w:tcPr>
            <w:tcW w:w="1276" w:type="dxa"/>
            <w:shd w:val="clear" w:color="auto" w:fill="auto"/>
          </w:tcPr>
          <w:p w14:paraId="18F7EC0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25.32</w:t>
            </w:r>
            <w:r w:rsidRPr="00C1299C">
              <w:rPr>
                <w:rFonts w:ascii="Times New Roman" w:hAnsi="Times New Roman" w:cs="Times New Roman"/>
                <w:bCs/>
                <w:szCs w:val="20"/>
              </w:rPr>
              <w:t>±0.02</w:t>
            </w:r>
          </w:p>
        </w:tc>
        <w:tc>
          <w:tcPr>
            <w:tcW w:w="1144" w:type="dxa"/>
            <w:shd w:val="clear" w:color="auto" w:fill="D6E3BC" w:themeFill="accent3" w:themeFillTint="66"/>
          </w:tcPr>
          <w:p w14:paraId="7A275C0D"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0.79</w:t>
            </w:r>
          </w:p>
        </w:tc>
        <w:tc>
          <w:tcPr>
            <w:tcW w:w="1357" w:type="dxa"/>
            <w:shd w:val="clear" w:color="auto" w:fill="auto"/>
          </w:tcPr>
          <w:p w14:paraId="53035ACE"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25.32</w:t>
            </w:r>
            <w:r w:rsidRPr="00C1299C">
              <w:rPr>
                <w:rFonts w:ascii="Times New Roman" w:hAnsi="Times New Roman" w:cs="Times New Roman"/>
                <w:bCs/>
                <w:szCs w:val="20"/>
              </w:rPr>
              <w:t>±0.02</w:t>
            </w:r>
          </w:p>
        </w:tc>
        <w:tc>
          <w:tcPr>
            <w:tcW w:w="1053" w:type="dxa"/>
            <w:shd w:val="clear" w:color="auto" w:fill="D6E3BC" w:themeFill="accent3" w:themeFillTint="66"/>
          </w:tcPr>
          <w:p w14:paraId="42BF62E2"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0.63</w:t>
            </w:r>
          </w:p>
        </w:tc>
        <w:tc>
          <w:tcPr>
            <w:tcW w:w="1417" w:type="dxa"/>
            <w:shd w:val="clear" w:color="auto" w:fill="auto"/>
          </w:tcPr>
          <w:p w14:paraId="43414DF8"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25.32</w:t>
            </w:r>
            <w:r w:rsidRPr="00C1299C">
              <w:rPr>
                <w:rFonts w:ascii="Times New Roman" w:hAnsi="Times New Roman" w:cs="Times New Roman"/>
                <w:bCs/>
                <w:szCs w:val="20"/>
              </w:rPr>
              <w:t>±0.02</w:t>
            </w:r>
          </w:p>
        </w:tc>
        <w:tc>
          <w:tcPr>
            <w:tcW w:w="992" w:type="dxa"/>
            <w:shd w:val="clear" w:color="auto" w:fill="D6E3BC" w:themeFill="accent3" w:themeFillTint="66"/>
          </w:tcPr>
          <w:p w14:paraId="3B590314"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0.81</w:t>
            </w:r>
          </w:p>
        </w:tc>
      </w:tr>
      <w:tr w:rsidR="00C1299C" w:rsidRPr="00C1299C" w14:paraId="31F2A666" w14:textId="77777777" w:rsidTr="002F59DB">
        <w:trPr>
          <w:trHeight w:val="246"/>
          <w:jc w:val="center"/>
        </w:trPr>
        <w:tc>
          <w:tcPr>
            <w:tcW w:w="1526" w:type="dxa"/>
            <w:tcBorders>
              <w:bottom w:val="single" w:sz="4" w:space="0" w:color="auto"/>
            </w:tcBorders>
            <w:shd w:val="clear" w:color="auto" w:fill="auto"/>
          </w:tcPr>
          <w:p w14:paraId="554E828F" w14:textId="77777777" w:rsidR="002D1CA6" w:rsidRPr="00C1299C" w:rsidRDefault="001F7B08" w:rsidP="002F59DB">
            <w:pPr>
              <w:jc w:val="left"/>
              <w:rPr>
                <w:rFonts w:ascii="Times New Roman" w:eastAsia="Calibri" w:hAnsi="Times New Roman" w:cs="Times New Roman"/>
                <w:szCs w:val="20"/>
              </w:rPr>
            </w:pPr>
            <w:r w:rsidRPr="00C1299C">
              <w:rPr>
                <w:rFonts w:ascii="Times New Roman" w:eastAsia="Calibri" w:hAnsi="Times New Roman" w:cs="Times New Roman"/>
                <w:szCs w:val="20"/>
              </w:rPr>
              <w:t>MeOH-THF</w:t>
            </w:r>
          </w:p>
        </w:tc>
        <w:tc>
          <w:tcPr>
            <w:tcW w:w="1276" w:type="dxa"/>
            <w:tcBorders>
              <w:bottom w:val="single" w:sz="4" w:space="0" w:color="auto"/>
            </w:tcBorders>
            <w:shd w:val="clear" w:color="auto" w:fill="auto"/>
          </w:tcPr>
          <w:p w14:paraId="3FF394E5"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25.71</w:t>
            </w:r>
            <w:r w:rsidRPr="00C1299C">
              <w:rPr>
                <w:rFonts w:ascii="Times New Roman" w:hAnsi="Times New Roman" w:cs="Times New Roman"/>
                <w:bCs/>
                <w:szCs w:val="20"/>
              </w:rPr>
              <w:t>±0.05</w:t>
            </w:r>
          </w:p>
        </w:tc>
        <w:tc>
          <w:tcPr>
            <w:tcW w:w="1144" w:type="dxa"/>
            <w:tcBorders>
              <w:bottom w:val="single" w:sz="4" w:space="0" w:color="auto"/>
            </w:tcBorders>
            <w:shd w:val="clear" w:color="auto" w:fill="D6E3BC" w:themeFill="accent3" w:themeFillTint="66"/>
          </w:tcPr>
          <w:p w14:paraId="7EA3F313"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0.68</w:t>
            </w:r>
          </w:p>
        </w:tc>
        <w:tc>
          <w:tcPr>
            <w:tcW w:w="1357" w:type="dxa"/>
            <w:tcBorders>
              <w:bottom w:val="single" w:sz="4" w:space="0" w:color="auto"/>
            </w:tcBorders>
            <w:shd w:val="clear" w:color="auto" w:fill="auto"/>
          </w:tcPr>
          <w:p w14:paraId="72B1109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25.71</w:t>
            </w:r>
            <w:r w:rsidRPr="00C1299C">
              <w:rPr>
                <w:rFonts w:ascii="Times New Roman" w:hAnsi="Times New Roman" w:cs="Times New Roman"/>
                <w:bCs/>
                <w:szCs w:val="20"/>
              </w:rPr>
              <w:t>±0.03</w:t>
            </w:r>
          </w:p>
        </w:tc>
        <w:tc>
          <w:tcPr>
            <w:tcW w:w="1053" w:type="dxa"/>
            <w:tcBorders>
              <w:bottom w:val="single" w:sz="4" w:space="0" w:color="auto"/>
            </w:tcBorders>
            <w:shd w:val="clear" w:color="auto" w:fill="D6E3BC" w:themeFill="accent3" w:themeFillTint="66"/>
          </w:tcPr>
          <w:p w14:paraId="0DD67841"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0.61</w:t>
            </w:r>
          </w:p>
        </w:tc>
        <w:tc>
          <w:tcPr>
            <w:tcW w:w="1417" w:type="dxa"/>
            <w:tcBorders>
              <w:bottom w:val="single" w:sz="4" w:space="0" w:color="auto"/>
            </w:tcBorders>
            <w:shd w:val="clear" w:color="auto" w:fill="auto"/>
          </w:tcPr>
          <w:p w14:paraId="77D011C7"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25.71</w:t>
            </w:r>
            <w:r w:rsidRPr="00C1299C">
              <w:rPr>
                <w:rFonts w:ascii="Times New Roman" w:hAnsi="Times New Roman" w:cs="Times New Roman"/>
                <w:bCs/>
                <w:szCs w:val="20"/>
              </w:rPr>
              <w:t>±0.02</w:t>
            </w:r>
          </w:p>
        </w:tc>
        <w:tc>
          <w:tcPr>
            <w:tcW w:w="992" w:type="dxa"/>
            <w:tcBorders>
              <w:bottom w:val="single" w:sz="4" w:space="0" w:color="auto"/>
            </w:tcBorders>
            <w:shd w:val="clear" w:color="auto" w:fill="D6E3BC" w:themeFill="accent3" w:themeFillTint="66"/>
          </w:tcPr>
          <w:p w14:paraId="0446FA08" w14:textId="77777777" w:rsidR="002D1CA6" w:rsidRPr="00C1299C" w:rsidRDefault="001F7B08" w:rsidP="002F59DB">
            <w:pPr>
              <w:jc w:val="center"/>
              <w:rPr>
                <w:rFonts w:ascii="Times New Roman" w:eastAsia="Calibri" w:hAnsi="Times New Roman" w:cs="Times New Roman"/>
                <w:szCs w:val="20"/>
              </w:rPr>
            </w:pPr>
            <w:r w:rsidRPr="00C1299C">
              <w:rPr>
                <w:rFonts w:ascii="Times New Roman" w:eastAsia="Calibri" w:hAnsi="Times New Roman" w:cs="Times New Roman"/>
                <w:szCs w:val="20"/>
              </w:rPr>
              <w:t>0.84</w:t>
            </w:r>
          </w:p>
        </w:tc>
      </w:tr>
      <w:tr w:rsidR="00082E77" w:rsidRPr="00C1299C" w14:paraId="58A2660F" w14:textId="77777777" w:rsidTr="002F59DB">
        <w:trPr>
          <w:trHeight w:val="246"/>
          <w:jc w:val="center"/>
        </w:trPr>
        <w:tc>
          <w:tcPr>
            <w:tcW w:w="8765" w:type="dxa"/>
            <w:gridSpan w:val="7"/>
            <w:tcBorders>
              <w:top w:val="single" w:sz="4" w:space="0" w:color="auto"/>
            </w:tcBorders>
            <w:shd w:val="clear" w:color="auto" w:fill="auto"/>
          </w:tcPr>
          <w:p w14:paraId="44E67850" w14:textId="77777777" w:rsidR="002D1CA6" w:rsidRPr="00C1299C" w:rsidRDefault="001F7B08" w:rsidP="002D1CA6">
            <w:pPr>
              <w:rPr>
                <w:rFonts w:ascii="Times New Roman" w:hAnsi="Times New Roman" w:cs="Times New Roman"/>
                <w:szCs w:val="20"/>
              </w:rPr>
            </w:pPr>
            <w:r w:rsidRPr="007930D1">
              <w:rPr>
                <w:rFonts w:ascii="Times New Roman" w:hAnsi="Times New Roman" w:cs="Times New Roman"/>
                <w:sz w:val="16"/>
                <w:szCs w:val="16"/>
              </w:rPr>
              <w:t xml:space="preserve">Key: </w:t>
            </w:r>
            <w:r w:rsidRPr="007930D1">
              <w:rPr>
                <w:rFonts w:ascii="Times New Roman" w:hAnsi="Times New Roman" w:cs="Times New Roman"/>
                <w:bCs/>
                <w:sz w:val="16"/>
                <w:szCs w:val="16"/>
              </w:rPr>
              <w:t xml:space="preserve">*P values (P&lt;0.05) were regarded as significant. Uncertainty value of π* = </w:t>
            </w:r>
            <w:r w:rsidR="00B42415" w:rsidRPr="007930D1">
              <w:rPr>
                <w:rFonts w:ascii="Times New Roman" w:hAnsi="Times New Roman" w:cs="Times New Roman"/>
                <w:bCs/>
                <w:sz w:val="16"/>
                <w:szCs w:val="16"/>
              </w:rPr>
              <w:t>7</w:t>
            </w:r>
            <w:r w:rsidRPr="007930D1">
              <w:rPr>
                <w:rFonts w:ascii="Times New Roman" w:hAnsi="Times New Roman" w:cs="Times New Roman"/>
                <w:bCs/>
                <w:sz w:val="16"/>
                <w:szCs w:val="16"/>
              </w:rPr>
              <w:t>×10</w:t>
            </w:r>
            <w:r w:rsidRPr="007930D1">
              <w:rPr>
                <w:rFonts w:ascii="Times New Roman" w:hAnsi="Times New Roman" w:cs="Times New Roman"/>
                <w:bCs/>
                <w:sz w:val="16"/>
                <w:szCs w:val="16"/>
                <w:vertAlign w:val="superscript"/>
              </w:rPr>
              <w:t>-3</w:t>
            </w:r>
            <w:r w:rsidRPr="007930D1">
              <w:rPr>
                <w:rFonts w:ascii="Times New Roman" w:hAnsi="Times New Roman" w:cs="Times New Roman"/>
                <w:bCs/>
                <w:sz w:val="16"/>
                <w:szCs w:val="16"/>
              </w:rPr>
              <w:t xml:space="preserve">, β = </w:t>
            </w:r>
            <w:r w:rsidR="00B42415" w:rsidRPr="007930D1">
              <w:rPr>
                <w:rFonts w:ascii="Times New Roman" w:hAnsi="Times New Roman" w:cs="Times New Roman"/>
                <w:bCs/>
                <w:sz w:val="16"/>
                <w:szCs w:val="16"/>
              </w:rPr>
              <w:t>8</w:t>
            </w:r>
            <w:r w:rsidRPr="007930D1">
              <w:rPr>
                <w:rFonts w:ascii="Times New Roman" w:hAnsi="Times New Roman" w:cs="Times New Roman"/>
                <w:bCs/>
                <w:sz w:val="16"/>
                <w:szCs w:val="16"/>
              </w:rPr>
              <w:t>×10</w:t>
            </w:r>
            <w:r w:rsidRPr="007930D1">
              <w:rPr>
                <w:rFonts w:ascii="Times New Roman" w:hAnsi="Times New Roman" w:cs="Times New Roman"/>
                <w:bCs/>
                <w:sz w:val="16"/>
                <w:szCs w:val="16"/>
                <w:vertAlign w:val="superscript"/>
              </w:rPr>
              <w:t>-3</w:t>
            </w:r>
            <w:r w:rsidRPr="007930D1">
              <w:rPr>
                <w:rFonts w:ascii="Times New Roman" w:hAnsi="Times New Roman" w:cs="Times New Roman"/>
                <w:bCs/>
                <w:sz w:val="16"/>
                <w:szCs w:val="16"/>
              </w:rPr>
              <w:t xml:space="preserve">, </w:t>
            </w:r>
            <w:r w:rsidR="00E51EBC" w:rsidRPr="007930D1">
              <w:rPr>
                <w:rFonts w:ascii="Times New Roman" w:hAnsi="Times New Roman" w:cs="Times New Roman"/>
                <w:bCs/>
                <w:sz w:val="16"/>
                <w:szCs w:val="16"/>
              </w:rPr>
              <w:t xml:space="preserve">and </w:t>
            </w:r>
            <w:r w:rsidRPr="007930D1">
              <w:rPr>
                <w:rFonts w:ascii="Times New Roman" w:hAnsi="Times New Roman" w:cs="Times New Roman"/>
                <w:bCs/>
                <w:sz w:val="16"/>
                <w:szCs w:val="16"/>
              </w:rPr>
              <w:t xml:space="preserve">α = </w:t>
            </w:r>
            <w:r w:rsidR="00B42415" w:rsidRPr="007930D1">
              <w:rPr>
                <w:rFonts w:ascii="Times New Roman" w:hAnsi="Times New Roman" w:cs="Times New Roman"/>
                <w:bCs/>
                <w:sz w:val="16"/>
                <w:szCs w:val="16"/>
              </w:rPr>
              <w:t>3</w:t>
            </w:r>
            <w:r w:rsidRPr="007930D1">
              <w:rPr>
                <w:rFonts w:ascii="Times New Roman" w:hAnsi="Times New Roman" w:cs="Times New Roman"/>
                <w:bCs/>
                <w:sz w:val="16"/>
                <w:szCs w:val="16"/>
              </w:rPr>
              <w:t>×10</w:t>
            </w:r>
            <w:r w:rsidRPr="007930D1">
              <w:rPr>
                <w:rFonts w:ascii="Times New Roman" w:hAnsi="Times New Roman" w:cs="Times New Roman"/>
                <w:bCs/>
                <w:sz w:val="16"/>
                <w:szCs w:val="16"/>
                <w:vertAlign w:val="superscript"/>
              </w:rPr>
              <w:t>-3</w:t>
            </w:r>
          </w:p>
        </w:tc>
      </w:tr>
    </w:tbl>
    <w:p w14:paraId="693234D9" w14:textId="77777777" w:rsidR="003744F6" w:rsidRPr="00C1299C" w:rsidRDefault="003744F6" w:rsidP="003744F6">
      <w:pPr>
        <w:outlineLvl w:val="0"/>
        <w:rPr>
          <w:rFonts w:ascii="Times New Roman" w:hAnsi="Times New Roman" w:cs="Times New Roman"/>
          <w:szCs w:val="20"/>
        </w:rPr>
      </w:pPr>
    </w:p>
    <w:p w14:paraId="46225C26" w14:textId="01A4C865" w:rsidR="002D1CA6" w:rsidRPr="00C1299C" w:rsidRDefault="001F7B08" w:rsidP="003744F6">
      <w:pPr>
        <w:outlineLvl w:val="0"/>
        <w:rPr>
          <w:rFonts w:ascii="Times New Roman" w:hAnsi="Times New Roman" w:cs="Times New Roman"/>
          <w:szCs w:val="20"/>
        </w:rPr>
      </w:pPr>
      <w:r w:rsidRPr="00C1299C">
        <w:rPr>
          <w:rFonts w:ascii="Times New Roman" w:hAnsi="Times New Roman" w:cs="Times New Roman"/>
          <w:szCs w:val="20"/>
        </w:rPr>
        <w:t>Prat et al.  and Byrne et al. stated that the commonly used solvents in drug synthesis and processing are hazardous, such as DMF, DMSO, NMP, DMA</w:t>
      </w:r>
      <w:r w:rsidR="002B5009" w:rsidRPr="00C1299C">
        <w:rPr>
          <w:rFonts w:ascii="Times New Roman" w:hAnsi="Times New Roman" w:cs="Times New Roman"/>
          <w:szCs w:val="20"/>
        </w:rPr>
        <w:t>C</w:t>
      </w:r>
      <w:r w:rsidRPr="00C1299C">
        <w:rPr>
          <w:rFonts w:ascii="Times New Roman" w:hAnsi="Times New Roman" w:cs="Times New Roman"/>
          <w:szCs w:val="20"/>
        </w:rPr>
        <w:t>, and pyridine</w:t>
      </w:r>
      <w:r w:rsidR="000B5D98" w:rsidRPr="00C1299C">
        <w:rPr>
          <w:rFonts w:ascii="Times New Roman" w:hAnsi="Times New Roman" w:cs="Times New Roman"/>
          <w:szCs w:val="20"/>
        </w:rPr>
        <w:t xml:space="preserve">, </w:t>
      </w:r>
      <w:r w:rsidRPr="00C1299C">
        <w:rPr>
          <w:rFonts w:ascii="Times New Roman" w:hAnsi="Times New Roman" w:cs="Times New Roman"/>
          <w:szCs w:val="20"/>
        </w:rPr>
        <w:t>which are from dipolar aprotic solvents (HBA). IMI-CHEM21, GSK, Pfizer, ICH guideline</w:t>
      </w:r>
      <w:r w:rsidR="00FA2BD8" w:rsidRPr="00C1299C">
        <w:rPr>
          <w:rFonts w:ascii="Times New Roman" w:hAnsi="Times New Roman" w:cs="Times New Roman"/>
          <w:szCs w:val="20"/>
        </w:rPr>
        <w:t>s</w:t>
      </w:r>
      <w:r w:rsidRPr="00C1299C">
        <w:rPr>
          <w:rFonts w:ascii="Times New Roman" w:hAnsi="Times New Roman" w:cs="Times New Roman"/>
          <w:szCs w:val="20"/>
        </w:rPr>
        <w:t xml:space="preserve"> suggested that those solvents should be substituted/limited with safe solvents due to their toxic activities</w:t>
      </w:r>
      <w:r w:rsidR="00A879B1" w:rsidRPr="00C1299C">
        <w:rPr>
          <w:rFonts w:ascii="Times New Roman" w:hAnsi="Times New Roman" w:cs="Times New Roman"/>
          <w:szCs w:val="20"/>
        </w:rPr>
        <w:t xml:space="preserve"> [7</w:t>
      </w:r>
      <w:r w:rsidR="0058311E" w:rsidRPr="00C1299C">
        <w:rPr>
          <w:rFonts w:ascii="Times New Roman" w:hAnsi="Times New Roman" w:cs="Times New Roman"/>
          <w:szCs w:val="20"/>
        </w:rPr>
        <w:t>-9</w:t>
      </w:r>
      <w:r w:rsidR="00A879B1" w:rsidRPr="00C1299C">
        <w:rPr>
          <w:rFonts w:ascii="Times New Roman" w:hAnsi="Times New Roman" w:cs="Times New Roman"/>
          <w:szCs w:val="20"/>
        </w:rPr>
        <w:t>]</w:t>
      </w:r>
      <w:r w:rsidRPr="00C1299C">
        <w:rPr>
          <w:rFonts w:ascii="Times New Roman" w:hAnsi="Times New Roman" w:cs="Times New Roman"/>
          <w:szCs w:val="20"/>
        </w:rPr>
        <w:t>. American Chemical Society (ACS) and Green Chemistry Institute (GCI) were investigating to replace such solvents in synthetic chemistry</w:t>
      </w:r>
      <w:r w:rsidR="00A879B1" w:rsidRPr="00C1299C">
        <w:rPr>
          <w:rFonts w:ascii="Times New Roman" w:hAnsi="Times New Roman" w:cs="Times New Roman"/>
          <w:szCs w:val="20"/>
        </w:rPr>
        <w:t xml:space="preserve"> [</w:t>
      </w:r>
      <w:r w:rsidR="0058311E" w:rsidRPr="00C1299C">
        <w:rPr>
          <w:rFonts w:ascii="Times New Roman" w:hAnsi="Times New Roman" w:cs="Times New Roman"/>
          <w:szCs w:val="20"/>
        </w:rPr>
        <w:t>2</w:t>
      </w:r>
      <w:r w:rsidR="000F33D1" w:rsidRPr="00C1299C">
        <w:rPr>
          <w:rFonts w:ascii="Times New Roman" w:hAnsi="Times New Roman" w:cs="Times New Roman"/>
          <w:szCs w:val="20"/>
        </w:rPr>
        <w:t>3</w:t>
      </w:r>
      <w:r w:rsidR="00A879B1" w:rsidRPr="00C1299C">
        <w:rPr>
          <w:rFonts w:ascii="Times New Roman" w:hAnsi="Times New Roman" w:cs="Times New Roman"/>
          <w:szCs w:val="20"/>
        </w:rPr>
        <w:t>]</w:t>
      </w:r>
      <w:r w:rsidRPr="00C1299C">
        <w:rPr>
          <w:rFonts w:ascii="Times New Roman" w:hAnsi="Times New Roman" w:cs="Times New Roman"/>
          <w:szCs w:val="20"/>
        </w:rPr>
        <w:t xml:space="preserve">. Duereh et al. </w:t>
      </w:r>
      <w:r w:rsidR="00CB2B2C" w:rsidRPr="00C1299C">
        <w:rPr>
          <w:rFonts w:ascii="Times New Roman" w:hAnsi="Times New Roman" w:cs="Times New Roman"/>
          <w:szCs w:val="20"/>
        </w:rPr>
        <w:t>stated</w:t>
      </w:r>
      <w:r w:rsidRPr="00C1299C">
        <w:rPr>
          <w:rFonts w:ascii="Times New Roman" w:hAnsi="Times New Roman" w:cs="Times New Roman"/>
          <w:szCs w:val="20"/>
        </w:rPr>
        <w:t xml:space="preserve"> that </w:t>
      </w:r>
      <w:r w:rsidRPr="00C1299C">
        <w:rPr>
          <w:rFonts w:ascii="Times New Roman" w:hAnsi="Times New Roman" w:cs="Times New Roman"/>
          <w:szCs w:val="20"/>
        </w:rPr>
        <w:lastRenderedPageBreak/>
        <w:t>API has both HBD and HBA sites and dipolar aprotic (HBA) solvents have low KT acidity, high KT basicity, and high KT polarity. HBA solvents could easily create a strong chemical binding with the HBD site of API</w:t>
      </w:r>
      <w:r w:rsidR="00A879B1" w:rsidRPr="00C1299C">
        <w:rPr>
          <w:rFonts w:ascii="Times New Roman" w:hAnsi="Times New Roman" w:cs="Times New Roman"/>
          <w:szCs w:val="20"/>
        </w:rPr>
        <w:t xml:space="preserve"> </w:t>
      </w:r>
      <w:r w:rsidR="00A4748A" w:rsidRPr="00C1299C">
        <w:rPr>
          <w:rFonts w:ascii="Times New Roman" w:hAnsi="Times New Roman" w:cs="Times New Roman"/>
          <w:szCs w:val="20"/>
        </w:rPr>
        <w:t>for these chemical properties [</w:t>
      </w:r>
      <w:r w:rsidR="00A879B1" w:rsidRPr="00C1299C">
        <w:rPr>
          <w:rFonts w:ascii="Times New Roman" w:hAnsi="Times New Roman" w:cs="Times New Roman"/>
          <w:szCs w:val="20"/>
        </w:rPr>
        <w:t>5]</w:t>
      </w:r>
      <w:r w:rsidRPr="00C1299C">
        <w:rPr>
          <w:rFonts w:ascii="Times New Roman" w:hAnsi="Times New Roman" w:cs="Times New Roman"/>
          <w:szCs w:val="20"/>
        </w:rPr>
        <w:t>.</w:t>
      </w:r>
    </w:p>
    <w:p w14:paraId="2F35E630" w14:textId="77777777" w:rsidR="00505F96" w:rsidRPr="00C1299C" w:rsidRDefault="00505F96" w:rsidP="003744F6">
      <w:pPr>
        <w:outlineLvl w:val="0"/>
        <w:rPr>
          <w:rFonts w:ascii="Times New Roman" w:hAnsi="Times New Roman" w:cs="Times New Roman"/>
          <w:szCs w:val="20"/>
        </w:rPr>
      </w:pPr>
    </w:p>
    <w:tbl>
      <w:tblPr>
        <w:tblW w:w="8540" w:type="dxa"/>
        <w:jc w:val="center"/>
        <w:tblLook w:val="04A0" w:firstRow="1" w:lastRow="0" w:firstColumn="1" w:lastColumn="0" w:noHBand="0" w:noVBand="1"/>
      </w:tblPr>
      <w:tblGrid>
        <w:gridCol w:w="1482"/>
        <w:gridCol w:w="1355"/>
        <w:gridCol w:w="1298"/>
        <w:gridCol w:w="1622"/>
        <w:gridCol w:w="1044"/>
        <w:gridCol w:w="256"/>
        <w:gridCol w:w="1483"/>
      </w:tblGrid>
      <w:tr w:rsidR="00C1299C" w:rsidRPr="00C1299C" w14:paraId="5E0D6DE6" w14:textId="77777777" w:rsidTr="00BF49B3">
        <w:trPr>
          <w:trHeight w:val="242"/>
          <w:jc w:val="center"/>
        </w:trPr>
        <w:tc>
          <w:tcPr>
            <w:tcW w:w="8540" w:type="dxa"/>
            <w:gridSpan w:val="7"/>
            <w:tcBorders>
              <w:bottom w:val="single" w:sz="4" w:space="0" w:color="auto"/>
            </w:tcBorders>
          </w:tcPr>
          <w:p w14:paraId="24FD42AD" w14:textId="77777777" w:rsidR="002D1CA6" w:rsidRDefault="001F7B08" w:rsidP="007930D1">
            <w:pPr>
              <w:ind w:left="647" w:hanging="647"/>
              <w:rPr>
                <w:rFonts w:ascii="Times New Roman" w:eastAsia="Times New Roman" w:hAnsi="Times New Roman" w:cs="Times New Roman"/>
                <w:bCs/>
                <w:szCs w:val="20"/>
              </w:rPr>
            </w:pPr>
            <w:r w:rsidRPr="00C1299C">
              <w:rPr>
                <w:rFonts w:ascii="Times New Roman" w:eastAsia="Times New Roman" w:hAnsi="Times New Roman" w:cs="Times New Roman"/>
                <w:bCs/>
                <w:szCs w:val="20"/>
              </w:rPr>
              <w:t xml:space="preserve">Table </w:t>
            </w:r>
            <w:r w:rsidR="00E77284" w:rsidRPr="00C1299C">
              <w:rPr>
                <w:rFonts w:ascii="Times New Roman" w:eastAsia="Times New Roman" w:hAnsi="Times New Roman" w:cs="Times New Roman"/>
                <w:bCs/>
                <w:szCs w:val="20"/>
              </w:rPr>
              <w:t>4</w:t>
            </w:r>
            <w:r w:rsidRPr="00C1299C">
              <w:rPr>
                <w:rFonts w:ascii="Times New Roman" w:eastAsia="Times New Roman" w:hAnsi="Times New Roman" w:cs="Times New Roman"/>
                <w:bCs/>
                <w:szCs w:val="20"/>
              </w:rPr>
              <w:t>. Ranking of the solvent-pair mixture from the minimum values of GSK health and safety score [</w:t>
            </w:r>
            <w:r w:rsidR="0058311E" w:rsidRPr="00C1299C">
              <w:rPr>
                <w:rFonts w:ascii="Times New Roman" w:eastAsia="Times New Roman" w:hAnsi="Times New Roman" w:cs="Times New Roman"/>
                <w:bCs/>
                <w:szCs w:val="20"/>
              </w:rPr>
              <w:t>2</w:t>
            </w:r>
            <w:r w:rsidR="007853A3" w:rsidRPr="00C1299C">
              <w:rPr>
                <w:rFonts w:ascii="Times New Roman" w:eastAsia="Times New Roman" w:hAnsi="Times New Roman" w:cs="Times New Roman"/>
                <w:bCs/>
                <w:szCs w:val="20"/>
              </w:rPr>
              <w:t>2</w:t>
            </w:r>
            <w:r w:rsidRPr="00C1299C">
              <w:rPr>
                <w:rFonts w:ascii="Times New Roman" w:eastAsia="Times New Roman" w:hAnsi="Times New Roman" w:cs="Times New Roman"/>
                <w:bCs/>
                <w:szCs w:val="20"/>
              </w:rPr>
              <w:t>]</w:t>
            </w:r>
          </w:p>
          <w:p w14:paraId="41CC84BF" w14:textId="5FF71569" w:rsidR="007930D1" w:rsidRPr="00C1299C" w:rsidRDefault="007930D1" w:rsidP="007930D1">
            <w:pPr>
              <w:ind w:left="647" w:hanging="647"/>
              <w:rPr>
                <w:rFonts w:ascii="Times New Roman" w:eastAsia="Times New Roman" w:hAnsi="Times New Roman" w:cs="Times New Roman"/>
                <w:bCs/>
                <w:szCs w:val="20"/>
              </w:rPr>
            </w:pPr>
          </w:p>
        </w:tc>
      </w:tr>
      <w:tr w:rsidR="00C1299C" w:rsidRPr="00C1299C" w14:paraId="404C1D79" w14:textId="77777777" w:rsidTr="00BF49B3">
        <w:trPr>
          <w:trHeight w:val="279"/>
          <w:jc w:val="center"/>
        </w:trPr>
        <w:tc>
          <w:tcPr>
            <w:tcW w:w="1482" w:type="dxa"/>
            <w:vMerge w:val="restart"/>
            <w:tcBorders>
              <w:top w:val="single" w:sz="4" w:space="0" w:color="auto"/>
            </w:tcBorders>
            <w:shd w:val="clear" w:color="auto" w:fill="auto"/>
            <w:noWrap/>
            <w:vAlign w:val="center"/>
            <w:hideMark/>
          </w:tcPr>
          <w:p w14:paraId="443DFA94" w14:textId="77777777" w:rsidR="002D1CA6" w:rsidRPr="00C1299C" w:rsidRDefault="001F7B08" w:rsidP="00E13860">
            <w:pPr>
              <w:jc w:val="left"/>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Solvent-pair</w:t>
            </w:r>
          </w:p>
          <w:p w14:paraId="18C2DA6E" w14:textId="77777777" w:rsidR="002D1CA6" w:rsidRPr="00C1299C" w:rsidRDefault="001F7B08" w:rsidP="00E13860">
            <w:pPr>
              <w:jc w:val="left"/>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(HBD-HBA)</w:t>
            </w:r>
          </w:p>
        </w:tc>
        <w:tc>
          <w:tcPr>
            <w:tcW w:w="5319" w:type="dxa"/>
            <w:gridSpan w:val="4"/>
            <w:tcBorders>
              <w:top w:val="single" w:sz="4" w:space="0" w:color="auto"/>
              <w:bottom w:val="single" w:sz="4" w:space="0" w:color="auto"/>
            </w:tcBorders>
            <w:shd w:val="clear" w:color="auto" w:fill="auto"/>
            <w:noWrap/>
            <w:vAlign w:val="center"/>
          </w:tcPr>
          <w:p w14:paraId="06427F90" w14:textId="3F26F9B8" w:rsidR="002D1CA6" w:rsidRPr="00C1299C" w:rsidRDefault="001F7B08" w:rsidP="00806311">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 xml:space="preserve">GSK </w:t>
            </w:r>
            <w:r w:rsidR="007930D1">
              <w:rPr>
                <w:rFonts w:ascii="Times New Roman" w:eastAsia="Times New Roman" w:hAnsi="Times New Roman" w:cs="Times New Roman"/>
                <w:b/>
                <w:bCs/>
                <w:szCs w:val="20"/>
              </w:rPr>
              <w:t>S</w:t>
            </w:r>
            <w:r w:rsidRPr="00C1299C">
              <w:rPr>
                <w:rFonts w:ascii="Times New Roman" w:eastAsia="Times New Roman" w:hAnsi="Times New Roman" w:cs="Times New Roman"/>
                <w:b/>
                <w:bCs/>
                <w:szCs w:val="20"/>
              </w:rPr>
              <w:t xml:space="preserve">cores of HBA </w:t>
            </w:r>
            <w:r w:rsidR="007930D1">
              <w:rPr>
                <w:rFonts w:ascii="Times New Roman" w:eastAsia="Times New Roman" w:hAnsi="Times New Roman" w:cs="Times New Roman"/>
                <w:b/>
                <w:bCs/>
                <w:szCs w:val="20"/>
              </w:rPr>
              <w:t>S</w:t>
            </w:r>
            <w:r w:rsidRPr="00C1299C">
              <w:rPr>
                <w:rFonts w:ascii="Times New Roman" w:eastAsia="Times New Roman" w:hAnsi="Times New Roman" w:cs="Times New Roman"/>
                <w:b/>
                <w:bCs/>
                <w:szCs w:val="20"/>
              </w:rPr>
              <w:t>olvent</w:t>
            </w:r>
          </w:p>
        </w:tc>
        <w:tc>
          <w:tcPr>
            <w:tcW w:w="256" w:type="dxa"/>
            <w:tcBorders>
              <w:top w:val="single" w:sz="4" w:space="0" w:color="auto"/>
            </w:tcBorders>
            <w:vAlign w:val="center"/>
          </w:tcPr>
          <w:p w14:paraId="4024635F" w14:textId="77777777" w:rsidR="002D1CA6" w:rsidRPr="00C1299C" w:rsidRDefault="002D1CA6" w:rsidP="00806311">
            <w:pPr>
              <w:jc w:val="center"/>
              <w:rPr>
                <w:rFonts w:ascii="Times New Roman" w:eastAsia="Times New Roman" w:hAnsi="Times New Roman" w:cs="Times New Roman"/>
                <w:b/>
                <w:bCs/>
                <w:szCs w:val="20"/>
              </w:rPr>
            </w:pPr>
          </w:p>
        </w:tc>
        <w:tc>
          <w:tcPr>
            <w:tcW w:w="1483" w:type="dxa"/>
            <w:vMerge w:val="restart"/>
            <w:tcBorders>
              <w:top w:val="single" w:sz="4" w:space="0" w:color="auto"/>
            </w:tcBorders>
            <w:shd w:val="clear" w:color="auto" w:fill="auto"/>
            <w:noWrap/>
            <w:vAlign w:val="center"/>
            <w:hideMark/>
          </w:tcPr>
          <w:p w14:paraId="4F0505DB" w14:textId="77777777" w:rsidR="002D1CA6" w:rsidRPr="00C1299C" w:rsidRDefault="001F7B08" w:rsidP="00806311">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Composite</w:t>
            </w:r>
          </w:p>
          <w:p w14:paraId="0EBE944E" w14:textId="1A3E9468" w:rsidR="002D1CA6" w:rsidRPr="00C1299C" w:rsidRDefault="007930D1" w:rsidP="00806311">
            <w:pPr>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w:t>
            </w:r>
            <w:r w:rsidR="001F7B08" w:rsidRPr="00C1299C">
              <w:rPr>
                <w:rFonts w:ascii="Times New Roman" w:eastAsia="Times New Roman" w:hAnsi="Times New Roman" w:cs="Times New Roman"/>
                <w:b/>
                <w:bCs/>
                <w:szCs w:val="20"/>
              </w:rPr>
              <w:t>core (Rank)</w:t>
            </w:r>
          </w:p>
        </w:tc>
      </w:tr>
      <w:tr w:rsidR="00C1299C" w:rsidRPr="00C1299C" w14:paraId="04C36E24" w14:textId="77777777" w:rsidTr="00BF49B3">
        <w:trPr>
          <w:trHeight w:val="242"/>
          <w:jc w:val="center"/>
        </w:trPr>
        <w:tc>
          <w:tcPr>
            <w:tcW w:w="1482" w:type="dxa"/>
            <w:vMerge/>
            <w:tcBorders>
              <w:bottom w:val="single" w:sz="4" w:space="0" w:color="auto"/>
            </w:tcBorders>
            <w:shd w:val="clear" w:color="auto" w:fill="auto"/>
            <w:noWrap/>
            <w:vAlign w:val="bottom"/>
            <w:hideMark/>
          </w:tcPr>
          <w:p w14:paraId="43137A15" w14:textId="77777777" w:rsidR="002D1CA6" w:rsidRPr="00C1299C" w:rsidRDefault="002D1CA6" w:rsidP="002D1CA6">
            <w:pPr>
              <w:jc w:val="center"/>
              <w:rPr>
                <w:rFonts w:ascii="Times New Roman" w:eastAsia="Times New Roman" w:hAnsi="Times New Roman" w:cs="Times New Roman"/>
                <w:szCs w:val="20"/>
              </w:rPr>
            </w:pPr>
          </w:p>
        </w:tc>
        <w:tc>
          <w:tcPr>
            <w:tcW w:w="1355" w:type="dxa"/>
            <w:tcBorders>
              <w:top w:val="single" w:sz="4" w:space="0" w:color="auto"/>
              <w:bottom w:val="single" w:sz="4" w:space="0" w:color="auto"/>
            </w:tcBorders>
            <w:shd w:val="clear" w:color="auto" w:fill="auto"/>
            <w:noWrap/>
            <w:vAlign w:val="center"/>
            <w:hideMark/>
          </w:tcPr>
          <w:p w14:paraId="5D3F4A46" w14:textId="77777777" w:rsidR="002D1CA6" w:rsidRPr="00C1299C" w:rsidRDefault="001F7B08" w:rsidP="002D1CA6">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 xml:space="preserve">Safety </w:t>
            </w:r>
          </w:p>
        </w:tc>
        <w:tc>
          <w:tcPr>
            <w:tcW w:w="1298" w:type="dxa"/>
            <w:tcBorders>
              <w:top w:val="single" w:sz="4" w:space="0" w:color="auto"/>
              <w:bottom w:val="single" w:sz="4" w:space="0" w:color="auto"/>
            </w:tcBorders>
            <w:shd w:val="clear" w:color="auto" w:fill="auto"/>
            <w:noWrap/>
            <w:vAlign w:val="center"/>
            <w:hideMark/>
          </w:tcPr>
          <w:p w14:paraId="601146AE" w14:textId="77777777" w:rsidR="002D1CA6" w:rsidRPr="00C1299C" w:rsidRDefault="001F7B08" w:rsidP="002D1CA6">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 xml:space="preserve">Health </w:t>
            </w:r>
          </w:p>
        </w:tc>
        <w:tc>
          <w:tcPr>
            <w:tcW w:w="1622" w:type="dxa"/>
            <w:tcBorders>
              <w:top w:val="single" w:sz="4" w:space="0" w:color="auto"/>
              <w:bottom w:val="single" w:sz="4" w:space="0" w:color="auto"/>
            </w:tcBorders>
            <w:shd w:val="clear" w:color="auto" w:fill="auto"/>
            <w:noWrap/>
            <w:vAlign w:val="center"/>
            <w:hideMark/>
          </w:tcPr>
          <w:p w14:paraId="11D16698" w14:textId="77777777" w:rsidR="002D1CA6" w:rsidRPr="00C1299C" w:rsidRDefault="001F7B08" w:rsidP="002D1CA6">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 xml:space="preserve">Environmental </w:t>
            </w:r>
          </w:p>
        </w:tc>
        <w:tc>
          <w:tcPr>
            <w:tcW w:w="1044" w:type="dxa"/>
            <w:tcBorders>
              <w:top w:val="single" w:sz="4" w:space="0" w:color="auto"/>
              <w:bottom w:val="single" w:sz="4" w:space="0" w:color="auto"/>
            </w:tcBorders>
            <w:shd w:val="clear" w:color="auto" w:fill="auto"/>
            <w:noWrap/>
            <w:vAlign w:val="center"/>
            <w:hideMark/>
          </w:tcPr>
          <w:p w14:paraId="29597F7B" w14:textId="77777777" w:rsidR="002D1CA6" w:rsidRPr="00C1299C" w:rsidRDefault="001F7B08" w:rsidP="002D1CA6">
            <w:pPr>
              <w:jc w:val="center"/>
              <w:rPr>
                <w:rFonts w:ascii="Times New Roman" w:eastAsia="Times New Roman" w:hAnsi="Times New Roman" w:cs="Times New Roman"/>
                <w:b/>
                <w:bCs/>
                <w:szCs w:val="20"/>
              </w:rPr>
            </w:pPr>
            <w:r w:rsidRPr="00C1299C">
              <w:rPr>
                <w:rFonts w:ascii="Times New Roman" w:eastAsia="Times New Roman" w:hAnsi="Times New Roman" w:cs="Times New Roman"/>
                <w:b/>
                <w:bCs/>
                <w:szCs w:val="20"/>
              </w:rPr>
              <w:t xml:space="preserve">Waste </w:t>
            </w:r>
          </w:p>
        </w:tc>
        <w:tc>
          <w:tcPr>
            <w:tcW w:w="256" w:type="dxa"/>
            <w:tcBorders>
              <w:bottom w:val="single" w:sz="4" w:space="0" w:color="auto"/>
            </w:tcBorders>
          </w:tcPr>
          <w:p w14:paraId="697C563E" w14:textId="77777777" w:rsidR="002D1CA6" w:rsidRPr="00C1299C" w:rsidRDefault="002D1CA6" w:rsidP="002D1CA6">
            <w:pPr>
              <w:jc w:val="center"/>
              <w:rPr>
                <w:rFonts w:ascii="Times New Roman" w:eastAsia="Times New Roman" w:hAnsi="Times New Roman" w:cs="Times New Roman"/>
                <w:szCs w:val="20"/>
              </w:rPr>
            </w:pPr>
          </w:p>
        </w:tc>
        <w:tc>
          <w:tcPr>
            <w:tcW w:w="1483" w:type="dxa"/>
            <w:vMerge/>
            <w:tcBorders>
              <w:bottom w:val="single" w:sz="4" w:space="0" w:color="auto"/>
            </w:tcBorders>
            <w:shd w:val="clear" w:color="auto" w:fill="auto"/>
            <w:noWrap/>
            <w:vAlign w:val="bottom"/>
            <w:hideMark/>
          </w:tcPr>
          <w:p w14:paraId="62056A14" w14:textId="77777777" w:rsidR="002D1CA6" w:rsidRPr="00C1299C" w:rsidRDefault="002D1CA6" w:rsidP="002D1CA6">
            <w:pPr>
              <w:jc w:val="center"/>
              <w:rPr>
                <w:rFonts w:ascii="Times New Roman" w:eastAsia="Times New Roman" w:hAnsi="Times New Roman" w:cs="Times New Roman"/>
                <w:szCs w:val="20"/>
              </w:rPr>
            </w:pPr>
          </w:p>
        </w:tc>
      </w:tr>
      <w:tr w:rsidR="00C1299C" w:rsidRPr="00C1299C" w14:paraId="5F54D90D" w14:textId="77777777" w:rsidTr="00BF49B3">
        <w:trPr>
          <w:trHeight w:val="242"/>
          <w:jc w:val="center"/>
        </w:trPr>
        <w:tc>
          <w:tcPr>
            <w:tcW w:w="1482" w:type="dxa"/>
            <w:tcBorders>
              <w:top w:val="single" w:sz="4" w:space="0" w:color="auto"/>
              <w:right w:val="single" w:sz="4" w:space="0" w:color="auto"/>
            </w:tcBorders>
            <w:shd w:val="clear" w:color="auto" w:fill="auto"/>
            <w:noWrap/>
            <w:vAlign w:val="bottom"/>
            <w:hideMark/>
          </w:tcPr>
          <w:p w14:paraId="58650BA1"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O-EtOH</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377C144D"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2E23AEA2"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8.9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9EF3C7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6.7</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59EF833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4.2</w:t>
            </w:r>
          </w:p>
        </w:tc>
        <w:tc>
          <w:tcPr>
            <w:tcW w:w="256" w:type="dxa"/>
            <w:tcBorders>
              <w:top w:val="single" w:sz="4" w:space="0" w:color="auto"/>
              <w:left w:val="single" w:sz="4" w:space="0" w:color="auto"/>
              <w:right w:val="single" w:sz="4" w:space="0" w:color="auto"/>
            </w:tcBorders>
            <w:shd w:val="clear" w:color="auto" w:fill="auto"/>
          </w:tcPr>
          <w:p w14:paraId="548A851D" w14:textId="77777777" w:rsidR="002D1CA6" w:rsidRPr="00C1299C" w:rsidRDefault="002D1CA6" w:rsidP="00DA4D47">
            <w:pP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61218E16"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8.3</w:t>
            </w:r>
          </w:p>
        </w:tc>
      </w:tr>
      <w:tr w:rsidR="00C1299C" w:rsidRPr="00C1299C" w14:paraId="19D62AD6" w14:textId="77777777" w:rsidTr="00BF49B3">
        <w:trPr>
          <w:trHeight w:val="242"/>
          <w:jc w:val="center"/>
        </w:trPr>
        <w:tc>
          <w:tcPr>
            <w:tcW w:w="1482" w:type="dxa"/>
            <w:tcBorders>
              <w:right w:val="single" w:sz="4" w:space="0" w:color="auto"/>
            </w:tcBorders>
            <w:shd w:val="clear" w:color="auto" w:fill="auto"/>
            <w:noWrap/>
            <w:vAlign w:val="bottom"/>
            <w:hideMark/>
          </w:tcPr>
          <w:p w14:paraId="5517B99D"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O-iPrOH</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A38997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6.9</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38647DD7"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023C748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7.5</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44E32B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4.4</w:t>
            </w:r>
          </w:p>
        </w:tc>
        <w:tc>
          <w:tcPr>
            <w:tcW w:w="256" w:type="dxa"/>
            <w:tcBorders>
              <w:left w:val="single" w:sz="4" w:space="0" w:color="auto"/>
              <w:right w:val="single" w:sz="4" w:space="0" w:color="auto"/>
            </w:tcBorders>
            <w:shd w:val="clear" w:color="auto" w:fill="auto"/>
          </w:tcPr>
          <w:p w14:paraId="26FC2C4A"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333BD7E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7.3</w:t>
            </w:r>
          </w:p>
        </w:tc>
      </w:tr>
      <w:tr w:rsidR="00C1299C" w:rsidRPr="00C1299C" w14:paraId="3DF1B6D8" w14:textId="77777777" w:rsidTr="00BF49B3">
        <w:trPr>
          <w:trHeight w:val="242"/>
          <w:jc w:val="center"/>
        </w:trPr>
        <w:tc>
          <w:tcPr>
            <w:tcW w:w="1482" w:type="dxa"/>
            <w:tcBorders>
              <w:right w:val="single" w:sz="4" w:space="0" w:color="auto"/>
            </w:tcBorders>
            <w:shd w:val="clear" w:color="auto" w:fill="auto"/>
            <w:noWrap/>
            <w:vAlign w:val="bottom"/>
            <w:hideMark/>
          </w:tcPr>
          <w:p w14:paraId="48360186"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O-DMSO</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5AE54AD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6.7</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29752027"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D5F504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6.9</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C97CB60"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c>
          <w:tcPr>
            <w:tcW w:w="256" w:type="dxa"/>
            <w:tcBorders>
              <w:left w:val="single" w:sz="4" w:space="0" w:color="auto"/>
              <w:right w:val="single" w:sz="4" w:space="0" w:color="auto"/>
            </w:tcBorders>
            <w:shd w:val="clear" w:color="auto" w:fill="auto"/>
          </w:tcPr>
          <w:p w14:paraId="0661E6F6"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74E630F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7.3</w:t>
            </w:r>
          </w:p>
        </w:tc>
      </w:tr>
      <w:tr w:rsidR="00C1299C" w:rsidRPr="00C1299C" w14:paraId="6F45D53A" w14:textId="77777777" w:rsidTr="00BF49B3">
        <w:trPr>
          <w:trHeight w:val="242"/>
          <w:jc w:val="center"/>
        </w:trPr>
        <w:tc>
          <w:tcPr>
            <w:tcW w:w="1482" w:type="dxa"/>
            <w:tcBorders>
              <w:right w:val="single" w:sz="4" w:space="0" w:color="auto"/>
            </w:tcBorders>
            <w:shd w:val="clear" w:color="auto" w:fill="auto"/>
            <w:noWrap/>
            <w:vAlign w:val="bottom"/>
            <w:hideMark/>
          </w:tcPr>
          <w:p w14:paraId="7D005601"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EtOH-DMSO</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0F066E4"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6.7</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71A7FC7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548E2213"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6.9</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BBE04A6"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c>
          <w:tcPr>
            <w:tcW w:w="256" w:type="dxa"/>
            <w:tcBorders>
              <w:left w:val="single" w:sz="4" w:space="0" w:color="auto"/>
              <w:right w:val="single" w:sz="4" w:space="0" w:color="auto"/>
            </w:tcBorders>
            <w:shd w:val="clear" w:color="auto" w:fill="auto"/>
          </w:tcPr>
          <w:p w14:paraId="73C534A9"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6F822802"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7.3</w:t>
            </w:r>
          </w:p>
        </w:tc>
      </w:tr>
      <w:tr w:rsidR="00C1299C" w:rsidRPr="00C1299C" w14:paraId="65A8A968" w14:textId="77777777" w:rsidTr="00BF49B3">
        <w:trPr>
          <w:trHeight w:val="242"/>
          <w:jc w:val="center"/>
        </w:trPr>
        <w:tc>
          <w:tcPr>
            <w:tcW w:w="1482" w:type="dxa"/>
            <w:tcBorders>
              <w:right w:val="single" w:sz="4" w:space="0" w:color="auto"/>
            </w:tcBorders>
            <w:shd w:val="clear" w:color="auto" w:fill="auto"/>
            <w:noWrap/>
            <w:vAlign w:val="bottom"/>
            <w:hideMark/>
          </w:tcPr>
          <w:p w14:paraId="6511FFB0" w14:textId="77777777" w:rsidR="002D1CA6" w:rsidRPr="00C1299C" w:rsidRDefault="001F7B08" w:rsidP="002D1CA6">
            <w:pPr>
              <w:rPr>
                <w:rFonts w:ascii="Times New Roman" w:eastAsia="Times New Roman" w:hAnsi="Times New Roman" w:cs="Times New Roman"/>
                <w:szCs w:val="20"/>
              </w:rPr>
            </w:pPr>
            <w:bookmarkStart w:id="3" w:name="_Hlk85362734"/>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O-Ace</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7E8AF93F"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3488DED2"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01D8FEBA"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7CB0D047"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3.3</w:t>
            </w:r>
          </w:p>
        </w:tc>
        <w:tc>
          <w:tcPr>
            <w:tcW w:w="256" w:type="dxa"/>
            <w:tcBorders>
              <w:left w:val="single" w:sz="4" w:space="0" w:color="auto"/>
              <w:right w:val="single" w:sz="4" w:space="0" w:color="auto"/>
            </w:tcBorders>
            <w:shd w:val="clear" w:color="auto" w:fill="auto"/>
          </w:tcPr>
          <w:p w14:paraId="2633222B"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2B2851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6.8</w:t>
            </w:r>
          </w:p>
        </w:tc>
      </w:tr>
      <w:tr w:rsidR="00C1299C" w:rsidRPr="00C1299C" w14:paraId="594021FD" w14:textId="77777777" w:rsidTr="00BF49B3">
        <w:trPr>
          <w:trHeight w:val="242"/>
          <w:jc w:val="center"/>
        </w:trPr>
        <w:tc>
          <w:tcPr>
            <w:tcW w:w="1482" w:type="dxa"/>
            <w:tcBorders>
              <w:right w:val="single" w:sz="4" w:space="0" w:color="auto"/>
            </w:tcBorders>
            <w:shd w:val="clear" w:color="auto" w:fill="auto"/>
            <w:noWrap/>
            <w:vAlign w:val="bottom"/>
            <w:hideMark/>
          </w:tcPr>
          <w:p w14:paraId="1277E3C2"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EtOH-Ace</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C694F50"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0F146EA2"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1DE4E3AB"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70FECE0A"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3.3</w:t>
            </w:r>
          </w:p>
        </w:tc>
        <w:tc>
          <w:tcPr>
            <w:tcW w:w="256" w:type="dxa"/>
            <w:tcBorders>
              <w:left w:val="single" w:sz="4" w:space="0" w:color="auto"/>
              <w:right w:val="single" w:sz="4" w:space="0" w:color="auto"/>
            </w:tcBorders>
            <w:shd w:val="clear" w:color="auto" w:fill="auto"/>
          </w:tcPr>
          <w:p w14:paraId="7A335B4D"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F429AFA"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6.8</w:t>
            </w:r>
          </w:p>
        </w:tc>
      </w:tr>
      <w:tr w:rsidR="00C1299C" w:rsidRPr="00C1299C" w14:paraId="6D3CE8DB" w14:textId="77777777" w:rsidTr="00BF49B3">
        <w:trPr>
          <w:trHeight w:val="242"/>
          <w:jc w:val="center"/>
        </w:trPr>
        <w:tc>
          <w:tcPr>
            <w:tcW w:w="1482" w:type="dxa"/>
            <w:tcBorders>
              <w:right w:val="single" w:sz="4" w:space="0" w:color="auto"/>
            </w:tcBorders>
            <w:shd w:val="clear" w:color="auto" w:fill="auto"/>
            <w:noWrap/>
            <w:vAlign w:val="bottom"/>
            <w:hideMark/>
          </w:tcPr>
          <w:p w14:paraId="0C64D775"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MeOH-Ace</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3AA503D"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w:t>
            </w:r>
          </w:p>
        </w:tc>
        <w:tc>
          <w:tcPr>
            <w:tcW w:w="1298"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07D4F880"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104DECCB"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1881D442"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3.3</w:t>
            </w:r>
          </w:p>
        </w:tc>
        <w:tc>
          <w:tcPr>
            <w:tcW w:w="256" w:type="dxa"/>
            <w:tcBorders>
              <w:left w:val="single" w:sz="4" w:space="0" w:color="auto"/>
              <w:right w:val="single" w:sz="4" w:space="0" w:color="auto"/>
            </w:tcBorders>
            <w:shd w:val="clear" w:color="auto" w:fill="auto"/>
          </w:tcPr>
          <w:p w14:paraId="47B89768"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F9549CD"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6.8</w:t>
            </w:r>
          </w:p>
        </w:tc>
      </w:tr>
      <w:tr w:rsidR="00C1299C" w:rsidRPr="00C1299C" w14:paraId="6D1EE364" w14:textId="77777777" w:rsidTr="00BF49B3">
        <w:trPr>
          <w:trHeight w:val="242"/>
          <w:jc w:val="center"/>
        </w:trPr>
        <w:tc>
          <w:tcPr>
            <w:tcW w:w="1482" w:type="dxa"/>
            <w:tcBorders>
              <w:right w:val="single" w:sz="4" w:space="0" w:color="auto"/>
            </w:tcBorders>
            <w:shd w:val="clear" w:color="auto" w:fill="auto"/>
            <w:noWrap/>
            <w:vAlign w:val="bottom"/>
            <w:hideMark/>
          </w:tcPr>
          <w:p w14:paraId="54BDF9EA"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O-ACN</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172976A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CB8B23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4498C204"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8.9</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3357E07B"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2.8</w:t>
            </w:r>
          </w:p>
        </w:tc>
        <w:tc>
          <w:tcPr>
            <w:tcW w:w="256" w:type="dxa"/>
            <w:tcBorders>
              <w:left w:val="single" w:sz="4" w:space="0" w:color="auto"/>
              <w:right w:val="single" w:sz="4" w:space="0" w:color="auto"/>
            </w:tcBorders>
            <w:shd w:val="clear" w:color="auto" w:fill="auto"/>
          </w:tcPr>
          <w:p w14:paraId="4D4B9E08"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8FA8074"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6.7</w:t>
            </w:r>
          </w:p>
        </w:tc>
      </w:tr>
      <w:tr w:rsidR="00C1299C" w:rsidRPr="00C1299C" w14:paraId="5BABEDE1" w14:textId="77777777" w:rsidTr="00BF49B3">
        <w:trPr>
          <w:trHeight w:val="242"/>
          <w:jc w:val="center"/>
        </w:trPr>
        <w:tc>
          <w:tcPr>
            <w:tcW w:w="1482" w:type="dxa"/>
            <w:tcBorders>
              <w:right w:val="single" w:sz="4" w:space="0" w:color="auto"/>
            </w:tcBorders>
            <w:shd w:val="clear" w:color="auto" w:fill="auto"/>
            <w:noWrap/>
            <w:vAlign w:val="bottom"/>
            <w:hideMark/>
          </w:tcPr>
          <w:p w14:paraId="550659D4"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EtOH-ACN</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6FB1066F"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7.7</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7550CA2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376847D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8.9</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369988FB"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2.8</w:t>
            </w:r>
          </w:p>
        </w:tc>
        <w:tc>
          <w:tcPr>
            <w:tcW w:w="256" w:type="dxa"/>
            <w:tcBorders>
              <w:left w:val="single" w:sz="4" w:space="0" w:color="auto"/>
              <w:right w:val="single" w:sz="4" w:space="0" w:color="auto"/>
            </w:tcBorders>
            <w:shd w:val="clear" w:color="auto" w:fill="auto"/>
          </w:tcPr>
          <w:p w14:paraId="3B28D8A8"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90C65D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6.7</w:t>
            </w:r>
          </w:p>
        </w:tc>
      </w:tr>
      <w:bookmarkEnd w:id="3"/>
      <w:tr w:rsidR="00C1299C" w:rsidRPr="00C1299C" w14:paraId="1CAFD87B" w14:textId="77777777" w:rsidTr="00BF49B3">
        <w:trPr>
          <w:trHeight w:val="242"/>
          <w:jc w:val="center"/>
        </w:trPr>
        <w:tc>
          <w:tcPr>
            <w:tcW w:w="1482" w:type="dxa"/>
            <w:tcBorders>
              <w:right w:val="single" w:sz="4" w:space="0" w:color="auto"/>
            </w:tcBorders>
            <w:shd w:val="clear" w:color="auto" w:fill="auto"/>
            <w:noWrap/>
            <w:vAlign w:val="bottom"/>
            <w:hideMark/>
          </w:tcPr>
          <w:p w14:paraId="6DD1A57B"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O-MeOH</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1EC64A3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7.1</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381A9EAA"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4.9</w:t>
            </w:r>
          </w:p>
        </w:tc>
        <w:tc>
          <w:tcPr>
            <w:tcW w:w="1622"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7045A27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8.4</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3A75BC37"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4.0</w:t>
            </w:r>
          </w:p>
        </w:tc>
        <w:tc>
          <w:tcPr>
            <w:tcW w:w="256" w:type="dxa"/>
            <w:tcBorders>
              <w:left w:val="single" w:sz="4" w:space="0" w:color="auto"/>
              <w:right w:val="single" w:sz="4" w:space="0" w:color="auto"/>
            </w:tcBorders>
            <w:shd w:val="clear" w:color="auto" w:fill="auto"/>
          </w:tcPr>
          <w:p w14:paraId="51C26ADD"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A8A74CE"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r>
      <w:tr w:rsidR="00C1299C" w:rsidRPr="00C1299C" w14:paraId="0E36147B" w14:textId="77777777" w:rsidTr="00BF49B3">
        <w:trPr>
          <w:trHeight w:val="242"/>
          <w:jc w:val="center"/>
        </w:trPr>
        <w:tc>
          <w:tcPr>
            <w:tcW w:w="1482" w:type="dxa"/>
            <w:tcBorders>
              <w:right w:val="single" w:sz="4" w:space="0" w:color="auto"/>
            </w:tcBorders>
            <w:shd w:val="clear" w:color="auto" w:fill="auto"/>
            <w:noWrap/>
            <w:vAlign w:val="bottom"/>
            <w:hideMark/>
          </w:tcPr>
          <w:p w14:paraId="2110B1C4"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O-THF</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8805FD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4.9</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FE927A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7EA1F64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5.2</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2671AA6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3.5</w:t>
            </w:r>
          </w:p>
        </w:tc>
        <w:tc>
          <w:tcPr>
            <w:tcW w:w="256" w:type="dxa"/>
            <w:tcBorders>
              <w:left w:val="single" w:sz="4" w:space="0" w:color="auto"/>
              <w:right w:val="single" w:sz="4" w:space="0" w:color="auto"/>
            </w:tcBorders>
            <w:shd w:val="clear" w:color="auto" w:fill="auto"/>
          </w:tcPr>
          <w:p w14:paraId="71A31CA3"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98E96A6"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5.4</w:t>
            </w:r>
          </w:p>
        </w:tc>
      </w:tr>
      <w:tr w:rsidR="00C1299C" w:rsidRPr="00C1299C" w14:paraId="50A503ED" w14:textId="77777777" w:rsidTr="00BF49B3">
        <w:trPr>
          <w:trHeight w:val="242"/>
          <w:jc w:val="center"/>
        </w:trPr>
        <w:tc>
          <w:tcPr>
            <w:tcW w:w="1482" w:type="dxa"/>
            <w:tcBorders>
              <w:right w:val="single" w:sz="4" w:space="0" w:color="auto"/>
            </w:tcBorders>
            <w:shd w:val="clear" w:color="auto" w:fill="auto"/>
            <w:noWrap/>
            <w:vAlign w:val="bottom"/>
            <w:hideMark/>
          </w:tcPr>
          <w:p w14:paraId="4BBC72AC"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EtOH-THF</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7880EF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4.9</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59B31BCE"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473E9443"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5.2</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46CAB3CB"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3.5</w:t>
            </w:r>
          </w:p>
        </w:tc>
        <w:tc>
          <w:tcPr>
            <w:tcW w:w="256" w:type="dxa"/>
            <w:tcBorders>
              <w:left w:val="single" w:sz="4" w:space="0" w:color="auto"/>
              <w:right w:val="single" w:sz="4" w:space="0" w:color="auto"/>
            </w:tcBorders>
            <w:shd w:val="clear" w:color="auto" w:fill="auto"/>
          </w:tcPr>
          <w:p w14:paraId="69604A56"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E10AC0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5.4</w:t>
            </w:r>
          </w:p>
        </w:tc>
      </w:tr>
      <w:tr w:rsidR="00C1299C" w:rsidRPr="00C1299C" w14:paraId="18E0A82E" w14:textId="77777777" w:rsidTr="00BF49B3">
        <w:trPr>
          <w:trHeight w:val="242"/>
          <w:jc w:val="center"/>
        </w:trPr>
        <w:tc>
          <w:tcPr>
            <w:tcW w:w="1482" w:type="dxa"/>
            <w:tcBorders>
              <w:right w:val="single" w:sz="4" w:space="0" w:color="auto"/>
            </w:tcBorders>
            <w:shd w:val="clear" w:color="auto" w:fill="auto"/>
            <w:noWrap/>
            <w:vAlign w:val="bottom"/>
            <w:hideMark/>
          </w:tcPr>
          <w:p w14:paraId="65948472"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MeOH-THF</w:t>
            </w:r>
          </w:p>
        </w:tc>
        <w:tc>
          <w:tcPr>
            <w:tcW w:w="1355"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DA9F21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4.9</w:t>
            </w:r>
          </w:p>
        </w:tc>
        <w:tc>
          <w:tcPr>
            <w:tcW w:w="1298"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4BB92CAE"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5.9</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9F3DE43"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5.2</w:t>
            </w:r>
          </w:p>
        </w:tc>
        <w:tc>
          <w:tcPr>
            <w:tcW w:w="1044"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3BA27C0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3.5</w:t>
            </w:r>
          </w:p>
        </w:tc>
        <w:tc>
          <w:tcPr>
            <w:tcW w:w="256" w:type="dxa"/>
            <w:tcBorders>
              <w:left w:val="single" w:sz="4" w:space="0" w:color="auto"/>
              <w:right w:val="single" w:sz="4" w:space="0" w:color="auto"/>
            </w:tcBorders>
            <w:shd w:val="clear" w:color="auto" w:fill="auto"/>
          </w:tcPr>
          <w:p w14:paraId="637C90D3"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3CCCD3A8"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5.4</w:t>
            </w:r>
          </w:p>
        </w:tc>
      </w:tr>
      <w:tr w:rsidR="00C1299C" w:rsidRPr="00C1299C" w14:paraId="14ABB9D6" w14:textId="77777777" w:rsidTr="00BF49B3">
        <w:trPr>
          <w:trHeight w:val="242"/>
          <w:jc w:val="center"/>
        </w:trPr>
        <w:tc>
          <w:tcPr>
            <w:tcW w:w="1482" w:type="dxa"/>
            <w:tcBorders>
              <w:right w:val="single" w:sz="4" w:space="0" w:color="auto"/>
            </w:tcBorders>
            <w:shd w:val="clear" w:color="auto" w:fill="auto"/>
            <w:noWrap/>
            <w:vAlign w:val="bottom"/>
            <w:hideMark/>
          </w:tcPr>
          <w:p w14:paraId="7DA09F82"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H</w:t>
            </w:r>
            <w:r w:rsidRPr="00C1299C">
              <w:rPr>
                <w:rFonts w:ascii="Times New Roman" w:eastAsia="Times New Roman" w:hAnsi="Times New Roman" w:cs="Times New Roman"/>
                <w:szCs w:val="20"/>
                <w:vertAlign w:val="subscript"/>
              </w:rPr>
              <w:t>2</w:t>
            </w:r>
            <w:r w:rsidRPr="00C1299C">
              <w:rPr>
                <w:rFonts w:ascii="Times New Roman" w:eastAsia="Times New Roman" w:hAnsi="Times New Roman" w:cs="Times New Roman"/>
                <w:szCs w:val="20"/>
              </w:rPr>
              <w:t>O-DMF</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16144447"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9</w:t>
            </w:r>
          </w:p>
        </w:tc>
        <w:tc>
          <w:tcPr>
            <w:tcW w:w="1298"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228C099F"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2.4</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7159EA9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6.3</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21893D7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c>
          <w:tcPr>
            <w:tcW w:w="256" w:type="dxa"/>
            <w:tcBorders>
              <w:left w:val="single" w:sz="4" w:space="0" w:color="auto"/>
              <w:right w:val="single" w:sz="4" w:space="0" w:color="auto"/>
            </w:tcBorders>
            <w:shd w:val="clear" w:color="auto" w:fill="auto"/>
          </w:tcPr>
          <w:p w14:paraId="29077790"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1E82A2C9"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r>
      <w:tr w:rsidR="00C1299C" w:rsidRPr="00C1299C" w14:paraId="114C3050" w14:textId="77777777" w:rsidTr="00BF49B3">
        <w:trPr>
          <w:trHeight w:val="242"/>
          <w:jc w:val="center"/>
        </w:trPr>
        <w:tc>
          <w:tcPr>
            <w:tcW w:w="1482" w:type="dxa"/>
            <w:tcBorders>
              <w:right w:val="single" w:sz="4" w:space="0" w:color="auto"/>
            </w:tcBorders>
            <w:shd w:val="clear" w:color="auto" w:fill="auto"/>
            <w:noWrap/>
            <w:vAlign w:val="bottom"/>
            <w:hideMark/>
          </w:tcPr>
          <w:p w14:paraId="1B04FECB"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EtOH-DMF</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29AF6021"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9</w:t>
            </w:r>
          </w:p>
        </w:tc>
        <w:tc>
          <w:tcPr>
            <w:tcW w:w="1298"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4807962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2.4</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618FB10"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6.3</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7646FE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c>
          <w:tcPr>
            <w:tcW w:w="256" w:type="dxa"/>
            <w:tcBorders>
              <w:left w:val="single" w:sz="4" w:space="0" w:color="auto"/>
              <w:right w:val="single" w:sz="4" w:space="0" w:color="auto"/>
            </w:tcBorders>
            <w:shd w:val="clear" w:color="auto" w:fill="auto"/>
          </w:tcPr>
          <w:p w14:paraId="1326AC25"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4DA6C123"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r>
      <w:tr w:rsidR="00C1299C" w:rsidRPr="00C1299C" w14:paraId="431F7862" w14:textId="77777777" w:rsidTr="00BF49B3">
        <w:trPr>
          <w:trHeight w:val="242"/>
          <w:jc w:val="center"/>
        </w:trPr>
        <w:tc>
          <w:tcPr>
            <w:tcW w:w="1482" w:type="dxa"/>
            <w:tcBorders>
              <w:bottom w:val="single" w:sz="4" w:space="0" w:color="auto"/>
              <w:right w:val="single" w:sz="4" w:space="0" w:color="auto"/>
            </w:tcBorders>
            <w:shd w:val="clear" w:color="auto" w:fill="auto"/>
            <w:noWrap/>
            <w:vAlign w:val="bottom"/>
            <w:hideMark/>
          </w:tcPr>
          <w:p w14:paraId="32E62350" w14:textId="77777777" w:rsidR="002D1CA6" w:rsidRPr="00C1299C" w:rsidRDefault="001F7B08" w:rsidP="002D1CA6">
            <w:pPr>
              <w:rPr>
                <w:rFonts w:ascii="Times New Roman" w:eastAsia="Times New Roman" w:hAnsi="Times New Roman" w:cs="Times New Roman"/>
                <w:szCs w:val="20"/>
              </w:rPr>
            </w:pPr>
            <w:r w:rsidRPr="00C1299C">
              <w:rPr>
                <w:rFonts w:ascii="Times New Roman" w:eastAsia="Times New Roman" w:hAnsi="Times New Roman" w:cs="Times New Roman"/>
                <w:szCs w:val="20"/>
              </w:rPr>
              <w:t>MeOH-DMF</w:t>
            </w:r>
          </w:p>
        </w:tc>
        <w:tc>
          <w:tcPr>
            <w:tcW w:w="1355" w:type="dxa"/>
            <w:tcBorders>
              <w:top w:val="single" w:sz="4" w:space="0" w:color="auto"/>
              <w:left w:val="single" w:sz="4" w:space="0" w:color="auto"/>
              <w:bottom w:val="single" w:sz="4" w:space="0" w:color="auto"/>
              <w:right w:val="single" w:sz="4" w:space="0" w:color="auto"/>
            </w:tcBorders>
            <w:shd w:val="clear" w:color="auto" w:fill="76D889"/>
            <w:noWrap/>
            <w:vAlign w:val="bottom"/>
            <w:hideMark/>
          </w:tcPr>
          <w:p w14:paraId="41E57B0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9</w:t>
            </w:r>
          </w:p>
        </w:tc>
        <w:tc>
          <w:tcPr>
            <w:tcW w:w="1298" w:type="dxa"/>
            <w:tcBorders>
              <w:top w:val="single" w:sz="4" w:space="0" w:color="auto"/>
              <w:left w:val="single" w:sz="4" w:space="0" w:color="auto"/>
              <w:bottom w:val="single" w:sz="4" w:space="0" w:color="auto"/>
              <w:right w:val="single" w:sz="4" w:space="0" w:color="auto"/>
            </w:tcBorders>
            <w:shd w:val="clear" w:color="auto" w:fill="F55161"/>
            <w:noWrap/>
            <w:vAlign w:val="bottom"/>
            <w:hideMark/>
          </w:tcPr>
          <w:p w14:paraId="1BAD492F"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2.4</w:t>
            </w:r>
          </w:p>
        </w:tc>
        <w:tc>
          <w:tcPr>
            <w:tcW w:w="1622"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61DD45CC"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6.3</w:t>
            </w:r>
          </w:p>
        </w:tc>
        <w:tc>
          <w:tcPr>
            <w:tcW w:w="1044"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00CB8605"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c>
          <w:tcPr>
            <w:tcW w:w="256" w:type="dxa"/>
            <w:tcBorders>
              <w:left w:val="single" w:sz="4" w:space="0" w:color="auto"/>
              <w:bottom w:val="single" w:sz="4" w:space="0" w:color="auto"/>
              <w:right w:val="single" w:sz="4" w:space="0" w:color="auto"/>
            </w:tcBorders>
            <w:shd w:val="clear" w:color="auto" w:fill="auto"/>
          </w:tcPr>
          <w:p w14:paraId="1AE1184E" w14:textId="77777777" w:rsidR="002D1CA6" w:rsidRPr="00C1299C" w:rsidRDefault="002D1CA6" w:rsidP="002D1CA6">
            <w:pPr>
              <w:jc w:val="center"/>
              <w:rPr>
                <w:rFonts w:ascii="Times New Roman" w:eastAsia="Times New Roman" w:hAnsi="Times New Roman" w:cs="Times New Roman"/>
                <w:szCs w:val="20"/>
              </w:rPr>
            </w:pPr>
          </w:p>
        </w:tc>
        <w:tc>
          <w:tcPr>
            <w:tcW w:w="1483" w:type="dxa"/>
            <w:tcBorders>
              <w:top w:val="single" w:sz="4" w:space="0" w:color="auto"/>
              <w:left w:val="single" w:sz="4" w:space="0" w:color="auto"/>
              <w:bottom w:val="single" w:sz="4" w:space="0" w:color="auto"/>
              <w:right w:val="single" w:sz="4" w:space="0" w:color="auto"/>
            </w:tcBorders>
            <w:shd w:val="clear" w:color="auto" w:fill="FFD72D"/>
            <w:noWrap/>
            <w:vAlign w:val="bottom"/>
            <w:hideMark/>
          </w:tcPr>
          <w:p w14:paraId="486E1B70" w14:textId="77777777" w:rsidR="002D1CA6" w:rsidRPr="00C1299C" w:rsidRDefault="001F7B08" w:rsidP="002D1CA6">
            <w:pPr>
              <w:jc w:val="center"/>
              <w:rPr>
                <w:rFonts w:ascii="Times New Roman" w:eastAsia="Times New Roman" w:hAnsi="Times New Roman" w:cs="Times New Roman"/>
                <w:szCs w:val="20"/>
              </w:rPr>
            </w:pPr>
            <w:r w:rsidRPr="00C1299C">
              <w:rPr>
                <w:rFonts w:ascii="Times New Roman" w:eastAsia="Times New Roman" w:hAnsi="Times New Roman" w:cs="Times New Roman"/>
                <w:szCs w:val="20"/>
              </w:rPr>
              <w:t>4.6</w:t>
            </w:r>
          </w:p>
        </w:tc>
      </w:tr>
      <w:tr w:rsidR="00082E77" w:rsidRPr="00C1299C" w14:paraId="013AA3CE" w14:textId="77777777" w:rsidTr="00954DC5">
        <w:trPr>
          <w:trHeight w:val="518"/>
          <w:jc w:val="center"/>
        </w:trPr>
        <w:tc>
          <w:tcPr>
            <w:tcW w:w="8540" w:type="dxa"/>
            <w:gridSpan w:val="7"/>
            <w:tcBorders>
              <w:top w:val="single" w:sz="4" w:space="0" w:color="auto"/>
            </w:tcBorders>
          </w:tcPr>
          <w:p w14:paraId="295A1DEC" w14:textId="75F68798" w:rsidR="002D1CA6" w:rsidRPr="00C1299C" w:rsidRDefault="001F7B08" w:rsidP="002D1CA6">
            <w:pPr>
              <w:rPr>
                <w:rFonts w:ascii="Times New Roman" w:eastAsia="Times New Roman" w:hAnsi="Times New Roman" w:cs="Times New Roman"/>
                <w:szCs w:val="20"/>
              </w:rPr>
            </w:pPr>
            <w:r w:rsidRPr="007930D1">
              <w:rPr>
                <w:rFonts w:ascii="Times New Roman" w:eastAsia="Times New Roman" w:hAnsi="Times New Roman" w:cs="Times New Roman"/>
                <w:b/>
                <w:bCs/>
                <w:sz w:val="16"/>
                <w:szCs w:val="16"/>
              </w:rPr>
              <w:t>Keys:</w:t>
            </w:r>
            <w:r w:rsidRPr="007930D1">
              <w:rPr>
                <w:rFonts w:ascii="Times New Roman" w:eastAsia="Times New Roman" w:hAnsi="Times New Roman" w:cs="Times New Roman"/>
                <w:sz w:val="16"/>
                <w:szCs w:val="16"/>
              </w:rPr>
              <w:t xml:space="preserve"> Recommended solvent-pairs (green highlight) = score 7-10, problematic solvent-pairs (yellow highlight) = score 4-7, hazardous solvent-pairs (red highlight) = score 0-4 are score ranges adopted from IMI-CHEM21 [7]</w:t>
            </w:r>
          </w:p>
        </w:tc>
      </w:tr>
    </w:tbl>
    <w:p w14:paraId="41AACABC" w14:textId="77777777" w:rsidR="003744F6" w:rsidRPr="00C1299C" w:rsidRDefault="003744F6" w:rsidP="003744F6">
      <w:pPr>
        <w:outlineLvl w:val="0"/>
        <w:rPr>
          <w:rFonts w:ascii="Times New Roman" w:hAnsi="Times New Roman" w:cs="Times New Roman"/>
          <w:szCs w:val="20"/>
        </w:rPr>
      </w:pPr>
    </w:p>
    <w:p w14:paraId="50307147" w14:textId="1E891496" w:rsidR="00785CA6" w:rsidRPr="00C1299C" w:rsidRDefault="001F7B08" w:rsidP="00DA4D47">
      <w:pPr>
        <w:outlineLvl w:val="0"/>
        <w:rPr>
          <w:rFonts w:ascii="Times New Roman" w:hAnsi="Times New Roman" w:cs="Times New Roman"/>
          <w:szCs w:val="20"/>
        </w:rPr>
      </w:pPr>
      <w:r w:rsidRPr="00C1299C">
        <w:rPr>
          <w:rFonts w:ascii="Times New Roman" w:hAnsi="Times New Roman" w:cs="Times New Roman"/>
          <w:szCs w:val="20"/>
        </w:rPr>
        <w:t>Duereh et al. studied with 52 solvent mixtures</w:t>
      </w:r>
      <w:r w:rsidR="00182074" w:rsidRPr="00C1299C">
        <w:rPr>
          <w:rFonts w:ascii="Times New Roman" w:hAnsi="Times New Roman" w:cs="Times New Roman"/>
          <w:szCs w:val="20"/>
        </w:rPr>
        <w:t xml:space="preserve"> and they reported that combinations of HBD-HBA</w:t>
      </w:r>
      <w:r w:rsidR="00350829" w:rsidRPr="00C1299C">
        <w:rPr>
          <w:rFonts w:ascii="Times New Roman" w:hAnsi="Times New Roman" w:cs="Times New Roman"/>
          <w:szCs w:val="20"/>
        </w:rPr>
        <w:t xml:space="preserve"> allow</w:t>
      </w:r>
      <w:r w:rsidR="003744F6" w:rsidRPr="00C1299C">
        <w:rPr>
          <w:rFonts w:ascii="Times New Roman" w:hAnsi="Times New Roman" w:cs="Times New Roman"/>
          <w:szCs w:val="20"/>
        </w:rPr>
        <w:t xml:space="preserve"> the binding with API because solvent mixtures </w:t>
      </w:r>
      <w:r w:rsidR="00350829" w:rsidRPr="00C1299C">
        <w:rPr>
          <w:rFonts w:ascii="Times New Roman" w:hAnsi="Times New Roman" w:cs="Times New Roman"/>
          <w:szCs w:val="20"/>
        </w:rPr>
        <w:t>show</w:t>
      </w:r>
      <w:r w:rsidR="003744F6" w:rsidRPr="00C1299C">
        <w:rPr>
          <w:rFonts w:ascii="Times New Roman" w:hAnsi="Times New Roman" w:cs="Times New Roman"/>
          <w:szCs w:val="20"/>
        </w:rPr>
        <w:t xml:space="preserve"> low KT acidity, high KT basicity, and high KT polarity properties</w:t>
      </w:r>
      <w:r w:rsidR="00350829" w:rsidRPr="00C1299C">
        <w:rPr>
          <w:rFonts w:ascii="Times New Roman" w:hAnsi="Times New Roman" w:cs="Times New Roman"/>
          <w:szCs w:val="20"/>
        </w:rPr>
        <w:t xml:space="preserve">. </w:t>
      </w:r>
      <w:r w:rsidR="00A4748A" w:rsidRPr="00C1299C">
        <w:rPr>
          <w:rFonts w:ascii="Times New Roman" w:hAnsi="Times New Roman" w:cs="Times New Roman"/>
          <w:szCs w:val="20"/>
        </w:rPr>
        <w:t>For that, the solvent mixture can be used for the replacement of dipolar aprotic solvent</w:t>
      </w:r>
      <w:r w:rsidR="00875984" w:rsidRPr="00C1299C">
        <w:rPr>
          <w:rFonts w:ascii="Times New Roman" w:hAnsi="Times New Roman" w:cs="Times New Roman"/>
          <w:szCs w:val="20"/>
        </w:rPr>
        <w:t xml:space="preserve">. </w:t>
      </w:r>
      <w:r w:rsidR="003871AE" w:rsidRPr="00C1299C">
        <w:rPr>
          <w:rFonts w:ascii="Times New Roman" w:hAnsi="Times New Roman" w:cs="Times New Roman"/>
          <w:szCs w:val="20"/>
        </w:rPr>
        <w:t>Although strong binding with API depends on physicochemical properties of solvent mixture</w:t>
      </w:r>
      <w:r w:rsidR="0007147A" w:rsidRPr="00C1299C">
        <w:rPr>
          <w:rFonts w:ascii="Times New Roman" w:hAnsi="Times New Roman" w:cs="Times New Roman"/>
          <w:szCs w:val="20"/>
        </w:rPr>
        <w:t xml:space="preserve">. </w:t>
      </w:r>
      <w:r w:rsidR="000850CA" w:rsidRPr="00C1299C">
        <w:rPr>
          <w:rFonts w:ascii="Times New Roman" w:hAnsi="Times New Roman" w:cs="Times New Roman"/>
          <w:szCs w:val="20"/>
        </w:rPr>
        <w:t>All mixtures who exhibited low KT acidity and high KT basicity, they are also capable to bind with the HBD site of API, can be selected for drug synthesis</w:t>
      </w:r>
      <w:r w:rsidR="00D31E2D" w:rsidRPr="00C1299C">
        <w:rPr>
          <w:rFonts w:ascii="Times New Roman" w:hAnsi="Times New Roman" w:cs="Times New Roman"/>
          <w:szCs w:val="20"/>
        </w:rPr>
        <w:t xml:space="preserve"> </w:t>
      </w:r>
      <w:r w:rsidR="00A879B1" w:rsidRPr="00C1299C">
        <w:rPr>
          <w:rFonts w:ascii="Times New Roman" w:hAnsi="Times New Roman" w:cs="Times New Roman"/>
          <w:szCs w:val="20"/>
        </w:rPr>
        <w:t>[4,</w:t>
      </w:r>
      <w:r w:rsidR="00501C22">
        <w:rPr>
          <w:rFonts w:ascii="Times New Roman" w:hAnsi="Times New Roman" w:cs="Times New Roman"/>
          <w:szCs w:val="20"/>
        </w:rPr>
        <w:t xml:space="preserve"> </w:t>
      </w:r>
      <w:r w:rsidR="0058311E" w:rsidRPr="00C1299C">
        <w:rPr>
          <w:rFonts w:ascii="Times New Roman" w:hAnsi="Times New Roman" w:cs="Times New Roman"/>
          <w:szCs w:val="20"/>
        </w:rPr>
        <w:t>11</w:t>
      </w:r>
      <w:r w:rsidR="00A879B1" w:rsidRPr="00C1299C">
        <w:rPr>
          <w:rFonts w:ascii="Times New Roman" w:hAnsi="Times New Roman" w:cs="Times New Roman"/>
          <w:szCs w:val="20"/>
        </w:rPr>
        <w:t>,</w:t>
      </w:r>
      <w:r w:rsidR="00501C22">
        <w:rPr>
          <w:rFonts w:ascii="Times New Roman" w:hAnsi="Times New Roman" w:cs="Times New Roman"/>
          <w:szCs w:val="20"/>
        </w:rPr>
        <w:t xml:space="preserve"> </w:t>
      </w:r>
      <w:r w:rsidR="00A879B1" w:rsidRPr="00C1299C">
        <w:rPr>
          <w:rFonts w:ascii="Times New Roman" w:hAnsi="Times New Roman" w:cs="Times New Roman"/>
          <w:szCs w:val="20"/>
        </w:rPr>
        <w:t>1</w:t>
      </w:r>
      <w:r w:rsidR="0058311E" w:rsidRPr="00C1299C">
        <w:rPr>
          <w:rFonts w:ascii="Times New Roman" w:hAnsi="Times New Roman" w:cs="Times New Roman"/>
          <w:szCs w:val="20"/>
        </w:rPr>
        <w:t>3</w:t>
      </w:r>
      <w:r w:rsidR="00A879B1" w:rsidRPr="00C1299C">
        <w:rPr>
          <w:rFonts w:ascii="Times New Roman" w:hAnsi="Times New Roman" w:cs="Times New Roman"/>
          <w:szCs w:val="20"/>
        </w:rPr>
        <w:t>]</w:t>
      </w:r>
      <w:r w:rsidR="003744F6" w:rsidRPr="00C1299C">
        <w:rPr>
          <w:rFonts w:ascii="Times New Roman" w:hAnsi="Times New Roman" w:cs="Times New Roman"/>
          <w:szCs w:val="20"/>
        </w:rPr>
        <w:t>.</w:t>
      </w:r>
      <w:r w:rsidR="00485C4A" w:rsidRPr="00C1299C">
        <w:rPr>
          <w:rFonts w:ascii="Times New Roman" w:hAnsi="Times New Roman" w:cs="Times New Roman"/>
          <w:szCs w:val="20"/>
        </w:rPr>
        <w:t xml:space="preserve"> </w:t>
      </w:r>
      <w:r w:rsidR="003744F6" w:rsidRPr="00C1299C">
        <w:rPr>
          <w:rFonts w:ascii="Times New Roman" w:hAnsi="Times New Roman" w:cs="Times New Roman"/>
          <w:szCs w:val="20"/>
        </w:rPr>
        <w:t xml:space="preserve">The solvent ranking </w:t>
      </w:r>
      <w:r w:rsidR="00864BD8" w:rsidRPr="00C1299C">
        <w:rPr>
          <w:rFonts w:ascii="Times New Roman" w:hAnsi="Times New Roman" w:cs="Times New Roman"/>
          <w:szCs w:val="20"/>
        </w:rPr>
        <w:t>was</w:t>
      </w:r>
      <w:r w:rsidR="003744F6" w:rsidRPr="00C1299C">
        <w:rPr>
          <w:rFonts w:ascii="Times New Roman" w:hAnsi="Times New Roman" w:cs="Times New Roman"/>
          <w:szCs w:val="20"/>
        </w:rPr>
        <w:t xml:space="preserve"> prepared to know which mixture is hazardous or p</w:t>
      </w:r>
      <w:r w:rsidR="003744F6" w:rsidRPr="00C1299C">
        <w:rPr>
          <w:rFonts w:ascii="Times New Roman" w:hAnsi="Times New Roman" w:cs="Times New Roman" w:hint="eastAsia"/>
          <w:szCs w:val="20"/>
        </w:rPr>
        <w:t xml:space="preserve">roblematic and which is recommended before being applied in synthesis. However, pure recommended solvents typically showed high acidity that is not capable to bind with the API. Therefore, when the solvent-pair mixtures </w:t>
      </w:r>
      <w:r w:rsidR="00864BD8" w:rsidRPr="00C1299C">
        <w:rPr>
          <w:rFonts w:ascii="Times New Roman" w:hAnsi="Times New Roman" w:cs="Times New Roman"/>
          <w:szCs w:val="20"/>
        </w:rPr>
        <w:t xml:space="preserve">show </w:t>
      </w:r>
      <w:r w:rsidR="003744F6" w:rsidRPr="00C1299C">
        <w:rPr>
          <w:rFonts w:ascii="Times New Roman" w:hAnsi="Times New Roman" w:cs="Times New Roman" w:hint="eastAsia"/>
          <w:szCs w:val="20"/>
        </w:rPr>
        <w:t>low KT acidity (</w:t>
      </w:r>
      <w:r w:rsidR="003744F6" w:rsidRPr="00C1299C">
        <w:rPr>
          <w:rFonts w:ascii="Times New Roman" w:hAnsi="Times New Roman" w:cs="Times New Roman" w:hint="eastAsia"/>
          <w:szCs w:val="20"/>
        </w:rPr>
        <w:t>α</w:t>
      </w:r>
      <w:r w:rsidR="003744F6" w:rsidRPr="00C1299C">
        <w:rPr>
          <w:rFonts w:ascii="Times New Roman" w:hAnsi="Times New Roman" w:cs="Times New Roman" w:hint="eastAsia"/>
          <w:szCs w:val="20"/>
        </w:rPr>
        <w:t xml:space="preserve"> </w:t>
      </w:r>
      <w:r w:rsidR="003744F6" w:rsidRPr="00C1299C">
        <w:rPr>
          <w:rFonts w:ascii="Times New Roman" w:hAnsi="Times New Roman" w:cs="Times New Roman" w:hint="eastAsia"/>
          <w:szCs w:val="20"/>
        </w:rPr>
        <w:t>≈</w:t>
      </w:r>
      <w:r w:rsidR="003744F6" w:rsidRPr="00C1299C">
        <w:rPr>
          <w:rFonts w:ascii="Times New Roman" w:hAnsi="Times New Roman" w:cs="Times New Roman" w:hint="eastAsia"/>
          <w:szCs w:val="20"/>
        </w:rPr>
        <w:t xml:space="preserve"> 0), high KT</w:t>
      </w:r>
      <w:r w:rsidR="003744F6" w:rsidRPr="00C1299C">
        <w:rPr>
          <w:rFonts w:ascii="Times New Roman" w:hAnsi="Times New Roman" w:cs="Times New Roman"/>
          <w:szCs w:val="20"/>
        </w:rPr>
        <w:t xml:space="preserve"> basicity (β &gt; 0.6), and high KT polarity (π* &gt; 0.6), they offer a strong binding with the API</w:t>
      </w:r>
      <w:r w:rsidR="00A879B1" w:rsidRPr="00C1299C">
        <w:rPr>
          <w:rFonts w:ascii="Times New Roman" w:hAnsi="Times New Roman" w:cs="Times New Roman"/>
          <w:szCs w:val="20"/>
        </w:rPr>
        <w:t xml:space="preserve"> [3,</w:t>
      </w:r>
      <w:r w:rsidR="00501C22">
        <w:rPr>
          <w:rFonts w:ascii="Times New Roman" w:hAnsi="Times New Roman" w:cs="Times New Roman"/>
          <w:szCs w:val="20"/>
        </w:rPr>
        <w:t xml:space="preserve"> </w:t>
      </w:r>
      <w:r w:rsidR="0058311E" w:rsidRPr="00C1299C">
        <w:rPr>
          <w:rFonts w:ascii="Times New Roman" w:hAnsi="Times New Roman" w:cs="Times New Roman"/>
          <w:szCs w:val="20"/>
        </w:rPr>
        <w:t>11</w:t>
      </w:r>
      <w:r w:rsidR="00A879B1" w:rsidRPr="00C1299C">
        <w:rPr>
          <w:rFonts w:ascii="Times New Roman" w:hAnsi="Times New Roman" w:cs="Times New Roman"/>
          <w:szCs w:val="20"/>
        </w:rPr>
        <w:t>]</w:t>
      </w:r>
      <w:r w:rsidR="003744F6" w:rsidRPr="00C1299C">
        <w:rPr>
          <w:rFonts w:ascii="Times New Roman" w:hAnsi="Times New Roman" w:cs="Times New Roman"/>
          <w:szCs w:val="20"/>
        </w:rPr>
        <w:t>.</w:t>
      </w:r>
      <w:r w:rsidRPr="00C1299C">
        <w:rPr>
          <w:rFonts w:ascii="Times New Roman" w:hAnsi="Times New Roman" w:cs="Times New Roman"/>
          <w:szCs w:val="20"/>
        </w:rPr>
        <w:t xml:space="preserve"> </w:t>
      </w:r>
    </w:p>
    <w:p w14:paraId="6D769412" w14:textId="77777777" w:rsidR="003918FA" w:rsidRPr="00C1299C" w:rsidRDefault="003918FA" w:rsidP="00DA4D47">
      <w:pPr>
        <w:outlineLvl w:val="0"/>
        <w:rPr>
          <w:rFonts w:ascii="Times New Roman" w:hAnsi="Times New Roman" w:cs="Times New Roman"/>
          <w:szCs w:val="20"/>
        </w:rPr>
      </w:pPr>
    </w:p>
    <w:p w14:paraId="791B6A3A" w14:textId="77777777" w:rsidR="00785CA6" w:rsidRPr="00C1299C" w:rsidRDefault="001F7B08" w:rsidP="00785CA6">
      <w:pPr>
        <w:jc w:val="center"/>
        <w:outlineLvl w:val="0"/>
        <w:rPr>
          <w:rFonts w:ascii="Times New Roman" w:hAnsi="Times New Roman" w:cs="Times New Roman"/>
          <w:b/>
          <w:szCs w:val="20"/>
        </w:rPr>
      </w:pPr>
      <w:r w:rsidRPr="00C1299C">
        <w:rPr>
          <w:rFonts w:ascii="Times New Roman" w:hAnsi="Times New Roman" w:cs="Times New Roman"/>
          <w:b/>
          <w:szCs w:val="20"/>
        </w:rPr>
        <w:t>Conclusion</w:t>
      </w:r>
    </w:p>
    <w:p w14:paraId="2BC71E4B" w14:textId="77777777" w:rsidR="003A2A26" w:rsidRPr="00C1299C" w:rsidRDefault="009724F4" w:rsidP="00F9270F">
      <w:pPr>
        <w:outlineLvl w:val="0"/>
        <w:rPr>
          <w:rFonts w:ascii="Times New Roman" w:hAnsi="Times New Roman" w:cs="Times New Roman"/>
          <w:szCs w:val="20"/>
        </w:rPr>
      </w:pPr>
      <w:r w:rsidRPr="00C1299C">
        <w:rPr>
          <w:rFonts w:ascii="Times New Roman" w:hAnsi="Times New Roman" w:cs="Times New Roman"/>
          <w:szCs w:val="20"/>
        </w:rPr>
        <w:t>T</w:t>
      </w:r>
      <w:r w:rsidR="001F7B08" w:rsidRPr="00C1299C">
        <w:rPr>
          <w:rFonts w:ascii="Times New Roman" w:hAnsi="Times New Roman" w:cs="Times New Roman"/>
          <w:szCs w:val="20"/>
        </w:rPr>
        <w:t xml:space="preserve">he Kamlet-Taft analytical approach was simple and efficient to measure the KT acidity, basicity, and polarity of solvents or solvent mixtures. </w:t>
      </w:r>
      <w:r w:rsidR="009D6C0C" w:rsidRPr="00C1299C">
        <w:rPr>
          <w:rFonts w:ascii="Times New Roman" w:hAnsi="Times New Roman" w:cs="Times New Roman"/>
          <w:szCs w:val="20"/>
        </w:rPr>
        <w:t xml:space="preserve">However, the proper mixing and temperature control of the solvent and indicator was the prerequisite to get the correct result in KT analysis. </w:t>
      </w:r>
      <w:r w:rsidR="001F7B08" w:rsidRPr="00C1299C">
        <w:rPr>
          <w:rFonts w:ascii="Times New Roman" w:hAnsi="Times New Roman" w:cs="Times New Roman"/>
          <w:szCs w:val="20"/>
        </w:rPr>
        <w:t xml:space="preserve">The ranking of HBD-HBA combinations </w:t>
      </w:r>
      <w:r w:rsidR="009D6C0C" w:rsidRPr="00C1299C">
        <w:rPr>
          <w:rFonts w:ascii="Times New Roman" w:hAnsi="Times New Roman" w:cs="Times New Roman"/>
          <w:szCs w:val="20"/>
        </w:rPr>
        <w:t>facilitated</w:t>
      </w:r>
      <w:r w:rsidR="001F7B08" w:rsidRPr="00C1299C">
        <w:rPr>
          <w:rFonts w:ascii="Times New Roman" w:hAnsi="Times New Roman" w:cs="Times New Roman"/>
          <w:szCs w:val="20"/>
        </w:rPr>
        <w:t xml:space="preserve"> to find out a suitable solvent mixture to substitute hazardous solvents in drug synthesis. The highest yield was found when the solvent creates a strong </w:t>
      </w:r>
      <w:r w:rsidR="00D14D98" w:rsidRPr="00C1299C">
        <w:rPr>
          <w:rFonts w:ascii="Times New Roman" w:hAnsi="Times New Roman" w:cs="Times New Roman"/>
          <w:szCs w:val="20"/>
        </w:rPr>
        <w:t>interaction</w:t>
      </w:r>
      <w:r w:rsidR="001F7B08" w:rsidRPr="00C1299C">
        <w:rPr>
          <w:rFonts w:ascii="Times New Roman" w:hAnsi="Times New Roman" w:cs="Times New Roman"/>
          <w:szCs w:val="20"/>
        </w:rPr>
        <w:t xml:space="preserve"> with the HBD site of API. It is possible if the solvent mixture carries low KT acidity and high KT </w:t>
      </w:r>
      <w:r w:rsidR="000903D5" w:rsidRPr="00C1299C">
        <w:rPr>
          <w:rFonts w:ascii="Times New Roman" w:hAnsi="Times New Roman" w:cs="Times New Roman"/>
          <w:szCs w:val="20"/>
        </w:rPr>
        <w:t>basicity</w:t>
      </w:r>
      <w:r w:rsidR="001F7B08" w:rsidRPr="00C1299C">
        <w:rPr>
          <w:rFonts w:ascii="Times New Roman" w:hAnsi="Times New Roman" w:cs="Times New Roman"/>
          <w:szCs w:val="20"/>
        </w:rPr>
        <w:t>. The maximum use of this methodology could bring a revolutionary change in synthetic chemistry.</w:t>
      </w:r>
      <w:r w:rsidR="009D6C0C" w:rsidRPr="00C1299C">
        <w:rPr>
          <w:rFonts w:ascii="Times New Roman" w:hAnsi="Times New Roman" w:cs="Times New Roman"/>
          <w:szCs w:val="20"/>
        </w:rPr>
        <w:t xml:space="preserve"> </w:t>
      </w:r>
    </w:p>
    <w:p w14:paraId="10E1FA64" w14:textId="77777777" w:rsidR="00E77284" w:rsidRPr="00C1299C" w:rsidRDefault="00E77284" w:rsidP="00CD6ECA">
      <w:pPr>
        <w:jc w:val="center"/>
        <w:outlineLvl w:val="0"/>
        <w:rPr>
          <w:rFonts w:ascii="Times New Roman" w:hAnsi="Times New Roman" w:cs="Times New Roman"/>
          <w:szCs w:val="20"/>
        </w:rPr>
      </w:pPr>
    </w:p>
    <w:p w14:paraId="484F8B52" w14:textId="77777777" w:rsidR="00CD6ECA" w:rsidRPr="00C1299C" w:rsidRDefault="001F7B08" w:rsidP="00CD6ECA">
      <w:pPr>
        <w:jc w:val="center"/>
        <w:outlineLvl w:val="0"/>
        <w:rPr>
          <w:rFonts w:ascii="Times New Roman" w:hAnsi="Times New Roman" w:cs="Times New Roman"/>
          <w:b/>
          <w:szCs w:val="20"/>
        </w:rPr>
      </w:pPr>
      <w:r w:rsidRPr="00C1299C">
        <w:rPr>
          <w:rFonts w:ascii="Times New Roman" w:hAnsi="Times New Roman" w:cs="Times New Roman"/>
          <w:b/>
          <w:szCs w:val="20"/>
        </w:rPr>
        <w:t>Acknowledgment</w:t>
      </w:r>
    </w:p>
    <w:p w14:paraId="2EA09D16" w14:textId="77777777" w:rsidR="00F9270F" w:rsidRPr="00C1299C" w:rsidRDefault="001F7B08" w:rsidP="00596037">
      <w:pPr>
        <w:outlineLvl w:val="0"/>
        <w:rPr>
          <w:rFonts w:ascii="Times New Roman" w:hAnsi="Times New Roman" w:cs="Times New Roman"/>
          <w:szCs w:val="20"/>
        </w:rPr>
      </w:pPr>
      <w:r w:rsidRPr="00C1299C">
        <w:rPr>
          <w:rFonts w:ascii="Times New Roman" w:hAnsi="Times New Roman" w:cs="Times New Roman"/>
          <w:szCs w:val="20"/>
        </w:rPr>
        <w:t xml:space="preserve">The authors are thankful to the Fundamental Research Grant Scheme of the Ministry of Education, Malaysia (GRANT NO: FRGS19-002-0610) and International Islamic University Malaysia for their support. </w:t>
      </w:r>
    </w:p>
    <w:p w14:paraId="62B715BA" w14:textId="77777777" w:rsidR="00E77284" w:rsidRPr="00C1299C" w:rsidRDefault="00E77284" w:rsidP="003A2A26">
      <w:pPr>
        <w:jc w:val="center"/>
        <w:outlineLvl w:val="0"/>
        <w:rPr>
          <w:rFonts w:ascii="Times New Roman" w:hAnsi="Times New Roman" w:cs="Times New Roman"/>
          <w:b/>
          <w:szCs w:val="20"/>
        </w:rPr>
      </w:pPr>
    </w:p>
    <w:p w14:paraId="24C97E60" w14:textId="77777777" w:rsidR="005E328F" w:rsidRPr="00C1299C" w:rsidRDefault="001F7B08" w:rsidP="005E328F">
      <w:pPr>
        <w:jc w:val="center"/>
        <w:outlineLvl w:val="0"/>
        <w:rPr>
          <w:rFonts w:ascii="Times New Roman" w:hAnsi="Times New Roman" w:cs="Times New Roman"/>
          <w:b/>
          <w:szCs w:val="20"/>
        </w:rPr>
      </w:pPr>
      <w:r w:rsidRPr="00C1299C">
        <w:rPr>
          <w:rFonts w:ascii="Times New Roman" w:hAnsi="Times New Roman" w:cs="Times New Roman"/>
          <w:b/>
          <w:szCs w:val="20"/>
        </w:rPr>
        <w:t>References</w:t>
      </w:r>
    </w:p>
    <w:p w14:paraId="610201BD" w14:textId="1029DBF3"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Kamlet, M. J., and Taft, R. W. (1976). The solvatochromic comparison method. I. The</w:t>
      </w:r>
      <w:r w:rsidR="00501C22">
        <w:rPr>
          <w:rFonts w:ascii="Times New Roman" w:hAnsi="Times New Roman" w:cs="Times New Roman"/>
          <w:noProof/>
          <w:szCs w:val="20"/>
        </w:rPr>
        <w:t xml:space="preserve"> b</w:t>
      </w:r>
      <w:r w:rsidR="00501C22" w:rsidRPr="00501C22">
        <w:rPr>
          <w:rFonts w:ascii="Times New Roman" w:hAnsi="Times New Roman" w:cs="Times New Roman"/>
          <w:noProof/>
          <w:szCs w:val="20"/>
        </w:rPr>
        <w:t>eta-</w:t>
      </w:r>
      <w:r w:rsidRPr="00501C22">
        <w:rPr>
          <w:rFonts w:ascii="Times New Roman" w:hAnsi="Times New Roman" w:cs="Times New Roman"/>
          <w:noProof/>
          <w:szCs w:val="20"/>
        </w:rPr>
        <w:t xml:space="preserve">scale of solvent hydrogen-bond acceptor (HBA) </w:t>
      </w:r>
      <w:r w:rsidR="00A4462F" w:rsidRPr="00501C22">
        <w:rPr>
          <w:rFonts w:ascii="Times New Roman" w:hAnsi="Times New Roman" w:cs="Times New Roman"/>
          <w:noProof/>
          <w:szCs w:val="20"/>
        </w:rPr>
        <w:t>basicity</w:t>
      </w:r>
      <w:r w:rsidRPr="00501C22">
        <w:rPr>
          <w:rFonts w:ascii="Times New Roman" w:hAnsi="Times New Roman" w:cs="Times New Roman"/>
          <w:noProof/>
          <w:szCs w:val="20"/>
        </w:rPr>
        <w:t xml:space="preserve">. </w:t>
      </w:r>
      <w:r w:rsidRPr="00501C22">
        <w:rPr>
          <w:rFonts w:ascii="Times New Roman" w:hAnsi="Times New Roman" w:cs="Times New Roman"/>
          <w:i/>
          <w:iCs/>
          <w:noProof/>
          <w:szCs w:val="20"/>
        </w:rPr>
        <w:t>Journal of the American chemical Society</w:t>
      </w:r>
      <w:r w:rsidRPr="00501C22">
        <w:rPr>
          <w:rFonts w:ascii="Times New Roman" w:hAnsi="Times New Roman" w:cs="Times New Roman"/>
          <w:noProof/>
          <w:szCs w:val="20"/>
        </w:rPr>
        <w:t>, 98(2): 377-383.</w:t>
      </w:r>
    </w:p>
    <w:p w14:paraId="250999D6" w14:textId="0DDD50BD"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lastRenderedPageBreak/>
        <w:t>Labban, A. S.</w:t>
      </w:r>
      <w:r w:rsidR="00A4462F">
        <w:rPr>
          <w:rFonts w:ascii="Times New Roman" w:hAnsi="Times New Roman" w:cs="Times New Roman"/>
          <w:noProof/>
          <w:szCs w:val="20"/>
        </w:rPr>
        <w:t xml:space="preserve"> </w:t>
      </w:r>
      <w:r w:rsidRPr="00501C22">
        <w:rPr>
          <w:rFonts w:ascii="Times New Roman" w:hAnsi="Times New Roman" w:cs="Times New Roman"/>
          <w:noProof/>
          <w:szCs w:val="20"/>
        </w:rPr>
        <w:t xml:space="preserve">and Marcus, Y. (1997). Solvatochromic parameters of ethanolamines. </w:t>
      </w:r>
      <w:r w:rsidRPr="00501C22">
        <w:rPr>
          <w:rFonts w:ascii="Times New Roman" w:hAnsi="Times New Roman" w:cs="Times New Roman"/>
          <w:i/>
          <w:iCs/>
          <w:noProof/>
          <w:szCs w:val="20"/>
        </w:rPr>
        <w:t>Journal of the Chemical Society, Faraday Transactions</w:t>
      </w:r>
      <w:r w:rsidRPr="00501C22">
        <w:rPr>
          <w:rFonts w:ascii="Times New Roman" w:hAnsi="Times New Roman" w:cs="Times New Roman"/>
          <w:noProof/>
          <w:szCs w:val="20"/>
        </w:rPr>
        <w:t>, 93(1): 77-79.</w:t>
      </w:r>
    </w:p>
    <w:p w14:paraId="7C5F68FA" w14:textId="05B139E7"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Islam, T., Sarker, M. Z.</w:t>
      </w:r>
      <w:r w:rsidR="00D54C92" w:rsidRPr="00501C22">
        <w:rPr>
          <w:rFonts w:ascii="Times New Roman" w:hAnsi="Times New Roman" w:cs="Times New Roman"/>
          <w:noProof/>
          <w:szCs w:val="20"/>
        </w:rPr>
        <w:t xml:space="preserve"> I.</w:t>
      </w:r>
      <w:r w:rsidRPr="00501C22">
        <w:rPr>
          <w:rFonts w:ascii="Times New Roman" w:hAnsi="Times New Roman" w:cs="Times New Roman"/>
          <w:noProof/>
          <w:szCs w:val="20"/>
        </w:rPr>
        <w:t xml:space="preserve">, Uddin, A. H., Yunus, K. B., Prasad, R., Mia, M. A. R. and Ferdosh, S. (2020). Kamlet Taft </w:t>
      </w:r>
      <w:r w:rsidR="00343A97" w:rsidRPr="00501C22">
        <w:rPr>
          <w:rFonts w:ascii="Times New Roman" w:hAnsi="Times New Roman" w:cs="Times New Roman"/>
          <w:noProof/>
          <w:szCs w:val="20"/>
        </w:rPr>
        <w:t>p</w:t>
      </w:r>
      <w:r w:rsidRPr="00501C22">
        <w:rPr>
          <w:rFonts w:ascii="Times New Roman" w:hAnsi="Times New Roman" w:cs="Times New Roman"/>
          <w:noProof/>
          <w:szCs w:val="20"/>
        </w:rPr>
        <w:t xml:space="preserve">arameters: A </w:t>
      </w:r>
      <w:r w:rsidR="00343A97" w:rsidRPr="00501C22">
        <w:rPr>
          <w:rFonts w:ascii="Times New Roman" w:hAnsi="Times New Roman" w:cs="Times New Roman"/>
          <w:noProof/>
          <w:szCs w:val="20"/>
        </w:rPr>
        <w:t>t</w:t>
      </w:r>
      <w:r w:rsidRPr="00501C22">
        <w:rPr>
          <w:rFonts w:ascii="Times New Roman" w:hAnsi="Times New Roman" w:cs="Times New Roman"/>
          <w:noProof/>
          <w:szCs w:val="20"/>
        </w:rPr>
        <w:t xml:space="preserve">ool to </w:t>
      </w:r>
      <w:r w:rsidR="00343A97" w:rsidRPr="00501C22">
        <w:rPr>
          <w:rFonts w:ascii="Times New Roman" w:hAnsi="Times New Roman" w:cs="Times New Roman"/>
          <w:noProof/>
          <w:szCs w:val="20"/>
        </w:rPr>
        <w:t>a</w:t>
      </w:r>
      <w:r w:rsidRPr="00501C22">
        <w:rPr>
          <w:rFonts w:ascii="Times New Roman" w:hAnsi="Times New Roman" w:cs="Times New Roman"/>
          <w:noProof/>
          <w:szCs w:val="20"/>
        </w:rPr>
        <w:t xml:space="preserve">lternate the </w:t>
      </w:r>
      <w:r w:rsidR="00343A97" w:rsidRPr="00501C22">
        <w:rPr>
          <w:rFonts w:ascii="Times New Roman" w:hAnsi="Times New Roman" w:cs="Times New Roman"/>
          <w:noProof/>
          <w:szCs w:val="20"/>
        </w:rPr>
        <w:t>u</w:t>
      </w:r>
      <w:r w:rsidRPr="00501C22">
        <w:rPr>
          <w:rFonts w:ascii="Times New Roman" w:hAnsi="Times New Roman" w:cs="Times New Roman"/>
          <w:noProof/>
          <w:szCs w:val="20"/>
        </w:rPr>
        <w:t xml:space="preserve">sage of </w:t>
      </w:r>
      <w:r w:rsidR="00343A97" w:rsidRPr="00501C22">
        <w:rPr>
          <w:rFonts w:ascii="Times New Roman" w:hAnsi="Times New Roman" w:cs="Times New Roman"/>
          <w:noProof/>
          <w:szCs w:val="20"/>
        </w:rPr>
        <w:t>h</w:t>
      </w:r>
      <w:r w:rsidRPr="00501C22">
        <w:rPr>
          <w:rFonts w:ascii="Times New Roman" w:hAnsi="Times New Roman" w:cs="Times New Roman"/>
          <w:noProof/>
          <w:szCs w:val="20"/>
        </w:rPr>
        <w:t xml:space="preserve">azardous </w:t>
      </w:r>
      <w:r w:rsidR="00343A97" w:rsidRPr="00501C22">
        <w:rPr>
          <w:rFonts w:ascii="Times New Roman" w:hAnsi="Times New Roman" w:cs="Times New Roman"/>
          <w:noProof/>
          <w:szCs w:val="20"/>
        </w:rPr>
        <w:t>s</w:t>
      </w:r>
      <w:r w:rsidRPr="00501C22">
        <w:rPr>
          <w:rFonts w:ascii="Times New Roman" w:hAnsi="Times New Roman" w:cs="Times New Roman"/>
          <w:noProof/>
          <w:szCs w:val="20"/>
        </w:rPr>
        <w:t xml:space="preserve">olvent in </w:t>
      </w:r>
      <w:r w:rsidR="00343A97" w:rsidRPr="00501C22">
        <w:rPr>
          <w:rFonts w:ascii="Times New Roman" w:hAnsi="Times New Roman" w:cs="Times New Roman"/>
          <w:noProof/>
          <w:szCs w:val="20"/>
        </w:rPr>
        <w:t>p</w:t>
      </w:r>
      <w:r w:rsidRPr="00501C22">
        <w:rPr>
          <w:rFonts w:ascii="Times New Roman" w:hAnsi="Times New Roman" w:cs="Times New Roman"/>
          <w:noProof/>
          <w:szCs w:val="20"/>
        </w:rPr>
        <w:t xml:space="preserve">harmaceutical and </w:t>
      </w:r>
      <w:r w:rsidR="00343A97" w:rsidRPr="00501C22">
        <w:rPr>
          <w:rFonts w:ascii="Times New Roman" w:hAnsi="Times New Roman" w:cs="Times New Roman"/>
          <w:noProof/>
          <w:szCs w:val="20"/>
        </w:rPr>
        <w:t>c</w:t>
      </w:r>
      <w:r w:rsidRPr="00501C22">
        <w:rPr>
          <w:rFonts w:ascii="Times New Roman" w:hAnsi="Times New Roman" w:cs="Times New Roman"/>
          <w:noProof/>
          <w:szCs w:val="20"/>
        </w:rPr>
        <w:t xml:space="preserve">hemical </w:t>
      </w:r>
      <w:r w:rsidR="00343A97" w:rsidRPr="00501C22">
        <w:rPr>
          <w:rFonts w:ascii="Times New Roman" w:hAnsi="Times New Roman" w:cs="Times New Roman"/>
          <w:noProof/>
          <w:szCs w:val="20"/>
        </w:rPr>
        <w:t>m</w:t>
      </w:r>
      <w:r w:rsidRPr="00501C22">
        <w:rPr>
          <w:rFonts w:ascii="Times New Roman" w:hAnsi="Times New Roman" w:cs="Times New Roman"/>
          <w:noProof/>
          <w:szCs w:val="20"/>
        </w:rPr>
        <w:t>anufacturing/</w:t>
      </w:r>
      <w:r w:rsidR="00343A97" w:rsidRPr="00501C22">
        <w:rPr>
          <w:rFonts w:ascii="Times New Roman" w:hAnsi="Times New Roman" w:cs="Times New Roman"/>
          <w:noProof/>
          <w:szCs w:val="20"/>
        </w:rPr>
        <w:t>s</w:t>
      </w:r>
      <w:r w:rsidRPr="00501C22">
        <w:rPr>
          <w:rFonts w:ascii="Times New Roman" w:hAnsi="Times New Roman" w:cs="Times New Roman"/>
          <w:noProof/>
          <w:szCs w:val="20"/>
        </w:rPr>
        <w:t xml:space="preserve">ynthesis-A </w:t>
      </w:r>
      <w:r w:rsidR="00343A97" w:rsidRPr="00501C22">
        <w:rPr>
          <w:rFonts w:ascii="Times New Roman" w:hAnsi="Times New Roman" w:cs="Times New Roman"/>
          <w:noProof/>
          <w:szCs w:val="20"/>
        </w:rPr>
        <w:t>g</w:t>
      </w:r>
      <w:r w:rsidRPr="00501C22">
        <w:rPr>
          <w:rFonts w:ascii="Times New Roman" w:hAnsi="Times New Roman" w:cs="Times New Roman"/>
          <w:noProof/>
          <w:szCs w:val="20"/>
        </w:rPr>
        <w:t xml:space="preserve">ateway towards </w:t>
      </w:r>
      <w:r w:rsidR="00343A97" w:rsidRPr="00501C22">
        <w:rPr>
          <w:rFonts w:ascii="Times New Roman" w:hAnsi="Times New Roman" w:cs="Times New Roman"/>
          <w:noProof/>
          <w:szCs w:val="20"/>
        </w:rPr>
        <w:t>g</w:t>
      </w:r>
      <w:r w:rsidRPr="00501C22">
        <w:rPr>
          <w:rFonts w:ascii="Times New Roman" w:hAnsi="Times New Roman" w:cs="Times New Roman"/>
          <w:noProof/>
          <w:szCs w:val="20"/>
        </w:rPr>
        <w:t xml:space="preserve">reen </w:t>
      </w:r>
      <w:r w:rsidR="00343A97" w:rsidRPr="00501C22">
        <w:rPr>
          <w:rFonts w:ascii="Times New Roman" w:hAnsi="Times New Roman" w:cs="Times New Roman"/>
          <w:noProof/>
          <w:szCs w:val="20"/>
        </w:rPr>
        <w:t>t</w:t>
      </w:r>
      <w:r w:rsidRPr="00501C22">
        <w:rPr>
          <w:rFonts w:ascii="Times New Roman" w:hAnsi="Times New Roman" w:cs="Times New Roman"/>
          <w:noProof/>
          <w:szCs w:val="20"/>
        </w:rPr>
        <w:t xml:space="preserve">echnology. </w:t>
      </w:r>
      <w:r w:rsidRPr="00501C22">
        <w:rPr>
          <w:rFonts w:ascii="Times New Roman" w:hAnsi="Times New Roman" w:cs="Times New Roman"/>
          <w:i/>
          <w:iCs/>
          <w:noProof/>
          <w:szCs w:val="20"/>
        </w:rPr>
        <w:t>Analytical Chemistry Letters</w:t>
      </w:r>
      <w:r w:rsidRPr="00501C22">
        <w:rPr>
          <w:rFonts w:ascii="Times New Roman" w:hAnsi="Times New Roman" w:cs="Times New Roman"/>
          <w:noProof/>
          <w:szCs w:val="20"/>
        </w:rPr>
        <w:t>, 10 (5): 550-561.</w:t>
      </w:r>
    </w:p>
    <w:p w14:paraId="734B2E89" w14:textId="7B06F528"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501C22">
        <w:rPr>
          <w:rFonts w:ascii="Times New Roman" w:hAnsi="Times New Roman" w:cs="Times New Roman"/>
          <w:i/>
          <w:iCs/>
          <w:noProof/>
          <w:szCs w:val="20"/>
        </w:rPr>
        <w:t>Industrial &amp; Engineering Chemistry Research</w:t>
      </w:r>
      <w:r w:rsidRPr="00501C22">
        <w:rPr>
          <w:rFonts w:ascii="Times New Roman" w:hAnsi="Times New Roman" w:cs="Times New Roman"/>
          <w:noProof/>
          <w:szCs w:val="20"/>
        </w:rPr>
        <w:t>, 57(22): 7331-7344.</w:t>
      </w:r>
    </w:p>
    <w:p w14:paraId="26453761" w14:textId="54F8001B"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Duereh, A., Sato, Y., Smith Jr, R. L., and Inomata, H. (2016). Analysis of the cybotactic region of two renewable lactone–water mixed-solvent systems that exhibit synergistic Kamlet–Taft basicity. </w:t>
      </w:r>
      <w:r w:rsidRPr="00501C22">
        <w:rPr>
          <w:rFonts w:ascii="Times New Roman" w:hAnsi="Times New Roman" w:cs="Times New Roman"/>
          <w:i/>
          <w:iCs/>
          <w:noProof/>
          <w:szCs w:val="20"/>
        </w:rPr>
        <w:t>The Journal of Physical Chemistry B</w:t>
      </w:r>
      <w:r w:rsidRPr="00501C22">
        <w:rPr>
          <w:rFonts w:ascii="Times New Roman" w:hAnsi="Times New Roman" w:cs="Times New Roman"/>
          <w:noProof/>
          <w:szCs w:val="20"/>
        </w:rPr>
        <w:t>, 120(19): 4467-4481.</w:t>
      </w:r>
    </w:p>
    <w:p w14:paraId="486A5696" w14:textId="4B818C71"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Marcus, Y. (1994). The use of chemical probes for the characterization of solvent mixtures. Part 2. Aqueous mixtures. </w:t>
      </w:r>
      <w:r w:rsidRPr="00501C22">
        <w:rPr>
          <w:rFonts w:ascii="Times New Roman" w:hAnsi="Times New Roman" w:cs="Times New Roman"/>
          <w:i/>
          <w:iCs/>
          <w:noProof/>
          <w:szCs w:val="20"/>
        </w:rPr>
        <w:t>Journal of the Chemical Society, Perkin Transactions 2</w:t>
      </w:r>
      <w:r w:rsidRPr="00501C22">
        <w:rPr>
          <w:rFonts w:ascii="Times New Roman" w:hAnsi="Times New Roman" w:cs="Times New Roman"/>
          <w:noProof/>
          <w:szCs w:val="20"/>
        </w:rPr>
        <w:t>(8): 1751-1758.</w:t>
      </w:r>
    </w:p>
    <w:p w14:paraId="328883DF" w14:textId="446CD1DA"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Prat, D., Wells, A., Hayler, J., Sneddon, H., McElroy, C. R., Abou-Shehada, S. and Dunn, P. J. (2015). CHEM21 selection guide of classical-and less classical-solvents. </w:t>
      </w:r>
      <w:r w:rsidRPr="00501C22">
        <w:rPr>
          <w:rFonts w:ascii="Times New Roman" w:hAnsi="Times New Roman" w:cs="Times New Roman"/>
          <w:i/>
          <w:iCs/>
          <w:noProof/>
          <w:szCs w:val="20"/>
        </w:rPr>
        <w:t>Green Chemistry</w:t>
      </w:r>
      <w:r w:rsidRPr="00501C22">
        <w:rPr>
          <w:rFonts w:ascii="Times New Roman" w:hAnsi="Times New Roman" w:cs="Times New Roman"/>
          <w:noProof/>
          <w:szCs w:val="20"/>
        </w:rPr>
        <w:t>, 18(1): 288-296.</w:t>
      </w:r>
    </w:p>
    <w:p w14:paraId="3A37D183" w14:textId="1DBB5FFB"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European Medicines Agency (2019), ICH guideline Q3C (R6) on impurities: guideline for residual solvents, </w:t>
      </w:r>
      <w:r w:rsidR="00366B2D" w:rsidRPr="00501C22">
        <w:rPr>
          <w:rFonts w:ascii="Times New Roman" w:hAnsi="Times New Roman" w:cs="Times New Roman"/>
          <w:noProof/>
          <w:szCs w:val="20"/>
        </w:rPr>
        <w:t>s</w:t>
      </w:r>
      <w:r w:rsidRPr="00501C22">
        <w:rPr>
          <w:rFonts w:ascii="Times New Roman" w:hAnsi="Times New Roman" w:cs="Times New Roman"/>
          <w:noProof/>
          <w:szCs w:val="20"/>
        </w:rPr>
        <w:t>tep 5</w:t>
      </w:r>
      <w:r w:rsidR="007E7114" w:rsidRPr="00501C22">
        <w:rPr>
          <w:rFonts w:ascii="Times New Roman" w:hAnsi="Times New Roman" w:cs="Times New Roman"/>
          <w:noProof/>
          <w:szCs w:val="20"/>
        </w:rPr>
        <w:t>.</w:t>
      </w:r>
      <w:r w:rsidRPr="00501C22">
        <w:rPr>
          <w:rFonts w:ascii="Times New Roman" w:hAnsi="Times New Roman" w:cs="Times New Roman"/>
          <w:noProof/>
          <w:szCs w:val="20"/>
        </w:rPr>
        <w:t xml:space="preserve"> </w:t>
      </w:r>
      <w:hyperlink r:id="rId8" w:history="1">
        <w:r w:rsidR="00754063" w:rsidRPr="00501C22">
          <w:rPr>
            <w:rStyle w:val="Hyperlink"/>
            <w:rFonts w:ascii="Times New Roman" w:hAnsi="Times New Roman" w:cs="Times New Roman"/>
            <w:noProof/>
            <w:color w:val="auto"/>
            <w:szCs w:val="20"/>
            <w:u w:val="none"/>
          </w:rPr>
          <w:t>https://www.ema.europa.eu/en/ich-q3c-r6-residual-solvents</w:t>
        </w:r>
      </w:hyperlink>
      <w:r w:rsidR="00754063" w:rsidRPr="00501C22">
        <w:rPr>
          <w:rFonts w:ascii="Times New Roman" w:hAnsi="Times New Roman" w:cs="Times New Roman"/>
          <w:noProof/>
          <w:szCs w:val="20"/>
        </w:rPr>
        <w:t xml:space="preserve"> </w:t>
      </w:r>
      <w:r w:rsidR="00803C2E" w:rsidRPr="00501C22">
        <w:rPr>
          <w:rFonts w:ascii="Times New Roman" w:hAnsi="Times New Roman" w:cs="Times New Roman"/>
          <w:noProof/>
          <w:szCs w:val="20"/>
        </w:rPr>
        <w:t>[Access online 08 October 2021]</w:t>
      </w:r>
      <w:r w:rsidR="00A4462F">
        <w:rPr>
          <w:rFonts w:ascii="Times New Roman" w:hAnsi="Times New Roman" w:cs="Times New Roman"/>
          <w:noProof/>
          <w:szCs w:val="20"/>
        </w:rPr>
        <w:t>.</w:t>
      </w:r>
    </w:p>
    <w:p w14:paraId="0A6D5DB8" w14:textId="6F5F0E32"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Byrne, F. P., Jin, S., Paggiola, G., Petchey, T. H., Clark, J. H., Farmer, T. J., Hunt, A. J., McElroy, C. R. and Sherwood, J. (2016). Tools and techniques for solvent selection: green solvent selection guides. </w:t>
      </w:r>
      <w:r w:rsidRPr="00501C22">
        <w:rPr>
          <w:rFonts w:ascii="Times New Roman" w:hAnsi="Times New Roman" w:cs="Times New Roman"/>
          <w:i/>
          <w:iCs/>
          <w:noProof/>
          <w:szCs w:val="20"/>
        </w:rPr>
        <w:t xml:space="preserve">Sustainable </w:t>
      </w:r>
      <w:r w:rsidR="00A4462F" w:rsidRPr="00501C22">
        <w:rPr>
          <w:rFonts w:ascii="Times New Roman" w:hAnsi="Times New Roman" w:cs="Times New Roman"/>
          <w:i/>
          <w:iCs/>
          <w:noProof/>
          <w:szCs w:val="20"/>
        </w:rPr>
        <w:t>Chemical Processes</w:t>
      </w:r>
      <w:r w:rsidRPr="00501C22">
        <w:rPr>
          <w:rFonts w:ascii="Times New Roman" w:hAnsi="Times New Roman" w:cs="Times New Roman"/>
          <w:noProof/>
          <w:szCs w:val="20"/>
        </w:rPr>
        <w:t>, 4(1): 1-24.</w:t>
      </w:r>
    </w:p>
    <w:p w14:paraId="20B10821" w14:textId="0A55ED36"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Prat, D., Hayler, J. and Wells, A. (2014). A survey of solvent selection guides. </w:t>
      </w:r>
      <w:r w:rsidRPr="00501C22">
        <w:rPr>
          <w:rFonts w:ascii="Times New Roman" w:hAnsi="Times New Roman" w:cs="Times New Roman"/>
          <w:i/>
          <w:iCs/>
          <w:noProof/>
          <w:szCs w:val="20"/>
        </w:rPr>
        <w:t>Green Chemistry</w:t>
      </w:r>
      <w:r w:rsidRPr="00501C22">
        <w:rPr>
          <w:rFonts w:ascii="Times New Roman" w:hAnsi="Times New Roman" w:cs="Times New Roman"/>
          <w:noProof/>
          <w:szCs w:val="20"/>
        </w:rPr>
        <w:t>, 16(10): 4546-4551.</w:t>
      </w:r>
    </w:p>
    <w:p w14:paraId="42919AE0" w14:textId="67F3E11B"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Duereh, A., Sato, Y., Smith Jr, R. L. and Inomata, H. (2017). Methodology for replacing dipolar aprotic solvents used in API processing with safe hydrogen-bond donor and acceptor solvent-pair mixtures. </w:t>
      </w:r>
      <w:r w:rsidRPr="00501C22">
        <w:rPr>
          <w:rFonts w:ascii="Times New Roman" w:hAnsi="Times New Roman" w:cs="Times New Roman"/>
          <w:i/>
          <w:iCs/>
          <w:noProof/>
          <w:szCs w:val="20"/>
        </w:rPr>
        <w:t>Organic Process Research &amp; Development</w:t>
      </w:r>
      <w:r w:rsidRPr="00501C22">
        <w:rPr>
          <w:rFonts w:ascii="Times New Roman" w:hAnsi="Times New Roman" w:cs="Times New Roman"/>
          <w:noProof/>
          <w:szCs w:val="20"/>
        </w:rPr>
        <w:t>, 21(1): 114-124.</w:t>
      </w:r>
    </w:p>
    <w:p w14:paraId="66EF68C0" w14:textId="5AA24256"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Duereh, A., Sato, Y., Smith Jr, R. L.</w:t>
      </w:r>
      <w:r w:rsidR="00A4462F">
        <w:rPr>
          <w:rFonts w:ascii="Times New Roman" w:hAnsi="Times New Roman" w:cs="Times New Roman"/>
          <w:noProof/>
          <w:szCs w:val="20"/>
        </w:rPr>
        <w:t xml:space="preserve"> </w:t>
      </w:r>
      <w:r w:rsidRPr="00501C22">
        <w:rPr>
          <w:rFonts w:ascii="Times New Roman" w:hAnsi="Times New Roman" w:cs="Times New Roman"/>
          <w:noProof/>
          <w:szCs w:val="20"/>
        </w:rPr>
        <w:t xml:space="preserve">and Inomata, H. (2015). Spectroscopic analysis of binary mixed-solvent-polyimide precursor systems with the preferential solvation model for determining solute-centric Kamlet–Taft solvatochromic parameters. </w:t>
      </w:r>
      <w:r w:rsidRPr="00501C22">
        <w:rPr>
          <w:rFonts w:ascii="Times New Roman" w:hAnsi="Times New Roman" w:cs="Times New Roman"/>
          <w:i/>
          <w:iCs/>
          <w:noProof/>
          <w:szCs w:val="20"/>
        </w:rPr>
        <w:t>The Journal of Physical Chemistry B</w:t>
      </w:r>
      <w:r w:rsidRPr="00501C22">
        <w:rPr>
          <w:rFonts w:ascii="Times New Roman" w:hAnsi="Times New Roman" w:cs="Times New Roman"/>
          <w:noProof/>
          <w:szCs w:val="20"/>
        </w:rPr>
        <w:t>, 119(46): 14738-14749.</w:t>
      </w:r>
    </w:p>
    <w:p w14:paraId="099284BD" w14:textId="489F2D6D"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Duereh, A., Sato, Y., Smith Jr, R. L.</w:t>
      </w:r>
      <w:r w:rsidR="00A4462F">
        <w:rPr>
          <w:rFonts w:ascii="Times New Roman" w:hAnsi="Times New Roman" w:cs="Times New Roman"/>
          <w:noProof/>
          <w:szCs w:val="20"/>
        </w:rPr>
        <w:t xml:space="preserve"> </w:t>
      </w:r>
      <w:r w:rsidRPr="00501C22">
        <w:rPr>
          <w:rFonts w:ascii="Times New Roman" w:hAnsi="Times New Roman" w:cs="Times New Roman"/>
          <w:noProof/>
          <w:szCs w:val="20"/>
        </w:rPr>
        <w:t xml:space="preserve">and Inomata, H. (2015). Replacement of hazardous chemicals used in engineering plastics with safe and renewable hydrogen-bond donor and acceptor solvent-pair mixtures. </w:t>
      </w:r>
      <w:r w:rsidRPr="00501C22">
        <w:rPr>
          <w:rFonts w:ascii="Times New Roman" w:hAnsi="Times New Roman" w:cs="Times New Roman"/>
          <w:i/>
          <w:iCs/>
          <w:noProof/>
          <w:szCs w:val="20"/>
        </w:rPr>
        <w:t>ACS Sustainable Chemistry &amp; Engineering</w:t>
      </w:r>
      <w:r w:rsidRPr="00501C22">
        <w:rPr>
          <w:rFonts w:ascii="Times New Roman" w:hAnsi="Times New Roman" w:cs="Times New Roman"/>
          <w:noProof/>
          <w:szCs w:val="20"/>
        </w:rPr>
        <w:t>, 3(8): 1881-1889.</w:t>
      </w:r>
    </w:p>
    <w:p w14:paraId="54FB0B38" w14:textId="67213422"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Capello, C., Fischer, U. and Hungerbühler, K. (2007). What is a green solvent? A comprehensive framework for the environmental assessment of solvents. </w:t>
      </w:r>
      <w:r w:rsidRPr="00501C22">
        <w:rPr>
          <w:rFonts w:ascii="Times New Roman" w:hAnsi="Times New Roman" w:cs="Times New Roman"/>
          <w:i/>
          <w:iCs/>
          <w:noProof/>
          <w:szCs w:val="20"/>
        </w:rPr>
        <w:t>Green Chemistry</w:t>
      </w:r>
      <w:r w:rsidRPr="00501C22">
        <w:rPr>
          <w:rFonts w:ascii="Times New Roman" w:hAnsi="Times New Roman" w:cs="Times New Roman"/>
          <w:noProof/>
          <w:szCs w:val="20"/>
        </w:rPr>
        <w:t>, 9(9): 927-934.</w:t>
      </w:r>
    </w:p>
    <w:p w14:paraId="3DEA44E7" w14:textId="40D0BFF4"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Clark, J. H., and Tavener, S. J. (2007). Alternative solvents: shades of green. </w:t>
      </w:r>
      <w:r w:rsidRPr="00501C22">
        <w:rPr>
          <w:rFonts w:ascii="Times New Roman" w:hAnsi="Times New Roman" w:cs="Times New Roman"/>
          <w:i/>
          <w:iCs/>
          <w:noProof/>
          <w:szCs w:val="20"/>
        </w:rPr>
        <w:t xml:space="preserve">Organic </w:t>
      </w:r>
      <w:r w:rsidR="00A4462F" w:rsidRPr="00501C22">
        <w:rPr>
          <w:rFonts w:ascii="Times New Roman" w:hAnsi="Times New Roman" w:cs="Times New Roman"/>
          <w:i/>
          <w:iCs/>
          <w:noProof/>
          <w:szCs w:val="20"/>
        </w:rPr>
        <w:t>Process Research &amp; Development</w:t>
      </w:r>
      <w:r w:rsidR="00A4462F" w:rsidRPr="00501C22">
        <w:rPr>
          <w:rFonts w:ascii="Times New Roman" w:hAnsi="Times New Roman" w:cs="Times New Roman"/>
          <w:noProof/>
          <w:szCs w:val="20"/>
        </w:rPr>
        <w:t xml:space="preserve">, </w:t>
      </w:r>
      <w:r w:rsidRPr="00501C22">
        <w:rPr>
          <w:rFonts w:ascii="Times New Roman" w:hAnsi="Times New Roman" w:cs="Times New Roman"/>
          <w:noProof/>
          <w:szCs w:val="20"/>
        </w:rPr>
        <w:t>11(1): 149-155.</w:t>
      </w:r>
    </w:p>
    <w:p w14:paraId="5F62186D" w14:textId="2360DC9E"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Jessop, P. G. (2011). Searching for green solvents. </w:t>
      </w:r>
      <w:r w:rsidRPr="00501C22">
        <w:rPr>
          <w:rFonts w:ascii="Times New Roman" w:hAnsi="Times New Roman" w:cs="Times New Roman"/>
          <w:i/>
          <w:iCs/>
          <w:noProof/>
          <w:szCs w:val="20"/>
        </w:rPr>
        <w:t>Green Chemistry</w:t>
      </w:r>
      <w:r w:rsidRPr="00501C22">
        <w:rPr>
          <w:rFonts w:ascii="Times New Roman" w:hAnsi="Times New Roman" w:cs="Times New Roman"/>
          <w:noProof/>
          <w:szCs w:val="20"/>
        </w:rPr>
        <w:t>, 13(6): 1391-1398.</w:t>
      </w:r>
    </w:p>
    <w:p w14:paraId="514FE484" w14:textId="695C19F0"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Ashcroft, C. P., Dunn, P. J., Hayler, J. D.</w:t>
      </w:r>
      <w:r w:rsidR="00A4462F">
        <w:rPr>
          <w:rFonts w:ascii="Times New Roman" w:hAnsi="Times New Roman" w:cs="Times New Roman"/>
          <w:noProof/>
          <w:szCs w:val="20"/>
        </w:rPr>
        <w:t xml:space="preserve"> </w:t>
      </w:r>
      <w:r w:rsidRPr="00501C22">
        <w:rPr>
          <w:rFonts w:ascii="Times New Roman" w:hAnsi="Times New Roman" w:cs="Times New Roman"/>
          <w:noProof/>
          <w:szCs w:val="20"/>
        </w:rPr>
        <w:t xml:space="preserve">and Wells, A. S. (2015). Survey of solvent usage in papers published in </w:t>
      </w:r>
      <w:r w:rsidR="00A4462F" w:rsidRPr="00501C22">
        <w:rPr>
          <w:rFonts w:ascii="Times New Roman" w:hAnsi="Times New Roman" w:cs="Times New Roman"/>
          <w:noProof/>
          <w:szCs w:val="20"/>
        </w:rPr>
        <w:t xml:space="preserve">organic process research &amp; development </w:t>
      </w:r>
      <w:r w:rsidRPr="00501C22">
        <w:rPr>
          <w:rFonts w:ascii="Times New Roman" w:hAnsi="Times New Roman" w:cs="Times New Roman"/>
          <w:noProof/>
          <w:szCs w:val="20"/>
        </w:rPr>
        <w:t xml:space="preserve">1997–2012. </w:t>
      </w:r>
      <w:r w:rsidRPr="00501C22">
        <w:rPr>
          <w:rFonts w:ascii="Times New Roman" w:hAnsi="Times New Roman" w:cs="Times New Roman"/>
          <w:i/>
          <w:iCs/>
          <w:noProof/>
          <w:szCs w:val="20"/>
        </w:rPr>
        <w:t>Organic Process Research &amp; Development</w:t>
      </w:r>
      <w:r w:rsidRPr="00501C22">
        <w:rPr>
          <w:rFonts w:ascii="Times New Roman" w:hAnsi="Times New Roman" w:cs="Times New Roman"/>
          <w:noProof/>
          <w:szCs w:val="20"/>
        </w:rPr>
        <w:t>, 19(7): 740-747.</w:t>
      </w:r>
    </w:p>
    <w:p w14:paraId="00FE6A68" w14:textId="0BAACCDE" w:rsidR="009F4EC1" w:rsidRPr="00501C22" w:rsidRDefault="009F4EC1" w:rsidP="00501C22">
      <w:pPr>
        <w:pStyle w:val="ListParagraph"/>
        <w:numPr>
          <w:ilvl w:val="0"/>
          <w:numId w:val="4"/>
        </w:numPr>
        <w:adjustRightInd w:val="0"/>
        <w:ind w:left="567" w:hanging="567"/>
        <w:rPr>
          <w:rFonts w:ascii="Times New Roman" w:hAnsi="Times New Roman" w:cs="Times New Roman"/>
          <w:noProof/>
          <w:szCs w:val="20"/>
          <w:shd w:val="clear" w:color="auto" w:fill="FFFFFF"/>
        </w:rPr>
      </w:pPr>
      <w:r w:rsidRPr="00501C22">
        <w:rPr>
          <w:rFonts w:ascii="Times New Roman" w:hAnsi="Times New Roman" w:cs="Times New Roman"/>
          <w:noProof/>
          <w:szCs w:val="20"/>
          <w:shd w:val="clear" w:color="auto" w:fill="FFFFFF"/>
        </w:rPr>
        <w:t>Sherwood, J., Granelli, J., McElroy, C. R.</w:t>
      </w:r>
      <w:r w:rsidR="00A4462F">
        <w:rPr>
          <w:rFonts w:ascii="Times New Roman" w:hAnsi="Times New Roman" w:cs="Times New Roman"/>
          <w:noProof/>
          <w:szCs w:val="20"/>
          <w:shd w:val="clear" w:color="auto" w:fill="FFFFFF"/>
        </w:rPr>
        <w:t xml:space="preserve"> </w:t>
      </w:r>
      <w:r w:rsidRPr="00501C22">
        <w:rPr>
          <w:rFonts w:ascii="Times New Roman" w:hAnsi="Times New Roman" w:cs="Times New Roman"/>
          <w:noProof/>
          <w:szCs w:val="20"/>
          <w:shd w:val="clear" w:color="auto" w:fill="FFFFFF"/>
        </w:rPr>
        <w:t xml:space="preserve">and Clark, J. H. (2019). A </w:t>
      </w:r>
      <w:r w:rsidR="00A4462F" w:rsidRPr="00501C22">
        <w:rPr>
          <w:rFonts w:ascii="Times New Roman" w:hAnsi="Times New Roman" w:cs="Times New Roman"/>
          <w:noProof/>
          <w:szCs w:val="20"/>
          <w:shd w:val="clear" w:color="auto" w:fill="FFFFFF"/>
        </w:rPr>
        <w:t xml:space="preserve">method of calculating the </w:t>
      </w:r>
      <w:r w:rsidRPr="00501C22">
        <w:rPr>
          <w:rFonts w:ascii="Times New Roman" w:hAnsi="Times New Roman" w:cs="Times New Roman"/>
          <w:noProof/>
          <w:szCs w:val="20"/>
          <w:shd w:val="clear" w:color="auto" w:fill="FFFFFF"/>
        </w:rPr>
        <w:t xml:space="preserve">Kamlet–Abboud–Taft </w:t>
      </w:r>
      <w:r w:rsidR="00A4462F" w:rsidRPr="00501C22">
        <w:rPr>
          <w:rFonts w:ascii="Times New Roman" w:hAnsi="Times New Roman" w:cs="Times New Roman"/>
          <w:noProof/>
          <w:szCs w:val="20"/>
          <w:shd w:val="clear" w:color="auto" w:fill="FFFFFF"/>
        </w:rPr>
        <w:t xml:space="preserve">solvatochromic parameters using </w:t>
      </w:r>
      <w:r w:rsidRPr="00501C22">
        <w:rPr>
          <w:rFonts w:ascii="Times New Roman" w:hAnsi="Times New Roman" w:cs="Times New Roman"/>
          <w:noProof/>
          <w:szCs w:val="20"/>
          <w:shd w:val="clear" w:color="auto" w:fill="FFFFFF"/>
        </w:rPr>
        <w:t>COSMO-RS. </w:t>
      </w:r>
      <w:r w:rsidRPr="00501C22">
        <w:rPr>
          <w:rFonts w:ascii="Times New Roman" w:hAnsi="Times New Roman" w:cs="Times New Roman"/>
          <w:i/>
          <w:iCs/>
          <w:noProof/>
          <w:szCs w:val="20"/>
          <w:shd w:val="clear" w:color="auto" w:fill="FFFFFF"/>
        </w:rPr>
        <w:t>Molecules</w:t>
      </w:r>
      <w:r w:rsidRPr="00501C22">
        <w:rPr>
          <w:rFonts w:ascii="Times New Roman" w:hAnsi="Times New Roman" w:cs="Times New Roman"/>
          <w:noProof/>
          <w:szCs w:val="20"/>
          <w:shd w:val="clear" w:color="auto" w:fill="FFFFFF"/>
        </w:rPr>
        <w:t>, 24(12): 2209.</w:t>
      </w:r>
    </w:p>
    <w:p w14:paraId="3B44D213" w14:textId="328220A3" w:rsidR="009F4EC1" w:rsidRPr="00501C22" w:rsidRDefault="009F4EC1"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shd w:val="clear" w:color="auto" w:fill="FFFFFF"/>
        </w:rPr>
        <w:t xml:space="preserve">Dolan, D. A., Sherman, D. A., Atkin, R., </w:t>
      </w:r>
      <w:r w:rsidR="007D4D8F" w:rsidRPr="00501C22">
        <w:rPr>
          <w:rFonts w:ascii="Times New Roman" w:hAnsi="Times New Roman" w:cs="Times New Roman"/>
          <w:noProof/>
          <w:szCs w:val="20"/>
          <w:shd w:val="clear" w:color="auto" w:fill="FFFFFF"/>
        </w:rPr>
        <w:t>and</w:t>
      </w:r>
      <w:r w:rsidRPr="00501C22">
        <w:rPr>
          <w:rFonts w:ascii="Times New Roman" w:hAnsi="Times New Roman" w:cs="Times New Roman"/>
          <w:noProof/>
          <w:szCs w:val="20"/>
          <w:shd w:val="clear" w:color="auto" w:fill="FFFFFF"/>
        </w:rPr>
        <w:t xml:space="preserve"> Warr, G. G. (2016). Kamlet–taft solvation parameters of solvate ionic liquids. </w:t>
      </w:r>
      <w:r w:rsidRPr="00501C22">
        <w:rPr>
          <w:rFonts w:ascii="Times New Roman" w:hAnsi="Times New Roman" w:cs="Times New Roman"/>
          <w:i/>
          <w:iCs/>
          <w:noProof/>
          <w:szCs w:val="20"/>
          <w:shd w:val="clear" w:color="auto" w:fill="FFFFFF"/>
        </w:rPr>
        <w:t>ChemPhysChem</w:t>
      </w:r>
      <w:r w:rsidRPr="00501C22">
        <w:rPr>
          <w:rFonts w:ascii="Times New Roman" w:hAnsi="Times New Roman" w:cs="Times New Roman"/>
          <w:noProof/>
          <w:szCs w:val="20"/>
          <w:shd w:val="clear" w:color="auto" w:fill="FFFFFF"/>
        </w:rPr>
        <w:t>, 17(19): 3096-3101.</w:t>
      </w:r>
    </w:p>
    <w:p w14:paraId="5A3C08E1" w14:textId="198C1B73"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bookmarkStart w:id="4" w:name="_Hlk82211941"/>
      <w:bookmarkStart w:id="5" w:name="_Hlk85324589"/>
      <w:r w:rsidRPr="00501C22">
        <w:rPr>
          <w:rFonts w:ascii="Times New Roman" w:hAnsi="Times New Roman" w:cs="Times New Roman"/>
          <w:noProof/>
          <w:szCs w:val="20"/>
        </w:rPr>
        <w:t xml:space="preserve">Marcus, Y. (1998). The </w:t>
      </w:r>
      <w:r w:rsidR="00A4462F" w:rsidRPr="00501C22">
        <w:rPr>
          <w:rFonts w:ascii="Times New Roman" w:hAnsi="Times New Roman" w:cs="Times New Roman"/>
          <w:noProof/>
          <w:szCs w:val="20"/>
        </w:rPr>
        <w:t xml:space="preserve">properties of solvents. </w:t>
      </w:r>
      <w:r w:rsidRPr="00501C22">
        <w:rPr>
          <w:rFonts w:ascii="Times New Roman" w:hAnsi="Times New Roman" w:cs="Times New Roman"/>
          <w:noProof/>
          <w:szCs w:val="20"/>
        </w:rPr>
        <w:t>John Wiley &amp; Sons, England: pp. 256</w:t>
      </w:r>
    </w:p>
    <w:p w14:paraId="4C2D8D35" w14:textId="2F05BC02"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Marcus, Y. (1993). The properties of organic liquids that are relevant to their use as solvating solvents. </w:t>
      </w:r>
      <w:r w:rsidRPr="00501C22">
        <w:rPr>
          <w:rFonts w:ascii="Times New Roman" w:hAnsi="Times New Roman" w:cs="Times New Roman"/>
          <w:i/>
          <w:iCs/>
          <w:noProof/>
          <w:szCs w:val="20"/>
        </w:rPr>
        <w:t>Chemical Society Reviews</w:t>
      </w:r>
      <w:r w:rsidRPr="00501C22">
        <w:rPr>
          <w:rFonts w:ascii="Times New Roman" w:hAnsi="Times New Roman" w:cs="Times New Roman"/>
          <w:noProof/>
          <w:szCs w:val="20"/>
        </w:rPr>
        <w:t>, 22(6): 409-416.</w:t>
      </w:r>
    </w:p>
    <w:bookmarkEnd w:id="4"/>
    <w:p w14:paraId="0A8F128F" w14:textId="0D578BB3"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 xml:space="preserve">Alder, C. M., Hayler, J. D., Henderson, R. K., Redman, A. M., Shukla, L., Shuster, L. E. and Sneddon, H. F. (2016). Updating and further expanding GSK's solvent sustainability guide. </w:t>
      </w:r>
      <w:r w:rsidRPr="00501C22">
        <w:rPr>
          <w:rFonts w:ascii="Times New Roman" w:hAnsi="Times New Roman" w:cs="Times New Roman"/>
          <w:i/>
          <w:iCs/>
          <w:noProof/>
          <w:szCs w:val="20"/>
        </w:rPr>
        <w:t>Green Chemistry</w:t>
      </w:r>
      <w:r w:rsidRPr="00501C22">
        <w:rPr>
          <w:rFonts w:ascii="Times New Roman" w:hAnsi="Times New Roman" w:cs="Times New Roman"/>
          <w:noProof/>
          <w:szCs w:val="20"/>
        </w:rPr>
        <w:t>, 18 (13): 3879-3890.</w:t>
      </w:r>
    </w:p>
    <w:p w14:paraId="2DC7A56F" w14:textId="38C8941F" w:rsidR="00B839D7" w:rsidRPr="00501C22" w:rsidRDefault="001F7B08" w:rsidP="00501C22">
      <w:pPr>
        <w:pStyle w:val="ListParagraph"/>
        <w:widowControl/>
        <w:numPr>
          <w:ilvl w:val="0"/>
          <w:numId w:val="4"/>
        </w:numPr>
        <w:wordWrap/>
        <w:autoSpaceDE/>
        <w:autoSpaceDN/>
        <w:spacing w:after="160" w:line="259" w:lineRule="auto"/>
        <w:ind w:left="567" w:hanging="567"/>
        <w:rPr>
          <w:rFonts w:ascii="Times New Roman" w:hAnsi="Times New Roman" w:cs="Times New Roman"/>
          <w:noProof/>
          <w:szCs w:val="20"/>
        </w:rPr>
      </w:pPr>
      <w:r w:rsidRPr="00501C22">
        <w:rPr>
          <w:rFonts w:ascii="Times New Roman" w:hAnsi="Times New Roman" w:cs="Times New Roman"/>
          <w:noProof/>
          <w:szCs w:val="20"/>
        </w:rPr>
        <w:t>Hellsten, S., Qu, H.</w:t>
      </w:r>
      <w:r w:rsidR="00A4462F">
        <w:rPr>
          <w:rFonts w:ascii="Times New Roman" w:hAnsi="Times New Roman" w:cs="Times New Roman"/>
          <w:noProof/>
          <w:szCs w:val="20"/>
        </w:rPr>
        <w:t xml:space="preserve"> </w:t>
      </w:r>
      <w:r w:rsidRPr="00501C22">
        <w:rPr>
          <w:rFonts w:ascii="Times New Roman" w:hAnsi="Times New Roman" w:cs="Times New Roman"/>
          <w:noProof/>
          <w:szCs w:val="20"/>
        </w:rPr>
        <w:t xml:space="preserve">and Louhi‐Kultanen, M. (2011). Screening of binary solvent mixtures and solvate formation of indomethacin. </w:t>
      </w:r>
      <w:r w:rsidRPr="00501C22">
        <w:rPr>
          <w:rFonts w:ascii="Times New Roman" w:hAnsi="Times New Roman" w:cs="Times New Roman"/>
          <w:i/>
          <w:iCs/>
          <w:noProof/>
          <w:szCs w:val="20"/>
        </w:rPr>
        <w:t xml:space="preserve">Chemical </w:t>
      </w:r>
      <w:r w:rsidR="00A4462F" w:rsidRPr="00501C22">
        <w:rPr>
          <w:rFonts w:ascii="Times New Roman" w:hAnsi="Times New Roman" w:cs="Times New Roman"/>
          <w:i/>
          <w:iCs/>
          <w:noProof/>
          <w:szCs w:val="20"/>
        </w:rPr>
        <w:t>Engineering &amp; Technology</w:t>
      </w:r>
      <w:r w:rsidRPr="00501C22">
        <w:rPr>
          <w:rFonts w:ascii="Times New Roman" w:hAnsi="Times New Roman" w:cs="Times New Roman"/>
          <w:noProof/>
          <w:szCs w:val="20"/>
        </w:rPr>
        <w:t>, 34(10): 1667-1674.</w:t>
      </w:r>
    </w:p>
    <w:bookmarkEnd w:id="5"/>
    <w:p w14:paraId="5F22509D" w14:textId="77777777" w:rsidR="00147659" w:rsidRPr="00501C22" w:rsidRDefault="00147659" w:rsidP="00501C22">
      <w:pPr>
        <w:ind w:left="567" w:hanging="567"/>
        <w:outlineLvl w:val="0"/>
        <w:rPr>
          <w:rFonts w:ascii="Times New Roman" w:hAnsi="Times New Roman" w:cs="Times New Roman"/>
          <w:b/>
          <w:noProof/>
          <w:szCs w:val="20"/>
        </w:rPr>
      </w:pPr>
    </w:p>
    <w:sectPr w:rsidR="00147659" w:rsidRPr="00501C22" w:rsidSect="00F4378D">
      <w:footerReference w:type="default" r:id="rId9"/>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9C05" w14:textId="77777777" w:rsidR="004331F5" w:rsidRDefault="004331F5">
      <w:r>
        <w:separator/>
      </w:r>
    </w:p>
  </w:endnote>
  <w:endnote w:type="continuationSeparator" w:id="0">
    <w:p w14:paraId="22399142" w14:textId="77777777" w:rsidR="004331F5" w:rsidRDefault="0043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53CD" w14:textId="161B7ED6" w:rsidR="00F4378D" w:rsidRDefault="00F4378D">
    <w:pPr>
      <w:pStyle w:val="Footer"/>
      <w:jc w:val="right"/>
    </w:pPr>
  </w:p>
  <w:p w14:paraId="087FA11D"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D02B" w14:textId="77777777" w:rsidR="004331F5" w:rsidRDefault="004331F5">
      <w:r>
        <w:separator/>
      </w:r>
    </w:p>
  </w:footnote>
  <w:footnote w:type="continuationSeparator" w:id="0">
    <w:p w14:paraId="54C04988" w14:textId="77777777" w:rsidR="004331F5" w:rsidRDefault="0043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E22B9"/>
    <w:multiLevelType w:val="hybridMultilevel"/>
    <w:tmpl w:val="99748C28"/>
    <w:lvl w:ilvl="0" w:tplc="BE7070D6">
      <w:start w:val="1"/>
      <w:numFmt w:val="decimal"/>
      <w:lvlText w:val="%1."/>
      <w:lvlJc w:val="left"/>
      <w:pPr>
        <w:ind w:left="720" w:hanging="360"/>
      </w:pPr>
    </w:lvl>
    <w:lvl w:ilvl="1" w:tplc="58A05BA8" w:tentative="1">
      <w:start w:val="1"/>
      <w:numFmt w:val="lowerLetter"/>
      <w:lvlText w:val="%2."/>
      <w:lvlJc w:val="left"/>
      <w:pPr>
        <w:ind w:left="1440" w:hanging="360"/>
      </w:pPr>
    </w:lvl>
    <w:lvl w:ilvl="2" w:tplc="CE422E78" w:tentative="1">
      <w:start w:val="1"/>
      <w:numFmt w:val="lowerRoman"/>
      <w:lvlText w:val="%3."/>
      <w:lvlJc w:val="right"/>
      <w:pPr>
        <w:ind w:left="2160" w:hanging="180"/>
      </w:pPr>
    </w:lvl>
    <w:lvl w:ilvl="3" w:tplc="0632FF44" w:tentative="1">
      <w:start w:val="1"/>
      <w:numFmt w:val="decimal"/>
      <w:lvlText w:val="%4."/>
      <w:lvlJc w:val="left"/>
      <w:pPr>
        <w:ind w:left="2880" w:hanging="360"/>
      </w:pPr>
    </w:lvl>
    <w:lvl w:ilvl="4" w:tplc="80B0661E" w:tentative="1">
      <w:start w:val="1"/>
      <w:numFmt w:val="lowerLetter"/>
      <w:lvlText w:val="%5."/>
      <w:lvlJc w:val="left"/>
      <w:pPr>
        <w:ind w:left="3600" w:hanging="360"/>
      </w:pPr>
    </w:lvl>
    <w:lvl w:ilvl="5" w:tplc="1400A742" w:tentative="1">
      <w:start w:val="1"/>
      <w:numFmt w:val="lowerRoman"/>
      <w:lvlText w:val="%6."/>
      <w:lvlJc w:val="right"/>
      <w:pPr>
        <w:ind w:left="4320" w:hanging="180"/>
      </w:pPr>
    </w:lvl>
    <w:lvl w:ilvl="6" w:tplc="2CD69288" w:tentative="1">
      <w:start w:val="1"/>
      <w:numFmt w:val="decimal"/>
      <w:lvlText w:val="%7."/>
      <w:lvlJc w:val="left"/>
      <w:pPr>
        <w:ind w:left="5040" w:hanging="360"/>
      </w:pPr>
    </w:lvl>
    <w:lvl w:ilvl="7" w:tplc="166A3D98" w:tentative="1">
      <w:start w:val="1"/>
      <w:numFmt w:val="lowerLetter"/>
      <w:lvlText w:val="%8."/>
      <w:lvlJc w:val="left"/>
      <w:pPr>
        <w:ind w:left="5760" w:hanging="360"/>
      </w:pPr>
    </w:lvl>
    <w:lvl w:ilvl="8" w:tplc="3EA2441A" w:tentative="1">
      <w:start w:val="1"/>
      <w:numFmt w:val="lowerRoman"/>
      <w:lvlText w:val="%9."/>
      <w:lvlJc w:val="right"/>
      <w:pPr>
        <w:ind w:left="6480" w:hanging="180"/>
      </w:pPr>
    </w:lvl>
  </w:abstractNum>
  <w:abstractNum w:abstractNumId="1"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2" w15:restartNumberingAfterBreak="0">
    <w:nsid w:val="677962F2"/>
    <w:multiLevelType w:val="hybridMultilevel"/>
    <w:tmpl w:val="DEE6C690"/>
    <w:lvl w:ilvl="0" w:tplc="2954F1BE">
      <w:start w:val="1"/>
      <w:numFmt w:val="decimal"/>
      <w:lvlText w:val="%1."/>
      <w:lvlJc w:val="left"/>
      <w:pPr>
        <w:ind w:left="720" w:hanging="360"/>
      </w:pPr>
      <w:rPr>
        <w:rFonts w:hint="default"/>
      </w:rPr>
    </w:lvl>
    <w:lvl w:ilvl="1" w:tplc="A1AA9EB4" w:tentative="1">
      <w:start w:val="1"/>
      <w:numFmt w:val="lowerLetter"/>
      <w:lvlText w:val="%2."/>
      <w:lvlJc w:val="left"/>
      <w:pPr>
        <w:ind w:left="1440" w:hanging="360"/>
      </w:pPr>
    </w:lvl>
    <w:lvl w:ilvl="2" w:tplc="0BB6A18C" w:tentative="1">
      <w:start w:val="1"/>
      <w:numFmt w:val="lowerRoman"/>
      <w:lvlText w:val="%3."/>
      <w:lvlJc w:val="right"/>
      <w:pPr>
        <w:ind w:left="2160" w:hanging="180"/>
      </w:pPr>
    </w:lvl>
    <w:lvl w:ilvl="3" w:tplc="16A2C998" w:tentative="1">
      <w:start w:val="1"/>
      <w:numFmt w:val="decimal"/>
      <w:lvlText w:val="%4."/>
      <w:lvlJc w:val="left"/>
      <w:pPr>
        <w:ind w:left="2880" w:hanging="360"/>
      </w:pPr>
    </w:lvl>
    <w:lvl w:ilvl="4" w:tplc="55703608" w:tentative="1">
      <w:start w:val="1"/>
      <w:numFmt w:val="lowerLetter"/>
      <w:lvlText w:val="%5."/>
      <w:lvlJc w:val="left"/>
      <w:pPr>
        <w:ind w:left="3600" w:hanging="360"/>
      </w:pPr>
    </w:lvl>
    <w:lvl w:ilvl="5" w:tplc="3B721458" w:tentative="1">
      <w:start w:val="1"/>
      <w:numFmt w:val="lowerRoman"/>
      <w:lvlText w:val="%6."/>
      <w:lvlJc w:val="right"/>
      <w:pPr>
        <w:ind w:left="4320" w:hanging="180"/>
      </w:pPr>
    </w:lvl>
    <w:lvl w:ilvl="6" w:tplc="C3E24E02" w:tentative="1">
      <w:start w:val="1"/>
      <w:numFmt w:val="decimal"/>
      <w:lvlText w:val="%7."/>
      <w:lvlJc w:val="left"/>
      <w:pPr>
        <w:ind w:left="5040" w:hanging="360"/>
      </w:pPr>
    </w:lvl>
    <w:lvl w:ilvl="7" w:tplc="2B6C31C2" w:tentative="1">
      <w:start w:val="1"/>
      <w:numFmt w:val="lowerLetter"/>
      <w:lvlText w:val="%8."/>
      <w:lvlJc w:val="left"/>
      <w:pPr>
        <w:ind w:left="5760" w:hanging="360"/>
      </w:pPr>
    </w:lvl>
    <w:lvl w:ilvl="8" w:tplc="3B70C034"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85882C24">
      <w:start w:val="1"/>
      <w:numFmt w:val="decimal"/>
      <w:lvlText w:val="%1."/>
      <w:lvlJc w:val="left"/>
      <w:pPr>
        <w:ind w:left="1572" w:hanging="360"/>
      </w:pPr>
    </w:lvl>
    <w:lvl w:ilvl="1" w:tplc="D3ECC54C" w:tentative="1">
      <w:start w:val="1"/>
      <w:numFmt w:val="lowerLetter"/>
      <w:lvlText w:val="%2."/>
      <w:lvlJc w:val="left"/>
      <w:pPr>
        <w:ind w:left="2292" w:hanging="360"/>
      </w:pPr>
    </w:lvl>
    <w:lvl w:ilvl="2" w:tplc="7826E414" w:tentative="1">
      <w:start w:val="1"/>
      <w:numFmt w:val="lowerRoman"/>
      <w:lvlText w:val="%3."/>
      <w:lvlJc w:val="right"/>
      <w:pPr>
        <w:ind w:left="3012" w:hanging="180"/>
      </w:pPr>
    </w:lvl>
    <w:lvl w:ilvl="3" w:tplc="6308A3CE" w:tentative="1">
      <w:start w:val="1"/>
      <w:numFmt w:val="decimal"/>
      <w:lvlText w:val="%4."/>
      <w:lvlJc w:val="left"/>
      <w:pPr>
        <w:ind w:left="3732" w:hanging="360"/>
      </w:pPr>
    </w:lvl>
    <w:lvl w:ilvl="4" w:tplc="BC523716" w:tentative="1">
      <w:start w:val="1"/>
      <w:numFmt w:val="lowerLetter"/>
      <w:lvlText w:val="%5."/>
      <w:lvlJc w:val="left"/>
      <w:pPr>
        <w:ind w:left="4452" w:hanging="360"/>
      </w:pPr>
    </w:lvl>
    <w:lvl w:ilvl="5" w:tplc="C0E46A44" w:tentative="1">
      <w:start w:val="1"/>
      <w:numFmt w:val="lowerRoman"/>
      <w:lvlText w:val="%6."/>
      <w:lvlJc w:val="right"/>
      <w:pPr>
        <w:ind w:left="5172" w:hanging="180"/>
      </w:pPr>
    </w:lvl>
    <w:lvl w:ilvl="6" w:tplc="1ABAB388" w:tentative="1">
      <w:start w:val="1"/>
      <w:numFmt w:val="decimal"/>
      <w:lvlText w:val="%7."/>
      <w:lvlJc w:val="left"/>
      <w:pPr>
        <w:ind w:left="5892" w:hanging="360"/>
      </w:pPr>
    </w:lvl>
    <w:lvl w:ilvl="7" w:tplc="F60A92C6" w:tentative="1">
      <w:start w:val="1"/>
      <w:numFmt w:val="lowerLetter"/>
      <w:lvlText w:val="%8."/>
      <w:lvlJc w:val="left"/>
      <w:pPr>
        <w:ind w:left="6612" w:hanging="360"/>
      </w:pPr>
    </w:lvl>
    <w:lvl w:ilvl="8" w:tplc="3EC45BE8" w:tentative="1">
      <w:start w:val="1"/>
      <w:numFmt w:val="lowerRoman"/>
      <w:lvlText w:val="%9."/>
      <w:lvlJc w:val="right"/>
      <w:pPr>
        <w:ind w:left="733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1D81"/>
    <w:rsid w:val="000059A3"/>
    <w:rsid w:val="00006C15"/>
    <w:rsid w:val="00022CA8"/>
    <w:rsid w:val="000240BF"/>
    <w:rsid w:val="000275AC"/>
    <w:rsid w:val="00033495"/>
    <w:rsid w:val="00041999"/>
    <w:rsid w:val="00042AB4"/>
    <w:rsid w:val="00051456"/>
    <w:rsid w:val="000610D3"/>
    <w:rsid w:val="00061441"/>
    <w:rsid w:val="00062E9A"/>
    <w:rsid w:val="00067921"/>
    <w:rsid w:val="0007147A"/>
    <w:rsid w:val="000772BD"/>
    <w:rsid w:val="00082E77"/>
    <w:rsid w:val="00083C4F"/>
    <w:rsid w:val="00084BEF"/>
    <w:rsid w:val="000850CA"/>
    <w:rsid w:val="000903D5"/>
    <w:rsid w:val="0009667D"/>
    <w:rsid w:val="000A7CA3"/>
    <w:rsid w:val="000B5D98"/>
    <w:rsid w:val="000C105C"/>
    <w:rsid w:val="000C185D"/>
    <w:rsid w:val="000D14B2"/>
    <w:rsid w:val="000D3597"/>
    <w:rsid w:val="000E4666"/>
    <w:rsid w:val="000F33D1"/>
    <w:rsid w:val="000F6FD7"/>
    <w:rsid w:val="00105F4A"/>
    <w:rsid w:val="001062C7"/>
    <w:rsid w:val="00107451"/>
    <w:rsid w:val="00126ADC"/>
    <w:rsid w:val="00130DED"/>
    <w:rsid w:val="00137DB4"/>
    <w:rsid w:val="00142D20"/>
    <w:rsid w:val="00144439"/>
    <w:rsid w:val="00147659"/>
    <w:rsid w:val="00147F84"/>
    <w:rsid w:val="00160D7F"/>
    <w:rsid w:val="0016201E"/>
    <w:rsid w:val="001752C0"/>
    <w:rsid w:val="00182074"/>
    <w:rsid w:val="001871B4"/>
    <w:rsid w:val="00190AED"/>
    <w:rsid w:val="0019193B"/>
    <w:rsid w:val="00195E3F"/>
    <w:rsid w:val="001A502D"/>
    <w:rsid w:val="001A5EAA"/>
    <w:rsid w:val="001B5CF8"/>
    <w:rsid w:val="001B7DBC"/>
    <w:rsid w:val="001C4530"/>
    <w:rsid w:val="001C6F10"/>
    <w:rsid w:val="001C7EC3"/>
    <w:rsid w:val="001F0AB2"/>
    <w:rsid w:val="001F3631"/>
    <w:rsid w:val="001F7B08"/>
    <w:rsid w:val="002103CC"/>
    <w:rsid w:val="00224AF7"/>
    <w:rsid w:val="00227775"/>
    <w:rsid w:val="002340B7"/>
    <w:rsid w:val="00241194"/>
    <w:rsid w:val="00247767"/>
    <w:rsid w:val="00252163"/>
    <w:rsid w:val="00253FB8"/>
    <w:rsid w:val="00266C77"/>
    <w:rsid w:val="00270C2E"/>
    <w:rsid w:val="002739CA"/>
    <w:rsid w:val="002833B4"/>
    <w:rsid w:val="00286B8E"/>
    <w:rsid w:val="00291ED7"/>
    <w:rsid w:val="00292491"/>
    <w:rsid w:val="002A34BF"/>
    <w:rsid w:val="002B01EA"/>
    <w:rsid w:val="002B5009"/>
    <w:rsid w:val="002C01B6"/>
    <w:rsid w:val="002C13AD"/>
    <w:rsid w:val="002D0AA4"/>
    <w:rsid w:val="002D1CA6"/>
    <w:rsid w:val="002D2479"/>
    <w:rsid w:val="002D4F17"/>
    <w:rsid w:val="002E1BB0"/>
    <w:rsid w:val="002E2C40"/>
    <w:rsid w:val="002F182B"/>
    <w:rsid w:val="002F2059"/>
    <w:rsid w:val="002F33ED"/>
    <w:rsid w:val="002F3841"/>
    <w:rsid w:val="002F59DB"/>
    <w:rsid w:val="002F799B"/>
    <w:rsid w:val="00301149"/>
    <w:rsid w:val="003040EF"/>
    <w:rsid w:val="00312E50"/>
    <w:rsid w:val="00324132"/>
    <w:rsid w:val="00325EDB"/>
    <w:rsid w:val="00333353"/>
    <w:rsid w:val="00343A97"/>
    <w:rsid w:val="003473A3"/>
    <w:rsid w:val="00350829"/>
    <w:rsid w:val="00353787"/>
    <w:rsid w:val="0036097C"/>
    <w:rsid w:val="00366B2D"/>
    <w:rsid w:val="00366F8D"/>
    <w:rsid w:val="00371E7B"/>
    <w:rsid w:val="003744F6"/>
    <w:rsid w:val="00376287"/>
    <w:rsid w:val="003864CC"/>
    <w:rsid w:val="003871AE"/>
    <w:rsid w:val="00390A8D"/>
    <w:rsid w:val="003918FA"/>
    <w:rsid w:val="0039564A"/>
    <w:rsid w:val="003A0B46"/>
    <w:rsid w:val="003A2A26"/>
    <w:rsid w:val="003A5E89"/>
    <w:rsid w:val="003A6234"/>
    <w:rsid w:val="003B22C5"/>
    <w:rsid w:val="003B2CBB"/>
    <w:rsid w:val="003B5BDD"/>
    <w:rsid w:val="003C0465"/>
    <w:rsid w:val="003C1C3B"/>
    <w:rsid w:val="003E1111"/>
    <w:rsid w:val="003F3701"/>
    <w:rsid w:val="004032B5"/>
    <w:rsid w:val="00405FFA"/>
    <w:rsid w:val="0040614D"/>
    <w:rsid w:val="00410883"/>
    <w:rsid w:val="00414563"/>
    <w:rsid w:val="00414704"/>
    <w:rsid w:val="00423171"/>
    <w:rsid w:val="00425B5D"/>
    <w:rsid w:val="004331C2"/>
    <w:rsid w:val="004331F5"/>
    <w:rsid w:val="004517CE"/>
    <w:rsid w:val="0045598E"/>
    <w:rsid w:val="00471AAB"/>
    <w:rsid w:val="004850E4"/>
    <w:rsid w:val="00485C4A"/>
    <w:rsid w:val="0048739B"/>
    <w:rsid w:val="00494AC2"/>
    <w:rsid w:val="004A0A0D"/>
    <w:rsid w:val="004B2346"/>
    <w:rsid w:val="004B44D6"/>
    <w:rsid w:val="004D1F8E"/>
    <w:rsid w:val="004E5EE2"/>
    <w:rsid w:val="00501C22"/>
    <w:rsid w:val="00502636"/>
    <w:rsid w:val="00505F96"/>
    <w:rsid w:val="005134F2"/>
    <w:rsid w:val="00515681"/>
    <w:rsid w:val="00524C55"/>
    <w:rsid w:val="005256C3"/>
    <w:rsid w:val="00540E4F"/>
    <w:rsid w:val="00543AAD"/>
    <w:rsid w:val="005453C4"/>
    <w:rsid w:val="00551342"/>
    <w:rsid w:val="00553A36"/>
    <w:rsid w:val="0055645C"/>
    <w:rsid w:val="0055733B"/>
    <w:rsid w:val="00560927"/>
    <w:rsid w:val="00567BD6"/>
    <w:rsid w:val="00572A3D"/>
    <w:rsid w:val="005740BA"/>
    <w:rsid w:val="005747B3"/>
    <w:rsid w:val="0058311E"/>
    <w:rsid w:val="0058356B"/>
    <w:rsid w:val="00585B8E"/>
    <w:rsid w:val="00596037"/>
    <w:rsid w:val="00596880"/>
    <w:rsid w:val="005B01C4"/>
    <w:rsid w:val="005B4E4B"/>
    <w:rsid w:val="005B64EA"/>
    <w:rsid w:val="005C54F6"/>
    <w:rsid w:val="005C5B07"/>
    <w:rsid w:val="005C74D5"/>
    <w:rsid w:val="005D0997"/>
    <w:rsid w:val="005D61D5"/>
    <w:rsid w:val="005E328F"/>
    <w:rsid w:val="005F5B70"/>
    <w:rsid w:val="0060418B"/>
    <w:rsid w:val="006422A0"/>
    <w:rsid w:val="00642995"/>
    <w:rsid w:val="00645F29"/>
    <w:rsid w:val="00651418"/>
    <w:rsid w:val="00660259"/>
    <w:rsid w:val="0066186E"/>
    <w:rsid w:val="006752F3"/>
    <w:rsid w:val="00685C81"/>
    <w:rsid w:val="00687089"/>
    <w:rsid w:val="00687224"/>
    <w:rsid w:val="006961D7"/>
    <w:rsid w:val="006A1808"/>
    <w:rsid w:val="006A65B9"/>
    <w:rsid w:val="006A6B9C"/>
    <w:rsid w:val="006B02C4"/>
    <w:rsid w:val="006B585C"/>
    <w:rsid w:val="006B61BE"/>
    <w:rsid w:val="006D4F05"/>
    <w:rsid w:val="006F155F"/>
    <w:rsid w:val="006F5397"/>
    <w:rsid w:val="00713384"/>
    <w:rsid w:val="00713919"/>
    <w:rsid w:val="007148DE"/>
    <w:rsid w:val="007173C1"/>
    <w:rsid w:val="00722AB3"/>
    <w:rsid w:val="00730E83"/>
    <w:rsid w:val="007365C8"/>
    <w:rsid w:val="00747021"/>
    <w:rsid w:val="00754063"/>
    <w:rsid w:val="007558AC"/>
    <w:rsid w:val="00763E99"/>
    <w:rsid w:val="00767027"/>
    <w:rsid w:val="0076713D"/>
    <w:rsid w:val="007712A0"/>
    <w:rsid w:val="0077276F"/>
    <w:rsid w:val="00781567"/>
    <w:rsid w:val="007853A3"/>
    <w:rsid w:val="00785CA6"/>
    <w:rsid w:val="007930D1"/>
    <w:rsid w:val="0079375F"/>
    <w:rsid w:val="007968D8"/>
    <w:rsid w:val="007B3919"/>
    <w:rsid w:val="007B534B"/>
    <w:rsid w:val="007C4D0D"/>
    <w:rsid w:val="007C754D"/>
    <w:rsid w:val="007D4D8F"/>
    <w:rsid w:val="007E7114"/>
    <w:rsid w:val="008022D9"/>
    <w:rsid w:val="00803C2E"/>
    <w:rsid w:val="00806311"/>
    <w:rsid w:val="00806312"/>
    <w:rsid w:val="0082059B"/>
    <w:rsid w:val="00820F0F"/>
    <w:rsid w:val="00821ED0"/>
    <w:rsid w:val="0082319D"/>
    <w:rsid w:val="008377BB"/>
    <w:rsid w:val="00837B11"/>
    <w:rsid w:val="008469B6"/>
    <w:rsid w:val="00850FBF"/>
    <w:rsid w:val="00855B26"/>
    <w:rsid w:val="00864BD8"/>
    <w:rsid w:val="00867126"/>
    <w:rsid w:val="00867FD6"/>
    <w:rsid w:val="00875984"/>
    <w:rsid w:val="00882A02"/>
    <w:rsid w:val="00886C00"/>
    <w:rsid w:val="00887754"/>
    <w:rsid w:val="008917AF"/>
    <w:rsid w:val="008938A7"/>
    <w:rsid w:val="00893C65"/>
    <w:rsid w:val="00895A4E"/>
    <w:rsid w:val="00897CA1"/>
    <w:rsid w:val="008A41AA"/>
    <w:rsid w:val="008A48FA"/>
    <w:rsid w:val="008B04B0"/>
    <w:rsid w:val="008E1F13"/>
    <w:rsid w:val="008F2877"/>
    <w:rsid w:val="008F6145"/>
    <w:rsid w:val="00903F20"/>
    <w:rsid w:val="00912B71"/>
    <w:rsid w:val="00931D50"/>
    <w:rsid w:val="009321DA"/>
    <w:rsid w:val="00942F00"/>
    <w:rsid w:val="009455B0"/>
    <w:rsid w:val="00952B08"/>
    <w:rsid w:val="009532E8"/>
    <w:rsid w:val="00954DC5"/>
    <w:rsid w:val="00956005"/>
    <w:rsid w:val="009724F4"/>
    <w:rsid w:val="009758B2"/>
    <w:rsid w:val="00991742"/>
    <w:rsid w:val="00996AC6"/>
    <w:rsid w:val="00997639"/>
    <w:rsid w:val="009A599D"/>
    <w:rsid w:val="009A787A"/>
    <w:rsid w:val="009B74AA"/>
    <w:rsid w:val="009C4E07"/>
    <w:rsid w:val="009C7BF9"/>
    <w:rsid w:val="009D23AF"/>
    <w:rsid w:val="009D6C0C"/>
    <w:rsid w:val="009F082D"/>
    <w:rsid w:val="009F4EC1"/>
    <w:rsid w:val="00A11534"/>
    <w:rsid w:val="00A20A1B"/>
    <w:rsid w:val="00A212A6"/>
    <w:rsid w:val="00A22F7A"/>
    <w:rsid w:val="00A31A64"/>
    <w:rsid w:val="00A415C1"/>
    <w:rsid w:val="00A4462F"/>
    <w:rsid w:val="00A458AB"/>
    <w:rsid w:val="00A4748A"/>
    <w:rsid w:val="00A514A8"/>
    <w:rsid w:val="00A52E7A"/>
    <w:rsid w:val="00A53004"/>
    <w:rsid w:val="00A53955"/>
    <w:rsid w:val="00A56B0F"/>
    <w:rsid w:val="00A579E3"/>
    <w:rsid w:val="00A62161"/>
    <w:rsid w:val="00A64832"/>
    <w:rsid w:val="00A67451"/>
    <w:rsid w:val="00A726E0"/>
    <w:rsid w:val="00A730E3"/>
    <w:rsid w:val="00A77FEE"/>
    <w:rsid w:val="00A80F9F"/>
    <w:rsid w:val="00A879B1"/>
    <w:rsid w:val="00A97DD1"/>
    <w:rsid w:val="00AA7D1F"/>
    <w:rsid w:val="00AB7447"/>
    <w:rsid w:val="00AC232D"/>
    <w:rsid w:val="00AE4061"/>
    <w:rsid w:val="00AF45A3"/>
    <w:rsid w:val="00AF6D47"/>
    <w:rsid w:val="00B15AFC"/>
    <w:rsid w:val="00B2012B"/>
    <w:rsid w:val="00B226D2"/>
    <w:rsid w:val="00B35617"/>
    <w:rsid w:val="00B42415"/>
    <w:rsid w:val="00B43721"/>
    <w:rsid w:val="00B53B6D"/>
    <w:rsid w:val="00B55624"/>
    <w:rsid w:val="00B67B75"/>
    <w:rsid w:val="00B711D9"/>
    <w:rsid w:val="00B839D7"/>
    <w:rsid w:val="00B83D0A"/>
    <w:rsid w:val="00B8446E"/>
    <w:rsid w:val="00B9318D"/>
    <w:rsid w:val="00BB0672"/>
    <w:rsid w:val="00BC1871"/>
    <w:rsid w:val="00BD1340"/>
    <w:rsid w:val="00BD1B15"/>
    <w:rsid w:val="00BD685F"/>
    <w:rsid w:val="00BD7740"/>
    <w:rsid w:val="00BE240B"/>
    <w:rsid w:val="00BE7EF7"/>
    <w:rsid w:val="00BF466B"/>
    <w:rsid w:val="00BF49B3"/>
    <w:rsid w:val="00C01B2E"/>
    <w:rsid w:val="00C02BA8"/>
    <w:rsid w:val="00C067F4"/>
    <w:rsid w:val="00C1299C"/>
    <w:rsid w:val="00C2039A"/>
    <w:rsid w:val="00C3040D"/>
    <w:rsid w:val="00C41D7B"/>
    <w:rsid w:val="00C446E6"/>
    <w:rsid w:val="00C47CFA"/>
    <w:rsid w:val="00C62488"/>
    <w:rsid w:val="00C6269E"/>
    <w:rsid w:val="00C63ADC"/>
    <w:rsid w:val="00C75993"/>
    <w:rsid w:val="00C7673E"/>
    <w:rsid w:val="00C8190C"/>
    <w:rsid w:val="00C8620A"/>
    <w:rsid w:val="00C86C3C"/>
    <w:rsid w:val="00CA2C03"/>
    <w:rsid w:val="00CA2EA8"/>
    <w:rsid w:val="00CB2AB0"/>
    <w:rsid w:val="00CB2B2C"/>
    <w:rsid w:val="00CB74F4"/>
    <w:rsid w:val="00CC3BBA"/>
    <w:rsid w:val="00CC58FD"/>
    <w:rsid w:val="00CC631C"/>
    <w:rsid w:val="00CD06C8"/>
    <w:rsid w:val="00CD6ECA"/>
    <w:rsid w:val="00CF0447"/>
    <w:rsid w:val="00D004CF"/>
    <w:rsid w:val="00D016D0"/>
    <w:rsid w:val="00D042B8"/>
    <w:rsid w:val="00D14A43"/>
    <w:rsid w:val="00D14D98"/>
    <w:rsid w:val="00D25C35"/>
    <w:rsid w:val="00D31E2D"/>
    <w:rsid w:val="00D3727D"/>
    <w:rsid w:val="00D50614"/>
    <w:rsid w:val="00D54C92"/>
    <w:rsid w:val="00D6380E"/>
    <w:rsid w:val="00D710E3"/>
    <w:rsid w:val="00D7110B"/>
    <w:rsid w:val="00D75333"/>
    <w:rsid w:val="00DA4D47"/>
    <w:rsid w:val="00DB35C0"/>
    <w:rsid w:val="00DB4A69"/>
    <w:rsid w:val="00DC17F5"/>
    <w:rsid w:val="00DD2FE3"/>
    <w:rsid w:val="00DE73D6"/>
    <w:rsid w:val="00DF0ADF"/>
    <w:rsid w:val="00DF3B09"/>
    <w:rsid w:val="00E01DF4"/>
    <w:rsid w:val="00E06550"/>
    <w:rsid w:val="00E11158"/>
    <w:rsid w:val="00E13860"/>
    <w:rsid w:val="00E154F9"/>
    <w:rsid w:val="00E17729"/>
    <w:rsid w:val="00E23CF1"/>
    <w:rsid w:val="00E24000"/>
    <w:rsid w:val="00E37F03"/>
    <w:rsid w:val="00E477D1"/>
    <w:rsid w:val="00E505C5"/>
    <w:rsid w:val="00E51EBC"/>
    <w:rsid w:val="00E55EFB"/>
    <w:rsid w:val="00E67EA1"/>
    <w:rsid w:val="00E720E0"/>
    <w:rsid w:val="00E7636F"/>
    <w:rsid w:val="00E77284"/>
    <w:rsid w:val="00E8060F"/>
    <w:rsid w:val="00E81331"/>
    <w:rsid w:val="00EA5E96"/>
    <w:rsid w:val="00EA785D"/>
    <w:rsid w:val="00EB2438"/>
    <w:rsid w:val="00EE0EDE"/>
    <w:rsid w:val="00EE54C4"/>
    <w:rsid w:val="00EF7DBC"/>
    <w:rsid w:val="00F07222"/>
    <w:rsid w:val="00F10418"/>
    <w:rsid w:val="00F108FB"/>
    <w:rsid w:val="00F116F7"/>
    <w:rsid w:val="00F2399D"/>
    <w:rsid w:val="00F24666"/>
    <w:rsid w:val="00F32069"/>
    <w:rsid w:val="00F33C8A"/>
    <w:rsid w:val="00F40077"/>
    <w:rsid w:val="00F4378D"/>
    <w:rsid w:val="00F43A1C"/>
    <w:rsid w:val="00F470F3"/>
    <w:rsid w:val="00F54643"/>
    <w:rsid w:val="00F568A1"/>
    <w:rsid w:val="00F57118"/>
    <w:rsid w:val="00F64E52"/>
    <w:rsid w:val="00F74416"/>
    <w:rsid w:val="00F750A9"/>
    <w:rsid w:val="00F77F4A"/>
    <w:rsid w:val="00F92660"/>
    <w:rsid w:val="00F9270F"/>
    <w:rsid w:val="00F976D9"/>
    <w:rsid w:val="00FA2BD8"/>
    <w:rsid w:val="00FA4D7E"/>
    <w:rsid w:val="00FB3B5F"/>
    <w:rsid w:val="00FC56E2"/>
    <w:rsid w:val="00FC7F9B"/>
    <w:rsid w:val="00FD1BF0"/>
    <w:rsid w:val="00FD33AA"/>
    <w:rsid w:val="00FD3C83"/>
    <w:rsid w:val="00FE7A34"/>
    <w:rsid w:val="00FF0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A0CE6"/>
  <w15:docId w15:val="{17084972-F004-4694-8D6D-1E30895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rmalWeb">
    <w:name w:val="Normal (Web)"/>
    <w:basedOn w:val="Normal"/>
    <w:uiPriority w:val="99"/>
    <w:semiHidden/>
    <w:unhideWhenUsed/>
    <w:rsid w:val="00572A3D"/>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 w:type="character" w:customStyle="1" w:styleId="UnresolvedMention1">
    <w:name w:val="Unresolved Mention1"/>
    <w:basedOn w:val="DefaultParagraphFont"/>
    <w:uiPriority w:val="99"/>
    <w:semiHidden/>
    <w:unhideWhenUsed/>
    <w:rsid w:val="0075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ich-q3c-r6-residual-solv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1358</TotalTime>
  <Pages>6</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378</cp:revision>
  <cp:lastPrinted>2017-03-01T05:33:00Z</cp:lastPrinted>
  <dcterms:created xsi:type="dcterms:W3CDTF">2017-03-02T05:04:00Z</dcterms:created>
  <dcterms:modified xsi:type="dcterms:W3CDTF">2022-01-18T23:38:00Z</dcterms:modified>
</cp:coreProperties>
</file>