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458D94A3" w:rsidR="006768E9" w:rsidRPr="00F447A7" w:rsidRDefault="00C80638" w:rsidP="00C80638">
      <w:pPr>
        <w:spacing w:after="0"/>
        <w:jc w:val="center"/>
        <w:rPr>
          <w:rFonts w:ascii="Times New Roman" w:hAnsi="Times New Roman"/>
          <w:noProof/>
          <w:sz w:val="28"/>
          <w:szCs w:val="28"/>
          <w:lang w:bidi="ar-SA"/>
        </w:rPr>
      </w:pPr>
      <w:r w:rsidRPr="00C80638">
        <w:rPr>
          <w:rFonts w:ascii="Times New Roman" w:hAnsi="Times New Roman"/>
          <w:noProof/>
          <w:sz w:val="28"/>
          <w:szCs w:val="28"/>
          <w:lang w:bidi="ar-SA"/>
        </w:rPr>
        <w:t>MEASUREMENT OF SOLVENT PROPERTIES USING KAMLET-TAFT</w:t>
      </w:r>
      <w:r w:rsidR="007654B2">
        <w:rPr>
          <w:rFonts w:ascii="Times New Roman" w:hAnsi="Times New Roman"/>
          <w:noProof/>
          <w:sz w:val="28"/>
          <w:szCs w:val="28"/>
          <w:lang w:bidi="ar-SA"/>
        </w:rPr>
        <w:t xml:space="preserve"> </w:t>
      </w:r>
      <w:r w:rsidRPr="00C80638">
        <w:rPr>
          <w:rFonts w:ascii="Times New Roman" w:hAnsi="Times New Roman"/>
          <w:noProof/>
          <w:sz w:val="28"/>
          <w:szCs w:val="28"/>
          <w:lang w:bidi="ar-SA"/>
        </w:rPr>
        <w:t>APPROACH FOR APPLICATION IN SYNTHESIS</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3BB10812" w:rsidR="006768E9" w:rsidRPr="007654B2" w:rsidRDefault="00C80638" w:rsidP="007654B2">
      <w:pPr>
        <w:spacing w:after="0"/>
        <w:jc w:val="center"/>
        <w:rPr>
          <w:rFonts w:ascii="Times New Roman" w:hAnsi="Times New Roman"/>
          <w:bCs/>
          <w:noProof/>
          <w:sz w:val="24"/>
          <w:szCs w:val="24"/>
          <w:lang w:bidi="ar-SA"/>
        </w:rPr>
      </w:pPr>
      <w:r w:rsidRPr="00C80638">
        <w:rPr>
          <w:rFonts w:ascii="Times New Roman" w:hAnsi="Times New Roman"/>
          <w:noProof/>
          <w:sz w:val="24"/>
          <w:szCs w:val="24"/>
          <w:lang w:bidi="ar-SA"/>
        </w:rPr>
        <w:t>(</w:t>
      </w:r>
      <w:r w:rsidRPr="00C80638">
        <w:rPr>
          <w:rFonts w:ascii="Times New Roman" w:hAnsi="Times New Roman"/>
          <w:bCs/>
          <w:noProof/>
          <w:sz w:val="24"/>
          <w:szCs w:val="24"/>
          <w:lang w:bidi="ar-SA"/>
        </w:rPr>
        <w:t>Pengukuran Sifat Pelarut Menggunakan Pendekatan Kamlet-Taft untuk Penggunaan dalam Sintesis</w:t>
      </w:r>
      <w:r w:rsidRPr="00C80638">
        <w:rPr>
          <w:rFonts w:ascii="Times New Roman" w:hAnsi="Times New Roman"/>
          <w:noProof/>
          <w:sz w:val="24"/>
          <w:szCs w:val="24"/>
          <w:lang w:bidi="ar-SA"/>
        </w:rPr>
        <w:t>)</w:t>
      </w:r>
    </w:p>
    <w:p w14:paraId="4A07C562" w14:textId="67FE700D" w:rsidR="006768E9" w:rsidRDefault="006768E9" w:rsidP="002B412F">
      <w:pPr>
        <w:spacing w:after="0"/>
        <w:jc w:val="center"/>
        <w:rPr>
          <w:rFonts w:ascii="Times New Roman" w:hAnsi="Times New Roman"/>
          <w:noProof/>
          <w:sz w:val="20"/>
          <w:szCs w:val="20"/>
          <w:lang w:bidi="ar-SA"/>
        </w:rPr>
      </w:pPr>
    </w:p>
    <w:p w14:paraId="35624265" w14:textId="77777777" w:rsidR="00642EA8" w:rsidRPr="00642EA8" w:rsidRDefault="00642EA8" w:rsidP="00642EA8">
      <w:pPr>
        <w:spacing w:after="0"/>
        <w:jc w:val="center"/>
        <w:rPr>
          <w:rFonts w:ascii="Times New Roman" w:hAnsi="Times New Roman"/>
          <w:noProof/>
          <w:sz w:val="20"/>
          <w:szCs w:val="20"/>
          <w:lang w:bidi="ar-SA"/>
        </w:rPr>
      </w:pPr>
      <w:r w:rsidRPr="00642EA8">
        <w:rPr>
          <w:rFonts w:ascii="Times New Roman" w:hAnsi="Times New Roman"/>
          <w:noProof/>
          <w:sz w:val="20"/>
          <w:szCs w:val="20"/>
          <w:lang w:bidi="ar-SA"/>
        </w:rPr>
        <w:t>Tariqul Islam</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A. B. M. Helal Uddin</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Sahena Ferdosh</w:t>
      </w:r>
      <w:r w:rsidRPr="00642EA8">
        <w:rPr>
          <w:rFonts w:ascii="Times New Roman" w:hAnsi="Times New Roman"/>
          <w:noProof/>
          <w:sz w:val="20"/>
          <w:szCs w:val="20"/>
          <w:vertAlign w:val="superscript"/>
          <w:lang w:bidi="ar-SA"/>
        </w:rPr>
        <w:t>2</w:t>
      </w:r>
      <w:r w:rsidRPr="00642EA8">
        <w:rPr>
          <w:rFonts w:ascii="Times New Roman" w:hAnsi="Times New Roman"/>
          <w:noProof/>
          <w:sz w:val="20"/>
          <w:szCs w:val="20"/>
          <w:lang w:bidi="ar-SA"/>
        </w:rPr>
        <w:t>, Md. Zaidul Islam Sarker</w:t>
      </w:r>
      <w:r w:rsidRPr="00642EA8">
        <w:rPr>
          <w:rFonts w:ascii="Times New Roman" w:hAnsi="Times New Roman"/>
          <w:noProof/>
          <w:sz w:val="20"/>
          <w:szCs w:val="20"/>
          <w:vertAlign w:val="superscript"/>
          <w:lang w:bidi="ar-SA"/>
        </w:rPr>
        <w:t>1,3</w:t>
      </w:r>
      <w:r w:rsidRPr="007654B2">
        <w:rPr>
          <w:rFonts w:ascii="Times New Roman" w:hAnsi="Times New Roman"/>
          <w:noProof/>
          <w:sz w:val="20"/>
          <w:szCs w:val="20"/>
          <w:lang w:bidi="ar-SA"/>
        </w:rPr>
        <w:t>*</w:t>
      </w:r>
    </w:p>
    <w:p w14:paraId="271D9823" w14:textId="77777777" w:rsidR="00642EA8" w:rsidRPr="007654B2" w:rsidRDefault="00642EA8" w:rsidP="002B412F">
      <w:pPr>
        <w:spacing w:after="0"/>
        <w:jc w:val="center"/>
        <w:rPr>
          <w:rFonts w:ascii="Times New Roman" w:hAnsi="Times New Roman"/>
          <w:noProof/>
          <w:sz w:val="18"/>
          <w:szCs w:val="18"/>
          <w:lang w:bidi="ar-SA"/>
        </w:rPr>
      </w:pPr>
    </w:p>
    <w:p w14:paraId="000036EC" w14:textId="0EC4A76F"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1</w:t>
      </w:r>
      <w:r w:rsidRPr="007654B2">
        <w:rPr>
          <w:rFonts w:ascii="Times New Roman" w:hAnsi="Times New Roman"/>
          <w:i/>
          <w:noProof/>
          <w:sz w:val="18"/>
          <w:szCs w:val="18"/>
          <w:lang w:bidi="ar-SA"/>
        </w:rPr>
        <w:t>Faculty of Pharmacy</w:t>
      </w:r>
    </w:p>
    <w:p w14:paraId="0FBD806F" w14:textId="30740686"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2</w:t>
      </w:r>
      <w:r w:rsidRPr="007654B2">
        <w:rPr>
          <w:rFonts w:ascii="Times New Roman" w:hAnsi="Times New Roman"/>
          <w:i/>
          <w:noProof/>
          <w:sz w:val="18"/>
          <w:szCs w:val="18"/>
          <w:lang w:bidi="ar-SA"/>
        </w:rPr>
        <w:t>Faculty of Science</w:t>
      </w:r>
    </w:p>
    <w:p w14:paraId="73F4CD8E" w14:textId="77777777" w:rsidR="00C80638" w:rsidRPr="007654B2" w:rsidRDefault="00C80638" w:rsidP="00C80638">
      <w:pPr>
        <w:spacing w:after="0"/>
        <w:jc w:val="center"/>
        <w:rPr>
          <w:rFonts w:ascii="Times New Roman" w:hAnsi="Times New Roman"/>
          <w:b/>
          <w:i/>
          <w:noProof/>
          <w:sz w:val="18"/>
          <w:szCs w:val="18"/>
          <w:lang w:bidi="ar-SA"/>
        </w:rPr>
      </w:pPr>
      <w:r w:rsidRPr="007654B2">
        <w:rPr>
          <w:rFonts w:ascii="Times New Roman" w:hAnsi="Times New Roman"/>
          <w:i/>
          <w:noProof/>
          <w:sz w:val="18"/>
          <w:szCs w:val="18"/>
          <w:lang w:bidi="ar-SA"/>
        </w:rPr>
        <w:t>International Islamic University Malaysia, 25200 Kuantan, Pahang, Malaysia</w:t>
      </w:r>
      <w:r w:rsidRPr="007654B2">
        <w:rPr>
          <w:rFonts w:ascii="Times New Roman" w:hAnsi="Times New Roman"/>
          <w:b/>
          <w:i/>
          <w:noProof/>
          <w:sz w:val="18"/>
          <w:szCs w:val="18"/>
          <w:lang w:bidi="ar-SA"/>
        </w:rPr>
        <w:t xml:space="preserve"> </w:t>
      </w:r>
    </w:p>
    <w:p w14:paraId="117EB960"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3</w:t>
      </w:r>
      <w:r w:rsidRPr="007654B2">
        <w:rPr>
          <w:rFonts w:ascii="Times New Roman" w:hAnsi="Times New Roman"/>
          <w:i/>
          <w:noProof/>
          <w:sz w:val="18"/>
          <w:szCs w:val="18"/>
          <w:lang w:bidi="ar-SA"/>
        </w:rPr>
        <w:t xml:space="preserve">Food Science Program, </w:t>
      </w:r>
    </w:p>
    <w:p w14:paraId="459A43DC"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Northern Marianas College, 501250, Saipan MP 96950, USA</w:t>
      </w:r>
    </w:p>
    <w:p w14:paraId="4A2A1A4D" w14:textId="77777777" w:rsidR="00C80638" w:rsidRPr="007654B2" w:rsidRDefault="00C80638" w:rsidP="00C80638">
      <w:pPr>
        <w:spacing w:after="0"/>
        <w:jc w:val="center"/>
        <w:rPr>
          <w:rFonts w:ascii="Times New Roman" w:hAnsi="Times New Roman"/>
          <w:b/>
          <w:noProof/>
          <w:sz w:val="18"/>
          <w:szCs w:val="18"/>
          <w:lang w:bidi="ar-SA"/>
        </w:rPr>
      </w:pPr>
    </w:p>
    <w:p w14:paraId="4C3FCB79" w14:textId="3B36FF65"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*Corresponding author:</w:t>
      </w:r>
      <w:r w:rsidR="007654B2">
        <w:rPr>
          <w:rFonts w:ascii="Times New Roman" w:hAnsi="Times New Roman"/>
          <w:i/>
          <w:noProof/>
          <w:sz w:val="18"/>
          <w:szCs w:val="18"/>
          <w:lang w:bidi="ar-SA"/>
        </w:rPr>
        <w:t xml:space="preserve">  </w:t>
      </w:r>
      <w:r w:rsidRPr="007654B2">
        <w:rPr>
          <w:rFonts w:ascii="Times New Roman" w:hAnsi="Times New Roman"/>
          <w:i/>
          <w:noProof/>
          <w:sz w:val="18"/>
          <w:szCs w:val="18"/>
          <w:lang w:bidi="ar-SA"/>
        </w:rPr>
        <w:t>mdzaidul.sarker@marianas.edu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22465C9" w:rsidR="00BA1F7B" w:rsidRDefault="00BA1F7B" w:rsidP="002B412F">
      <w:pPr>
        <w:spacing w:after="0"/>
        <w:jc w:val="center"/>
        <w:rPr>
          <w:rFonts w:ascii="Times New Roman" w:hAnsi="Times New Roman"/>
          <w:noProof/>
          <w:sz w:val="18"/>
          <w:szCs w:val="18"/>
          <w:lang w:bidi="ar-SA"/>
        </w:rPr>
      </w:pPr>
      <w:r w:rsidRPr="00C4098F">
        <w:rPr>
          <w:rFonts w:ascii="Times New Roman" w:hAnsi="Times New Roman"/>
          <w:noProof/>
          <w:sz w:val="18"/>
          <w:szCs w:val="18"/>
          <w:lang w:bidi="ar-SA"/>
        </w:rPr>
        <w:t xml:space="preserve">Received: </w:t>
      </w:r>
      <w:r w:rsidR="00C4098F" w:rsidRPr="00C4098F">
        <w:rPr>
          <w:rFonts w:ascii="Times New Roman" w:hAnsi="Times New Roman"/>
          <w:noProof/>
          <w:sz w:val="18"/>
          <w:szCs w:val="18"/>
          <w:lang w:bidi="ar-SA"/>
        </w:rPr>
        <w:t>31 August 2021</w:t>
      </w:r>
      <w:r w:rsidRPr="00C4098F">
        <w:rPr>
          <w:rFonts w:ascii="Times New Roman" w:hAnsi="Times New Roman"/>
          <w:noProof/>
          <w:sz w:val="18"/>
          <w:szCs w:val="18"/>
          <w:lang w:bidi="ar-SA"/>
        </w:rPr>
        <w:t xml:space="preserve">; Accepted: </w:t>
      </w:r>
      <w:r w:rsidR="00C4098F" w:rsidRPr="00C4098F">
        <w:rPr>
          <w:rFonts w:ascii="Times New Roman" w:hAnsi="Times New Roman"/>
          <w:noProof/>
          <w:sz w:val="18"/>
          <w:szCs w:val="18"/>
          <w:lang w:bidi="ar-SA"/>
        </w:rPr>
        <w:t>11 January 2022</w:t>
      </w:r>
      <w:r w:rsidR="00F82059" w:rsidRPr="00C4098F">
        <w:rPr>
          <w:rFonts w:ascii="Times New Roman" w:hAnsi="Times New Roman"/>
          <w:noProof/>
          <w:sz w:val="18"/>
          <w:szCs w:val="18"/>
          <w:lang w:bidi="ar-SA"/>
        </w:rPr>
        <w:t>; Published</w:t>
      </w:r>
      <w:r w:rsidR="00F82059" w:rsidRPr="00B32171">
        <w:rPr>
          <w:rFonts w:ascii="Times New Roman" w:hAnsi="Times New Roman"/>
          <w:noProof/>
          <w:sz w:val="18"/>
          <w:szCs w:val="18"/>
          <w:lang w:bidi="ar-SA"/>
        </w:rPr>
        <w:t>:</w:t>
      </w:r>
      <w:r w:rsidR="00F82059">
        <w:rPr>
          <w:rFonts w:ascii="Times New Roman" w:hAnsi="Times New Roman"/>
          <w:noProof/>
          <w:sz w:val="18"/>
          <w:szCs w:val="18"/>
          <w:lang w:bidi="ar-SA"/>
        </w:rPr>
        <w:t xml:space="preserve">  </w:t>
      </w:r>
      <w:r w:rsidR="00C4098F">
        <w:rPr>
          <w:rFonts w:ascii="Times New Roman" w:hAnsi="Times New Roman"/>
          <w:noProof/>
          <w:sz w:val="18"/>
          <w:szCs w:val="18"/>
          <w:lang w:bidi="ar-SA"/>
        </w:rPr>
        <w:t>xx February 2022</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64737ED0"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C70BC14" w14:textId="77777777" w:rsidR="00C80638" w:rsidRPr="00C80638" w:rsidRDefault="00C80638" w:rsidP="00C80638">
      <w:pPr>
        <w:spacing w:after="0"/>
        <w:jc w:val="both"/>
        <w:rPr>
          <w:rFonts w:ascii="Times New Roman" w:hAnsi="Times New Roman"/>
          <w:noProof/>
          <w:sz w:val="18"/>
          <w:szCs w:val="18"/>
          <w:lang w:bidi="ar-SA"/>
        </w:rPr>
      </w:pPr>
      <w:r w:rsidRPr="00C80638">
        <w:rPr>
          <w:rFonts w:ascii="Times New Roman" w:hAnsi="Times New Roman"/>
          <w:noProof/>
          <w:sz w:val="18"/>
          <w:szCs w:val="18"/>
          <w:lang w:bidi="ar-SA"/>
        </w:rPr>
        <w:t xml:space="preserve">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presented the possibility for the replacement/limitation of dipolar aprotic solvent in drug synthesis by solvent-pair mixture where the Kamlet-Taft (KT) parameter worked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parameter was a simplified approach to determine which mixture can bind with active pharmaceutical ingredients (API) that is indicated by KT solvatochromic properties and solvent classification. </w:t>
      </w:r>
    </w:p>
    <w:p w14:paraId="5D50361B" w14:textId="77777777" w:rsidR="006768E9" w:rsidRPr="00F447A7" w:rsidRDefault="006768E9" w:rsidP="002B412F">
      <w:pPr>
        <w:spacing w:after="0"/>
        <w:jc w:val="center"/>
        <w:rPr>
          <w:rFonts w:ascii="Times New Roman" w:hAnsi="Times New Roman"/>
          <w:noProof/>
          <w:sz w:val="18"/>
          <w:szCs w:val="18"/>
          <w:lang w:bidi="ar-SA"/>
        </w:rPr>
      </w:pPr>
    </w:p>
    <w:p w14:paraId="04A37E33" w14:textId="28D3F23E" w:rsidR="008A3758" w:rsidRPr="007654B2" w:rsidRDefault="006768E9" w:rsidP="007654B2">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7654B2">
        <w:rPr>
          <w:rFonts w:ascii="Times New Roman" w:hAnsi="Times New Roman"/>
          <w:noProof/>
          <w:sz w:val="18"/>
          <w:szCs w:val="18"/>
          <w:lang w:bidi="ar-SA"/>
        </w:rPr>
        <w:t xml:space="preserve"> </w:t>
      </w:r>
      <w:r w:rsidR="00C80638" w:rsidRPr="00C1299C">
        <w:rPr>
          <w:rFonts w:ascii="Times New Roman" w:hAnsi="Times New Roman"/>
          <w:sz w:val="18"/>
          <w:szCs w:val="18"/>
        </w:rPr>
        <w:t>Kamlet-Taft parameters, hazardous solvent, solvent-pair mixture, dipolar aprotic solvent, drug synthesis</w:t>
      </w:r>
    </w:p>
    <w:p w14:paraId="4F1BD299" w14:textId="77777777" w:rsidR="008A3758" w:rsidRDefault="008A3758" w:rsidP="002B412F">
      <w:pPr>
        <w:spacing w:after="0"/>
        <w:jc w:val="center"/>
        <w:rPr>
          <w:rFonts w:ascii="Times New Roman" w:hAnsi="Times New Roman"/>
          <w:b/>
          <w:noProof/>
          <w:sz w:val="18"/>
          <w:szCs w:val="18"/>
          <w:lang w:bidi="ar-SA"/>
        </w:rPr>
      </w:pPr>
    </w:p>
    <w:p w14:paraId="45F7F5C9" w14:textId="0F2D1218"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46E2A1C0" w14:textId="77777777" w:rsidR="00C80638" w:rsidRPr="00C80638" w:rsidRDefault="00C80638" w:rsidP="00C80638">
      <w:pPr>
        <w:spacing w:after="0"/>
        <w:jc w:val="both"/>
        <w:rPr>
          <w:rFonts w:ascii="Times New Roman" w:hAnsi="Times New Roman"/>
          <w:noProof/>
          <w:sz w:val="18"/>
          <w:szCs w:val="18"/>
          <w:lang w:val="ms-MY" w:bidi="ar-SA"/>
        </w:rPr>
      </w:pPr>
      <w:r w:rsidRPr="00C80638">
        <w:rPr>
          <w:rFonts w:ascii="Times New Roman" w:hAnsi="Times New Roman"/>
          <w:noProof/>
          <w:sz w:val="18"/>
          <w:szCs w:val="18"/>
          <w:lang w:val="ms-MY" w:bidi="ar-SA"/>
        </w:rPr>
        <w:t xml:space="preserve">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w:t>
      </w:r>
      <w:r w:rsidRPr="00C80638">
        <w:rPr>
          <w:rFonts w:ascii="Times New Roman" w:hAnsi="Times New Roman"/>
          <w:noProof/>
          <w:sz w:val="18"/>
          <w:szCs w:val="18"/>
          <w:lang w:val="ms-MY" w:bidi="ar-SA"/>
        </w:rPr>
        <w:lastRenderedPageBreak/>
        <w:t>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27F5FE65" w14:textId="77777777" w:rsidR="006768E9" w:rsidRPr="00F447A7" w:rsidRDefault="006768E9" w:rsidP="002B412F">
      <w:pPr>
        <w:spacing w:after="0"/>
        <w:jc w:val="center"/>
        <w:rPr>
          <w:rFonts w:ascii="Times New Roman" w:hAnsi="Times New Roman"/>
          <w:noProof/>
          <w:sz w:val="18"/>
          <w:szCs w:val="18"/>
          <w:lang w:bidi="ar-SA"/>
        </w:rPr>
      </w:pPr>
    </w:p>
    <w:p w14:paraId="232D2563" w14:textId="2C2786D4"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C80638">
        <w:rPr>
          <w:rFonts w:ascii="Times New Roman" w:hAnsi="Times New Roman"/>
          <w:noProof/>
          <w:sz w:val="18"/>
          <w:szCs w:val="18"/>
          <w:lang w:bidi="ar-SA"/>
        </w:rPr>
        <w:t xml:space="preserve"> </w:t>
      </w:r>
      <w:r w:rsidR="00B32171">
        <w:rPr>
          <w:rFonts w:ascii="Times New Roman" w:hAnsi="Times New Roman"/>
          <w:noProof/>
          <w:sz w:val="18"/>
          <w:szCs w:val="18"/>
          <w:lang w:bidi="ar-SA"/>
        </w:rPr>
        <w:t xml:space="preserve"> </w:t>
      </w:r>
      <w:r w:rsidR="007654B2">
        <w:rPr>
          <w:rFonts w:ascii="Times New Roman" w:hAnsi="Times New Roman"/>
          <w:noProof/>
          <w:sz w:val="18"/>
          <w:szCs w:val="18"/>
          <w:lang w:val="ms-MY"/>
        </w:rPr>
        <w:t>p</w:t>
      </w:r>
      <w:r w:rsidR="00C80638" w:rsidRPr="001F0AB2">
        <w:rPr>
          <w:rFonts w:ascii="Times New Roman" w:hAnsi="Times New Roman"/>
          <w:noProof/>
          <w:sz w:val="18"/>
          <w:szCs w:val="18"/>
          <w:lang w:val="ms-MY"/>
        </w:rPr>
        <w:t>arameter Kamlet-Taft, pelarut berbahaya, campuran pasangan pelarut, pelarut aprotik dipolar, sintesis ubat</w:t>
      </w:r>
      <w:r w:rsidR="00F447A7">
        <w:rPr>
          <w:rFonts w:ascii="Times New Roman" w:hAnsi="Times New Roman"/>
          <w:noProof/>
          <w:sz w:val="18"/>
          <w:szCs w:val="18"/>
          <w:lang w:bidi="ar-SA"/>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05FDF69" w14:textId="77777777" w:rsidR="00AA69F2" w:rsidRDefault="00AA69F2" w:rsidP="002B412F">
      <w:pPr>
        <w:spacing w:after="0"/>
        <w:jc w:val="center"/>
        <w:rPr>
          <w:rFonts w:ascii="Times New Roman" w:hAnsi="Times New Roman"/>
          <w:b/>
          <w:noProof/>
          <w:sz w:val="20"/>
          <w:szCs w:val="20"/>
          <w:lang w:bidi="ar-SA"/>
        </w:rPr>
      </w:pPr>
    </w:p>
    <w:p w14:paraId="45CCC9F3" w14:textId="25E9AB5D" w:rsidR="00B32171" w:rsidRDefault="00B32171" w:rsidP="002B412F">
      <w:pPr>
        <w:spacing w:after="0"/>
        <w:jc w:val="center"/>
        <w:rPr>
          <w:rFonts w:ascii="Times New Roman" w:hAnsi="Times New Roman"/>
          <w:b/>
          <w:noProof/>
          <w:sz w:val="20"/>
          <w:szCs w:val="20"/>
          <w:lang w:bidi="ar-SA"/>
        </w:rPr>
        <w:sectPr w:rsidR="00B32171"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3E6D6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4E7431B" w14:textId="02A619CC"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In 1976, Kamlet and Taft introduced a model to measure the solvatochromic properties, known as Kamlet-Taft parameters [1]. In 1997, Marcus brought some modifications in the measurement of KT parameters [2]. Various equations and indicators were used to calculate the KT parameters (KT acidity, KT basicity, and KT polarity) so that the appropriate result is obtained by averaging [3]. The most used indicators were N, N-dimethyl-4-nitroaniline, 4-nitro anisole, and N,N-dimethyl-3-nitro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for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π* value;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4-nitroaniline, 4-nitrophenol, 4-aminoacetophenone and (tetramethyl</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ethylenediamine)(acetylacetonato)copper(II)</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perchlorate for β value; Cis-bis-(1,10-phenan</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throline)dicyanoiron(II), 2,6-dichloro-4-(2,4,6-triphenyl-1-pyridinio) phenolate, and 2,6-diphenyl-4-(2, 4, 6-tripheny-1-pyridinio) phenoxide/ phenolate for α value. The indicators were utilized in KT measurement because their UV variations are higher than the UV-Vis cutoff (310 nm) of the cyclic ketone [4]. In analysis, many specific equations are used to calculate the KT parameters that were prepared based on the indicators [2,5], and the concentration of the indicator greatly affects the result [6].</w:t>
      </w:r>
    </w:p>
    <w:p w14:paraId="370604D4" w14:textId="77777777" w:rsidR="00C80638" w:rsidRPr="00C80638" w:rsidRDefault="00C80638" w:rsidP="00C80638">
      <w:pPr>
        <w:spacing w:after="0"/>
        <w:jc w:val="both"/>
        <w:rPr>
          <w:rFonts w:ascii="Times New Roman" w:hAnsi="Times New Roman"/>
          <w:noProof/>
          <w:sz w:val="20"/>
          <w:szCs w:val="20"/>
          <w:lang w:bidi="ar-SA"/>
        </w:rPr>
      </w:pPr>
    </w:p>
    <w:p w14:paraId="7CF3FE52" w14:textId="77777777"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val="en-MY" w:bidi="ar-SA"/>
        </w:rPr>
        <w:t xml:space="preserve">Solvents are categorized into four major types; recommended, problematic, hazardous, and highly </w:t>
      </w:r>
      <w:r w:rsidRPr="00C80638">
        <w:rPr>
          <w:rFonts w:ascii="Times New Roman" w:hAnsi="Times New Roman"/>
          <w:noProof/>
          <w:sz w:val="20"/>
          <w:szCs w:val="20"/>
          <w:lang w:val="en-MY" w:bidi="ar-SA"/>
        </w:rPr>
        <w:t xml:space="preserve">hazardous based on health, safety, environment, and global harmonized system (GHS) hazards statements </w:t>
      </w:r>
      <w:r w:rsidRPr="00C80638">
        <w:rPr>
          <w:rFonts w:ascii="Times New Roman" w:hAnsi="Times New Roman"/>
          <w:noProof/>
          <w:sz w:val="20"/>
          <w:szCs w:val="20"/>
          <w:lang w:bidi="ar-SA"/>
        </w:rPr>
        <w:t>[7]. Most used solvents are hazardous as per the recommendation of the international conference on harmonization (ICH), Pfizer, GSK, and Sanofi [8,9], as shown in Table 1. Recently, KT parameters have been used to investigate the replacement/limitation of hazardous solvents using solvent-pair mixtures in synthetic chemistry. Most of the HBD-HBA solvent mixtures exhibit as solvent of recommended and problematic category [7,10,11], they can be applied in API [4,11] and non-API chemical [5,12,13] synthesis. The maximum use of safe solvents can minimize the health risks and negative impacts on the environment, which can be the most effective way to limit the use of hazardous solvents [14-17]. However, many methods; KT solvatochromic parameters using COSMO-RS [18], KT parameters using solvate ionic liquids [19] were more complex. Taking into consideration the advancement of the KT parameters in synthetic chemistry, the measurement technique has been simplified for determining the solvatochromic parameters. The 16 solvent-pair mixtures and 10 pure solvents were analyzed to determine the probability of application in replacing dipolar aprotic solvents (dimethylformamide, dimethylacetamide, N-methyl-2-pyrrolidone, pyridine etc.).</w:t>
      </w:r>
    </w:p>
    <w:p w14:paraId="5C6C4DC3" w14:textId="48F82A56" w:rsidR="00B32171" w:rsidRDefault="00B32171" w:rsidP="00AA69F2">
      <w:pPr>
        <w:spacing w:after="0"/>
        <w:rPr>
          <w:rFonts w:ascii="Times New Roman" w:hAnsi="Times New Roman"/>
          <w:noProof/>
          <w:sz w:val="20"/>
          <w:szCs w:val="20"/>
          <w:lang w:bidi="ar-SA"/>
        </w:rPr>
        <w:sectPr w:rsidR="00B32171" w:rsidSect="00AA69F2">
          <w:type w:val="continuous"/>
          <w:pgSz w:w="12240" w:h="15840" w:code="1"/>
          <w:pgMar w:top="1800" w:right="1469" w:bottom="1699" w:left="1440" w:header="706" w:footer="706" w:gutter="0"/>
          <w:pgNumType w:start="1"/>
          <w:cols w:num="2" w:space="403"/>
          <w:docGrid w:linePitch="360"/>
        </w:sectPr>
      </w:pPr>
    </w:p>
    <w:p w14:paraId="533A03D7" w14:textId="77777777" w:rsidR="00B32171" w:rsidRDefault="00B32171" w:rsidP="0025785B">
      <w:pPr>
        <w:jc w:val="center"/>
        <w:rPr>
          <w:rFonts w:ascii="Times New Roman" w:hAnsi="Times New Roman"/>
          <w:noProof/>
          <w:sz w:val="20"/>
          <w:szCs w:val="20"/>
          <w:lang w:bidi="ar-SA"/>
        </w:rPr>
      </w:pPr>
    </w:p>
    <w:p w14:paraId="16C52779" w14:textId="77777777" w:rsidR="00B32171" w:rsidRDefault="00B32171" w:rsidP="0025785B">
      <w:pPr>
        <w:jc w:val="center"/>
        <w:rPr>
          <w:rFonts w:ascii="Times New Roman" w:hAnsi="Times New Roman"/>
          <w:noProof/>
          <w:sz w:val="20"/>
          <w:szCs w:val="20"/>
          <w:lang w:bidi="ar-SA"/>
        </w:rPr>
      </w:pPr>
    </w:p>
    <w:p w14:paraId="43DB3B11" w14:textId="24881843" w:rsidR="00AA69F2" w:rsidRPr="00C80638" w:rsidRDefault="0025785B" w:rsidP="00B32171">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 xml:space="preserve">Table 1. </w:t>
      </w:r>
      <w:r w:rsidR="00B32171">
        <w:rPr>
          <w:rFonts w:ascii="Times New Roman" w:hAnsi="Times New Roman"/>
          <w:noProof/>
          <w:sz w:val="20"/>
          <w:szCs w:val="20"/>
          <w:lang w:bidi="ar-SA"/>
        </w:rPr>
        <w:t xml:space="preserve"> </w:t>
      </w:r>
      <w:r w:rsidRPr="00C80638">
        <w:rPr>
          <w:rFonts w:ascii="Times New Roman" w:hAnsi="Times New Roman"/>
          <w:noProof/>
          <w:sz w:val="20"/>
          <w:szCs w:val="20"/>
          <w:lang w:bidi="ar-SA"/>
        </w:rPr>
        <w:t>Recommendation from Pfizer, GSK, Sanofi, and ICH regarding the use of the following solvents</w:t>
      </w:r>
    </w:p>
    <w:tbl>
      <w:tblPr>
        <w:tblW w:w="8815" w:type="dxa"/>
        <w:jc w:val="center"/>
        <w:tblLayout w:type="fixed"/>
        <w:tblCellMar>
          <w:left w:w="0" w:type="dxa"/>
          <w:right w:w="0" w:type="dxa"/>
        </w:tblCellMar>
        <w:tblLook w:val="0420" w:firstRow="1" w:lastRow="0" w:firstColumn="0" w:lastColumn="0" w:noHBand="0" w:noVBand="1"/>
      </w:tblPr>
      <w:tblGrid>
        <w:gridCol w:w="2276"/>
        <w:gridCol w:w="1279"/>
        <w:gridCol w:w="1422"/>
        <w:gridCol w:w="2262"/>
        <w:gridCol w:w="1576"/>
      </w:tblGrid>
      <w:tr w:rsidR="00C80638" w:rsidRPr="00B32171" w14:paraId="1C18D9D9" w14:textId="77777777" w:rsidTr="00B32171">
        <w:trPr>
          <w:trHeight w:val="251"/>
          <w:jc w:val="center"/>
        </w:trPr>
        <w:tc>
          <w:tcPr>
            <w:tcW w:w="2276" w:type="dxa"/>
            <w:vMerge w:val="restart"/>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0FE74D8A"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Most Used Organic</w:t>
            </w:r>
          </w:p>
          <w:p w14:paraId="37966121"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Solvents</w:t>
            </w:r>
          </w:p>
        </w:tc>
        <w:tc>
          <w:tcPr>
            <w:tcW w:w="6539" w:type="dxa"/>
            <w:gridSpan w:val="4"/>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F18F918" w14:textId="77777777" w:rsidR="00C80638" w:rsidRPr="00B32171" w:rsidRDefault="00C80638" w:rsidP="00B822E7">
            <w:pPr>
              <w:spacing w:after="0" w:line="240" w:lineRule="auto"/>
              <w:jc w:val="center"/>
              <w:rPr>
                <w:rFonts w:ascii="Times New Roman" w:hAnsi="Times New Roman"/>
                <w:noProof/>
                <w:sz w:val="20"/>
                <w:szCs w:val="20"/>
                <w:lang w:bidi="ar-SA"/>
              </w:rPr>
            </w:pPr>
            <w:r w:rsidRPr="00B32171">
              <w:rPr>
                <w:rFonts w:ascii="Times New Roman" w:hAnsi="Times New Roman"/>
                <w:b/>
                <w:bCs/>
                <w:noProof/>
                <w:sz w:val="20"/>
                <w:szCs w:val="20"/>
                <w:lang w:bidi="ar-SA"/>
              </w:rPr>
              <w:t>Concern in Use (Comment)</w:t>
            </w:r>
          </w:p>
        </w:tc>
      </w:tr>
      <w:tr w:rsidR="00C80638" w:rsidRPr="00B32171" w14:paraId="07A1DAEB" w14:textId="77777777" w:rsidTr="00B32171">
        <w:trPr>
          <w:trHeight w:val="197"/>
          <w:jc w:val="center"/>
        </w:trPr>
        <w:tc>
          <w:tcPr>
            <w:tcW w:w="2276" w:type="dxa"/>
            <w:vMerge/>
            <w:tcBorders>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6A224B" w14:textId="77777777" w:rsidR="00C80638" w:rsidRPr="00B32171" w:rsidRDefault="00C80638" w:rsidP="00B822E7">
            <w:pPr>
              <w:spacing w:after="0" w:line="240" w:lineRule="auto"/>
              <w:rPr>
                <w:rFonts w:ascii="Times New Roman" w:hAnsi="Times New Roman"/>
                <w:noProof/>
                <w:sz w:val="20"/>
                <w:szCs w:val="20"/>
                <w:lang w:bidi="ar-SA"/>
              </w:rPr>
            </w:pPr>
          </w:p>
        </w:tc>
        <w:tc>
          <w:tcPr>
            <w:tcW w:w="12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2B23D2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Pfizer</w:t>
            </w:r>
          </w:p>
        </w:tc>
        <w:tc>
          <w:tcPr>
            <w:tcW w:w="142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E1244B"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GSK</w:t>
            </w:r>
          </w:p>
        </w:tc>
        <w:tc>
          <w:tcPr>
            <w:tcW w:w="226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A39FA6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Sanofi</w:t>
            </w:r>
          </w:p>
        </w:tc>
        <w:tc>
          <w:tcPr>
            <w:tcW w:w="157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48A9AC"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ICH</w:t>
            </w:r>
          </w:p>
        </w:tc>
      </w:tr>
      <w:tr w:rsidR="00C80638" w:rsidRPr="00B32171" w14:paraId="79B6F592" w14:textId="77777777" w:rsidTr="0025785B">
        <w:trPr>
          <w:trHeight w:val="211"/>
          <w:jc w:val="center"/>
        </w:trPr>
        <w:tc>
          <w:tcPr>
            <w:tcW w:w="22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581C05"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Dimethylformamide </w:t>
            </w:r>
          </w:p>
          <w:p w14:paraId="3A37E3ED"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(DMF)</w:t>
            </w:r>
          </w:p>
        </w:tc>
        <w:tc>
          <w:tcPr>
            <w:tcW w:w="127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D2FDB7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002E19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995E9C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73725E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636F389B" w14:textId="77777777" w:rsidTr="0025785B">
        <w:trPr>
          <w:trHeight w:val="20"/>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AF7C82A"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Dimethylacetamide </w:t>
            </w:r>
          </w:p>
          <w:p w14:paraId="0EC6E3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(DMAC)</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F09E38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96B5A03"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68EB2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211E44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401CED7A"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DB70B8"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N-methyl-2-pyrrolidone(NMP)</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980179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5C00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77524B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0E353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02E2BD0"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0CF4161"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Dichloromethane </w:t>
            </w:r>
          </w:p>
          <w:p w14:paraId="1A0BFAD6"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(DCM)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8A299F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0FA6C3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6EDC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AD875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CEF19C6"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53932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Chloroform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F41B2D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7689E4"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C94DB0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A458C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7692211"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BC72F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1,4-Dioxane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93EDE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11ADE9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EDACDC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15339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6658DA7"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4CA37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Pyridine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227FC6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30AABA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B68BE6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5E3D6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3CC8066F" w14:textId="77777777" w:rsidTr="0025785B">
        <w:trPr>
          <w:trHeight w:val="154"/>
          <w:jc w:val="center"/>
        </w:trPr>
        <w:tc>
          <w:tcPr>
            <w:tcW w:w="22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0F80A39"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Diisopropyl ether </w:t>
            </w:r>
          </w:p>
          <w:p w14:paraId="66ACFC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(IPE)</w:t>
            </w:r>
          </w:p>
        </w:tc>
        <w:tc>
          <w:tcPr>
            <w:tcW w:w="127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5572C40"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4961C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638D08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A5B97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Unknown</w:t>
            </w:r>
          </w:p>
        </w:tc>
      </w:tr>
    </w:tbl>
    <w:p w14:paraId="682AC24E" w14:textId="77777777" w:rsidR="006768E9" w:rsidRPr="00F447A7" w:rsidRDefault="006768E9" w:rsidP="002B412F">
      <w:pPr>
        <w:spacing w:after="0"/>
        <w:jc w:val="center"/>
        <w:rPr>
          <w:rFonts w:ascii="Times New Roman" w:hAnsi="Times New Roman"/>
          <w:noProof/>
          <w:sz w:val="20"/>
          <w:szCs w:val="20"/>
          <w:lang w:bidi="ar-SA"/>
        </w:rPr>
      </w:pPr>
    </w:p>
    <w:p w14:paraId="475FA071" w14:textId="77777777" w:rsidR="00AA69F2" w:rsidRDefault="00AA69F2" w:rsidP="002B412F">
      <w:pPr>
        <w:spacing w:after="0"/>
        <w:jc w:val="center"/>
        <w:rPr>
          <w:rFonts w:ascii="Times New Roman" w:hAnsi="Times New Roman"/>
          <w:bCs/>
          <w:noProof/>
          <w:sz w:val="20"/>
          <w:szCs w:val="20"/>
          <w:lang w:bidi="ar-SA"/>
        </w:rPr>
      </w:pPr>
    </w:p>
    <w:p w14:paraId="726D5DCC" w14:textId="20FDE5A5" w:rsidR="000D4B54" w:rsidRPr="000D4B54" w:rsidRDefault="000D4B54" w:rsidP="002B412F">
      <w:pPr>
        <w:spacing w:after="0"/>
        <w:jc w:val="center"/>
        <w:rPr>
          <w:rFonts w:ascii="Times New Roman" w:hAnsi="Times New Roman"/>
          <w:bCs/>
          <w:noProof/>
          <w:sz w:val="20"/>
          <w:szCs w:val="20"/>
          <w:lang w:bidi="ar-SA"/>
        </w:rPr>
        <w:sectPr w:rsidR="000D4B54" w:rsidRPr="000D4B54" w:rsidSect="008A3758">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3"/>
          <w:cols w:space="708"/>
          <w:docGrid w:linePitch="360"/>
        </w:sectPr>
      </w:pPr>
    </w:p>
    <w:p w14:paraId="4B6D0B71" w14:textId="5FC3B7C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C6DB3A2"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 xml:space="preserve">Materials </w:t>
      </w:r>
    </w:p>
    <w:p w14:paraId="37910D77" w14:textId="6AD9AD0F"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Analytical reagent (AR) grade methanol (MeOH 99.9%), acetone (Ace 99.8%), tetrahydrofuran (THF 99.8%), dimethyl sulfoxide (DMSO 99.9%), and calcium chloride anhydrous (99.9%) were received from Merck KGaA, Germany. Ethanol (EtOH 99.8%) was purchased from HmbG chemicals, Malaysia. HPLC grade acetonitrile (ACN 99.99%), AR grade dichloromethane (DCM 99.9%) were purchased from QREC (Asia), Malaysia. AR grade dimethylformamide (DMF 99.99%), and isopropyl alcohol (iPrOH 99.99%) were received from Fisher Scientific, UK. Three solvatochromic indicators were purchased: N, N-dimethyl-4-nitroaniline 98% as indicator 1 from Alfa Aesar through Permula chemicals, Malaysia; 4-nitro</w:t>
      </w:r>
      <w:r w:rsidR="000D4B5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99% (Indicator 2) and Reichardt’s dye 90% or 2,6-diphenyl-4-(2,4,6-triphenyl-1-pyridinio) phenolate 90% as indicator 3 from Sigma-Aldrich. To avoid humidity contamination or light degradation, the samples and indicators were weighted cautiously. A microbalance (Brand: Mettler Toledo; model: AX-205) </w:t>
      </w:r>
      <w:r w:rsidRPr="00C80638">
        <w:rPr>
          <w:rFonts w:ascii="Times New Roman" w:hAnsi="Times New Roman"/>
          <w:noProof/>
          <w:sz w:val="20"/>
          <w:szCs w:val="20"/>
          <w:lang w:bidi="ar-SA"/>
        </w:rPr>
        <w:t>was used to prepare the samples by mass with an uncertainty of ±1×10-4 g.</w:t>
      </w:r>
    </w:p>
    <w:p w14:paraId="52BE703C" w14:textId="77777777" w:rsidR="00C80638" w:rsidRPr="00C80638" w:rsidRDefault="00C80638" w:rsidP="00AA69F2">
      <w:pPr>
        <w:spacing w:after="0"/>
        <w:jc w:val="both"/>
        <w:rPr>
          <w:rFonts w:ascii="Times New Roman" w:hAnsi="Times New Roman"/>
          <w:b/>
          <w:noProof/>
          <w:sz w:val="20"/>
          <w:szCs w:val="20"/>
          <w:lang w:bidi="ar-SA"/>
        </w:rPr>
      </w:pPr>
    </w:p>
    <w:p w14:paraId="6EE49E1D"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Analytical condition of KT parameters</w:t>
      </w:r>
    </w:p>
    <w:p w14:paraId="57F3BE15" w14:textId="77777777" w:rsidR="00642EA8" w:rsidRDefault="00C80638" w:rsidP="00AA69F2">
      <w:pPr>
        <w:spacing w:after="0"/>
        <w:jc w:val="both"/>
        <w:rPr>
          <w:rFonts w:ascii="Times New Roman" w:hAnsi="Times New Roman"/>
          <w:bCs/>
          <w:noProof/>
          <w:sz w:val="20"/>
          <w:szCs w:val="20"/>
          <w:lang w:bidi="ar-SA"/>
        </w:rPr>
        <w:sectPr w:rsidR="00642EA8" w:rsidSect="00AA69F2">
          <w:type w:val="continuous"/>
          <w:pgSz w:w="12240" w:h="15840" w:code="1"/>
          <w:pgMar w:top="1800" w:right="1469" w:bottom="1699" w:left="1440" w:header="706" w:footer="706" w:gutter="0"/>
          <w:pgNumType w:start="1"/>
          <w:cols w:num="2" w:space="403"/>
          <w:docGrid w:linePitch="360"/>
        </w:sectPr>
      </w:pPr>
      <w:bookmarkStart w:id="0" w:name="_Hlk85014722"/>
      <w:r w:rsidRPr="00C80638">
        <w:rPr>
          <w:rFonts w:ascii="Times New Roman" w:hAnsi="Times New Roman"/>
          <w:bCs/>
          <w:noProof/>
          <w:sz w:val="20"/>
          <w:szCs w:val="20"/>
          <w:lang w:val="en-MY" w:bidi="ar-SA"/>
        </w:rPr>
        <w:t>Organic solvents were dried to free residual water before analysis using calcium chloride anhydrous</w:t>
      </w:r>
      <w:bookmarkEnd w:id="0"/>
      <w:r w:rsidRPr="00C80638">
        <w:rPr>
          <w:rFonts w:ascii="Times New Roman" w:hAnsi="Times New Roman"/>
          <w:bCs/>
          <w:noProof/>
          <w:sz w:val="20"/>
          <w:szCs w:val="20"/>
          <w:lang w:val="en-MY" w:bidi="ar-SA"/>
        </w:rPr>
        <w:t xml:space="preserve">. </w:t>
      </w:r>
      <w:r w:rsidRPr="00C80638">
        <w:rPr>
          <w:rFonts w:ascii="Times New Roman" w:hAnsi="Times New Roman"/>
          <w:bCs/>
          <w:noProof/>
          <w:sz w:val="20"/>
          <w:szCs w:val="20"/>
          <w:lang w:bidi="ar-SA"/>
        </w:rPr>
        <w:t>Indicator concentration in the solvent was from 0.03 mM to 0.05 mM (for indicator 1 &amp; 2) and 0.1 mM (for indicator 3). The indicator and solvent were mixed properly before analysis to limit a variety of UV absorption to 0.5-1.2. The desired UV spectra of the solution were determined at a resolution of 0.2 nm using a double beam UV-Vis spectrophotometer (Shimadzu, UV-1800). Every UV-Vis spectrum was performed in triplicate. During the UV analysis, the temperature has been controlled at 25±0.1 °C using a temperature controller (Shimadzu, TCC-240A).</w:t>
      </w:r>
    </w:p>
    <w:p w14:paraId="5392A317" w14:textId="77777777" w:rsidR="00C80638" w:rsidRPr="00C80638" w:rsidRDefault="00C80638" w:rsidP="00AA69F2">
      <w:pPr>
        <w:spacing w:after="0"/>
        <w:jc w:val="both"/>
        <w:rPr>
          <w:rFonts w:ascii="Times New Roman" w:hAnsi="Times New Roman"/>
          <w:bCs/>
          <w:noProof/>
          <w:sz w:val="20"/>
          <w:szCs w:val="20"/>
          <w:lang w:val="en-MY" w:bidi="ar-SA"/>
        </w:rPr>
      </w:pPr>
    </w:p>
    <w:p w14:paraId="68B45085" w14:textId="77777777" w:rsidR="00AA69F2" w:rsidRDefault="00AA69F2" w:rsidP="00C80638">
      <w:pPr>
        <w:spacing w:after="0"/>
        <w:jc w:val="center"/>
        <w:rPr>
          <w:rFonts w:ascii="Times New Roman" w:hAnsi="Times New Roman"/>
          <w:noProof/>
          <w:sz w:val="20"/>
          <w:szCs w:val="20"/>
          <w:lang w:bidi="ar-SA"/>
        </w:rPr>
        <w:sectPr w:rsidR="00AA69F2" w:rsidSect="008A3758">
          <w:headerReference w:type="even" r:id="rId17"/>
          <w:headerReference w:type="default" r:id="rId18"/>
          <w:footerReference w:type="even" r:id="rId19"/>
          <w:headerReference w:type="first" r:id="rId20"/>
          <w:type w:val="evenPage"/>
          <w:pgSz w:w="12240" w:h="15840" w:code="1"/>
          <w:pgMar w:top="1800" w:right="1469" w:bottom="1699" w:left="1440" w:header="706" w:footer="706" w:gutter="0"/>
          <w:pgNumType w:start="4"/>
          <w:cols w:num="2" w:space="403"/>
          <w:docGrid w:linePitch="360"/>
        </w:sectPr>
      </w:pPr>
    </w:p>
    <w:p w14:paraId="3B877A34" w14:textId="77777777" w:rsidR="00C80638" w:rsidRPr="00C80638" w:rsidRDefault="00C80638" w:rsidP="000D4B54">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drawing>
          <wp:inline distT="0" distB="0" distL="0" distR="0" wp14:anchorId="4FC76375" wp14:editId="28B380D2">
            <wp:extent cx="5474281" cy="196141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562760" cy="1993119"/>
                    </a:xfrm>
                    <a:prstGeom prst="rect">
                      <a:avLst/>
                    </a:prstGeom>
                    <a:noFill/>
                    <a:ln>
                      <a:noFill/>
                    </a:ln>
                  </pic:spPr>
                </pic:pic>
              </a:graphicData>
            </a:graphic>
          </wp:inline>
        </w:drawing>
      </w:r>
    </w:p>
    <w:p w14:paraId="5767F65B" w14:textId="127A6D24" w:rsidR="00C80638" w:rsidRPr="00B042CE" w:rsidRDefault="00C80638" w:rsidP="00C80638">
      <w:pPr>
        <w:spacing w:after="0"/>
        <w:jc w:val="center"/>
        <w:rPr>
          <w:rFonts w:ascii="Times New Roman" w:hAnsi="Times New Roman"/>
          <w:bCs/>
          <w:noProof/>
          <w:sz w:val="20"/>
          <w:szCs w:val="20"/>
          <w:lang w:bidi="ar-SA"/>
        </w:rPr>
      </w:pPr>
      <w:r w:rsidRPr="00B042CE">
        <w:rPr>
          <w:rFonts w:ascii="Times New Roman" w:hAnsi="Times New Roman"/>
          <w:bCs/>
          <w:noProof/>
          <w:sz w:val="20"/>
          <w:szCs w:val="20"/>
          <w:lang w:bidi="ar-SA"/>
        </w:rPr>
        <w:t xml:space="preserve">Figure 1. </w:t>
      </w:r>
      <w:r w:rsidR="000D4B54">
        <w:rPr>
          <w:rFonts w:ascii="Times New Roman" w:hAnsi="Times New Roman"/>
          <w:bCs/>
          <w:noProof/>
          <w:sz w:val="20"/>
          <w:szCs w:val="20"/>
          <w:lang w:bidi="ar-SA"/>
        </w:rPr>
        <w:t xml:space="preserve"> </w:t>
      </w:r>
      <w:r w:rsidRPr="00B042CE">
        <w:rPr>
          <w:rFonts w:ascii="Times New Roman" w:hAnsi="Times New Roman"/>
          <w:bCs/>
          <w:noProof/>
          <w:sz w:val="20"/>
          <w:szCs w:val="20"/>
          <w:lang w:bidi="ar-SA"/>
        </w:rPr>
        <w:t>Measurement overview of solvatochromic parameters (π*, β, α) using the KT theory</w:t>
      </w:r>
    </w:p>
    <w:p w14:paraId="3F892303" w14:textId="77777777" w:rsidR="00C80638" w:rsidRPr="00C80638" w:rsidRDefault="00C80638" w:rsidP="00C80638">
      <w:pPr>
        <w:spacing w:after="0"/>
        <w:jc w:val="center"/>
        <w:rPr>
          <w:rFonts w:ascii="Times New Roman" w:hAnsi="Times New Roman"/>
          <w:bCs/>
          <w:noProof/>
          <w:sz w:val="20"/>
          <w:szCs w:val="20"/>
          <w:lang w:bidi="ar-SA"/>
        </w:rPr>
      </w:pPr>
    </w:p>
    <w:p w14:paraId="5639B923" w14:textId="77777777" w:rsidR="00DD5CD9" w:rsidRDefault="00DD5CD9" w:rsidP="00AA69F2">
      <w:pPr>
        <w:spacing w:after="0"/>
        <w:jc w:val="both"/>
        <w:rPr>
          <w:rFonts w:ascii="Times New Roman" w:hAnsi="Times New Roman"/>
          <w:b/>
          <w:noProof/>
          <w:sz w:val="20"/>
          <w:szCs w:val="20"/>
          <w:lang w:bidi="ar-SA"/>
        </w:rPr>
      </w:pPr>
    </w:p>
    <w:p w14:paraId="2E076E0B" w14:textId="7DB9A69C" w:rsidR="000D4B54" w:rsidRDefault="000D4B54" w:rsidP="00AA69F2">
      <w:pPr>
        <w:spacing w:after="0"/>
        <w:jc w:val="both"/>
        <w:rPr>
          <w:rFonts w:ascii="Times New Roman" w:hAnsi="Times New Roman"/>
          <w:b/>
          <w:noProof/>
          <w:sz w:val="20"/>
          <w:szCs w:val="20"/>
          <w:lang w:bidi="ar-SA"/>
        </w:rPr>
        <w:sectPr w:rsidR="000D4B54" w:rsidSect="00AA69F2">
          <w:type w:val="continuous"/>
          <w:pgSz w:w="12240" w:h="15840" w:code="1"/>
          <w:pgMar w:top="1800" w:right="1469" w:bottom="1699" w:left="1440" w:header="706" w:footer="706" w:gutter="0"/>
          <w:pgNumType w:start="1"/>
          <w:cols w:space="708"/>
          <w:docGrid w:linePitch="360"/>
        </w:sectPr>
      </w:pPr>
    </w:p>
    <w:p w14:paraId="4A62D640"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Measurement equation of KT parameters</w:t>
      </w:r>
    </w:p>
    <w:p w14:paraId="4CC2433F" w14:textId="2F3BC05A"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Three solvatochromic parameters i.e., KT polarity, KT basicity, and KT acidity were measured according to the original approach of KT theory using three equations (equation S1 to equation S3) [3,4]. The absorption wavenumber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from the highest wavelength value of the analytical sample was converted into KiloKaiser unit (1KK = 1000 cm</w:t>
      </w:r>
      <w:r w:rsidRPr="00C80638">
        <w:rPr>
          <w:rFonts w:ascii="Times New Roman" w:hAnsi="Times New Roman"/>
          <w:bCs/>
          <w:noProof/>
          <w:sz w:val="20"/>
          <w:szCs w:val="20"/>
          <w:vertAlign w:val="superscript"/>
          <w:lang w:bidi="ar-SA"/>
        </w:rPr>
        <w:t>-1</w:t>
      </w:r>
      <w:r w:rsidRPr="00C80638">
        <w:rPr>
          <w:rFonts w:ascii="Times New Roman" w:hAnsi="Times New Roman"/>
          <w:bCs/>
          <w:noProof/>
          <w:sz w:val="20"/>
          <w:szCs w:val="20"/>
          <w:lang w:bidi="ar-SA"/>
        </w:rPr>
        <w:t>) to calculate the equations</w:t>
      </w:r>
      <w:r w:rsidR="00DD5CD9">
        <w:rPr>
          <w:rFonts w:ascii="Times New Roman" w:hAnsi="Times New Roman"/>
          <w:bCs/>
          <w:noProof/>
          <w:sz w:val="20"/>
          <w:szCs w:val="20"/>
          <w:lang w:bidi="ar-SA"/>
        </w:rPr>
        <w:t xml:space="preserve"> (1-3)</w:t>
      </w:r>
      <w:r w:rsidRPr="00C80638">
        <w:rPr>
          <w:rFonts w:ascii="Times New Roman" w:hAnsi="Times New Roman"/>
          <w:bCs/>
          <w:noProof/>
          <w:sz w:val="20"/>
          <w:szCs w:val="20"/>
          <w:lang w:bidi="ar-SA"/>
        </w:rPr>
        <w:t xml:space="preserve">. </w:t>
      </w:r>
    </w:p>
    <w:p w14:paraId="73CF9EFF" w14:textId="77777777" w:rsidR="00C80638" w:rsidRPr="00C80638" w:rsidRDefault="00C80638" w:rsidP="00C80638">
      <w:pPr>
        <w:spacing w:after="0"/>
        <w:jc w:val="center"/>
        <w:rPr>
          <w:rFonts w:ascii="Times New Roman" w:hAnsi="Times New Roman"/>
          <w:bCs/>
          <w:noProof/>
          <w:sz w:val="20"/>
          <w:szCs w:val="20"/>
          <w:lang w:bidi="ar-SA"/>
        </w:rPr>
      </w:pPr>
    </w:p>
    <w:p w14:paraId="7F13A4EE"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
          <w:noProof/>
          <w:sz w:val="20"/>
          <w:szCs w:val="20"/>
          <w:lang w:bidi="ar-SA"/>
        </w:rPr>
        <w:t>Statistical analysis</w:t>
      </w:r>
    </w:p>
    <w:p w14:paraId="2FAB27E3"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Experimental results were expressed as mean (n = 3) with uncertainty values and the data was analyzed using ANOVA and Dunnett's t-test in SPSS (version 20). *P values of 0.05 or less were regarded as significant.</w:t>
      </w:r>
    </w:p>
    <w:p w14:paraId="51C32C99" w14:textId="77777777" w:rsidR="006768E9" w:rsidRPr="00F447A7" w:rsidRDefault="006768E9" w:rsidP="00AA69F2">
      <w:pPr>
        <w:spacing w:after="0"/>
        <w:jc w:val="both"/>
        <w:rPr>
          <w:rFonts w:ascii="Times New Roman" w:hAnsi="Times New Roman"/>
          <w:noProof/>
          <w:sz w:val="20"/>
          <w:szCs w:val="20"/>
          <w:lang w:bidi="ar-SA"/>
        </w:rPr>
      </w:pPr>
    </w:p>
    <w:p w14:paraId="4792DC26" w14:textId="64EEB9A2" w:rsidR="006768E9" w:rsidRPr="00F447A7" w:rsidRDefault="006768E9" w:rsidP="00B82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93161A8" w14:textId="4C31938E"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values of the measured wavenumbers (Vmax) and the obtained KT parameters have been expressed in Table 2 and Table 3. The absorbance range was established among the samples confined within 0.5 to 1.2. A total of ten pure solvents were analyzed to determine π*, β, and α. At the same time, sixteen mixed (HBD-HBA) solvents were also analyzed, involving eight aqueous and eight non-aqueous solvent pairs. </w:t>
      </w:r>
      <w:bookmarkStart w:id="1" w:name="_Hlk82209698"/>
      <w:r w:rsidRPr="00C80638">
        <w:rPr>
          <w:rFonts w:ascii="Times New Roman" w:hAnsi="Times New Roman"/>
          <w:noProof/>
          <w:sz w:val="20"/>
          <w:szCs w:val="20"/>
          <w:lang w:bidi="ar-SA"/>
        </w:rPr>
        <w:t>In pure solvents, EtOH, 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 xml:space="preserve">O, iPrOH showed a high KT acidity and low KT polarity, whereas, DCM, ACN showed a low KT basicity. On the other hand, Ace, ACN, DMSO, DMF, and THF showed low acidity. In other words, the recommended solvents showed a high KT acidity, low KT basicity, and low KT polarity. In </w:t>
      </w:r>
      <w:r w:rsidRPr="00C80638">
        <w:rPr>
          <w:rFonts w:ascii="Times New Roman" w:hAnsi="Times New Roman"/>
          <w:noProof/>
          <w:sz w:val="20"/>
          <w:szCs w:val="20"/>
          <w:lang w:bidi="ar-SA"/>
        </w:rPr>
        <w:t>contrast, maximum problematic and hazardous solvents showed low KT acidity, high KT basicity, and high KT polarity except for DCM, iPrOH, and MeOH. Almost similar</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 findings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have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been reported in the literature [20, 21]. </w:t>
      </w:r>
      <w:bookmarkEnd w:id="1"/>
    </w:p>
    <w:p w14:paraId="767C601E" w14:textId="77777777" w:rsidR="00C80638" w:rsidRPr="00C80638" w:rsidRDefault="00C80638" w:rsidP="00AA69F2">
      <w:pPr>
        <w:spacing w:after="0"/>
        <w:jc w:val="both"/>
        <w:rPr>
          <w:rFonts w:ascii="Times New Roman" w:hAnsi="Times New Roman"/>
          <w:noProof/>
          <w:sz w:val="20"/>
          <w:szCs w:val="20"/>
          <w:lang w:bidi="ar-SA"/>
        </w:rPr>
      </w:pPr>
    </w:p>
    <w:p w14:paraId="14A329F2" w14:textId="2F4D2C9B" w:rsidR="00DD5CD9"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Among the 16 mixed solvents, only four solvent mixtures i.e.,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EtOH-DMSO were exhibited as recommended solvents, and the other 12 solvent mixtures were demonstrated as problematic in which 5 solvent mixtures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EtOH-Ace, MeOH-Ace,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showed as near to recommended solvent, as shown in Table 4. </w:t>
      </w:r>
      <w:bookmarkStart w:id="2" w:name="_Hlk82209633"/>
      <w:r w:rsidRPr="00C80638">
        <w:rPr>
          <w:rFonts w:ascii="Times New Roman" w:hAnsi="Times New Roman"/>
          <w:noProof/>
          <w:sz w:val="20"/>
          <w:szCs w:val="20"/>
          <w:lang w:bidi="ar-SA"/>
        </w:rPr>
        <w:t>Eight aqueous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 and two non-aqueous solvent mixtures (EtOH-DMF, EtOH-DMSO) showed a low KT acidity, low KT basicity, and high KT polarity. On the contrary, other non-aqueous solvent mixtures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EtOH-Ace, EtOH-THF, MeOH-Ace, MeOH-DMF, MeOH-THF) showed a high KT acidity, low KT polarity, and low KT basicity, tabulated (Table 3). Similar results were found in the literature and previous work [6,11,12]. </w:t>
      </w:r>
      <w:bookmarkEnd w:id="2"/>
      <w:r w:rsidRPr="00C80638">
        <w:rPr>
          <w:rFonts w:ascii="Times New Roman" w:hAnsi="Times New Roman"/>
          <w:noProof/>
          <w:sz w:val="20"/>
          <w:szCs w:val="20"/>
          <w:lang w:bidi="ar-SA"/>
        </w:rPr>
        <w:t>The solvent ranking was required for the application of mixed solvents that was prepared based on the GSK2016 and Innovative Medicines Initiative CHEM21 (IMI-CHEM21) solvent selection guideline [22]. The ranking of mixed solvents was ascertained from the minimum value of the GSK health and safety scores of HBA solvent using the equation (</w:t>
      </w:r>
      <w:r w:rsidR="00DD5CD9">
        <w:rPr>
          <w:rFonts w:ascii="Times New Roman" w:hAnsi="Times New Roman"/>
          <w:noProof/>
          <w:sz w:val="20"/>
          <w:szCs w:val="20"/>
          <w:lang w:bidi="ar-SA"/>
        </w:rPr>
        <w:t>S</w:t>
      </w:r>
      <w:r w:rsidRPr="00C80638">
        <w:rPr>
          <w:rFonts w:ascii="Times New Roman" w:hAnsi="Times New Roman"/>
          <w:noProof/>
          <w:sz w:val="20"/>
          <w:szCs w:val="20"/>
          <w:lang w:bidi="ar-SA"/>
        </w:rPr>
        <w:t>4) [22].</w:t>
      </w:r>
    </w:p>
    <w:p w14:paraId="57AD5FA5"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lastRenderedPageBreak/>
        <w:t>Prat et al.  and Byrne et al. stated that the commonly used solvents in drug synthesis and processing are hazardous, such as DMF, DMSO, NMP, DMAC, and pyridine, which are from dipolar aprotic solvents (HBA). IMI-CHEM21, GSK, Pfizer, ICH guidelines suggested that those solvents should be substituted/limited with safe solvents due to their toxic activities [7-9]. American Chemical Society (ACS) and Green Chemistry Institute (GCI) were investigating to replace such solvents in synthetic chemistry [23]. Duereh et al. stated that API has both HBD and HBA sites and dipolar aprotic (HBA) solvents have low KT acidity, high KT basicity, and high KT polarity. HBA solvents could easily create a strong chemical binding with the HBD site of API for these chemical properties [5].</w:t>
      </w:r>
    </w:p>
    <w:p w14:paraId="313B2E29" w14:textId="77777777" w:rsidR="00D662D7" w:rsidRDefault="00D662D7" w:rsidP="00D662D7">
      <w:pPr>
        <w:spacing w:after="0"/>
        <w:jc w:val="both"/>
        <w:rPr>
          <w:rFonts w:ascii="Times New Roman" w:hAnsi="Times New Roman"/>
          <w:noProof/>
          <w:sz w:val="20"/>
          <w:szCs w:val="20"/>
          <w:lang w:bidi="ar-SA"/>
        </w:rPr>
      </w:pPr>
    </w:p>
    <w:p w14:paraId="46669FFA"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Duereh et al. studied with 52 solvent mixtures and they reported that combinations of HBD-HBA allow the </w:t>
      </w:r>
      <w:r w:rsidRPr="00C80638">
        <w:rPr>
          <w:rFonts w:ascii="Times New Roman" w:hAnsi="Times New Roman"/>
          <w:noProof/>
          <w:sz w:val="20"/>
          <w:szCs w:val="20"/>
          <w:lang w:bidi="ar-SA"/>
        </w:rPr>
        <w:t>binding with API because solvent mixtures show low KT acidity, high KT basicity, and high KT polarity properties. For that, the solvent mixture can be used for the replacement of dipolar aprotic solvent. Although strong binding with API depends on physicochemical properties of solvent mixture. All mixtures who exhibited low KT acidity and high KT basicity, they are also capable to bind with the HBD site of API, can be selected for drug synthesis [4, 11, 13]. The solvent ranking was prepared to know which mixture is hazardous or p</w:t>
      </w:r>
      <w:r w:rsidRPr="00C80638">
        <w:rPr>
          <w:rFonts w:ascii="Times New Roman" w:hAnsi="Times New Roman" w:hint="eastAsia"/>
          <w:noProof/>
          <w:sz w:val="20"/>
          <w:szCs w:val="20"/>
          <w:lang w:bidi="ar-SA"/>
        </w:rPr>
        <w:t xml:space="preserve">roblematic and which is recommended before being applied in synthesis. However, pure recommended solvents typically showed high acidity that is not capable to bind with the API. Therefore, when the solvent-pair mixtures </w:t>
      </w:r>
      <w:r w:rsidRPr="00C80638">
        <w:rPr>
          <w:rFonts w:ascii="Times New Roman" w:hAnsi="Times New Roman"/>
          <w:noProof/>
          <w:sz w:val="20"/>
          <w:szCs w:val="20"/>
          <w:lang w:bidi="ar-SA"/>
        </w:rPr>
        <w:t xml:space="preserve">show </w:t>
      </w:r>
      <w:r w:rsidRPr="00C80638">
        <w:rPr>
          <w:rFonts w:ascii="Times New Roman" w:hAnsi="Times New Roman" w:hint="eastAsia"/>
          <w:noProof/>
          <w:sz w:val="20"/>
          <w:szCs w:val="20"/>
          <w:lang w:bidi="ar-SA"/>
        </w:rPr>
        <w:t>low KT acidity (α ≈ 0), high KT</w:t>
      </w:r>
      <w:r w:rsidRPr="00C80638">
        <w:rPr>
          <w:rFonts w:ascii="Times New Roman" w:hAnsi="Times New Roman"/>
          <w:noProof/>
          <w:sz w:val="20"/>
          <w:szCs w:val="20"/>
          <w:lang w:bidi="ar-SA"/>
        </w:rPr>
        <w:t xml:space="preserve"> basicity (β &gt; 0.6), and high KT polarity (π* &gt; 0.6), they offer a strong binding with the API [3, 11]. </w:t>
      </w:r>
    </w:p>
    <w:p w14:paraId="6E155C35" w14:textId="528CE5D4" w:rsidR="00151873" w:rsidRDefault="00151873" w:rsidP="00AA69F2">
      <w:pPr>
        <w:spacing w:after="0"/>
        <w:jc w:val="both"/>
        <w:rPr>
          <w:rFonts w:ascii="Times New Roman" w:hAnsi="Times New Roman"/>
          <w:noProof/>
          <w:sz w:val="20"/>
          <w:szCs w:val="20"/>
          <w:lang w:bidi="ar-SA"/>
        </w:rPr>
        <w:sectPr w:rsidR="00151873" w:rsidSect="00DD5CD9">
          <w:footerReference w:type="default" r:id="rId23"/>
          <w:type w:val="continuous"/>
          <w:pgSz w:w="12240" w:h="15840" w:code="1"/>
          <w:pgMar w:top="1800" w:right="1469" w:bottom="1699" w:left="1440" w:header="706" w:footer="706" w:gutter="0"/>
          <w:pgNumType w:start="1"/>
          <w:cols w:num="2" w:space="403"/>
          <w:docGrid w:linePitch="360"/>
        </w:sectPr>
      </w:pPr>
    </w:p>
    <w:p w14:paraId="565C76F8" w14:textId="77777777" w:rsidR="00D662D7" w:rsidRDefault="00D662D7" w:rsidP="00B822E7">
      <w:pPr>
        <w:spacing w:after="0"/>
        <w:ind w:firstLine="547"/>
        <w:rPr>
          <w:rFonts w:ascii="Times New Roman" w:hAnsi="Times New Roman"/>
          <w:noProof/>
          <w:sz w:val="20"/>
          <w:szCs w:val="20"/>
          <w:lang w:bidi="ar-SA"/>
        </w:rPr>
      </w:pPr>
    </w:p>
    <w:p w14:paraId="06EB83D3" w14:textId="77777777" w:rsidR="00D662D7" w:rsidRDefault="00D662D7" w:rsidP="00B822E7">
      <w:pPr>
        <w:spacing w:after="0"/>
        <w:ind w:firstLine="547"/>
        <w:rPr>
          <w:rFonts w:ascii="Times New Roman" w:hAnsi="Times New Roman"/>
          <w:noProof/>
          <w:sz w:val="20"/>
          <w:szCs w:val="20"/>
          <w:lang w:bidi="ar-SA"/>
        </w:rPr>
      </w:pPr>
    </w:p>
    <w:p w14:paraId="6D57B2E4" w14:textId="344CF1F8"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1: </w:t>
      </w:r>
      <w:r w:rsidRPr="00C80638">
        <w:rPr>
          <w:rFonts w:ascii="Times New Roman" w:hAnsi="Times New Roman"/>
          <w:noProof/>
          <w:sz w:val="20"/>
          <w:szCs w:val="20"/>
          <w:lang w:bidi="ar-SA"/>
        </w:rPr>
        <w:tab/>
        <w:t xml:space="preserve">Polarity (π*) = (28.10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3.52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(1)</w:t>
      </w:r>
    </w:p>
    <w:p w14:paraId="5876C24C" w14:textId="77777777"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2: </w:t>
      </w:r>
      <w:r w:rsidRPr="00C80638">
        <w:rPr>
          <w:rFonts w:ascii="Times New Roman" w:hAnsi="Times New Roman"/>
          <w:noProof/>
          <w:sz w:val="20"/>
          <w:szCs w:val="20"/>
          <w:lang w:bidi="ar-SA"/>
        </w:rPr>
        <w:tab/>
        <w:t>Basicity (β) = (0.984</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+ 3.49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max2</w:t>
      </w:r>
      <w:r w:rsidRPr="00C80638">
        <w:rPr>
          <w:rFonts w:ascii="Times New Roman" w:hAnsi="Times New Roman"/>
          <w:noProof/>
          <w:sz w:val="20"/>
          <w:szCs w:val="20"/>
          <w:lang w:bidi="ar-SA"/>
        </w:rPr>
        <w:t xml:space="preserve">) / 2.759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(2)</w:t>
      </w:r>
    </w:p>
    <w:p w14:paraId="50371CC6" w14:textId="1245BBF5" w:rsidR="00DD5CD9"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3: </w:t>
      </w:r>
      <w:r w:rsidRPr="00C80638">
        <w:rPr>
          <w:rFonts w:ascii="Times New Roman" w:hAnsi="Times New Roman"/>
          <w:noProof/>
          <w:sz w:val="20"/>
          <w:szCs w:val="20"/>
          <w:lang w:bidi="ar-SA"/>
        </w:rPr>
        <w:tab/>
        <w:t>Acidity (α) = (1.318</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47.7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max3</w:t>
      </w:r>
      <w:r w:rsidRPr="00C80638">
        <w:rPr>
          <w:rFonts w:ascii="Times New Roman" w:hAnsi="Times New Roman"/>
          <w:noProof/>
          <w:sz w:val="20"/>
          <w:szCs w:val="20"/>
          <w:lang w:bidi="ar-SA"/>
        </w:rPr>
        <w:t xml:space="preserve">) / 5.47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(3)</w:t>
      </w:r>
    </w:p>
    <w:p w14:paraId="18487043" w14:textId="77777777" w:rsidR="00DD5CD9" w:rsidRDefault="00DD5CD9" w:rsidP="00DD5CD9">
      <w:pPr>
        <w:spacing w:after="0"/>
        <w:jc w:val="center"/>
        <w:rPr>
          <w:rFonts w:ascii="Times New Roman" w:hAnsi="Times New Roman"/>
          <w:noProof/>
          <w:sz w:val="20"/>
          <w:szCs w:val="20"/>
          <w:lang w:bidi="ar-SA"/>
        </w:rPr>
      </w:pPr>
    </w:p>
    <w:p w14:paraId="7BD2C344" w14:textId="13FED632" w:rsidR="00C80638" w:rsidRPr="00C80638" w:rsidRDefault="00C80638" w:rsidP="00642EA8">
      <w:pPr>
        <w:spacing w:after="0"/>
        <w:ind w:left="540"/>
        <w:rPr>
          <w:rFonts w:ascii="Times New Roman" w:hAnsi="Times New Roman"/>
          <w:noProof/>
          <w:sz w:val="20"/>
          <w:szCs w:val="20"/>
          <w:lang w:bidi="ar-SA"/>
        </w:rPr>
      </w:pPr>
      <w:r w:rsidRPr="00C80638">
        <w:rPr>
          <w:rFonts w:ascii="Times New Roman" w:hAnsi="Times New Roman" w:hint="eastAsia"/>
          <w:noProof/>
          <w:sz w:val="20"/>
          <w:szCs w:val="20"/>
          <w:lang w:bidi="ar-SA"/>
        </w:rPr>
        <w:t>Composite score = √</w:t>
      </w:r>
      <w:r w:rsidRPr="00C80638">
        <w:rPr>
          <w:rFonts w:ascii="Times New Roman" w:hAnsi="Times New Roman"/>
          <w:noProof/>
          <w:sz w:val="20"/>
          <w:szCs w:val="20"/>
          <w:lang w:bidi="ar-SA"/>
        </w:rPr>
        <w:t xml:space="preserve"> (</w:t>
      </w:r>
      <w:r w:rsidRPr="00C80638">
        <w:rPr>
          <w:rFonts w:ascii="Times New Roman" w:hAnsi="Times New Roman" w:hint="eastAsia"/>
          <w:noProof/>
          <w:sz w:val="20"/>
          <w:szCs w:val="20"/>
          <w:lang w:bidi="ar-SA"/>
        </w:rPr>
        <w:t>Safety score x Health score)</w:t>
      </w:r>
      <w:r w:rsidRPr="00C80638">
        <w:rPr>
          <w:rFonts w:ascii="Times New Roman" w:hAnsi="Times New Roman" w:hint="eastAsia"/>
          <w:noProof/>
          <w:sz w:val="20"/>
          <w:szCs w:val="20"/>
          <w:lang w:bidi="ar-SA"/>
        </w:rPr>
        <w:tab/>
      </w:r>
      <w:r w:rsidR="00642EA8">
        <w:rPr>
          <w:rFonts w:ascii="Times New Roman" w:hAnsi="Times New Roman"/>
          <w:noProof/>
          <w:sz w:val="20"/>
          <w:szCs w:val="20"/>
          <w:lang w:bidi="ar-SA"/>
        </w:rPr>
        <w:tab/>
      </w:r>
      <w:r w:rsidRPr="00C80638">
        <w:rPr>
          <w:rFonts w:ascii="Times New Roman" w:hAnsi="Times New Roman" w:hint="eastAsia"/>
          <w:noProof/>
          <w:sz w:val="20"/>
          <w:szCs w:val="20"/>
          <w:lang w:bidi="ar-SA"/>
        </w:rPr>
        <w:t xml:space="preserve">      </w:t>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noProof/>
          <w:sz w:val="20"/>
          <w:szCs w:val="20"/>
          <w:lang w:bidi="ar-SA"/>
        </w:rPr>
        <w:t xml:space="preserve">   </w:t>
      </w:r>
      <w:r w:rsidR="00642EA8">
        <w:rPr>
          <w:rFonts w:ascii="Times New Roman" w:hAnsi="Times New Roman"/>
          <w:noProof/>
          <w:sz w:val="20"/>
          <w:szCs w:val="20"/>
          <w:lang w:bidi="ar-SA"/>
        </w:rPr>
        <w:t xml:space="preserve">    </w:t>
      </w:r>
      <w:r w:rsidR="00642EA8">
        <w:rPr>
          <w:rFonts w:ascii="Times New Roman" w:hAnsi="Times New Roman"/>
          <w:noProof/>
          <w:sz w:val="20"/>
          <w:szCs w:val="20"/>
          <w:lang w:bidi="ar-SA"/>
        </w:rPr>
        <w:tab/>
        <w:t xml:space="preserve">   </w:t>
      </w:r>
      <w:r w:rsidRPr="00C80638">
        <w:rPr>
          <w:rFonts w:ascii="Times New Roman" w:hAnsi="Times New Roman" w:hint="eastAsia"/>
          <w:noProof/>
          <w:sz w:val="20"/>
          <w:szCs w:val="20"/>
          <w:lang w:bidi="ar-SA"/>
        </w:rPr>
        <w:t xml:space="preserve">(4) </w:t>
      </w:r>
    </w:p>
    <w:p w14:paraId="5F9A04E8" w14:textId="142CE922" w:rsidR="00C80638" w:rsidRDefault="00C80638" w:rsidP="00C80638">
      <w:pPr>
        <w:spacing w:after="0"/>
        <w:jc w:val="center"/>
        <w:rPr>
          <w:rFonts w:ascii="Times New Roman" w:hAnsi="Times New Roman"/>
          <w:noProof/>
          <w:sz w:val="20"/>
          <w:szCs w:val="20"/>
          <w:lang w:bidi="ar-SA"/>
        </w:rPr>
      </w:pPr>
    </w:p>
    <w:p w14:paraId="19F868AA" w14:textId="77777777" w:rsidR="00D662D7" w:rsidRPr="00C80638" w:rsidRDefault="00D662D7" w:rsidP="00C80638">
      <w:pPr>
        <w:spacing w:after="0"/>
        <w:jc w:val="center"/>
        <w:rPr>
          <w:rFonts w:ascii="Times New Roman" w:hAnsi="Times New Roman"/>
          <w:noProof/>
          <w:sz w:val="20"/>
          <w:szCs w:val="20"/>
          <w:lang w:bidi="ar-SA"/>
        </w:rPr>
      </w:pPr>
    </w:p>
    <w:tbl>
      <w:tblPr>
        <w:tblW w:w="8757" w:type="dxa"/>
        <w:jc w:val="center"/>
        <w:tblLayout w:type="fixed"/>
        <w:tblLook w:val="04A0" w:firstRow="1" w:lastRow="0" w:firstColumn="1" w:lastColumn="0" w:noHBand="0" w:noVBand="1"/>
      </w:tblPr>
      <w:tblGrid>
        <w:gridCol w:w="1023"/>
        <w:gridCol w:w="1594"/>
        <w:gridCol w:w="1077"/>
        <w:gridCol w:w="1522"/>
        <w:gridCol w:w="1094"/>
        <w:gridCol w:w="1494"/>
        <w:gridCol w:w="953"/>
      </w:tblGrid>
      <w:tr w:rsidR="00C80638" w:rsidRPr="00C80638" w14:paraId="50B55E46" w14:textId="77777777" w:rsidTr="00746CCC">
        <w:trPr>
          <w:trHeight w:val="467"/>
          <w:jc w:val="center"/>
        </w:trPr>
        <w:tc>
          <w:tcPr>
            <w:tcW w:w="8757" w:type="dxa"/>
            <w:gridSpan w:val="7"/>
            <w:tcBorders>
              <w:bottom w:val="single" w:sz="4" w:space="0" w:color="auto"/>
            </w:tcBorders>
            <w:shd w:val="clear" w:color="auto" w:fill="auto"/>
          </w:tcPr>
          <w:p w14:paraId="32BB2634" w14:textId="1EEA8417" w:rsidR="00C80638" w:rsidRPr="00C80638" w:rsidRDefault="00C80638" w:rsidP="00B62CCF">
            <w:pPr>
              <w:spacing w:after="120"/>
              <w:ind w:left="691" w:hanging="691"/>
              <w:jc w:val="center"/>
              <w:rPr>
                <w:rFonts w:ascii="Times New Roman" w:hAnsi="Times New Roman"/>
                <w:bCs/>
                <w:noProof/>
                <w:sz w:val="20"/>
                <w:szCs w:val="20"/>
                <w:lang w:bidi="ar-SA"/>
              </w:rPr>
            </w:pPr>
            <w:r w:rsidRPr="00C80638">
              <w:rPr>
                <w:rFonts w:ascii="Times New Roman" w:hAnsi="Times New Roman"/>
                <w:bCs/>
                <w:noProof/>
                <w:sz w:val="20"/>
                <w:szCs w:val="20"/>
                <w:lang w:bidi="ar-SA"/>
              </w:rPr>
              <w:t>Table 2</w:t>
            </w:r>
            <w:r w:rsidR="00B822E7">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The properties of pure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c>
      </w:tr>
      <w:tr w:rsidR="00C80638" w:rsidRPr="00C80638" w14:paraId="0C5EDC41" w14:textId="77777777" w:rsidTr="00746CCC">
        <w:trPr>
          <w:trHeight w:val="609"/>
          <w:jc w:val="center"/>
        </w:trPr>
        <w:tc>
          <w:tcPr>
            <w:tcW w:w="1023" w:type="dxa"/>
            <w:vMerge w:val="restart"/>
            <w:tcBorders>
              <w:top w:val="single" w:sz="4" w:space="0" w:color="auto"/>
            </w:tcBorders>
            <w:shd w:val="clear" w:color="auto" w:fill="auto"/>
            <w:vAlign w:val="center"/>
          </w:tcPr>
          <w:p w14:paraId="58EE84E9" w14:textId="77777777" w:rsidR="00C80638" w:rsidRPr="00C80638" w:rsidRDefault="00C80638" w:rsidP="00223E27">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Solvent</w:t>
            </w:r>
          </w:p>
        </w:tc>
        <w:tc>
          <w:tcPr>
            <w:tcW w:w="1594" w:type="dxa"/>
            <w:tcBorders>
              <w:top w:val="single" w:sz="4" w:space="0" w:color="auto"/>
              <w:bottom w:val="single" w:sz="4" w:space="0" w:color="auto"/>
            </w:tcBorders>
            <w:shd w:val="clear" w:color="auto" w:fill="auto"/>
            <w:vAlign w:val="center"/>
          </w:tcPr>
          <w:p w14:paraId="516DC48C"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B1A09E5"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1077" w:type="dxa"/>
            <w:tcBorders>
              <w:top w:val="single" w:sz="4" w:space="0" w:color="auto"/>
              <w:bottom w:val="single" w:sz="4" w:space="0" w:color="auto"/>
            </w:tcBorders>
            <w:shd w:val="clear" w:color="auto" w:fill="auto"/>
            <w:vAlign w:val="center"/>
          </w:tcPr>
          <w:p w14:paraId="30FA8AA2"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16A526D2"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522" w:type="dxa"/>
            <w:tcBorders>
              <w:top w:val="single" w:sz="4" w:space="0" w:color="auto"/>
              <w:bottom w:val="single" w:sz="4" w:space="0" w:color="auto"/>
            </w:tcBorders>
            <w:shd w:val="clear" w:color="auto" w:fill="auto"/>
            <w:vAlign w:val="center"/>
          </w:tcPr>
          <w:p w14:paraId="58CF0215"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188FB786"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1094" w:type="dxa"/>
            <w:tcBorders>
              <w:top w:val="single" w:sz="4" w:space="0" w:color="auto"/>
              <w:bottom w:val="single" w:sz="4" w:space="0" w:color="auto"/>
            </w:tcBorders>
            <w:shd w:val="clear" w:color="auto" w:fill="auto"/>
            <w:vAlign w:val="center"/>
          </w:tcPr>
          <w:p w14:paraId="5C8045A0"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3FFC02F0"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94" w:type="dxa"/>
            <w:tcBorders>
              <w:top w:val="single" w:sz="4" w:space="0" w:color="auto"/>
              <w:bottom w:val="single" w:sz="4" w:space="0" w:color="auto"/>
            </w:tcBorders>
            <w:shd w:val="clear" w:color="auto" w:fill="auto"/>
            <w:vAlign w:val="center"/>
          </w:tcPr>
          <w:p w14:paraId="420975AC" w14:textId="77777777" w:rsidR="00C80638" w:rsidRPr="00C80638" w:rsidRDefault="00C80638" w:rsidP="00B822E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FF42212" w14:textId="77777777" w:rsidR="00C80638" w:rsidRPr="00C80638" w:rsidRDefault="00C80638" w:rsidP="00B822E7">
            <w:pPr>
              <w:spacing w:after="0" w:line="240" w:lineRule="auto"/>
              <w:jc w:val="center"/>
              <w:rPr>
                <w:rFonts w:ascii="Times New Roman" w:hAnsi="Times New Roman"/>
                <w:b/>
                <w:noProof/>
                <w:sz w:val="20"/>
                <w:szCs w:val="20"/>
                <w:lang w:bidi="ar-SA"/>
              </w:rPr>
            </w:pPr>
          </w:p>
        </w:tc>
        <w:tc>
          <w:tcPr>
            <w:tcW w:w="953" w:type="dxa"/>
            <w:tcBorders>
              <w:top w:val="single" w:sz="4" w:space="0" w:color="auto"/>
              <w:bottom w:val="single" w:sz="4" w:space="0" w:color="auto"/>
            </w:tcBorders>
            <w:shd w:val="clear" w:color="auto" w:fill="auto"/>
            <w:vAlign w:val="center"/>
          </w:tcPr>
          <w:p w14:paraId="53CBFD88"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3CA20F3" w14:textId="77777777" w:rsidR="00C80638" w:rsidRPr="00C80638" w:rsidRDefault="00C80638" w:rsidP="00B822E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38854A85" w14:textId="77777777" w:rsidTr="00746CCC">
        <w:trPr>
          <w:trHeight w:val="318"/>
          <w:jc w:val="center"/>
        </w:trPr>
        <w:tc>
          <w:tcPr>
            <w:tcW w:w="1023" w:type="dxa"/>
            <w:vMerge/>
            <w:tcBorders>
              <w:bottom w:val="single" w:sz="4" w:space="0" w:color="auto"/>
            </w:tcBorders>
            <w:shd w:val="clear" w:color="auto" w:fill="auto"/>
            <w:vAlign w:val="center"/>
          </w:tcPr>
          <w:p w14:paraId="2E345227" w14:textId="77777777" w:rsidR="00C80638" w:rsidRPr="00C80638" w:rsidRDefault="00C80638" w:rsidP="00223E27">
            <w:pPr>
              <w:spacing w:after="0" w:line="240" w:lineRule="auto"/>
              <w:rPr>
                <w:rFonts w:ascii="Times New Roman" w:hAnsi="Times New Roman"/>
                <w:b/>
                <w:noProof/>
                <w:sz w:val="20"/>
                <w:szCs w:val="20"/>
                <w:lang w:bidi="ar-SA"/>
              </w:rPr>
            </w:pPr>
          </w:p>
        </w:tc>
        <w:tc>
          <w:tcPr>
            <w:tcW w:w="1594" w:type="dxa"/>
            <w:tcBorders>
              <w:top w:val="single" w:sz="4" w:space="0" w:color="auto"/>
              <w:bottom w:val="single" w:sz="4" w:space="0" w:color="auto"/>
            </w:tcBorders>
            <w:shd w:val="clear" w:color="auto" w:fill="auto"/>
            <w:vAlign w:val="center"/>
          </w:tcPr>
          <w:p w14:paraId="28405FE9"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77" w:type="dxa"/>
            <w:tcBorders>
              <w:top w:val="single" w:sz="4" w:space="0" w:color="auto"/>
              <w:bottom w:val="single" w:sz="4" w:space="0" w:color="auto"/>
            </w:tcBorders>
            <w:shd w:val="clear" w:color="auto" w:fill="auto"/>
            <w:vAlign w:val="center"/>
          </w:tcPr>
          <w:p w14:paraId="48AC3AE5"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22" w:type="dxa"/>
            <w:tcBorders>
              <w:top w:val="single" w:sz="4" w:space="0" w:color="auto"/>
              <w:bottom w:val="single" w:sz="4" w:space="0" w:color="auto"/>
            </w:tcBorders>
            <w:shd w:val="clear" w:color="auto" w:fill="auto"/>
            <w:vAlign w:val="center"/>
          </w:tcPr>
          <w:p w14:paraId="125C4773"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94" w:type="dxa"/>
            <w:tcBorders>
              <w:top w:val="single" w:sz="4" w:space="0" w:color="auto"/>
              <w:bottom w:val="single" w:sz="4" w:space="0" w:color="auto"/>
            </w:tcBorders>
            <w:shd w:val="clear" w:color="auto" w:fill="auto"/>
            <w:vAlign w:val="center"/>
          </w:tcPr>
          <w:p w14:paraId="792DBB99"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94" w:type="dxa"/>
            <w:tcBorders>
              <w:top w:val="single" w:sz="4" w:space="0" w:color="auto"/>
              <w:bottom w:val="single" w:sz="4" w:space="0" w:color="auto"/>
            </w:tcBorders>
            <w:shd w:val="clear" w:color="auto" w:fill="auto"/>
            <w:vAlign w:val="center"/>
          </w:tcPr>
          <w:p w14:paraId="6A82DEF4" w14:textId="77777777" w:rsidR="00C80638" w:rsidRPr="00C80638" w:rsidRDefault="00C80638" w:rsidP="00B62CCF">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953" w:type="dxa"/>
            <w:tcBorders>
              <w:top w:val="single" w:sz="4" w:space="0" w:color="auto"/>
              <w:bottom w:val="single" w:sz="4" w:space="0" w:color="auto"/>
            </w:tcBorders>
            <w:shd w:val="clear" w:color="auto" w:fill="auto"/>
            <w:vAlign w:val="center"/>
          </w:tcPr>
          <w:p w14:paraId="39B038F1" w14:textId="77777777" w:rsidR="00C80638" w:rsidRPr="00C80638" w:rsidRDefault="00C80638" w:rsidP="00223E2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7B0BB974" w14:textId="77777777" w:rsidTr="00223E27">
        <w:trPr>
          <w:trHeight w:val="300"/>
          <w:jc w:val="center"/>
        </w:trPr>
        <w:tc>
          <w:tcPr>
            <w:tcW w:w="1023" w:type="dxa"/>
            <w:tcBorders>
              <w:top w:val="single" w:sz="4" w:space="0" w:color="auto"/>
            </w:tcBorders>
            <w:shd w:val="clear" w:color="auto" w:fill="auto"/>
          </w:tcPr>
          <w:p w14:paraId="6C88A967" w14:textId="77777777" w:rsidR="00C80638" w:rsidRPr="00C80638" w:rsidRDefault="00C80638" w:rsidP="00223E2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p>
        </w:tc>
        <w:tc>
          <w:tcPr>
            <w:tcW w:w="1594" w:type="dxa"/>
            <w:tcBorders>
              <w:top w:val="single" w:sz="4" w:space="0" w:color="auto"/>
            </w:tcBorders>
            <w:shd w:val="clear" w:color="auto" w:fill="auto"/>
          </w:tcPr>
          <w:p w14:paraId="51D7D37F"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25.92</w:t>
            </w:r>
            <w:r w:rsidRPr="00C80638">
              <w:rPr>
                <w:rFonts w:ascii="Times New Roman" w:hAnsi="Times New Roman"/>
                <w:bCs/>
                <w:noProof/>
                <w:sz w:val="20"/>
                <w:szCs w:val="20"/>
                <w:lang w:bidi="ar-SA"/>
              </w:rPr>
              <w:t>±0.06</w:t>
            </w:r>
          </w:p>
        </w:tc>
        <w:tc>
          <w:tcPr>
            <w:tcW w:w="1077" w:type="dxa"/>
            <w:tcBorders>
              <w:top w:val="single" w:sz="4" w:space="0" w:color="auto"/>
            </w:tcBorders>
            <w:shd w:val="clear" w:color="auto" w:fill="FFFFFF" w:themeFill="background1"/>
          </w:tcPr>
          <w:p w14:paraId="5FD98B5F" w14:textId="77777777" w:rsidR="00C80638" w:rsidRPr="00223E27" w:rsidRDefault="00C80638" w:rsidP="00223E27">
            <w:pPr>
              <w:spacing w:before="60" w:after="0"/>
              <w:jc w:val="center"/>
              <w:rPr>
                <w:rFonts w:ascii="Times New Roman" w:hAnsi="Times New Roman"/>
                <w:noProof/>
                <w:sz w:val="20"/>
                <w:szCs w:val="20"/>
                <w:lang w:bidi="ar-SA"/>
              </w:rPr>
            </w:pPr>
            <w:r w:rsidRPr="00223E27">
              <w:rPr>
                <w:rFonts w:ascii="Times New Roman" w:hAnsi="Times New Roman"/>
                <w:noProof/>
                <w:sz w:val="20"/>
                <w:szCs w:val="20"/>
                <w:lang w:bidi="ar-SA"/>
              </w:rPr>
              <w:t>0.62</w:t>
            </w:r>
          </w:p>
        </w:tc>
        <w:tc>
          <w:tcPr>
            <w:tcW w:w="1522" w:type="dxa"/>
            <w:tcBorders>
              <w:top w:val="single" w:sz="4" w:space="0" w:color="auto"/>
            </w:tcBorders>
            <w:shd w:val="clear" w:color="auto" w:fill="auto"/>
          </w:tcPr>
          <w:p w14:paraId="37C4AC5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sidRPr="00C80638">
              <w:rPr>
                <w:rFonts w:ascii="Times New Roman" w:hAnsi="Times New Roman"/>
                <w:bCs/>
                <w:noProof/>
                <w:sz w:val="20"/>
                <w:szCs w:val="20"/>
                <w:lang w:bidi="ar-SA"/>
              </w:rPr>
              <w:t>±0.03</w:t>
            </w:r>
          </w:p>
        </w:tc>
        <w:tc>
          <w:tcPr>
            <w:tcW w:w="1094" w:type="dxa"/>
            <w:tcBorders>
              <w:top w:val="single" w:sz="4" w:space="0" w:color="auto"/>
            </w:tcBorders>
            <w:shd w:val="clear" w:color="auto" w:fill="FFFFFF" w:themeFill="background1"/>
          </w:tcPr>
          <w:p w14:paraId="0F14E7A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94" w:type="dxa"/>
            <w:tcBorders>
              <w:top w:val="single" w:sz="4" w:space="0" w:color="auto"/>
            </w:tcBorders>
            <w:shd w:val="clear" w:color="auto" w:fill="auto"/>
          </w:tcPr>
          <w:p w14:paraId="30083EF9"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sidRPr="00C80638">
              <w:rPr>
                <w:rFonts w:ascii="Times New Roman" w:hAnsi="Times New Roman"/>
                <w:bCs/>
                <w:noProof/>
                <w:sz w:val="20"/>
                <w:szCs w:val="20"/>
                <w:lang w:bidi="ar-SA"/>
              </w:rPr>
              <w:t>±0.02</w:t>
            </w:r>
          </w:p>
        </w:tc>
        <w:tc>
          <w:tcPr>
            <w:tcW w:w="953" w:type="dxa"/>
            <w:tcBorders>
              <w:top w:val="single" w:sz="4" w:space="0" w:color="auto"/>
            </w:tcBorders>
            <w:shd w:val="clear" w:color="auto" w:fill="FFFFFF" w:themeFill="background1"/>
          </w:tcPr>
          <w:p w14:paraId="4764A49B" w14:textId="77777777" w:rsidR="00C80638" w:rsidRPr="00C80638" w:rsidRDefault="00C80638" w:rsidP="00223E2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C5DAFC7" w14:textId="77777777" w:rsidTr="00223E27">
        <w:trPr>
          <w:trHeight w:val="300"/>
          <w:jc w:val="center"/>
        </w:trPr>
        <w:tc>
          <w:tcPr>
            <w:tcW w:w="1023" w:type="dxa"/>
            <w:shd w:val="clear" w:color="auto" w:fill="auto"/>
          </w:tcPr>
          <w:p w14:paraId="0BD68D9B"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MeOH</w:t>
            </w:r>
          </w:p>
        </w:tc>
        <w:tc>
          <w:tcPr>
            <w:tcW w:w="1594" w:type="dxa"/>
            <w:shd w:val="clear" w:color="auto" w:fill="auto"/>
          </w:tcPr>
          <w:p w14:paraId="41032D8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±0.02</w:t>
            </w:r>
          </w:p>
        </w:tc>
        <w:tc>
          <w:tcPr>
            <w:tcW w:w="1077" w:type="dxa"/>
            <w:shd w:val="clear" w:color="auto" w:fill="FFFFFF" w:themeFill="background1"/>
          </w:tcPr>
          <w:p w14:paraId="31F6730E"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0.70</w:t>
            </w:r>
          </w:p>
        </w:tc>
        <w:tc>
          <w:tcPr>
            <w:tcW w:w="1522" w:type="dxa"/>
            <w:shd w:val="clear" w:color="auto" w:fill="auto"/>
          </w:tcPr>
          <w:p w14:paraId="56A89FD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±0.05</w:t>
            </w:r>
          </w:p>
        </w:tc>
        <w:tc>
          <w:tcPr>
            <w:tcW w:w="1094" w:type="dxa"/>
            <w:shd w:val="clear" w:color="auto" w:fill="FFFFFF" w:themeFill="background1"/>
          </w:tcPr>
          <w:p w14:paraId="1E0937C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94" w:type="dxa"/>
            <w:shd w:val="clear" w:color="auto" w:fill="auto"/>
          </w:tcPr>
          <w:p w14:paraId="62AD8F0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±0.02</w:t>
            </w:r>
          </w:p>
        </w:tc>
        <w:tc>
          <w:tcPr>
            <w:tcW w:w="953" w:type="dxa"/>
            <w:shd w:val="clear" w:color="auto" w:fill="FFFFFF" w:themeFill="background1"/>
          </w:tcPr>
          <w:p w14:paraId="3753FE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1.00</w:t>
            </w:r>
          </w:p>
        </w:tc>
      </w:tr>
      <w:tr w:rsidR="00C80638" w:rsidRPr="00C80638" w14:paraId="6A8EA219" w14:textId="77777777" w:rsidTr="00223E27">
        <w:trPr>
          <w:trHeight w:val="300"/>
          <w:jc w:val="center"/>
        </w:trPr>
        <w:tc>
          <w:tcPr>
            <w:tcW w:w="1023" w:type="dxa"/>
            <w:shd w:val="clear" w:color="auto" w:fill="auto"/>
          </w:tcPr>
          <w:p w14:paraId="212D2DFA"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Ace</w:t>
            </w:r>
          </w:p>
        </w:tc>
        <w:tc>
          <w:tcPr>
            <w:tcW w:w="1594" w:type="dxa"/>
            <w:shd w:val="clear" w:color="auto" w:fill="auto"/>
          </w:tcPr>
          <w:p w14:paraId="5D498AA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sidRPr="00C80638">
              <w:rPr>
                <w:rFonts w:ascii="Times New Roman" w:hAnsi="Times New Roman"/>
                <w:bCs/>
                <w:noProof/>
                <w:sz w:val="20"/>
                <w:szCs w:val="20"/>
                <w:lang w:bidi="ar-SA"/>
              </w:rPr>
              <w:t>±0.04</w:t>
            </w:r>
          </w:p>
        </w:tc>
        <w:tc>
          <w:tcPr>
            <w:tcW w:w="1077" w:type="dxa"/>
            <w:shd w:val="clear" w:color="auto" w:fill="FFFFFF" w:themeFill="background1"/>
          </w:tcPr>
          <w:p w14:paraId="69587F9B"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0.69</w:t>
            </w:r>
          </w:p>
        </w:tc>
        <w:tc>
          <w:tcPr>
            <w:tcW w:w="1522" w:type="dxa"/>
            <w:shd w:val="clear" w:color="auto" w:fill="auto"/>
          </w:tcPr>
          <w:p w14:paraId="032448D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sidRPr="00C80638">
              <w:rPr>
                <w:rFonts w:ascii="Times New Roman" w:hAnsi="Times New Roman"/>
                <w:bCs/>
                <w:noProof/>
                <w:sz w:val="20"/>
                <w:szCs w:val="20"/>
                <w:lang w:bidi="ar-SA"/>
              </w:rPr>
              <w:t>±0.03</w:t>
            </w:r>
          </w:p>
        </w:tc>
        <w:tc>
          <w:tcPr>
            <w:tcW w:w="1094" w:type="dxa"/>
            <w:shd w:val="clear" w:color="auto" w:fill="FFFFFF" w:themeFill="background1"/>
          </w:tcPr>
          <w:p w14:paraId="220ADFF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0.49</w:t>
            </w:r>
          </w:p>
        </w:tc>
        <w:tc>
          <w:tcPr>
            <w:tcW w:w="1494" w:type="dxa"/>
            <w:shd w:val="clear" w:color="auto" w:fill="auto"/>
          </w:tcPr>
          <w:p w14:paraId="163E85E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sidRPr="00C80638">
              <w:rPr>
                <w:rFonts w:ascii="Times New Roman" w:hAnsi="Times New Roman"/>
                <w:bCs/>
                <w:noProof/>
                <w:sz w:val="20"/>
                <w:szCs w:val="20"/>
                <w:lang w:bidi="ar-SA"/>
              </w:rPr>
              <w:t>±0.02</w:t>
            </w:r>
          </w:p>
        </w:tc>
        <w:tc>
          <w:tcPr>
            <w:tcW w:w="953" w:type="dxa"/>
            <w:shd w:val="clear" w:color="auto" w:fill="FFFFFF" w:themeFill="background1"/>
          </w:tcPr>
          <w:p w14:paraId="77A406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0.24</w:t>
            </w:r>
          </w:p>
        </w:tc>
      </w:tr>
      <w:tr w:rsidR="00C80638" w:rsidRPr="00C80638" w14:paraId="45B5C10B" w14:textId="77777777" w:rsidTr="00223E27">
        <w:trPr>
          <w:trHeight w:val="300"/>
          <w:jc w:val="center"/>
        </w:trPr>
        <w:tc>
          <w:tcPr>
            <w:tcW w:w="1023" w:type="dxa"/>
            <w:shd w:val="clear" w:color="auto" w:fill="auto"/>
          </w:tcPr>
          <w:p w14:paraId="7CED95AF" w14:textId="6E7082BC" w:rsidR="00C80638" w:rsidRPr="00C80638" w:rsidRDefault="00215204" w:rsidP="00223E27">
            <w:pPr>
              <w:spacing w:after="0"/>
              <w:rPr>
                <w:rFonts w:ascii="Times New Roman" w:hAnsi="Times New Roman"/>
                <w:noProof/>
                <w:sz w:val="20"/>
                <w:szCs w:val="20"/>
                <w:lang w:bidi="ar-SA"/>
              </w:rPr>
            </w:pPr>
            <w:r>
              <w:rPr>
                <w:rFonts w:ascii="Times New Roman" w:hAnsi="Times New Roman"/>
                <w:noProof/>
                <w:sz w:val="20"/>
                <w:szCs w:val="20"/>
                <w:lang w:bidi="ar-SA"/>
              </w:rPr>
              <w:t>CAN</w:t>
            </w:r>
          </w:p>
        </w:tc>
        <w:tc>
          <w:tcPr>
            <w:tcW w:w="1594" w:type="dxa"/>
            <w:shd w:val="clear" w:color="auto" w:fill="auto"/>
          </w:tcPr>
          <w:p w14:paraId="41945D6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25.41</w:t>
            </w:r>
            <w:r w:rsidRPr="00C80638">
              <w:rPr>
                <w:rFonts w:ascii="Times New Roman" w:hAnsi="Times New Roman"/>
                <w:bCs/>
                <w:noProof/>
                <w:sz w:val="20"/>
                <w:szCs w:val="20"/>
                <w:lang w:bidi="ar-SA"/>
              </w:rPr>
              <w:t>±0.02</w:t>
            </w:r>
          </w:p>
        </w:tc>
        <w:tc>
          <w:tcPr>
            <w:tcW w:w="1077" w:type="dxa"/>
            <w:shd w:val="clear" w:color="auto" w:fill="FFFFFF" w:themeFill="background1"/>
          </w:tcPr>
          <w:p w14:paraId="73CFF196"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0.76</w:t>
            </w:r>
          </w:p>
        </w:tc>
        <w:tc>
          <w:tcPr>
            <w:tcW w:w="1522" w:type="dxa"/>
            <w:shd w:val="clear" w:color="auto" w:fill="auto"/>
          </w:tcPr>
          <w:p w14:paraId="0B73F80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sidRPr="00C80638">
              <w:rPr>
                <w:rFonts w:ascii="Times New Roman" w:hAnsi="Times New Roman"/>
                <w:bCs/>
                <w:noProof/>
                <w:sz w:val="20"/>
                <w:szCs w:val="20"/>
                <w:lang w:bidi="ar-SA"/>
              </w:rPr>
              <w:t>±0.03</w:t>
            </w:r>
          </w:p>
        </w:tc>
        <w:tc>
          <w:tcPr>
            <w:tcW w:w="1094" w:type="dxa"/>
            <w:shd w:val="clear" w:color="auto" w:fill="FFFFFF" w:themeFill="background1"/>
          </w:tcPr>
          <w:p w14:paraId="7AFF448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0.33</w:t>
            </w:r>
          </w:p>
        </w:tc>
        <w:tc>
          <w:tcPr>
            <w:tcW w:w="1494" w:type="dxa"/>
            <w:shd w:val="clear" w:color="auto" w:fill="auto"/>
          </w:tcPr>
          <w:p w14:paraId="2DF44E3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sidRPr="00C80638">
              <w:rPr>
                <w:rFonts w:ascii="Times New Roman" w:hAnsi="Times New Roman"/>
                <w:bCs/>
                <w:noProof/>
                <w:sz w:val="20"/>
                <w:szCs w:val="20"/>
                <w:lang w:bidi="ar-SA"/>
              </w:rPr>
              <w:t>±0.01</w:t>
            </w:r>
          </w:p>
        </w:tc>
        <w:tc>
          <w:tcPr>
            <w:tcW w:w="953" w:type="dxa"/>
            <w:shd w:val="clear" w:color="auto" w:fill="FFFFFF" w:themeFill="background1"/>
          </w:tcPr>
          <w:p w14:paraId="1069CBA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0.38</w:t>
            </w:r>
          </w:p>
        </w:tc>
      </w:tr>
      <w:tr w:rsidR="00C80638" w:rsidRPr="00C80638" w14:paraId="0147A76F" w14:textId="77777777" w:rsidTr="00223E27">
        <w:trPr>
          <w:trHeight w:val="300"/>
          <w:jc w:val="center"/>
        </w:trPr>
        <w:tc>
          <w:tcPr>
            <w:tcW w:w="1023" w:type="dxa"/>
            <w:shd w:val="clear" w:color="auto" w:fill="auto"/>
          </w:tcPr>
          <w:p w14:paraId="68BBAFDD"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i-PrOH</w:t>
            </w:r>
          </w:p>
        </w:tc>
        <w:tc>
          <w:tcPr>
            <w:tcW w:w="1594" w:type="dxa"/>
            <w:shd w:val="clear" w:color="auto" w:fill="auto"/>
          </w:tcPr>
          <w:p w14:paraId="0356AE9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25.94</w:t>
            </w:r>
            <w:r w:rsidRPr="00C80638">
              <w:rPr>
                <w:rFonts w:ascii="Times New Roman" w:hAnsi="Times New Roman"/>
                <w:bCs/>
                <w:noProof/>
                <w:sz w:val="20"/>
                <w:szCs w:val="20"/>
                <w:lang w:bidi="ar-SA"/>
              </w:rPr>
              <w:t>±0.02</w:t>
            </w:r>
          </w:p>
        </w:tc>
        <w:tc>
          <w:tcPr>
            <w:tcW w:w="1077" w:type="dxa"/>
            <w:shd w:val="clear" w:color="auto" w:fill="FFFFFF" w:themeFill="background1"/>
          </w:tcPr>
          <w:p w14:paraId="2F73BF21"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0.61</w:t>
            </w:r>
          </w:p>
        </w:tc>
        <w:tc>
          <w:tcPr>
            <w:tcW w:w="1522" w:type="dxa"/>
            <w:shd w:val="clear" w:color="auto" w:fill="auto"/>
          </w:tcPr>
          <w:p w14:paraId="06780F4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sidRPr="00C80638">
              <w:rPr>
                <w:rFonts w:ascii="Times New Roman" w:hAnsi="Times New Roman"/>
                <w:bCs/>
                <w:noProof/>
                <w:sz w:val="20"/>
                <w:szCs w:val="20"/>
                <w:lang w:bidi="ar-SA"/>
              </w:rPr>
              <w:t>±0.07</w:t>
            </w:r>
          </w:p>
        </w:tc>
        <w:tc>
          <w:tcPr>
            <w:tcW w:w="1094" w:type="dxa"/>
            <w:shd w:val="clear" w:color="auto" w:fill="FFFFFF" w:themeFill="background1"/>
          </w:tcPr>
          <w:p w14:paraId="46EF232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94" w:type="dxa"/>
            <w:shd w:val="clear" w:color="auto" w:fill="auto"/>
          </w:tcPr>
          <w:p w14:paraId="5F23B15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sidRPr="00C80638">
              <w:rPr>
                <w:rFonts w:ascii="Times New Roman" w:hAnsi="Times New Roman"/>
                <w:bCs/>
                <w:noProof/>
                <w:sz w:val="20"/>
                <w:szCs w:val="20"/>
                <w:lang w:bidi="ar-SA"/>
              </w:rPr>
              <w:t>±0.01</w:t>
            </w:r>
          </w:p>
        </w:tc>
        <w:tc>
          <w:tcPr>
            <w:tcW w:w="953" w:type="dxa"/>
            <w:shd w:val="clear" w:color="auto" w:fill="FFFFFF" w:themeFill="background1"/>
          </w:tcPr>
          <w:p w14:paraId="7757E06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6B92FC58" w14:textId="77777777" w:rsidTr="00223E27">
        <w:trPr>
          <w:trHeight w:val="300"/>
          <w:jc w:val="center"/>
        </w:trPr>
        <w:tc>
          <w:tcPr>
            <w:tcW w:w="1023" w:type="dxa"/>
            <w:shd w:val="clear" w:color="auto" w:fill="auto"/>
          </w:tcPr>
          <w:p w14:paraId="34EEF7CF"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DMSO</w:t>
            </w:r>
          </w:p>
        </w:tc>
        <w:tc>
          <w:tcPr>
            <w:tcW w:w="1594" w:type="dxa"/>
            <w:shd w:val="clear" w:color="auto" w:fill="auto"/>
          </w:tcPr>
          <w:p w14:paraId="4EA599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24.55</w:t>
            </w:r>
            <w:r w:rsidRPr="00C80638">
              <w:rPr>
                <w:rFonts w:ascii="Times New Roman" w:hAnsi="Times New Roman"/>
                <w:bCs/>
                <w:noProof/>
                <w:sz w:val="20"/>
                <w:szCs w:val="20"/>
                <w:lang w:bidi="ar-SA"/>
              </w:rPr>
              <w:t>±0.02</w:t>
            </w:r>
          </w:p>
        </w:tc>
        <w:tc>
          <w:tcPr>
            <w:tcW w:w="1077" w:type="dxa"/>
            <w:shd w:val="clear" w:color="auto" w:fill="FFFFFF" w:themeFill="background1"/>
          </w:tcPr>
          <w:p w14:paraId="4204EF74"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1.01</w:t>
            </w:r>
          </w:p>
        </w:tc>
        <w:tc>
          <w:tcPr>
            <w:tcW w:w="1522" w:type="dxa"/>
            <w:shd w:val="clear" w:color="auto" w:fill="auto"/>
          </w:tcPr>
          <w:p w14:paraId="52630B7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sidRPr="00C80638">
              <w:rPr>
                <w:rFonts w:ascii="Times New Roman" w:hAnsi="Times New Roman"/>
                <w:bCs/>
                <w:noProof/>
                <w:sz w:val="20"/>
                <w:szCs w:val="20"/>
                <w:lang w:bidi="ar-SA"/>
              </w:rPr>
              <w:t>±0.05</w:t>
            </w:r>
          </w:p>
        </w:tc>
        <w:tc>
          <w:tcPr>
            <w:tcW w:w="1094" w:type="dxa"/>
            <w:shd w:val="clear" w:color="auto" w:fill="FFFFFF" w:themeFill="background1"/>
          </w:tcPr>
          <w:p w14:paraId="3CBB6AE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0.69</w:t>
            </w:r>
          </w:p>
        </w:tc>
        <w:tc>
          <w:tcPr>
            <w:tcW w:w="1494" w:type="dxa"/>
            <w:shd w:val="clear" w:color="auto" w:fill="auto"/>
          </w:tcPr>
          <w:p w14:paraId="7D022E1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sidRPr="00C80638">
              <w:rPr>
                <w:rFonts w:ascii="Times New Roman" w:hAnsi="Times New Roman"/>
                <w:bCs/>
                <w:noProof/>
                <w:sz w:val="20"/>
                <w:szCs w:val="20"/>
                <w:lang w:bidi="ar-SA"/>
              </w:rPr>
              <w:t>±0.01</w:t>
            </w:r>
          </w:p>
        </w:tc>
        <w:tc>
          <w:tcPr>
            <w:tcW w:w="953" w:type="dxa"/>
            <w:shd w:val="clear" w:color="auto" w:fill="FFFFFF" w:themeFill="background1"/>
          </w:tcPr>
          <w:p w14:paraId="57AEE4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0.10</w:t>
            </w:r>
          </w:p>
        </w:tc>
      </w:tr>
      <w:tr w:rsidR="00C80638" w:rsidRPr="00C80638" w14:paraId="23709CD4" w14:textId="77777777" w:rsidTr="00223E27">
        <w:trPr>
          <w:trHeight w:val="300"/>
          <w:jc w:val="center"/>
        </w:trPr>
        <w:tc>
          <w:tcPr>
            <w:tcW w:w="1023" w:type="dxa"/>
            <w:shd w:val="clear" w:color="auto" w:fill="auto"/>
          </w:tcPr>
          <w:p w14:paraId="00E7BEA6"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 xml:space="preserve"> DMF</w:t>
            </w:r>
          </w:p>
        </w:tc>
        <w:tc>
          <w:tcPr>
            <w:tcW w:w="1594" w:type="dxa"/>
            <w:shd w:val="clear" w:color="auto" w:fill="auto"/>
          </w:tcPr>
          <w:p w14:paraId="5589916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±0.02</w:t>
            </w:r>
          </w:p>
        </w:tc>
        <w:tc>
          <w:tcPr>
            <w:tcW w:w="1077" w:type="dxa"/>
            <w:shd w:val="clear" w:color="auto" w:fill="FFFFFF" w:themeFill="background1"/>
          </w:tcPr>
          <w:p w14:paraId="199B6DD1"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0.86</w:t>
            </w:r>
          </w:p>
        </w:tc>
        <w:tc>
          <w:tcPr>
            <w:tcW w:w="1522" w:type="dxa"/>
            <w:shd w:val="clear" w:color="auto" w:fill="auto"/>
          </w:tcPr>
          <w:p w14:paraId="7AD0AA9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±0.02</w:t>
            </w:r>
          </w:p>
        </w:tc>
        <w:tc>
          <w:tcPr>
            <w:tcW w:w="1094" w:type="dxa"/>
            <w:shd w:val="clear" w:color="auto" w:fill="FFFFFF" w:themeFill="background1"/>
          </w:tcPr>
          <w:p w14:paraId="322E320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0.71</w:t>
            </w:r>
          </w:p>
        </w:tc>
        <w:tc>
          <w:tcPr>
            <w:tcW w:w="1494" w:type="dxa"/>
            <w:shd w:val="clear" w:color="auto" w:fill="auto"/>
          </w:tcPr>
          <w:p w14:paraId="314163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sidRPr="00C80638">
              <w:rPr>
                <w:rFonts w:ascii="Times New Roman" w:hAnsi="Times New Roman"/>
                <w:bCs/>
                <w:noProof/>
                <w:sz w:val="20"/>
                <w:szCs w:val="20"/>
                <w:lang w:bidi="ar-SA"/>
              </w:rPr>
              <w:t>±0.01</w:t>
            </w:r>
          </w:p>
        </w:tc>
        <w:tc>
          <w:tcPr>
            <w:tcW w:w="953" w:type="dxa"/>
            <w:shd w:val="clear" w:color="auto" w:fill="FFFFFF" w:themeFill="background1"/>
          </w:tcPr>
          <w:p w14:paraId="347FBC8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0.09</w:t>
            </w:r>
          </w:p>
        </w:tc>
      </w:tr>
      <w:tr w:rsidR="00C80638" w:rsidRPr="00C80638" w14:paraId="385680D2" w14:textId="77777777" w:rsidTr="00223E27">
        <w:trPr>
          <w:trHeight w:val="300"/>
          <w:jc w:val="center"/>
        </w:trPr>
        <w:tc>
          <w:tcPr>
            <w:tcW w:w="1023" w:type="dxa"/>
            <w:shd w:val="clear" w:color="auto" w:fill="auto"/>
          </w:tcPr>
          <w:p w14:paraId="323D2850"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THF</w:t>
            </w:r>
          </w:p>
        </w:tc>
        <w:tc>
          <w:tcPr>
            <w:tcW w:w="1594" w:type="dxa"/>
            <w:shd w:val="clear" w:color="auto" w:fill="auto"/>
          </w:tcPr>
          <w:p w14:paraId="6F4060D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26.05</w:t>
            </w:r>
            <w:r w:rsidRPr="00C80638">
              <w:rPr>
                <w:rFonts w:ascii="Times New Roman" w:hAnsi="Times New Roman"/>
                <w:bCs/>
                <w:noProof/>
                <w:sz w:val="20"/>
                <w:szCs w:val="20"/>
                <w:lang w:bidi="ar-SA"/>
              </w:rPr>
              <w:t>±0.05</w:t>
            </w:r>
          </w:p>
        </w:tc>
        <w:tc>
          <w:tcPr>
            <w:tcW w:w="1077" w:type="dxa"/>
            <w:shd w:val="clear" w:color="auto" w:fill="FFFFFF" w:themeFill="background1"/>
          </w:tcPr>
          <w:p w14:paraId="13D0523B"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0.58</w:t>
            </w:r>
          </w:p>
        </w:tc>
        <w:tc>
          <w:tcPr>
            <w:tcW w:w="1522" w:type="dxa"/>
            <w:shd w:val="clear" w:color="auto" w:fill="auto"/>
          </w:tcPr>
          <w:p w14:paraId="39EF5C6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sidRPr="00C80638">
              <w:rPr>
                <w:rFonts w:ascii="Times New Roman" w:hAnsi="Times New Roman"/>
                <w:bCs/>
                <w:noProof/>
                <w:sz w:val="20"/>
                <w:szCs w:val="20"/>
                <w:lang w:bidi="ar-SA"/>
              </w:rPr>
              <w:t>±0.05</w:t>
            </w:r>
          </w:p>
        </w:tc>
        <w:tc>
          <w:tcPr>
            <w:tcW w:w="1094" w:type="dxa"/>
            <w:shd w:val="clear" w:color="auto" w:fill="FFFFFF" w:themeFill="background1"/>
          </w:tcPr>
          <w:p w14:paraId="2EB8B36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94" w:type="dxa"/>
            <w:shd w:val="clear" w:color="auto" w:fill="auto"/>
          </w:tcPr>
          <w:p w14:paraId="7EC699E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sidRPr="00C80638">
              <w:rPr>
                <w:rFonts w:ascii="Times New Roman" w:hAnsi="Times New Roman"/>
                <w:bCs/>
                <w:noProof/>
                <w:sz w:val="20"/>
                <w:szCs w:val="20"/>
                <w:lang w:bidi="ar-SA"/>
              </w:rPr>
              <w:t>±0.11</w:t>
            </w:r>
          </w:p>
        </w:tc>
        <w:tc>
          <w:tcPr>
            <w:tcW w:w="953" w:type="dxa"/>
            <w:shd w:val="clear" w:color="auto" w:fill="FFFFFF" w:themeFill="background1"/>
          </w:tcPr>
          <w:p w14:paraId="240A406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r>
      <w:tr w:rsidR="00C80638" w:rsidRPr="00C80638" w14:paraId="2C8D9AF6" w14:textId="77777777" w:rsidTr="00223E27">
        <w:trPr>
          <w:trHeight w:val="300"/>
          <w:jc w:val="center"/>
        </w:trPr>
        <w:tc>
          <w:tcPr>
            <w:tcW w:w="1023" w:type="dxa"/>
            <w:shd w:val="clear" w:color="auto" w:fill="auto"/>
          </w:tcPr>
          <w:p w14:paraId="6998CF5B" w14:textId="77777777" w:rsidR="00C80638" w:rsidRPr="00C80638" w:rsidRDefault="00C80638" w:rsidP="00223E27">
            <w:pPr>
              <w:spacing w:after="0"/>
              <w:rPr>
                <w:rFonts w:ascii="Times New Roman" w:hAnsi="Times New Roman"/>
                <w:noProof/>
                <w:sz w:val="20"/>
                <w:szCs w:val="20"/>
                <w:lang w:bidi="ar-SA"/>
              </w:rPr>
            </w:pPr>
            <w:r w:rsidRPr="00C80638">
              <w:rPr>
                <w:rFonts w:ascii="Times New Roman" w:hAnsi="Times New Roman"/>
                <w:noProof/>
                <w:sz w:val="20"/>
                <w:szCs w:val="20"/>
                <w:lang w:bidi="ar-SA"/>
              </w:rPr>
              <w:t>DCM</w:t>
            </w:r>
          </w:p>
        </w:tc>
        <w:tc>
          <w:tcPr>
            <w:tcW w:w="1594" w:type="dxa"/>
            <w:shd w:val="clear" w:color="auto" w:fill="auto"/>
          </w:tcPr>
          <w:p w14:paraId="2657B27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25.48</w:t>
            </w:r>
            <w:r w:rsidRPr="00C80638">
              <w:rPr>
                <w:rFonts w:ascii="Times New Roman" w:hAnsi="Times New Roman"/>
                <w:bCs/>
                <w:noProof/>
                <w:sz w:val="20"/>
                <w:szCs w:val="20"/>
                <w:lang w:bidi="ar-SA"/>
              </w:rPr>
              <w:t>±0.03</w:t>
            </w:r>
          </w:p>
        </w:tc>
        <w:tc>
          <w:tcPr>
            <w:tcW w:w="1077" w:type="dxa"/>
            <w:shd w:val="clear" w:color="auto" w:fill="FFFFFF" w:themeFill="background1"/>
          </w:tcPr>
          <w:p w14:paraId="0D6597D5" w14:textId="77777777" w:rsidR="00C80638" w:rsidRPr="00223E27" w:rsidRDefault="00C80638" w:rsidP="00C80638">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0.74</w:t>
            </w:r>
          </w:p>
        </w:tc>
        <w:tc>
          <w:tcPr>
            <w:tcW w:w="1522" w:type="dxa"/>
            <w:shd w:val="clear" w:color="auto" w:fill="auto"/>
          </w:tcPr>
          <w:p w14:paraId="0D7E86B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sidRPr="00C80638">
              <w:rPr>
                <w:rFonts w:ascii="Times New Roman" w:hAnsi="Times New Roman"/>
                <w:bCs/>
                <w:noProof/>
                <w:sz w:val="20"/>
                <w:szCs w:val="20"/>
                <w:lang w:bidi="ar-SA"/>
              </w:rPr>
              <w:t>±0.04</w:t>
            </w:r>
          </w:p>
        </w:tc>
        <w:tc>
          <w:tcPr>
            <w:tcW w:w="1094" w:type="dxa"/>
            <w:shd w:val="clear" w:color="auto" w:fill="FFFFFF" w:themeFill="background1"/>
          </w:tcPr>
          <w:p w14:paraId="4A0401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c>
          <w:tcPr>
            <w:tcW w:w="1494" w:type="dxa"/>
            <w:shd w:val="clear" w:color="auto" w:fill="auto"/>
          </w:tcPr>
          <w:p w14:paraId="16CD0E0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sidRPr="00C80638">
              <w:rPr>
                <w:rFonts w:ascii="Times New Roman" w:hAnsi="Times New Roman"/>
                <w:bCs/>
                <w:noProof/>
                <w:sz w:val="20"/>
                <w:szCs w:val="20"/>
                <w:lang w:bidi="ar-SA"/>
              </w:rPr>
              <w:t>±0.06</w:t>
            </w:r>
          </w:p>
        </w:tc>
        <w:tc>
          <w:tcPr>
            <w:tcW w:w="953" w:type="dxa"/>
            <w:shd w:val="clear" w:color="auto" w:fill="FFFFFF" w:themeFill="background1"/>
          </w:tcPr>
          <w:p w14:paraId="539F97C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0.04</w:t>
            </w:r>
          </w:p>
        </w:tc>
      </w:tr>
      <w:tr w:rsidR="00C80638" w:rsidRPr="00C80638" w14:paraId="5A035E41" w14:textId="77777777" w:rsidTr="00223E27">
        <w:trPr>
          <w:trHeight w:val="300"/>
          <w:jc w:val="center"/>
        </w:trPr>
        <w:tc>
          <w:tcPr>
            <w:tcW w:w="1023" w:type="dxa"/>
            <w:tcBorders>
              <w:bottom w:val="single" w:sz="4" w:space="0" w:color="auto"/>
            </w:tcBorders>
            <w:shd w:val="clear" w:color="auto" w:fill="auto"/>
          </w:tcPr>
          <w:p w14:paraId="4F7E8CA8" w14:textId="77777777" w:rsidR="00C80638" w:rsidRPr="00C80638" w:rsidRDefault="00C80638" w:rsidP="00223E27">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p>
        </w:tc>
        <w:tc>
          <w:tcPr>
            <w:tcW w:w="1594" w:type="dxa"/>
            <w:tcBorders>
              <w:bottom w:val="single" w:sz="4" w:space="0" w:color="auto"/>
            </w:tcBorders>
            <w:shd w:val="clear" w:color="auto" w:fill="auto"/>
          </w:tcPr>
          <w:p w14:paraId="44E6F933"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23.68</w:t>
            </w:r>
            <w:r w:rsidRPr="00C80638">
              <w:rPr>
                <w:rFonts w:ascii="Times New Roman" w:hAnsi="Times New Roman"/>
                <w:bCs/>
                <w:noProof/>
                <w:sz w:val="20"/>
                <w:szCs w:val="20"/>
                <w:lang w:bidi="ar-SA"/>
              </w:rPr>
              <w:t>±0.02</w:t>
            </w:r>
          </w:p>
        </w:tc>
        <w:tc>
          <w:tcPr>
            <w:tcW w:w="1077" w:type="dxa"/>
            <w:tcBorders>
              <w:bottom w:val="single" w:sz="4" w:space="0" w:color="auto"/>
            </w:tcBorders>
            <w:shd w:val="clear" w:color="auto" w:fill="FFFFFF" w:themeFill="background1"/>
          </w:tcPr>
          <w:p w14:paraId="6BF2F024" w14:textId="77777777" w:rsidR="00C80638" w:rsidRPr="00223E27" w:rsidRDefault="00C80638" w:rsidP="00223E27">
            <w:pPr>
              <w:spacing w:after="60"/>
              <w:jc w:val="center"/>
              <w:rPr>
                <w:rFonts w:ascii="Times New Roman" w:hAnsi="Times New Roman"/>
                <w:noProof/>
                <w:sz w:val="20"/>
                <w:szCs w:val="20"/>
                <w:lang w:bidi="ar-SA"/>
              </w:rPr>
            </w:pPr>
            <w:r w:rsidRPr="00223E27">
              <w:rPr>
                <w:rFonts w:ascii="Times New Roman" w:hAnsi="Times New Roman"/>
                <w:noProof/>
                <w:sz w:val="20"/>
                <w:szCs w:val="20"/>
                <w:lang w:bidi="ar-SA"/>
              </w:rPr>
              <w:t>1.26</w:t>
            </w:r>
          </w:p>
        </w:tc>
        <w:tc>
          <w:tcPr>
            <w:tcW w:w="1522" w:type="dxa"/>
            <w:tcBorders>
              <w:bottom w:val="single" w:sz="4" w:space="0" w:color="auto"/>
            </w:tcBorders>
            <w:shd w:val="clear" w:color="auto" w:fill="auto"/>
          </w:tcPr>
          <w:p w14:paraId="61F39461"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sidRPr="00C80638">
              <w:rPr>
                <w:rFonts w:ascii="Times New Roman" w:hAnsi="Times New Roman"/>
                <w:bCs/>
                <w:noProof/>
                <w:sz w:val="20"/>
                <w:szCs w:val="20"/>
                <w:lang w:bidi="ar-SA"/>
              </w:rPr>
              <w:t>±0.03</w:t>
            </w:r>
          </w:p>
        </w:tc>
        <w:tc>
          <w:tcPr>
            <w:tcW w:w="1094" w:type="dxa"/>
            <w:tcBorders>
              <w:bottom w:val="single" w:sz="4" w:space="0" w:color="auto"/>
            </w:tcBorders>
            <w:shd w:val="clear" w:color="auto" w:fill="FFFFFF" w:themeFill="background1"/>
          </w:tcPr>
          <w:p w14:paraId="58903E74"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0.16</w:t>
            </w:r>
          </w:p>
        </w:tc>
        <w:tc>
          <w:tcPr>
            <w:tcW w:w="1494" w:type="dxa"/>
            <w:tcBorders>
              <w:bottom w:val="single" w:sz="4" w:space="0" w:color="auto"/>
            </w:tcBorders>
            <w:shd w:val="clear" w:color="auto" w:fill="auto"/>
          </w:tcPr>
          <w:p w14:paraId="30B8D397"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sidRPr="00C80638">
              <w:rPr>
                <w:rFonts w:ascii="Times New Roman" w:hAnsi="Times New Roman"/>
                <w:bCs/>
                <w:noProof/>
                <w:sz w:val="20"/>
                <w:szCs w:val="20"/>
                <w:lang w:bidi="ar-SA"/>
              </w:rPr>
              <w:t>±0.14</w:t>
            </w:r>
          </w:p>
        </w:tc>
        <w:tc>
          <w:tcPr>
            <w:tcW w:w="953" w:type="dxa"/>
            <w:tcBorders>
              <w:bottom w:val="single" w:sz="4" w:space="0" w:color="auto"/>
            </w:tcBorders>
            <w:shd w:val="clear" w:color="auto" w:fill="FFFFFF" w:themeFill="background1"/>
          </w:tcPr>
          <w:p w14:paraId="3D9A0D77" w14:textId="77777777" w:rsidR="00C80638" w:rsidRPr="00C80638" w:rsidRDefault="00C80638" w:rsidP="00223E2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1.27</w:t>
            </w:r>
          </w:p>
        </w:tc>
      </w:tr>
      <w:tr w:rsidR="00C80638" w:rsidRPr="00C80638" w14:paraId="17BC5D55" w14:textId="77777777" w:rsidTr="00223E27">
        <w:trPr>
          <w:trHeight w:val="300"/>
          <w:jc w:val="center"/>
        </w:trPr>
        <w:tc>
          <w:tcPr>
            <w:tcW w:w="8757" w:type="dxa"/>
            <w:gridSpan w:val="7"/>
            <w:tcBorders>
              <w:top w:val="single" w:sz="4" w:space="0" w:color="auto"/>
            </w:tcBorders>
            <w:shd w:val="clear" w:color="auto" w:fill="auto"/>
          </w:tcPr>
          <w:p w14:paraId="4E43BD27" w14:textId="77777777" w:rsidR="00C80638" w:rsidRPr="00223E27" w:rsidRDefault="00C80638" w:rsidP="00223E27">
            <w:pPr>
              <w:spacing w:before="60" w:after="0"/>
              <w:jc w:val="both"/>
              <w:rPr>
                <w:rFonts w:ascii="Times New Roman" w:hAnsi="Times New Roman"/>
                <w:noProof/>
                <w:sz w:val="18"/>
                <w:szCs w:val="18"/>
                <w:lang w:bidi="ar-SA"/>
              </w:rPr>
            </w:pPr>
            <w:r w:rsidRPr="00223E27">
              <w:rPr>
                <w:rFonts w:ascii="Times New Roman" w:hAnsi="Times New Roman"/>
                <w:noProof/>
                <w:sz w:val="18"/>
                <w:szCs w:val="18"/>
                <w:lang w:bidi="ar-SA"/>
              </w:rPr>
              <w:t xml:space="preserve">Key: </w:t>
            </w:r>
            <w:r w:rsidRPr="00223E27">
              <w:rPr>
                <w:rFonts w:ascii="Times New Roman" w:hAnsi="Times New Roman"/>
                <w:bCs/>
                <w:noProof/>
                <w:sz w:val="18"/>
                <w:szCs w:val="18"/>
                <w:lang w:bidi="ar-SA"/>
              </w:rPr>
              <w:t>*P values (P&lt;0.05) were regarded as significant. Uncertainty value of π* = 8×10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β = 6×10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and α = 8×10</w:t>
            </w:r>
            <w:r w:rsidRPr="00223E27">
              <w:rPr>
                <w:rFonts w:ascii="Times New Roman" w:hAnsi="Times New Roman"/>
                <w:bCs/>
                <w:noProof/>
                <w:sz w:val="18"/>
                <w:szCs w:val="18"/>
                <w:vertAlign w:val="superscript"/>
                <w:lang w:bidi="ar-SA"/>
              </w:rPr>
              <w:t>-3</w:t>
            </w:r>
          </w:p>
        </w:tc>
      </w:tr>
    </w:tbl>
    <w:p w14:paraId="30554964" w14:textId="1CACA088" w:rsidR="00C80638" w:rsidRDefault="00C80638" w:rsidP="00C80638">
      <w:pPr>
        <w:spacing w:after="0"/>
        <w:jc w:val="center"/>
        <w:rPr>
          <w:rFonts w:ascii="Times New Roman" w:hAnsi="Times New Roman"/>
          <w:noProof/>
          <w:sz w:val="20"/>
          <w:szCs w:val="20"/>
          <w:lang w:bidi="ar-SA"/>
        </w:rPr>
      </w:pPr>
    </w:p>
    <w:p w14:paraId="0293B071" w14:textId="77777777" w:rsidR="00DD5CD9" w:rsidRDefault="00DD5CD9" w:rsidP="00DD5CD9">
      <w:pPr>
        <w:spacing w:after="0"/>
        <w:jc w:val="both"/>
        <w:rPr>
          <w:rFonts w:ascii="Times New Roman" w:hAnsi="Times New Roman"/>
          <w:noProof/>
          <w:sz w:val="20"/>
          <w:szCs w:val="20"/>
          <w:lang w:bidi="ar-SA"/>
        </w:rPr>
        <w:sectPr w:rsidR="00DD5CD9" w:rsidSect="00F168B9">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5"/>
          <w:cols w:space="708"/>
          <w:docGrid w:linePitch="360"/>
        </w:sectPr>
      </w:pPr>
    </w:p>
    <w:p w14:paraId="76E49AB1" w14:textId="77777777" w:rsidR="00DD5CD9" w:rsidRDefault="00DD5CD9" w:rsidP="009E2062">
      <w:pPr>
        <w:spacing w:after="0"/>
        <w:rPr>
          <w:rFonts w:ascii="Times New Roman" w:hAnsi="Times New Roman"/>
          <w:noProof/>
          <w:sz w:val="20"/>
          <w:szCs w:val="20"/>
          <w:lang w:bidi="ar-SA"/>
        </w:rPr>
        <w:sectPr w:rsidR="00DD5CD9" w:rsidSect="00DD5CD9">
          <w:type w:val="continuous"/>
          <w:pgSz w:w="12240" w:h="15840" w:code="1"/>
          <w:pgMar w:top="1800" w:right="1469" w:bottom="1699" w:left="1440" w:header="706" w:footer="706" w:gutter="0"/>
          <w:pgNumType w:start="1"/>
          <w:cols w:num="2" w:space="403"/>
          <w:docGrid w:linePitch="360"/>
        </w:sectPr>
      </w:pPr>
    </w:p>
    <w:p w14:paraId="0C9182EC" w14:textId="45585D1E" w:rsidR="00976876" w:rsidRDefault="00976876" w:rsidP="009E2062">
      <w:pPr>
        <w:spacing w:after="0"/>
        <w:rPr>
          <w:rFonts w:ascii="Times New Roman" w:hAnsi="Times New Roman"/>
          <w:noProof/>
          <w:sz w:val="20"/>
          <w:szCs w:val="20"/>
          <w:lang w:bidi="ar-SA"/>
        </w:rPr>
      </w:pPr>
    </w:p>
    <w:p w14:paraId="69F92961" w14:textId="776AE9A3" w:rsidR="00976876" w:rsidRPr="00C80638" w:rsidRDefault="00976876" w:rsidP="009E2062">
      <w:pPr>
        <w:spacing w:after="120"/>
        <w:ind w:left="720" w:hanging="720"/>
        <w:jc w:val="center"/>
        <w:rPr>
          <w:rFonts w:ascii="Times New Roman" w:hAnsi="Times New Roman"/>
          <w:noProof/>
          <w:sz w:val="20"/>
          <w:szCs w:val="20"/>
          <w:lang w:bidi="ar-SA"/>
        </w:rPr>
      </w:pPr>
      <w:r w:rsidRPr="00C80638">
        <w:rPr>
          <w:rFonts w:ascii="Times New Roman" w:hAnsi="Times New Roman"/>
          <w:noProof/>
          <w:sz w:val="20"/>
          <w:szCs w:val="20"/>
          <w:lang w:bidi="ar-SA"/>
        </w:rPr>
        <w:t>Table 3.</w:t>
      </w:r>
      <w:r w:rsidR="00D662D7">
        <w:rPr>
          <w:rFonts w:ascii="Times New Roman" w:hAnsi="Times New Roman"/>
          <w:noProof/>
          <w:sz w:val="20"/>
          <w:szCs w:val="20"/>
          <w:lang w:bidi="ar-SA"/>
        </w:rPr>
        <w:t xml:space="preserve">  </w:t>
      </w:r>
      <w:r w:rsidRPr="00C80638">
        <w:rPr>
          <w:rFonts w:ascii="Times New Roman" w:hAnsi="Times New Roman"/>
          <w:bCs/>
          <w:noProof/>
          <w:sz w:val="20"/>
          <w:szCs w:val="20"/>
          <w:lang w:bidi="ar-SA"/>
        </w:rPr>
        <w:t>The properties of mixed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bl>
      <w:tblPr>
        <w:tblW w:w="9090" w:type="dxa"/>
        <w:jc w:val="center"/>
        <w:tblLayout w:type="fixed"/>
        <w:tblLook w:val="04A0" w:firstRow="1" w:lastRow="0" w:firstColumn="1" w:lastColumn="0" w:noHBand="0" w:noVBand="1"/>
      </w:tblPr>
      <w:tblGrid>
        <w:gridCol w:w="1526"/>
        <w:gridCol w:w="1276"/>
        <w:gridCol w:w="1144"/>
        <w:gridCol w:w="1357"/>
        <w:gridCol w:w="1053"/>
        <w:gridCol w:w="1417"/>
        <w:gridCol w:w="1317"/>
      </w:tblGrid>
      <w:tr w:rsidR="00C80638" w:rsidRPr="00C80638" w14:paraId="3489D19E" w14:textId="77777777" w:rsidTr="00D662D7">
        <w:trPr>
          <w:trHeight w:val="257"/>
          <w:jc w:val="center"/>
        </w:trPr>
        <w:tc>
          <w:tcPr>
            <w:tcW w:w="1526" w:type="dxa"/>
            <w:vMerge w:val="restart"/>
            <w:tcBorders>
              <w:top w:val="single" w:sz="4" w:space="0" w:color="auto"/>
            </w:tcBorders>
            <w:shd w:val="clear" w:color="auto" w:fill="auto"/>
            <w:vAlign w:val="center"/>
          </w:tcPr>
          <w:p w14:paraId="28727DC5"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HBD-HBA</w:t>
            </w:r>
          </w:p>
          <w:p w14:paraId="4B4FC81B"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Mixture</w:t>
            </w:r>
          </w:p>
        </w:tc>
        <w:tc>
          <w:tcPr>
            <w:tcW w:w="1276" w:type="dxa"/>
            <w:tcBorders>
              <w:top w:val="single" w:sz="4" w:space="0" w:color="auto"/>
              <w:bottom w:val="single" w:sz="4" w:space="0" w:color="auto"/>
            </w:tcBorders>
            <w:shd w:val="clear" w:color="auto" w:fill="auto"/>
          </w:tcPr>
          <w:p w14:paraId="4EBC8F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144" w:type="dxa"/>
            <w:tcBorders>
              <w:top w:val="single" w:sz="4" w:space="0" w:color="auto"/>
              <w:bottom w:val="single" w:sz="4" w:space="0" w:color="auto"/>
            </w:tcBorders>
            <w:shd w:val="clear" w:color="auto" w:fill="auto"/>
          </w:tcPr>
          <w:p w14:paraId="32EC06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23D424D3"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357" w:type="dxa"/>
            <w:tcBorders>
              <w:top w:val="single" w:sz="4" w:space="0" w:color="auto"/>
              <w:bottom w:val="single" w:sz="4" w:space="0" w:color="auto"/>
            </w:tcBorders>
            <w:shd w:val="clear" w:color="auto" w:fill="auto"/>
          </w:tcPr>
          <w:p w14:paraId="1C956621"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053" w:type="dxa"/>
            <w:tcBorders>
              <w:top w:val="single" w:sz="4" w:space="0" w:color="auto"/>
              <w:bottom w:val="single" w:sz="4" w:space="0" w:color="auto"/>
            </w:tcBorders>
            <w:shd w:val="clear" w:color="auto" w:fill="auto"/>
          </w:tcPr>
          <w:p w14:paraId="2A7BD1A9"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6B2719C8"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17" w:type="dxa"/>
            <w:tcBorders>
              <w:top w:val="single" w:sz="4" w:space="0" w:color="auto"/>
              <w:bottom w:val="single" w:sz="4" w:space="0" w:color="auto"/>
            </w:tcBorders>
            <w:shd w:val="clear" w:color="auto" w:fill="auto"/>
          </w:tcPr>
          <w:p w14:paraId="5615023E"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317" w:type="dxa"/>
            <w:tcBorders>
              <w:top w:val="single" w:sz="4" w:space="0" w:color="auto"/>
              <w:bottom w:val="single" w:sz="4" w:space="0" w:color="auto"/>
            </w:tcBorders>
            <w:shd w:val="clear" w:color="auto" w:fill="auto"/>
          </w:tcPr>
          <w:p w14:paraId="7F03F6A3"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619BD8E"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713A3790" w14:textId="77777777" w:rsidTr="00D662D7">
        <w:trPr>
          <w:trHeight w:val="257"/>
          <w:jc w:val="center"/>
        </w:trPr>
        <w:tc>
          <w:tcPr>
            <w:tcW w:w="1526" w:type="dxa"/>
            <w:vMerge/>
            <w:tcBorders>
              <w:bottom w:val="single" w:sz="4" w:space="0" w:color="auto"/>
            </w:tcBorders>
            <w:shd w:val="clear" w:color="auto" w:fill="auto"/>
          </w:tcPr>
          <w:p w14:paraId="263B7CDB" w14:textId="77777777" w:rsidR="00C80638" w:rsidRPr="00C80638" w:rsidRDefault="00C80638" w:rsidP="00151873">
            <w:pPr>
              <w:spacing w:after="0" w:line="240" w:lineRule="auto"/>
              <w:rPr>
                <w:rFonts w:ascii="Times New Roman" w:hAnsi="Times New Roman"/>
                <w:b/>
                <w:noProof/>
                <w:sz w:val="20"/>
                <w:szCs w:val="20"/>
                <w:lang w:bidi="ar-SA"/>
              </w:rPr>
            </w:pPr>
          </w:p>
        </w:tc>
        <w:tc>
          <w:tcPr>
            <w:tcW w:w="1276" w:type="dxa"/>
            <w:tcBorders>
              <w:top w:val="single" w:sz="4" w:space="0" w:color="auto"/>
              <w:bottom w:val="single" w:sz="4" w:space="0" w:color="auto"/>
            </w:tcBorders>
            <w:shd w:val="clear" w:color="auto" w:fill="auto"/>
          </w:tcPr>
          <w:p w14:paraId="5331AAF5"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144" w:type="dxa"/>
            <w:tcBorders>
              <w:top w:val="single" w:sz="4" w:space="0" w:color="auto"/>
              <w:bottom w:val="single" w:sz="4" w:space="0" w:color="auto"/>
            </w:tcBorders>
            <w:shd w:val="clear" w:color="auto" w:fill="auto"/>
          </w:tcPr>
          <w:p w14:paraId="33786B32"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357" w:type="dxa"/>
            <w:tcBorders>
              <w:top w:val="single" w:sz="4" w:space="0" w:color="auto"/>
              <w:bottom w:val="single" w:sz="4" w:space="0" w:color="auto"/>
            </w:tcBorders>
            <w:shd w:val="clear" w:color="auto" w:fill="auto"/>
          </w:tcPr>
          <w:p w14:paraId="2DB5301C"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053" w:type="dxa"/>
            <w:tcBorders>
              <w:top w:val="single" w:sz="4" w:space="0" w:color="auto"/>
              <w:bottom w:val="single" w:sz="4" w:space="0" w:color="auto"/>
            </w:tcBorders>
            <w:shd w:val="clear" w:color="auto" w:fill="auto"/>
          </w:tcPr>
          <w:p w14:paraId="1B037EF0"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17" w:type="dxa"/>
            <w:tcBorders>
              <w:top w:val="single" w:sz="4" w:space="0" w:color="auto"/>
              <w:bottom w:val="single" w:sz="4" w:space="0" w:color="auto"/>
            </w:tcBorders>
            <w:shd w:val="clear" w:color="auto" w:fill="auto"/>
          </w:tcPr>
          <w:p w14:paraId="70296BB7"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(Mean±SD)</w:t>
            </w:r>
          </w:p>
        </w:tc>
        <w:tc>
          <w:tcPr>
            <w:tcW w:w="1317" w:type="dxa"/>
            <w:tcBorders>
              <w:top w:val="single" w:sz="4" w:space="0" w:color="auto"/>
              <w:bottom w:val="single" w:sz="4" w:space="0" w:color="auto"/>
            </w:tcBorders>
            <w:shd w:val="clear" w:color="auto" w:fill="auto"/>
          </w:tcPr>
          <w:p w14:paraId="001643F8" w14:textId="77777777" w:rsidR="00C80638" w:rsidRPr="00C80638" w:rsidRDefault="00C80638" w:rsidP="00151873">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034636ED" w14:textId="77777777" w:rsidTr="00D662D7">
        <w:trPr>
          <w:trHeight w:val="251"/>
          <w:jc w:val="center"/>
        </w:trPr>
        <w:tc>
          <w:tcPr>
            <w:tcW w:w="9090" w:type="dxa"/>
            <w:gridSpan w:val="7"/>
            <w:tcBorders>
              <w:top w:val="single" w:sz="4" w:space="0" w:color="auto"/>
              <w:bottom w:val="single" w:sz="4" w:space="0" w:color="auto"/>
            </w:tcBorders>
            <w:shd w:val="clear" w:color="auto" w:fill="auto"/>
          </w:tcPr>
          <w:p w14:paraId="6172918A"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Aqueous solvent mixture</w:t>
            </w:r>
          </w:p>
        </w:tc>
      </w:tr>
      <w:tr w:rsidR="00C80638" w:rsidRPr="00C80638" w14:paraId="1786C01F" w14:textId="77777777" w:rsidTr="00215204">
        <w:trPr>
          <w:trHeight w:val="246"/>
          <w:jc w:val="center"/>
        </w:trPr>
        <w:tc>
          <w:tcPr>
            <w:tcW w:w="1526" w:type="dxa"/>
            <w:tcBorders>
              <w:top w:val="single" w:sz="4" w:space="0" w:color="auto"/>
            </w:tcBorders>
            <w:shd w:val="clear" w:color="auto" w:fill="auto"/>
          </w:tcPr>
          <w:p w14:paraId="37B5C2C4" w14:textId="77777777" w:rsidR="00C80638" w:rsidRPr="00C80638" w:rsidRDefault="00C80638" w:rsidP="00215204">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276" w:type="dxa"/>
            <w:tcBorders>
              <w:top w:val="single" w:sz="4" w:space="0" w:color="auto"/>
            </w:tcBorders>
            <w:shd w:val="clear" w:color="auto" w:fill="auto"/>
          </w:tcPr>
          <w:p w14:paraId="52FDBA89"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6AEA08BC"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1.12</w:t>
            </w:r>
          </w:p>
        </w:tc>
        <w:tc>
          <w:tcPr>
            <w:tcW w:w="1357" w:type="dxa"/>
            <w:tcBorders>
              <w:top w:val="single" w:sz="4" w:space="0" w:color="auto"/>
            </w:tcBorders>
            <w:shd w:val="clear" w:color="auto" w:fill="auto"/>
          </w:tcPr>
          <w:p w14:paraId="2F5E14E0"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4753A386"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0.40</w:t>
            </w:r>
          </w:p>
        </w:tc>
        <w:tc>
          <w:tcPr>
            <w:tcW w:w="1417" w:type="dxa"/>
            <w:tcBorders>
              <w:top w:val="single" w:sz="4" w:space="0" w:color="auto"/>
            </w:tcBorders>
            <w:shd w:val="clear" w:color="auto" w:fill="auto"/>
          </w:tcPr>
          <w:p w14:paraId="6EB536D3"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Pr="00C80638">
              <w:rPr>
                <w:rFonts w:ascii="Times New Roman" w:hAnsi="Times New Roman"/>
                <w:bCs/>
                <w:noProof/>
                <w:sz w:val="20"/>
                <w:szCs w:val="20"/>
                <w:lang w:bidi="ar-SA"/>
              </w:rPr>
              <w:t>±0.03</w:t>
            </w:r>
          </w:p>
        </w:tc>
        <w:tc>
          <w:tcPr>
            <w:tcW w:w="1317" w:type="dxa"/>
            <w:tcBorders>
              <w:top w:val="single" w:sz="4" w:space="0" w:color="auto"/>
            </w:tcBorders>
            <w:shd w:val="clear" w:color="auto" w:fill="FFFFFF" w:themeFill="background1"/>
          </w:tcPr>
          <w:p w14:paraId="3905331D"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0C8373D0" w14:textId="77777777" w:rsidTr="00215204">
        <w:trPr>
          <w:trHeight w:val="257"/>
          <w:jc w:val="center"/>
        </w:trPr>
        <w:tc>
          <w:tcPr>
            <w:tcW w:w="1526" w:type="dxa"/>
            <w:shd w:val="clear" w:color="auto" w:fill="auto"/>
          </w:tcPr>
          <w:p w14:paraId="27851DE9"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276" w:type="dxa"/>
            <w:shd w:val="clear" w:color="auto" w:fill="auto"/>
          </w:tcPr>
          <w:p w14:paraId="38D9336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±0.03</w:t>
            </w:r>
          </w:p>
        </w:tc>
        <w:tc>
          <w:tcPr>
            <w:tcW w:w="1144" w:type="dxa"/>
            <w:shd w:val="clear" w:color="auto" w:fill="FFFFFF" w:themeFill="background1"/>
          </w:tcPr>
          <w:p w14:paraId="7F960CB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1.05</w:t>
            </w:r>
          </w:p>
        </w:tc>
        <w:tc>
          <w:tcPr>
            <w:tcW w:w="1357" w:type="dxa"/>
            <w:shd w:val="clear" w:color="auto" w:fill="auto"/>
          </w:tcPr>
          <w:p w14:paraId="3A72FD4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±0.03</w:t>
            </w:r>
          </w:p>
        </w:tc>
        <w:tc>
          <w:tcPr>
            <w:tcW w:w="1053" w:type="dxa"/>
            <w:shd w:val="clear" w:color="auto" w:fill="FFFFFF" w:themeFill="background1"/>
          </w:tcPr>
          <w:p w14:paraId="686B988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02C7906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Pr="00C80638">
              <w:rPr>
                <w:rFonts w:ascii="Times New Roman" w:hAnsi="Times New Roman"/>
                <w:bCs/>
                <w:noProof/>
                <w:sz w:val="20"/>
                <w:szCs w:val="20"/>
                <w:lang w:bidi="ar-SA"/>
              </w:rPr>
              <w:t>±0.01</w:t>
            </w:r>
          </w:p>
        </w:tc>
        <w:tc>
          <w:tcPr>
            <w:tcW w:w="1317" w:type="dxa"/>
            <w:shd w:val="clear" w:color="auto" w:fill="FFFFFF" w:themeFill="background1"/>
          </w:tcPr>
          <w:p w14:paraId="3CFB374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r>
      <w:tr w:rsidR="00C80638" w:rsidRPr="00C80638" w14:paraId="615D4BA9" w14:textId="77777777" w:rsidTr="00215204">
        <w:trPr>
          <w:trHeight w:val="246"/>
          <w:jc w:val="center"/>
        </w:trPr>
        <w:tc>
          <w:tcPr>
            <w:tcW w:w="1526" w:type="dxa"/>
            <w:shd w:val="clear" w:color="auto" w:fill="auto"/>
          </w:tcPr>
          <w:p w14:paraId="29FEA9B6"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276" w:type="dxa"/>
            <w:shd w:val="clear" w:color="auto" w:fill="auto"/>
          </w:tcPr>
          <w:p w14:paraId="29C178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±0.02</w:t>
            </w:r>
          </w:p>
        </w:tc>
        <w:tc>
          <w:tcPr>
            <w:tcW w:w="1144" w:type="dxa"/>
            <w:shd w:val="clear" w:color="auto" w:fill="FFFFFF" w:themeFill="background1"/>
          </w:tcPr>
          <w:p w14:paraId="7E4A915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1.08</w:t>
            </w:r>
          </w:p>
        </w:tc>
        <w:tc>
          <w:tcPr>
            <w:tcW w:w="1357" w:type="dxa"/>
            <w:shd w:val="clear" w:color="auto" w:fill="auto"/>
          </w:tcPr>
          <w:p w14:paraId="0DB7A3B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±0.03</w:t>
            </w:r>
          </w:p>
        </w:tc>
        <w:tc>
          <w:tcPr>
            <w:tcW w:w="1053" w:type="dxa"/>
            <w:shd w:val="clear" w:color="auto" w:fill="FFFFFF" w:themeFill="background1"/>
          </w:tcPr>
          <w:p w14:paraId="59111C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006CB28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Pr="00C80638">
              <w:rPr>
                <w:rFonts w:ascii="Times New Roman" w:hAnsi="Times New Roman"/>
                <w:bCs/>
                <w:noProof/>
                <w:sz w:val="20"/>
                <w:szCs w:val="20"/>
                <w:lang w:bidi="ar-SA"/>
              </w:rPr>
              <w:t>±0.01</w:t>
            </w:r>
          </w:p>
        </w:tc>
        <w:tc>
          <w:tcPr>
            <w:tcW w:w="1317" w:type="dxa"/>
            <w:shd w:val="clear" w:color="auto" w:fill="FFFFFF" w:themeFill="background1"/>
          </w:tcPr>
          <w:p w14:paraId="650A90A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1023D59E" w14:textId="77777777" w:rsidTr="00215204">
        <w:trPr>
          <w:trHeight w:val="257"/>
          <w:jc w:val="center"/>
        </w:trPr>
        <w:tc>
          <w:tcPr>
            <w:tcW w:w="1526" w:type="dxa"/>
            <w:shd w:val="clear" w:color="auto" w:fill="auto"/>
          </w:tcPr>
          <w:p w14:paraId="532C7FA4" w14:textId="188EE74F"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p>
        </w:tc>
        <w:tc>
          <w:tcPr>
            <w:tcW w:w="1276" w:type="dxa"/>
            <w:shd w:val="clear" w:color="auto" w:fill="auto"/>
          </w:tcPr>
          <w:p w14:paraId="6D2989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±0.02</w:t>
            </w:r>
          </w:p>
        </w:tc>
        <w:tc>
          <w:tcPr>
            <w:tcW w:w="1144" w:type="dxa"/>
            <w:shd w:val="clear" w:color="auto" w:fill="FFFFFF" w:themeFill="background1"/>
          </w:tcPr>
          <w:p w14:paraId="6D9EF5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1.02</w:t>
            </w:r>
          </w:p>
        </w:tc>
        <w:tc>
          <w:tcPr>
            <w:tcW w:w="1357" w:type="dxa"/>
            <w:shd w:val="clear" w:color="auto" w:fill="auto"/>
          </w:tcPr>
          <w:p w14:paraId="06435D4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±0.04</w:t>
            </w:r>
          </w:p>
        </w:tc>
        <w:tc>
          <w:tcPr>
            <w:tcW w:w="1053" w:type="dxa"/>
            <w:shd w:val="clear" w:color="auto" w:fill="FFFFFF" w:themeFill="background1"/>
          </w:tcPr>
          <w:p w14:paraId="615EB45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0.41</w:t>
            </w:r>
          </w:p>
        </w:tc>
        <w:tc>
          <w:tcPr>
            <w:tcW w:w="1417" w:type="dxa"/>
            <w:shd w:val="clear" w:color="auto" w:fill="auto"/>
          </w:tcPr>
          <w:p w14:paraId="0938C9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Pr="00C80638">
              <w:rPr>
                <w:rFonts w:ascii="Times New Roman" w:hAnsi="Times New Roman"/>
                <w:bCs/>
                <w:noProof/>
                <w:sz w:val="20"/>
                <w:szCs w:val="20"/>
                <w:lang w:bidi="ar-SA"/>
              </w:rPr>
              <w:t>±0.01</w:t>
            </w:r>
          </w:p>
        </w:tc>
        <w:tc>
          <w:tcPr>
            <w:tcW w:w="1317" w:type="dxa"/>
            <w:shd w:val="clear" w:color="auto" w:fill="FFFFFF" w:themeFill="background1"/>
          </w:tcPr>
          <w:p w14:paraId="628B2C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56F06123" w14:textId="77777777" w:rsidTr="00215204">
        <w:trPr>
          <w:trHeight w:val="246"/>
          <w:jc w:val="center"/>
        </w:trPr>
        <w:tc>
          <w:tcPr>
            <w:tcW w:w="1526" w:type="dxa"/>
            <w:shd w:val="clear" w:color="auto" w:fill="auto"/>
          </w:tcPr>
          <w:p w14:paraId="49C6CB2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276" w:type="dxa"/>
            <w:shd w:val="clear" w:color="auto" w:fill="auto"/>
          </w:tcPr>
          <w:p w14:paraId="6A6CF00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±0.02</w:t>
            </w:r>
          </w:p>
        </w:tc>
        <w:tc>
          <w:tcPr>
            <w:tcW w:w="1144" w:type="dxa"/>
            <w:shd w:val="clear" w:color="auto" w:fill="FFFFFF" w:themeFill="background1"/>
          </w:tcPr>
          <w:p w14:paraId="7040703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0.99</w:t>
            </w:r>
          </w:p>
        </w:tc>
        <w:tc>
          <w:tcPr>
            <w:tcW w:w="1357" w:type="dxa"/>
            <w:shd w:val="clear" w:color="auto" w:fill="auto"/>
          </w:tcPr>
          <w:p w14:paraId="731CDE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±0.03</w:t>
            </w:r>
          </w:p>
        </w:tc>
        <w:tc>
          <w:tcPr>
            <w:tcW w:w="1053" w:type="dxa"/>
            <w:shd w:val="clear" w:color="auto" w:fill="FFFFFF" w:themeFill="background1"/>
          </w:tcPr>
          <w:p w14:paraId="358208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0.57</w:t>
            </w:r>
          </w:p>
        </w:tc>
        <w:tc>
          <w:tcPr>
            <w:tcW w:w="1417" w:type="dxa"/>
            <w:shd w:val="clear" w:color="auto" w:fill="auto"/>
          </w:tcPr>
          <w:p w14:paraId="588659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Pr="00C80638">
              <w:rPr>
                <w:rFonts w:ascii="Times New Roman" w:hAnsi="Times New Roman"/>
                <w:bCs/>
                <w:noProof/>
                <w:sz w:val="20"/>
                <w:szCs w:val="20"/>
                <w:lang w:bidi="ar-SA"/>
              </w:rPr>
              <w:t>±0.01</w:t>
            </w:r>
          </w:p>
        </w:tc>
        <w:tc>
          <w:tcPr>
            <w:tcW w:w="1317" w:type="dxa"/>
            <w:shd w:val="clear" w:color="auto" w:fill="FFFFFF" w:themeFill="background1"/>
          </w:tcPr>
          <w:p w14:paraId="3531EA2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r>
      <w:tr w:rsidR="00C80638" w:rsidRPr="00C80638" w14:paraId="4660196F" w14:textId="77777777" w:rsidTr="00215204">
        <w:trPr>
          <w:trHeight w:val="257"/>
          <w:jc w:val="center"/>
        </w:trPr>
        <w:tc>
          <w:tcPr>
            <w:tcW w:w="1526" w:type="dxa"/>
            <w:shd w:val="clear" w:color="auto" w:fill="auto"/>
          </w:tcPr>
          <w:p w14:paraId="5ECB516E"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276" w:type="dxa"/>
            <w:shd w:val="clear" w:color="auto" w:fill="auto"/>
          </w:tcPr>
          <w:p w14:paraId="38FFE15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±0.02</w:t>
            </w:r>
          </w:p>
        </w:tc>
        <w:tc>
          <w:tcPr>
            <w:tcW w:w="1144" w:type="dxa"/>
            <w:shd w:val="clear" w:color="auto" w:fill="FFFFFF" w:themeFill="background1"/>
          </w:tcPr>
          <w:p w14:paraId="4B75CF6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1.20</w:t>
            </w:r>
          </w:p>
        </w:tc>
        <w:tc>
          <w:tcPr>
            <w:tcW w:w="1357" w:type="dxa"/>
            <w:shd w:val="clear" w:color="auto" w:fill="auto"/>
          </w:tcPr>
          <w:p w14:paraId="01A19C3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±0.02</w:t>
            </w:r>
          </w:p>
        </w:tc>
        <w:tc>
          <w:tcPr>
            <w:tcW w:w="1053" w:type="dxa"/>
            <w:shd w:val="clear" w:color="auto" w:fill="FFFFFF" w:themeFill="background1"/>
          </w:tcPr>
          <w:p w14:paraId="2FF3045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0.43</w:t>
            </w:r>
          </w:p>
        </w:tc>
        <w:tc>
          <w:tcPr>
            <w:tcW w:w="1417" w:type="dxa"/>
            <w:shd w:val="clear" w:color="auto" w:fill="auto"/>
          </w:tcPr>
          <w:p w14:paraId="18FA119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Pr="00C80638">
              <w:rPr>
                <w:rFonts w:ascii="Times New Roman" w:hAnsi="Times New Roman"/>
                <w:bCs/>
                <w:noProof/>
                <w:sz w:val="20"/>
                <w:szCs w:val="20"/>
                <w:lang w:bidi="ar-SA"/>
              </w:rPr>
              <w:t>±0.03</w:t>
            </w:r>
          </w:p>
        </w:tc>
        <w:tc>
          <w:tcPr>
            <w:tcW w:w="1317" w:type="dxa"/>
            <w:shd w:val="clear" w:color="auto" w:fill="FFFFFF" w:themeFill="background1"/>
          </w:tcPr>
          <w:p w14:paraId="4C8286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0.58</w:t>
            </w:r>
          </w:p>
        </w:tc>
      </w:tr>
      <w:tr w:rsidR="00C80638" w:rsidRPr="00C80638" w14:paraId="5D4B8936" w14:textId="77777777" w:rsidTr="00215204">
        <w:trPr>
          <w:trHeight w:val="246"/>
          <w:jc w:val="center"/>
        </w:trPr>
        <w:tc>
          <w:tcPr>
            <w:tcW w:w="1526" w:type="dxa"/>
            <w:shd w:val="clear" w:color="auto" w:fill="auto"/>
          </w:tcPr>
          <w:p w14:paraId="6FBC821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276" w:type="dxa"/>
            <w:shd w:val="clear" w:color="auto" w:fill="auto"/>
          </w:tcPr>
          <w:p w14:paraId="2DD803E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±0.01</w:t>
            </w:r>
          </w:p>
        </w:tc>
        <w:tc>
          <w:tcPr>
            <w:tcW w:w="1144" w:type="dxa"/>
            <w:shd w:val="clear" w:color="auto" w:fill="FFFFFF" w:themeFill="background1"/>
          </w:tcPr>
          <w:p w14:paraId="531B64E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1.14</w:t>
            </w:r>
          </w:p>
        </w:tc>
        <w:tc>
          <w:tcPr>
            <w:tcW w:w="1357" w:type="dxa"/>
            <w:shd w:val="clear" w:color="auto" w:fill="auto"/>
          </w:tcPr>
          <w:p w14:paraId="5CFAC88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±0.02</w:t>
            </w:r>
          </w:p>
        </w:tc>
        <w:tc>
          <w:tcPr>
            <w:tcW w:w="1053" w:type="dxa"/>
            <w:shd w:val="clear" w:color="auto" w:fill="FFFFFF" w:themeFill="background1"/>
          </w:tcPr>
          <w:p w14:paraId="1BEC08B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17" w:type="dxa"/>
            <w:shd w:val="clear" w:color="auto" w:fill="auto"/>
          </w:tcPr>
          <w:p w14:paraId="4916F8E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Pr="00C80638">
              <w:rPr>
                <w:rFonts w:ascii="Times New Roman" w:hAnsi="Times New Roman"/>
                <w:bCs/>
                <w:noProof/>
                <w:sz w:val="20"/>
                <w:szCs w:val="20"/>
                <w:lang w:bidi="ar-SA"/>
              </w:rPr>
              <w:t>±0.03</w:t>
            </w:r>
          </w:p>
        </w:tc>
        <w:tc>
          <w:tcPr>
            <w:tcW w:w="1317" w:type="dxa"/>
            <w:shd w:val="clear" w:color="auto" w:fill="FFFFFF" w:themeFill="background1"/>
          </w:tcPr>
          <w:p w14:paraId="11574DA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0.62</w:t>
            </w:r>
          </w:p>
        </w:tc>
      </w:tr>
      <w:tr w:rsidR="00C80638" w:rsidRPr="00C80638" w14:paraId="48CA3B17" w14:textId="77777777" w:rsidTr="00215204">
        <w:trPr>
          <w:trHeight w:val="246"/>
          <w:jc w:val="center"/>
        </w:trPr>
        <w:tc>
          <w:tcPr>
            <w:tcW w:w="1526" w:type="dxa"/>
            <w:tcBorders>
              <w:bottom w:val="single" w:sz="4" w:space="0" w:color="auto"/>
            </w:tcBorders>
            <w:shd w:val="clear" w:color="auto" w:fill="auto"/>
          </w:tcPr>
          <w:p w14:paraId="35DBD2A1" w14:textId="77777777" w:rsidR="00C80638" w:rsidRPr="00C80638" w:rsidRDefault="00C80638" w:rsidP="00215204">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276" w:type="dxa"/>
            <w:tcBorders>
              <w:bottom w:val="single" w:sz="4" w:space="0" w:color="auto"/>
            </w:tcBorders>
            <w:shd w:val="clear" w:color="auto" w:fill="auto"/>
          </w:tcPr>
          <w:p w14:paraId="4D2C478C"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±0.02</w:t>
            </w:r>
          </w:p>
        </w:tc>
        <w:tc>
          <w:tcPr>
            <w:tcW w:w="1144" w:type="dxa"/>
            <w:tcBorders>
              <w:bottom w:val="single" w:sz="4" w:space="0" w:color="auto"/>
            </w:tcBorders>
            <w:shd w:val="clear" w:color="auto" w:fill="FFFFFF" w:themeFill="background1"/>
          </w:tcPr>
          <w:p w14:paraId="36C1B6A1"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0.89</w:t>
            </w:r>
          </w:p>
        </w:tc>
        <w:tc>
          <w:tcPr>
            <w:tcW w:w="1357" w:type="dxa"/>
            <w:tcBorders>
              <w:bottom w:val="single" w:sz="4" w:space="0" w:color="auto"/>
            </w:tcBorders>
            <w:shd w:val="clear" w:color="auto" w:fill="auto"/>
          </w:tcPr>
          <w:p w14:paraId="40880020"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±0.02</w:t>
            </w:r>
          </w:p>
        </w:tc>
        <w:tc>
          <w:tcPr>
            <w:tcW w:w="1053" w:type="dxa"/>
            <w:tcBorders>
              <w:bottom w:val="single" w:sz="4" w:space="0" w:color="auto"/>
            </w:tcBorders>
            <w:shd w:val="clear" w:color="auto" w:fill="FFFFFF" w:themeFill="background1"/>
          </w:tcPr>
          <w:p w14:paraId="3C79A9F6"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c>
          <w:tcPr>
            <w:tcW w:w="1417" w:type="dxa"/>
            <w:tcBorders>
              <w:bottom w:val="single" w:sz="4" w:space="0" w:color="auto"/>
            </w:tcBorders>
            <w:shd w:val="clear" w:color="auto" w:fill="auto"/>
          </w:tcPr>
          <w:p w14:paraId="227A1025"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Pr="00C80638">
              <w:rPr>
                <w:rFonts w:ascii="Times New Roman" w:hAnsi="Times New Roman"/>
                <w:bCs/>
                <w:noProof/>
                <w:sz w:val="20"/>
                <w:szCs w:val="20"/>
                <w:lang w:bidi="ar-SA"/>
              </w:rPr>
              <w:t>±0.01</w:t>
            </w:r>
          </w:p>
        </w:tc>
        <w:tc>
          <w:tcPr>
            <w:tcW w:w="1317" w:type="dxa"/>
            <w:tcBorders>
              <w:bottom w:val="single" w:sz="4" w:space="0" w:color="auto"/>
            </w:tcBorders>
            <w:shd w:val="clear" w:color="auto" w:fill="FFFFFF" w:themeFill="background1"/>
          </w:tcPr>
          <w:p w14:paraId="3FCA23BF"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r>
      <w:tr w:rsidR="00C80638" w:rsidRPr="00C80638" w14:paraId="5557368F" w14:textId="77777777" w:rsidTr="00215204">
        <w:trPr>
          <w:trHeight w:val="251"/>
          <w:jc w:val="center"/>
        </w:trPr>
        <w:tc>
          <w:tcPr>
            <w:tcW w:w="9090" w:type="dxa"/>
            <w:gridSpan w:val="7"/>
            <w:tcBorders>
              <w:top w:val="single" w:sz="4" w:space="0" w:color="auto"/>
              <w:bottom w:val="single" w:sz="4" w:space="0" w:color="auto"/>
            </w:tcBorders>
            <w:shd w:val="clear" w:color="auto" w:fill="FFFFFF" w:themeFill="background1"/>
          </w:tcPr>
          <w:p w14:paraId="1149BFFE"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Non-aqueous solvent mixture</w:t>
            </w:r>
          </w:p>
        </w:tc>
      </w:tr>
      <w:tr w:rsidR="00C80638" w:rsidRPr="00C80638" w14:paraId="6FDD8A83" w14:textId="77777777" w:rsidTr="00215204">
        <w:trPr>
          <w:trHeight w:val="257"/>
          <w:jc w:val="center"/>
        </w:trPr>
        <w:tc>
          <w:tcPr>
            <w:tcW w:w="1526" w:type="dxa"/>
            <w:tcBorders>
              <w:top w:val="single" w:sz="4" w:space="0" w:color="auto"/>
            </w:tcBorders>
            <w:shd w:val="clear" w:color="auto" w:fill="auto"/>
          </w:tcPr>
          <w:p w14:paraId="0DD4EA23" w14:textId="277BCF95" w:rsidR="00C80638" w:rsidRPr="00C80638" w:rsidRDefault="00C80638"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r w:rsidR="00215204">
              <w:rPr>
                <w:rFonts w:ascii="Times New Roman" w:hAnsi="Times New Roman"/>
                <w:noProof/>
                <w:sz w:val="20"/>
                <w:szCs w:val="20"/>
                <w:lang w:bidi="ar-SA"/>
              </w:rPr>
              <w:t>CAN</w:t>
            </w:r>
          </w:p>
        </w:tc>
        <w:tc>
          <w:tcPr>
            <w:tcW w:w="1276" w:type="dxa"/>
            <w:tcBorders>
              <w:top w:val="single" w:sz="4" w:space="0" w:color="auto"/>
            </w:tcBorders>
            <w:shd w:val="clear" w:color="auto" w:fill="auto"/>
          </w:tcPr>
          <w:p w14:paraId="3C27008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3F4D1822"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0.75</w:t>
            </w:r>
          </w:p>
        </w:tc>
        <w:tc>
          <w:tcPr>
            <w:tcW w:w="1357" w:type="dxa"/>
            <w:tcBorders>
              <w:top w:val="single" w:sz="4" w:space="0" w:color="auto"/>
            </w:tcBorders>
            <w:shd w:val="clear" w:color="auto" w:fill="auto"/>
          </w:tcPr>
          <w:p w14:paraId="0BA3B44F"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2248FA04"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0.51</w:t>
            </w:r>
          </w:p>
        </w:tc>
        <w:tc>
          <w:tcPr>
            <w:tcW w:w="1417" w:type="dxa"/>
            <w:tcBorders>
              <w:top w:val="single" w:sz="4" w:space="0" w:color="auto"/>
            </w:tcBorders>
            <w:shd w:val="clear" w:color="auto" w:fill="auto"/>
          </w:tcPr>
          <w:p w14:paraId="64AC3196"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Pr="00C80638">
              <w:rPr>
                <w:rFonts w:ascii="Times New Roman" w:hAnsi="Times New Roman"/>
                <w:bCs/>
                <w:noProof/>
                <w:sz w:val="20"/>
                <w:szCs w:val="20"/>
                <w:lang w:bidi="ar-SA"/>
              </w:rPr>
              <w:t>±0.001</w:t>
            </w:r>
          </w:p>
        </w:tc>
        <w:tc>
          <w:tcPr>
            <w:tcW w:w="1317" w:type="dxa"/>
            <w:tcBorders>
              <w:top w:val="single" w:sz="4" w:space="0" w:color="auto"/>
            </w:tcBorders>
            <w:shd w:val="clear" w:color="auto" w:fill="FFFFFF" w:themeFill="background1"/>
          </w:tcPr>
          <w:p w14:paraId="3CF721E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3EE3724" w14:textId="77777777" w:rsidTr="00215204">
        <w:trPr>
          <w:trHeight w:val="246"/>
          <w:jc w:val="center"/>
        </w:trPr>
        <w:tc>
          <w:tcPr>
            <w:tcW w:w="1526" w:type="dxa"/>
            <w:shd w:val="clear" w:color="auto" w:fill="auto"/>
          </w:tcPr>
          <w:p w14:paraId="2117C8B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276" w:type="dxa"/>
            <w:shd w:val="clear" w:color="auto" w:fill="auto"/>
          </w:tcPr>
          <w:p w14:paraId="287CCBF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±0.02</w:t>
            </w:r>
          </w:p>
        </w:tc>
        <w:tc>
          <w:tcPr>
            <w:tcW w:w="1144" w:type="dxa"/>
            <w:shd w:val="clear" w:color="auto" w:fill="FFFFFF" w:themeFill="background1"/>
          </w:tcPr>
          <w:p w14:paraId="56A952E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357" w:type="dxa"/>
            <w:shd w:val="clear" w:color="auto" w:fill="auto"/>
          </w:tcPr>
          <w:p w14:paraId="38DEBDD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±0.03</w:t>
            </w:r>
          </w:p>
        </w:tc>
        <w:tc>
          <w:tcPr>
            <w:tcW w:w="1053" w:type="dxa"/>
            <w:shd w:val="clear" w:color="auto" w:fill="FFFFFF" w:themeFill="background1"/>
          </w:tcPr>
          <w:p w14:paraId="5425AA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0.59</w:t>
            </w:r>
          </w:p>
        </w:tc>
        <w:tc>
          <w:tcPr>
            <w:tcW w:w="1417" w:type="dxa"/>
            <w:shd w:val="clear" w:color="auto" w:fill="auto"/>
          </w:tcPr>
          <w:p w14:paraId="441D632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Pr="00C80638">
              <w:rPr>
                <w:rFonts w:ascii="Times New Roman" w:hAnsi="Times New Roman"/>
                <w:bCs/>
                <w:noProof/>
                <w:sz w:val="20"/>
                <w:szCs w:val="20"/>
                <w:lang w:bidi="ar-SA"/>
              </w:rPr>
              <w:t>±0.01</w:t>
            </w:r>
          </w:p>
        </w:tc>
        <w:tc>
          <w:tcPr>
            <w:tcW w:w="1317" w:type="dxa"/>
            <w:shd w:val="clear" w:color="auto" w:fill="FFFFFF" w:themeFill="background1"/>
          </w:tcPr>
          <w:p w14:paraId="3670E42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0.76</w:t>
            </w:r>
          </w:p>
        </w:tc>
      </w:tr>
      <w:tr w:rsidR="00C80638" w:rsidRPr="00C80638" w14:paraId="3E09C5C0" w14:textId="77777777" w:rsidTr="00215204">
        <w:trPr>
          <w:trHeight w:val="257"/>
          <w:jc w:val="center"/>
        </w:trPr>
        <w:tc>
          <w:tcPr>
            <w:tcW w:w="1526" w:type="dxa"/>
            <w:shd w:val="clear" w:color="auto" w:fill="auto"/>
          </w:tcPr>
          <w:p w14:paraId="04C61AA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276" w:type="dxa"/>
            <w:shd w:val="clear" w:color="auto" w:fill="auto"/>
          </w:tcPr>
          <w:p w14:paraId="3EFA13F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±0.02</w:t>
            </w:r>
          </w:p>
        </w:tc>
        <w:tc>
          <w:tcPr>
            <w:tcW w:w="1144" w:type="dxa"/>
            <w:shd w:val="clear" w:color="auto" w:fill="FFFFFF" w:themeFill="background1"/>
          </w:tcPr>
          <w:p w14:paraId="1ADD08F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0.78</w:t>
            </w:r>
          </w:p>
        </w:tc>
        <w:tc>
          <w:tcPr>
            <w:tcW w:w="1357" w:type="dxa"/>
            <w:shd w:val="clear" w:color="auto" w:fill="auto"/>
          </w:tcPr>
          <w:p w14:paraId="2CAE50A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±0.04</w:t>
            </w:r>
          </w:p>
        </w:tc>
        <w:tc>
          <w:tcPr>
            <w:tcW w:w="1053" w:type="dxa"/>
            <w:shd w:val="clear" w:color="auto" w:fill="FFFFFF" w:themeFill="background1"/>
          </w:tcPr>
          <w:p w14:paraId="365853A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417" w:type="dxa"/>
            <w:shd w:val="clear" w:color="auto" w:fill="auto"/>
          </w:tcPr>
          <w:p w14:paraId="758F2B9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Pr="00C80638">
              <w:rPr>
                <w:rFonts w:ascii="Times New Roman" w:hAnsi="Times New Roman"/>
                <w:bCs/>
                <w:noProof/>
                <w:sz w:val="20"/>
                <w:szCs w:val="20"/>
                <w:lang w:bidi="ar-SA"/>
              </w:rPr>
              <w:t>±0.02</w:t>
            </w:r>
          </w:p>
        </w:tc>
        <w:tc>
          <w:tcPr>
            <w:tcW w:w="1317" w:type="dxa"/>
            <w:shd w:val="clear" w:color="auto" w:fill="FFFFFF" w:themeFill="background1"/>
          </w:tcPr>
          <w:p w14:paraId="10879FC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4B47F540" w14:textId="77777777" w:rsidTr="00215204">
        <w:trPr>
          <w:trHeight w:val="246"/>
          <w:jc w:val="center"/>
        </w:trPr>
        <w:tc>
          <w:tcPr>
            <w:tcW w:w="1526" w:type="dxa"/>
            <w:shd w:val="clear" w:color="auto" w:fill="auto"/>
          </w:tcPr>
          <w:p w14:paraId="17F42787"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276" w:type="dxa"/>
            <w:shd w:val="clear" w:color="auto" w:fill="auto"/>
          </w:tcPr>
          <w:p w14:paraId="0C9D12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±0.02</w:t>
            </w:r>
          </w:p>
        </w:tc>
        <w:tc>
          <w:tcPr>
            <w:tcW w:w="1144" w:type="dxa"/>
            <w:shd w:val="clear" w:color="auto" w:fill="FFFFFF" w:themeFill="background1"/>
          </w:tcPr>
          <w:p w14:paraId="00CF21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0.83</w:t>
            </w:r>
          </w:p>
        </w:tc>
        <w:tc>
          <w:tcPr>
            <w:tcW w:w="1357" w:type="dxa"/>
            <w:shd w:val="clear" w:color="auto" w:fill="auto"/>
          </w:tcPr>
          <w:p w14:paraId="254B3E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±0.04</w:t>
            </w:r>
          </w:p>
        </w:tc>
        <w:tc>
          <w:tcPr>
            <w:tcW w:w="1053" w:type="dxa"/>
            <w:shd w:val="clear" w:color="auto" w:fill="FFFFFF" w:themeFill="background1"/>
          </w:tcPr>
          <w:p w14:paraId="5296EF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0.74</w:t>
            </w:r>
          </w:p>
        </w:tc>
        <w:tc>
          <w:tcPr>
            <w:tcW w:w="1417" w:type="dxa"/>
            <w:shd w:val="clear" w:color="auto" w:fill="auto"/>
          </w:tcPr>
          <w:p w14:paraId="036840A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Pr="00C80638">
              <w:rPr>
                <w:rFonts w:ascii="Times New Roman" w:hAnsi="Times New Roman"/>
                <w:bCs/>
                <w:noProof/>
                <w:sz w:val="20"/>
                <w:szCs w:val="20"/>
                <w:lang w:bidi="ar-SA"/>
              </w:rPr>
              <w:t>±0.01</w:t>
            </w:r>
          </w:p>
        </w:tc>
        <w:tc>
          <w:tcPr>
            <w:tcW w:w="1317" w:type="dxa"/>
            <w:shd w:val="clear" w:color="auto" w:fill="FFFFFF" w:themeFill="background1"/>
          </w:tcPr>
          <w:p w14:paraId="5183E07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007A01AE" w14:textId="77777777" w:rsidTr="00215204">
        <w:trPr>
          <w:trHeight w:val="257"/>
          <w:jc w:val="center"/>
        </w:trPr>
        <w:tc>
          <w:tcPr>
            <w:tcW w:w="1526" w:type="dxa"/>
            <w:shd w:val="clear" w:color="auto" w:fill="auto"/>
          </w:tcPr>
          <w:p w14:paraId="229869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276" w:type="dxa"/>
            <w:shd w:val="clear" w:color="auto" w:fill="auto"/>
          </w:tcPr>
          <w:p w14:paraId="4C245C2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144" w:type="dxa"/>
            <w:shd w:val="clear" w:color="auto" w:fill="FFFFFF" w:themeFill="background1"/>
          </w:tcPr>
          <w:p w14:paraId="29EF05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357" w:type="dxa"/>
            <w:shd w:val="clear" w:color="auto" w:fill="auto"/>
          </w:tcPr>
          <w:p w14:paraId="51C047F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053" w:type="dxa"/>
            <w:shd w:val="clear" w:color="auto" w:fill="FFFFFF" w:themeFill="background1"/>
          </w:tcPr>
          <w:p w14:paraId="5895014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17" w:type="dxa"/>
            <w:shd w:val="clear" w:color="auto" w:fill="auto"/>
          </w:tcPr>
          <w:p w14:paraId="675DFB7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Pr="00C80638">
              <w:rPr>
                <w:rFonts w:ascii="Times New Roman" w:hAnsi="Times New Roman"/>
                <w:bCs/>
                <w:noProof/>
                <w:sz w:val="20"/>
                <w:szCs w:val="20"/>
                <w:lang w:bidi="ar-SA"/>
              </w:rPr>
              <w:t>±0.02</w:t>
            </w:r>
          </w:p>
        </w:tc>
        <w:tc>
          <w:tcPr>
            <w:tcW w:w="1317" w:type="dxa"/>
            <w:shd w:val="clear" w:color="auto" w:fill="FFFFFF" w:themeFill="background1"/>
          </w:tcPr>
          <w:p w14:paraId="1B860BA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r>
      <w:tr w:rsidR="00C80638" w:rsidRPr="00C80638" w14:paraId="2C0F55AE" w14:textId="77777777" w:rsidTr="00215204">
        <w:trPr>
          <w:trHeight w:val="246"/>
          <w:jc w:val="center"/>
        </w:trPr>
        <w:tc>
          <w:tcPr>
            <w:tcW w:w="1526" w:type="dxa"/>
            <w:shd w:val="clear" w:color="auto" w:fill="auto"/>
          </w:tcPr>
          <w:p w14:paraId="639F14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276" w:type="dxa"/>
            <w:shd w:val="clear" w:color="auto" w:fill="auto"/>
          </w:tcPr>
          <w:p w14:paraId="68F2A21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±0.02</w:t>
            </w:r>
          </w:p>
        </w:tc>
        <w:tc>
          <w:tcPr>
            <w:tcW w:w="1144" w:type="dxa"/>
            <w:shd w:val="clear" w:color="auto" w:fill="FFFFFF" w:themeFill="background1"/>
          </w:tcPr>
          <w:p w14:paraId="3F41111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0.73</w:t>
            </w:r>
          </w:p>
        </w:tc>
        <w:tc>
          <w:tcPr>
            <w:tcW w:w="1357" w:type="dxa"/>
            <w:shd w:val="clear" w:color="auto" w:fill="auto"/>
          </w:tcPr>
          <w:p w14:paraId="3E38824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±0.03</w:t>
            </w:r>
          </w:p>
        </w:tc>
        <w:tc>
          <w:tcPr>
            <w:tcW w:w="1053" w:type="dxa"/>
            <w:shd w:val="clear" w:color="auto" w:fill="FFFFFF" w:themeFill="background1"/>
          </w:tcPr>
          <w:p w14:paraId="18EBCE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17" w:type="dxa"/>
            <w:shd w:val="clear" w:color="auto" w:fill="auto"/>
          </w:tcPr>
          <w:p w14:paraId="296FB16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Pr="00C80638">
              <w:rPr>
                <w:rFonts w:ascii="Times New Roman" w:hAnsi="Times New Roman"/>
                <w:bCs/>
                <w:noProof/>
                <w:sz w:val="20"/>
                <w:szCs w:val="20"/>
                <w:lang w:bidi="ar-SA"/>
              </w:rPr>
              <w:t>±0.02</w:t>
            </w:r>
          </w:p>
        </w:tc>
        <w:tc>
          <w:tcPr>
            <w:tcW w:w="1317" w:type="dxa"/>
            <w:shd w:val="clear" w:color="auto" w:fill="FFFFFF" w:themeFill="background1"/>
          </w:tcPr>
          <w:p w14:paraId="3CF55D7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0.88</w:t>
            </w:r>
          </w:p>
        </w:tc>
      </w:tr>
      <w:tr w:rsidR="00C80638" w:rsidRPr="00C80638" w14:paraId="6EC6728A" w14:textId="77777777" w:rsidTr="00215204">
        <w:trPr>
          <w:trHeight w:val="257"/>
          <w:jc w:val="center"/>
        </w:trPr>
        <w:tc>
          <w:tcPr>
            <w:tcW w:w="1526" w:type="dxa"/>
            <w:shd w:val="clear" w:color="auto" w:fill="auto"/>
          </w:tcPr>
          <w:p w14:paraId="6356B792"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276" w:type="dxa"/>
            <w:shd w:val="clear" w:color="auto" w:fill="auto"/>
          </w:tcPr>
          <w:p w14:paraId="10CD413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144" w:type="dxa"/>
            <w:shd w:val="clear" w:color="auto" w:fill="FFFFFF" w:themeFill="background1"/>
          </w:tcPr>
          <w:p w14:paraId="2D4AD6E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0.79</w:t>
            </w:r>
          </w:p>
        </w:tc>
        <w:tc>
          <w:tcPr>
            <w:tcW w:w="1357" w:type="dxa"/>
            <w:shd w:val="clear" w:color="auto" w:fill="auto"/>
          </w:tcPr>
          <w:p w14:paraId="2B226D0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053" w:type="dxa"/>
            <w:shd w:val="clear" w:color="auto" w:fill="FFFFFF" w:themeFill="background1"/>
          </w:tcPr>
          <w:p w14:paraId="62BD5F9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0.63</w:t>
            </w:r>
          </w:p>
        </w:tc>
        <w:tc>
          <w:tcPr>
            <w:tcW w:w="1417" w:type="dxa"/>
            <w:shd w:val="clear" w:color="auto" w:fill="auto"/>
          </w:tcPr>
          <w:p w14:paraId="1609DB1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Pr="00C80638">
              <w:rPr>
                <w:rFonts w:ascii="Times New Roman" w:hAnsi="Times New Roman"/>
                <w:bCs/>
                <w:noProof/>
                <w:sz w:val="20"/>
                <w:szCs w:val="20"/>
                <w:lang w:bidi="ar-SA"/>
              </w:rPr>
              <w:t>±0.02</w:t>
            </w:r>
          </w:p>
        </w:tc>
        <w:tc>
          <w:tcPr>
            <w:tcW w:w="1317" w:type="dxa"/>
            <w:shd w:val="clear" w:color="auto" w:fill="FFFFFF" w:themeFill="background1"/>
          </w:tcPr>
          <w:p w14:paraId="132789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0.81</w:t>
            </w:r>
          </w:p>
        </w:tc>
      </w:tr>
      <w:tr w:rsidR="00C80638" w:rsidRPr="00C80638" w14:paraId="316AF6AB" w14:textId="77777777" w:rsidTr="00215204">
        <w:trPr>
          <w:trHeight w:val="246"/>
          <w:jc w:val="center"/>
        </w:trPr>
        <w:tc>
          <w:tcPr>
            <w:tcW w:w="1526" w:type="dxa"/>
            <w:tcBorders>
              <w:bottom w:val="single" w:sz="4" w:space="0" w:color="auto"/>
            </w:tcBorders>
            <w:shd w:val="clear" w:color="auto" w:fill="auto"/>
          </w:tcPr>
          <w:p w14:paraId="4E250740" w14:textId="77777777" w:rsidR="00C80638" w:rsidRPr="00C80638" w:rsidRDefault="00C80638" w:rsidP="007677D7">
            <w:pPr>
              <w:spacing w:after="6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276" w:type="dxa"/>
            <w:tcBorders>
              <w:bottom w:val="single" w:sz="4" w:space="0" w:color="auto"/>
            </w:tcBorders>
            <w:shd w:val="clear" w:color="auto" w:fill="auto"/>
          </w:tcPr>
          <w:p w14:paraId="7D940A7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±0.05</w:t>
            </w:r>
          </w:p>
        </w:tc>
        <w:tc>
          <w:tcPr>
            <w:tcW w:w="1144" w:type="dxa"/>
            <w:tcBorders>
              <w:bottom w:val="single" w:sz="4" w:space="0" w:color="auto"/>
            </w:tcBorders>
            <w:shd w:val="clear" w:color="auto" w:fill="FFFFFF" w:themeFill="background1"/>
          </w:tcPr>
          <w:p w14:paraId="3362B733"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c>
          <w:tcPr>
            <w:tcW w:w="1357" w:type="dxa"/>
            <w:tcBorders>
              <w:bottom w:val="single" w:sz="4" w:space="0" w:color="auto"/>
            </w:tcBorders>
            <w:shd w:val="clear" w:color="auto" w:fill="auto"/>
          </w:tcPr>
          <w:p w14:paraId="6D1AE116"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±0.03</w:t>
            </w:r>
          </w:p>
        </w:tc>
        <w:tc>
          <w:tcPr>
            <w:tcW w:w="1053" w:type="dxa"/>
            <w:tcBorders>
              <w:bottom w:val="single" w:sz="4" w:space="0" w:color="auto"/>
            </w:tcBorders>
            <w:shd w:val="clear" w:color="auto" w:fill="FFFFFF" w:themeFill="background1"/>
          </w:tcPr>
          <w:p w14:paraId="3B3A06B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0.61</w:t>
            </w:r>
          </w:p>
        </w:tc>
        <w:tc>
          <w:tcPr>
            <w:tcW w:w="1417" w:type="dxa"/>
            <w:tcBorders>
              <w:bottom w:val="single" w:sz="4" w:space="0" w:color="auto"/>
            </w:tcBorders>
            <w:shd w:val="clear" w:color="auto" w:fill="auto"/>
          </w:tcPr>
          <w:p w14:paraId="3C20B941"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Pr="00C80638">
              <w:rPr>
                <w:rFonts w:ascii="Times New Roman" w:hAnsi="Times New Roman"/>
                <w:bCs/>
                <w:noProof/>
                <w:sz w:val="20"/>
                <w:szCs w:val="20"/>
                <w:lang w:bidi="ar-SA"/>
              </w:rPr>
              <w:t>±0.02</w:t>
            </w:r>
          </w:p>
        </w:tc>
        <w:tc>
          <w:tcPr>
            <w:tcW w:w="1317" w:type="dxa"/>
            <w:tcBorders>
              <w:bottom w:val="single" w:sz="4" w:space="0" w:color="auto"/>
            </w:tcBorders>
            <w:shd w:val="clear" w:color="auto" w:fill="FFFFFF" w:themeFill="background1"/>
          </w:tcPr>
          <w:p w14:paraId="4E6FC87B"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0.84</w:t>
            </w:r>
          </w:p>
        </w:tc>
      </w:tr>
      <w:tr w:rsidR="00C80638" w:rsidRPr="00C80638" w14:paraId="7AE63F1E" w14:textId="77777777" w:rsidTr="00976876">
        <w:trPr>
          <w:trHeight w:val="246"/>
          <w:jc w:val="center"/>
        </w:trPr>
        <w:tc>
          <w:tcPr>
            <w:tcW w:w="9090" w:type="dxa"/>
            <w:gridSpan w:val="7"/>
            <w:tcBorders>
              <w:top w:val="single" w:sz="4" w:space="0" w:color="auto"/>
            </w:tcBorders>
            <w:shd w:val="clear" w:color="auto" w:fill="auto"/>
          </w:tcPr>
          <w:p w14:paraId="6F85CBBF" w14:textId="77777777" w:rsidR="00C80638" w:rsidRPr="00215204" w:rsidRDefault="00C80638" w:rsidP="00215204">
            <w:pPr>
              <w:spacing w:before="60" w:after="0"/>
              <w:rPr>
                <w:rFonts w:ascii="Times New Roman" w:hAnsi="Times New Roman"/>
                <w:noProof/>
                <w:sz w:val="18"/>
                <w:szCs w:val="18"/>
                <w:lang w:bidi="ar-SA"/>
              </w:rPr>
            </w:pPr>
            <w:r w:rsidRPr="00215204">
              <w:rPr>
                <w:rFonts w:ascii="Times New Roman" w:hAnsi="Times New Roman"/>
                <w:noProof/>
                <w:sz w:val="18"/>
                <w:szCs w:val="18"/>
                <w:lang w:bidi="ar-SA"/>
              </w:rPr>
              <w:t xml:space="preserve">Key: </w:t>
            </w:r>
            <w:r w:rsidRPr="00215204">
              <w:rPr>
                <w:rFonts w:ascii="Times New Roman" w:hAnsi="Times New Roman"/>
                <w:bCs/>
                <w:noProof/>
                <w:sz w:val="18"/>
                <w:szCs w:val="18"/>
                <w:lang w:bidi="ar-SA"/>
              </w:rPr>
              <w:t>*P values (P&lt;0.05) were regarded as significant. Uncertainty value of π* = 7×10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β = 8×10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and α = 3×10</w:t>
            </w:r>
            <w:r w:rsidRPr="00215204">
              <w:rPr>
                <w:rFonts w:ascii="Times New Roman" w:hAnsi="Times New Roman"/>
                <w:bCs/>
                <w:noProof/>
                <w:sz w:val="18"/>
                <w:szCs w:val="18"/>
                <w:vertAlign w:val="superscript"/>
                <w:lang w:bidi="ar-SA"/>
              </w:rPr>
              <w:t>-3</w:t>
            </w:r>
          </w:p>
        </w:tc>
      </w:tr>
    </w:tbl>
    <w:p w14:paraId="1088DEDB" w14:textId="24F67ACA" w:rsidR="00976876" w:rsidRDefault="00976876" w:rsidP="00215204">
      <w:pPr>
        <w:spacing w:after="0"/>
        <w:jc w:val="both"/>
        <w:rPr>
          <w:rFonts w:ascii="Times New Roman" w:hAnsi="Times New Roman"/>
          <w:bCs/>
          <w:noProof/>
          <w:sz w:val="20"/>
          <w:szCs w:val="20"/>
          <w:lang w:bidi="ar-SA"/>
        </w:rPr>
      </w:pPr>
    </w:p>
    <w:p w14:paraId="1ED166CF" w14:textId="53D755BA" w:rsidR="00215204" w:rsidRDefault="00215204" w:rsidP="00215204">
      <w:pPr>
        <w:spacing w:after="0"/>
        <w:jc w:val="both"/>
        <w:rPr>
          <w:rFonts w:ascii="Times New Roman" w:hAnsi="Times New Roman"/>
          <w:bCs/>
          <w:noProof/>
          <w:sz w:val="20"/>
          <w:szCs w:val="20"/>
          <w:lang w:bidi="ar-SA"/>
        </w:rPr>
      </w:pPr>
    </w:p>
    <w:p w14:paraId="17710492" w14:textId="7D08E92A" w:rsidR="009E2062" w:rsidRPr="00C80638" w:rsidRDefault="009E2062" w:rsidP="009E2062">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t xml:space="preserve">Table 4.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141D45" w:rsidRPr="00C80638" w14:paraId="594C975A" w14:textId="77777777" w:rsidTr="00141D45">
        <w:trPr>
          <w:trHeight w:val="325"/>
          <w:jc w:val="center"/>
        </w:trPr>
        <w:tc>
          <w:tcPr>
            <w:tcW w:w="1588" w:type="dxa"/>
            <w:vMerge w:val="restart"/>
            <w:tcBorders>
              <w:top w:val="single" w:sz="4" w:space="0" w:color="auto"/>
              <w:bottom w:val="single" w:sz="4" w:space="0" w:color="auto"/>
            </w:tcBorders>
            <w:shd w:val="clear" w:color="auto" w:fill="auto"/>
            <w:noWrap/>
            <w:vAlign w:val="center"/>
            <w:hideMark/>
          </w:tcPr>
          <w:p w14:paraId="65C91CE5" w14:textId="77777777" w:rsidR="00141D45" w:rsidRPr="00C80638" w:rsidRDefault="00141D45" w:rsidP="009E2062">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6F665E72" w14:textId="77777777" w:rsidR="00141D45" w:rsidRPr="00C80638" w:rsidRDefault="00141D45" w:rsidP="009E2062">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454232C6"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94912B3"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635F47A6"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141D45" w:rsidRPr="00C80638" w14:paraId="132579FA" w14:textId="77777777" w:rsidTr="00141D45">
        <w:trPr>
          <w:trHeight w:val="282"/>
          <w:jc w:val="center"/>
        </w:trPr>
        <w:tc>
          <w:tcPr>
            <w:tcW w:w="1588" w:type="dxa"/>
            <w:vMerge/>
            <w:tcBorders>
              <w:bottom w:val="single" w:sz="4" w:space="0" w:color="auto"/>
            </w:tcBorders>
            <w:shd w:val="clear" w:color="auto" w:fill="auto"/>
            <w:noWrap/>
            <w:vAlign w:val="bottom"/>
            <w:hideMark/>
          </w:tcPr>
          <w:p w14:paraId="6A572EAF" w14:textId="77777777" w:rsidR="00141D45" w:rsidRPr="00C80638" w:rsidRDefault="00141D45" w:rsidP="009E2062">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2DA6EB5B"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779FDE98"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4B2B5392"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5831E6AC"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663B7C89" w14:textId="77777777" w:rsidR="00141D45" w:rsidRPr="00C80638" w:rsidRDefault="00141D45" w:rsidP="00F010BA">
            <w:pPr>
              <w:spacing w:after="0"/>
              <w:jc w:val="center"/>
              <w:rPr>
                <w:rFonts w:ascii="Times New Roman" w:hAnsi="Times New Roman"/>
                <w:noProof/>
                <w:sz w:val="20"/>
                <w:szCs w:val="20"/>
                <w:lang w:bidi="ar-SA"/>
              </w:rPr>
            </w:pPr>
          </w:p>
        </w:tc>
      </w:tr>
      <w:tr w:rsidR="00141D45" w:rsidRPr="00C80638" w14:paraId="402C702D" w14:textId="77777777" w:rsidTr="00141D45">
        <w:trPr>
          <w:trHeight w:val="282"/>
          <w:jc w:val="center"/>
        </w:trPr>
        <w:tc>
          <w:tcPr>
            <w:tcW w:w="1588" w:type="dxa"/>
            <w:tcBorders>
              <w:top w:val="single" w:sz="4" w:space="0" w:color="auto"/>
            </w:tcBorders>
            <w:shd w:val="clear" w:color="auto" w:fill="auto"/>
            <w:noWrap/>
            <w:vAlign w:val="bottom"/>
            <w:hideMark/>
          </w:tcPr>
          <w:p w14:paraId="1FC51602"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52" w:type="dxa"/>
            <w:tcBorders>
              <w:top w:val="single" w:sz="4" w:space="0" w:color="auto"/>
            </w:tcBorders>
            <w:shd w:val="clear" w:color="auto" w:fill="76D889"/>
            <w:noWrap/>
            <w:vAlign w:val="bottom"/>
            <w:hideMark/>
          </w:tcPr>
          <w:p w14:paraId="66EA085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tcBorders>
              <w:top w:val="single" w:sz="4" w:space="0" w:color="auto"/>
            </w:tcBorders>
            <w:shd w:val="clear" w:color="auto" w:fill="76D889"/>
            <w:noWrap/>
            <w:vAlign w:val="bottom"/>
            <w:hideMark/>
          </w:tcPr>
          <w:p w14:paraId="3B4DF11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738" w:type="dxa"/>
            <w:tcBorders>
              <w:top w:val="single" w:sz="4" w:space="0" w:color="auto"/>
            </w:tcBorders>
            <w:shd w:val="clear" w:color="auto" w:fill="FFD72D"/>
            <w:noWrap/>
            <w:vAlign w:val="bottom"/>
            <w:hideMark/>
          </w:tcPr>
          <w:p w14:paraId="38275EF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121" w:type="dxa"/>
            <w:tcBorders>
              <w:top w:val="single" w:sz="4" w:space="0" w:color="auto"/>
            </w:tcBorders>
            <w:shd w:val="clear" w:color="auto" w:fill="FFD72D"/>
            <w:noWrap/>
            <w:vAlign w:val="bottom"/>
            <w:hideMark/>
          </w:tcPr>
          <w:p w14:paraId="59721DF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4.2</w:t>
            </w:r>
          </w:p>
        </w:tc>
        <w:tc>
          <w:tcPr>
            <w:tcW w:w="1697" w:type="dxa"/>
            <w:tcBorders>
              <w:top w:val="single" w:sz="4" w:space="0" w:color="auto"/>
            </w:tcBorders>
            <w:shd w:val="clear" w:color="auto" w:fill="76D889"/>
            <w:noWrap/>
            <w:vAlign w:val="bottom"/>
            <w:hideMark/>
          </w:tcPr>
          <w:p w14:paraId="23EFC38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8.3</w:t>
            </w:r>
          </w:p>
        </w:tc>
      </w:tr>
      <w:tr w:rsidR="00141D45" w:rsidRPr="00C80638" w14:paraId="600C333B" w14:textId="77777777" w:rsidTr="00141D45">
        <w:trPr>
          <w:trHeight w:val="282"/>
          <w:jc w:val="center"/>
        </w:trPr>
        <w:tc>
          <w:tcPr>
            <w:tcW w:w="1588" w:type="dxa"/>
            <w:shd w:val="clear" w:color="auto" w:fill="auto"/>
            <w:noWrap/>
            <w:vAlign w:val="bottom"/>
            <w:hideMark/>
          </w:tcPr>
          <w:p w14:paraId="03D8444B"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52" w:type="dxa"/>
            <w:shd w:val="clear" w:color="auto" w:fill="FFD72D"/>
            <w:noWrap/>
            <w:vAlign w:val="bottom"/>
            <w:hideMark/>
          </w:tcPr>
          <w:p w14:paraId="1AC0B1D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391" w:type="dxa"/>
            <w:shd w:val="clear" w:color="auto" w:fill="76D889"/>
            <w:noWrap/>
            <w:vAlign w:val="bottom"/>
            <w:hideMark/>
          </w:tcPr>
          <w:p w14:paraId="6D7328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75DBD9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7.5</w:t>
            </w:r>
          </w:p>
        </w:tc>
        <w:tc>
          <w:tcPr>
            <w:tcW w:w="1121" w:type="dxa"/>
            <w:shd w:val="clear" w:color="auto" w:fill="FFD72D"/>
            <w:noWrap/>
            <w:vAlign w:val="bottom"/>
            <w:hideMark/>
          </w:tcPr>
          <w:p w14:paraId="0E46CEB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4.4</w:t>
            </w:r>
          </w:p>
        </w:tc>
        <w:tc>
          <w:tcPr>
            <w:tcW w:w="1697" w:type="dxa"/>
            <w:shd w:val="clear" w:color="auto" w:fill="76D889"/>
            <w:noWrap/>
            <w:vAlign w:val="bottom"/>
            <w:hideMark/>
          </w:tcPr>
          <w:p w14:paraId="0754EC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6F55348A" w14:textId="77777777" w:rsidTr="00141D45">
        <w:trPr>
          <w:trHeight w:val="282"/>
          <w:jc w:val="center"/>
        </w:trPr>
        <w:tc>
          <w:tcPr>
            <w:tcW w:w="1588" w:type="dxa"/>
            <w:shd w:val="clear" w:color="auto" w:fill="auto"/>
            <w:noWrap/>
            <w:vAlign w:val="bottom"/>
            <w:hideMark/>
          </w:tcPr>
          <w:p w14:paraId="4F164D5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52" w:type="dxa"/>
            <w:shd w:val="clear" w:color="auto" w:fill="FFD72D"/>
            <w:noWrap/>
            <w:vAlign w:val="bottom"/>
            <w:hideMark/>
          </w:tcPr>
          <w:p w14:paraId="25A162C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3B56A5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06090DF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2468D08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0DC527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1984E2C9" w14:textId="77777777" w:rsidTr="00141D45">
        <w:trPr>
          <w:trHeight w:val="282"/>
          <w:jc w:val="center"/>
        </w:trPr>
        <w:tc>
          <w:tcPr>
            <w:tcW w:w="1588" w:type="dxa"/>
            <w:shd w:val="clear" w:color="auto" w:fill="auto"/>
            <w:noWrap/>
            <w:vAlign w:val="bottom"/>
            <w:hideMark/>
          </w:tcPr>
          <w:p w14:paraId="32CD75A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52" w:type="dxa"/>
            <w:shd w:val="clear" w:color="auto" w:fill="FFD72D"/>
            <w:noWrap/>
            <w:vAlign w:val="bottom"/>
            <w:hideMark/>
          </w:tcPr>
          <w:p w14:paraId="0F26D07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5F17844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243A499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6B272A9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36EB79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50110136" w14:textId="77777777" w:rsidTr="00141D45">
        <w:trPr>
          <w:trHeight w:val="282"/>
          <w:jc w:val="center"/>
        </w:trPr>
        <w:tc>
          <w:tcPr>
            <w:tcW w:w="1588" w:type="dxa"/>
            <w:shd w:val="clear" w:color="auto" w:fill="auto"/>
            <w:noWrap/>
            <w:vAlign w:val="bottom"/>
            <w:hideMark/>
          </w:tcPr>
          <w:p w14:paraId="19FCF9D6" w14:textId="77777777" w:rsidR="00141D45" w:rsidRPr="00C80638" w:rsidRDefault="00141D45" w:rsidP="007677D7">
            <w:pPr>
              <w:spacing w:before="60" w:after="0"/>
              <w:rPr>
                <w:rFonts w:ascii="Times New Roman" w:hAnsi="Times New Roman"/>
                <w:noProof/>
                <w:sz w:val="20"/>
                <w:szCs w:val="20"/>
                <w:lang w:bidi="ar-SA"/>
              </w:rPr>
            </w:pPr>
            <w:bookmarkStart w:id="3" w:name="_Hlk85362734"/>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52" w:type="dxa"/>
            <w:shd w:val="clear" w:color="auto" w:fill="FFD72D"/>
            <w:noWrap/>
            <w:vAlign w:val="bottom"/>
            <w:hideMark/>
          </w:tcPr>
          <w:p w14:paraId="19093EC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2BAA02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1C9DD62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E2E3B0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5C15EC2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4BA0211B" w14:textId="77777777" w:rsidTr="00141D45">
        <w:trPr>
          <w:trHeight w:val="282"/>
          <w:jc w:val="center"/>
        </w:trPr>
        <w:tc>
          <w:tcPr>
            <w:tcW w:w="1588" w:type="dxa"/>
            <w:shd w:val="clear" w:color="auto" w:fill="auto"/>
            <w:noWrap/>
            <w:vAlign w:val="bottom"/>
            <w:hideMark/>
          </w:tcPr>
          <w:p w14:paraId="3768502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452" w:type="dxa"/>
            <w:shd w:val="clear" w:color="auto" w:fill="FFD72D"/>
            <w:noWrap/>
            <w:vAlign w:val="bottom"/>
            <w:hideMark/>
          </w:tcPr>
          <w:p w14:paraId="37D8CD3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3450B3A"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5ACC608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DA0C8B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6268054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F3B667C" w14:textId="77777777" w:rsidTr="00141D45">
        <w:trPr>
          <w:trHeight w:val="282"/>
          <w:jc w:val="center"/>
        </w:trPr>
        <w:tc>
          <w:tcPr>
            <w:tcW w:w="1588" w:type="dxa"/>
            <w:shd w:val="clear" w:color="auto" w:fill="auto"/>
            <w:noWrap/>
            <w:vAlign w:val="bottom"/>
            <w:hideMark/>
          </w:tcPr>
          <w:p w14:paraId="5922E33F"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52" w:type="dxa"/>
            <w:shd w:val="clear" w:color="auto" w:fill="FFD72D"/>
            <w:noWrap/>
            <w:vAlign w:val="bottom"/>
            <w:hideMark/>
          </w:tcPr>
          <w:p w14:paraId="2A74CAF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5D9A5E5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0621DA78"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5BC6DD2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19460BB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A735894" w14:textId="77777777" w:rsidTr="00141D45">
        <w:trPr>
          <w:trHeight w:val="282"/>
          <w:jc w:val="center"/>
        </w:trPr>
        <w:tc>
          <w:tcPr>
            <w:tcW w:w="1588" w:type="dxa"/>
            <w:shd w:val="clear" w:color="auto" w:fill="auto"/>
            <w:noWrap/>
            <w:vAlign w:val="bottom"/>
            <w:hideMark/>
          </w:tcPr>
          <w:p w14:paraId="14D76D1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O-ACN</w:t>
            </w:r>
          </w:p>
        </w:tc>
        <w:tc>
          <w:tcPr>
            <w:tcW w:w="1452" w:type="dxa"/>
            <w:shd w:val="clear" w:color="auto" w:fill="76D889"/>
            <w:noWrap/>
            <w:vAlign w:val="bottom"/>
            <w:hideMark/>
          </w:tcPr>
          <w:p w14:paraId="27805D6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028CEB2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7326E9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36CF162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21A0A1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tr w:rsidR="00141D45" w:rsidRPr="00C80638" w14:paraId="6550D0D4" w14:textId="77777777" w:rsidTr="00141D45">
        <w:trPr>
          <w:trHeight w:val="282"/>
          <w:jc w:val="center"/>
        </w:trPr>
        <w:tc>
          <w:tcPr>
            <w:tcW w:w="1588" w:type="dxa"/>
            <w:shd w:val="clear" w:color="auto" w:fill="auto"/>
            <w:noWrap/>
            <w:vAlign w:val="bottom"/>
            <w:hideMark/>
          </w:tcPr>
          <w:p w14:paraId="2619EE4C"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EtOH-ACN</w:t>
            </w:r>
          </w:p>
        </w:tc>
        <w:tc>
          <w:tcPr>
            <w:tcW w:w="1452" w:type="dxa"/>
            <w:shd w:val="clear" w:color="auto" w:fill="76D889"/>
            <w:noWrap/>
            <w:vAlign w:val="bottom"/>
            <w:hideMark/>
          </w:tcPr>
          <w:p w14:paraId="4BD7ACD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2C0F1FD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5B44F2C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7F23030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43D88A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bookmarkEnd w:id="3"/>
      <w:tr w:rsidR="00141D45" w:rsidRPr="00C80638" w14:paraId="7D2F96C6" w14:textId="77777777" w:rsidTr="00141D45">
        <w:trPr>
          <w:trHeight w:val="282"/>
          <w:jc w:val="center"/>
        </w:trPr>
        <w:tc>
          <w:tcPr>
            <w:tcW w:w="1588" w:type="dxa"/>
            <w:tcBorders>
              <w:bottom w:val="single" w:sz="4" w:space="0" w:color="auto"/>
            </w:tcBorders>
            <w:shd w:val="clear" w:color="auto" w:fill="auto"/>
            <w:noWrap/>
            <w:vAlign w:val="bottom"/>
            <w:hideMark/>
          </w:tcPr>
          <w:p w14:paraId="68683B5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52" w:type="dxa"/>
            <w:tcBorders>
              <w:bottom w:val="single" w:sz="4" w:space="0" w:color="auto"/>
            </w:tcBorders>
            <w:shd w:val="clear" w:color="auto" w:fill="76D889"/>
            <w:noWrap/>
            <w:vAlign w:val="bottom"/>
            <w:hideMark/>
          </w:tcPr>
          <w:p w14:paraId="01BA63A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7.1</w:t>
            </w:r>
          </w:p>
        </w:tc>
        <w:tc>
          <w:tcPr>
            <w:tcW w:w="1391" w:type="dxa"/>
            <w:tcBorders>
              <w:bottom w:val="single" w:sz="4" w:space="0" w:color="auto"/>
            </w:tcBorders>
            <w:shd w:val="clear" w:color="auto" w:fill="FFD72D"/>
            <w:noWrap/>
            <w:vAlign w:val="bottom"/>
            <w:hideMark/>
          </w:tcPr>
          <w:p w14:paraId="668D199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738" w:type="dxa"/>
            <w:tcBorders>
              <w:bottom w:val="single" w:sz="4" w:space="0" w:color="auto"/>
            </w:tcBorders>
            <w:shd w:val="clear" w:color="auto" w:fill="76D889"/>
            <w:noWrap/>
            <w:vAlign w:val="bottom"/>
            <w:hideMark/>
          </w:tcPr>
          <w:p w14:paraId="4E1A8FB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8.4</w:t>
            </w:r>
          </w:p>
        </w:tc>
        <w:tc>
          <w:tcPr>
            <w:tcW w:w="1121" w:type="dxa"/>
            <w:tcBorders>
              <w:bottom w:val="single" w:sz="4" w:space="0" w:color="auto"/>
            </w:tcBorders>
            <w:shd w:val="clear" w:color="auto" w:fill="F55161"/>
            <w:noWrap/>
            <w:vAlign w:val="bottom"/>
            <w:hideMark/>
          </w:tcPr>
          <w:p w14:paraId="6C0942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4.0</w:t>
            </w:r>
          </w:p>
        </w:tc>
        <w:tc>
          <w:tcPr>
            <w:tcW w:w="1697" w:type="dxa"/>
            <w:tcBorders>
              <w:bottom w:val="single" w:sz="4" w:space="0" w:color="auto"/>
            </w:tcBorders>
            <w:shd w:val="clear" w:color="auto" w:fill="FFD72D"/>
            <w:noWrap/>
            <w:vAlign w:val="bottom"/>
            <w:hideMark/>
          </w:tcPr>
          <w:p w14:paraId="68D2E1D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r>
    </w:tbl>
    <w:p w14:paraId="4D5A03B2" w14:textId="650F03EE" w:rsidR="00215204" w:rsidRDefault="00215204" w:rsidP="007677D7">
      <w:pPr>
        <w:spacing w:after="0"/>
        <w:ind w:left="90"/>
        <w:jc w:val="center"/>
        <w:rPr>
          <w:rFonts w:ascii="Times New Roman" w:hAnsi="Times New Roman"/>
          <w:bCs/>
          <w:noProof/>
          <w:sz w:val="20"/>
          <w:szCs w:val="20"/>
          <w:lang w:bidi="ar-SA"/>
        </w:rPr>
      </w:pPr>
    </w:p>
    <w:p w14:paraId="313B9E5E" w14:textId="050AFD89" w:rsidR="00141D45" w:rsidRPr="00C80638" w:rsidRDefault="00141D45" w:rsidP="00801D68">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lastRenderedPageBreak/>
        <w:t>Table 4</w:t>
      </w:r>
      <w:r>
        <w:rPr>
          <w:rFonts w:ascii="Times New Roman" w:hAnsi="Times New Roman"/>
          <w:bCs/>
          <w:noProof/>
          <w:sz w:val="20"/>
          <w:szCs w:val="20"/>
          <w:lang w:bidi="ar-SA"/>
        </w:rPr>
        <w:t xml:space="preserve"> (cont’d)</w:t>
      </w:r>
      <w:r w:rsidRPr="00C80638">
        <w:rPr>
          <w:rFonts w:ascii="Times New Roman" w:hAnsi="Times New Roman"/>
          <w:bCs/>
          <w:noProof/>
          <w:sz w:val="20"/>
          <w:szCs w:val="20"/>
          <w:lang w:bidi="ar-SA"/>
        </w:rPr>
        <w:t xml:space="preserve">.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B1415F" w:rsidRPr="00C80638" w14:paraId="5FADA7FB" w14:textId="77777777" w:rsidTr="00B1415F">
        <w:trPr>
          <w:trHeight w:val="325"/>
          <w:jc w:val="center"/>
        </w:trPr>
        <w:tc>
          <w:tcPr>
            <w:tcW w:w="1588" w:type="dxa"/>
            <w:vMerge w:val="restart"/>
            <w:tcBorders>
              <w:top w:val="single" w:sz="4" w:space="0" w:color="auto"/>
            </w:tcBorders>
            <w:shd w:val="clear" w:color="auto" w:fill="auto"/>
            <w:noWrap/>
            <w:vAlign w:val="center"/>
            <w:hideMark/>
          </w:tcPr>
          <w:p w14:paraId="57374E32" w14:textId="77777777" w:rsidR="00B1415F" w:rsidRPr="00C80638" w:rsidRDefault="00B1415F" w:rsidP="00F010BA">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7FBFAA07" w14:textId="77777777" w:rsidR="00B1415F" w:rsidRPr="00C80638" w:rsidRDefault="00B1415F" w:rsidP="00F010BA">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76EAD4E3"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CE5AED1"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727077B7"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B1415F" w:rsidRPr="00C80638" w14:paraId="375D8F7D" w14:textId="77777777" w:rsidTr="00B1415F">
        <w:trPr>
          <w:trHeight w:val="282"/>
          <w:jc w:val="center"/>
        </w:trPr>
        <w:tc>
          <w:tcPr>
            <w:tcW w:w="1588" w:type="dxa"/>
            <w:vMerge/>
            <w:tcBorders>
              <w:bottom w:val="single" w:sz="4" w:space="0" w:color="auto"/>
            </w:tcBorders>
            <w:shd w:val="clear" w:color="auto" w:fill="auto"/>
            <w:noWrap/>
            <w:vAlign w:val="bottom"/>
            <w:hideMark/>
          </w:tcPr>
          <w:p w14:paraId="241235CE" w14:textId="77777777" w:rsidR="00B1415F" w:rsidRPr="00C80638" w:rsidRDefault="00B1415F" w:rsidP="00F010BA">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69A6EFB5"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4446E4B8"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6EC14B3F"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08709904"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4FC4437A" w14:textId="77777777" w:rsidR="00B1415F" w:rsidRPr="00C80638" w:rsidRDefault="00B1415F" w:rsidP="00F010BA">
            <w:pPr>
              <w:spacing w:after="0"/>
              <w:jc w:val="center"/>
              <w:rPr>
                <w:rFonts w:ascii="Times New Roman" w:hAnsi="Times New Roman"/>
                <w:noProof/>
                <w:sz w:val="20"/>
                <w:szCs w:val="20"/>
                <w:lang w:bidi="ar-SA"/>
              </w:rPr>
            </w:pPr>
          </w:p>
        </w:tc>
      </w:tr>
      <w:tr w:rsidR="00B1415F" w:rsidRPr="00C80638" w14:paraId="39C6ACC5" w14:textId="77777777" w:rsidTr="00B1415F">
        <w:trPr>
          <w:trHeight w:val="282"/>
          <w:jc w:val="center"/>
        </w:trPr>
        <w:tc>
          <w:tcPr>
            <w:tcW w:w="1588" w:type="dxa"/>
            <w:tcBorders>
              <w:top w:val="single" w:sz="4" w:space="0" w:color="auto"/>
            </w:tcBorders>
            <w:shd w:val="clear" w:color="auto" w:fill="auto"/>
            <w:noWrap/>
            <w:vAlign w:val="bottom"/>
            <w:hideMark/>
          </w:tcPr>
          <w:p w14:paraId="184E085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52" w:type="dxa"/>
            <w:tcBorders>
              <w:top w:val="single" w:sz="4" w:space="0" w:color="auto"/>
            </w:tcBorders>
            <w:shd w:val="clear" w:color="auto" w:fill="FFD72D"/>
            <w:noWrap/>
            <w:vAlign w:val="bottom"/>
            <w:hideMark/>
          </w:tcPr>
          <w:p w14:paraId="04A2F54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tcBorders>
              <w:top w:val="single" w:sz="4" w:space="0" w:color="auto"/>
            </w:tcBorders>
            <w:shd w:val="clear" w:color="auto" w:fill="FFD72D"/>
            <w:noWrap/>
            <w:vAlign w:val="bottom"/>
            <w:hideMark/>
          </w:tcPr>
          <w:p w14:paraId="7AA79DE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tcBorders>
              <w:top w:val="single" w:sz="4" w:space="0" w:color="auto"/>
            </w:tcBorders>
            <w:shd w:val="clear" w:color="auto" w:fill="FFD72D"/>
            <w:noWrap/>
            <w:vAlign w:val="bottom"/>
            <w:hideMark/>
          </w:tcPr>
          <w:p w14:paraId="0B624260"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tcBorders>
              <w:top w:val="single" w:sz="4" w:space="0" w:color="auto"/>
            </w:tcBorders>
            <w:shd w:val="clear" w:color="auto" w:fill="F55161"/>
            <w:noWrap/>
            <w:vAlign w:val="bottom"/>
            <w:hideMark/>
          </w:tcPr>
          <w:p w14:paraId="5399160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tcBorders>
              <w:top w:val="single" w:sz="4" w:space="0" w:color="auto"/>
            </w:tcBorders>
            <w:shd w:val="clear" w:color="auto" w:fill="FFD72D"/>
            <w:noWrap/>
            <w:vAlign w:val="bottom"/>
            <w:hideMark/>
          </w:tcPr>
          <w:p w14:paraId="2C22453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2C2C2237" w14:textId="77777777" w:rsidTr="00B1415F">
        <w:trPr>
          <w:trHeight w:val="282"/>
          <w:jc w:val="center"/>
        </w:trPr>
        <w:tc>
          <w:tcPr>
            <w:tcW w:w="1588" w:type="dxa"/>
            <w:shd w:val="clear" w:color="auto" w:fill="auto"/>
            <w:noWrap/>
            <w:vAlign w:val="bottom"/>
            <w:hideMark/>
          </w:tcPr>
          <w:p w14:paraId="15DECE3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52" w:type="dxa"/>
            <w:shd w:val="clear" w:color="auto" w:fill="FFD72D"/>
            <w:noWrap/>
            <w:vAlign w:val="bottom"/>
            <w:hideMark/>
          </w:tcPr>
          <w:p w14:paraId="1F9A0D3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73F9CCC5"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5131A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77F835A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1F9EDA5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1DCBB7D3" w14:textId="77777777" w:rsidTr="00B1415F">
        <w:trPr>
          <w:trHeight w:val="282"/>
          <w:jc w:val="center"/>
        </w:trPr>
        <w:tc>
          <w:tcPr>
            <w:tcW w:w="1588" w:type="dxa"/>
            <w:shd w:val="clear" w:color="auto" w:fill="auto"/>
            <w:noWrap/>
            <w:vAlign w:val="bottom"/>
            <w:hideMark/>
          </w:tcPr>
          <w:p w14:paraId="34295832"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52" w:type="dxa"/>
            <w:shd w:val="clear" w:color="auto" w:fill="FFD72D"/>
            <w:noWrap/>
            <w:vAlign w:val="bottom"/>
            <w:hideMark/>
          </w:tcPr>
          <w:p w14:paraId="3129433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17037E2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7C0B5F5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5B560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7CBDF0C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4D3579F7" w14:textId="77777777" w:rsidTr="00B1415F">
        <w:trPr>
          <w:trHeight w:val="282"/>
          <w:jc w:val="center"/>
        </w:trPr>
        <w:tc>
          <w:tcPr>
            <w:tcW w:w="1588" w:type="dxa"/>
            <w:shd w:val="clear" w:color="auto" w:fill="auto"/>
            <w:noWrap/>
            <w:vAlign w:val="bottom"/>
            <w:hideMark/>
          </w:tcPr>
          <w:p w14:paraId="2B57DAE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52" w:type="dxa"/>
            <w:shd w:val="clear" w:color="auto" w:fill="76D889"/>
            <w:noWrap/>
            <w:vAlign w:val="bottom"/>
            <w:hideMark/>
          </w:tcPr>
          <w:p w14:paraId="647624DD"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237114A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4432AA8E"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66C5D98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31FFCE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594A0B4D" w14:textId="77777777" w:rsidTr="00B1415F">
        <w:trPr>
          <w:trHeight w:val="282"/>
          <w:jc w:val="center"/>
        </w:trPr>
        <w:tc>
          <w:tcPr>
            <w:tcW w:w="1588" w:type="dxa"/>
            <w:shd w:val="clear" w:color="auto" w:fill="auto"/>
            <w:noWrap/>
            <w:vAlign w:val="bottom"/>
            <w:hideMark/>
          </w:tcPr>
          <w:p w14:paraId="1794C8F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52" w:type="dxa"/>
            <w:shd w:val="clear" w:color="auto" w:fill="76D889"/>
            <w:noWrap/>
            <w:vAlign w:val="bottom"/>
            <w:hideMark/>
          </w:tcPr>
          <w:p w14:paraId="41EF0D4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0ADCB98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50C54E7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3C6146A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7EC24B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17040078" w14:textId="77777777" w:rsidTr="00B1415F">
        <w:trPr>
          <w:trHeight w:val="282"/>
          <w:jc w:val="center"/>
        </w:trPr>
        <w:tc>
          <w:tcPr>
            <w:tcW w:w="1588" w:type="dxa"/>
            <w:tcBorders>
              <w:bottom w:val="single" w:sz="4" w:space="0" w:color="auto"/>
            </w:tcBorders>
            <w:shd w:val="clear" w:color="auto" w:fill="auto"/>
            <w:noWrap/>
            <w:vAlign w:val="bottom"/>
            <w:hideMark/>
          </w:tcPr>
          <w:p w14:paraId="08A05BFF" w14:textId="77777777" w:rsidR="00B1415F" w:rsidRPr="00C80638" w:rsidRDefault="00B1415F" w:rsidP="00F010BA">
            <w:pPr>
              <w:spacing w:before="60" w:after="6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52" w:type="dxa"/>
            <w:tcBorders>
              <w:bottom w:val="single" w:sz="4" w:space="0" w:color="auto"/>
            </w:tcBorders>
            <w:shd w:val="clear" w:color="auto" w:fill="76D889"/>
            <w:noWrap/>
            <w:vAlign w:val="bottom"/>
            <w:hideMark/>
          </w:tcPr>
          <w:p w14:paraId="0AF60302"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tcBorders>
              <w:bottom w:val="single" w:sz="4" w:space="0" w:color="auto"/>
            </w:tcBorders>
            <w:shd w:val="clear" w:color="auto" w:fill="F55161"/>
            <w:noWrap/>
            <w:vAlign w:val="bottom"/>
            <w:hideMark/>
          </w:tcPr>
          <w:p w14:paraId="1ADE0E23"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tcBorders>
              <w:bottom w:val="single" w:sz="4" w:space="0" w:color="auto"/>
            </w:tcBorders>
            <w:shd w:val="clear" w:color="auto" w:fill="FFD72D"/>
            <w:noWrap/>
            <w:vAlign w:val="bottom"/>
            <w:hideMark/>
          </w:tcPr>
          <w:p w14:paraId="53D12736"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tcBorders>
              <w:bottom w:val="single" w:sz="4" w:space="0" w:color="auto"/>
            </w:tcBorders>
            <w:shd w:val="clear" w:color="auto" w:fill="FFD72D"/>
            <w:noWrap/>
            <w:vAlign w:val="bottom"/>
            <w:hideMark/>
          </w:tcPr>
          <w:p w14:paraId="19DA1BEF"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tcBorders>
              <w:bottom w:val="single" w:sz="4" w:space="0" w:color="auto"/>
            </w:tcBorders>
            <w:shd w:val="clear" w:color="auto" w:fill="FFD72D"/>
            <w:noWrap/>
            <w:vAlign w:val="bottom"/>
            <w:hideMark/>
          </w:tcPr>
          <w:p w14:paraId="29756081"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bl>
    <w:p w14:paraId="0F92B9A3" w14:textId="77777777" w:rsidR="00141D45" w:rsidRPr="009E2062" w:rsidRDefault="00141D45" w:rsidP="00B1415F">
      <w:pPr>
        <w:spacing w:before="60" w:after="0"/>
        <w:ind w:left="270"/>
        <w:jc w:val="both"/>
        <w:rPr>
          <w:rFonts w:ascii="Times New Roman" w:hAnsi="Times New Roman"/>
          <w:bCs/>
          <w:noProof/>
          <w:sz w:val="18"/>
          <w:szCs w:val="18"/>
          <w:lang w:bidi="ar-SA"/>
        </w:rPr>
      </w:pPr>
      <w:r w:rsidRPr="009E2062">
        <w:rPr>
          <w:rFonts w:ascii="Times New Roman" w:hAnsi="Times New Roman"/>
          <w:b/>
          <w:bCs/>
          <w:noProof/>
          <w:sz w:val="18"/>
          <w:szCs w:val="18"/>
          <w:lang w:bidi="ar-SA"/>
        </w:rPr>
        <w:t>Keys:</w:t>
      </w:r>
      <w:r w:rsidRPr="009E2062">
        <w:rPr>
          <w:rFonts w:ascii="Times New Roman" w:hAnsi="Times New Roman"/>
          <w:noProof/>
          <w:sz w:val="18"/>
          <w:szCs w:val="18"/>
          <w:lang w:bidi="ar-SA"/>
        </w:rPr>
        <w:t xml:space="preserve"> Recommended solvent-pairs (green highlight) = score 7-10, problematic solvent-pairs (yellow highlight) = score 4-7, </w:t>
      </w:r>
      <w:r>
        <w:rPr>
          <w:rFonts w:ascii="Times New Roman" w:hAnsi="Times New Roman"/>
          <w:noProof/>
          <w:sz w:val="18"/>
          <w:szCs w:val="18"/>
          <w:lang w:bidi="ar-SA"/>
        </w:rPr>
        <w:t xml:space="preserve">  </w:t>
      </w:r>
      <w:r w:rsidRPr="009E2062">
        <w:rPr>
          <w:rFonts w:ascii="Times New Roman" w:hAnsi="Times New Roman"/>
          <w:noProof/>
          <w:sz w:val="18"/>
          <w:szCs w:val="18"/>
          <w:lang w:bidi="ar-SA"/>
        </w:rPr>
        <w:t>hazardous solvent-pairs (red highlight) = score 0-4 are score ranges adopted from IMI-CHEM21 [7]</w:t>
      </w:r>
    </w:p>
    <w:p w14:paraId="4409F13D" w14:textId="4C789B1C" w:rsidR="00141D45" w:rsidRDefault="00141D45" w:rsidP="007677D7">
      <w:pPr>
        <w:spacing w:after="0"/>
        <w:ind w:left="90"/>
        <w:jc w:val="center"/>
        <w:rPr>
          <w:rFonts w:ascii="Times New Roman" w:hAnsi="Times New Roman"/>
          <w:bCs/>
          <w:noProof/>
          <w:sz w:val="20"/>
          <w:szCs w:val="20"/>
          <w:lang w:bidi="ar-SA"/>
        </w:rPr>
      </w:pPr>
    </w:p>
    <w:p w14:paraId="49E354DE" w14:textId="77777777" w:rsidR="00141D45" w:rsidRDefault="00141D45" w:rsidP="007677D7">
      <w:pPr>
        <w:spacing w:after="0"/>
        <w:ind w:left="90"/>
        <w:jc w:val="center"/>
        <w:rPr>
          <w:rFonts w:ascii="Times New Roman" w:hAnsi="Times New Roman"/>
          <w:bCs/>
          <w:noProof/>
          <w:sz w:val="20"/>
          <w:szCs w:val="20"/>
          <w:lang w:bidi="ar-SA"/>
        </w:rPr>
      </w:pPr>
    </w:p>
    <w:p w14:paraId="7505BD1B" w14:textId="77777777" w:rsidR="00976876" w:rsidRDefault="00976876" w:rsidP="007677D7">
      <w:pPr>
        <w:spacing w:after="0"/>
        <w:ind w:left="90"/>
        <w:jc w:val="center"/>
        <w:rPr>
          <w:rFonts w:ascii="Times New Roman" w:hAnsi="Times New Roman"/>
          <w:b/>
          <w:noProof/>
          <w:sz w:val="20"/>
          <w:szCs w:val="20"/>
          <w:lang w:bidi="ar-SA"/>
        </w:rPr>
        <w:sectPr w:rsidR="00976876" w:rsidSect="00F168B9">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6"/>
          <w:cols w:space="708"/>
          <w:docGrid w:linePitch="360"/>
        </w:sectPr>
      </w:pPr>
    </w:p>
    <w:p w14:paraId="48C83A88"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47A5EB4" w14:textId="77777777" w:rsidR="00976876" w:rsidRPr="00C80638"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Kamlet-Taft analytical approach was simple and efficient to measure the KT acidity, basicity, and polarity of solvents or solvent mixtures. However, the proper mixing and temperature control of the solvent and indicator was the prerequisite to get the correct result in KT analysis. The ranking of HBD-HBA combinations facilitated to find out a suitable solvent mixture to substitute hazardous solvents in drug synthesis. The highest yield was found when the solvent creates a strong interaction with the HBD site of API. It is possible if the solvent mixture carries low KT acidity and high KT basicity. The maximum use of this methodology could bring a revolutionary change in synthetic chemistry. </w:t>
      </w:r>
    </w:p>
    <w:p w14:paraId="258FFD6D" w14:textId="77777777" w:rsidR="00976876" w:rsidRPr="00F447A7" w:rsidRDefault="00976876" w:rsidP="00976876">
      <w:pPr>
        <w:spacing w:after="0"/>
        <w:jc w:val="both"/>
        <w:rPr>
          <w:rFonts w:ascii="Times New Roman" w:hAnsi="Times New Roman"/>
          <w:noProof/>
          <w:sz w:val="20"/>
          <w:szCs w:val="20"/>
          <w:lang w:bidi="ar-SA"/>
        </w:rPr>
      </w:pPr>
    </w:p>
    <w:p w14:paraId="1FFA16DE"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584BF513" w14:textId="634723BF" w:rsidR="00976876"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authors are thankful to the Fundamental Research Grant Scheme of the Ministry of Education, Malaysia (GRANT NO: FRGS19-002-0610) and International Islamic University Malaysia for their support. </w:t>
      </w:r>
    </w:p>
    <w:p w14:paraId="3B33479B" w14:textId="77777777" w:rsidR="00CB11A3" w:rsidRDefault="00CB11A3" w:rsidP="00976876">
      <w:pPr>
        <w:spacing w:after="0"/>
        <w:jc w:val="both"/>
        <w:rPr>
          <w:rFonts w:ascii="Times New Roman" w:hAnsi="Times New Roman"/>
          <w:noProof/>
          <w:sz w:val="20"/>
          <w:szCs w:val="20"/>
          <w:lang w:bidi="ar-SA"/>
        </w:rPr>
      </w:pPr>
    </w:p>
    <w:p w14:paraId="640D6D75" w14:textId="77777777" w:rsidR="00CB11A3" w:rsidRPr="00F447A7" w:rsidRDefault="00CB11A3" w:rsidP="00CB11A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22D175D"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Kamlet, M. J., and Taft, R. W. (1976). The solvatochromic comparison method. I. The beta-scale of solvent hydrogen-bond acceptor (HBA) basicity. </w:t>
      </w:r>
      <w:r w:rsidRPr="00C80638">
        <w:rPr>
          <w:rFonts w:ascii="Times New Roman" w:hAnsi="Times New Roman"/>
          <w:i/>
          <w:iCs/>
          <w:noProof/>
          <w:sz w:val="20"/>
          <w:szCs w:val="20"/>
          <w:lang w:bidi="ar-SA"/>
        </w:rPr>
        <w:t>Journal of the American chemical Society</w:t>
      </w:r>
      <w:r w:rsidRPr="00C80638">
        <w:rPr>
          <w:rFonts w:ascii="Times New Roman" w:hAnsi="Times New Roman"/>
          <w:noProof/>
          <w:sz w:val="20"/>
          <w:szCs w:val="20"/>
          <w:lang w:bidi="ar-SA"/>
        </w:rPr>
        <w:t>, 98(2): 377-383.</w:t>
      </w:r>
    </w:p>
    <w:p w14:paraId="46E64046"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Labban, A. S. and Marcus, Y. (1997). Solvatochromic parameters of ethanolamines. </w:t>
      </w:r>
      <w:r w:rsidRPr="00C80638">
        <w:rPr>
          <w:rFonts w:ascii="Times New Roman" w:hAnsi="Times New Roman"/>
          <w:i/>
          <w:iCs/>
          <w:noProof/>
          <w:sz w:val="20"/>
          <w:szCs w:val="20"/>
          <w:lang w:bidi="ar-SA"/>
        </w:rPr>
        <w:t>Journal of the Chemical Society, Faraday Transactions</w:t>
      </w:r>
      <w:r w:rsidRPr="00C80638">
        <w:rPr>
          <w:rFonts w:ascii="Times New Roman" w:hAnsi="Times New Roman"/>
          <w:noProof/>
          <w:sz w:val="20"/>
          <w:szCs w:val="20"/>
          <w:lang w:bidi="ar-SA"/>
        </w:rPr>
        <w:t>, 93(1): 77-79.</w:t>
      </w:r>
    </w:p>
    <w:p w14:paraId="0A3C9014"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Islam, T., Sarker, M. Z. I., Uddin, A. H., Yunus, K. B., Prasad, R., Mia, M. A. R. and Ferdosh, S. (2020). Kamlet Taft parameters: A tool to alternate the usage of hazardous solvent in pharmaceutical and chemical manufacturing/synthesis-A gateway towards green technology. </w:t>
      </w:r>
      <w:r w:rsidRPr="00C80638">
        <w:rPr>
          <w:rFonts w:ascii="Times New Roman" w:hAnsi="Times New Roman"/>
          <w:i/>
          <w:iCs/>
          <w:noProof/>
          <w:sz w:val="20"/>
          <w:szCs w:val="20"/>
          <w:lang w:bidi="ar-SA"/>
        </w:rPr>
        <w:t>Analytical Chemistry Letters</w:t>
      </w:r>
      <w:r w:rsidRPr="00C80638">
        <w:rPr>
          <w:rFonts w:ascii="Times New Roman" w:hAnsi="Times New Roman"/>
          <w:noProof/>
          <w:sz w:val="20"/>
          <w:szCs w:val="20"/>
          <w:lang w:bidi="ar-SA"/>
        </w:rPr>
        <w:t>, 10 (5): 550-561.</w:t>
      </w:r>
    </w:p>
    <w:p w14:paraId="50701027" w14:textId="77777777" w:rsidR="00CB11A3" w:rsidRDefault="00CB11A3" w:rsidP="00CB11A3">
      <w:pPr>
        <w:numPr>
          <w:ilvl w:val="0"/>
          <w:numId w:val="3"/>
        </w:numPr>
        <w:spacing w:after="0" w:line="240" w:lineRule="auto"/>
        <w:ind w:left="360"/>
        <w:jc w:val="both"/>
        <w:rPr>
          <w:rFonts w:ascii="Times New Roman" w:hAnsi="Times New Roman"/>
          <w:noProof/>
          <w:sz w:val="20"/>
          <w:szCs w:val="20"/>
          <w:lang w:bidi="ar-SA"/>
        </w:rPr>
      </w:pPr>
      <w:r w:rsidRPr="00B1415F">
        <w:rPr>
          <w:rFonts w:ascii="Times New Roman" w:hAnsi="Times New Roman"/>
          <w:noProof/>
          <w:sz w:val="20"/>
          <w:szCs w:val="20"/>
          <w:lang w:bidi="ar-SA"/>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B1415F">
        <w:rPr>
          <w:rFonts w:ascii="Times New Roman" w:hAnsi="Times New Roman"/>
          <w:i/>
          <w:iCs/>
          <w:noProof/>
          <w:sz w:val="20"/>
          <w:szCs w:val="20"/>
          <w:lang w:bidi="ar-SA"/>
        </w:rPr>
        <w:t>Industrial &amp; Engineering Chemistry Research</w:t>
      </w:r>
      <w:r w:rsidRPr="00B1415F">
        <w:rPr>
          <w:rFonts w:ascii="Times New Roman" w:hAnsi="Times New Roman"/>
          <w:noProof/>
          <w:sz w:val="20"/>
          <w:szCs w:val="20"/>
          <w:lang w:bidi="ar-SA"/>
        </w:rPr>
        <w:t>, 57(22): 7331-7344.</w:t>
      </w:r>
    </w:p>
    <w:p w14:paraId="76288D8B" w14:textId="77777777"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Duereh, A., Sato, Y., Smith Jr, R. L., and Inomata, H. (2016). Analysis of the cybotactic region of two renewable lactone–water mixed-solvent systems that exhibit synergistic Kamlet–Taft basicity. </w:t>
      </w:r>
      <w:r w:rsidRPr="00535CCB">
        <w:rPr>
          <w:rFonts w:ascii="Times New Roman" w:hAnsi="Times New Roman"/>
          <w:i/>
          <w:iCs/>
          <w:noProof/>
          <w:sz w:val="20"/>
          <w:szCs w:val="20"/>
        </w:rPr>
        <w:t>The Journal of Physical Chemistry B</w:t>
      </w:r>
      <w:r w:rsidRPr="00535CCB">
        <w:rPr>
          <w:rFonts w:ascii="Times New Roman" w:hAnsi="Times New Roman"/>
          <w:noProof/>
          <w:sz w:val="20"/>
          <w:szCs w:val="20"/>
        </w:rPr>
        <w:t>, 120(19): 4467-4481.</w:t>
      </w:r>
    </w:p>
    <w:p w14:paraId="0CCB047C" w14:textId="394ECA65"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Marcus, Y. (1994). The use of chemical probes for the characterization of solvent mixtures. Part 2. Aqueous mixtures. </w:t>
      </w:r>
      <w:r w:rsidRPr="00535CCB">
        <w:rPr>
          <w:rFonts w:ascii="Times New Roman" w:hAnsi="Times New Roman"/>
          <w:i/>
          <w:iCs/>
          <w:noProof/>
          <w:sz w:val="20"/>
          <w:szCs w:val="20"/>
        </w:rPr>
        <w:t>Journal of the Chemical Society, Perkin Transactions 2</w:t>
      </w:r>
      <w:r w:rsidRPr="00535CCB">
        <w:rPr>
          <w:rFonts w:ascii="Times New Roman" w:hAnsi="Times New Roman"/>
          <w:noProof/>
          <w:sz w:val="20"/>
          <w:szCs w:val="20"/>
        </w:rPr>
        <w:t>(8): 1751-1758.</w:t>
      </w:r>
    </w:p>
    <w:p w14:paraId="1EB74A4D" w14:textId="589B757D" w:rsidR="00CB11A3" w:rsidRDefault="00CB11A3" w:rsidP="00CB11A3">
      <w:pPr>
        <w:spacing w:after="0"/>
        <w:jc w:val="both"/>
        <w:rPr>
          <w:rFonts w:ascii="Times New Roman" w:hAnsi="Times New Roman"/>
          <w:noProof/>
          <w:sz w:val="20"/>
          <w:szCs w:val="20"/>
        </w:rPr>
      </w:pPr>
    </w:p>
    <w:p w14:paraId="5EF728E8" w14:textId="4AE926B8" w:rsidR="00CB11A3" w:rsidRDefault="00CB11A3" w:rsidP="00CB11A3">
      <w:pPr>
        <w:spacing w:after="0"/>
        <w:jc w:val="both"/>
        <w:rPr>
          <w:rFonts w:ascii="Times New Roman" w:hAnsi="Times New Roman"/>
          <w:noProof/>
          <w:sz w:val="20"/>
          <w:szCs w:val="20"/>
        </w:rPr>
      </w:pPr>
    </w:p>
    <w:p w14:paraId="6D7F43E6" w14:textId="465CAD57" w:rsidR="00CB11A3" w:rsidRDefault="00CB11A3" w:rsidP="00CB11A3">
      <w:pPr>
        <w:spacing w:after="0"/>
        <w:jc w:val="both"/>
        <w:rPr>
          <w:rFonts w:ascii="Times New Roman" w:hAnsi="Times New Roman"/>
          <w:noProof/>
          <w:sz w:val="20"/>
          <w:szCs w:val="20"/>
        </w:rPr>
      </w:pPr>
    </w:p>
    <w:p w14:paraId="6C72B3E6" w14:textId="77777777" w:rsidR="00CB11A3" w:rsidRPr="00CB11A3" w:rsidRDefault="00CB11A3" w:rsidP="00CB11A3">
      <w:pPr>
        <w:spacing w:after="0"/>
        <w:jc w:val="both"/>
        <w:rPr>
          <w:rFonts w:ascii="Times New Roman" w:hAnsi="Times New Roman"/>
          <w:noProof/>
          <w:sz w:val="20"/>
          <w:szCs w:val="20"/>
        </w:rPr>
      </w:pPr>
    </w:p>
    <w:p w14:paraId="6377CD9B"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lastRenderedPageBreak/>
        <w:t xml:space="preserve">Prat, D., Wells, A., Hayler, J., Sneddon, H., McElroy, C. R., Abou-Shehada, S. and Dunn, P. J. (2015). CHEM21 selection guide of classical-and less classical-solvents.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18(1): 288-296.</w:t>
      </w:r>
    </w:p>
    <w:p w14:paraId="061794DE" w14:textId="01489F70"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European Medicines Agency (2019), ICH guideline Q3C (R6) on impurities: guideline for residual solvents, step 5. </w:t>
      </w:r>
      <w:r w:rsidR="00B77392" w:rsidRPr="00B77392">
        <w:rPr>
          <w:rFonts w:ascii="Times New Roman" w:hAnsi="Times New Roman"/>
          <w:noProof/>
          <w:sz w:val="20"/>
          <w:szCs w:val="20"/>
        </w:rPr>
        <w:t>https://www.ema.europa.eu/</w:t>
      </w:r>
      <w:r w:rsidR="00B77392">
        <w:rPr>
          <w:rFonts w:ascii="Times New Roman" w:hAnsi="Times New Roman"/>
          <w:noProof/>
          <w:sz w:val="20"/>
          <w:szCs w:val="20"/>
        </w:rPr>
        <w:t xml:space="preserve"> </w:t>
      </w:r>
      <w:r w:rsidRPr="00BB5D05">
        <w:rPr>
          <w:rFonts w:ascii="Times New Roman" w:hAnsi="Times New Roman"/>
          <w:noProof/>
          <w:sz w:val="20"/>
          <w:szCs w:val="20"/>
        </w:rPr>
        <w:t>en/ich-q3c-r6-residual-solvents [Access online 08 October 2021].</w:t>
      </w:r>
    </w:p>
    <w:p w14:paraId="51B6CF28"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Byrne, F. P., Jin, S., Paggiola, G., Petchey, T. H., Clark, J. H., Farmer, T. J., Hunt, A. J., McElroy, C. R. and Sherwood, J. (2016). Tools and techniques for solvent selection: green solvent selection guides. </w:t>
      </w:r>
      <w:r w:rsidRPr="00BB5D05">
        <w:rPr>
          <w:rFonts w:ascii="Times New Roman" w:hAnsi="Times New Roman"/>
          <w:i/>
          <w:iCs/>
          <w:noProof/>
          <w:sz w:val="20"/>
          <w:szCs w:val="20"/>
        </w:rPr>
        <w:t>Sustainable Chemical Processes</w:t>
      </w:r>
      <w:r w:rsidRPr="00BB5D05">
        <w:rPr>
          <w:rFonts w:ascii="Times New Roman" w:hAnsi="Times New Roman"/>
          <w:noProof/>
          <w:sz w:val="20"/>
          <w:szCs w:val="20"/>
        </w:rPr>
        <w:t>, 4(1): 1-24.</w:t>
      </w:r>
    </w:p>
    <w:p w14:paraId="6D360872"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Hayler, J. and Wells, A. (2014). A survey of solvent selection guides. </w:t>
      </w:r>
      <w:r w:rsidRPr="00BB5D05">
        <w:rPr>
          <w:rFonts w:ascii="Times New Roman" w:hAnsi="Times New Roman"/>
          <w:i/>
          <w:iCs/>
          <w:noProof/>
          <w:sz w:val="20"/>
          <w:szCs w:val="20"/>
        </w:rPr>
        <w:t>Green Chemistry</w:t>
      </w:r>
      <w:r w:rsidRPr="00BB5D05">
        <w:rPr>
          <w:rFonts w:ascii="Times New Roman" w:hAnsi="Times New Roman"/>
          <w:noProof/>
          <w:sz w:val="20"/>
          <w:szCs w:val="20"/>
        </w:rPr>
        <w:t>, 16(10): 4546-4551.</w:t>
      </w:r>
    </w:p>
    <w:p w14:paraId="4CEEF23A"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(2017). Methodology for replacing dipolar aprotic solvents used in API processing with safe hydrogen-bond donor and acceptor solvent-pair mixtures.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21(1): 114-124.</w:t>
      </w:r>
    </w:p>
    <w:p w14:paraId="05CF7BC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Spectroscopic analysis of binary mixed-solvent-polyimide precursor systems with the preferential solvation model for determining solute-centric Kamlet–Taft solvatochromic parameters. </w:t>
      </w:r>
      <w:r w:rsidRPr="00BB5D05">
        <w:rPr>
          <w:rFonts w:ascii="Times New Roman" w:hAnsi="Times New Roman"/>
          <w:i/>
          <w:iCs/>
          <w:noProof/>
          <w:sz w:val="20"/>
          <w:szCs w:val="20"/>
        </w:rPr>
        <w:t>The Journal of Physical Chemistry B</w:t>
      </w:r>
      <w:r w:rsidRPr="00BB5D05">
        <w:rPr>
          <w:rFonts w:ascii="Times New Roman" w:hAnsi="Times New Roman"/>
          <w:noProof/>
          <w:sz w:val="20"/>
          <w:szCs w:val="20"/>
        </w:rPr>
        <w:t>, 119(46): 14738-14749.</w:t>
      </w:r>
    </w:p>
    <w:p w14:paraId="03CD546C"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Replacement of hazardous chemicals used in engineering plastics with safe and renewable hydrogen-bond donor and acceptor solvent-pair mixtures. </w:t>
      </w:r>
      <w:r w:rsidRPr="00BB5D05">
        <w:rPr>
          <w:rFonts w:ascii="Times New Roman" w:hAnsi="Times New Roman"/>
          <w:i/>
          <w:iCs/>
          <w:noProof/>
          <w:sz w:val="20"/>
          <w:szCs w:val="20"/>
        </w:rPr>
        <w:t>ACS Sustainable Chemistry &amp; Engineering</w:t>
      </w:r>
      <w:r w:rsidRPr="00BB5D05">
        <w:rPr>
          <w:rFonts w:ascii="Times New Roman" w:hAnsi="Times New Roman"/>
          <w:noProof/>
          <w:sz w:val="20"/>
          <w:szCs w:val="20"/>
        </w:rPr>
        <w:t>, 3(8): 1881-1889.</w:t>
      </w:r>
    </w:p>
    <w:p w14:paraId="772C6AC1"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Capello, C., Fischer, U. and Hungerbühler, K. (2007). What is a green solvent? A comprehensive framework for the environmental assessment of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9(9): 927-934.</w:t>
      </w:r>
    </w:p>
    <w:p w14:paraId="7E085EC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Clark, J. H., and Tavener, S. J. (2007). Alternative solvents: shades of green.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11(1): 149-155.</w:t>
      </w:r>
    </w:p>
    <w:p w14:paraId="2229E5DF"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Jessop, P. G. (2011). Searching for green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13(6): 1391-1398.</w:t>
      </w:r>
    </w:p>
    <w:p w14:paraId="3C64582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Ashcroft, C. P., Dunn, P. J., Hayler, J. D. and Wells, A. S. (2015). Survey of solvent usage in papers published in organic process research &amp; development 1997–2012.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19(7): 740-747.</w:t>
      </w:r>
    </w:p>
    <w:p w14:paraId="7097B114" w14:textId="26D283B4"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Sherwood, J., Granelli, J., McElroy, C. R. and Clark, J. H. (2019). A method of calculating the Kamlet–Abboud–Taft solvatochromic parameters</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using</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COSMO-RS. </w:t>
      </w:r>
      <w:r w:rsidRPr="00BB5D05">
        <w:rPr>
          <w:rFonts w:ascii="Times New Roman" w:hAnsi="Times New Roman"/>
          <w:i/>
          <w:iCs/>
          <w:noProof/>
          <w:sz w:val="20"/>
          <w:szCs w:val="20"/>
          <w:shd w:val="clear" w:color="auto" w:fill="FFFFFF"/>
        </w:rPr>
        <w:t>Molecules</w:t>
      </w:r>
      <w:r w:rsidRPr="00BB5D05">
        <w:rPr>
          <w:rFonts w:ascii="Times New Roman" w:hAnsi="Times New Roman"/>
          <w:noProof/>
          <w:sz w:val="20"/>
          <w:szCs w:val="20"/>
          <w:shd w:val="clear" w:color="auto" w:fill="FFFFFF"/>
        </w:rPr>
        <w:t>, 24(12): 2209.</w:t>
      </w:r>
    </w:p>
    <w:p w14:paraId="06713A57" w14:textId="7742D606"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Dolan, D. A., Sherman, D. A., Atkin, R., and Warr, G. G. (2016). Kamlet–taft solvation parameters of solvate ionic liquids. </w:t>
      </w:r>
      <w:r w:rsidRPr="00BB5D05">
        <w:rPr>
          <w:rFonts w:ascii="Times New Roman" w:hAnsi="Times New Roman"/>
          <w:i/>
          <w:iCs/>
          <w:noProof/>
          <w:sz w:val="20"/>
          <w:szCs w:val="20"/>
          <w:shd w:val="clear" w:color="auto" w:fill="FFFFFF"/>
        </w:rPr>
        <w:t>ChemPhysChem</w:t>
      </w:r>
      <w:r w:rsidRPr="00BB5D05">
        <w:rPr>
          <w:rFonts w:ascii="Times New Roman" w:hAnsi="Times New Roman"/>
          <w:noProof/>
          <w:sz w:val="20"/>
          <w:szCs w:val="20"/>
          <w:shd w:val="clear" w:color="auto" w:fill="FFFFFF"/>
        </w:rPr>
        <w:t>, 17(19): 3096-3101.</w:t>
      </w:r>
    </w:p>
    <w:p w14:paraId="40D7C8A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Marcus, Y. (1998). The properties of solvents. John Wiley &amp; Sons, England: pp. 256</w:t>
      </w:r>
    </w:p>
    <w:p w14:paraId="3138F56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Marcus, Y. (1993). The properties of organic liquids that are relevant to their use as solvating solvents. </w:t>
      </w:r>
      <w:r w:rsidRPr="00BB5D05">
        <w:rPr>
          <w:rFonts w:ascii="Times New Roman" w:hAnsi="Times New Roman"/>
          <w:i/>
          <w:iCs/>
          <w:noProof/>
          <w:sz w:val="20"/>
          <w:szCs w:val="20"/>
        </w:rPr>
        <w:t>Chemical Society Reviews</w:t>
      </w:r>
      <w:r w:rsidRPr="00BB5D05">
        <w:rPr>
          <w:rFonts w:ascii="Times New Roman" w:hAnsi="Times New Roman"/>
          <w:noProof/>
          <w:sz w:val="20"/>
          <w:szCs w:val="20"/>
        </w:rPr>
        <w:t>, 22(6): 409-416.</w:t>
      </w:r>
    </w:p>
    <w:p w14:paraId="712C12C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Alder, C. M., Hayler, J. D., Henderson, R. K., Redman, A. M., Shukla, L., Shuster, L. E. and Sneddon, H. F. (2016). Updating and further expanding GSK's solvent sustainability guide. </w:t>
      </w:r>
      <w:r w:rsidRPr="00BB5D05">
        <w:rPr>
          <w:rFonts w:ascii="Times New Roman" w:hAnsi="Times New Roman"/>
          <w:i/>
          <w:iCs/>
          <w:noProof/>
          <w:sz w:val="20"/>
          <w:szCs w:val="20"/>
        </w:rPr>
        <w:t>Green Chemistry</w:t>
      </w:r>
      <w:r w:rsidRPr="00BB5D05">
        <w:rPr>
          <w:rFonts w:ascii="Times New Roman" w:hAnsi="Times New Roman"/>
          <w:noProof/>
          <w:sz w:val="20"/>
          <w:szCs w:val="20"/>
        </w:rPr>
        <w:t>, 18 (13): 3879-3890.</w:t>
      </w:r>
    </w:p>
    <w:p w14:paraId="42D8BD9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Hellsten, S., Qu, H. and Louhi‐Kultanen, M. (2011). Screening of binary solvent mixtures and solvate formation of indomethacin. </w:t>
      </w:r>
      <w:r w:rsidRPr="00BB5D05">
        <w:rPr>
          <w:rFonts w:ascii="Times New Roman" w:hAnsi="Times New Roman"/>
          <w:i/>
          <w:iCs/>
          <w:noProof/>
          <w:sz w:val="20"/>
          <w:szCs w:val="20"/>
        </w:rPr>
        <w:t>Chemical Engineering &amp; Technology</w:t>
      </w:r>
      <w:r w:rsidRPr="00BB5D05">
        <w:rPr>
          <w:rFonts w:ascii="Times New Roman" w:hAnsi="Times New Roman"/>
          <w:noProof/>
          <w:sz w:val="20"/>
          <w:szCs w:val="20"/>
        </w:rPr>
        <w:t>, 34(10): 1667-1674.</w:t>
      </w:r>
    </w:p>
    <w:p w14:paraId="2CFC3F19" w14:textId="77777777" w:rsidR="00CB11A3" w:rsidRPr="00F447A7" w:rsidRDefault="00CB11A3" w:rsidP="00976876">
      <w:pPr>
        <w:spacing w:after="0"/>
        <w:jc w:val="both"/>
        <w:rPr>
          <w:rFonts w:ascii="Times New Roman" w:hAnsi="Times New Roman"/>
          <w:noProof/>
          <w:sz w:val="20"/>
          <w:szCs w:val="20"/>
          <w:lang w:bidi="ar-SA"/>
        </w:rPr>
      </w:pPr>
    </w:p>
    <w:p w14:paraId="1848494E" w14:textId="77777777" w:rsidR="00976876" w:rsidRDefault="00976876" w:rsidP="00215204">
      <w:pPr>
        <w:spacing w:after="0"/>
        <w:jc w:val="center"/>
        <w:rPr>
          <w:rFonts w:ascii="Times New Roman" w:hAnsi="Times New Roman"/>
          <w:bCs/>
          <w:noProof/>
          <w:sz w:val="20"/>
          <w:szCs w:val="20"/>
          <w:lang w:bidi="ar-SA"/>
        </w:rPr>
      </w:pPr>
    </w:p>
    <w:p w14:paraId="314A7FD8" w14:textId="77777777" w:rsidR="00883F6E" w:rsidRDefault="00883F6E" w:rsidP="00976876">
      <w:pPr>
        <w:spacing w:after="0"/>
        <w:jc w:val="center"/>
        <w:rPr>
          <w:rFonts w:ascii="Times New Roman" w:hAnsi="Times New Roman"/>
          <w:b/>
          <w:noProof/>
          <w:sz w:val="20"/>
          <w:szCs w:val="20"/>
          <w:lang w:bidi="ar-SA"/>
        </w:rPr>
        <w:sectPr w:rsidR="00883F6E" w:rsidSect="00074FCE">
          <w:footerReference w:type="even" r:id="rId33"/>
          <w:type w:val="continuous"/>
          <w:pgSz w:w="12240" w:h="15840" w:code="1"/>
          <w:pgMar w:top="1800" w:right="1469" w:bottom="1699" w:left="1440" w:header="706" w:footer="706" w:gutter="0"/>
          <w:pgNumType w:start="1"/>
          <w:cols w:num="2" w:space="403"/>
          <w:docGrid w:linePitch="360"/>
        </w:sectPr>
      </w:pPr>
    </w:p>
    <w:p w14:paraId="15C81AEB" w14:textId="4B01BDED"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883F6E">
          <w:type w:val="continuous"/>
          <w:pgSz w:w="12240" w:h="15840" w:code="1"/>
          <w:pgMar w:top="1800" w:right="1469" w:bottom="1699" w:left="1440" w:header="706" w:footer="706" w:gutter="0"/>
          <w:pgNumType w:start="1"/>
          <w:cols w:space="403"/>
          <w:docGrid w:linePitch="360"/>
        </w:sectPr>
      </w:pPr>
    </w:p>
    <w:p w14:paraId="6C1449F5" w14:textId="77777777" w:rsidR="00337D7D" w:rsidRDefault="00337D7D" w:rsidP="00B42AB3">
      <w:pPr>
        <w:spacing w:after="0" w:line="240" w:lineRule="auto"/>
        <w:jc w:val="both"/>
        <w:rPr>
          <w:rFonts w:ascii="Times New Roman" w:hAnsi="Times New Roman"/>
          <w:noProof/>
          <w:sz w:val="20"/>
          <w:szCs w:val="20"/>
          <w:lang w:bidi="ar-SA"/>
        </w:rPr>
        <w:sectPr w:rsidR="00337D7D" w:rsidSect="00B42AB3">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8"/>
          <w:cols w:space="403"/>
          <w:docGrid w:linePitch="360"/>
        </w:sectPr>
      </w:pPr>
    </w:p>
    <w:p w14:paraId="7753D2C2" w14:textId="6BB26C11"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B42AB3">
          <w:type w:val="continuous"/>
          <w:pgSz w:w="12240" w:h="15840" w:code="1"/>
          <w:pgMar w:top="1800" w:right="1469" w:bottom="1699" w:left="1440" w:header="706" w:footer="706" w:gutter="0"/>
          <w:pgNumType w:start="1"/>
          <w:cols w:space="403"/>
          <w:docGrid w:linePitch="360"/>
        </w:sectPr>
      </w:pPr>
    </w:p>
    <w:p w14:paraId="18FA9E68" w14:textId="77777777" w:rsidR="00337D7D" w:rsidRPr="00C80638" w:rsidRDefault="00337D7D">
      <w:pPr>
        <w:spacing w:after="0" w:line="240" w:lineRule="auto"/>
        <w:jc w:val="both"/>
        <w:rPr>
          <w:rFonts w:ascii="Times New Roman" w:hAnsi="Times New Roman"/>
          <w:noProof/>
          <w:sz w:val="20"/>
          <w:szCs w:val="20"/>
          <w:lang w:bidi="ar-SA"/>
        </w:rPr>
      </w:pPr>
    </w:p>
    <w:p w14:paraId="751348E2" w14:textId="77777777" w:rsidR="00BB5D05" w:rsidRPr="00C80638" w:rsidRDefault="00BB5D05">
      <w:pPr>
        <w:spacing w:after="0" w:line="240" w:lineRule="auto"/>
        <w:jc w:val="both"/>
        <w:rPr>
          <w:rFonts w:ascii="Times New Roman" w:hAnsi="Times New Roman"/>
          <w:noProof/>
          <w:sz w:val="20"/>
          <w:szCs w:val="20"/>
          <w:lang w:bidi="ar-SA"/>
        </w:rPr>
      </w:pPr>
    </w:p>
    <w:sectPr w:rsidR="00BB5D05" w:rsidRPr="00C80638" w:rsidSect="00F168B9">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8"/>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DE92" w14:textId="77777777" w:rsidR="00CC4938" w:rsidRDefault="00CC4938" w:rsidP="00FB4C59">
      <w:pPr>
        <w:spacing w:after="0" w:line="240" w:lineRule="auto"/>
      </w:pPr>
      <w:r>
        <w:separator/>
      </w:r>
    </w:p>
  </w:endnote>
  <w:endnote w:type="continuationSeparator" w:id="0">
    <w:p w14:paraId="33F06369" w14:textId="77777777" w:rsidR="00CC4938" w:rsidRDefault="00CC493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EF48" w14:textId="3A5C6E18" w:rsidR="00FF1FF3" w:rsidRPr="00452E0B" w:rsidRDefault="00C248F5">
    <w:pPr>
      <w:pStyle w:val="Footer"/>
      <w:rPr>
        <w:lang w:val="en-MY"/>
      </w:rPr>
    </w:pPr>
    <w:r>
      <w:rPr>
        <w:lang w:val="en-MY"/>
      </w:rPr>
      <w:t>40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005499"/>
      <w:docPartObj>
        <w:docPartGallery w:val="Page Numbers (Bottom of Page)"/>
        <w:docPartUnique/>
      </w:docPartObj>
    </w:sdtPr>
    <w:sdtEndPr>
      <w:rPr>
        <w:noProof/>
      </w:rPr>
    </w:sdtEndPr>
    <w:sdtContent>
      <w:p w14:paraId="7246ECA4" w14:textId="77777777" w:rsidR="00337D7D" w:rsidRDefault="00337D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02556"/>
      <w:docPartObj>
        <w:docPartGallery w:val="Page Numbers (Bottom of Page)"/>
        <w:docPartUnique/>
      </w:docPartObj>
    </w:sdtPr>
    <w:sdtEndPr>
      <w:rPr>
        <w:noProof/>
      </w:rPr>
    </w:sdtEndPr>
    <w:sdtContent>
      <w:p w14:paraId="3853D596" w14:textId="3B04F762" w:rsidR="00F168B9" w:rsidRDefault="00F168B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54309E1"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248F5">
      <w:rPr>
        <w:rFonts w:ascii="Times New Roman" w:hAnsi="Times New Roman"/>
        <w:lang w:val="en-US"/>
      </w:rPr>
      <w:t>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78758"/>
      <w:docPartObj>
        <w:docPartGallery w:val="Page Numbers (Bottom of Page)"/>
        <w:docPartUnique/>
      </w:docPartObj>
    </w:sdtPr>
    <w:sdtEndPr>
      <w:rPr>
        <w:noProof/>
      </w:rPr>
    </w:sdtEndPr>
    <w:sdtContent>
      <w:p w14:paraId="1B68B031" w14:textId="1A4C94BC" w:rsidR="008A3758" w:rsidRPr="007D4BAB" w:rsidRDefault="00C248F5" w:rsidP="008A3758">
        <w:pPr>
          <w:pStyle w:val="Footer"/>
          <w:jc w:val="right"/>
        </w:pPr>
        <w:r>
          <w:rPr>
            <w:lang w:val="en-MY"/>
          </w:rPr>
          <w:t>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54659"/>
      <w:docPartObj>
        <w:docPartGallery w:val="Page Numbers (Bottom of Page)"/>
        <w:docPartUnique/>
      </w:docPartObj>
    </w:sdtPr>
    <w:sdtEndPr>
      <w:rPr>
        <w:noProof/>
      </w:rPr>
    </w:sdtEndPr>
    <w:sdtContent>
      <w:p w14:paraId="187E97FA" w14:textId="3ED85E3F" w:rsidR="008A3758" w:rsidRDefault="008A3758">
        <w:pPr>
          <w:pStyle w:val="Footer"/>
        </w:pPr>
        <w:r>
          <w:fldChar w:fldCharType="begin"/>
        </w:r>
        <w:r>
          <w:instrText xml:space="preserve"> PAGE   \* MERGEFORMAT </w:instrText>
        </w:r>
        <w:r>
          <w:fldChar w:fldCharType="separate"/>
        </w:r>
        <w:r>
          <w:rPr>
            <w:noProof/>
          </w:rPr>
          <w:t>2</w:t>
        </w:r>
        <w:r>
          <w:rPr>
            <w:noProof/>
          </w:rPr>
          <w:fldChar w:fldCharType="end"/>
        </w:r>
        <w:r w:rsidR="00C248F5">
          <w:rPr>
            <w:noProof/>
            <w:lang w:val="en-MY"/>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23594"/>
      <w:docPartObj>
        <w:docPartGallery w:val="Page Numbers (Bottom of Page)"/>
        <w:docPartUnique/>
      </w:docPartObj>
    </w:sdtPr>
    <w:sdtEndPr>
      <w:rPr>
        <w:noProof/>
      </w:rPr>
    </w:sdtEndPr>
    <w:sdtContent>
      <w:p w14:paraId="7D118272" w14:textId="1F8DB433" w:rsidR="00452E0B" w:rsidRPr="007D4BAB" w:rsidRDefault="00C248F5" w:rsidP="008A3758">
        <w:pPr>
          <w:pStyle w:val="Footer"/>
          <w:jc w:val="right"/>
        </w:pPr>
        <w:r>
          <w:rPr>
            <w:lang w:val="en-MY"/>
          </w:rPr>
          <w:t>43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9783"/>
      <w:docPartObj>
        <w:docPartGallery w:val="Page Numbers (Bottom of Page)"/>
        <w:docPartUnique/>
      </w:docPartObj>
    </w:sdtPr>
    <w:sdtEndPr>
      <w:rPr>
        <w:noProof/>
      </w:rPr>
    </w:sdtEndPr>
    <w:sdtContent>
      <w:p w14:paraId="23493D57" w14:textId="010975BC" w:rsidR="008A3758" w:rsidRDefault="00F168B9" w:rsidP="00F16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93497"/>
      <w:docPartObj>
        <w:docPartGallery w:val="Page Numbers (Bottom of Page)"/>
        <w:docPartUnique/>
      </w:docPartObj>
    </w:sdtPr>
    <w:sdtEndPr>
      <w:rPr>
        <w:noProof/>
      </w:rPr>
    </w:sdtEndPr>
    <w:sdtContent>
      <w:p w14:paraId="62F23D94" w14:textId="1A0343AE" w:rsidR="008A3758" w:rsidRDefault="004E35B5">
        <w:pPr>
          <w:pStyle w:val="Footer"/>
        </w:pPr>
        <w:r>
          <w:rPr>
            <w:lang w:val="en-MY"/>
          </w:rPr>
          <w:t>44</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35705"/>
      <w:docPartObj>
        <w:docPartGallery w:val="Page Numbers (Bottom of Page)"/>
        <w:docPartUnique/>
      </w:docPartObj>
    </w:sdtPr>
    <w:sdtEndPr>
      <w:rPr>
        <w:noProof/>
      </w:rPr>
    </w:sdtEndPr>
    <w:sdtContent>
      <w:p w14:paraId="16FFBC8F" w14:textId="34A326AC" w:rsidR="00452E0B" w:rsidRDefault="004E35B5" w:rsidP="00F168B9">
        <w:pPr>
          <w:pStyle w:val="Footer"/>
          <w:jc w:val="right"/>
        </w:pPr>
        <w:r>
          <w:rPr>
            <w:lang w:val="en-MY"/>
          </w:rPr>
          <w:t>45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08397"/>
      <w:docPartObj>
        <w:docPartGallery w:val="Page Numbers (Bottom of Page)"/>
        <w:docPartUnique/>
      </w:docPartObj>
    </w:sdtPr>
    <w:sdtEndPr>
      <w:rPr>
        <w:noProof/>
      </w:rPr>
    </w:sdtEndPr>
    <w:sdtContent>
      <w:p w14:paraId="6B97FB36" w14:textId="67F14B81" w:rsidR="00452E0B" w:rsidRDefault="004E35B5">
        <w:pPr>
          <w:pStyle w:val="Footer"/>
        </w:pPr>
        <w:r>
          <w:rPr>
            <w:lang w:val="en-MY"/>
          </w:rPr>
          <w:t>46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34CD" w14:textId="77777777" w:rsidR="00CC4938" w:rsidRDefault="00CC4938" w:rsidP="00FB4C59">
      <w:pPr>
        <w:spacing w:after="0" w:line="240" w:lineRule="auto"/>
      </w:pPr>
      <w:r>
        <w:separator/>
      </w:r>
    </w:p>
  </w:footnote>
  <w:footnote w:type="continuationSeparator" w:id="0">
    <w:p w14:paraId="31B95EF8" w14:textId="77777777" w:rsidR="00CC4938" w:rsidRDefault="00CC493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3FD0D73" w:rsidR="002B3BD8" w:rsidRPr="006B72B0" w:rsidRDefault="00B32171" w:rsidP="00B32171">
    <w:pPr>
      <w:pStyle w:val="Header"/>
      <w:ind w:left="1080" w:hanging="1080"/>
      <w:rPr>
        <w:rFonts w:ascii="Times New Roman" w:hAnsi="Times New Roman"/>
        <w:lang w:val="en-US"/>
      </w:rPr>
    </w:pPr>
    <w:r>
      <w:rPr>
        <w:rFonts w:ascii="Times New Roman" w:hAnsi="Times New Roman"/>
        <w:lang w:val="en-US"/>
      </w:rPr>
      <w:t>Islam</w:t>
    </w:r>
    <w:r w:rsidR="00074FCE">
      <w:rPr>
        <w:rFonts w:ascii="Times New Roman" w:hAnsi="Times New Roman"/>
        <w:lang w:val="en-US"/>
      </w:rPr>
      <w:t xml:space="preserve"> et al.</w:t>
    </w:r>
    <w:r w:rsidR="006B72B0" w:rsidRPr="006B72B0">
      <w:rPr>
        <w:rFonts w:ascii="Times New Roman" w:hAnsi="Times New Roman"/>
        <w:lang w:val="en-US"/>
      </w:rPr>
      <w:t xml:space="preserve">: </w:t>
    </w:r>
    <w:r w:rsidR="009B0F4A">
      <w:rPr>
        <w:rFonts w:ascii="Times New Roman" w:hAnsi="Times New Roman"/>
        <w:lang w:val="en-US"/>
      </w:rPr>
      <w:t xml:space="preserve"> </w:t>
    </w:r>
    <w:r>
      <w:rPr>
        <w:rFonts w:ascii="Times New Roman" w:hAnsi="Times New Roman"/>
        <w:lang w:val="en-US"/>
      </w:rPr>
      <w:t xml:space="preserve"> </w:t>
    </w:r>
    <w:r w:rsidR="00074FCE" w:rsidRPr="00074FCE">
      <w:rPr>
        <w:rFonts w:ascii="Times New Roman" w:hAnsi="Times New Roman"/>
        <w:lang w:val="en-US"/>
      </w:rPr>
      <w:t>MEASUREMENT OF SOLVENT PROPERTIES USING KAMLET-TAFT APPROACH FOR APPLICATION IN SYNTHESIS</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43C" w14:textId="44A408C2" w:rsidR="00FF1FF3" w:rsidRDefault="00FF1F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A176" w14:textId="3A720B49" w:rsidR="00FF1FF3" w:rsidRDefault="00FF1F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7D7F" w14:textId="2A1F0CD0" w:rsidR="00FF1FF3" w:rsidRDefault="00FF1FF3" w:rsidP="00FF1FF3">
    <w:pPr>
      <w:pStyle w:val="Header"/>
      <w:ind w:left="1080" w:hanging="1080"/>
    </w:pPr>
    <w:r>
      <w:rPr>
        <w:rFonts w:ascii="Times New Roman" w:hAnsi="Times New Roman"/>
        <w:lang w:val="en-US"/>
      </w:rPr>
      <w:t>I</w:t>
    </w:r>
    <w:r>
      <w:rPr>
        <w:rFonts w:ascii="Times New Roman" w:hAnsi="Times New Roman"/>
        <w:lang w:val="en-US"/>
      </w:rPr>
      <w:t>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9D0A" w14:textId="2F49692A"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4E35B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B478" w14:textId="63F0DB6F" w:rsidR="00FF1FF3" w:rsidRDefault="00FF1F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2C8C" w14:textId="5DAE27E1" w:rsidR="00FF1FF3" w:rsidRDefault="00FF1F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71D4" w14:textId="7D3CD440" w:rsidR="00FF1FF3" w:rsidRDefault="00FF1F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7A0" w14:textId="73D56C71" w:rsidR="00FF1FF3" w:rsidRDefault="00FF1F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7DAF" w14:textId="371496AD" w:rsidR="00FF1FF3" w:rsidRDefault="00FF1F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5F93" w14:textId="2BE54A4F" w:rsidR="00FF1FF3" w:rsidRDefault="00FF1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016B99D"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4098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4098F">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845F4F">
      <w:rPr>
        <w:rFonts w:ascii="Times New Roman" w:hAnsi="Times New Roman"/>
        <w:i/>
        <w:lang w:val="en-MY"/>
      </w:rPr>
      <w:t>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4E35B5">
      <w:rPr>
        <w:rFonts w:ascii="Times New Roman" w:hAnsi="Times New Roman"/>
        <w:i/>
        <w:lang w:val="en-US"/>
      </w:rPr>
      <w:t>46</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3F51" w14:textId="21A7A293" w:rsidR="00FF1FF3" w:rsidRDefault="00FF1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DB5" w14:textId="6F44B1F7" w:rsidR="00FF1FF3" w:rsidRDefault="00FF1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6BC2" w14:textId="37FDF69C"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DCE9" w14:textId="623D9331" w:rsidR="00FF1FF3" w:rsidRDefault="00FF1F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8D4D" w14:textId="73B23B56" w:rsidR="00FF1FF3" w:rsidRDefault="00FF1FF3" w:rsidP="00FF1FF3">
    <w:pPr>
      <w:pStyle w:val="Header"/>
      <w:ind w:left="1080" w:hanging="1080"/>
    </w:pPr>
    <w:r>
      <w:rPr>
        <w:rFonts w:ascii="Times New Roman" w:hAnsi="Times New Roman"/>
        <w:lang w:val="en-US"/>
      </w:rPr>
      <w:t>I</w:t>
    </w:r>
    <w:r>
      <w:rPr>
        <w:rFonts w:ascii="Times New Roman" w:hAnsi="Times New Roman"/>
        <w:lang w:val="en-US"/>
      </w:rPr>
      <w:t>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AC21" w14:textId="0C5DA215" w:rsidR="00FF1FF3" w:rsidRPr="00FF1FF3" w:rsidRDefault="00FF1FF3" w:rsidP="00FF1FF3">
    <w:pPr>
      <w:pStyle w:val="Header"/>
      <w:jc w:val="right"/>
      <w:rPr>
        <w:lang w:val="en-MY"/>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FD1" w14:textId="06B548B0" w:rsidR="00FF1FF3" w:rsidRDefault="00FF1F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FC7D" w14:textId="4427C457" w:rsidR="00FF1FF3" w:rsidRDefault="00FF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63"/>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47705"/>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5D09C7"/>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4FCE"/>
    <w:rsid w:val="00084936"/>
    <w:rsid w:val="000C49FF"/>
    <w:rsid w:val="000D16A1"/>
    <w:rsid w:val="000D2B0C"/>
    <w:rsid w:val="000D4B54"/>
    <w:rsid w:val="000F77DA"/>
    <w:rsid w:val="001068E8"/>
    <w:rsid w:val="001106D8"/>
    <w:rsid w:val="00117BCD"/>
    <w:rsid w:val="00141D45"/>
    <w:rsid w:val="00151873"/>
    <w:rsid w:val="00152CEC"/>
    <w:rsid w:val="001A3275"/>
    <w:rsid w:val="001D035A"/>
    <w:rsid w:val="001D3855"/>
    <w:rsid w:val="001D6F2C"/>
    <w:rsid w:val="00215204"/>
    <w:rsid w:val="00223E27"/>
    <w:rsid w:val="00233177"/>
    <w:rsid w:val="0025785B"/>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37D7D"/>
    <w:rsid w:val="00352D57"/>
    <w:rsid w:val="003568DD"/>
    <w:rsid w:val="003609F3"/>
    <w:rsid w:val="00361BAF"/>
    <w:rsid w:val="00362FCE"/>
    <w:rsid w:val="00367D1F"/>
    <w:rsid w:val="003B4FC1"/>
    <w:rsid w:val="003B6019"/>
    <w:rsid w:val="003D4208"/>
    <w:rsid w:val="003D585B"/>
    <w:rsid w:val="003E7DA6"/>
    <w:rsid w:val="003F12FF"/>
    <w:rsid w:val="00452E0B"/>
    <w:rsid w:val="004760D4"/>
    <w:rsid w:val="00482180"/>
    <w:rsid w:val="00494C46"/>
    <w:rsid w:val="004B43FF"/>
    <w:rsid w:val="004C070C"/>
    <w:rsid w:val="004C7089"/>
    <w:rsid w:val="004D1C53"/>
    <w:rsid w:val="004D7E25"/>
    <w:rsid w:val="004E35B5"/>
    <w:rsid w:val="004E653F"/>
    <w:rsid w:val="004F265B"/>
    <w:rsid w:val="00502641"/>
    <w:rsid w:val="00523D53"/>
    <w:rsid w:val="005309EA"/>
    <w:rsid w:val="00535CCB"/>
    <w:rsid w:val="0054578F"/>
    <w:rsid w:val="0056630A"/>
    <w:rsid w:val="005C6768"/>
    <w:rsid w:val="005E4871"/>
    <w:rsid w:val="00601C8A"/>
    <w:rsid w:val="00617AA2"/>
    <w:rsid w:val="006257E5"/>
    <w:rsid w:val="00634C25"/>
    <w:rsid w:val="0063542E"/>
    <w:rsid w:val="00637469"/>
    <w:rsid w:val="006416AB"/>
    <w:rsid w:val="00642EA8"/>
    <w:rsid w:val="0065373D"/>
    <w:rsid w:val="00660445"/>
    <w:rsid w:val="00664F73"/>
    <w:rsid w:val="00666974"/>
    <w:rsid w:val="006768E9"/>
    <w:rsid w:val="00687982"/>
    <w:rsid w:val="006B3EC8"/>
    <w:rsid w:val="006B72B0"/>
    <w:rsid w:val="006D102F"/>
    <w:rsid w:val="006D286E"/>
    <w:rsid w:val="006D695E"/>
    <w:rsid w:val="00725A6A"/>
    <w:rsid w:val="00765313"/>
    <w:rsid w:val="007654B2"/>
    <w:rsid w:val="007677D7"/>
    <w:rsid w:val="007706A6"/>
    <w:rsid w:val="007943F3"/>
    <w:rsid w:val="007A0583"/>
    <w:rsid w:val="007A738C"/>
    <w:rsid w:val="007B1349"/>
    <w:rsid w:val="007D45AC"/>
    <w:rsid w:val="007D4BAB"/>
    <w:rsid w:val="007D517A"/>
    <w:rsid w:val="007D5367"/>
    <w:rsid w:val="007E25BD"/>
    <w:rsid w:val="00801D68"/>
    <w:rsid w:val="00802C35"/>
    <w:rsid w:val="0082181A"/>
    <w:rsid w:val="0082457A"/>
    <w:rsid w:val="00825624"/>
    <w:rsid w:val="0083587A"/>
    <w:rsid w:val="00845F4F"/>
    <w:rsid w:val="00883CC3"/>
    <w:rsid w:val="00883F6E"/>
    <w:rsid w:val="008A3758"/>
    <w:rsid w:val="008B470E"/>
    <w:rsid w:val="008B5904"/>
    <w:rsid w:val="008D1880"/>
    <w:rsid w:val="008D29BF"/>
    <w:rsid w:val="008E1211"/>
    <w:rsid w:val="008E5BBF"/>
    <w:rsid w:val="008E6968"/>
    <w:rsid w:val="008F45FE"/>
    <w:rsid w:val="0091237C"/>
    <w:rsid w:val="009211AF"/>
    <w:rsid w:val="00921742"/>
    <w:rsid w:val="009357B8"/>
    <w:rsid w:val="00976876"/>
    <w:rsid w:val="009866F6"/>
    <w:rsid w:val="009B0F4A"/>
    <w:rsid w:val="009B3139"/>
    <w:rsid w:val="009C3BDC"/>
    <w:rsid w:val="009D030D"/>
    <w:rsid w:val="009E2062"/>
    <w:rsid w:val="00A049C6"/>
    <w:rsid w:val="00A12F71"/>
    <w:rsid w:val="00A14DB9"/>
    <w:rsid w:val="00A4762A"/>
    <w:rsid w:val="00A64690"/>
    <w:rsid w:val="00A74A7E"/>
    <w:rsid w:val="00A85E24"/>
    <w:rsid w:val="00AA43F9"/>
    <w:rsid w:val="00AA69F2"/>
    <w:rsid w:val="00AD1B8A"/>
    <w:rsid w:val="00AE713F"/>
    <w:rsid w:val="00AF2305"/>
    <w:rsid w:val="00AF2821"/>
    <w:rsid w:val="00AF4494"/>
    <w:rsid w:val="00B042CE"/>
    <w:rsid w:val="00B1121C"/>
    <w:rsid w:val="00B1415F"/>
    <w:rsid w:val="00B217F6"/>
    <w:rsid w:val="00B25B65"/>
    <w:rsid w:val="00B2770A"/>
    <w:rsid w:val="00B314AD"/>
    <w:rsid w:val="00B32171"/>
    <w:rsid w:val="00B42AB3"/>
    <w:rsid w:val="00B51963"/>
    <w:rsid w:val="00B57BD3"/>
    <w:rsid w:val="00B62CCF"/>
    <w:rsid w:val="00B75BF6"/>
    <w:rsid w:val="00B7735A"/>
    <w:rsid w:val="00B77392"/>
    <w:rsid w:val="00B822E7"/>
    <w:rsid w:val="00B91DE7"/>
    <w:rsid w:val="00BA1F7B"/>
    <w:rsid w:val="00BB58AF"/>
    <w:rsid w:val="00BB5D05"/>
    <w:rsid w:val="00BE6617"/>
    <w:rsid w:val="00BE7C30"/>
    <w:rsid w:val="00BF1444"/>
    <w:rsid w:val="00C055BF"/>
    <w:rsid w:val="00C056F9"/>
    <w:rsid w:val="00C2226A"/>
    <w:rsid w:val="00C23746"/>
    <w:rsid w:val="00C248F5"/>
    <w:rsid w:val="00C4098F"/>
    <w:rsid w:val="00C74D67"/>
    <w:rsid w:val="00C80638"/>
    <w:rsid w:val="00C87496"/>
    <w:rsid w:val="00C94D92"/>
    <w:rsid w:val="00C97340"/>
    <w:rsid w:val="00CA513F"/>
    <w:rsid w:val="00CB11A3"/>
    <w:rsid w:val="00CB3AA6"/>
    <w:rsid w:val="00CC4938"/>
    <w:rsid w:val="00CE203C"/>
    <w:rsid w:val="00CE2BC6"/>
    <w:rsid w:val="00CF05FF"/>
    <w:rsid w:val="00D10C6A"/>
    <w:rsid w:val="00D257FB"/>
    <w:rsid w:val="00D340BB"/>
    <w:rsid w:val="00D34708"/>
    <w:rsid w:val="00D505D5"/>
    <w:rsid w:val="00D613A2"/>
    <w:rsid w:val="00D662D7"/>
    <w:rsid w:val="00D6781A"/>
    <w:rsid w:val="00D75B35"/>
    <w:rsid w:val="00D76E09"/>
    <w:rsid w:val="00D9736F"/>
    <w:rsid w:val="00D9792A"/>
    <w:rsid w:val="00DA48F2"/>
    <w:rsid w:val="00DD0CD5"/>
    <w:rsid w:val="00DD377F"/>
    <w:rsid w:val="00DD5CD9"/>
    <w:rsid w:val="00DD7C38"/>
    <w:rsid w:val="00DF1E96"/>
    <w:rsid w:val="00DF28EA"/>
    <w:rsid w:val="00E106F1"/>
    <w:rsid w:val="00E25547"/>
    <w:rsid w:val="00E3287E"/>
    <w:rsid w:val="00E54D12"/>
    <w:rsid w:val="00E66197"/>
    <w:rsid w:val="00E715DB"/>
    <w:rsid w:val="00F121A0"/>
    <w:rsid w:val="00F168B9"/>
    <w:rsid w:val="00F31093"/>
    <w:rsid w:val="00F318AC"/>
    <w:rsid w:val="00F33AB1"/>
    <w:rsid w:val="00F412AF"/>
    <w:rsid w:val="00F43667"/>
    <w:rsid w:val="00F447A7"/>
    <w:rsid w:val="00F4760B"/>
    <w:rsid w:val="00F568B2"/>
    <w:rsid w:val="00F82059"/>
    <w:rsid w:val="00FB4C59"/>
    <w:rsid w:val="00FB6521"/>
    <w:rsid w:val="00FC5284"/>
    <w:rsid w:val="00FE0572"/>
    <w:rsid w:val="00FF0BE1"/>
    <w:rsid w:val="00FF1FF3"/>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styleId="UnresolvedMention">
    <w:name w:val="Unresolved Mention"/>
    <w:basedOn w:val="DefaultParagraphFont"/>
    <w:uiPriority w:val="99"/>
    <w:semiHidden/>
    <w:unhideWhenUsed/>
    <w:rsid w:val="00C8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image" Target="media/image2.png"/><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4</cp:revision>
  <cp:lastPrinted>2022-02-03T03:58:00Z</cp:lastPrinted>
  <dcterms:created xsi:type="dcterms:W3CDTF">2022-02-03T03:59:00Z</dcterms:created>
  <dcterms:modified xsi:type="dcterms:W3CDTF">2022-02-03T04:03:00Z</dcterms:modified>
</cp:coreProperties>
</file>