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footerReference w:type="even" r:id="rId8"/>
          <w:footerReference w:type="default" r:id="rId9"/>
          <w:pgSz w:w="12240" w:h="15840" w:code="1"/>
          <w:pgMar w:top="1800" w:right="1469" w:bottom="1699" w:left="1440" w:header="706" w:footer="706" w:gutter="0"/>
          <w:pgNumType w:start="1"/>
          <w:cols w:num="2" w:space="403"/>
          <w:docGrid w:linePitch="360"/>
        </w:sectPr>
      </w:pPr>
    </w:p>
    <w:p w14:paraId="30A75EE6" w14:textId="66F94ED6"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E4E1D">
        <w:rPr>
          <w:rFonts w:ascii="Times New Roman" w:hAnsi="Times New Roman" w:cs="Times New Roman"/>
          <w:b/>
          <w:i/>
          <w:sz w:val="24"/>
          <w:szCs w:val="24"/>
        </w:rPr>
        <w:t>1</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E449AD">
        <w:rPr>
          <w:rFonts w:ascii="Times New Roman" w:hAnsi="Times New Roman" w:cs="Times New Roman"/>
          <w:b/>
          <w:i/>
          <w:sz w:val="24"/>
          <w:szCs w:val="24"/>
        </w:rPr>
        <w:t>39</w:t>
      </w:r>
      <w:r w:rsidR="009B31A6">
        <w:rPr>
          <w:rFonts w:ascii="Times New Roman" w:hAnsi="Times New Roman" w:cs="Times New Roman"/>
          <w:b/>
          <w:i/>
          <w:sz w:val="24"/>
          <w:szCs w:val="24"/>
        </w:rPr>
        <w:t xml:space="preserve"> - </w:t>
      </w:r>
      <w:r w:rsidR="00E449AD">
        <w:rPr>
          <w:rFonts w:ascii="Times New Roman" w:hAnsi="Times New Roman" w:cs="Times New Roman"/>
          <w:b/>
          <w:i/>
          <w:sz w:val="24"/>
          <w:szCs w:val="24"/>
        </w:rPr>
        <w:t>46</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055244A8" w14:textId="77777777" w:rsidR="00E449AD" w:rsidRPr="00F447A7" w:rsidRDefault="00E449AD" w:rsidP="00E449AD">
      <w:pPr>
        <w:spacing w:after="0"/>
        <w:jc w:val="center"/>
        <w:rPr>
          <w:rFonts w:ascii="Times New Roman" w:hAnsi="Times New Roman"/>
          <w:noProof/>
          <w:sz w:val="28"/>
          <w:szCs w:val="28"/>
        </w:rPr>
      </w:pPr>
      <w:r w:rsidRPr="00C80638">
        <w:rPr>
          <w:rFonts w:ascii="Times New Roman" w:hAnsi="Times New Roman"/>
          <w:noProof/>
          <w:sz w:val="28"/>
          <w:szCs w:val="28"/>
        </w:rPr>
        <w:t>MEASUREMENT OF SOLVENT PROPERTIES USING KAMLET-TAFT</w:t>
      </w:r>
      <w:r>
        <w:rPr>
          <w:rFonts w:ascii="Times New Roman" w:hAnsi="Times New Roman"/>
          <w:noProof/>
          <w:sz w:val="28"/>
          <w:szCs w:val="28"/>
        </w:rPr>
        <w:t xml:space="preserve"> </w:t>
      </w:r>
      <w:r w:rsidRPr="00C80638">
        <w:rPr>
          <w:rFonts w:ascii="Times New Roman" w:hAnsi="Times New Roman"/>
          <w:noProof/>
          <w:sz w:val="28"/>
          <w:szCs w:val="28"/>
        </w:rPr>
        <w:t>APPROACH FOR APPLICATION IN SYNTHESIS</w:t>
      </w:r>
    </w:p>
    <w:p w14:paraId="40209D80" w14:textId="77777777" w:rsidR="00E449AD" w:rsidRPr="00F447A7" w:rsidRDefault="00E449AD" w:rsidP="00E449AD">
      <w:pPr>
        <w:spacing w:after="0"/>
        <w:jc w:val="center"/>
        <w:rPr>
          <w:rFonts w:ascii="Times New Roman" w:hAnsi="Times New Roman"/>
          <w:noProof/>
          <w:sz w:val="24"/>
          <w:szCs w:val="24"/>
        </w:rPr>
      </w:pPr>
    </w:p>
    <w:p w14:paraId="3E470161" w14:textId="77777777" w:rsidR="00E449AD" w:rsidRPr="007654B2" w:rsidRDefault="00E449AD" w:rsidP="00E449AD">
      <w:pPr>
        <w:spacing w:after="0"/>
        <w:jc w:val="center"/>
        <w:rPr>
          <w:rFonts w:ascii="Times New Roman" w:hAnsi="Times New Roman"/>
          <w:bCs/>
          <w:noProof/>
          <w:sz w:val="24"/>
          <w:szCs w:val="24"/>
        </w:rPr>
      </w:pPr>
      <w:r w:rsidRPr="00C80638">
        <w:rPr>
          <w:rFonts w:ascii="Times New Roman" w:hAnsi="Times New Roman"/>
          <w:noProof/>
          <w:sz w:val="24"/>
          <w:szCs w:val="24"/>
        </w:rPr>
        <w:t>(</w:t>
      </w:r>
      <w:r w:rsidRPr="00C80638">
        <w:rPr>
          <w:rFonts w:ascii="Times New Roman" w:hAnsi="Times New Roman"/>
          <w:bCs/>
          <w:noProof/>
          <w:sz w:val="24"/>
          <w:szCs w:val="24"/>
        </w:rPr>
        <w:t>Pengukuran Sifat Pelarut Menggunakan Pendekatan Kamlet-Taft untuk Penggunaan dalam Sintesis</w:t>
      </w:r>
      <w:r w:rsidRPr="00C80638">
        <w:rPr>
          <w:rFonts w:ascii="Times New Roman" w:hAnsi="Times New Roman"/>
          <w:noProof/>
          <w:sz w:val="24"/>
          <w:szCs w:val="24"/>
        </w:rPr>
        <w:t>)</w:t>
      </w:r>
    </w:p>
    <w:p w14:paraId="450CC3D3" w14:textId="77777777" w:rsidR="00E449AD" w:rsidRDefault="00E449AD" w:rsidP="00E449AD">
      <w:pPr>
        <w:spacing w:after="0"/>
        <w:jc w:val="center"/>
        <w:rPr>
          <w:rFonts w:ascii="Times New Roman" w:hAnsi="Times New Roman"/>
          <w:noProof/>
          <w:sz w:val="20"/>
          <w:szCs w:val="20"/>
        </w:rPr>
      </w:pPr>
    </w:p>
    <w:p w14:paraId="15C14A79" w14:textId="77777777" w:rsidR="00E449AD" w:rsidRPr="00642EA8" w:rsidRDefault="00E449AD" w:rsidP="00E449AD">
      <w:pPr>
        <w:spacing w:after="0"/>
        <w:jc w:val="center"/>
        <w:rPr>
          <w:rFonts w:ascii="Times New Roman" w:hAnsi="Times New Roman"/>
          <w:noProof/>
          <w:sz w:val="20"/>
          <w:szCs w:val="20"/>
        </w:rPr>
      </w:pPr>
      <w:r w:rsidRPr="00642EA8">
        <w:rPr>
          <w:rFonts w:ascii="Times New Roman" w:hAnsi="Times New Roman"/>
          <w:noProof/>
          <w:sz w:val="20"/>
          <w:szCs w:val="20"/>
        </w:rPr>
        <w:t>Tariqul Islam</w:t>
      </w:r>
      <w:r w:rsidRPr="00642EA8">
        <w:rPr>
          <w:rFonts w:ascii="Times New Roman" w:hAnsi="Times New Roman"/>
          <w:noProof/>
          <w:sz w:val="20"/>
          <w:szCs w:val="20"/>
          <w:vertAlign w:val="superscript"/>
        </w:rPr>
        <w:t>1</w:t>
      </w:r>
      <w:r w:rsidRPr="00642EA8">
        <w:rPr>
          <w:rFonts w:ascii="Times New Roman" w:hAnsi="Times New Roman"/>
          <w:noProof/>
          <w:sz w:val="20"/>
          <w:szCs w:val="20"/>
        </w:rPr>
        <w:t>, A. B. M. Helal Uddin</w:t>
      </w:r>
      <w:r w:rsidRPr="00642EA8">
        <w:rPr>
          <w:rFonts w:ascii="Times New Roman" w:hAnsi="Times New Roman"/>
          <w:noProof/>
          <w:sz w:val="20"/>
          <w:szCs w:val="20"/>
          <w:vertAlign w:val="superscript"/>
        </w:rPr>
        <w:t>1</w:t>
      </w:r>
      <w:r w:rsidRPr="00642EA8">
        <w:rPr>
          <w:rFonts w:ascii="Times New Roman" w:hAnsi="Times New Roman"/>
          <w:noProof/>
          <w:sz w:val="20"/>
          <w:szCs w:val="20"/>
        </w:rPr>
        <w:t>, Sahena Ferdosh</w:t>
      </w:r>
      <w:r w:rsidRPr="00642EA8">
        <w:rPr>
          <w:rFonts w:ascii="Times New Roman" w:hAnsi="Times New Roman"/>
          <w:noProof/>
          <w:sz w:val="20"/>
          <w:szCs w:val="20"/>
          <w:vertAlign w:val="superscript"/>
        </w:rPr>
        <w:t>2</w:t>
      </w:r>
      <w:r w:rsidRPr="00642EA8">
        <w:rPr>
          <w:rFonts w:ascii="Times New Roman" w:hAnsi="Times New Roman"/>
          <w:noProof/>
          <w:sz w:val="20"/>
          <w:szCs w:val="20"/>
        </w:rPr>
        <w:t>, Md. Zaidul Islam Sarker</w:t>
      </w:r>
      <w:r w:rsidRPr="00642EA8">
        <w:rPr>
          <w:rFonts w:ascii="Times New Roman" w:hAnsi="Times New Roman"/>
          <w:noProof/>
          <w:sz w:val="20"/>
          <w:szCs w:val="20"/>
          <w:vertAlign w:val="superscript"/>
        </w:rPr>
        <w:t>1,3</w:t>
      </w:r>
      <w:r w:rsidRPr="007654B2">
        <w:rPr>
          <w:rFonts w:ascii="Times New Roman" w:hAnsi="Times New Roman"/>
          <w:noProof/>
          <w:sz w:val="20"/>
          <w:szCs w:val="20"/>
        </w:rPr>
        <w:t>*</w:t>
      </w:r>
    </w:p>
    <w:p w14:paraId="3352CF1C" w14:textId="77777777" w:rsidR="00E449AD" w:rsidRPr="00E449AD" w:rsidRDefault="00E449AD" w:rsidP="00E449AD">
      <w:pPr>
        <w:spacing w:after="0"/>
        <w:jc w:val="center"/>
        <w:rPr>
          <w:rFonts w:ascii="Times New Roman" w:hAnsi="Times New Roman"/>
          <w:noProof/>
          <w:sz w:val="20"/>
          <w:szCs w:val="20"/>
        </w:rPr>
      </w:pPr>
    </w:p>
    <w:p w14:paraId="0AE04622" w14:textId="77777777" w:rsidR="00E449AD" w:rsidRPr="00E449AD" w:rsidRDefault="00E449AD" w:rsidP="00E449AD">
      <w:pPr>
        <w:spacing w:after="0"/>
        <w:jc w:val="center"/>
        <w:rPr>
          <w:rFonts w:ascii="Times New Roman" w:hAnsi="Times New Roman"/>
          <w:i/>
          <w:noProof/>
          <w:sz w:val="20"/>
          <w:szCs w:val="20"/>
        </w:rPr>
      </w:pPr>
      <w:r w:rsidRPr="00E449AD">
        <w:rPr>
          <w:rFonts w:ascii="Times New Roman" w:hAnsi="Times New Roman"/>
          <w:i/>
          <w:noProof/>
          <w:sz w:val="20"/>
          <w:szCs w:val="20"/>
          <w:vertAlign w:val="superscript"/>
        </w:rPr>
        <w:t>1</w:t>
      </w:r>
      <w:r w:rsidRPr="00E449AD">
        <w:rPr>
          <w:rFonts w:ascii="Times New Roman" w:hAnsi="Times New Roman"/>
          <w:i/>
          <w:noProof/>
          <w:sz w:val="20"/>
          <w:szCs w:val="20"/>
        </w:rPr>
        <w:t>Faculty of Pharmacy</w:t>
      </w:r>
    </w:p>
    <w:p w14:paraId="58EF3B79" w14:textId="77777777" w:rsidR="00E449AD" w:rsidRPr="00E449AD" w:rsidRDefault="00E449AD" w:rsidP="00E449AD">
      <w:pPr>
        <w:spacing w:after="0"/>
        <w:jc w:val="center"/>
        <w:rPr>
          <w:rFonts w:ascii="Times New Roman" w:hAnsi="Times New Roman"/>
          <w:i/>
          <w:noProof/>
          <w:sz w:val="20"/>
          <w:szCs w:val="20"/>
        </w:rPr>
      </w:pPr>
      <w:r w:rsidRPr="00E449AD">
        <w:rPr>
          <w:rFonts w:ascii="Times New Roman" w:hAnsi="Times New Roman"/>
          <w:i/>
          <w:noProof/>
          <w:sz w:val="20"/>
          <w:szCs w:val="20"/>
          <w:vertAlign w:val="superscript"/>
        </w:rPr>
        <w:t>2</w:t>
      </w:r>
      <w:r w:rsidRPr="00E449AD">
        <w:rPr>
          <w:rFonts w:ascii="Times New Roman" w:hAnsi="Times New Roman"/>
          <w:i/>
          <w:noProof/>
          <w:sz w:val="20"/>
          <w:szCs w:val="20"/>
        </w:rPr>
        <w:t>Faculty of Science</w:t>
      </w:r>
    </w:p>
    <w:p w14:paraId="6CC988D7" w14:textId="77777777" w:rsidR="00E449AD" w:rsidRPr="00E449AD" w:rsidRDefault="00E449AD" w:rsidP="00E449AD">
      <w:pPr>
        <w:spacing w:after="0"/>
        <w:jc w:val="center"/>
        <w:rPr>
          <w:rFonts w:ascii="Times New Roman" w:hAnsi="Times New Roman"/>
          <w:b/>
          <w:i/>
          <w:noProof/>
          <w:sz w:val="20"/>
          <w:szCs w:val="20"/>
        </w:rPr>
      </w:pPr>
      <w:r w:rsidRPr="00E449AD">
        <w:rPr>
          <w:rFonts w:ascii="Times New Roman" w:hAnsi="Times New Roman"/>
          <w:i/>
          <w:noProof/>
          <w:sz w:val="20"/>
          <w:szCs w:val="20"/>
        </w:rPr>
        <w:t>International Islamic University Malaysia, 25200 Kuantan, Pahang, Malaysia</w:t>
      </w:r>
      <w:r w:rsidRPr="00E449AD">
        <w:rPr>
          <w:rFonts w:ascii="Times New Roman" w:hAnsi="Times New Roman"/>
          <w:b/>
          <w:i/>
          <w:noProof/>
          <w:sz w:val="20"/>
          <w:szCs w:val="20"/>
        </w:rPr>
        <w:t xml:space="preserve"> </w:t>
      </w:r>
    </w:p>
    <w:p w14:paraId="0A9391ED" w14:textId="77777777" w:rsidR="00E449AD" w:rsidRPr="00E449AD" w:rsidRDefault="00E449AD" w:rsidP="00E449AD">
      <w:pPr>
        <w:spacing w:after="0"/>
        <w:jc w:val="center"/>
        <w:rPr>
          <w:rFonts w:ascii="Times New Roman" w:hAnsi="Times New Roman"/>
          <w:i/>
          <w:noProof/>
          <w:sz w:val="20"/>
          <w:szCs w:val="20"/>
        </w:rPr>
      </w:pPr>
      <w:r w:rsidRPr="00E449AD">
        <w:rPr>
          <w:rFonts w:ascii="Times New Roman" w:hAnsi="Times New Roman"/>
          <w:i/>
          <w:noProof/>
          <w:sz w:val="20"/>
          <w:szCs w:val="20"/>
          <w:vertAlign w:val="superscript"/>
        </w:rPr>
        <w:t>3</w:t>
      </w:r>
      <w:r w:rsidRPr="00E449AD">
        <w:rPr>
          <w:rFonts w:ascii="Times New Roman" w:hAnsi="Times New Roman"/>
          <w:i/>
          <w:noProof/>
          <w:sz w:val="20"/>
          <w:szCs w:val="20"/>
        </w:rPr>
        <w:t xml:space="preserve">Food Science Program, </w:t>
      </w:r>
    </w:p>
    <w:p w14:paraId="5A51E146" w14:textId="77777777" w:rsidR="00E449AD" w:rsidRPr="00E449AD" w:rsidRDefault="00E449AD" w:rsidP="00E449AD">
      <w:pPr>
        <w:spacing w:after="0"/>
        <w:jc w:val="center"/>
        <w:rPr>
          <w:rFonts w:ascii="Times New Roman" w:hAnsi="Times New Roman"/>
          <w:i/>
          <w:noProof/>
          <w:sz w:val="20"/>
          <w:szCs w:val="20"/>
        </w:rPr>
      </w:pPr>
      <w:r w:rsidRPr="00E449AD">
        <w:rPr>
          <w:rFonts w:ascii="Times New Roman" w:hAnsi="Times New Roman"/>
          <w:i/>
          <w:noProof/>
          <w:sz w:val="20"/>
          <w:szCs w:val="20"/>
        </w:rPr>
        <w:t>Northern Marianas College, 501250, Saipan MP 96950, USA</w:t>
      </w:r>
    </w:p>
    <w:p w14:paraId="123C32C5" w14:textId="77777777" w:rsidR="00E449AD" w:rsidRPr="00E449AD" w:rsidRDefault="00E449AD" w:rsidP="00E449AD">
      <w:pPr>
        <w:spacing w:after="0"/>
        <w:jc w:val="center"/>
        <w:rPr>
          <w:rFonts w:ascii="Times New Roman" w:hAnsi="Times New Roman"/>
          <w:b/>
          <w:noProof/>
          <w:sz w:val="20"/>
          <w:szCs w:val="20"/>
        </w:rPr>
      </w:pPr>
    </w:p>
    <w:p w14:paraId="2A74581B" w14:textId="77777777" w:rsidR="00E449AD" w:rsidRPr="00E449AD" w:rsidRDefault="00E449AD" w:rsidP="00E449AD">
      <w:pPr>
        <w:spacing w:after="0"/>
        <w:jc w:val="center"/>
        <w:rPr>
          <w:rFonts w:ascii="Times New Roman" w:hAnsi="Times New Roman"/>
          <w:i/>
          <w:noProof/>
          <w:sz w:val="20"/>
          <w:szCs w:val="20"/>
        </w:rPr>
      </w:pPr>
      <w:r w:rsidRPr="00E449AD">
        <w:rPr>
          <w:rFonts w:ascii="Times New Roman" w:hAnsi="Times New Roman"/>
          <w:i/>
          <w:noProof/>
          <w:sz w:val="20"/>
          <w:szCs w:val="20"/>
        </w:rPr>
        <w:t>*Corresponding author:  mdzaidul.sarker@marianas.edu</w:t>
      </w:r>
    </w:p>
    <w:p w14:paraId="4C64C18D" w14:textId="77777777" w:rsidR="00E449AD" w:rsidRPr="00E449AD" w:rsidRDefault="00E449AD" w:rsidP="00E449AD">
      <w:pPr>
        <w:spacing w:after="0"/>
        <w:jc w:val="center"/>
        <w:rPr>
          <w:rFonts w:ascii="Times New Roman" w:hAnsi="Times New Roman"/>
          <w:noProof/>
          <w:sz w:val="20"/>
          <w:szCs w:val="20"/>
        </w:rPr>
      </w:pPr>
    </w:p>
    <w:p w14:paraId="50620B79" w14:textId="77777777" w:rsidR="00E449AD" w:rsidRPr="00E449AD" w:rsidRDefault="00E449AD" w:rsidP="00E449AD">
      <w:pPr>
        <w:spacing w:after="0"/>
        <w:jc w:val="center"/>
        <w:rPr>
          <w:rFonts w:ascii="Times New Roman" w:hAnsi="Times New Roman"/>
          <w:noProof/>
          <w:sz w:val="20"/>
          <w:szCs w:val="20"/>
        </w:rPr>
      </w:pPr>
    </w:p>
    <w:p w14:paraId="5C5F0536" w14:textId="77777777" w:rsidR="00E449AD" w:rsidRPr="00E449AD" w:rsidRDefault="00E449AD" w:rsidP="00E449AD">
      <w:pPr>
        <w:spacing w:after="0"/>
        <w:jc w:val="center"/>
        <w:rPr>
          <w:rFonts w:ascii="Times New Roman" w:hAnsi="Times New Roman"/>
          <w:noProof/>
          <w:sz w:val="20"/>
          <w:szCs w:val="20"/>
        </w:rPr>
      </w:pPr>
      <w:r w:rsidRPr="00E449AD">
        <w:rPr>
          <w:rFonts w:ascii="Times New Roman" w:hAnsi="Times New Roman"/>
          <w:noProof/>
          <w:sz w:val="20"/>
          <w:szCs w:val="20"/>
        </w:rPr>
        <w:t>Received: 31 August 2021; Accepted: 11 January 2022; Published:  xx February 2022</w:t>
      </w:r>
    </w:p>
    <w:p w14:paraId="4457C3CE" w14:textId="77777777" w:rsidR="00E449AD" w:rsidRPr="00E449AD" w:rsidRDefault="00E449AD" w:rsidP="00E449AD">
      <w:pPr>
        <w:spacing w:after="0"/>
        <w:jc w:val="center"/>
        <w:rPr>
          <w:rFonts w:ascii="Times New Roman" w:hAnsi="Times New Roman"/>
          <w:noProof/>
          <w:sz w:val="20"/>
          <w:szCs w:val="20"/>
        </w:rPr>
      </w:pPr>
    </w:p>
    <w:p w14:paraId="75FF91D8" w14:textId="77777777" w:rsidR="00E449AD" w:rsidRPr="00E449AD" w:rsidRDefault="00E449AD" w:rsidP="00E449AD">
      <w:pPr>
        <w:spacing w:after="0"/>
        <w:jc w:val="center"/>
        <w:rPr>
          <w:rFonts w:ascii="Times New Roman" w:hAnsi="Times New Roman"/>
          <w:noProof/>
          <w:sz w:val="20"/>
          <w:szCs w:val="20"/>
        </w:rPr>
      </w:pPr>
    </w:p>
    <w:p w14:paraId="688B0DC4" w14:textId="77777777" w:rsidR="00E449AD" w:rsidRPr="00E449AD" w:rsidRDefault="00E449AD" w:rsidP="00E449AD">
      <w:pPr>
        <w:spacing w:after="0"/>
        <w:jc w:val="center"/>
        <w:rPr>
          <w:rFonts w:ascii="Times New Roman" w:hAnsi="Times New Roman"/>
          <w:b/>
          <w:noProof/>
          <w:sz w:val="20"/>
          <w:szCs w:val="20"/>
        </w:rPr>
      </w:pPr>
      <w:r w:rsidRPr="00E449AD">
        <w:rPr>
          <w:rFonts w:ascii="Times New Roman" w:hAnsi="Times New Roman"/>
          <w:b/>
          <w:noProof/>
          <w:sz w:val="20"/>
          <w:szCs w:val="20"/>
        </w:rPr>
        <w:t>Abstract</w:t>
      </w:r>
    </w:p>
    <w:p w14:paraId="399C139C" w14:textId="77777777" w:rsidR="00E449AD" w:rsidRPr="00E449AD" w:rsidRDefault="00E449AD" w:rsidP="00E449AD">
      <w:pPr>
        <w:spacing w:after="0"/>
        <w:jc w:val="both"/>
        <w:rPr>
          <w:rFonts w:ascii="Times New Roman" w:hAnsi="Times New Roman"/>
          <w:noProof/>
          <w:sz w:val="20"/>
          <w:szCs w:val="20"/>
        </w:rPr>
      </w:pPr>
      <w:r w:rsidRPr="00E449AD">
        <w:rPr>
          <w:rFonts w:ascii="Times New Roman" w:hAnsi="Times New Roman"/>
          <w:noProof/>
          <w:sz w:val="20"/>
          <w:szCs w:val="20"/>
        </w:rPr>
        <w:t xml:space="preserve">Solvents are an unavoidable part of pharmaceutical and chemical manufacturing/synthesis, most of them are toxic or hazardous. The study on toxic solvent replacement is ongoing over the world. Researchers are trying to overcome the hazardous issues that can be possible using the mixture of hydrogen bond donor (HBD) and hydrogen bond acceptor (HBA) solvent as a safe/recommended solvent mixture. This study presented the possibility for the replacement/limitation of dipolar aprotic solvent in drug synthesis by solvent-pair mixture where the Kamlet-Taft (KT) parameter worked as a tool to alternate the uses of such types of toxic solvents. It has been simplified here among the many methods and equations of the KT approach. The polarity (π*), basicity (β), and acidity (α) of 10 pure solvents and 16 solvent-pair mixtures were measured spectroscopically, utilizing well-suited dyes or indicators. The highest absorption wavenumber value of indicators in the solution was selected and the simplified KT equations were used to determine the solvent properties (π*, β, α). Solvent mixtures were classified as per the solvent selection guideline of GSK2016 and CHEM21. Four pure solvents (tetrahydrofuran, dimethylformamide, dimethylsulfoxide, and acetone) exhibited low KT acidity, high KT basicity, and high KT polarity. Eight aqueous solvent mixtures (water-acetone, water-ethanol, water-isopropyl alcohol, water-dimethylsulfoxide, water-dimethylformamide, water-tetrahydrofuran), and two non-aqueous solvent mixtures (ethanol-dimethylformamide, ethanol-dimethylsulfoxide) showed low KT acidity and high KT basicity. Solvent classification by composite score showed that four solvent mixtures were as recommended and 5 mixtures were near to recommended solvent among 16 solvent mixtures. KT </w:t>
      </w:r>
      <w:r w:rsidRPr="00E449AD">
        <w:rPr>
          <w:rFonts w:ascii="Times New Roman" w:hAnsi="Times New Roman"/>
          <w:noProof/>
          <w:sz w:val="20"/>
          <w:szCs w:val="20"/>
        </w:rPr>
        <w:lastRenderedPageBreak/>
        <w:t xml:space="preserve">parameter was a simplified approach to determine which mixture can bind with active pharmaceutical ingredients (API) that is indicated by KT solvatochromic properties and solvent classification. </w:t>
      </w:r>
    </w:p>
    <w:p w14:paraId="33A927BB" w14:textId="77777777" w:rsidR="00E449AD" w:rsidRPr="00E449AD" w:rsidRDefault="00E449AD" w:rsidP="00E449AD">
      <w:pPr>
        <w:spacing w:after="0"/>
        <w:jc w:val="center"/>
        <w:rPr>
          <w:rFonts w:ascii="Times New Roman" w:hAnsi="Times New Roman"/>
          <w:noProof/>
          <w:sz w:val="20"/>
          <w:szCs w:val="20"/>
        </w:rPr>
      </w:pPr>
    </w:p>
    <w:p w14:paraId="7B660586" w14:textId="77777777" w:rsidR="00E449AD" w:rsidRPr="00E449AD" w:rsidRDefault="00E449AD" w:rsidP="00E449AD">
      <w:pPr>
        <w:spacing w:after="0"/>
        <w:rPr>
          <w:rFonts w:ascii="Times New Roman" w:hAnsi="Times New Roman"/>
          <w:noProof/>
          <w:sz w:val="20"/>
          <w:szCs w:val="20"/>
        </w:rPr>
      </w:pPr>
      <w:r w:rsidRPr="00E449AD">
        <w:rPr>
          <w:rFonts w:ascii="Times New Roman" w:hAnsi="Times New Roman"/>
          <w:b/>
          <w:noProof/>
          <w:sz w:val="20"/>
          <w:szCs w:val="20"/>
        </w:rPr>
        <w:t>Keywords</w:t>
      </w:r>
      <w:r w:rsidRPr="00E449AD">
        <w:rPr>
          <w:rFonts w:ascii="Times New Roman" w:hAnsi="Times New Roman"/>
          <w:noProof/>
          <w:sz w:val="20"/>
          <w:szCs w:val="20"/>
        </w:rPr>
        <w:t xml:space="preserve">:  </w:t>
      </w:r>
      <w:r w:rsidRPr="00E449AD">
        <w:rPr>
          <w:rFonts w:ascii="Times New Roman" w:hAnsi="Times New Roman"/>
          <w:sz w:val="20"/>
          <w:szCs w:val="20"/>
        </w:rPr>
        <w:t>Kamlet-Taft parameters, hazardous solvent, solvent-pair mixture, dipolar aprotic solvent, drug synthesis</w:t>
      </w:r>
    </w:p>
    <w:p w14:paraId="13EEE8A8" w14:textId="77777777" w:rsidR="00E449AD" w:rsidRPr="00E449AD" w:rsidRDefault="00E449AD" w:rsidP="00E449AD">
      <w:pPr>
        <w:spacing w:after="0"/>
        <w:jc w:val="center"/>
        <w:rPr>
          <w:rFonts w:ascii="Times New Roman" w:hAnsi="Times New Roman"/>
          <w:b/>
          <w:noProof/>
          <w:sz w:val="20"/>
          <w:szCs w:val="20"/>
        </w:rPr>
      </w:pPr>
    </w:p>
    <w:p w14:paraId="4F603BFD" w14:textId="77777777" w:rsidR="00E449AD" w:rsidRPr="00E449AD" w:rsidRDefault="00E449AD" w:rsidP="00E449AD">
      <w:pPr>
        <w:spacing w:after="0"/>
        <w:jc w:val="center"/>
        <w:rPr>
          <w:rFonts w:ascii="Times New Roman" w:hAnsi="Times New Roman"/>
          <w:b/>
          <w:noProof/>
          <w:sz w:val="20"/>
          <w:szCs w:val="20"/>
        </w:rPr>
      </w:pPr>
      <w:r w:rsidRPr="00E449AD">
        <w:rPr>
          <w:rFonts w:ascii="Times New Roman" w:hAnsi="Times New Roman"/>
          <w:b/>
          <w:noProof/>
          <w:sz w:val="20"/>
          <w:szCs w:val="20"/>
        </w:rPr>
        <w:t>Abstrak</w:t>
      </w:r>
    </w:p>
    <w:p w14:paraId="39EA3346" w14:textId="77777777" w:rsidR="00E449AD" w:rsidRPr="00E449AD" w:rsidRDefault="00E449AD" w:rsidP="00E449AD">
      <w:pPr>
        <w:spacing w:after="0"/>
        <w:jc w:val="both"/>
        <w:rPr>
          <w:rFonts w:ascii="Times New Roman" w:hAnsi="Times New Roman"/>
          <w:noProof/>
          <w:sz w:val="20"/>
          <w:szCs w:val="20"/>
          <w:lang w:val="ms-MY"/>
        </w:rPr>
      </w:pPr>
      <w:r w:rsidRPr="00E449AD">
        <w:rPr>
          <w:rFonts w:ascii="Times New Roman" w:hAnsi="Times New Roman"/>
          <w:noProof/>
          <w:sz w:val="20"/>
          <w:szCs w:val="20"/>
          <w:lang w:val="ms-MY"/>
        </w:rPr>
        <w:t>Pelarut adalah bahagian yang tidak dapat dielakkan dalam pembuatan/sintesis farmaseutikal dan kimia, kebanyakannya beracun atau berbahaya. Kajian mengenai penggantian pelarut toksik sedang dijalankan di seluruh dunia. Penyelidik berusaha mengatasi masalah berbahaya yang mungkin dilakukan dengan menggunakan campuran pelarut penderma ikatan hidrogen (HBD) dan pelarut ikatan hidrogen (HBA) sebagai campuran pelarut yang selamat/disyorkan. Kajian ini menunjukkan kemungkinan penggantian/pembatasan pelarut aprotik dipolar dalam sintesis ubat dengan campuran pasangan pelarut di mana parameter Kamlet-Taft (KT) berfungsi sebagai alat untuk mengganti penggunaan jenis pelarut toksik tersebut. Ini telah dipermudahkan di sini antara banyak kaedah dan persamaan pendekatan KT. Kekutuban (π*), asas (β), dan keasidan (α) daripada 10 pelarut tulen dan 16 campuran pasangan pelarut telah diukur dengan menggunakan spektroskopi, berdasarkan pewarna atau indikator yang sesuai. Nilai penyerapan gelombang tertinggi dari indikator dalam larutan dipilih dan persamaan KT digunakan untuk menentukan sifat pelarut (π*, β, α). Campuran pelarut dikelaskan mengikut garis panduan pemilihan pelarut GSK 2016 dan CHEM21. Empat pelarut tulen (tetrahidrofuran, dimetilformamida, dimetilsulfoksida, dan aseton) menunjukkan keasidan KT rendah, asas KT tinggi, dan kekutuban KT tinggi. Lapan campuran pelarut berasaskan air (air-aseton, air-etanol, air-isopropil alkohol, air-dimetilsulfoksida, air-dimetilformamida, air-tetrahidrofuran), dan dua campuran pelarut tidak berasaskan air (etanol-dimetilformamida, etanol-dimetilsulfoksida) menunjukkan keasidan KT rendah dan asas KT yang tinggi. Penggolongan terhadap 16 campuran pelarut berdasarkan skor komposit menunjukkan empat campuran pelarut adalah seperti yang disyorkan dan 5 campuran pelarut hampir dengan yang disyorkan. Parameter KT adalah pendekatan yang dipermudah untuk menentukan campuran mana yang dapat mengikat dengan bahan aktif farmaseutikal (API) yang ditunjukkan oleh sifat solvatochromic KT dan klasifikasi pelarut.</w:t>
      </w:r>
    </w:p>
    <w:p w14:paraId="68BDE084" w14:textId="77777777" w:rsidR="00E449AD" w:rsidRPr="00E449AD" w:rsidRDefault="00E449AD" w:rsidP="00E449AD">
      <w:pPr>
        <w:spacing w:after="0"/>
        <w:jc w:val="center"/>
        <w:rPr>
          <w:rFonts w:ascii="Times New Roman" w:hAnsi="Times New Roman"/>
          <w:noProof/>
          <w:sz w:val="20"/>
          <w:szCs w:val="20"/>
        </w:rPr>
      </w:pPr>
    </w:p>
    <w:p w14:paraId="25D5E9FB" w14:textId="77777777" w:rsidR="00E449AD" w:rsidRDefault="00E449AD" w:rsidP="00E449AD">
      <w:pPr>
        <w:spacing w:after="0"/>
        <w:rPr>
          <w:rFonts w:ascii="Times New Roman" w:hAnsi="Times New Roman"/>
          <w:noProof/>
          <w:sz w:val="20"/>
          <w:szCs w:val="20"/>
        </w:rPr>
      </w:pPr>
      <w:r w:rsidRPr="00E449AD">
        <w:rPr>
          <w:rFonts w:ascii="Times New Roman" w:hAnsi="Times New Roman"/>
          <w:b/>
          <w:noProof/>
          <w:sz w:val="20"/>
          <w:szCs w:val="20"/>
        </w:rPr>
        <w:t>Kata kunci</w:t>
      </w:r>
      <w:r w:rsidRPr="00E449AD">
        <w:rPr>
          <w:rFonts w:ascii="Times New Roman" w:hAnsi="Times New Roman"/>
          <w:noProof/>
          <w:sz w:val="20"/>
          <w:szCs w:val="20"/>
        </w:rPr>
        <w:t xml:space="preserve">:  </w:t>
      </w:r>
      <w:r w:rsidRPr="00E449AD">
        <w:rPr>
          <w:rFonts w:ascii="Times New Roman" w:hAnsi="Times New Roman"/>
          <w:noProof/>
          <w:sz w:val="20"/>
          <w:szCs w:val="20"/>
          <w:lang w:val="ms-MY"/>
        </w:rPr>
        <w:t>parameter Kamlet-Taft, pelarut berbahaya, campuran pasangan pelarut, pelarut aprotik dipolar, sintesis ubat</w:t>
      </w:r>
      <w:r w:rsidRPr="00E449AD">
        <w:rPr>
          <w:rFonts w:ascii="Times New Roman" w:hAnsi="Times New Roman"/>
          <w:noProof/>
          <w:sz w:val="20"/>
          <w:szCs w:val="20"/>
        </w:rPr>
        <w:t xml:space="preserve"> </w:t>
      </w:r>
    </w:p>
    <w:p w14:paraId="6F76ACD8" w14:textId="77777777" w:rsidR="00E449AD" w:rsidRDefault="00E449AD" w:rsidP="00E449AD">
      <w:pPr>
        <w:spacing w:after="0"/>
        <w:rPr>
          <w:rFonts w:ascii="Times New Roman" w:hAnsi="Times New Roman"/>
          <w:noProof/>
          <w:sz w:val="20"/>
          <w:szCs w:val="20"/>
        </w:rPr>
      </w:pPr>
    </w:p>
    <w:p w14:paraId="2BFB2771" w14:textId="77777777" w:rsidR="00E449AD" w:rsidRDefault="00E449AD" w:rsidP="00E449AD">
      <w:pPr>
        <w:spacing w:after="0"/>
        <w:rPr>
          <w:rFonts w:ascii="Times New Roman" w:hAnsi="Times New Roman"/>
          <w:noProof/>
          <w:sz w:val="20"/>
          <w:szCs w:val="20"/>
        </w:rPr>
      </w:pPr>
    </w:p>
    <w:p w14:paraId="423613A3" w14:textId="77777777" w:rsidR="00E449AD" w:rsidRPr="00F447A7" w:rsidRDefault="00E449AD" w:rsidP="00E449AD">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2F9C3A45" w14:textId="77777777" w:rsidR="00E449AD" w:rsidRPr="00C80638" w:rsidRDefault="00E449AD" w:rsidP="00E449AD">
      <w:pPr>
        <w:numPr>
          <w:ilvl w:val="0"/>
          <w:numId w:val="11"/>
        </w:numPr>
        <w:spacing w:after="0" w:line="240" w:lineRule="auto"/>
        <w:ind w:left="360"/>
        <w:jc w:val="both"/>
        <w:rPr>
          <w:rFonts w:ascii="Times New Roman" w:hAnsi="Times New Roman"/>
          <w:noProof/>
          <w:sz w:val="20"/>
          <w:szCs w:val="20"/>
        </w:rPr>
      </w:pPr>
      <w:r w:rsidRPr="00C80638">
        <w:rPr>
          <w:rFonts w:ascii="Times New Roman" w:hAnsi="Times New Roman"/>
          <w:noProof/>
          <w:sz w:val="20"/>
          <w:szCs w:val="20"/>
        </w:rPr>
        <w:t xml:space="preserve">Kamlet, M. J., and Taft, R. W. (1976). The solvatochromic comparison method. I. The beta-scale of solvent hydrogen-bond acceptor (HBA) basicity. </w:t>
      </w:r>
      <w:r w:rsidRPr="00C80638">
        <w:rPr>
          <w:rFonts w:ascii="Times New Roman" w:hAnsi="Times New Roman"/>
          <w:i/>
          <w:iCs/>
          <w:noProof/>
          <w:sz w:val="20"/>
          <w:szCs w:val="20"/>
        </w:rPr>
        <w:t>Journal of the American chemical Society</w:t>
      </w:r>
      <w:r w:rsidRPr="00C80638">
        <w:rPr>
          <w:rFonts w:ascii="Times New Roman" w:hAnsi="Times New Roman"/>
          <w:noProof/>
          <w:sz w:val="20"/>
          <w:szCs w:val="20"/>
        </w:rPr>
        <w:t>, 98(2): 377-383.</w:t>
      </w:r>
    </w:p>
    <w:p w14:paraId="17742BAE" w14:textId="77777777" w:rsidR="00E449AD" w:rsidRPr="00C80638" w:rsidRDefault="00E449AD" w:rsidP="00E449AD">
      <w:pPr>
        <w:numPr>
          <w:ilvl w:val="0"/>
          <w:numId w:val="11"/>
        </w:numPr>
        <w:spacing w:after="0" w:line="240" w:lineRule="auto"/>
        <w:ind w:left="360"/>
        <w:jc w:val="both"/>
        <w:rPr>
          <w:rFonts w:ascii="Times New Roman" w:hAnsi="Times New Roman"/>
          <w:noProof/>
          <w:sz w:val="20"/>
          <w:szCs w:val="20"/>
        </w:rPr>
      </w:pPr>
      <w:r w:rsidRPr="00C80638">
        <w:rPr>
          <w:rFonts w:ascii="Times New Roman" w:hAnsi="Times New Roman"/>
          <w:noProof/>
          <w:sz w:val="20"/>
          <w:szCs w:val="20"/>
        </w:rPr>
        <w:t xml:space="preserve">Labban, A. S. and Marcus, Y. (1997). Solvatochromic parameters of ethanolamines. </w:t>
      </w:r>
      <w:r w:rsidRPr="00C80638">
        <w:rPr>
          <w:rFonts w:ascii="Times New Roman" w:hAnsi="Times New Roman"/>
          <w:i/>
          <w:iCs/>
          <w:noProof/>
          <w:sz w:val="20"/>
          <w:szCs w:val="20"/>
        </w:rPr>
        <w:t>Journal of the Chemical Society, Faraday Transactions</w:t>
      </w:r>
      <w:r w:rsidRPr="00C80638">
        <w:rPr>
          <w:rFonts w:ascii="Times New Roman" w:hAnsi="Times New Roman"/>
          <w:noProof/>
          <w:sz w:val="20"/>
          <w:szCs w:val="20"/>
        </w:rPr>
        <w:t>, 93(1): 77-79.</w:t>
      </w:r>
    </w:p>
    <w:p w14:paraId="5EBC780B" w14:textId="77777777" w:rsidR="00E449AD" w:rsidRPr="00C80638" w:rsidRDefault="00E449AD" w:rsidP="00E449AD">
      <w:pPr>
        <w:numPr>
          <w:ilvl w:val="0"/>
          <w:numId w:val="11"/>
        </w:numPr>
        <w:spacing w:after="0" w:line="240" w:lineRule="auto"/>
        <w:ind w:left="360"/>
        <w:jc w:val="both"/>
        <w:rPr>
          <w:rFonts w:ascii="Times New Roman" w:hAnsi="Times New Roman"/>
          <w:noProof/>
          <w:sz w:val="20"/>
          <w:szCs w:val="20"/>
        </w:rPr>
      </w:pPr>
      <w:r w:rsidRPr="00C80638">
        <w:rPr>
          <w:rFonts w:ascii="Times New Roman" w:hAnsi="Times New Roman"/>
          <w:noProof/>
          <w:sz w:val="20"/>
          <w:szCs w:val="20"/>
        </w:rPr>
        <w:t xml:space="preserve">Islam, T., Sarker, M. Z. I., Uddin, A. H., Yunus, K. B., Prasad, R., Mia, M. A. R. and Ferdosh, S. (2020). Kamlet Taft parameters: A tool to alternate the usage of hazardous solvent in pharmaceutical and chemical manufacturing/synthesis-A gateway towards green technology. </w:t>
      </w:r>
      <w:r w:rsidRPr="00C80638">
        <w:rPr>
          <w:rFonts w:ascii="Times New Roman" w:hAnsi="Times New Roman"/>
          <w:i/>
          <w:iCs/>
          <w:noProof/>
          <w:sz w:val="20"/>
          <w:szCs w:val="20"/>
        </w:rPr>
        <w:t>Analytical Chemistry Letters</w:t>
      </w:r>
      <w:r w:rsidRPr="00C80638">
        <w:rPr>
          <w:rFonts w:ascii="Times New Roman" w:hAnsi="Times New Roman"/>
          <w:noProof/>
          <w:sz w:val="20"/>
          <w:szCs w:val="20"/>
        </w:rPr>
        <w:t>, 10 (5): 550-561.</w:t>
      </w:r>
    </w:p>
    <w:p w14:paraId="7F5622EC" w14:textId="77777777" w:rsidR="00E449AD" w:rsidRDefault="00E449AD" w:rsidP="00E449AD">
      <w:pPr>
        <w:numPr>
          <w:ilvl w:val="0"/>
          <w:numId w:val="11"/>
        </w:numPr>
        <w:spacing w:after="0" w:line="240" w:lineRule="auto"/>
        <w:ind w:left="360"/>
        <w:jc w:val="both"/>
        <w:rPr>
          <w:rFonts w:ascii="Times New Roman" w:hAnsi="Times New Roman"/>
          <w:noProof/>
          <w:sz w:val="20"/>
          <w:szCs w:val="20"/>
        </w:rPr>
      </w:pPr>
      <w:r w:rsidRPr="00B1415F">
        <w:rPr>
          <w:rFonts w:ascii="Times New Roman" w:hAnsi="Times New Roman"/>
          <w:noProof/>
          <w:sz w:val="20"/>
          <w:szCs w:val="20"/>
        </w:rPr>
        <w:t xml:space="preserve">Duereh, A., Guo, H., Honma, T., Hiraga, Y., Sato, Y., Lee Smith Jr, R. and Inomata, H. (2018). Solvent polarity of cyclic ketone (cyclopentanone, cyclohexanone): Alcohol (methanol, ethanol) renewable mixed-solvent systems for applications in pharmaceutical and chemical processing. </w:t>
      </w:r>
      <w:r w:rsidRPr="00B1415F">
        <w:rPr>
          <w:rFonts w:ascii="Times New Roman" w:hAnsi="Times New Roman"/>
          <w:i/>
          <w:iCs/>
          <w:noProof/>
          <w:sz w:val="20"/>
          <w:szCs w:val="20"/>
        </w:rPr>
        <w:t>Industrial &amp; Engineering Chemistry Research</w:t>
      </w:r>
      <w:r w:rsidRPr="00B1415F">
        <w:rPr>
          <w:rFonts w:ascii="Times New Roman" w:hAnsi="Times New Roman"/>
          <w:noProof/>
          <w:sz w:val="20"/>
          <w:szCs w:val="20"/>
        </w:rPr>
        <w:t>, 57(22): 7331-7344.</w:t>
      </w:r>
    </w:p>
    <w:p w14:paraId="2686AB47" w14:textId="77777777" w:rsidR="00E449AD" w:rsidRDefault="00E449AD" w:rsidP="00E449AD">
      <w:pPr>
        <w:pStyle w:val="ListParagraph"/>
        <w:numPr>
          <w:ilvl w:val="0"/>
          <w:numId w:val="11"/>
        </w:numPr>
        <w:spacing w:after="0"/>
        <w:ind w:left="360" w:hanging="446"/>
        <w:jc w:val="both"/>
        <w:rPr>
          <w:rFonts w:ascii="Times New Roman" w:hAnsi="Times New Roman"/>
          <w:noProof/>
          <w:sz w:val="20"/>
          <w:szCs w:val="20"/>
        </w:rPr>
      </w:pPr>
      <w:r w:rsidRPr="00535CCB">
        <w:rPr>
          <w:rFonts w:ascii="Times New Roman" w:hAnsi="Times New Roman"/>
          <w:noProof/>
          <w:sz w:val="20"/>
          <w:szCs w:val="20"/>
        </w:rPr>
        <w:t xml:space="preserve">Duereh, A., Sato, Y., Smith Jr, R. L., and Inomata, H. (2016). Analysis of the cybotactic region of two renewable lactone–water mixed-solvent systems that exhibit synergistic Kamlet–Taft basicity. </w:t>
      </w:r>
      <w:r w:rsidRPr="00535CCB">
        <w:rPr>
          <w:rFonts w:ascii="Times New Roman" w:hAnsi="Times New Roman"/>
          <w:i/>
          <w:iCs/>
          <w:noProof/>
          <w:sz w:val="20"/>
          <w:szCs w:val="20"/>
        </w:rPr>
        <w:t>The Journal of Physical Chemistry B</w:t>
      </w:r>
      <w:r w:rsidRPr="00535CCB">
        <w:rPr>
          <w:rFonts w:ascii="Times New Roman" w:hAnsi="Times New Roman"/>
          <w:noProof/>
          <w:sz w:val="20"/>
          <w:szCs w:val="20"/>
        </w:rPr>
        <w:t>, 120(19): 4467-4481.</w:t>
      </w:r>
    </w:p>
    <w:p w14:paraId="2E0801BE" w14:textId="26901FA6" w:rsidR="00E449AD" w:rsidRPr="00E449AD" w:rsidRDefault="00E449AD" w:rsidP="00E449AD">
      <w:pPr>
        <w:pStyle w:val="ListParagraph"/>
        <w:numPr>
          <w:ilvl w:val="0"/>
          <w:numId w:val="11"/>
        </w:numPr>
        <w:spacing w:after="0"/>
        <w:ind w:left="360" w:hanging="446"/>
        <w:jc w:val="both"/>
        <w:rPr>
          <w:rFonts w:ascii="Times New Roman" w:hAnsi="Times New Roman"/>
          <w:noProof/>
          <w:sz w:val="20"/>
          <w:szCs w:val="20"/>
        </w:rPr>
      </w:pPr>
      <w:r w:rsidRPr="00535CCB">
        <w:rPr>
          <w:rFonts w:ascii="Times New Roman" w:hAnsi="Times New Roman"/>
          <w:noProof/>
          <w:sz w:val="20"/>
          <w:szCs w:val="20"/>
        </w:rPr>
        <w:lastRenderedPageBreak/>
        <w:t xml:space="preserve">Marcus, Y. (1994). The use of chemical probes for the characterization of solvent mixtures. Part 2. Aqueous mixtures. </w:t>
      </w:r>
      <w:r w:rsidRPr="00535CCB">
        <w:rPr>
          <w:rFonts w:ascii="Times New Roman" w:hAnsi="Times New Roman"/>
          <w:i/>
          <w:iCs/>
          <w:noProof/>
          <w:sz w:val="20"/>
          <w:szCs w:val="20"/>
        </w:rPr>
        <w:t>Journal of the Chemical Society, Perkin Transactions 2</w:t>
      </w:r>
      <w:r w:rsidRPr="00535CCB">
        <w:rPr>
          <w:rFonts w:ascii="Times New Roman" w:hAnsi="Times New Roman"/>
          <w:noProof/>
          <w:sz w:val="20"/>
          <w:szCs w:val="20"/>
        </w:rPr>
        <w:t>(8): 1751-1758.</w:t>
      </w:r>
    </w:p>
    <w:p w14:paraId="0437AA66" w14:textId="77777777" w:rsidR="00E449AD" w:rsidRPr="00BB5D05" w:rsidRDefault="00E449AD" w:rsidP="00E449AD">
      <w:pPr>
        <w:pStyle w:val="ListParagraph"/>
        <w:numPr>
          <w:ilvl w:val="0"/>
          <w:numId w:val="11"/>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Prat, D., Wells, A., Hayler, J., Sneddon, H., McElroy, C. R., Abou-Shehada, S. and Dunn, P. J. (2015). CHEM21 selection guide of classical-and less classical-solvents. </w:t>
      </w:r>
      <w:r w:rsidRPr="00BB5D05">
        <w:rPr>
          <w:rFonts w:ascii="Times New Roman" w:hAnsi="Times New Roman"/>
          <w:i/>
          <w:iCs/>
          <w:noProof/>
          <w:sz w:val="20"/>
          <w:szCs w:val="20"/>
        </w:rPr>
        <w:t>Green Chemistry</w:t>
      </w:r>
      <w:r w:rsidRPr="00BB5D05">
        <w:rPr>
          <w:rFonts w:ascii="Times New Roman" w:hAnsi="Times New Roman"/>
          <w:noProof/>
          <w:sz w:val="20"/>
          <w:szCs w:val="20"/>
        </w:rPr>
        <w:t>, 18(1): 288-296.</w:t>
      </w:r>
    </w:p>
    <w:p w14:paraId="6690AC65" w14:textId="77777777" w:rsidR="00E449AD" w:rsidRPr="00BB5D05" w:rsidRDefault="00E449AD" w:rsidP="00E449AD">
      <w:pPr>
        <w:pStyle w:val="ListParagraph"/>
        <w:numPr>
          <w:ilvl w:val="0"/>
          <w:numId w:val="11"/>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European Medicines Agency (2019), ICH guideline Q3C (R6) on impurities: guideline for residual solvents, step 5. </w:t>
      </w:r>
      <w:r w:rsidRPr="00B77392">
        <w:rPr>
          <w:rFonts w:ascii="Times New Roman" w:hAnsi="Times New Roman"/>
          <w:noProof/>
          <w:sz w:val="20"/>
          <w:szCs w:val="20"/>
        </w:rPr>
        <w:t>https://www.ema.europa.eu/</w:t>
      </w:r>
      <w:r>
        <w:rPr>
          <w:rFonts w:ascii="Times New Roman" w:hAnsi="Times New Roman"/>
          <w:noProof/>
          <w:sz w:val="20"/>
          <w:szCs w:val="20"/>
        </w:rPr>
        <w:t xml:space="preserve"> </w:t>
      </w:r>
      <w:r w:rsidRPr="00BB5D05">
        <w:rPr>
          <w:rFonts w:ascii="Times New Roman" w:hAnsi="Times New Roman"/>
          <w:noProof/>
          <w:sz w:val="20"/>
          <w:szCs w:val="20"/>
        </w:rPr>
        <w:t>en/ich-q3c-r6-residual-solvents [Access online 08 October 2021].</w:t>
      </w:r>
    </w:p>
    <w:p w14:paraId="57329860" w14:textId="77777777" w:rsidR="00E449AD" w:rsidRPr="00BB5D05" w:rsidRDefault="00E449AD" w:rsidP="00E449AD">
      <w:pPr>
        <w:pStyle w:val="ListParagraph"/>
        <w:numPr>
          <w:ilvl w:val="0"/>
          <w:numId w:val="11"/>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Byrne, F. P., Jin, S., Paggiola, G., Petchey, T. H., Clark, J. H., Farmer, T. J., Hunt, A. J., McElroy, C. R. and Sherwood, J. (2016). Tools and techniques for solvent selection: green solvent selection guides. </w:t>
      </w:r>
      <w:r w:rsidRPr="00BB5D05">
        <w:rPr>
          <w:rFonts w:ascii="Times New Roman" w:hAnsi="Times New Roman"/>
          <w:i/>
          <w:iCs/>
          <w:noProof/>
          <w:sz w:val="20"/>
          <w:szCs w:val="20"/>
        </w:rPr>
        <w:t>Sustainable Chemical Processes</w:t>
      </w:r>
      <w:r w:rsidRPr="00BB5D05">
        <w:rPr>
          <w:rFonts w:ascii="Times New Roman" w:hAnsi="Times New Roman"/>
          <w:noProof/>
          <w:sz w:val="20"/>
          <w:szCs w:val="20"/>
        </w:rPr>
        <w:t>, 4(1): 1-24.</w:t>
      </w:r>
    </w:p>
    <w:p w14:paraId="4B0C741D" w14:textId="77777777" w:rsidR="00E449AD" w:rsidRPr="00BB5D05" w:rsidRDefault="00E449AD" w:rsidP="00E449AD">
      <w:pPr>
        <w:pStyle w:val="ListParagraph"/>
        <w:numPr>
          <w:ilvl w:val="0"/>
          <w:numId w:val="11"/>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Prat, D., Hayler, J. and Wells, A. (2014). A survey of solvent selection guides. </w:t>
      </w:r>
      <w:r w:rsidRPr="00BB5D05">
        <w:rPr>
          <w:rFonts w:ascii="Times New Roman" w:hAnsi="Times New Roman"/>
          <w:i/>
          <w:iCs/>
          <w:noProof/>
          <w:sz w:val="20"/>
          <w:szCs w:val="20"/>
        </w:rPr>
        <w:t>Green Chemistry</w:t>
      </w:r>
      <w:r w:rsidRPr="00BB5D05">
        <w:rPr>
          <w:rFonts w:ascii="Times New Roman" w:hAnsi="Times New Roman"/>
          <w:noProof/>
          <w:sz w:val="20"/>
          <w:szCs w:val="20"/>
        </w:rPr>
        <w:t>, 16(10): 4546-4551.</w:t>
      </w:r>
    </w:p>
    <w:p w14:paraId="37CF6330" w14:textId="77777777" w:rsidR="00E449AD" w:rsidRPr="00BB5D05" w:rsidRDefault="00E449AD" w:rsidP="00E449AD">
      <w:pPr>
        <w:pStyle w:val="ListParagraph"/>
        <w:numPr>
          <w:ilvl w:val="0"/>
          <w:numId w:val="11"/>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Duereh, A., Sato, Y., Smith Jr, R. L. and Inomata, H. (2017). Methodology for replacing dipolar aprotic solvents used in API processing with safe hydrogen-bond donor and acceptor solvent-pair mixtures. </w:t>
      </w:r>
      <w:r w:rsidRPr="00BB5D05">
        <w:rPr>
          <w:rFonts w:ascii="Times New Roman" w:hAnsi="Times New Roman"/>
          <w:i/>
          <w:iCs/>
          <w:noProof/>
          <w:sz w:val="20"/>
          <w:szCs w:val="20"/>
        </w:rPr>
        <w:t>Organic Process Research &amp; Development</w:t>
      </w:r>
      <w:r w:rsidRPr="00BB5D05">
        <w:rPr>
          <w:rFonts w:ascii="Times New Roman" w:hAnsi="Times New Roman"/>
          <w:noProof/>
          <w:sz w:val="20"/>
          <w:szCs w:val="20"/>
        </w:rPr>
        <w:t>, 21(1): 114-124.</w:t>
      </w:r>
    </w:p>
    <w:p w14:paraId="2A1CFC6F" w14:textId="77777777" w:rsidR="00E449AD" w:rsidRPr="00BB5D05" w:rsidRDefault="00E449AD" w:rsidP="00E449AD">
      <w:pPr>
        <w:pStyle w:val="ListParagraph"/>
        <w:numPr>
          <w:ilvl w:val="0"/>
          <w:numId w:val="11"/>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Duereh, A., Sato, Y., Smith Jr, R. L. and Inomata, H. (2015). Spectroscopic analysis of binary mixed-solvent-polyimide precursor systems with the preferential solvation model for determining solute-centric Kamlet–Taft solvatochromic parameters. </w:t>
      </w:r>
      <w:r w:rsidRPr="00BB5D05">
        <w:rPr>
          <w:rFonts w:ascii="Times New Roman" w:hAnsi="Times New Roman"/>
          <w:i/>
          <w:iCs/>
          <w:noProof/>
          <w:sz w:val="20"/>
          <w:szCs w:val="20"/>
        </w:rPr>
        <w:t>The Journal of Physical Chemistry B</w:t>
      </w:r>
      <w:r w:rsidRPr="00BB5D05">
        <w:rPr>
          <w:rFonts w:ascii="Times New Roman" w:hAnsi="Times New Roman"/>
          <w:noProof/>
          <w:sz w:val="20"/>
          <w:szCs w:val="20"/>
        </w:rPr>
        <w:t>, 119(46): 14738-14749.</w:t>
      </w:r>
    </w:p>
    <w:p w14:paraId="350CF98E" w14:textId="77777777" w:rsidR="00E449AD" w:rsidRPr="00BB5D05" w:rsidRDefault="00E449AD" w:rsidP="00E449AD">
      <w:pPr>
        <w:pStyle w:val="ListParagraph"/>
        <w:numPr>
          <w:ilvl w:val="0"/>
          <w:numId w:val="11"/>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Duereh, A., Sato, Y., Smith Jr, R. L. and Inomata, H. (2015). Replacement of hazardous chemicals used in engineering plastics with safe and renewable hydrogen-bond donor and acceptor solvent-pair mixtures. </w:t>
      </w:r>
      <w:r w:rsidRPr="00BB5D05">
        <w:rPr>
          <w:rFonts w:ascii="Times New Roman" w:hAnsi="Times New Roman"/>
          <w:i/>
          <w:iCs/>
          <w:noProof/>
          <w:sz w:val="20"/>
          <w:szCs w:val="20"/>
        </w:rPr>
        <w:t>ACS Sustainable Chemistry &amp; Engineering</w:t>
      </w:r>
      <w:r w:rsidRPr="00BB5D05">
        <w:rPr>
          <w:rFonts w:ascii="Times New Roman" w:hAnsi="Times New Roman"/>
          <w:noProof/>
          <w:sz w:val="20"/>
          <w:szCs w:val="20"/>
        </w:rPr>
        <w:t>, 3(8): 1881-1889.</w:t>
      </w:r>
    </w:p>
    <w:p w14:paraId="4DCE7E26" w14:textId="77777777" w:rsidR="00E449AD" w:rsidRPr="00BB5D05" w:rsidRDefault="00E449AD" w:rsidP="00E449AD">
      <w:pPr>
        <w:pStyle w:val="ListParagraph"/>
        <w:numPr>
          <w:ilvl w:val="0"/>
          <w:numId w:val="11"/>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Capello, C., Fischer, U. and Hungerbühler, K. (2007). What is a green solvent? A comprehensive framework for the environmental assessment of solvents. </w:t>
      </w:r>
      <w:r w:rsidRPr="00BB5D05">
        <w:rPr>
          <w:rFonts w:ascii="Times New Roman" w:hAnsi="Times New Roman"/>
          <w:i/>
          <w:iCs/>
          <w:noProof/>
          <w:sz w:val="20"/>
          <w:szCs w:val="20"/>
        </w:rPr>
        <w:t>Green Chemistry</w:t>
      </w:r>
      <w:r w:rsidRPr="00BB5D05">
        <w:rPr>
          <w:rFonts w:ascii="Times New Roman" w:hAnsi="Times New Roman"/>
          <w:noProof/>
          <w:sz w:val="20"/>
          <w:szCs w:val="20"/>
        </w:rPr>
        <w:t>, 9(9): 927-934.</w:t>
      </w:r>
    </w:p>
    <w:p w14:paraId="05CA4F2D" w14:textId="77777777" w:rsidR="00E449AD" w:rsidRPr="00BB5D05" w:rsidRDefault="00E449AD" w:rsidP="00E449AD">
      <w:pPr>
        <w:pStyle w:val="ListParagraph"/>
        <w:numPr>
          <w:ilvl w:val="0"/>
          <w:numId w:val="11"/>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Clark, J. H., and Tavener, S. J. (2007). Alternative solvents: shades of green. </w:t>
      </w:r>
      <w:r w:rsidRPr="00BB5D05">
        <w:rPr>
          <w:rFonts w:ascii="Times New Roman" w:hAnsi="Times New Roman"/>
          <w:i/>
          <w:iCs/>
          <w:noProof/>
          <w:sz w:val="20"/>
          <w:szCs w:val="20"/>
        </w:rPr>
        <w:t>Organic Process Research &amp; Development</w:t>
      </w:r>
      <w:r w:rsidRPr="00BB5D05">
        <w:rPr>
          <w:rFonts w:ascii="Times New Roman" w:hAnsi="Times New Roman"/>
          <w:noProof/>
          <w:sz w:val="20"/>
          <w:szCs w:val="20"/>
        </w:rPr>
        <w:t>, 11(1): 149-155.</w:t>
      </w:r>
    </w:p>
    <w:p w14:paraId="3D4C1CE2" w14:textId="77777777" w:rsidR="00E449AD" w:rsidRPr="00BB5D05" w:rsidRDefault="00E449AD" w:rsidP="00E449AD">
      <w:pPr>
        <w:pStyle w:val="ListParagraph"/>
        <w:numPr>
          <w:ilvl w:val="0"/>
          <w:numId w:val="11"/>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Jessop, P. G. (2011). Searching for green solvents. </w:t>
      </w:r>
      <w:r w:rsidRPr="00BB5D05">
        <w:rPr>
          <w:rFonts w:ascii="Times New Roman" w:hAnsi="Times New Roman"/>
          <w:i/>
          <w:iCs/>
          <w:noProof/>
          <w:sz w:val="20"/>
          <w:szCs w:val="20"/>
        </w:rPr>
        <w:t>Green Chemistry</w:t>
      </w:r>
      <w:r w:rsidRPr="00BB5D05">
        <w:rPr>
          <w:rFonts w:ascii="Times New Roman" w:hAnsi="Times New Roman"/>
          <w:noProof/>
          <w:sz w:val="20"/>
          <w:szCs w:val="20"/>
        </w:rPr>
        <w:t>, 13(6): 1391-1398.</w:t>
      </w:r>
    </w:p>
    <w:p w14:paraId="2BFCD209" w14:textId="77777777" w:rsidR="00E449AD" w:rsidRPr="00BB5D05" w:rsidRDefault="00E449AD" w:rsidP="00E449AD">
      <w:pPr>
        <w:pStyle w:val="ListParagraph"/>
        <w:numPr>
          <w:ilvl w:val="0"/>
          <w:numId w:val="11"/>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Ashcroft, C. P., Dunn, P. J., Hayler, J. D. and Wells, A. S. (2015). Survey of solvent usage in papers published in organic process research &amp; development 1997–2012. </w:t>
      </w:r>
      <w:r w:rsidRPr="00BB5D05">
        <w:rPr>
          <w:rFonts w:ascii="Times New Roman" w:hAnsi="Times New Roman"/>
          <w:i/>
          <w:iCs/>
          <w:noProof/>
          <w:sz w:val="20"/>
          <w:szCs w:val="20"/>
        </w:rPr>
        <w:t>Organic Process Research &amp; Development</w:t>
      </w:r>
      <w:r w:rsidRPr="00BB5D05">
        <w:rPr>
          <w:rFonts w:ascii="Times New Roman" w:hAnsi="Times New Roman"/>
          <w:noProof/>
          <w:sz w:val="20"/>
          <w:szCs w:val="20"/>
        </w:rPr>
        <w:t>, 19(7): 740-747.</w:t>
      </w:r>
    </w:p>
    <w:p w14:paraId="1D126522" w14:textId="77777777" w:rsidR="00E449AD" w:rsidRPr="00BB5D05" w:rsidRDefault="00E449AD" w:rsidP="00E449AD">
      <w:pPr>
        <w:pStyle w:val="ListParagraph"/>
        <w:numPr>
          <w:ilvl w:val="0"/>
          <w:numId w:val="11"/>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shd w:val="clear" w:color="auto" w:fill="FFFFFF"/>
        </w:rPr>
        <w:t>Sherwood, J., Granelli, J., McElroy, C. R. and Clark, J. H. (2019). A method of calculating the Kamlet–Abboud–Taft solvatochromic parameters using COSMO-RS. </w:t>
      </w:r>
      <w:r w:rsidRPr="00BB5D05">
        <w:rPr>
          <w:rFonts w:ascii="Times New Roman" w:hAnsi="Times New Roman"/>
          <w:i/>
          <w:iCs/>
          <w:noProof/>
          <w:sz w:val="20"/>
          <w:szCs w:val="20"/>
          <w:shd w:val="clear" w:color="auto" w:fill="FFFFFF"/>
        </w:rPr>
        <w:t>Molecules</w:t>
      </w:r>
      <w:r w:rsidRPr="00BB5D05">
        <w:rPr>
          <w:rFonts w:ascii="Times New Roman" w:hAnsi="Times New Roman"/>
          <w:noProof/>
          <w:sz w:val="20"/>
          <w:szCs w:val="20"/>
          <w:shd w:val="clear" w:color="auto" w:fill="FFFFFF"/>
        </w:rPr>
        <w:t>, 24(12): 2209.</w:t>
      </w:r>
    </w:p>
    <w:p w14:paraId="65BE963A" w14:textId="77777777" w:rsidR="00E449AD" w:rsidRPr="00BB5D05" w:rsidRDefault="00E449AD" w:rsidP="00E449AD">
      <w:pPr>
        <w:pStyle w:val="ListParagraph"/>
        <w:numPr>
          <w:ilvl w:val="0"/>
          <w:numId w:val="11"/>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shd w:val="clear" w:color="auto" w:fill="FFFFFF"/>
        </w:rPr>
        <w:t>Dolan, D. A., Sherman, D. A., Atkin, R., and Warr, G. G. (2016). Kamlet–taft solvation parameters of solvate ionic liquids. </w:t>
      </w:r>
      <w:r w:rsidRPr="00BB5D05">
        <w:rPr>
          <w:rFonts w:ascii="Times New Roman" w:hAnsi="Times New Roman"/>
          <w:i/>
          <w:iCs/>
          <w:noProof/>
          <w:sz w:val="20"/>
          <w:szCs w:val="20"/>
          <w:shd w:val="clear" w:color="auto" w:fill="FFFFFF"/>
        </w:rPr>
        <w:t>ChemPhysChem</w:t>
      </w:r>
      <w:r w:rsidRPr="00BB5D05">
        <w:rPr>
          <w:rFonts w:ascii="Times New Roman" w:hAnsi="Times New Roman"/>
          <w:noProof/>
          <w:sz w:val="20"/>
          <w:szCs w:val="20"/>
          <w:shd w:val="clear" w:color="auto" w:fill="FFFFFF"/>
        </w:rPr>
        <w:t>, 17(19): 3096-3101.</w:t>
      </w:r>
    </w:p>
    <w:p w14:paraId="5B9616D8" w14:textId="77777777" w:rsidR="00E449AD" w:rsidRPr="00BB5D05" w:rsidRDefault="00E449AD" w:rsidP="00E449AD">
      <w:pPr>
        <w:pStyle w:val="ListParagraph"/>
        <w:numPr>
          <w:ilvl w:val="0"/>
          <w:numId w:val="11"/>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Marcus, Y. (1998). The properties of solvents. John Wiley &amp; Sons, England: pp. 256</w:t>
      </w:r>
    </w:p>
    <w:p w14:paraId="27F74C43" w14:textId="77777777" w:rsidR="00E449AD" w:rsidRPr="00BB5D05" w:rsidRDefault="00E449AD" w:rsidP="00E449AD">
      <w:pPr>
        <w:pStyle w:val="ListParagraph"/>
        <w:numPr>
          <w:ilvl w:val="0"/>
          <w:numId w:val="11"/>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Marcus, Y. (1993). The properties of organic liquids that are relevant to their use as solvating solvents. </w:t>
      </w:r>
      <w:r w:rsidRPr="00BB5D05">
        <w:rPr>
          <w:rFonts w:ascii="Times New Roman" w:hAnsi="Times New Roman"/>
          <w:i/>
          <w:iCs/>
          <w:noProof/>
          <w:sz w:val="20"/>
          <w:szCs w:val="20"/>
        </w:rPr>
        <w:t>Chemical Society Reviews</w:t>
      </w:r>
      <w:r w:rsidRPr="00BB5D05">
        <w:rPr>
          <w:rFonts w:ascii="Times New Roman" w:hAnsi="Times New Roman"/>
          <w:noProof/>
          <w:sz w:val="20"/>
          <w:szCs w:val="20"/>
        </w:rPr>
        <w:t>, 22(6): 409-416.</w:t>
      </w:r>
    </w:p>
    <w:p w14:paraId="5535807A" w14:textId="77777777" w:rsidR="00E449AD" w:rsidRPr="00BB5D05" w:rsidRDefault="00E449AD" w:rsidP="00E449AD">
      <w:pPr>
        <w:pStyle w:val="ListParagraph"/>
        <w:numPr>
          <w:ilvl w:val="0"/>
          <w:numId w:val="11"/>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Alder, C. M., Hayler, J. D., Henderson, R. K., Redman, A. M., Shukla, L., Shuster, L. E. and Sneddon, H. F. (2016). Updating and further expanding GSK's solvent sustainability guide. </w:t>
      </w:r>
      <w:r w:rsidRPr="00BB5D05">
        <w:rPr>
          <w:rFonts w:ascii="Times New Roman" w:hAnsi="Times New Roman"/>
          <w:i/>
          <w:iCs/>
          <w:noProof/>
          <w:sz w:val="20"/>
          <w:szCs w:val="20"/>
        </w:rPr>
        <w:t>Green Chemistry</w:t>
      </w:r>
      <w:r w:rsidRPr="00BB5D05">
        <w:rPr>
          <w:rFonts w:ascii="Times New Roman" w:hAnsi="Times New Roman"/>
          <w:noProof/>
          <w:sz w:val="20"/>
          <w:szCs w:val="20"/>
        </w:rPr>
        <w:t>, 18 (13): 3879-3890.</w:t>
      </w:r>
    </w:p>
    <w:p w14:paraId="008EB5DF" w14:textId="77777777" w:rsidR="00E449AD" w:rsidRPr="00BB5D05" w:rsidRDefault="00E449AD" w:rsidP="00E449AD">
      <w:pPr>
        <w:pStyle w:val="ListParagraph"/>
        <w:numPr>
          <w:ilvl w:val="0"/>
          <w:numId w:val="11"/>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Hellsten, S., Qu, H. and Louhi‐Kultanen, M. (2011). Screening of binary solvent mixtures and solvate formation of indomethacin. </w:t>
      </w:r>
      <w:r w:rsidRPr="00BB5D05">
        <w:rPr>
          <w:rFonts w:ascii="Times New Roman" w:hAnsi="Times New Roman"/>
          <w:i/>
          <w:iCs/>
          <w:noProof/>
          <w:sz w:val="20"/>
          <w:szCs w:val="20"/>
        </w:rPr>
        <w:t>Chemical Engineering &amp; Technology</w:t>
      </w:r>
      <w:r w:rsidRPr="00BB5D05">
        <w:rPr>
          <w:rFonts w:ascii="Times New Roman" w:hAnsi="Times New Roman"/>
          <w:noProof/>
          <w:sz w:val="20"/>
          <w:szCs w:val="20"/>
        </w:rPr>
        <w:t>, 34(10): 1667-1674.</w:t>
      </w:r>
    </w:p>
    <w:p w14:paraId="6CED2528" w14:textId="36D1DC3F" w:rsidR="00E449AD" w:rsidRPr="00E449AD" w:rsidRDefault="00E449AD" w:rsidP="00E449AD">
      <w:pPr>
        <w:spacing w:after="0"/>
        <w:rPr>
          <w:rFonts w:ascii="Times New Roman" w:hAnsi="Times New Roman"/>
          <w:noProof/>
          <w:sz w:val="20"/>
          <w:szCs w:val="20"/>
        </w:rPr>
        <w:sectPr w:rsidR="00E449AD" w:rsidRPr="00E449AD" w:rsidSect="007962C4">
          <w:footerReference w:type="even" r:id="rId10"/>
          <w:footerReference w:type="default" r:id="rId11"/>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2"/>
      <w:headerReference w:type="default" r:id="rId13"/>
      <w:footerReference w:type="even" r:id="rId14"/>
      <w:headerReference w:type="first" r:id="rId15"/>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35DFB" w14:textId="77777777" w:rsidR="00AC0B7F" w:rsidRDefault="00AC0B7F">
      <w:pPr>
        <w:spacing w:after="0" w:line="240" w:lineRule="auto"/>
      </w:pPr>
      <w:r>
        <w:separator/>
      </w:r>
    </w:p>
  </w:endnote>
  <w:endnote w:type="continuationSeparator" w:id="0">
    <w:p w14:paraId="1FF981ED" w14:textId="77777777" w:rsidR="00AC0B7F" w:rsidRDefault="00AC0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642EE3C6" w:rsidR="007F08A2" w:rsidRPr="004B43FF" w:rsidRDefault="007F08A2">
    <w:pPr>
      <w:pStyle w:val="Footer"/>
      <w:rPr>
        <w:rFonts w:ascii="Times New Roman" w:hAnsi="Times New Roman"/>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00D7A" w14:textId="77777777" w:rsidR="00AC0B7F" w:rsidRDefault="00AC0B7F">
      <w:pPr>
        <w:spacing w:after="0" w:line="240" w:lineRule="auto"/>
      </w:pPr>
      <w:r>
        <w:separator/>
      </w:r>
    </w:p>
  </w:footnote>
  <w:footnote w:type="continuationSeparator" w:id="0">
    <w:p w14:paraId="094DA28A" w14:textId="77777777" w:rsidR="00AC0B7F" w:rsidRDefault="00AC0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AC0B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AC0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59104F"/>
    <w:multiLevelType w:val="hybridMultilevel"/>
    <w:tmpl w:val="B7BC27EC"/>
    <w:lvl w:ilvl="0" w:tplc="80D60AD6">
      <w:start w:val="1"/>
      <w:numFmt w:val="decimal"/>
      <w:lvlText w:val="%1."/>
      <w:lvlJc w:val="left"/>
      <w:pPr>
        <w:ind w:left="720" w:hanging="360"/>
      </w:pPr>
    </w:lvl>
    <w:lvl w:ilvl="1" w:tplc="038C64B6" w:tentative="1">
      <w:start w:val="1"/>
      <w:numFmt w:val="lowerLetter"/>
      <w:lvlText w:val="%2."/>
      <w:lvlJc w:val="left"/>
      <w:pPr>
        <w:ind w:left="1440" w:hanging="360"/>
      </w:pPr>
    </w:lvl>
    <w:lvl w:ilvl="2" w:tplc="0EDA472A" w:tentative="1">
      <w:start w:val="1"/>
      <w:numFmt w:val="lowerRoman"/>
      <w:lvlText w:val="%3."/>
      <w:lvlJc w:val="right"/>
      <w:pPr>
        <w:ind w:left="2160" w:hanging="180"/>
      </w:pPr>
    </w:lvl>
    <w:lvl w:ilvl="3" w:tplc="84182CFC" w:tentative="1">
      <w:start w:val="1"/>
      <w:numFmt w:val="decimal"/>
      <w:lvlText w:val="%4."/>
      <w:lvlJc w:val="left"/>
      <w:pPr>
        <w:ind w:left="2880" w:hanging="360"/>
      </w:pPr>
    </w:lvl>
    <w:lvl w:ilvl="4" w:tplc="405ED978" w:tentative="1">
      <w:start w:val="1"/>
      <w:numFmt w:val="lowerLetter"/>
      <w:lvlText w:val="%5."/>
      <w:lvlJc w:val="left"/>
      <w:pPr>
        <w:ind w:left="3600" w:hanging="360"/>
      </w:pPr>
    </w:lvl>
    <w:lvl w:ilvl="5" w:tplc="63401DF6" w:tentative="1">
      <w:start w:val="1"/>
      <w:numFmt w:val="lowerRoman"/>
      <w:lvlText w:val="%6."/>
      <w:lvlJc w:val="right"/>
      <w:pPr>
        <w:ind w:left="4320" w:hanging="180"/>
      </w:pPr>
    </w:lvl>
    <w:lvl w:ilvl="6" w:tplc="AE2C5480" w:tentative="1">
      <w:start w:val="1"/>
      <w:numFmt w:val="decimal"/>
      <w:lvlText w:val="%7."/>
      <w:lvlJc w:val="left"/>
      <w:pPr>
        <w:ind w:left="5040" w:hanging="360"/>
      </w:pPr>
    </w:lvl>
    <w:lvl w:ilvl="7" w:tplc="4E22C3D4" w:tentative="1">
      <w:start w:val="1"/>
      <w:numFmt w:val="lowerLetter"/>
      <w:lvlText w:val="%8."/>
      <w:lvlJc w:val="left"/>
      <w:pPr>
        <w:ind w:left="5760" w:hanging="360"/>
      </w:pPr>
    </w:lvl>
    <w:lvl w:ilvl="8" w:tplc="31C6CAF0" w:tentative="1">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5"/>
  </w:num>
  <w:num w:numId="2">
    <w:abstractNumId w:val="4"/>
  </w:num>
  <w:num w:numId="3">
    <w:abstractNumId w:val="10"/>
  </w:num>
  <w:num w:numId="4">
    <w:abstractNumId w:val="3"/>
  </w:num>
  <w:num w:numId="5">
    <w:abstractNumId w:val="6"/>
  </w:num>
  <w:num w:numId="6">
    <w:abstractNumId w:val="9"/>
  </w:num>
  <w:num w:numId="7">
    <w:abstractNumId w:val="1"/>
  </w:num>
  <w:num w:numId="8">
    <w:abstractNumId w:val="7"/>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F401D"/>
    <w:rsid w:val="006149E4"/>
    <w:rsid w:val="00677937"/>
    <w:rsid w:val="006E79D9"/>
    <w:rsid w:val="006F3FC1"/>
    <w:rsid w:val="007761C2"/>
    <w:rsid w:val="007962C4"/>
    <w:rsid w:val="007D0E7F"/>
    <w:rsid w:val="007F08A2"/>
    <w:rsid w:val="007F7EB3"/>
    <w:rsid w:val="00832F59"/>
    <w:rsid w:val="00834CDE"/>
    <w:rsid w:val="00863F22"/>
    <w:rsid w:val="00900BAC"/>
    <w:rsid w:val="00920B02"/>
    <w:rsid w:val="00950912"/>
    <w:rsid w:val="00975E1A"/>
    <w:rsid w:val="009A4A79"/>
    <w:rsid w:val="009A5A4D"/>
    <w:rsid w:val="009B31A6"/>
    <w:rsid w:val="009C3305"/>
    <w:rsid w:val="00A23F0F"/>
    <w:rsid w:val="00A52EFF"/>
    <w:rsid w:val="00AA706B"/>
    <w:rsid w:val="00AB4AE6"/>
    <w:rsid w:val="00AB5AEF"/>
    <w:rsid w:val="00AB5F93"/>
    <w:rsid w:val="00AC0B7F"/>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449AD"/>
    <w:rsid w:val="00E67FF6"/>
    <w:rsid w:val="00EA6DE5"/>
    <w:rsid w:val="00EC5D90"/>
    <w:rsid w:val="00F10961"/>
    <w:rsid w:val="00F37874"/>
    <w:rsid w:val="00F437F2"/>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Abstract &amp; References Vol 25 No 6 (2021)</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1 (2022)</dc:title>
  <dc:creator>Harun Hamzah</dc:creator>
  <cp:lastModifiedBy>Harun Hamzah</cp:lastModifiedBy>
  <cp:revision>2</cp:revision>
  <cp:lastPrinted>2020-04-01T04:48:00Z</cp:lastPrinted>
  <dcterms:created xsi:type="dcterms:W3CDTF">2022-02-16T01:33:00Z</dcterms:created>
  <dcterms:modified xsi:type="dcterms:W3CDTF">2022-02-16T01:33:00Z</dcterms:modified>
</cp:coreProperties>
</file>