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6192" behindDoc="0" locked="0" layoutInCell="1" allowOverlap="1" wp14:anchorId="57B0F4A0" wp14:editId="0BC6E6E8">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40E1" w14:textId="77777777" w:rsidR="00DF6475" w:rsidRPr="00DF6475" w:rsidRDefault="00DF6475" w:rsidP="00DF6475">
      <w:pPr>
        <w:spacing w:after="0"/>
        <w:jc w:val="center"/>
        <w:rPr>
          <w:rFonts w:ascii="Times New Roman" w:hAnsi="Times New Roman"/>
          <w:spacing w:val="2"/>
          <w:sz w:val="28"/>
          <w:szCs w:val="28"/>
          <w:lang w:eastAsia="fr-FR" w:bidi="ar-SA"/>
        </w:rPr>
      </w:pPr>
      <w:r w:rsidRPr="00DF6475">
        <w:rPr>
          <w:rFonts w:ascii="Times New Roman" w:hAnsi="Times New Roman"/>
          <w:spacing w:val="2"/>
          <w:sz w:val="28"/>
          <w:szCs w:val="28"/>
        </w:rPr>
        <w:t>TEMPERATURE EFFECT ON THE ENCAPSULATION OF THE DRUG TETRACAINE HYDROCHLORIDE IN DIFFERENT CYCLODEXTRINS</w:t>
      </w:r>
    </w:p>
    <w:p w14:paraId="2FBBEEA7" w14:textId="77777777" w:rsidR="00DF6475" w:rsidRPr="00DF6475" w:rsidRDefault="00DF6475" w:rsidP="00DF6475">
      <w:pPr>
        <w:tabs>
          <w:tab w:val="left" w:pos="968"/>
        </w:tabs>
        <w:spacing w:after="0"/>
        <w:jc w:val="center"/>
        <w:rPr>
          <w:rFonts w:ascii="Times New Roman" w:hAnsi="Times New Roman"/>
          <w:sz w:val="24"/>
          <w:szCs w:val="24"/>
        </w:rPr>
      </w:pPr>
    </w:p>
    <w:p w14:paraId="5E2ADBA7" w14:textId="6BADB3D8" w:rsidR="00DF6475" w:rsidRPr="00DF6475" w:rsidRDefault="00DF6475" w:rsidP="00DF6475">
      <w:pPr>
        <w:spacing w:after="0"/>
        <w:jc w:val="center"/>
        <w:rPr>
          <w:rFonts w:ascii="Times New Roman" w:hAnsi="Times New Roman"/>
          <w:noProof/>
          <w:sz w:val="24"/>
          <w:szCs w:val="24"/>
          <w:lang w:val="ms-MY"/>
        </w:rPr>
      </w:pPr>
      <w:r w:rsidRPr="00DF6475">
        <w:rPr>
          <w:rFonts w:ascii="Times New Roman" w:hAnsi="Times New Roman"/>
          <w:sz w:val="24"/>
          <w:szCs w:val="24"/>
        </w:rPr>
        <w:t>(</w:t>
      </w:r>
      <w:r w:rsidRPr="00DF6475">
        <w:rPr>
          <w:rFonts w:ascii="Times New Roman" w:hAnsi="Times New Roman"/>
          <w:noProof/>
          <w:sz w:val="24"/>
          <w:szCs w:val="24"/>
          <w:lang w:val="ms-MY"/>
        </w:rPr>
        <w:t>Kesan Suhu Terhadap Pengkapsulan Dadah Tetrakain Hidroklorida dalam Siklodekstrin yang Berbeza)</w:t>
      </w:r>
    </w:p>
    <w:p w14:paraId="2D39822A" w14:textId="77777777" w:rsidR="00DF6475" w:rsidRPr="00DF6475" w:rsidRDefault="00DF6475" w:rsidP="00DF6475">
      <w:pPr>
        <w:spacing w:after="0"/>
        <w:jc w:val="center"/>
        <w:rPr>
          <w:rFonts w:ascii="Times New Roman" w:hAnsi="Times New Roman"/>
          <w:sz w:val="20"/>
          <w:szCs w:val="20"/>
        </w:rPr>
      </w:pPr>
    </w:p>
    <w:p w14:paraId="18F610A2" w14:textId="77777777" w:rsidR="00DF6475" w:rsidRDefault="00DF6475" w:rsidP="00DF6475">
      <w:pPr>
        <w:spacing w:after="0"/>
        <w:jc w:val="center"/>
        <w:rPr>
          <w:rFonts w:ascii="Times New Roman" w:hAnsi="Times New Roman"/>
          <w:noProof/>
          <w:sz w:val="20"/>
          <w:szCs w:val="20"/>
        </w:rPr>
      </w:pPr>
      <w:r w:rsidRPr="00DF6475">
        <w:rPr>
          <w:rFonts w:ascii="Times New Roman" w:hAnsi="Times New Roman"/>
          <w:noProof/>
          <w:sz w:val="20"/>
          <w:szCs w:val="20"/>
        </w:rPr>
        <w:t>Houria Boudjoras,</w:t>
      </w:r>
      <w:r w:rsidRPr="00DF6475">
        <w:rPr>
          <w:rFonts w:ascii="Times New Roman" w:hAnsi="Times New Roman"/>
          <w:noProof/>
          <w:w w:val="94"/>
          <w:sz w:val="20"/>
          <w:szCs w:val="20"/>
          <w:vertAlign w:val="superscript"/>
        </w:rPr>
        <w:t xml:space="preserve"> </w:t>
      </w:r>
      <w:r w:rsidRPr="00DF6475">
        <w:rPr>
          <w:rFonts w:ascii="Times New Roman" w:hAnsi="Times New Roman"/>
          <w:noProof/>
          <w:sz w:val="20"/>
          <w:szCs w:val="20"/>
        </w:rPr>
        <w:t xml:space="preserve">Teffaha Fergoug, Mansour Azayez*, Youcef Bouhadda, Noureddine Meddah-araibi, </w:t>
      </w:r>
    </w:p>
    <w:p w14:paraId="3DBB12B8" w14:textId="09ABA56E" w:rsidR="00DF6475" w:rsidRPr="00DF6475" w:rsidRDefault="00DF6475" w:rsidP="00DF6475">
      <w:pPr>
        <w:spacing w:after="0"/>
        <w:jc w:val="center"/>
        <w:rPr>
          <w:rFonts w:ascii="Times New Roman" w:hAnsi="Times New Roman"/>
          <w:noProof/>
          <w:sz w:val="20"/>
          <w:szCs w:val="20"/>
        </w:rPr>
      </w:pPr>
      <w:r w:rsidRPr="00DF6475">
        <w:rPr>
          <w:rFonts w:ascii="Times New Roman" w:hAnsi="Times New Roman"/>
          <w:noProof/>
          <w:sz w:val="20"/>
          <w:szCs w:val="20"/>
        </w:rPr>
        <w:t xml:space="preserve">Cherifa Zelmat </w:t>
      </w:r>
    </w:p>
    <w:p w14:paraId="4CC9FBA1" w14:textId="77777777" w:rsidR="00DF6475" w:rsidRPr="00DF6475" w:rsidRDefault="00DF6475" w:rsidP="00DF6475">
      <w:pPr>
        <w:spacing w:after="0"/>
        <w:jc w:val="center"/>
        <w:rPr>
          <w:rFonts w:ascii="Times New Roman" w:hAnsi="Times New Roman"/>
          <w:sz w:val="18"/>
          <w:szCs w:val="18"/>
        </w:rPr>
      </w:pPr>
    </w:p>
    <w:p w14:paraId="7BC720B5" w14:textId="77777777" w:rsidR="00DF6475" w:rsidRP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shd w:val="clear" w:color="auto" w:fill="FFFFFF"/>
        </w:rPr>
        <w:t>Laboratory of Physical Chemistry of Macromolecular and Biological Interfaces,</w:t>
      </w:r>
      <w:r w:rsidRPr="00DF6475">
        <w:rPr>
          <w:rFonts w:ascii="Times New Roman" w:hAnsi="Times New Roman"/>
          <w:i/>
          <w:iCs/>
          <w:sz w:val="18"/>
          <w:szCs w:val="18"/>
        </w:rPr>
        <w:t xml:space="preserve"> </w:t>
      </w:r>
    </w:p>
    <w:p w14:paraId="48B6616D" w14:textId="77777777" w:rsid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rPr>
        <w:t xml:space="preserve">Faculty of Exact Sciences, </w:t>
      </w:r>
    </w:p>
    <w:p w14:paraId="213EBC10" w14:textId="6B58CCD1" w:rsidR="00DF6475" w:rsidRP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rPr>
        <w:t>University of Mustapha Stambouli, Mascara,</w:t>
      </w:r>
      <w:r w:rsidRPr="00DF6475">
        <w:rPr>
          <w:rFonts w:ascii="Times New Roman" w:hAnsi="Times New Roman"/>
          <w:i/>
          <w:iCs/>
          <w:sz w:val="18"/>
          <w:szCs w:val="18"/>
          <w:shd w:val="clear" w:color="auto" w:fill="FFFFFF"/>
        </w:rPr>
        <w:t xml:space="preserve"> </w:t>
      </w:r>
      <w:r w:rsidRPr="00DF6475">
        <w:rPr>
          <w:rFonts w:ascii="Times New Roman" w:hAnsi="Times New Roman"/>
          <w:i/>
          <w:iCs/>
          <w:sz w:val="18"/>
          <w:szCs w:val="18"/>
        </w:rPr>
        <w:t>Algeria</w:t>
      </w:r>
    </w:p>
    <w:p w14:paraId="7EC17279" w14:textId="77777777" w:rsidR="00DF6475" w:rsidRPr="00DF6475" w:rsidRDefault="00DF6475" w:rsidP="00DF6475">
      <w:pPr>
        <w:spacing w:after="0"/>
        <w:jc w:val="center"/>
        <w:rPr>
          <w:rFonts w:ascii="Times New Roman" w:hAnsi="Times New Roman"/>
          <w:sz w:val="18"/>
          <w:szCs w:val="18"/>
        </w:rPr>
      </w:pPr>
    </w:p>
    <w:p w14:paraId="5E5182CB" w14:textId="6860B540" w:rsidR="00DF6475" w:rsidRPr="00DF6475" w:rsidRDefault="00DF6475" w:rsidP="00DF6475">
      <w:pPr>
        <w:pStyle w:val="NoSpacing"/>
        <w:spacing w:line="276" w:lineRule="auto"/>
        <w:jc w:val="center"/>
        <w:rPr>
          <w:rFonts w:ascii="Times New Roman" w:hAnsi="Times New Roman"/>
          <w:i/>
          <w:iCs/>
          <w:sz w:val="18"/>
          <w:szCs w:val="18"/>
        </w:rPr>
      </w:pPr>
      <w:r w:rsidRPr="00DF6475">
        <w:rPr>
          <w:rFonts w:ascii="Times New Roman" w:hAnsi="Times New Roman"/>
          <w:i/>
          <w:iCs/>
          <w:sz w:val="18"/>
          <w:szCs w:val="18"/>
        </w:rPr>
        <w:t>*Corresponding author:   m.azayez@univ-mascara.dz</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2670F817"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CA2E2F">
        <w:rPr>
          <w:rFonts w:ascii="Times New Roman" w:hAnsi="Times New Roman"/>
          <w:noProof/>
          <w:sz w:val="18"/>
          <w:szCs w:val="18"/>
          <w:lang w:bidi="ar-SA"/>
        </w:rPr>
        <w:t>25 September 2021</w:t>
      </w:r>
      <w:r w:rsidRPr="00383C16">
        <w:rPr>
          <w:rFonts w:ascii="Times New Roman" w:hAnsi="Times New Roman"/>
          <w:noProof/>
          <w:sz w:val="18"/>
          <w:szCs w:val="18"/>
          <w:lang w:bidi="ar-SA"/>
        </w:rPr>
        <w:t xml:space="preserve">; Accepted: </w:t>
      </w:r>
      <w:r w:rsidR="00CA2E2F">
        <w:rPr>
          <w:rFonts w:ascii="Times New Roman" w:hAnsi="Times New Roman"/>
          <w:noProof/>
          <w:sz w:val="18"/>
          <w:szCs w:val="18"/>
          <w:lang w:bidi="ar-SA"/>
        </w:rPr>
        <w:t>30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986883">
        <w:rPr>
          <w:rFonts w:ascii="Times New Roman" w:hAnsi="Times New Roman"/>
          <w:noProof/>
          <w:sz w:val="18"/>
          <w:szCs w:val="18"/>
          <w:lang w:bidi="ar-SA"/>
        </w:rPr>
        <w:t>2</w:t>
      </w:r>
      <w:r w:rsidR="00F775A1">
        <w:rPr>
          <w:rFonts w:ascii="Times New Roman" w:hAnsi="Times New Roman"/>
          <w:noProof/>
          <w:sz w:val="18"/>
          <w:szCs w:val="18"/>
          <w:lang w:bidi="ar-SA"/>
        </w:rPr>
        <w:t>5</w:t>
      </w:r>
      <w:r w:rsidR="00383C16" w:rsidRPr="00383C16">
        <w:rPr>
          <w:rFonts w:ascii="Times New Roman" w:hAnsi="Times New Roman"/>
          <w:noProof/>
          <w:sz w:val="18"/>
          <w:szCs w:val="18"/>
          <w:lang w:bidi="ar-SA"/>
        </w:rPr>
        <w:t xml:space="preserve">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408BAA8" w14:textId="77777777" w:rsidR="002D2DFC" w:rsidRPr="002D2DFC" w:rsidRDefault="002D2DFC" w:rsidP="002D2DFC">
      <w:pPr>
        <w:pStyle w:val="Els-history"/>
        <w:spacing w:after="0" w:line="276" w:lineRule="auto"/>
        <w:jc w:val="both"/>
        <w:rPr>
          <w:b/>
          <w:bCs/>
          <w:sz w:val="18"/>
          <w:szCs w:val="18"/>
          <w:lang w:val="en-US"/>
        </w:rPr>
      </w:pPr>
      <w:r w:rsidRPr="002D2DFC">
        <w:rPr>
          <w:spacing w:val="-2"/>
          <w:sz w:val="18"/>
          <w:szCs w:val="18"/>
          <w:shd w:val="clear" w:color="auto" w:fill="FFFFFF"/>
        </w:rPr>
        <w:t>The encapsulation of tetrakain hydrochloride (TC-HCl) in α-cyclodextrin (α-CD), β -cyclodextrin (β-CD) and hydroxypropyl-β-cyclodextrin (HPβ-CD) has been studied by UV-Visible at different temsperatures. The appearance of isosbestic points as well as hyperchromic and bathochromic shifts on the different UV-Visible spectra confirm the complexes formation. From the complexation constants values the stability of the 1:1 type complexes is in the order of α-CD &lt; HPβ-CD &lt; β-CD and decreases with increasing temperature for each complex. All complexation processes are spontaneous, with a favorable enthalpic contribution and an unfavorable entropic term as deduced from Van’t Hoff plot analysis. The negative values obtained for ∆Cp ° indicate that the apolar part of TC-HCl is encapsulated in the cavities of the CDs.</w:t>
      </w:r>
      <w:r w:rsidRPr="002D2DFC">
        <w:rPr>
          <w:b/>
          <w:bCs/>
          <w:sz w:val="18"/>
          <w:szCs w:val="18"/>
          <w:lang w:val="en-US"/>
        </w:rPr>
        <w:t xml:space="preserve"> </w:t>
      </w:r>
    </w:p>
    <w:p w14:paraId="6DED9845" w14:textId="77777777" w:rsidR="002D2DFC" w:rsidRPr="002D2DFC" w:rsidRDefault="002D2DFC" w:rsidP="002D2DFC">
      <w:pPr>
        <w:spacing w:after="0"/>
        <w:jc w:val="both"/>
        <w:rPr>
          <w:rFonts w:ascii="Times New Roman" w:hAnsi="Times New Roman"/>
          <w:sz w:val="18"/>
          <w:szCs w:val="18"/>
        </w:rPr>
      </w:pPr>
    </w:p>
    <w:p w14:paraId="4EF775B8" w14:textId="7DB01104" w:rsidR="002D2DFC" w:rsidRPr="002D2DFC" w:rsidRDefault="002D2DFC" w:rsidP="002D2DFC">
      <w:pPr>
        <w:pStyle w:val="Els-history"/>
        <w:spacing w:after="0" w:line="276" w:lineRule="auto"/>
        <w:jc w:val="both"/>
        <w:rPr>
          <w:sz w:val="18"/>
          <w:szCs w:val="18"/>
          <w:lang w:val="en-US"/>
        </w:rPr>
      </w:pPr>
      <w:r w:rsidRPr="002D2DFC">
        <w:rPr>
          <w:b/>
          <w:bCs/>
          <w:sz w:val="18"/>
          <w:szCs w:val="18"/>
          <w:lang w:val="en-US"/>
        </w:rPr>
        <w:t xml:space="preserve">Keywords: </w:t>
      </w:r>
      <w:r>
        <w:rPr>
          <w:b/>
          <w:bCs/>
          <w:sz w:val="18"/>
          <w:szCs w:val="18"/>
          <w:lang w:val="en-US"/>
        </w:rPr>
        <w:t xml:space="preserve"> </w:t>
      </w:r>
      <w:r w:rsidRPr="002D2DFC">
        <w:rPr>
          <w:sz w:val="18"/>
          <w:szCs w:val="18"/>
          <w:lang w:val="en-US"/>
        </w:rPr>
        <w:t>UV-Vis spectrophotometry, cyclodextrins, tetracaine drug, temperature effect, Van’t Hoff analysis</w:t>
      </w:r>
    </w:p>
    <w:p w14:paraId="066BE7FE" w14:textId="77777777" w:rsidR="002D2DFC" w:rsidRPr="002D2DFC" w:rsidRDefault="002D2DFC" w:rsidP="002D2DFC">
      <w:pPr>
        <w:spacing w:after="0"/>
        <w:jc w:val="center"/>
        <w:rPr>
          <w:rFonts w:ascii="Times New Roman" w:hAnsi="Times New Roman"/>
          <w:b/>
          <w:bCs/>
          <w:sz w:val="18"/>
          <w:szCs w:val="18"/>
        </w:rPr>
      </w:pPr>
    </w:p>
    <w:p w14:paraId="74AFAE12" w14:textId="77777777" w:rsidR="002D2DFC" w:rsidRPr="002D2DFC" w:rsidRDefault="002D2DFC" w:rsidP="002D2DFC">
      <w:pPr>
        <w:spacing w:after="0"/>
        <w:jc w:val="center"/>
        <w:rPr>
          <w:rFonts w:ascii="Times New Roman" w:hAnsi="Times New Roman"/>
          <w:b/>
          <w:bCs/>
          <w:noProof/>
          <w:sz w:val="18"/>
          <w:szCs w:val="18"/>
          <w:lang w:val="ms-MY"/>
        </w:rPr>
      </w:pPr>
      <w:r w:rsidRPr="002D2DFC">
        <w:rPr>
          <w:rFonts w:ascii="Times New Roman" w:hAnsi="Times New Roman"/>
          <w:b/>
          <w:bCs/>
          <w:noProof/>
          <w:sz w:val="18"/>
          <w:szCs w:val="18"/>
          <w:lang w:val="ms-MY"/>
        </w:rPr>
        <w:t>Abstrak</w:t>
      </w:r>
    </w:p>
    <w:p w14:paraId="12B5EE97" w14:textId="77777777" w:rsidR="002D2DFC" w:rsidRPr="002D2DFC" w:rsidRDefault="002D2DFC" w:rsidP="002D2DFC">
      <w:pPr>
        <w:spacing w:after="0"/>
        <w:jc w:val="both"/>
        <w:rPr>
          <w:rFonts w:ascii="Times New Roman" w:hAnsi="Times New Roman"/>
          <w:b/>
          <w:bCs/>
          <w:noProof/>
          <w:sz w:val="18"/>
          <w:szCs w:val="18"/>
          <w:lang w:val="ms-MY"/>
        </w:rPr>
      </w:pPr>
      <w:r w:rsidRPr="002D2DFC">
        <w:rPr>
          <w:rFonts w:ascii="Times New Roman" w:hAnsi="Times New Roman"/>
          <w:noProof/>
          <w:sz w:val="18"/>
          <w:szCs w:val="18"/>
          <w:lang w:val="ms-MY"/>
        </w:rPr>
        <w:t>Pengkapsulan tetrakain hidroklorida (TC, HCl) dalam α-siklodekstrin (α-CD), β-sikloododekstrin (β-CD) dan hidroksipropil-β-siklodekstrin (HPβ-CD) telah dikaji mengunakan spektrofotometri UV-cahaya nampak pada suhu yang berbeza. Kemunculan titik isosbestik serta pergeseran hipokromik dan bathokromik pada spektrum UV-cahaya nampak yang berbeza mengesahkan pembentukan kompleks. Daripada nilai pemalar kompleks, kestabilan kompleks jenis 1: 1 berada dalam urutan α-CD &lt;HPβ-CD &lt;β-CD dan menurun dengan kenaikan suhu bagi setiap kompleks. Semua proses pengkompleksan adalah spontan, dengan sumbangan entalpik yang menggalakkan dan istilah entropik yang tidak menguntungkan seperti hasil analisis plot Van't Hoff. Nilai negatif yang diperoleh untuk ∆Cp ° menunjukkan bahawa bahagian tidak berkutub TC-HCl dikemas dalam rongga CD.</w:t>
      </w:r>
    </w:p>
    <w:p w14:paraId="688EC8AE" w14:textId="77777777" w:rsidR="002D2DFC" w:rsidRPr="002D2DFC" w:rsidRDefault="002D2DFC" w:rsidP="002D2DFC">
      <w:pPr>
        <w:spacing w:after="0"/>
        <w:jc w:val="both"/>
        <w:rPr>
          <w:rFonts w:ascii="Times New Roman" w:hAnsi="Times New Roman"/>
          <w:b/>
          <w:bCs/>
          <w:noProof/>
          <w:sz w:val="18"/>
          <w:szCs w:val="18"/>
          <w:lang w:val="ms-MY"/>
        </w:rPr>
      </w:pPr>
    </w:p>
    <w:p w14:paraId="545ECD12" w14:textId="3C4E1276" w:rsidR="006768E9" w:rsidRPr="007B550E" w:rsidRDefault="002D2DFC" w:rsidP="007B550E">
      <w:pPr>
        <w:spacing w:after="0"/>
        <w:jc w:val="both"/>
        <w:rPr>
          <w:rFonts w:ascii="Times New Roman" w:hAnsi="Times New Roman"/>
          <w:noProof/>
          <w:sz w:val="18"/>
          <w:szCs w:val="18"/>
          <w:lang w:val="ms-MY"/>
        </w:rPr>
      </w:pPr>
      <w:r w:rsidRPr="002D2DFC">
        <w:rPr>
          <w:rFonts w:ascii="Times New Roman" w:hAnsi="Times New Roman"/>
          <w:b/>
          <w:bCs/>
          <w:noProof/>
          <w:sz w:val="18"/>
          <w:szCs w:val="18"/>
          <w:lang w:val="ms-MY"/>
        </w:rPr>
        <w:t xml:space="preserve">Kata kunci: </w:t>
      </w:r>
      <w:r>
        <w:rPr>
          <w:rFonts w:ascii="Times New Roman" w:hAnsi="Times New Roman"/>
          <w:b/>
          <w:bCs/>
          <w:noProof/>
          <w:sz w:val="18"/>
          <w:szCs w:val="18"/>
          <w:lang w:val="ms-MY"/>
        </w:rPr>
        <w:t xml:space="preserve"> </w:t>
      </w:r>
      <w:r w:rsidRPr="002D2DFC">
        <w:rPr>
          <w:rFonts w:ascii="Times New Roman" w:hAnsi="Times New Roman"/>
          <w:noProof/>
          <w:sz w:val="18"/>
          <w:szCs w:val="18"/>
          <w:lang w:val="ms-MY"/>
        </w:rPr>
        <w:t>spektrofotometri UV-cahaya nampak, siklodekstrin, dadah tetrakain, kesan suhu, analisis Van't Hoff</w:t>
      </w:r>
    </w:p>
    <w:p w14:paraId="53EE15A3" w14:textId="546F1ECB" w:rsidR="00494C46" w:rsidRDefault="00494C46" w:rsidP="00383C16">
      <w:pPr>
        <w:spacing w:after="0"/>
        <w:jc w:val="center"/>
        <w:rPr>
          <w:rFonts w:ascii="Times New Roman" w:hAnsi="Times New Roman"/>
          <w:noProof/>
          <w:sz w:val="20"/>
          <w:szCs w:val="20"/>
          <w:lang w:bidi="ar-SA"/>
        </w:rPr>
      </w:pPr>
    </w:p>
    <w:p w14:paraId="45FD3F5E" w14:textId="77777777" w:rsidR="00E36297" w:rsidRPr="00383C16" w:rsidRDefault="00E36297" w:rsidP="00383C16">
      <w:pPr>
        <w:spacing w:after="0"/>
        <w:jc w:val="center"/>
        <w:rPr>
          <w:rFonts w:ascii="Times New Roman" w:hAnsi="Times New Roman"/>
          <w:noProof/>
          <w:sz w:val="20"/>
          <w:szCs w:val="20"/>
          <w:lang w:bidi="ar-SA"/>
        </w:rPr>
      </w:pPr>
    </w:p>
    <w:p w14:paraId="5F7615DB" w14:textId="77777777" w:rsidR="007B550E" w:rsidRDefault="007B550E" w:rsidP="00383C16">
      <w:pPr>
        <w:spacing w:after="0"/>
        <w:jc w:val="center"/>
        <w:rPr>
          <w:rFonts w:ascii="Times New Roman" w:hAnsi="Times New Roman"/>
          <w:b/>
          <w:noProof/>
          <w:sz w:val="20"/>
          <w:szCs w:val="20"/>
          <w:lang w:bidi="ar-SA"/>
        </w:rPr>
        <w:sectPr w:rsidR="007B550E" w:rsidSect="007B550E">
          <w:headerReference w:type="even" r:id="rId9"/>
          <w:headerReference w:type="default" r:id="rId10"/>
          <w:footerReference w:type="even" r:id="rId11"/>
          <w:footerReference w:type="default" r:id="rId12"/>
          <w:pgSz w:w="11906" w:h="16838" w:code="9"/>
          <w:pgMar w:top="1800" w:right="1469" w:bottom="1699" w:left="1440" w:header="709" w:footer="709" w:gutter="0"/>
          <w:pgNumType w:start="164"/>
          <w:cols w:space="708"/>
          <w:docGrid w:linePitch="360"/>
        </w:sectPr>
      </w:pPr>
    </w:p>
    <w:p w14:paraId="0CBE96A6" w14:textId="77777777" w:rsidR="007B550E" w:rsidRDefault="006768E9" w:rsidP="007B550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w:t>
      </w:r>
      <w:r w:rsidR="007B550E">
        <w:rPr>
          <w:rFonts w:ascii="Times New Roman" w:hAnsi="Times New Roman"/>
          <w:b/>
          <w:noProof/>
          <w:sz w:val="20"/>
          <w:szCs w:val="20"/>
          <w:lang w:bidi="ar-SA"/>
        </w:rPr>
        <w:t>n</w:t>
      </w:r>
    </w:p>
    <w:p w14:paraId="14818166" w14:textId="14E76947" w:rsidR="002D2DFC" w:rsidRPr="002D2DFC" w:rsidRDefault="002D2DFC" w:rsidP="007B550E">
      <w:pPr>
        <w:spacing w:after="0"/>
        <w:jc w:val="both"/>
        <w:rPr>
          <w:rFonts w:ascii="Times New Roman" w:hAnsi="Times New Roman"/>
          <w:sz w:val="20"/>
          <w:szCs w:val="20"/>
        </w:rPr>
      </w:pPr>
      <w:r w:rsidRPr="002D2DFC">
        <w:rPr>
          <w:rFonts w:ascii="Times New Roman" w:hAnsi="Times New Roman"/>
          <w:sz w:val="20"/>
          <w:szCs w:val="20"/>
        </w:rPr>
        <w:t xml:space="preserve">The administration of local anesthetics such as tetracaine or procaine during ophthalmologic or dentistry surgeries often shows adverse side effects </w:t>
      </w:r>
      <w:r w:rsidRPr="002D2DFC">
        <w:rPr>
          <w:rFonts w:ascii="Times New Roman" w:hAnsi="Times New Roman"/>
          <w:sz w:val="20"/>
          <w:szCs w:val="20"/>
        </w:rPr>
        <w:t xml:space="preserve">such as irritations and sometimes cardiac arrhythmias and neurological after effects [1-3]. To reduce these discomforting effects an alternative approach consisting in reformulating these anesthetics as </w:t>
      </w:r>
      <w:r w:rsidRPr="002D2DFC">
        <w:rPr>
          <w:rFonts w:ascii="Times New Roman" w:hAnsi="Times New Roman"/>
          <w:sz w:val="20"/>
          <w:szCs w:val="20"/>
        </w:rPr>
        <w:lastRenderedPageBreak/>
        <w:t>molecular complexes with adapted complexing agents, has emerged. In this option, the complexing agent is generally a molecule with a peculiar structural conformation shaping a hydrophobic pocket-like site suited to fully encompass the anesthetic molecule or a part of it. Molecules such as cyclodextrin, crown-ether and calixarene are examples of these complexing agents and they operate based on the molecular recognition principle better known as host-guest interaction [4-6].</w:t>
      </w:r>
    </w:p>
    <w:p w14:paraId="474DDCD4" w14:textId="77777777" w:rsidR="002D2DFC" w:rsidRPr="002D2DFC" w:rsidRDefault="002D2DFC" w:rsidP="002D2DFC">
      <w:pPr>
        <w:tabs>
          <w:tab w:val="left" w:pos="709"/>
        </w:tabs>
        <w:spacing w:after="0"/>
        <w:jc w:val="both"/>
        <w:rPr>
          <w:rFonts w:ascii="Times New Roman" w:hAnsi="Times New Roman"/>
          <w:sz w:val="20"/>
          <w:szCs w:val="20"/>
        </w:rPr>
      </w:pPr>
    </w:p>
    <w:p w14:paraId="111D8264" w14:textId="06A60738" w:rsidR="002D2DFC" w:rsidRDefault="002D2DFC" w:rsidP="002D2DFC">
      <w:pPr>
        <w:tabs>
          <w:tab w:val="left" w:pos="709"/>
        </w:tabs>
        <w:spacing w:after="0"/>
        <w:jc w:val="both"/>
        <w:rPr>
          <w:rFonts w:ascii="Times New Roman" w:hAnsi="Times New Roman"/>
          <w:b/>
          <w:bCs/>
          <w:sz w:val="20"/>
          <w:szCs w:val="20"/>
        </w:rPr>
      </w:pPr>
      <w:r w:rsidRPr="002D2DFC">
        <w:rPr>
          <w:rFonts w:ascii="Times New Roman" w:hAnsi="Times New Roman"/>
          <w:sz w:val="20"/>
          <w:szCs w:val="20"/>
        </w:rPr>
        <w:t xml:space="preserve">Cyclodextrins (CDs) represent the most used molecules in host-guest processes because of their biodegradability, non-toxicity and aqueous solubility. They are cyclic oligomers comprising many α(1,4) bound glucopyranose units. They are often schematized in the form of a torus-shaped molecule having a dual nature with hydrophilic external faces and a hydrophobic cavity making them able to form non-covalently bonded inclusion complexes with a variety of hydrophobic molecules in an aqueous solution. The size of each cyclodextrin (CD) varies according to the number of glucose units forming the structure (α-, β- and γ-CD contain respectively 6, 7 and 8 units of D-glucopyranosyl) [7-9] (Figure 1a). The stability of the formed complex is therefore depending partly on the size compatibility between the host and the guest molecule and in the other part </w:t>
      </w:r>
      <w:r w:rsidRPr="002D2DFC">
        <w:rPr>
          <w:rFonts w:ascii="Times New Roman" w:hAnsi="Times New Roman"/>
          <w:sz w:val="20"/>
          <w:szCs w:val="20"/>
        </w:rPr>
        <w:t>on the nature of interacting forces. According to the chemical nature of the guest molecule different interactions may take place as Van der Waals interactions, hydrophobic effect, solvent reorganization, hydrogen bonding, charge transfer,</w:t>
      </w:r>
      <w:r w:rsidRPr="002D2DFC">
        <w:rPr>
          <w:rFonts w:ascii="Times New Roman" w:hAnsi="Times New Roman"/>
          <w:sz w:val="20"/>
          <w:szCs w:val="20"/>
          <w:vertAlign w:val="superscript"/>
        </w:rPr>
        <w:t xml:space="preserve"> </w:t>
      </w:r>
      <w:r w:rsidRPr="002D2DFC">
        <w:rPr>
          <w:rFonts w:ascii="Times New Roman" w:hAnsi="Times New Roman"/>
          <w:sz w:val="20"/>
          <w:szCs w:val="20"/>
        </w:rPr>
        <w:t>etc. [10, 11]. So, structural information such as complex stoichiometry and geometry are important to know as well as thermodynamic parameters as the association constant, the variation of the free enthalpy (∆G</w:t>
      </w:r>
      <w:r w:rsidRPr="002D2DFC">
        <w:rPr>
          <w:rFonts w:ascii="Times New Roman" w:hAnsi="Times New Roman"/>
          <w:w w:val="94"/>
          <w:sz w:val="20"/>
          <w:szCs w:val="20"/>
          <w:vertAlign w:val="superscript"/>
        </w:rPr>
        <w:t>0</w:t>
      </w:r>
      <w:r w:rsidRPr="002D2DFC">
        <w:rPr>
          <w:rFonts w:ascii="Times New Roman" w:hAnsi="Times New Roman"/>
          <w:sz w:val="20"/>
          <w:szCs w:val="20"/>
        </w:rPr>
        <w:t>) and the entropy (∆S</w:t>
      </w:r>
      <w:r w:rsidRPr="002D2DFC">
        <w:rPr>
          <w:rFonts w:ascii="Times New Roman" w:hAnsi="Times New Roman"/>
          <w:w w:val="94"/>
          <w:sz w:val="20"/>
          <w:szCs w:val="20"/>
          <w:vertAlign w:val="superscript"/>
        </w:rPr>
        <w:t>0</w:t>
      </w:r>
      <w:r w:rsidRPr="002D2DFC">
        <w:rPr>
          <w:rFonts w:ascii="Times New Roman" w:hAnsi="Times New Roman"/>
          <w:sz w:val="20"/>
          <w:szCs w:val="20"/>
        </w:rPr>
        <w:t>) of binding. All these are necessary to achieve the best formulation of these complexes [12, 13].</w:t>
      </w:r>
      <w:r w:rsidRPr="002D2DFC">
        <w:rPr>
          <w:rFonts w:ascii="Times New Roman" w:hAnsi="Times New Roman"/>
          <w:b/>
          <w:bCs/>
          <w:sz w:val="20"/>
          <w:szCs w:val="20"/>
        </w:rPr>
        <w:t xml:space="preserve"> </w:t>
      </w:r>
    </w:p>
    <w:p w14:paraId="2A6FA991" w14:textId="77777777" w:rsidR="007B550E" w:rsidRDefault="007B550E" w:rsidP="002D2DFC">
      <w:pPr>
        <w:tabs>
          <w:tab w:val="left" w:pos="709"/>
        </w:tabs>
        <w:spacing w:after="0"/>
        <w:jc w:val="both"/>
        <w:rPr>
          <w:rFonts w:ascii="Times New Roman" w:hAnsi="Times New Roman"/>
          <w:b/>
          <w:bCs/>
          <w:sz w:val="20"/>
          <w:szCs w:val="20"/>
        </w:rPr>
      </w:pPr>
    </w:p>
    <w:p w14:paraId="6C1FA7EA" w14:textId="77777777" w:rsidR="007B550E" w:rsidRPr="002D2DFC" w:rsidRDefault="007B550E" w:rsidP="007B550E">
      <w:pPr>
        <w:spacing w:after="0"/>
        <w:jc w:val="both"/>
        <w:rPr>
          <w:rFonts w:ascii="Times New Roman" w:hAnsi="Times New Roman"/>
          <w:sz w:val="20"/>
          <w:szCs w:val="20"/>
        </w:rPr>
      </w:pPr>
      <w:r w:rsidRPr="002D2DFC">
        <w:rPr>
          <w:rFonts w:ascii="Times New Roman" w:hAnsi="Times New Roman"/>
          <w:sz w:val="20"/>
          <w:szCs w:val="20"/>
        </w:rPr>
        <w:t xml:space="preserve">In this present study, the formation of complexes made of tetracaine-hydrochloride (TC-HCl) and different CDs in an aqueous solution are investigated by UV-Visible spectrophotometry from a thermodynamic point of view. </w:t>
      </w:r>
      <w:r w:rsidRPr="002D2DFC">
        <w:rPr>
          <w:rFonts w:ascii="Times New Roman" w:eastAsia="Calibri" w:hAnsi="Times New Roman"/>
          <w:sz w:val="20"/>
          <w:szCs w:val="20"/>
        </w:rPr>
        <w:t>The guest molecule (Figure 1b) is a potent local anesthetic, primarily used for topical anesthesia and spinal block, but has a fairly toxic effect resulting in cauda equina syndrome among other compelling side effects [14]. Chemically, TC-HCl is an amino ester where the ester group links a hydrophilic ammonium group to an aromatic lipophilic ring. These peculiarities allow TC-HCl to behave both as a surfactant molecule and as a weak acid with a PKa of 8.5 [15].</w:t>
      </w:r>
    </w:p>
    <w:p w14:paraId="50315D08" w14:textId="77777777" w:rsidR="007B550E" w:rsidRDefault="007B550E" w:rsidP="002D2DFC">
      <w:pPr>
        <w:tabs>
          <w:tab w:val="left" w:pos="709"/>
        </w:tabs>
        <w:spacing w:after="0"/>
        <w:jc w:val="both"/>
        <w:rPr>
          <w:rFonts w:ascii="Times New Roman" w:hAnsi="Times New Roman"/>
          <w:b/>
          <w:bCs/>
          <w:sz w:val="20"/>
          <w:szCs w:val="20"/>
        </w:rPr>
        <w:sectPr w:rsidR="007B550E" w:rsidSect="007B550E">
          <w:footerReference w:type="default" r:id="rId13"/>
          <w:type w:val="continuous"/>
          <w:pgSz w:w="11906" w:h="16838" w:code="9"/>
          <w:pgMar w:top="1800" w:right="1469" w:bottom="1699" w:left="1440" w:header="706" w:footer="706" w:gutter="0"/>
          <w:pgNumType w:start="164"/>
          <w:cols w:num="2" w:space="403"/>
          <w:docGrid w:linePitch="360"/>
        </w:sectPr>
      </w:pPr>
    </w:p>
    <w:p w14:paraId="016B8008" w14:textId="2DA68B1D" w:rsidR="002D2DFC" w:rsidRPr="002D2DFC" w:rsidRDefault="002D2DFC" w:rsidP="002D2DFC">
      <w:pPr>
        <w:tabs>
          <w:tab w:val="left" w:pos="709"/>
        </w:tabs>
        <w:spacing w:after="0"/>
        <w:jc w:val="both"/>
        <w:rPr>
          <w:rFonts w:ascii="Times New Roman" w:hAnsi="Times New Roman"/>
          <w:sz w:val="20"/>
          <w:szCs w:val="20"/>
          <w:lang w:eastAsia="fr-FR"/>
        </w:rPr>
      </w:pPr>
    </w:p>
    <w:p w14:paraId="7FFF9841" w14:textId="773B6023" w:rsidR="00E36297" w:rsidRDefault="007B550E" w:rsidP="007B550E">
      <w:pPr>
        <w:spacing w:after="0"/>
        <w:jc w:val="center"/>
        <w:rPr>
          <w:rFonts w:ascii="Times New Roman" w:hAnsi="Times New Roman"/>
          <w:sz w:val="20"/>
          <w:szCs w:val="20"/>
        </w:rPr>
      </w:pPr>
      <w:r w:rsidRPr="002D2DFC">
        <w:rPr>
          <w:rFonts w:ascii="Times New Roman" w:hAnsi="Times New Roman"/>
          <w:noProof/>
          <w:sz w:val="20"/>
          <w:szCs w:val="20"/>
          <w:lang w:val="fr-FR"/>
        </w:rPr>
        <mc:AlternateContent>
          <mc:Choice Requires="wps">
            <w:drawing>
              <wp:anchor distT="0" distB="0" distL="114300" distR="114300" simplePos="0" relativeHeight="251714048" behindDoc="0" locked="0" layoutInCell="1" allowOverlap="1" wp14:anchorId="1DF7EB55" wp14:editId="68951C15">
                <wp:simplePos x="0" y="0"/>
                <wp:positionH relativeFrom="column">
                  <wp:posOffset>525780</wp:posOffset>
                </wp:positionH>
                <wp:positionV relativeFrom="paragraph">
                  <wp:posOffset>141605</wp:posOffset>
                </wp:positionV>
                <wp:extent cx="402590" cy="327660"/>
                <wp:effectExtent l="0" t="4445"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75B6A"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7EB55" id="_x0000_t202" coordsize="21600,21600" o:spt="202" path="m,l,21600r21600,l21600,xe">
                <v:stroke joinstyle="miter"/>
                <v:path gradientshapeok="t" o:connecttype="rect"/>
              </v:shapetype>
              <v:shape id="Text Box 17" o:spid="_x0000_s1026" type="#_x0000_t202" style="position:absolute;left:0;text-align:left;margin-left:41.4pt;margin-top:11.15pt;width:31.7pt;height:25.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" stroked="f">
                <v:textbox>
                  <w:txbxContent>
                    <w:p w14:paraId="7C675B6A"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(a)</w:t>
                      </w:r>
                    </w:p>
                  </w:txbxContent>
                </v:textbox>
              </v:shape>
            </w:pict>
          </mc:Fallback>
        </mc:AlternateContent>
      </w:r>
      <w:r w:rsidRPr="002D2DFC">
        <w:rPr>
          <w:rFonts w:ascii="Times New Roman" w:hAnsi="Times New Roman"/>
          <w:sz w:val="20"/>
          <w:szCs w:val="20"/>
          <w:lang w:val="fr-FR" w:eastAsia="fr-FR"/>
        </w:rPr>
        <w:object w:dxaOrig="6636" w:dyaOrig="3624" w14:anchorId="20C9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8pt;height:181.8pt" o:ole="">
            <v:imagedata r:id="rId14" o:title=""/>
          </v:shape>
          <o:OLEObject Type="Embed" ProgID="PBrush" ShapeID="_x0000_i1025" DrawAspect="Content" ObjectID="_1707119871" r:id="rId15"/>
        </w:object>
      </w:r>
    </w:p>
    <w:p w14:paraId="483C566F" w14:textId="034887B9" w:rsidR="007B550E" w:rsidRPr="002D2DFC" w:rsidRDefault="007B550E" w:rsidP="007B550E">
      <w:pPr>
        <w:tabs>
          <w:tab w:val="left" w:pos="709"/>
        </w:tabs>
        <w:spacing w:after="0"/>
        <w:jc w:val="both"/>
        <w:rPr>
          <w:rFonts w:ascii="Times New Roman" w:hAnsi="Times New Roman"/>
          <w:sz w:val="20"/>
          <w:szCs w:val="20"/>
          <w:lang w:eastAsia="fr-FR"/>
        </w:rPr>
      </w:pPr>
      <w:r w:rsidRPr="002D2DFC">
        <w:rPr>
          <w:rFonts w:ascii="Times New Roman" w:hAnsi="Times New Roman"/>
          <w:sz w:val="20"/>
          <w:szCs w:val="20"/>
        </w:rPr>
        <w:t xml:space="preserve">        </w:t>
      </w:r>
      <w:r>
        <w:rPr>
          <w:rFonts w:ascii="Times New Roman" w:hAnsi="Times New Roman"/>
          <w:sz w:val="20"/>
          <w:szCs w:val="20"/>
        </w:rPr>
        <w:t xml:space="preserve">                             </w:t>
      </w:r>
      <w:r w:rsidRPr="002D2DFC">
        <w:rPr>
          <w:rFonts w:ascii="Times New Roman" w:hAnsi="Times New Roman"/>
          <w:sz w:val="20"/>
          <w:szCs w:val="20"/>
        </w:rPr>
        <w:t xml:space="preserve">  </w:t>
      </w:r>
      <w:r>
        <w:rPr>
          <w:rFonts w:ascii="Times New Roman" w:hAnsi="Times New Roman"/>
          <w:sz w:val="20"/>
          <w:szCs w:val="20"/>
        </w:rPr>
        <w:t xml:space="preserve">    </w:t>
      </w:r>
      <w:r w:rsidRPr="002D2DFC">
        <w:rPr>
          <w:rFonts w:ascii="Times New Roman" w:hAnsi="Times New Roman"/>
          <w:sz w:val="20"/>
          <w:szCs w:val="20"/>
        </w:rPr>
        <w:t>α-CD                                                 R=CH</w:t>
      </w:r>
      <w:r w:rsidRPr="002D2DFC">
        <w:rPr>
          <w:rFonts w:ascii="Times New Roman" w:hAnsi="Times New Roman"/>
          <w:sz w:val="20"/>
          <w:szCs w:val="20"/>
          <w:vertAlign w:val="subscript"/>
        </w:rPr>
        <w:t>2</w:t>
      </w:r>
      <w:r w:rsidRPr="002D2DFC">
        <w:rPr>
          <w:rFonts w:ascii="Times New Roman" w:hAnsi="Times New Roman"/>
          <w:sz w:val="20"/>
          <w:szCs w:val="20"/>
        </w:rPr>
        <w:t>CHOHCH</w:t>
      </w:r>
      <w:r w:rsidRPr="002D2DFC">
        <w:rPr>
          <w:rFonts w:ascii="Times New Roman" w:hAnsi="Times New Roman"/>
          <w:sz w:val="20"/>
          <w:szCs w:val="20"/>
          <w:vertAlign w:val="subscript"/>
        </w:rPr>
        <w:t>3</w:t>
      </w:r>
      <w:r w:rsidRPr="002D2DFC">
        <w:rPr>
          <w:rFonts w:ascii="Times New Roman" w:hAnsi="Times New Roman"/>
          <w:sz w:val="20"/>
          <w:szCs w:val="20"/>
        </w:rPr>
        <w:t xml:space="preserve"> for HPβ-CD</w:t>
      </w:r>
    </w:p>
    <w:p w14:paraId="4878593A" w14:textId="07113234" w:rsidR="007B550E" w:rsidRDefault="007B550E" w:rsidP="007B550E">
      <w:pPr>
        <w:tabs>
          <w:tab w:val="left" w:pos="2640"/>
        </w:tabs>
        <w:spacing w:after="0"/>
        <w:jc w:val="both"/>
        <w:rPr>
          <w:rFonts w:ascii="Times New Roman" w:hAnsi="Times New Roman"/>
          <w:sz w:val="20"/>
          <w:szCs w:val="20"/>
        </w:rPr>
      </w:pPr>
    </w:p>
    <w:p w14:paraId="4E3B6217" w14:textId="720C9553" w:rsidR="007B550E" w:rsidRDefault="007B550E" w:rsidP="002D2DFC">
      <w:pPr>
        <w:spacing w:after="0"/>
        <w:jc w:val="both"/>
        <w:rPr>
          <w:rFonts w:ascii="Times New Roman" w:hAnsi="Times New Roman"/>
          <w:sz w:val="20"/>
          <w:szCs w:val="20"/>
        </w:rPr>
      </w:pPr>
    </w:p>
    <w:p w14:paraId="3B9870FA" w14:textId="67C97BEC" w:rsidR="007B550E" w:rsidRDefault="005B09FF" w:rsidP="007B550E">
      <w:pPr>
        <w:spacing w:after="120"/>
        <w:jc w:val="center"/>
        <w:rPr>
          <w:rFonts w:ascii="Times New Roman" w:hAnsi="Times New Roman"/>
          <w:sz w:val="20"/>
          <w:szCs w:val="20"/>
          <w:lang w:val="fr-FR" w:eastAsia="fr-FR"/>
        </w:rPr>
      </w:pPr>
      <w:r w:rsidRPr="002D2DFC">
        <w:rPr>
          <w:rFonts w:ascii="Times New Roman" w:hAnsi="Times New Roman"/>
          <w:noProof/>
          <w:sz w:val="20"/>
          <w:szCs w:val="20"/>
          <w:lang w:val="fr-FR"/>
        </w:rPr>
        <w:lastRenderedPageBreak/>
        <mc:AlternateContent>
          <mc:Choice Requires="wps">
            <w:drawing>
              <wp:anchor distT="0" distB="0" distL="114300" distR="114300" simplePos="0" relativeHeight="251718144" behindDoc="0" locked="0" layoutInCell="1" allowOverlap="1" wp14:anchorId="6907735A" wp14:editId="3B634E9C">
                <wp:simplePos x="0" y="0"/>
                <wp:positionH relativeFrom="column">
                  <wp:posOffset>1737360</wp:posOffset>
                </wp:positionH>
                <wp:positionV relativeFrom="paragraph">
                  <wp:posOffset>7620</wp:posOffset>
                </wp:positionV>
                <wp:extent cx="402590" cy="327660"/>
                <wp:effectExtent l="2540"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AA43F"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735A" id="Text Box 22" o:spid="_x0000_s1027" type="#_x0000_t202" style="position:absolute;left:0;text-align:left;margin-left:136.8pt;margin-top:.6pt;width:31.7pt;height:25.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" stroked="f">
                <v:textbox>
                  <w:txbxContent>
                    <w:p w14:paraId="3BDAA43F"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(b)</w:t>
                      </w:r>
                    </w:p>
                  </w:txbxContent>
                </v:textbox>
              </v:shape>
            </w:pict>
          </mc:Fallback>
        </mc:AlternateContent>
      </w:r>
      <w:r w:rsidR="007B550E" w:rsidRPr="002D2DFC">
        <w:rPr>
          <w:rFonts w:ascii="Times New Roman" w:hAnsi="Times New Roman"/>
          <w:sz w:val="20"/>
          <w:szCs w:val="20"/>
          <w:lang w:val="fr-FR" w:eastAsia="fr-FR"/>
        </w:rPr>
        <w:object w:dxaOrig="3216" w:dyaOrig="3648" w14:anchorId="088CAC2D">
          <v:shape id="_x0000_i1026" type="#_x0000_t75" style="width:160.2pt;height:182.4pt" o:ole="">
            <v:imagedata r:id="rId16" o:title=""/>
          </v:shape>
          <o:OLEObject Type="Embed" ProgID="ChemDraw.Document.6.0" ShapeID="_x0000_i1026" DrawAspect="Content" ObjectID="_1707119872" r:id="rId17"/>
        </w:object>
      </w:r>
    </w:p>
    <w:p w14:paraId="2C1B4804" w14:textId="77777777" w:rsidR="005B09FF" w:rsidRDefault="005B09FF" w:rsidP="005B09FF">
      <w:pPr>
        <w:tabs>
          <w:tab w:val="left" w:pos="4536"/>
        </w:tabs>
        <w:spacing w:after="0"/>
        <w:jc w:val="center"/>
        <w:outlineLvl w:val="0"/>
        <w:rPr>
          <w:rFonts w:ascii="Times New Roman" w:hAnsi="Times New Roman"/>
          <w:sz w:val="20"/>
          <w:szCs w:val="20"/>
        </w:rPr>
      </w:pPr>
      <w:r w:rsidRPr="002D2DFC">
        <w:rPr>
          <w:rFonts w:ascii="Times New Roman" w:hAnsi="Times New Roman"/>
          <w:sz w:val="20"/>
          <w:szCs w:val="20"/>
        </w:rPr>
        <w:t xml:space="preserve">Figure 1. </w:t>
      </w:r>
      <w:r>
        <w:rPr>
          <w:rFonts w:ascii="Times New Roman" w:hAnsi="Times New Roman"/>
          <w:sz w:val="20"/>
          <w:szCs w:val="20"/>
        </w:rPr>
        <w:t xml:space="preserve"> </w:t>
      </w:r>
      <w:r w:rsidRPr="002D2DFC">
        <w:rPr>
          <w:rFonts w:ascii="Times New Roman" w:hAnsi="Times New Roman"/>
          <w:sz w:val="20"/>
          <w:szCs w:val="20"/>
        </w:rPr>
        <w:t>Chemical structures of: (a) CDs, (b) tetracaine hydrochloride</w:t>
      </w:r>
    </w:p>
    <w:p w14:paraId="51B11B24" w14:textId="77777777" w:rsidR="007B550E" w:rsidRDefault="007B550E" w:rsidP="005B09FF">
      <w:pPr>
        <w:spacing w:after="0"/>
        <w:jc w:val="center"/>
        <w:rPr>
          <w:rFonts w:ascii="Times New Roman" w:hAnsi="Times New Roman"/>
          <w:sz w:val="20"/>
          <w:szCs w:val="20"/>
        </w:rPr>
      </w:pPr>
    </w:p>
    <w:p w14:paraId="34AA1AA5" w14:textId="77777777" w:rsidR="006768E9" w:rsidRPr="00383C16" w:rsidRDefault="006768E9" w:rsidP="00383C16">
      <w:pPr>
        <w:spacing w:after="0"/>
        <w:jc w:val="center"/>
        <w:rPr>
          <w:rFonts w:ascii="Times New Roman" w:hAnsi="Times New Roman"/>
          <w:noProof/>
          <w:sz w:val="20"/>
          <w:szCs w:val="20"/>
          <w:lang w:bidi="ar-SA"/>
        </w:rPr>
      </w:pPr>
    </w:p>
    <w:p w14:paraId="04F27262" w14:textId="77777777" w:rsidR="005B09FF" w:rsidRDefault="005B09FF" w:rsidP="00383C16">
      <w:pPr>
        <w:spacing w:after="0"/>
        <w:jc w:val="center"/>
        <w:rPr>
          <w:rFonts w:ascii="Times New Roman" w:hAnsi="Times New Roman"/>
          <w:b/>
          <w:noProof/>
          <w:sz w:val="20"/>
          <w:szCs w:val="20"/>
          <w:lang w:bidi="ar-SA"/>
        </w:rPr>
        <w:sectPr w:rsidR="005B09FF" w:rsidSect="007B550E">
          <w:footerReference w:type="even" r:id="rId18"/>
          <w:type w:val="continuous"/>
          <w:pgSz w:w="11906" w:h="16838" w:code="9"/>
          <w:pgMar w:top="1800" w:right="1469" w:bottom="1699" w:left="1440" w:header="709" w:footer="709" w:gutter="0"/>
          <w:pgNumType w:start="164"/>
          <w:cols w:space="708"/>
          <w:docGrid w:linePitch="360"/>
        </w:sectPr>
      </w:pPr>
    </w:p>
    <w:p w14:paraId="7CCD08B3"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Materials and Methods</w:t>
      </w:r>
    </w:p>
    <w:p w14:paraId="637D1BB7" w14:textId="77777777" w:rsidR="00540A4B" w:rsidRPr="00540A4B" w:rsidRDefault="00540A4B" w:rsidP="00540A4B">
      <w:pPr>
        <w:spacing w:after="0"/>
        <w:jc w:val="both"/>
        <w:outlineLvl w:val="0"/>
        <w:rPr>
          <w:rFonts w:ascii="Times New Roman" w:hAnsi="Times New Roman"/>
          <w:b/>
          <w:bCs/>
          <w:sz w:val="20"/>
          <w:szCs w:val="20"/>
        </w:rPr>
      </w:pPr>
      <w:r w:rsidRPr="00540A4B">
        <w:rPr>
          <w:rFonts w:ascii="Times New Roman" w:hAnsi="Times New Roman"/>
          <w:b/>
          <w:bCs/>
          <w:sz w:val="20"/>
          <w:szCs w:val="20"/>
        </w:rPr>
        <w:t>Materials</w:t>
      </w:r>
    </w:p>
    <w:p w14:paraId="519D2B59" w14:textId="77777777" w:rsidR="00540A4B" w:rsidRPr="00540A4B" w:rsidRDefault="00540A4B" w:rsidP="00540A4B">
      <w:pPr>
        <w:adjustRightInd w:val="0"/>
        <w:spacing w:after="0"/>
        <w:jc w:val="both"/>
        <w:rPr>
          <w:rFonts w:ascii="Times New Roman" w:hAnsi="Times New Roman"/>
          <w:sz w:val="20"/>
          <w:szCs w:val="20"/>
        </w:rPr>
      </w:pPr>
      <w:r w:rsidRPr="00540A4B">
        <w:rPr>
          <w:rFonts w:ascii="Times New Roman" w:hAnsi="Times New Roman"/>
          <w:sz w:val="20"/>
          <w:szCs w:val="20"/>
        </w:rPr>
        <w:t>4-(Butylamino)benzoic acid 2-(dimethylamino)ethyl ester monohydrochloride, called tetracaine hydrochlor</w:t>
      </w:r>
      <w:r w:rsidRPr="00540A4B">
        <w:rPr>
          <w:rFonts w:ascii="Times New Roman" w:hAnsi="Times New Roman"/>
          <w:sz w:val="20"/>
          <w:szCs w:val="20"/>
        </w:rPr>
        <w:softHyphen/>
      </w:r>
      <w:r w:rsidRPr="00540A4B">
        <w:rPr>
          <w:rFonts w:ascii="Times New Roman" w:hAnsi="Times New Roman"/>
          <w:spacing w:val="-2"/>
          <w:sz w:val="20"/>
          <w:szCs w:val="20"/>
        </w:rPr>
        <w:t>ide (T</w:t>
      </w:r>
      <w:r w:rsidRPr="00540A4B">
        <w:rPr>
          <w:rFonts w:ascii="Times New Roman" w:hAnsi="Times New Roman"/>
          <w:sz w:val="20"/>
          <w:szCs w:val="20"/>
        </w:rPr>
        <w:t>C-</w:t>
      </w:r>
      <w:r w:rsidRPr="00540A4B">
        <w:rPr>
          <w:rFonts w:ascii="Times New Roman" w:hAnsi="Times New Roman"/>
          <w:spacing w:val="-2"/>
          <w:sz w:val="20"/>
          <w:szCs w:val="20"/>
        </w:rPr>
        <w:t>HCl)</w:t>
      </w:r>
      <w:r w:rsidRPr="00540A4B">
        <w:rPr>
          <w:rFonts w:ascii="Times New Roman" w:eastAsia="Calibri" w:hAnsi="Times New Roman"/>
          <w:sz w:val="20"/>
          <w:szCs w:val="20"/>
        </w:rPr>
        <w:t xml:space="preserve"> was obtained from Sigma</w:t>
      </w:r>
      <w:r w:rsidRPr="00540A4B">
        <w:rPr>
          <w:rFonts w:ascii="Times New Roman" w:hAnsi="Times New Roman"/>
          <w:spacing w:val="-2"/>
          <w:sz w:val="20"/>
          <w:szCs w:val="20"/>
        </w:rPr>
        <w:t xml:space="preserve"> </w:t>
      </w:r>
      <w:r w:rsidRPr="00540A4B">
        <w:rPr>
          <w:rFonts w:ascii="Times New Roman" w:eastAsia="Calibri" w:hAnsi="Times New Roman"/>
          <w:sz w:val="20"/>
          <w:szCs w:val="20"/>
        </w:rPr>
        <w:t>in the crystalline form and was used without further purification</w:t>
      </w:r>
      <w:r w:rsidRPr="00540A4B">
        <w:rPr>
          <w:rFonts w:ascii="Times New Roman" w:hAnsi="Times New Roman"/>
          <w:sz w:val="20"/>
          <w:szCs w:val="20"/>
        </w:rPr>
        <w:t xml:space="preserve">. The </w:t>
      </w:r>
      <w:r w:rsidRPr="00540A4B">
        <w:rPr>
          <w:rFonts w:ascii="Times New Roman" w:hAnsi="Times New Roman"/>
          <w:spacing w:val="-2"/>
          <w:sz w:val="20"/>
          <w:szCs w:val="20"/>
        </w:rPr>
        <w:t xml:space="preserve">β-cyclodextrin </w:t>
      </w:r>
      <w:r w:rsidRPr="00540A4B">
        <w:rPr>
          <w:rFonts w:ascii="Times New Roman" w:hAnsi="Times New Roman"/>
          <w:sz w:val="20"/>
          <w:szCs w:val="20"/>
        </w:rPr>
        <w:t>(</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 xml:space="preserve">CD), </w:t>
      </w:r>
      <w:r w:rsidRPr="00540A4B">
        <w:rPr>
          <w:rFonts w:ascii="Times New Roman" w:hAnsi="Times New Roman"/>
          <w:i/>
          <w:iCs/>
          <w:spacing w:val="-2"/>
          <w:sz w:val="20"/>
          <w:szCs w:val="20"/>
        </w:rPr>
        <w:t>α</w:t>
      </w:r>
      <w:r w:rsidRPr="00540A4B">
        <w:rPr>
          <w:rFonts w:ascii="Times New Roman" w:hAnsi="Times New Roman"/>
          <w:spacing w:val="-2"/>
          <w:sz w:val="20"/>
          <w:szCs w:val="20"/>
        </w:rPr>
        <w:t xml:space="preserve">-cyclodextrin </w:t>
      </w:r>
      <w:r w:rsidRPr="00540A4B">
        <w:rPr>
          <w:rFonts w:ascii="Times New Roman" w:hAnsi="Times New Roman"/>
          <w:sz w:val="20"/>
          <w:szCs w:val="20"/>
        </w:rPr>
        <w:t>(</w:t>
      </w:r>
      <w:r w:rsidRPr="00540A4B">
        <w:rPr>
          <w:rFonts w:ascii="Times New Roman" w:hAnsi="Times New Roman"/>
          <w:spacing w:val="-2"/>
          <w:sz w:val="20"/>
          <w:szCs w:val="20"/>
        </w:rPr>
        <w:t>α</w:t>
      </w:r>
      <w:r w:rsidRPr="00540A4B">
        <w:rPr>
          <w:rFonts w:ascii="Times New Roman" w:hAnsi="Times New Roman"/>
          <w:i/>
          <w:iCs/>
          <w:spacing w:val="-2"/>
          <w:sz w:val="20"/>
          <w:szCs w:val="20"/>
        </w:rPr>
        <w:t>-</w:t>
      </w:r>
      <w:r w:rsidRPr="00540A4B">
        <w:rPr>
          <w:rFonts w:ascii="Times New Roman" w:hAnsi="Times New Roman"/>
          <w:spacing w:val="-2"/>
          <w:sz w:val="20"/>
          <w:szCs w:val="20"/>
        </w:rPr>
        <w:t>CD), and hydroxypropyl</w:t>
      </w:r>
      <w:r w:rsidRPr="00540A4B">
        <w:rPr>
          <w:rFonts w:ascii="Times New Roman" w:hAnsi="Times New Roman"/>
          <w:sz w:val="20"/>
          <w:szCs w:val="20"/>
        </w:rPr>
        <w:t>-</w:t>
      </w:r>
      <w:r w:rsidRPr="00540A4B">
        <w:rPr>
          <w:rFonts w:ascii="Times New Roman" w:hAnsi="Times New Roman"/>
          <w:i/>
          <w:iCs/>
          <w:spacing w:val="-2"/>
          <w:sz w:val="20"/>
          <w:szCs w:val="20"/>
        </w:rPr>
        <w:t>β</w:t>
      </w:r>
      <w:r w:rsidRPr="00540A4B">
        <w:rPr>
          <w:rFonts w:ascii="Times New Roman" w:hAnsi="Times New Roman"/>
          <w:spacing w:val="-2"/>
          <w:sz w:val="20"/>
          <w:szCs w:val="20"/>
        </w:rPr>
        <w:t>-cyclodextrin</w:t>
      </w:r>
      <w:r w:rsidRPr="00540A4B">
        <w:rPr>
          <w:rFonts w:ascii="Times New Roman" w:hAnsi="Times New Roman"/>
          <w:sz w:val="20"/>
          <w:szCs w:val="20"/>
        </w:rPr>
        <w:t xml:space="preserve"> </w:t>
      </w:r>
      <w:r w:rsidRPr="00540A4B">
        <w:rPr>
          <w:rFonts w:ascii="Times New Roman" w:hAnsi="Times New Roman"/>
          <w:spacing w:val="-2"/>
          <w:sz w:val="20"/>
          <w:szCs w:val="20"/>
        </w:rPr>
        <w:t>(</w:t>
      </w:r>
      <w:r w:rsidRPr="00540A4B">
        <w:rPr>
          <w:rFonts w:ascii="Times New Roman" w:hAnsi="Times New Roman"/>
          <w:sz w:val="20"/>
          <w:szCs w:val="20"/>
        </w:rPr>
        <w:t>HP</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CD) were purchased</w:t>
      </w:r>
      <w:r w:rsidRPr="00540A4B">
        <w:rPr>
          <w:rFonts w:ascii="Times New Roman" w:hAnsi="Times New Roman"/>
          <w:sz w:val="20"/>
          <w:szCs w:val="20"/>
        </w:rPr>
        <w:t xml:space="preserve"> from Sigma. 6-Hydroxypropyl-β-cyclodextrin (HP</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CD</w:t>
      </w:r>
      <w:r w:rsidRPr="00540A4B">
        <w:rPr>
          <w:rFonts w:ascii="Times New Roman" w:hAnsi="Times New Roman"/>
          <w:sz w:val="20"/>
          <w:szCs w:val="20"/>
        </w:rPr>
        <w:t>), containing an average of 0.64 hydroxypropyl groups per glucopyranose unit. All of them, with 99% purity or greater, were used without further purification. All the solutions were freshly prepared with a distilled/deionized water of a conductiv</w:t>
      </w:r>
      <w:r w:rsidRPr="00540A4B">
        <w:rPr>
          <w:rFonts w:ascii="Times New Roman" w:hAnsi="Times New Roman"/>
          <w:sz w:val="20"/>
          <w:szCs w:val="20"/>
        </w:rPr>
        <w:softHyphen/>
        <w:t>ity value lower than 2 µS/cm. The homogeneity of the initial solutions was assured by sonicating them in an ultrasonic bath.</w:t>
      </w:r>
    </w:p>
    <w:p w14:paraId="1594D671" w14:textId="77777777" w:rsidR="00540A4B" w:rsidRPr="00540A4B" w:rsidRDefault="00540A4B" w:rsidP="00540A4B">
      <w:pPr>
        <w:adjustRightInd w:val="0"/>
        <w:spacing w:after="0"/>
        <w:jc w:val="both"/>
        <w:rPr>
          <w:rFonts w:ascii="Times New Roman" w:eastAsia="Calibri" w:hAnsi="Times New Roman"/>
          <w:b/>
          <w:bCs/>
          <w:sz w:val="20"/>
          <w:szCs w:val="20"/>
        </w:rPr>
      </w:pPr>
    </w:p>
    <w:p w14:paraId="1A2475BF" w14:textId="77777777" w:rsidR="005B09FF" w:rsidRPr="00540A4B" w:rsidRDefault="005B09FF" w:rsidP="005B09FF">
      <w:pPr>
        <w:adjustRightInd w:val="0"/>
        <w:spacing w:after="0"/>
        <w:jc w:val="both"/>
        <w:outlineLvl w:val="0"/>
        <w:rPr>
          <w:rFonts w:ascii="Times New Roman" w:eastAsia="Calibri" w:hAnsi="Times New Roman"/>
          <w:b/>
          <w:bCs/>
          <w:sz w:val="20"/>
          <w:szCs w:val="20"/>
        </w:rPr>
      </w:pPr>
      <w:r w:rsidRPr="00540A4B">
        <w:rPr>
          <w:rFonts w:ascii="Times New Roman" w:eastAsia="Calibri" w:hAnsi="Times New Roman"/>
          <w:b/>
          <w:bCs/>
          <w:sz w:val="20"/>
          <w:szCs w:val="20"/>
        </w:rPr>
        <w:t>UV-Vis measurements</w:t>
      </w:r>
    </w:p>
    <w:p w14:paraId="03C5DF8E" w14:textId="77777777" w:rsidR="005B09FF" w:rsidRPr="00540A4B" w:rsidRDefault="005B09FF" w:rsidP="005B09FF">
      <w:pPr>
        <w:adjustRightInd w:val="0"/>
        <w:spacing w:after="0"/>
        <w:jc w:val="both"/>
        <w:rPr>
          <w:rFonts w:ascii="Times New Roman" w:eastAsia="Calibri" w:hAnsi="Times New Roman"/>
          <w:sz w:val="20"/>
          <w:szCs w:val="20"/>
        </w:rPr>
      </w:pPr>
      <w:r w:rsidRPr="00540A4B">
        <w:rPr>
          <w:rFonts w:ascii="Times New Roman" w:eastAsia="Calibri" w:hAnsi="Times New Roman"/>
          <w:sz w:val="20"/>
          <w:szCs w:val="20"/>
        </w:rPr>
        <w:t xml:space="preserve">The UV-Vis spectra were recorded with </w:t>
      </w:r>
      <w:r w:rsidRPr="00540A4B">
        <w:rPr>
          <w:rFonts w:ascii="Times New Roman" w:hAnsi="Times New Roman"/>
          <w:sz w:val="20"/>
          <w:szCs w:val="20"/>
        </w:rPr>
        <w:t>a Specord 200plus double-beam UV-Vis spectrophotometer (Germany)</w:t>
      </w:r>
      <w:r w:rsidRPr="00540A4B">
        <w:rPr>
          <w:rFonts w:ascii="Times New Roman" w:eastAsia="Calibri" w:hAnsi="Times New Roman"/>
          <w:sz w:val="20"/>
          <w:szCs w:val="20"/>
        </w:rPr>
        <w:t>, from 190 to 400 nm with 1 nm intervals at 15, 20, 25 and 37 °C, which temperature was kept constant</w:t>
      </w:r>
      <w:r w:rsidRPr="00540A4B">
        <w:rPr>
          <w:rFonts w:ascii="Times New Roman" w:hAnsi="Times New Roman"/>
          <w:sz w:val="20"/>
          <w:szCs w:val="20"/>
        </w:rPr>
        <w:t xml:space="preserve"> with thermostated cell</w:t>
      </w:r>
      <w:r w:rsidRPr="00540A4B">
        <w:rPr>
          <w:rFonts w:ascii="Times New Roman" w:eastAsia="Calibri" w:hAnsi="Times New Roman"/>
          <w:sz w:val="20"/>
          <w:szCs w:val="20"/>
        </w:rPr>
        <w:t xml:space="preserve">. </w:t>
      </w:r>
      <w:r w:rsidRPr="00540A4B">
        <w:rPr>
          <w:rFonts w:ascii="Times New Roman" w:eastAsia="TimesNewRomanSF" w:hAnsi="Times New Roman"/>
          <w:sz w:val="20"/>
          <w:szCs w:val="20"/>
        </w:rPr>
        <w:t xml:space="preserve">Data acquisition of UV-Vis spectra was performed with software (Winspec) supported by the manufacturer and converted to ASCII format for their analysis. </w:t>
      </w:r>
      <w:r w:rsidRPr="00540A4B">
        <w:rPr>
          <w:rFonts w:ascii="Times New Roman" w:eastAsia="Calibri" w:hAnsi="Times New Roman"/>
          <w:sz w:val="20"/>
          <w:szCs w:val="20"/>
        </w:rPr>
        <w:t xml:space="preserve">On the experiments with the Drug/water binary systems, the (TC-HCl) concentration was varied from 0 to 0.1mM, while for the CD/Drug/water ternary systems, the drug concentration was kept constant at </w:t>
      </w:r>
      <w:r w:rsidRPr="00540A4B">
        <w:rPr>
          <w:rFonts w:ascii="Times New Roman" w:eastAsia="Calibri" w:hAnsi="Times New Roman"/>
          <w:sz w:val="20"/>
          <w:szCs w:val="20"/>
        </w:rPr>
        <w:t>10</w:t>
      </w:r>
      <w:r w:rsidRPr="00540A4B">
        <w:rPr>
          <w:rFonts w:ascii="Times New Roman" w:eastAsia="Calibri" w:hAnsi="Times New Roman"/>
          <w:sz w:val="20"/>
          <w:szCs w:val="20"/>
          <w:vertAlign w:val="superscript"/>
        </w:rPr>
        <w:t>-5</w:t>
      </w:r>
      <w:r w:rsidRPr="00540A4B">
        <w:rPr>
          <w:rFonts w:ascii="Times New Roman" w:eastAsia="Calibri" w:hAnsi="Times New Roman"/>
          <w:sz w:val="20"/>
          <w:szCs w:val="20"/>
        </w:rPr>
        <w:t xml:space="preserve"> mol.l</w:t>
      </w:r>
      <w:r w:rsidRPr="00540A4B">
        <w:rPr>
          <w:rFonts w:ascii="Times New Roman" w:eastAsia="Calibri" w:hAnsi="Times New Roman"/>
          <w:sz w:val="20"/>
          <w:szCs w:val="20"/>
          <w:vertAlign w:val="superscript"/>
        </w:rPr>
        <w:t>-1</w:t>
      </w:r>
      <w:r w:rsidRPr="00540A4B">
        <w:rPr>
          <w:rFonts w:ascii="Times New Roman" w:eastAsia="Calibri" w:hAnsi="Times New Roman"/>
          <w:sz w:val="20"/>
          <w:szCs w:val="20"/>
        </w:rPr>
        <w:t xml:space="preserve"> and CD concentration was varied from 0 to 10 mmol.l</w:t>
      </w:r>
      <w:r w:rsidRPr="00540A4B">
        <w:rPr>
          <w:rFonts w:ascii="Times New Roman" w:eastAsia="Calibri" w:hAnsi="Times New Roman"/>
          <w:sz w:val="20"/>
          <w:szCs w:val="20"/>
          <w:vertAlign w:val="superscript"/>
        </w:rPr>
        <w:t>-1</w:t>
      </w:r>
      <w:r w:rsidRPr="00540A4B">
        <w:rPr>
          <w:rFonts w:ascii="Times New Roman" w:eastAsia="Calibri" w:hAnsi="Times New Roman"/>
          <w:sz w:val="20"/>
          <w:szCs w:val="20"/>
        </w:rPr>
        <w:t xml:space="preserve">. </w:t>
      </w:r>
    </w:p>
    <w:p w14:paraId="591E02C8" w14:textId="77777777" w:rsidR="005B09FF" w:rsidRPr="00540A4B" w:rsidRDefault="005B09FF" w:rsidP="005B09FF">
      <w:pPr>
        <w:spacing w:after="0"/>
        <w:jc w:val="both"/>
        <w:outlineLvl w:val="0"/>
        <w:rPr>
          <w:rFonts w:ascii="Times New Roman" w:hAnsi="Times New Roman"/>
          <w:b/>
          <w:bCs/>
          <w:i/>
          <w:iCs/>
          <w:sz w:val="20"/>
          <w:szCs w:val="20"/>
          <w:lang w:eastAsia="fr-FR"/>
        </w:rPr>
      </w:pPr>
    </w:p>
    <w:p w14:paraId="6F5D9556" w14:textId="77777777" w:rsidR="005B09FF" w:rsidRPr="00540A4B" w:rsidRDefault="005B09FF" w:rsidP="005B09FF">
      <w:pPr>
        <w:spacing w:after="0"/>
        <w:jc w:val="both"/>
        <w:outlineLvl w:val="0"/>
        <w:rPr>
          <w:rFonts w:ascii="Times New Roman" w:hAnsi="Times New Roman"/>
          <w:b/>
          <w:bCs/>
          <w:sz w:val="20"/>
          <w:szCs w:val="20"/>
        </w:rPr>
      </w:pPr>
      <w:r w:rsidRPr="00540A4B">
        <w:rPr>
          <w:rFonts w:ascii="Times New Roman" w:hAnsi="Times New Roman"/>
          <w:b/>
          <w:bCs/>
          <w:sz w:val="20"/>
          <w:szCs w:val="20"/>
        </w:rPr>
        <w:t xml:space="preserve">Modeling stoichiometry and association constants </w:t>
      </w:r>
    </w:p>
    <w:p w14:paraId="34E26B4D" w14:textId="1EDCB9A5" w:rsidR="005B09FF" w:rsidRDefault="005B09FF" w:rsidP="003369D1">
      <w:pPr>
        <w:adjustRightInd w:val="0"/>
        <w:spacing w:after="120"/>
        <w:jc w:val="both"/>
        <w:outlineLvl w:val="0"/>
        <w:rPr>
          <w:rFonts w:ascii="Times New Roman" w:hAnsi="Times New Roman"/>
          <w:sz w:val="20"/>
          <w:szCs w:val="20"/>
        </w:rPr>
      </w:pPr>
      <w:r w:rsidRPr="00540A4B">
        <w:rPr>
          <w:rFonts w:ascii="Times New Roman" w:hAnsi="Times New Roman"/>
          <w:sz w:val="20"/>
          <w:szCs w:val="20"/>
        </w:rPr>
        <w:t>Assuming that a 1:1 complex between any CD and the drug is formed, the following chemical equilibrium takes place.</w:t>
      </w:r>
    </w:p>
    <w:p w14:paraId="6E855280" w14:textId="21CFD621" w:rsidR="005B09FF" w:rsidRDefault="005B09FF" w:rsidP="003369D1">
      <w:pPr>
        <w:spacing w:after="120"/>
        <w:jc w:val="both"/>
        <w:rPr>
          <w:rFonts w:ascii="Times New Roman" w:hAnsi="Times New Roman"/>
          <w:sz w:val="20"/>
          <w:szCs w:val="20"/>
          <w:lang w:eastAsia="fr-FR"/>
        </w:rPr>
      </w:pPr>
      <w:r w:rsidRPr="00540A4B">
        <w:rPr>
          <w:rFonts w:ascii="Times New Roman" w:hAnsi="Times New Roman"/>
          <w:sz w:val="20"/>
          <w:szCs w:val="20"/>
        </w:rPr>
        <w:t xml:space="preserve">CD + G   </w:t>
      </w:r>
      <w:r w:rsidRPr="00540A4B">
        <w:rPr>
          <w:rFonts w:ascii="Times New Roman" w:hAnsi="Times New Roman"/>
          <w:sz w:val="20"/>
          <w:szCs w:val="20"/>
        </w:rPr>
        <w:fldChar w:fldCharType="begin"/>
      </w:r>
      <w:r w:rsidRPr="00540A4B">
        <w:rPr>
          <w:rFonts w:ascii="Times New Roman" w:hAnsi="Times New Roman"/>
          <w:sz w:val="20"/>
          <w:szCs w:val="20"/>
        </w:rPr>
        <w:instrText xml:space="preserve"> QUOTE </w:instrText>
      </w:r>
      <w:r w:rsidR="004E20CB">
        <w:rPr>
          <w:rFonts w:ascii="Times New Roman" w:hAnsi="Times New Roman"/>
          <w:position w:val="-6"/>
          <w:sz w:val="20"/>
          <w:szCs w:val="20"/>
        </w:rPr>
        <w:pict w14:anchorId="3DEE74C9">
          <v:shape id="_x0000_i1027" type="#_x0000_t75" style="width:9.6pt;height:13.8pt" equationxml="&lt;">
            <v:imagedata r:id="rId19" o:title="" chromakey="white"/>
          </v:shape>
        </w:pict>
      </w:r>
      <w:r w:rsidRPr="00540A4B">
        <w:rPr>
          <w:rFonts w:ascii="Times New Roman" w:hAnsi="Times New Roman"/>
          <w:sz w:val="20"/>
          <w:szCs w:val="20"/>
        </w:rPr>
        <w:instrText xml:space="preserve"> </w:instrText>
      </w:r>
      <w:r w:rsidRPr="00540A4B">
        <w:rPr>
          <w:rFonts w:ascii="Times New Roman" w:hAnsi="Times New Roman"/>
          <w:sz w:val="20"/>
          <w:szCs w:val="20"/>
        </w:rPr>
        <w:fldChar w:fldCharType="separate"/>
      </w:r>
      <w:r w:rsidR="004E20CB">
        <w:rPr>
          <w:rFonts w:ascii="Times New Roman" w:hAnsi="Times New Roman"/>
          <w:position w:val="-6"/>
          <w:sz w:val="20"/>
          <w:szCs w:val="20"/>
        </w:rPr>
        <w:pict w14:anchorId="00030C3B">
          <v:shape id="_x0000_i1028" type="#_x0000_t75" style="width:9.6pt;height:13.8pt" equationxml="&lt;">
            <v:imagedata r:id="rId19" o:title="" chromakey="white"/>
          </v:shape>
        </w:pict>
      </w:r>
      <w:r w:rsidRPr="00540A4B">
        <w:rPr>
          <w:rFonts w:ascii="Times New Roman" w:hAnsi="Times New Roman"/>
          <w:sz w:val="20"/>
          <w:szCs w:val="20"/>
        </w:rPr>
        <w:fldChar w:fldCharType="end"/>
      </w:r>
      <w:r w:rsidRPr="00540A4B">
        <w:rPr>
          <w:rFonts w:ascii="Times New Roman" w:hAnsi="Times New Roman"/>
          <w:sz w:val="20"/>
          <w:szCs w:val="20"/>
        </w:rPr>
        <w:t xml:space="preserve">   CD- G</w:t>
      </w:r>
      <w:r>
        <w:rPr>
          <w:rFonts w:ascii="Times New Roman" w:hAnsi="Times New Roman"/>
          <w:sz w:val="20"/>
          <w:szCs w:val="20"/>
        </w:rPr>
        <w:t xml:space="preserve">                                               (1)</w:t>
      </w:r>
    </w:p>
    <w:p w14:paraId="1BCA86D5" w14:textId="5A36DAFD" w:rsidR="005B09FF" w:rsidRPr="00540A4B" w:rsidRDefault="005B09FF" w:rsidP="003369D1">
      <w:pPr>
        <w:spacing w:after="120"/>
        <w:jc w:val="both"/>
        <w:rPr>
          <w:rFonts w:ascii="Times New Roman" w:hAnsi="Times New Roman"/>
          <w:sz w:val="20"/>
          <w:szCs w:val="20"/>
        </w:rPr>
      </w:pPr>
      <w:r w:rsidRPr="00540A4B">
        <w:rPr>
          <w:rFonts w:ascii="Times New Roman" w:hAnsi="Times New Roman"/>
          <w:sz w:val="20"/>
          <w:szCs w:val="20"/>
        </w:rPr>
        <w:t>If one takes that the activity coefficients of all species are equal to unity, the equilibrium constant K can be written as:</w:t>
      </w:r>
    </w:p>
    <w:p w14:paraId="43A36C40" w14:textId="107ECC33" w:rsidR="005B09FF" w:rsidRDefault="005B09FF" w:rsidP="005B09FF">
      <w:pPr>
        <w:adjustRightInd w:val="0"/>
        <w:spacing w:after="0"/>
        <w:jc w:val="both"/>
        <w:outlineLvl w:val="0"/>
        <w:rPr>
          <w:rFonts w:ascii="Times New Roman" w:hAnsi="Times New Roman"/>
          <w:position w:val="-26"/>
          <w:sz w:val="20"/>
          <w:szCs w:val="20"/>
          <w:lang w:bidi="hi-IN"/>
        </w:rPr>
      </w:pPr>
      <w:r w:rsidRPr="00540A4B">
        <w:rPr>
          <w:rFonts w:ascii="Times New Roman" w:hAnsi="Times New Roman"/>
          <w:position w:val="-26"/>
          <w:sz w:val="20"/>
          <w:szCs w:val="20"/>
          <w:lang w:val="fr-FR" w:eastAsia="fr-FR"/>
        </w:rPr>
        <w:object w:dxaOrig="1392" w:dyaOrig="564" w14:anchorId="0FF8D24F">
          <v:shape id="_x0000_i1029" type="#_x0000_t75" style="width:69.6pt;height:28.2pt" o:ole="">
            <v:imagedata r:id="rId20" o:title=""/>
          </v:shape>
          <o:OLEObject Type="Embed" ProgID="Equation.3" ShapeID="_x0000_i1029" DrawAspect="Content" ObjectID="_1707119873" r:id="rId21"/>
        </w:object>
      </w:r>
      <w:r>
        <w:rPr>
          <w:rFonts w:ascii="Times New Roman" w:hAnsi="Times New Roman"/>
          <w:sz w:val="20"/>
          <w:szCs w:val="20"/>
          <w:lang w:val="fr-FR" w:eastAsia="fr-FR"/>
        </w:rPr>
        <w:t xml:space="preserve">                                                     (2)</w:t>
      </w:r>
    </w:p>
    <w:p w14:paraId="3ED118D6" w14:textId="27ECCF04" w:rsidR="005B09FF" w:rsidRPr="003369D1" w:rsidRDefault="005B09FF" w:rsidP="003369D1">
      <w:pPr>
        <w:adjustRightInd w:val="0"/>
        <w:spacing w:after="120"/>
        <w:jc w:val="both"/>
        <w:outlineLvl w:val="0"/>
        <w:rPr>
          <w:rFonts w:ascii="Times New Roman" w:hAnsi="Times New Roman"/>
          <w:position w:val="-26"/>
          <w:sz w:val="20"/>
          <w:szCs w:val="20"/>
          <w:lang w:eastAsia="fr-FR" w:bidi="hi-IN"/>
        </w:rPr>
      </w:pPr>
      <w:r w:rsidRPr="00540A4B">
        <w:rPr>
          <w:rFonts w:ascii="Times New Roman" w:hAnsi="Times New Roman"/>
          <w:position w:val="-26"/>
          <w:sz w:val="20"/>
          <w:szCs w:val="20"/>
          <w:lang w:bidi="hi-IN"/>
        </w:rPr>
        <w:t>The laws of mass conservation for all species require that</w:t>
      </w:r>
    </w:p>
    <w:p w14:paraId="76B2AA19" w14:textId="326F70DE" w:rsidR="005B09FF" w:rsidRDefault="005B09FF" w:rsidP="005B09FF">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2028" w:dyaOrig="288" w14:anchorId="57A8CDE2">
          <v:shape id="_x0000_i1030" type="#_x0000_t75" style="width:102pt;height:13.8pt" o:ole="">
            <v:imagedata r:id="rId22" o:title=""/>
          </v:shape>
          <o:OLEObject Type="Embed" ProgID="Equation.3" ShapeID="_x0000_i1030" DrawAspect="Content" ObjectID="_1707119874" r:id="rId23"/>
        </w:object>
      </w:r>
      <w:r>
        <w:rPr>
          <w:rFonts w:ascii="Times New Roman" w:hAnsi="Times New Roman"/>
          <w:sz w:val="20"/>
          <w:szCs w:val="20"/>
          <w:lang w:val="fr-FR" w:eastAsia="fr-FR"/>
        </w:rPr>
        <w:t xml:space="preserve">                                        (3)</w:t>
      </w:r>
    </w:p>
    <w:p w14:paraId="59F4FA6C" w14:textId="743251E8" w:rsidR="005B09FF" w:rsidRDefault="005B09FF" w:rsidP="003369D1">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1944" w:dyaOrig="288" w14:anchorId="01EF2CB6">
          <v:shape id="_x0000_i1031" type="#_x0000_t75" style="width:97.2pt;height:13.8pt" o:ole="">
            <v:imagedata r:id="rId24" o:title=""/>
          </v:shape>
          <o:OLEObject Type="Embed" ProgID="Equation.3" ShapeID="_x0000_i1031" DrawAspect="Content" ObjectID="_1707119875" r:id="rId25"/>
        </w:object>
      </w:r>
      <w:r>
        <w:rPr>
          <w:rFonts w:ascii="Times New Roman" w:hAnsi="Times New Roman"/>
          <w:sz w:val="20"/>
          <w:szCs w:val="20"/>
          <w:lang w:val="fr-FR" w:eastAsia="fr-FR"/>
        </w:rPr>
        <w:t xml:space="preserve">                                          (4)</w:t>
      </w:r>
    </w:p>
    <w:p w14:paraId="1331DF03" w14:textId="25358B32" w:rsidR="005B09FF" w:rsidRDefault="005B09FF" w:rsidP="005B09FF">
      <w:pPr>
        <w:adjustRightInd w:val="0"/>
        <w:spacing w:after="0"/>
        <w:jc w:val="both"/>
        <w:rPr>
          <w:rFonts w:ascii="Times New Roman" w:hAnsi="Times New Roman"/>
          <w:sz w:val="20"/>
          <w:szCs w:val="20"/>
        </w:rPr>
      </w:pPr>
      <w:r w:rsidRPr="00540A4B">
        <w:rPr>
          <w:rFonts w:ascii="Times New Roman" w:hAnsi="Times New Roman"/>
          <w:sz w:val="20"/>
          <w:szCs w:val="20"/>
        </w:rPr>
        <w:t>with [CD]</w:t>
      </w:r>
      <w:r w:rsidRPr="00540A4B">
        <w:rPr>
          <w:rFonts w:ascii="Times New Roman" w:hAnsi="Times New Roman"/>
          <w:sz w:val="20"/>
          <w:szCs w:val="20"/>
          <w:vertAlign w:val="subscript"/>
        </w:rPr>
        <w:t>0</w:t>
      </w:r>
      <w:r w:rsidRPr="00540A4B">
        <w:rPr>
          <w:rFonts w:ascii="Times New Roman" w:hAnsi="Times New Roman"/>
          <w:sz w:val="20"/>
          <w:szCs w:val="20"/>
        </w:rPr>
        <w:t>: initial (total) concentration of host molecule, [G]</w:t>
      </w:r>
      <w:r w:rsidRPr="00540A4B">
        <w:rPr>
          <w:rFonts w:ascii="Times New Roman" w:hAnsi="Times New Roman"/>
          <w:sz w:val="20"/>
          <w:szCs w:val="20"/>
          <w:vertAlign w:val="subscript"/>
        </w:rPr>
        <w:t>0</w:t>
      </w:r>
      <w:r w:rsidRPr="00540A4B">
        <w:rPr>
          <w:rFonts w:ascii="Times New Roman" w:hAnsi="Times New Roman"/>
          <w:sz w:val="20"/>
          <w:szCs w:val="20"/>
        </w:rPr>
        <w:t>: initial (total) concentration of the guest molecule. [CD], [G], [CD-G]: equilibrium concentrations of host, guest and complex respectively. The combination of these equations gives the expression of K the equilibrium constant as a function of initial concentrations of the host and the guest molecules as well as one of the formed complexes:</w:t>
      </w:r>
    </w:p>
    <w:p w14:paraId="7B45369A" w14:textId="3EA343CC" w:rsidR="005B09FF" w:rsidRDefault="005B09FF" w:rsidP="005B09FF">
      <w:pPr>
        <w:adjustRightInd w:val="0"/>
        <w:spacing w:after="0"/>
        <w:jc w:val="both"/>
        <w:rPr>
          <w:rFonts w:ascii="Times New Roman" w:hAnsi="Times New Roman"/>
          <w:sz w:val="20"/>
          <w:szCs w:val="20"/>
        </w:rPr>
      </w:pPr>
      <w:r w:rsidRPr="00540A4B">
        <w:rPr>
          <w:rFonts w:ascii="Times New Roman" w:hAnsi="Times New Roman"/>
          <w:position w:val="-26"/>
          <w:sz w:val="20"/>
          <w:szCs w:val="20"/>
          <w:lang w:val="fr-FR" w:eastAsia="fr-FR"/>
        </w:rPr>
        <w:object w:dxaOrig="3588" w:dyaOrig="600" w14:anchorId="4F92F691">
          <v:shape id="_x0000_i1032" type="#_x0000_t75" style="width:179.4pt;height:30pt" o:ole="">
            <v:imagedata r:id="rId26" o:title=""/>
          </v:shape>
          <o:OLEObject Type="Embed" ProgID="Equation.3" ShapeID="_x0000_i1032" DrawAspect="Content" ObjectID="_1707119876" r:id="rId27"/>
        </w:object>
      </w:r>
      <w:r>
        <w:rPr>
          <w:rFonts w:ascii="Times New Roman" w:hAnsi="Times New Roman"/>
          <w:sz w:val="20"/>
          <w:szCs w:val="20"/>
          <w:lang w:val="fr-FR" w:eastAsia="fr-FR"/>
        </w:rPr>
        <w:t xml:space="preserve">   </w:t>
      </w:r>
      <w:r w:rsidR="003369D1">
        <w:rPr>
          <w:rFonts w:ascii="Times New Roman" w:hAnsi="Times New Roman"/>
          <w:sz w:val="20"/>
          <w:szCs w:val="20"/>
          <w:lang w:val="fr-FR" w:eastAsia="fr-FR"/>
        </w:rPr>
        <w:t xml:space="preserve">      </w:t>
      </w:r>
      <w:r>
        <w:rPr>
          <w:rFonts w:ascii="Times New Roman" w:hAnsi="Times New Roman"/>
          <w:sz w:val="20"/>
          <w:szCs w:val="20"/>
          <w:lang w:val="fr-FR" w:eastAsia="fr-FR"/>
        </w:rPr>
        <w:t>(5)</w:t>
      </w:r>
    </w:p>
    <w:p w14:paraId="215C8109" w14:textId="77777777" w:rsidR="004E20CB" w:rsidRDefault="004E20CB" w:rsidP="003369D1">
      <w:pPr>
        <w:adjustRightInd w:val="0"/>
        <w:spacing w:after="120"/>
        <w:jc w:val="both"/>
        <w:rPr>
          <w:rFonts w:ascii="Times New Roman" w:hAnsi="Times New Roman"/>
          <w:sz w:val="20"/>
          <w:szCs w:val="20"/>
        </w:rPr>
        <w:sectPr w:rsidR="004E20CB" w:rsidSect="005B09FF">
          <w:footerReference w:type="default" r:id="rId28"/>
          <w:type w:val="continuous"/>
          <w:pgSz w:w="11906" w:h="16838" w:code="9"/>
          <w:pgMar w:top="1800" w:right="1469" w:bottom="1699" w:left="1440" w:header="709" w:footer="709" w:gutter="0"/>
          <w:pgNumType w:start="164"/>
          <w:cols w:num="2" w:space="403"/>
          <w:docGrid w:linePitch="360"/>
        </w:sectPr>
      </w:pPr>
    </w:p>
    <w:p w14:paraId="62388650" w14:textId="77777777" w:rsidR="00F775A1" w:rsidRDefault="00F775A1" w:rsidP="003369D1">
      <w:pPr>
        <w:adjustRightInd w:val="0"/>
        <w:spacing w:after="120"/>
        <w:jc w:val="both"/>
        <w:rPr>
          <w:rFonts w:ascii="Times New Roman" w:hAnsi="Times New Roman"/>
          <w:sz w:val="20"/>
          <w:szCs w:val="20"/>
        </w:rPr>
        <w:sectPr w:rsidR="00F775A1" w:rsidSect="004E20CB">
          <w:type w:val="oddPage"/>
          <w:pgSz w:w="11906" w:h="16838" w:code="9"/>
          <w:pgMar w:top="1800" w:right="1469" w:bottom="1699" w:left="1440" w:header="709" w:footer="709" w:gutter="0"/>
          <w:pgNumType w:start="164"/>
          <w:cols w:num="2" w:space="403"/>
          <w:docGrid w:linePitch="360"/>
        </w:sectPr>
      </w:pPr>
    </w:p>
    <w:p w14:paraId="69219EEE" w14:textId="6766E5CB" w:rsidR="005B09FF" w:rsidRPr="003369D1" w:rsidRDefault="005B09FF" w:rsidP="00F775A1">
      <w:pPr>
        <w:adjustRightInd w:val="0"/>
        <w:spacing w:after="0"/>
        <w:jc w:val="both"/>
        <w:rPr>
          <w:rFonts w:ascii="Times New Roman" w:hAnsi="Times New Roman"/>
          <w:sz w:val="20"/>
          <w:szCs w:val="20"/>
        </w:rPr>
      </w:pPr>
      <w:r w:rsidRPr="00540A4B">
        <w:rPr>
          <w:rFonts w:ascii="Times New Roman" w:hAnsi="Times New Roman"/>
          <w:sz w:val="20"/>
          <w:szCs w:val="20"/>
        </w:rPr>
        <w:t>So, to compute the equilibrium constant one has to determine the concentration of the formed complex since all other quantities are available. This quantity can be extracted from any technique for which intensity variation is proportional to the concentration of the complex. Amongst all available techniques, UV-Vis spectrophotometry represents the most used technique because of its simplicity and repeatability. For this technique, it is well known that the absorbance or optical</w:t>
      </w:r>
      <w:r w:rsidR="00F775A1">
        <w:rPr>
          <w:rFonts w:ascii="Times New Roman" w:hAnsi="Times New Roman"/>
          <w:sz w:val="20"/>
          <w:szCs w:val="20"/>
        </w:rPr>
        <w:t xml:space="preserve"> d</w:t>
      </w:r>
      <w:r w:rsidRPr="00540A4B">
        <w:rPr>
          <w:rFonts w:ascii="Times New Roman" w:hAnsi="Times New Roman"/>
          <w:sz w:val="20"/>
          <w:szCs w:val="20"/>
        </w:rPr>
        <w:t>ensity</w:t>
      </w:r>
      <w:r w:rsidR="00F775A1">
        <w:rPr>
          <w:rFonts w:ascii="Times New Roman" w:hAnsi="Times New Roman"/>
          <w:sz w:val="20"/>
          <w:szCs w:val="20"/>
        </w:rPr>
        <w:t xml:space="preserve"> </w:t>
      </w:r>
      <w:r w:rsidRPr="00540A4B">
        <w:rPr>
          <w:rFonts w:ascii="Times New Roman" w:hAnsi="Times New Roman"/>
          <w:sz w:val="20"/>
          <w:szCs w:val="20"/>
        </w:rPr>
        <w:t xml:space="preserve">is proportional to the concentration of the absorbing chromophore so the observed absorbance for a system constituted of CD, guest and complex species is expressed as: </w:t>
      </w:r>
    </w:p>
    <w:p w14:paraId="269FA8B6" w14:textId="77777777" w:rsidR="00F775A1" w:rsidRDefault="00F775A1" w:rsidP="00F775A1">
      <w:pPr>
        <w:tabs>
          <w:tab w:val="left" w:pos="8647"/>
        </w:tabs>
        <w:adjustRightInd w:val="0"/>
        <w:spacing w:after="120"/>
        <w:jc w:val="both"/>
        <w:rPr>
          <w:rFonts w:ascii="Times New Roman" w:hAnsi="Times New Roman"/>
          <w:sz w:val="20"/>
          <w:szCs w:val="20"/>
        </w:rPr>
      </w:pPr>
      <w:r w:rsidRPr="00540A4B">
        <w:rPr>
          <w:rFonts w:ascii="Times New Roman" w:hAnsi="Times New Roman"/>
          <w:position w:val="-12"/>
          <w:sz w:val="20"/>
          <w:szCs w:val="20"/>
          <w:lang w:val="fr-FR" w:eastAsia="fr-FR"/>
        </w:rPr>
        <w:object w:dxaOrig="1884" w:dyaOrig="336" w14:anchorId="394E09B8">
          <v:shape id="_x0000_i1033" type="#_x0000_t75" style="width:94.2pt;height:16.2pt" o:ole="">
            <v:imagedata r:id="rId29" o:title=""/>
          </v:shape>
          <o:OLEObject Type="Embed" ProgID="Equation.3" ShapeID="_x0000_i1033" DrawAspect="Content" ObjectID="_1707119877" r:id="rId30"/>
        </w:object>
      </w:r>
      <w:r>
        <w:rPr>
          <w:rFonts w:ascii="Times New Roman" w:hAnsi="Times New Roman"/>
          <w:sz w:val="20"/>
          <w:szCs w:val="20"/>
          <w:lang w:val="fr-FR" w:eastAsia="fr-FR"/>
        </w:rPr>
        <w:t xml:space="preserve">                                           (6)</w:t>
      </w:r>
    </w:p>
    <w:p w14:paraId="56182841" w14:textId="2B785669" w:rsidR="00F775A1" w:rsidRPr="00F66C25" w:rsidRDefault="00F775A1" w:rsidP="00F775A1">
      <w:pPr>
        <w:tabs>
          <w:tab w:val="left" w:pos="8647"/>
        </w:tabs>
        <w:adjustRightInd w:val="0"/>
        <w:spacing w:after="120"/>
        <w:jc w:val="both"/>
        <w:rPr>
          <w:rFonts w:ascii="Times New Roman" w:hAnsi="Times New Roman"/>
          <w:sz w:val="20"/>
          <w:szCs w:val="20"/>
          <w:lang w:eastAsia="fr-FR"/>
        </w:rPr>
      </w:pPr>
      <w:r w:rsidRPr="00F66C25">
        <w:rPr>
          <w:rFonts w:ascii="Times New Roman" w:hAnsi="Times New Roman"/>
          <w:i/>
          <w:iCs/>
          <w:sz w:val="20"/>
          <w:szCs w:val="20"/>
        </w:rPr>
        <w:t>A</w:t>
      </w:r>
      <w:r w:rsidRPr="00F66C25">
        <w:rPr>
          <w:rFonts w:ascii="Times New Roman" w:hAnsi="Times New Roman"/>
          <w:i/>
          <w:iCs/>
          <w:sz w:val="20"/>
          <w:szCs w:val="20"/>
          <w:vertAlign w:val="subscript"/>
        </w:rPr>
        <w:t>CD</w:t>
      </w:r>
      <w:r w:rsidRPr="00F66C25">
        <w:rPr>
          <w:rFonts w:ascii="Times New Roman" w:hAnsi="Times New Roman"/>
          <w:i/>
          <w:iCs/>
          <w:sz w:val="20"/>
          <w:szCs w:val="20"/>
        </w:rPr>
        <w:t>, A</w:t>
      </w:r>
      <w:r w:rsidRPr="00F66C25">
        <w:rPr>
          <w:rFonts w:ascii="Times New Roman" w:hAnsi="Times New Roman"/>
          <w:i/>
          <w:iCs/>
          <w:sz w:val="20"/>
          <w:szCs w:val="20"/>
          <w:vertAlign w:val="subscript"/>
        </w:rPr>
        <w:t xml:space="preserve">G </w:t>
      </w:r>
      <w:r>
        <w:rPr>
          <w:rFonts w:ascii="Times New Roman" w:hAnsi="Times New Roman"/>
          <w:sz w:val="20"/>
          <w:szCs w:val="20"/>
        </w:rPr>
        <w:t>and</w:t>
      </w:r>
      <w:r w:rsidRPr="00F66C25">
        <w:rPr>
          <w:rFonts w:ascii="Times New Roman" w:hAnsi="Times New Roman"/>
          <w:i/>
          <w:iCs/>
          <w:sz w:val="20"/>
          <w:szCs w:val="20"/>
        </w:rPr>
        <w:t xml:space="preserve"> A</w:t>
      </w:r>
      <w:r w:rsidRPr="00F66C25">
        <w:rPr>
          <w:rFonts w:ascii="Times New Roman" w:hAnsi="Times New Roman"/>
          <w:i/>
          <w:iCs/>
          <w:sz w:val="20"/>
          <w:szCs w:val="20"/>
          <w:vertAlign w:val="subscript"/>
        </w:rPr>
        <w:t>CD-G</w:t>
      </w:r>
      <w:r w:rsidRPr="00540A4B">
        <w:rPr>
          <w:rFonts w:ascii="Times New Roman" w:hAnsi="Times New Roman"/>
          <w:sz w:val="20"/>
          <w:szCs w:val="20"/>
          <w:vertAlign w:val="subscript"/>
        </w:rPr>
        <w:t xml:space="preserve"> </w:t>
      </w:r>
      <w:r w:rsidRPr="00540A4B">
        <w:rPr>
          <w:rFonts w:ascii="Times New Roman" w:hAnsi="Times New Roman"/>
          <w:sz w:val="20"/>
          <w:szCs w:val="20"/>
        </w:rPr>
        <w:t xml:space="preserve">represent respectively the absorbance of the host, the guest and the complex. Taking that </w:t>
      </w:r>
      <w:r>
        <w:rPr>
          <w:rFonts w:ascii="Times New Roman" w:hAnsi="Times New Roman"/>
          <w:sz w:val="20"/>
          <w:szCs w:val="20"/>
        </w:rPr>
        <w:t xml:space="preserve"> </w:t>
      </w:r>
      <w:r w:rsidRPr="00540A4B">
        <w:rPr>
          <w:rFonts w:ascii="Times New Roman" w:hAnsi="Times New Roman"/>
          <w:sz w:val="20"/>
          <w:szCs w:val="20"/>
        </w:rPr>
        <w:t xml:space="preserve">the length of the optical path is fixed to </w:t>
      </w:r>
      <w:r w:rsidRPr="00540A4B">
        <w:rPr>
          <w:rFonts w:ascii="Times New Roman" w:hAnsi="Times New Roman"/>
          <w:sz w:val="20"/>
          <w:szCs w:val="20"/>
        </w:rPr>
        <w:t xml:space="preserve">1 cm, the different absorbances can be expressed as a function of the molar extinction coefficients </w:t>
      </w:r>
      <w:r w:rsidRPr="00540A4B">
        <w:rPr>
          <w:rFonts w:ascii="Times New Roman" w:hAnsi="Times New Roman"/>
          <w:sz w:val="20"/>
          <w:szCs w:val="20"/>
        </w:rPr>
        <w:sym w:font="Symbol" w:char="F065"/>
      </w:r>
      <w:r w:rsidRPr="00540A4B">
        <w:rPr>
          <w:rFonts w:ascii="Times New Roman" w:hAnsi="Times New Roman"/>
          <w:sz w:val="20"/>
          <w:szCs w:val="20"/>
        </w:rPr>
        <w:t xml:space="preserve"> of each absorbing species in solution.</w:t>
      </w:r>
    </w:p>
    <w:p w14:paraId="77CD3328" w14:textId="77777777" w:rsidR="00F775A1" w:rsidRDefault="00F775A1" w:rsidP="00F775A1">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852" w:dyaOrig="276" w14:anchorId="01D7A7CC">
          <v:shape id="_x0000_i1034" type="#_x0000_t75" style="width:42pt;height:14.4pt" o:ole="">
            <v:imagedata r:id="rId31" o:title=""/>
          </v:shape>
          <o:OLEObject Type="Embed" ProgID="Equation.3" ShapeID="_x0000_i1034" DrawAspect="Content" ObjectID="_1707119878" r:id="rId32"/>
        </w:object>
      </w:r>
      <w:r>
        <w:rPr>
          <w:rFonts w:ascii="Times New Roman" w:hAnsi="Times New Roman"/>
          <w:sz w:val="20"/>
          <w:szCs w:val="20"/>
          <w:lang w:val="fr-FR" w:eastAsia="fr-FR"/>
        </w:rPr>
        <w:t xml:space="preserve">                                                                (7)</w:t>
      </w:r>
    </w:p>
    <w:p w14:paraId="2B9DA3D4" w14:textId="31251BAC" w:rsidR="00F775A1" w:rsidRDefault="00F775A1" w:rsidP="00F775A1">
      <w:pPr>
        <w:tabs>
          <w:tab w:val="left" w:pos="8647"/>
        </w:tabs>
        <w:adjustRightInd w:val="0"/>
        <w:spacing w:after="120"/>
        <w:jc w:val="both"/>
        <w:rPr>
          <w:rFonts w:ascii="Times New Roman" w:hAnsi="Times New Roman"/>
          <w:sz w:val="20"/>
          <w:szCs w:val="20"/>
          <w:lang w:val="fr-FR" w:eastAsia="fr-FR"/>
        </w:rPr>
      </w:pPr>
      <w:r w:rsidRPr="00540A4B">
        <w:rPr>
          <w:rFonts w:ascii="Times New Roman" w:hAnsi="Times New Roman"/>
          <w:position w:val="-12"/>
          <w:sz w:val="20"/>
          <w:szCs w:val="20"/>
          <w:lang w:val="fr-FR" w:eastAsia="fr-FR"/>
        </w:rPr>
        <w:object w:dxaOrig="2076" w:dyaOrig="300" w14:anchorId="494CE951">
          <v:shape id="_x0000_i1035" type="#_x0000_t75" style="width:104.4pt;height:15pt" o:ole="">
            <v:imagedata r:id="rId33" o:title=""/>
          </v:shape>
          <o:OLEObject Type="Embed" ProgID="Equation.3" ShapeID="_x0000_i1035" DrawAspect="Content" ObjectID="_1707119879" r:id="rId34"/>
        </w:object>
      </w:r>
      <w:r>
        <w:rPr>
          <w:rFonts w:ascii="Times New Roman" w:hAnsi="Times New Roman"/>
          <w:sz w:val="20"/>
          <w:szCs w:val="20"/>
          <w:lang w:val="fr-FR" w:eastAsia="fr-FR"/>
        </w:rPr>
        <w:t xml:space="preserve">                                       (8)</w:t>
      </w:r>
    </w:p>
    <w:p w14:paraId="4BEF0C66" w14:textId="77777777" w:rsidR="00F775A1" w:rsidRPr="00727D9A" w:rsidRDefault="00F775A1" w:rsidP="00F775A1">
      <w:pPr>
        <w:adjustRightInd w:val="0"/>
        <w:spacing w:after="0"/>
        <w:jc w:val="both"/>
        <w:rPr>
          <w:rFonts w:ascii="Times New Roman" w:hAnsi="Times New Roman"/>
          <w:sz w:val="20"/>
          <w:szCs w:val="20"/>
        </w:rPr>
      </w:pPr>
      <w:r w:rsidRPr="00727D9A">
        <w:rPr>
          <w:rFonts w:ascii="Times New Roman" w:hAnsi="Times New Roman"/>
          <w:position w:val="-10"/>
          <w:sz w:val="20"/>
          <w:szCs w:val="20"/>
          <w:lang w:val="fr-FR" w:eastAsia="fr-FR"/>
        </w:rPr>
        <w:object w:dxaOrig="1716" w:dyaOrig="276" w14:anchorId="59A2D208">
          <v:shape id="_x0000_i1036" type="#_x0000_t75" style="width:85.8pt;height:14.4pt" o:ole="">
            <v:imagedata r:id="rId35" o:title=""/>
          </v:shape>
          <o:OLEObject Type="Embed" ProgID="Equation.3" ShapeID="_x0000_i1036" DrawAspect="Content" ObjectID="_1707119880" r:id="rId36"/>
        </w:object>
      </w:r>
      <w:r w:rsidRPr="00727D9A">
        <w:rPr>
          <w:rFonts w:ascii="Times New Roman" w:hAnsi="Times New Roman"/>
          <w:sz w:val="20"/>
          <w:szCs w:val="20"/>
          <w:lang w:val="fr-FR" w:eastAsia="fr-FR"/>
        </w:rPr>
        <w:t xml:space="preserve">          </w:t>
      </w:r>
      <w:r>
        <w:rPr>
          <w:rFonts w:ascii="Times New Roman" w:hAnsi="Times New Roman"/>
          <w:sz w:val="20"/>
          <w:szCs w:val="20"/>
          <w:lang w:val="fr-FR" w:eastAsia="fr-FR"/>
        </w:rPr>
        <w:t xml:space="preserve">                                    </w:t>
      </w:r>
      <w:r w:rsidRPr="00727D9A">
        <w:rPr>
          <w:rFonts w:ascii="Times New Roman" w:hAnsi="Times New Roman"/>
          <w:sz w:val="20"/>
          <w:szCs w:val="20"/>
          <w:lang w:val="fr-FR" w:eastAsia="fr-FR"/>
        </w:rPr>
        <w:t>(9)</w:t>
      </w:r>
    </w:p>
    <w:p w14:paraId="242B7F2B" w14:textId="11775EB1" w:rsidR="00F775A1" w:rsidRDefault="00F775A1" w:rsidP="00F775A1">
      <w:pPr>
        <w:adjustRightInd w:val="0"/>
        <w:spacing w:after="120"/>
        <w:jc w:val="both"/>
        <w:rPr>
          <w:rFonts w:ascii="Times New Roman" w:hAnsi="Times New Roman"/>
          <w:sz w:val="20"/>
          <w:szCs w:val="20"/>
          <w:lang w:val="fr-FR" w:eastAsia="fr-FR"/>
        </w:rPr>
      </w:pPr>
      <w:r w:rsidRPr="00540A4B">
        <w:rPr>
          <w:rFonts w:ascii="Times New Roman" w:hAnsi="Times New Roman"/>
          <w:position w:val="-10"/>
          <w:sz w:val="20"/>
          <w:szCs w:val="20"/>
          <w:lang w:val="fr-FR" w:eastAsia="fr-FR"/>
        </w:rPr>
        <w:object w:dxaOrig="1656" w:dyaOrig="276" w14:anchorId="56606AD3">
          <v:shape id="_x0000_i1037" type="#_x0000_t75" style="width:82.8pt;height:14.4pt" o:ole="">
            <v:imagedata r:id="rId37" o:title=""/>
          </v:shape>
          <o:OLEObject Type="Embed" ProgID="Equation.3" ShapeID="_x0000_i1037" DrawAspect="Content" ObjectID="_1707119881" r:id="rId38"/>
        </w:object>
      </w:r>
      <w:r>
        <w:rPr>
          <w:rFonts w:ascii="Times New Roman" w:hAnsi="Times New Roman"/>
          <w:sz w:val="20"/>
          <w:szCs w:val="20"/>
          <w:lang w:val="fr-FR" w:eastAsia="fr-FR"/>
        </w:rPr>
        <w:t xml:space="preserve">                                              (10)</w:t>
      </w:r>
    </w:p>
    <w:p w14:paraId="33BA69BE" w14:textId="77777777" w:rsidR="00F775A1" w:rsidRPr="00540A4B" w:rsidRDefault="00F775A1" w:rsidP="00F775A1">
      <w:pPr>
        <w:adjustRightInd w:val="0"/>
        <w:spacing w:after="0"/>
        <w:jc w:val="both"/>
        <w:rPr>
          <w:rFonts w:ascii="Times New Roman" w:hAnsi="Times New Roman"/>
          <w:sz w:val="20"/>
          <w:szCs w:val="20"/>
          <w:lang w:eastAsia="fr-FR"/>
        </w:rPr>
      </w:pPr>
      <w:r>
        <w:rPr>
          <w:rFonts w:ascii="Times New Roman" w:hAnsi="Times New Roman"/>
          <w:sz w:val="20"/>
          <w:szCs w:val="20"/>
        </w:rPr>
        <w:t>w</w:t>
      </w:r>
      <w:r w:rsidRPr="00540A4B">
        <w:rPr>
          <w:rFonts w:ascii="Times New Roman" w:hAnsi="Times New Roman"/>
          <w:sz w:val="20"/>
          <w:szCs w:val="20"/>
        </w:rPr>
        <w:t>here A</w:t>
      </w:r>
      <w:r w:rsidRPr="00540A4B">
        <w:rPr>
          <w:rFonts w:ascii="Times New Roman" w:hAnsi="Times New Roman"/>
          <w:sz w:val="20"/>
          <w:szCs w:val="20"/>
          <w:vertAlign w:val="subscript"/>
        </w:rPr>
        <w:t>0</w:t>
      </w:r>
      <w:r w:rsidRPr="00540A4B">
        <w:rPr>
          <w:rFonts w:ascii="Times New Roman" w:hAnsi="Times New Roman"/>
          <w:sz w:val="20"/>
          <w:szCs w:val="20"/>
        </w:rPr>
        <w:t xml:space="preserve"> represents the absorbance of the drug in absence of cyclodextrin and A</w:t>
      </w:r>
      <w:r w:rsidRPr="00540A4B">
        <w:rPr>
          <w:rFonts w:ascii="Times New Roman" w:hAnsi="Times New Roman"/>
          <w:sz w:val="20"/>
          <w:szCs w:val="20"/>
          <w:vertAlign w:val="subscript"/>
        </w:rPr>
        <w:t>CD</w:t>
      </w:r>
      <w:r w:rsidRPr="00540A4B">
        <w:rPr>
          <w:rFonts w:ascii="Times New Roman" w:hAnsi="Times New Roman"/>
          <w:sz w:val="20"/>
          <w:szCs w:val="20"/>
        </w:rPr>
        <w:t>, A</w:t>
      </w:r>
      <w:r w:rsidRPr="00540A4B">
        <w:rPr>
          <w:rFonts w:ascii="Times New Roman" w:hAnsi="Times New Roman"/>
          <w:sz w:val="20"/>
          <w:szCs w:val="20"/>
          <w:vertAlign w:val="subscript"/>
        </w:rPr>
        <w:t>G</w:t>
      </w:r>
      <w:r w:rsidRPr="00540A4B">
        <w:rPr>
          <w:rFonts w:ascii="Times New Roman" w:hAnsi="Times New Roman"/>
          <w:sz w:val="20"/>
          <w:szCs w:val="20"/>
        </w:rPr>
        <w:t xml:space="preserve"> and A</w:t>
      </w:r>
      <w:r w:rsidRPr="00540A4B">
        <w:rPr>
          <w:rFonts w:ascii="Times New Roman" w:hAnsi="Times New Roman"/>
          <w:sz w:val="20"/>
          <w:szCs w:val="20"/>
          <w:vertAlign w:val="subscript"/>
        </w:rPr>
        <w:t xml:space="preserve">CD-G </w:t>
      </w:r>
      <w:r w:rsidRPr="00540A4B">
        <w:rPr>
          <w:rFonts w:ascii="Times New Roman" w:hAnsi="Times New Roman"/>
          <w:sz w:val="20"/>
          <w:szCs w:val="20"/>
        </w:rPr>
        <w:t>are absorbances of CD, Guest and the complex in the solution. Assuming that CD doesn’t absorb light in the near-UV-Visible domain and combining equations 5 to 10 gives after a rearrangement the following equation (11) [16].</w:t>
      </w:r>
    </w:p>
    <w:p w14:paraId="1BB5CAA4" w14:textId="0B6B0856" w:rsidR="00F775A1" w:rsidRDefault="00F775A1" w:rsidP="00F775A1">
      <w:pPr>
        <w:tabs>
          <w:tab w:val="left" w:pos="8647"/>
        </w:tabs>
        <w:adjustRightInd w:val="0"/>
        <w:spacing w:after="120"/>
        <w:jc w:val="both"/>
        <w:rPr>
          <w:rFonts w:ascii="Times New Roman" w:hAnsi="Times New Roman"/>
          <w:sz w:val="20"/>
          <w:szCs w:val="20"/>
          <w:lang w:val="fr-FR" w:eastAsia="fr-FR"/>
        </w:rPr>
        <w:sectPr w:rsidR="00F775A1" w:rsidSect="00F775A1">
          <w:type w:val="continuous"/>
          <w:pgSz w:w="11906" w:h="16838" w:code="9"/>
          <w:pgMar w:top="1800" w:right="1469" w:bottom="1699" w:left="1440" w:header="709" w:footer="709" w:gutter="0"/>
          <w:pgNumType w:start="164"/>
          <w:cols w:num="2" w:space="403"/>
          <w:docGrid w:linePitch="360"/>
        </w:sectPr>
      </w:pPr>
    </w:p>
    <w:p w14:paraId="49711493" w14:textId="28C9378D" w:rsidR="00F66C25" w:rsidRDefault="00F66C25" w:rsidP="00F66C25">
      <w:pPr>
        <w:adjustRightInd w:val="0"/>
        <w:spacing w:after="0"/>
        <w:jc w:val="both"/>
        <w:rPr>
          <w:rFonts w:ascii="Times New Roman" w:hAnsi="Times New Roman"/>
          <w:sz w:val="20"/>
          <w:szCs w:val="20"/>
        </w:rPr>
      </w:pPr>
    </w:p>
    <w:p w14:paraId="58F783E0" w14:textId="77777777" w:rsidR="003369D1" w:rsidRDefault="003369D1" w:rsidP="005B09FF">
      <w:pPr>
        <w:adjustRightInd w:val="0"/>
        <w:spacing w:after="0"/>
        <w:jc w:val="both"/>
        <w:outlineLvl w:val="0"/>
        <w:rPr>
          <w:rFonts w:ascii="Times New Roman" w:eastAsia="Calibri" w:hAnsi="Times New Roman"/>
          <w:b/>
          <w:bCs/>
          <w:sz w:val="20"/>
          <w:szCs w:val="20"/>
        </w:rPr>
      </w:pPr>
    </w:p>
    <w:p w14:paraId="641AC0F0" w14:textId="686DD7AA" w:rsidR="00F66C25" w:rsidRDefault="00F66C25" w:rsidP="005B09FF">
      <w:pPr>
        <w:adjustRightInd w:val="0"/>
        <w:spacing w:after="0"/>
        <w:jc w:val="both"/>
        <w:outlineLvl w:val="0"/>
        <w:rPr>
          <w:rFonts w:ascii="Times New Roman" w:eastAsia="Calibri" w:hAnsi="Times New Roman"/>
          <w:b/>
          <w:bCs/>
          <w:sz w:val="20"/>
          <w:szCs w:val="20"/>
        </w:rPr>
        <w:sectPr w:rsidR="00F66C25" w:rsidSect="005B09FF">
          <w:type w:val="continuous"/>
          <w:pgSz w:w="11906" w:h="16838" w:code="9"/>
          <w:pgMar w:top="1800" w:right="1469" w:bottom="1699" w:left="1440" w:header="709" w:footer="709" w:gutter="0"/>
          <w:pgNumType w:start="164"/>
          <w:cols w:num="2" w:space="403"/>
          <w:docGrid w:linePitch="360"/>
        </w:sectPr>
      </w:pPr>
    </w:p>
    <w:p w14:paraId="6B21A7ED" w14:textId="77777777" w:rsidR="00727D9A" w:rsidRDefault="00727D9A" w:rsidP="00540A4B">
      <w:pPr>
        <w:spacing w:after="0"/>
        <w:jc w:val="both"/>
        <w:rPr>
          <w:rFonts w:ascii="Times New Roman" w:hAnsi="Times New Roman"/>
          <w:sz w:val="20"/>
          <w:szCs w:val="20"/>
        </w:rPr>
      </w:pPr>
    </w:p>
    <w:p w14:paraId="39A66128" w14:textId="4E1ACEA8" w:rsidR="00727D9A" w:rsidRDefault="00727D9A" w:rsidP="00F66C25">
      <w:pPr>
        <w:spacing w:after="0"/>
        <w:ind w:firstLine="720"/>
        <w:jc w:val="both"/>
        <w:rPr>
          <w:rFonts w:ascii="Times New Roman" w:hAnsi="Times New Roman"/>
          <w:sz w:val="20"/>
          <w:szCs w:val="20"/>
        </w:rPr>
      </w:pPr>
      <w:r w:rsidRPr="00540A4B">
        <w:rPr>
          <w:rFonts w:ascii="Times New Roman" w:hAnsi="Times New Roman"/>
          <w:position w:val="-70"/>
          <w:sz w:val="20"/>
          <w:szCs w:val="20"/>
          <w:lang w:val="fr-FR" w:eastAsia="fr-FR"/>
        </w:rPr>
        <w:object w:dxaOrig="5292" w:dyaOrig="1248" w14:anchorId="4A24BD6F">
          <v:shape id="_x0000_i1038" type="#_x0000_t75" style="width:264.6pt;height:62.4pt" o:ole="">
            <v:imagedata r:id="rId39" o:title=""/>
          </v:shape>
          <o:OLEObject Type="Embed" ProgID="Equation.3" ShapeID="_x0000_i1038" DrawAspect="Content" ObjectID="_1707119882" r:id="rId40"/>
        </w:object>
      </w:r>
      <w:r>
        <w:rPr>
          <w:rFonts w:ascii="Times New Roman" w:hAnsi="Times New Roman"/>
          <w:sz w:val="20"/>
          <w:szCs w:val="20"/>
          <w:lang w:val="fr-FR" w:eastAsia="fr-FR"/>
        </w:rPr>
        <w:t xml:space="preserve">         </w:t>
      </w:r>
      <w:r w:rsidR="00F66C25">
        <w:rPr>
          <w:rFonts w:ascii="Times New Roman" w:hAnsi="Times New Roman"/>
          <w:sz w:val="20"/>
          <w:szCs w:val="20"/>
          <w:lang w:val="fr-FR" w:eastAsia="fr-FR"/>
        </w:rPr>
        <w:t xml:space="preserve">                                            </w:t>
      </w:r>
      <w:r>
        <w:rPr>
          <w:rFonts w:ascii="Times New Roman" w:hAnsi="Times New Roman"/>
          <w:sz w:val="20"/>
          <w:szCs w:val="20"/>
          <w:lang w:val="fr-FR" w:eastAsia="fr-FR"/>
        </w:rPr>
        <w:t>(11)</w:t>
      </w:r>
    </w:p>
    <w:p w14:paraId="6F953525" w14:textId="77777777" w:rsidR="00727D9A" w:rsidRDefault="00727D9A" w:rsidP="00540A4B">
      <w:pPr>
        <w:spacing w:after="0"/>
        <w:jc w:val="both"/>
        <w:rPr>
          <w:rFonts w:ascii="Times New Roman" w:hAnsi="Times New Roman"/>
          <w:sz w:val="20"/>
          <w:szCs w:val="20"/>
        </w:rPr>
      </w:pPr>
    </w:p>
    <w:p w14:paraId="7AD1C55A" w14:textId="77777777" w:rsidR="00F66C25" w:rsidRDefault="00F66C25" w:rsidP="00540A4B">
      <w:pPr>
        <w:spacing w:after="0"/>
        <w:jc w:val="both"/>
        <w:rPr>
          <w:rFonts w:ascii="Times New Roman" w:hAnsi="Times New Roman"/>
          <w:sz w:val="20"/>
          <w:szCs w:val="20"/>
        </w:rPr>
      </w:pPr>
    </w:p>
    <w:p w14:paraId="7576F525" w14:textId="5C7475A3" w:rsidR="003A1A35" w:rsidRDefault="003A1A35" w:rsidP="00540A4B">
      <w:pPr>
        <w:spacing w:after="0"/>
        <w:jc w:val="both"/>
        <w:rPr>
          <w:rFonts w:ascii="Times New Roman" w:hAnsi="Times New Roman"/>
          <w:sz w:val="20"/>
          <w:szCs w:val="20"/>
        </w:rPr>
        <w:sectPr w:rsidR="003A1A35" w:rsidSect="007B550E">
          <w:type w:val="continuous"/>
          <w:pgSz w:w="11906" w:h="16838" w:code="9"/>
          <w:pgMar w:top="1800" w:right="1469" w:bottom="1699" w:left="1440" w:header="709" w:footer="709" w:gutter="0"/>
          <w:pgNumType w:start="164"/>
          <w:cols w:space="708"/>
          <w:docGrid w:linePitch="360"/>
        </w:sectPr>
      </w:pPr>
    </w:p>
    <w:p w14:paraId="6FC39B1B" w14:textId="388944A0" w:rsidR="00540A4B" w:rsidRPr="00540A4B" w:rsidRDefault="00540A4B" w:rsidP="00540A4B">
      <w:pPr>
        <w:spacing w:after="0"/>
        <w:jc w:val="both"/>
        <w:rPr>
          <w:rFonts w:ascii="Times New Roman" w:hAnsi="Times New Roman"/>
          <w:sz w:val="20"/>
          <w:szCs w:val="20"/>
        </w:rPr>
      </w:pPr>
      <w:r w:rsidRPr="00540A4B">
        <w:rPr>
          <w:rFonts w:ascii="Times New Roman" w:hAnsi="Times New Roman"/>
          <w:sz w:val="20"/>
          <w:szCs w:val="20"/>
        </w:rPr>
        <w:t xml:space="preserve">which </w:t>
      </w:r>
      <w:r w:rsidR="003A1A35">
        <w:rPr>
          <w:rFonts w:ascii="Times New Roman" w:hAnsi="Times New Roman"/>
          <w:sz w:val="20"/>
          <w:szCs w:val="20"/>
        </w:rPr>
        <w:t xml:space="preserve"> </w:t>
      </w:r>
      <w:r w:rsidRPr="00540A4B">
        <w:rPr>
          <w:rFonts w:ascii="Times New Roman" w:hAnsi="Times New Roman"/>
          <w:sz w:val="20"/>
          <w:szCs w:val="20"/>
        </w:rPr>
        <w:t>relates</w:t>
      </w:r>
      <w:r w:rsidR="003A1A35">
        <w:rPr>
          <w:rFonts w:ascii="Times New Roman" w:hAnsi="Times New Roman"/>
          <w:sz w:val="20"/>
          <w:szCs w:val="20"/>
        </w:rPr>
        <w:t xml:space="preserve"> </w:t>
      </w:r>
      <w:r w:rsidRPr="00540A4B">
        <w:rPr>
          <w:rFonts w:ascii="Times New Roman" w:hAnsi="Times New Roman"/>
          <w:sz w:val="20"/>
          <w:szCs w:val="20"/>
        </w:rPr>
        <w:t xml:space="preserve"> the </w:t>
      </w:r>
      <w:r w:rsidR="003A1A35">
        <w:rPr>
          <w:rFonts w:ascii="Times New Roman" w:hAnsi="Times New Roman"/>
          <w:sz w:val="20"/>
          <w:szCs w:val="20"/>
        </w:rPr>
        <w:t xml:space="preserve"> </w:t>
      </w:r>
      <w:r w:rsidRPr="00540A4B">
        <w:rPr>
          <w:rFonts w:ascii="Times New Roman" w:hAnsi="Times New Roman"/>
          <w:sz w:val="20"/>
          <w:szCs w:val="20"/>
        </w:rPr>
        <w:t xml:space="preserve">difference in absorbance </w:t>
      </w:r>
      <w:r w:rsidRPr="00727D9A">
        <w:rPr>
          <w:rFonts w:ascii="Times New Roman" w:hAnsi="Times New Roman"/>
          <w:i/>
          <w:iCs/>
          <w:sz w:val="20"/>
          <w:szCs w:val="20"/>
        </w:rPr>
        <w:t>∆A=A</w:t>
      </w:r>
      <w:r w:rsidRPr="00727D9A">
        <w:rPr>
          <w:rFonts w:ascii="Times New Roman" w:hAnsi="Times New Roman"/>
          <w:i/>
          <w:iCs/>
          <w:sz w:val="20"/>
          <w:szCs w:val="20"/>
          <w:vertAlign w:val="subscript"/>
        </w:rPr>
        <w:t>abs</w:t>
      </w:r>
      <w:r w:rsidRPr="00727D9A">
        <w:rPr>
          <w:rFonts w:ascii="Times New Roman" w:hAnsi="Times New Roman"/>
          <w:i/>
          <w:iCs/>
          <w:sz w:val="20"/>
          <w:szCs w:val="20"/>
        </w:rPr>
        <w:t>-A</w:t>
      </w:r>
      <w:r w:rsidRPr="00727D9A">
        <w:rPr>
          <w:rFonts w:ascii="Times New Roman" w:hAnsi="Times New Roman"/>
          <w:i/>
          <w:iCs/>
          <w:sz w:val="20"/>
          <w:szCs w:val="20"/>
          <w:vertAlign w:val="subscript"/>
        </w:rPr>
        <w:t>0</w:t>
      </w:r>
      <w:r w:rsidRPr="00540A4B">
        <w:rPr>
          <w:rFonts w:ascii="Times New Roman" w:hAnsi="Times New Roman"/>
          <w:sz w:val="20"/>
          <w:szCs w:val="20"/>
        </w:rPr>
        <w:t xml:space="preserve"> to the equilibrium constant K. </w:t>
      </w:r>
      <w:r w:rsidRPr="00540A4B">
        <w:rPr>
          <w:rFonts w:ascii="Times New Roman" w:hAnsi="Times New Roman"/>
          <w:iCs/>
          <w:sz w:val="20"/>
          <w:szCs w:val="20"/>
        </w:rPr>
        <w:t xml:space="preserve">The use of a nonlinear regression permits to extract simultaneously the values of </w:t>
      </w:r>
      <w:r w:rsidRPr="00540A4B">
        <w:rPr>
          <w:rFonts w:ascii="Times New Roman" w:hAnsi="Times New Roman"/>
          <w:sz w:val="20"/>
          <w:szCs w:val="20"/>
        </w:rPr>
        <w:t>∆</w:t>
      </w:r>
      <w:r w:rsidRPr="00540A4B">
        <w:rPr>
          <w:rFonts w:ascii="Times New Roman" w:hAnsi="Times New Roman"/>
          <w:sz w:val="20"/>
          <w:szCs w:val="20"/>
        </w:rPr>
        <w:sym w:font="Symbol" w:char="F065"/>
      </w:r>
      <w:r w:rsidRPr="00540A4B">
        <w:rPr>
          <w:rFonts w:ascii="Times New Roman" w:hAnsi="Times New Roman"/>
          <w:sz w:val="20"/>
          <w:szCs w:val="20"/>
          <w:vertAlign w:val="subscript"/>
        </w:rPr>
        <w:t xml:space="preserve"> </w:t>
      </w:r>
      <w:r w:rsidRPr="00540A4B">
        <w:rPr>
          <w:rFonts w:ascii="Times New Roman" w:hAnsi="Times New Roman"/>
          <w:sz w:val="20"/>
          <w:szCs w:val="20"/>
        </w:rPr>
        <w:t xml:space="preserve">and K from the experimental curve of the variation of </w:t>
      </w:r>
      <w:r w:rsidRPr="00727D9A">
        <w:rPr>
          <w:rFonts w:ascii="Times New Roman" w:hAnsi="Times New Roman"/>
          <w:i/>
          <w:iCs/>
          <w:sz w:val="20"/>
          <w:szCs w:val="20"/>
        </w:rPr>
        <w:t>∆A</w:t>
      </w:r>
      <w:r w:rsidRPr="00540A4B">
        <w:rPr>
          <w:rFonts w:ascii="Times New Roman" w:hAnsi="Times New Roman"/>
          <w:sz w:val="20"/>
          <w:szCs w:val="20"/>
        </w:rPr>
        <w:t xml:space="preserve"> versus [CD]. </w:t>
      </w:r>
    </w:p>
    <w:p w14:paraId="4D24E3A2" w14:textId="77777777" w:rsidR="003A1A35" w:rsidRDefault="003A1A35" w:rsidP="003A1A35">
      <w:pPr>
        <w:spacing w:after="0"/>
        <w:rPr>
          <w:rFonts w:ascii="Times New Roman" w:hAnsi="Times New Roman"/>
          <w:noProof/>
          <w:sz w:val="20"/>
          <w:szCs w:val="20"/>
          <w:lang w:bidi="ar-SA"/>
        </w:rPr>
      </w:pPr>
    </w:p>
    <w:p w14:paraId="1B3D8A22" w14:textId="77777777" w:rsidR="003A1A35" w:rsidRPr="00383C16" w:rsidRDefault="003A1A35" w:rsidP="003A1A3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2E8EA62" w14:textId="77777777" w:rsidR="003A1A35" w:rsidRPr="00474ABC" w:rsidRDefault="003A1A35" w:rsidP="003A1A35">
      <w:pPr>
        <w:adjustRightInd w:val="0"/>
        <w:spacing w:after="0"/>
        <w:jc w:val="both"/>
        <w:rPr>
          <w:rFonts w:ascii="Times New Roman" w:hAnsi="Times New Roman"/>
          <w:sz w:val="20"/>
          <w:szCs w:val="20"/>
        </w:rPr>
      </w:pPr>
      <w:r w:rsidRPr="00474ABC">
        <w:rPr>
          <w:rFonts w:ascii="Times New Roman" w:hAnsi="Times New Roman"/>
          <w:sz w:val="20"/>
          <w:szCs w:val="20"/>
        </w:rPr>
        <w:t xml:space="preserve">The UV-Visible spectra of the drug TC-HCl in an aqueous solution at different concentrations at 25 °C are reported on Figure 2(a). </w:t>
      </w:r>
    </w:p>
    <w:p w14:paraId="2BC811F4" w14:textId="77777777" w:rsidR="003A1A35" w:rsidRDefault="003A1A35" w:rsidP="003A1A35">
      <w:pPr>
        <w:spacing w:after="0"/>
        <w:rPr>
          <w:rFonts w:ascii="Times New Roman" w:hAnsi="Times New Roman"/>
          <w:noProof/>
          <w:sz w:val="20"/>
          <w:szCs w:val="20"/>
          <w:lang w:bidi="ar-SA"/>
        </w:rPr>
      </w:pPr>
    </w:p>
    <w:p w14:paraId="72779ACA" w14:textId="77777777" w:rsidR="003A1A35" w:rsidRPr="005706B3" w:rsidRDefault="003A1A35" w:rsidP="003A1A35">
      <w:pPr>
        <w:adjustRightInd w:val="0"/>
        <w:spacing w:after="0"/>
        <w:jc w:val="both"/>
        <w:rPr>
          <w:rFonts w:ascii="Times New Roman" w:eastAsia="Calibri" w:hAnsi="Times New Roman"/>
          <w:sz w:val="20"/>
          <w:szCs w:val="20"/>
          <w:vertAlign w:val="superscript"/>
        </w:rPr>
      </w:pPr>
      <w:r w:rsidRPr="005706B3">
        <w:rPr>
          <w:rFonts w:ascii="Times New Roman" w:hAnsi="Times New Roman"/>
          <w:sz w:val="20"/>
          <w:szCs w:val="20"/>
        </w:rPr>
        <w:t xml:space="preserve">It can be observed that the spectra show three peaks centered at wavelength 190, 227 and 312 nm, corresponding to π-π* and n-π* electronic transitions of the unsaturated C = C bonds of the aromatic ring and the non-binding doublets of the nitrogen and the oxygen atoms [17]. With increasing drug concentration </w:t>
      </w:r>
      <w:r w:rsidRPr="005706B3">
        <w:rPr>
          <w:rFonts w:ascii="Times New Roman" w:eastAsia="Calibri" w:hAnsi="Times New Roman"/>
          <w:sz w:val="20"/>
          <w:szCs w:val="20"/>
        </w:rPr>
        <w:t xml:space="preserve">no significant wavelength shift occurs but </w:t>
      </w:r>
      <w:r w:rsidRPr="005706B3">
        <w:rPr>
          <w:rFonts w:ascii="Times New Roman" w:hAnsi="Times New Roman"/>
          <w:sz w:val="20"/>
          <w:szCs w:val="20"/>
        </w:rPr>
        <w:t xml:space="preserve">the absorbance (A) increases obeying to a typical </w:t>
      </w:r>
      <w:r w:rsidRPr="005706B3">
        <w:rPr>
          <w:rFonts w:ascii="Times New Roman" w:eastAsia="Calibri" w:hAnsi="Times New Roman"/>
          <w:sz w:val="20"/>
          <w:szCs w:val="20"/>
        </w:rPr>
        <w:t>Lambert-Beer law (2</w:t>
      </w:r>
      <w:r w:rsidRPr="005706B3">
        <w:rPr>
          <w:rFonts w:ascii="Times New Roman" w:eastAsia="Calibri" w:hAnsi="Times New Roman"/>
          <w:i/>
          <w:iCs/>
          <w:sz w:val="20"/>
          <w:szCs w:val="20"/>
        </w:rPr>
        <w:t>b</w:t>
      </w:r>
      <w:r w:rsidRPr="005706B3">
        <w:rPr>
          <w:rFonts w:ascii="Times New Roman" w:eastAsia="Calibri" w:hAnsi="Times New Roman"/>
          <w:sz w:val="20"/>
          <w:szCs w:val="20"/>
        </w:rPr>
        <w:t xml:space="preserve">). This means that in this concentration range the solutions are dilute and no </w:t>
      </w:r>
      <w:r w:rsidRPr="005706B3">
        <w:rPr>
          <w:rFonts w:ascii="Times New Roman" w:eastAsia="Calibri" w:hAnsi="Times New Roman"/>
          <w:sz w:val="20"/>
          <w:szCs w:val="20"/>
        </w:rPr>
        <w:t xml:space="preserve">important intermolecular interactions exist as well as any solvent effect. From the linear fitting of the absorbance data as a function of drug concentration, the molar absorption coefficient, </w:t>
      </w:r>
      <w:r w:rsidRPr="005706B3">
        <w:rPr>
          <w:rFonts w:ascii="Times New Roman" w:eastAsia="Calibri" w:hAnsi="Times New Roman"/>
          <w:i/>
          <w:iCs/>
          <w:sz w:val="20"/>
          <w:szCs w:val="20"/>
        </w:rPr>
        <w:t>ε=</w:t>
      </w:r>
      <w:r w:rsidRPr="005706B3">
        <w:rPr>
          <w:rFonts w:ascii="Times New Roman" w:eastAsia="Calibri" w:hAnsi="Times New Roman"/>
          <w:sz w:val="20"/>
          <w:szCs w:val="20"/>
        </w:rPr>
        <w:t>20604</w:t>
      </w:r>
      <w:r w:rsidRPr="005706B3">
        <w:rPr>
          <w:rFonts w:ascii="Times New Roman" w:eastAsia="Calibri" w:hAnsi="Times New Roman"/>
          <w:i/>
          <w:iCs/>
          <w:sz w:val="20"/>
          <w:szCs w:val="20"/>
        </w:rPr>
        <w:t xml:space="preserve"> </w:t>
      </w:r>
      <w:r w:rsidRPr="005706B3">
        <w:rPr>
          <w:rFonts w:ascii="Times New Roman" w:eastAsia="Calibri" w:hAnsi="Times New Roman"/>
          <w:sz w:val="20"/>
          <w:szCs w:val="20"/>
        </w:rPr>
        <w:t>is determined for λ</w:t>
      </w:r>
      <w:r w:rsidRPr="005706B3">
        <w:rPr>
          <w:rFonts w:ascii="Times New Roman" w:eastAsia="Calibri" w:hAnsi="Times New Roman"/>
          <w:sz w:val="20"/>
          <w:szCs w:val="20"/>
          <w:vertAlign w:val="subscript"/>
        </w:rPr>
        <w:t>max</w:t>
      </w:r>
      <w:r w:rsidRPr="005706B3">
        <w:rPr>
          <w:rFonts w:ascii="Times New Roman" w:eastAsia="Calibri" w:hAnsi="Times New Roman"/>
          <w:sz w:val="20"/>
          <w:szCs w:val="20"/>
        </w:rPr>
        <w:t xml:space="preserve">=312nm. The extracted value is comparable to one published by Merino </w:t>
      </w:r>
      <w:r w:rsidRPr="005706B3">
        <w:rPr>
          <w:rFonts w:ascii="Times New Roman" w:eastAsia="Calibri" w:hAnsi="Times New Roman"/>
          <w:i/>
          <w:iCs/>
          <w:sz w:val="20"/>
          <w:szCs w:val="20"/>
        </w:rPr>
        <w:t>et al</w:t>
      </w:r>
      <w:r w:rsidRPr="005706B3">
        <w:rPr>
          <w:rFonts w:ascii="Times New Roman" w:eastAsia="Calibri" w:hAnsi="Times New Roman"/>
          <w:sz w:val="20"/>
          <w:szCs w:val="20"/>
        </w:rPr>
        <w:t xml:space="preserve"> for procaine hydrochloride anesthetic which possesses an identical chromophore as tetracaine, they reported a</w:t>
      </w:r>
      <w:r w:rsidRPr="005706B3">
        <w:rPr>
          <w:rFonts w:ascii="Times New Roman" w:hAnsi="Times New Roman"/>
          <w:sz w:val="20"/>
          <w:szCs w:val="20"/>
        </w:rPr>
        <w:t xml:space="preserve"> value of </w:t>
      </w:r>
      <w:r w:rsidRPr="005706B3">
        <w:rPr>
          <w:rFonts w:ascii="Times New Roman" w:eastAsia="Calibri" w:hAnsi="Times New Roman"/>
          <w:i/>
          <w:iCs/>
          <w:sz w:val="20"/>
          <w:szCs w:val="20"/>
        </w:rPr>
        <w:t>ε=</w:t>
      </w:r>
      <w:r w:rsidRPr="005706B3">
        <w:rPr>
          <w:rFonts w:ascii="Times New Roman" w:hAnsi="Times New Roman"/>
          <w:sz w:val="20"/>
          <w:szCs w:val="20"/>
        </w:rPr>
        <w:t>19825</w:t>
      </w:r>
      <w:r w:rsidRPr="005706B3">
        <w:rPr>
          <w:rFonts w:ascii="Times New Roman" w:eastAsia="Calibri" w:hAnsi="Times New Roman"/>
          <w:sz w:val="20"/>
          <w:szCs w:val="20"/>
        </w:rPr>
        <w:t xml:space="preserve"> for λ</w:t>
      </w:r>
      <w:r w:rsidRPr="005706B3">
        <w:rPr>
          <w:rFonts w:ascii="Times New Roman" w:eastAsia="Calibri" w:hAnsi="Times New Roman"/>
          <w:sz w:val="20"/>
          <w:szCs w:val="20"/>
          <w:vertAlign w:val="subscript"/>
        </w:rPr>
        <w:t>max</w:t>
      </w:r>
      <w:r w:rsidRPr="005706B3">
        <w:rPr>
          <w:rFonts w:ascii="Times New Roman" w:eastAsia="Calibri" w:hAnsi="Times New Roman"/>
          <w:sz w:val="20"/>
          <w:szCs w:val="20"/>
        </w:rPr>
        <w:t>=311nm [18]</w:t>
      </w:r>
      <w:r w:rsidRPr="005706B3">
        <w:rPr>
          <w:rFonts w:ascii="Times New Roman" w:hAnsi="Times New Roman"/>
          <w:sz w:val="20"/>
          <w:szCs w:val="20"/>
        </w:rPr>
        <w:t>.</w:t>
      </w:r>
    </w:p>
    <w:p w14:paraId="717A1D22" w14:textId="77777777" w:rsidR="003A1A35" w:rsidRPr="005706B3" w:rsidRDefault="003A1A35" w:rsidP="003A1A35">
      <w:pPr>
        <w:adjustRightInd w:val="0"/>
        <w:spacing w:after="0"/>
        <w:jc w:val="both"/>
        <w:rPr>
          <w:rFonts w:ascii="Times New Roman" w:eastAsia="Calibri" w:hAnsi="Times New Roman"/>
          <w:sz w:val="20"/>
          <w:szCs w:val="20"/>
        </w:rPr>
      </w:pPr>
    </w:p>
    <w:p w14:paraId="02F5819A" w14:textId="77777777" w:rsidR="003A1A35" w:rsidRDefault="003A1A35" w:rsidP="003A1A35">
      <w:pPr>
        <w:adjustRightInd w:val="0"/>
        <w:spacing w:after="0"/>
        <w:jc w:val="both"/>
        <w:rPr>
          <w:rFonts w:ascii="Times New Roman" w:eastAsia="Calibri" w:hAnsi="Times New Roman"/>
          <w:sz w:val="20"/>
          <w:szCs w:val="20"/>
        </w:rPr>
      </w:pPr>
      <w:r w:rsidRPr="005706B3">
        <w:rPr>
          <w:rFonts w:ascii="Times New Roman" w:eastAsia="Calibri" w:hAnsi="Times New Roman"/>
          <w:sz w:val="20"/>
          <w:szCs w:val="20"/>
        </w:rPr>
        <w:t>Figure 3 shows the UV spectra of aqueous solutions of TC-HCl at a constant concentration of 10</w:t>
      </w:r>
      <w:r w:rsidRPr="005706B3">
        <w:rPr>
          <w:rFonts w:ascii="Times New Roman" w:eastAsia="Calibri" w:hAnsi="Times New Roman"/>
          <w:sz w:val="20"/>
          <w:szCs w:val="20"/>
          <w:vertAlign w:val="superscript"/>
        </w:rPr>
        <w:t>-5</w:t>
      </w:r>
      <w:r w:rsidRPr="005706B3">
        <w:rPr>
          <w:rFonts w:ascii="Times New Roman" w:eastAsia="Calibri" w:hAnsi="Times New Roman"/>
          <w:sz w:val="20"/>
          <w:szCs w:val="20"/>
        </w:rPr>
        <w:t>M in the absence and the presence of β</w:t>
      </w:r>
      <w:r w:rsidRPr="005706B3">
        <w:rPr>
          <w:rFonts w:ascii="Times New Roman" w:eastAsia="Calibri" w:hAnsi="Times New Roman"/>
          <w:i/>
          <w:iCs/>
          <w:sz w:val="20"/>
          <w:szCs w:val="20"/>
        </w:rPr>
        <w:t>-</w:t>
      </w:r>
      <w:r w:rsidRPr="005706B3">
        <w:rPr>
          <w:rFonts w:ascii="Times New Roman" w:eastAsia="Calibri" w:hAnsi="Times New Roman"/>
          <w:sz w:val="20"/>
          <w:szCs w:val="20"/>
        </w:rPr>
        <w:t>CD, at three different temperatures. The analysis of the obtained three spectra shows the presence of isosbestic points which indicates the occurrence of chemical equilibrium between the free and the complexed TC-HCl. For the spectrum at 15°C both absorbance and wavelength variations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A and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λ) are obvious but for the spectra at 25 and 37°C the wavelength shift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λ diminishes considerably with temperature increase. When the same sets of experiments are </w:t>
      </w:r>
      <w:r w:rsidRPr="005706B3">
        <w:rPr>
          <w:rFonts w:ascii="Times New Roman" w:eastAsia="Calibri" w:hAnsi="Times New Roman"/>
          <w:sz w:val="20"/>
          <w:szCs w:val="20"/>
        </w:rPr>
        <w:lastRenderedPageBreak/>
        <w:t>conducted with α-CD and HP</w:t>
      </w:r>
      <w:r w:rsidRPr="005706B3">
        <w:rPr>
          <w:rFonts w:ascii="Times New Roman" w:hAnsi="Times New Roman"/>
          <w:spacing w:val="-2"/>
          <w:sz w:val="20"/>
          <w:szCs w:val="20"/>
        </w:rPr>
        <w:t>β-CD</w:t>
      </w:r>
      <w:r w:rsidRPr="005706B3">
        <w:rPr>
          <w:rFonts w:ascii="Times New Roman" w:eastAsia="Calibri" w:hAnsi="Times New Roman"/>
          <w:sz w:val="20"/>
          <w:szCs w:val="20"/>
        </w:rPr>
        <w:t xml:space="preserve"> instead of β-CD different behaviors are noted </w:t>
      </w:r>
      <w:r w:rsidRPr="005706B3">
        <w:rPr>
          <w:rFonts w:ascii="Times New Roman" w:hAnsi="Times New Roman"/>
          <w:sz w:val="20"/>
          <w:szCs w:val="20"/>
        </w:rPr>
        <w:t>as</w:t>
      </w:r>
      <w:r w:rsidRPr="005706B3">
        <w:rPr>
          <w:rFonts w:ascii="Times New Roman" w:hAnsi="Times New Roman"/>
        </w:rPr>
        <w:t xml:space="preserve"> </w:t>
      </w:r>
      <w:r w:rsidRPr="005706B3">
        <w:rPr>
          <w:rFonts w:ascii="Times New Roman" w:hAnsi="Times New Roman"/>
          <w:sz w:val="20"/>
          <w:szCs w:val="20"/>
        </w:rPr>
        <w:t>shown in Figure 4</w:t>
      </w:r>
      <w:r w:rsidRPr="005706B3">
        <w:rPr>
          <w:rFonts w:ascii="Times New Roman" w:eastAsia="Calibri" w:hAnsi="Times New Roman"/>
          <w:sz w:val="20"/>
          <w:szCs w:val="20"/>
        </w:rPr>
        <w:t>.</w:t>
      </w:r>
    </w:p>
    <w:p w14:paraId="3F79D0A2" w14:textId="5B9298D1" w:rsidR="003A1A35" w:rsidRDefault="003A1A35" w:rsidP="003A1A35">
      <w:pPr>
        <w:spacing w:after="0"/>
        <w:jc w:val="both"/>
        <w:rPr>
          <w:rFonts w:ascii="Times New Roman" w:eastAsia="Calibri" w:hAnsi="Times New Roman"/>
          <w:sz w:val="20"/>
          <w:szCs w:val="20"/>
        </w:rPr>
      </w:pPr>
      <w:r w:rsidRPr="00930CC6">
        <w:rPr>
          <w:rFonts w:ascii="Times New Roman" w:eastAsia="Calibri" w:hAnsi="Times New Roman"/>
          <w:sz w:val="20"/>
          <w:szCs w:val="20"/>
        </w:rPr>
        <w:t xml:space="preserve">Figure 4 shows, as an example, the experiments performed at 25 °C. For α-CD only one isosbestic point is visible at λ=329 nm and only </w:t>
      </w:r>
      <w:r w:rsidRPr="00930CC6">
        <w:rPr>
          <w:rFonts w:ascii="Times New Roman" w:eastAsia="MS Mincho" w:hAnsi="Times New Roman"/>
          <w:sz w:val="20"/>
          <w:szCs w:val="20"/>
        </w:rPr>
        <w:t>absorbance variation Δ</w:t>
      </w:r>
      <w:r w:rsidRPr="00930CC6">
        <w:rPr>
          <w:rFonts w:ascii="Times New Roman" w:eastAsia="Calibri" w:hAnsi="Times New Roman"/>
          <w:sz w:val="20"/>
          <w:szCs w:val="20"/>
        </w:rPr>
        <w:t>A is observed. For HP</w:t>
      </w:r>
      <w:r w:rsidRPr="00930CC6">
        <w:rPr>
          <w:rFonts w:ascii="Times New Roman" w:hAnsi="Times New Roman"/>
          <w:spacing w:val="-2"/>
          <w:sz w:val="20"/>
          <w:szCs w:val="20"/>
        </w:rPr>
        <w:t>β-CD</w:t>
      </w:r>
      <w:r w:rsidRPr="00930CC6">
        <w:rPr>
          <w:rFonts w:ascii="Times New Roman" w:eastAsia="Calibri" w:hAnsi="Times New Roman"/>
          <w:sz w:val="20"/>
          <w:szCs w:val="20"/>
        </w:rPr>
        <w:t xml:space="preserve"> both ΔA</w:t>
      </w:r>
      <w:r w:rsidRPr="00930CC6">
        <w:rPr>
          <w:rFonts w:ascii="Times New Roman" w:eastAsia="MS Mincho" w:hAnsi="Times New Roman"/>
          <w:sz w:val="20"/>
          <w:szCs w:val="20"/>
        </w:rPr>
        <w:t xml:space="preserve"> and Δ</w:t>
      </w:r>
      <w:r w:rsidRPr="00930CC6">
        <w:rPr>
          <w:rFonts w:ascii="Times New Roman" w:eastAsia="Calibri" w:hAnsi="Times New Roman"/>
          <w:sz w:val="20"/>
          <w:szCs w:val="20"/>
        </w:rPr>
        <w:t xml:space="preserve">λ variation are noticeable and many isosbestic points close to ones observed for β-CD appear. </w:t>
      </w:r>
      <w:r w:rsidRPr="00930CC6">
        <w:rPr>
          <w:rFonts w:ascii="Times New Roman" w:hAnsi="Times New Roman"/>
          <w:sz w:val="20"/>
          <w:szCs w:val="20"/>
        </w:rPr>
        <w:t>All these observations underline that an inclusion complexation has occurred between these CDs and the drug [19].</w:t>
      </w:r>
      <w:r w:rsidRPr="00930CC6">
        <w:rPr>
          <w:rFonts w:ascii="Times New Roman" w:hAnsi="Times New Roman"/>
          <w:sz w:val="20"/>
          <w:szCs w:val="20"/>
          <w:vertAlign w:val="superscript"/>
        </w:rPr>
        <w:t xml:space="preserve"> </w:t>
      </w:r>
      <w:r w:rsidRPr="00930CC6">
        <w:rPr>
          <w:rFonts w:ascii="Times New Roman" w:eastAsia="Calibri" w:hAnsi="Times New Roman"/>
          <w:sz w:val="20"/>
          <w:szCs w:val="20"/>
        </w:rPr>
        <w:t xml:space="preserve">These results agree with ones reported by </w:t>
      </w:r>
      <w:r w:rsidRPr="003A1A35">
        <w:rPr>
          <w:rStyle w:val="Emphasis"/>
          <w:rFonts w:ascii="Times New Roman" w:hAnsi="Times New Roman"/>
          <w:b w:val="0"/>
          <w:bCs w:val="0"/>
          <w:i w:val="0"/>
          <w:iCs w:val="0"/>
          <w:sz w:val="20"/>
          <w:szCs w:val="20"/>
          <w:shd w:val="clear" w:color="auto" w:fill="FFFFFF"/>
        </w:rPr>
        <w:t xml:space="preserve">García </w:t>
      </w:r>
      <w:r w:rsidRPr="00930CC6">
        <w:rPr>
          <w:rFonts w:ascii="Times New Roman" w:eastAsia="Calibri" w:hAnsi="Times New Roman"/>
          <w:sz w:val="20"/>
          <w:szCs w:val="20"/>
        </w:rPr>
        <w:t>et al</w:t>
      </w:r>
      <w:r w:rsidRPr="00930CC6">
        <w:rPr>
          <w:rFonts w:ascii="Times New Roman" w:eastAsia="Calibri" w:hAnsi="Times New Roman"/>
          <w:i/>
          <w:iCs/>
          <w:sz w:val="20"/>
          <w:szCs w:val="20"/>
        </w:rPr>
        <w:t xml:space="preserve">. </w:t>
      </w:r>
      <w:r w:rsidRPr="00930CC6">
        <w:rPr>
          <w:rFonts w:ascii="Times New Roman" w:eastAsia="Calibri" w:hAnsi="Times New Roman"/>
          <w:sz w:val="20"/>
          <w:szCs w:val="20"/>
        </w:rPr>
        <w:t>using the fluorimetry method [20].</w:t>
      </w:r>
    </w:p>
    <w:p w14:paraId="4115BB65" w14:textId="77777777" w:rsidR="000C37EC" w:rsidRPr="00930CC6" w:rsidRDefault="000C37EC" w:rsidP="003A1A35">
      <w:pPr>
        <w:spacing w:after="0"/>
        <w:jc w:val="both"/>
        <w:rPr>
          <w:rFonts w:ascii="Times New Roman" w:eastAsia="Calibri" w:hAnsi="Times New Roman"/>
          <w:sz w:val="20"/>
          <w:szCs w:val="20"/>
        </w:rPr>
      </w:pPr>
    </w:p>
    <w:p w14:paraId="628A97B8" w14:textId="2E639CF0" w:rsidR="003A1A35" w:rsidRDefault="003A1A35" w:rsidP="003A1A35">
      <w:pPr>
        <w:adjustRightInd w:val="0"/>
        <w:spacing w:after="0"/>
        <w:jc w:val="both"/>
        <w:rPr>
          <w:rFonts w:ascii="Times New Roman" w:eastAsia="Calibri" w:hAnsi="Times New Roman"/>
          <w:sz w:val="20"/>
          <w:szCs w:val="20"/>
        </w:rPr>
      </w:pPr>
      <w:r w:rsidRPr="0072774E">
        <w:rPr>
          <w:rFonts w:ascii="Times New Roman" w:eastAsia="Calibri" w:hAnsi="Times New Roman"/>
          <w:sz w:val="20"/>
          <w:szCs w:val="20"/>
        </w:rPr>
        <w:t xml:space="preserve">The analysis of the obtained three spectra shows the presence of isosbestic points which indicates the occurrence of chemical equilibrium between the free and the complexed TC-HCl. For the spectrum at 15°C both absorbance and wavelength variations </w:t>
      </w:r>
      <w:r w:rsidRPr="0072774E">
        <w:rPr>
          <w:rFonts w:ascii="Times New Roman" w:eastAsia="Calibri" w:hAnsi="Times New Roman"/>
          <w:sz w:val="20"/>
          <w:szCs w:val="20"/>
        </w:rPr>
        <w:t>(</w:t>
      </w:r>
      <w:r w:rsidRPr="0072774E">
        <w:rPr>
          <w:rFonts w:ascii="Times New Roman" w:eastAsia="MS Mincho" w:hAnsi="Times New Roman"/>
          <w:sz w:val="20"/>
          <w:szCs w:val="20"/>
        </w:rPr>
        <w:t>Δ</w:t>
      </w:r>
      <w:r w:rsidRPr="0072774E">
        <w:rPr>
          <w:rFonts w:ascii="Times New Roman" w:eastAsia="Calibri" w:hAnsi="Times New Roman"/>
          <w:sz w:val="20"/>
          <w:szCs w:val="20"/>
        </w:rPr>
        <w:t xml:space="preserve">A and </w:t>
      </w:r>
      <w:r w:rsidRPr="0072774E">
        <w:rPr>
          <w:rFonts w:ascii="Times New Roman" w:eastAsia="MS Mincho" w:hAnsi="Times New Roman"/>
          <w:sz w:val="20"/>
          <w:szCs w:val="20"/>
        </w:rPr>
        <w:t>Δ</w:t>
      </w:r>
      <w:r w:rsidRPr="0072774E">
        <w:rPr>
          <w:rFonts w:ascii="Times New Roman" w:eastAsia="Calibri" w:hAnsi="Times New Roman"/>
          <w:sz w:val="20"/>
          <w:szCs w:val="20"/>
        </w:rPr>
        <w:t xml:space="preserve">λ) are obvious but for the spectra at 25 and 37°C the wavelength shift </w:t>
      </w:r>
      <w:r w:rsidRPr="0072774E">
        <w:rPr>
          <w:rFonts w:ascii="Times New Roman" w:eastAsia="MS Mincho" w:hAnsi="Times New Roman"/>
          <w:sz w:val="20"/>
          <w:szCs w:val="20"/>
        </w:rPr>
        <w:t>Δ</w:t>
      </w:r>
      <w:r w:rsidRPr="0072774E">
        <w:rPr>
          <w:rFonts w:ascii="Times New Roman" w:eastAsia="Calibri" w:hAnsi="Times New Roman"/>
          <w:sz w:val="20"/>
          <w:szCs w:val="20"/>
        </w:rPr>
        <w:t>λ diminishes considerably with temperature increase. When the same sets of experiments are conducted with α-CD and HP</w:t>
      </w:r>
      <w:r w:rsidRPr="0072774E">
        <w:rPr>
          <w:rFonts w:ascii="Times New Roman" w:hAnsi="Times New Roman"/>
          <w:spacing w:val="-2"/>
          <w:sz w:val="20"/>
          <w:szCs w:val="20"/>
        </w:rPr>
        <w:t>β-CD</w:t>
      </w:r>
      <w:r w:rsidRPr="0072774E">
        <w:rPr>
          <w:rFonts w:ascii="Times New Roman" w:eastAsia="Calibri" w:hAnsi="Times New Roman"/>
          <w:sz w:val="20"/>
          <w:szCs w:val="20"/>
        </w:rPr>
        <w:t xml:space="preserve"> instead of β-CD different behaviors are noted </w:t>
      </w:r>
      <w:r w:rsidRPr="0072774E">
        <w:rPr>
          <w:rFonts w:ascii="Times New Roman" w:hAnsi="Times New Roman"/>
          <w:sz w:val="20"/>
          <w:szCs w:val="20"/>
        </w:rPr>
        <w:t>as</w:t>
      </w:r>
      <w:r w:rsidRPr="0072774E">
        <w:rPr>
          <w:rFonts w:ascii="Times New Roman" w:hAnsi="Times New Roman"/>
        </w:rPr>
        <w:t xml:space="preserve"> </w:t>
      </w:r>
      <w:r w:rsidRPr="0072774E">
        <w:rPr>
          <w:rFonts w:ascii="Times New Roman" w:hAnsi="Times New Roman"/>
          <w:sz w:val="20"/>
          <w:szCs w:val="20"/>
        </w:rPr>
        <w:t>shown in Figure 4</w:t>
      </w:r>
      <w:r w:rsidRPr="0072774E">
        <w:rPr>
          <w:rFonts w:ascii="Times New Roman" w:eastAsia="Calibri" w:hAnsi="Times New Roman"/>
          <w:sz w:val="20"/>
          <w:szCs w:val="20"/>
        </w:rPr>
        <w:t xml:space="preserve">. </w:t>
      </w:r>
    </w:p>
    <w:p w14:paraId="6FA77EC8" w14:textId="21FD7719" w:rsidR="008023D0" w:rsidRPr="003A1A35" w:rsidRDefault="008023D0" w:rsidP="003A1A35">
      <w:pPr>
        <w:adjustRightInd w:val="0"/>
        <w:spacing w:after="0"/>
        <w:jc w:val="both"/>
        <w:rPr>
          <w:rFonts w:ascii="Times New Roman" w:eastAsia="Calibri" w:hAnsi="Times New Roman"/>
          <w:sz w:val="20"/>
          <w:szCs w:val="20"/>
        </w:rPr>
        <w:sectPr w:rsidR="008023D0" w:rsidRPr="003A1A35" w:rsidSect="003A1A35">
          <w:footerReference w:type="even" r:id="rId41"/>
          <w:type w:val="continuous"/>
          <w:pgSz w:w="11906" w:h="16838" w:code="9"/>
          <w:pgMar w:top="1800" w:right="1469" w:bottom="1699" w:left="1440" w:header="709" w:footer="709" w:gutter="0"/>
          <w:pgNumType w:start="164"/>
          <w:cols w:num="2" w:space="403"/>
          <w:docGrid w:linePitch="360"/>
        </w:sectPr>
      </w:pPr>
    </w:p>
    <w:p w14:paraId="40B5CA2E" w14:textId="1BD62472" w:rsidR="000C37EC" w:rsidRDefault="000C37EC" w:rsidP="000C37EC">
      <w:pPr>
        <w:spacing w:after="0"/>
        <w:rPr>
          <w:rFonts w:ascii="Times New Roman" w:hAnsi="Times New Roman"/>
          <w:noProof/>
          <w:sz w:val="20"/>
          <w:szCs w:val="20"/>
          <w:lang w:bidi="ar-SA"/>
        </w:rPr>
      </w:pPr>
    </w:p>
    <w:p w14:paraId="0140F120" w14:textId="3CD90977" w:rsidR="00EB7152" w:rsidRDefault="00A140EE" w:rsidP="000C37EC">
      <w:pPr>
        <w:spacing w:after="0"/>
        <w:rPr>
          <w:rFonts w:ascii="Times New Roman" w:hAnsi="Times New Roman"/>
          <w:noProof/>
          <w:sz w:val="20"/>
          <w:szCs w:val="20"/>
          <w:lang w:bidi="ar-SA"/>
        </w:rPr>
      </w:pPr>
      <w:r>
        <w:rPr>
          <w:rFonts w:ascii="Times New Roman" w:eastAsia="Calibri" w:hAnsi="Times New Roman"/>
          <w:noProof/>
          <w:sz w:val="20"/>
          <w:szCs w:val="20"/>
        </w:rPr>
        <mc:AlternateContent>
          <mc:Choice Requires="wps">
            <w:drawing>
              <wp:anchor distT="0" distB="0" distL="114300" distR="114300" simplePos="0" relativeHeight="251673088" behindDoc="0" locked="0" layoutInCell="1" allowOverlap="1" wp14:anchorId="209C0924" wp14:editId="5B3C7435">
                <wp:simplePos x="0" y="0"/>
                <wp:positionH relativeFrom="column">
                  <wp:posOffset>2887980</wp:posOffset>
                </wp:positionH>
                <wp:positionV relativeFrom="paragraph">
                  <wp:posOffset>154305</wp:posOffset>
                </wp:positionV>
                <wp:extent cx="464820" cy="95250"/>
                <wp:effectExtent l="0" t="0" r="0" b="0"/>
                <wp:wrapNone/>
                <wp:docPr id="24" name="Rectangle 24"/>
                <wp:cNvGraphicFramePr/>
                <a:graphic xmlns:a="http://schemas.openxmlformats.org/drawingml/2006/main">
                  <a:graphicData uri="http://schemas.microsoft.com/office/word/2010/wordprocessingShape">
                    <wps:wsp>
                      <wps:cNvSpPr/>
                      <wps:spPr>
                        <a:xfrm>
                          <a:off x="0" y="0"/>
                          <a:ext cx="46482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99C10" id="Rectangle 24" o:spid="_x0000_s1026" style="position:absolute;margin-left:227.4pt;margin-top:12.15pt;width:36.6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" fillcolor="white [3212]" stroked="f" strokeweight="2pt"/>
            </w:pict>
          </mc:Fallback>
        </mc:AlternateContent>
      </w:r>
    </w:p>
    <w:p w14:paraId="5BFE9772" w14:textId="290EEE4F" w:rsidR="000C37EC" w:rsidRDefault="00EB7152" w:rsidP="00383C16">
      <w:pPr>
        <w:spacing w:after="0"/>
        <w:jc w:val="center"/>
        <w:rPr>
          <w:rFonts w:ascii="Times New Roman" w:hAnsi="Times New Roman"/>
          <w:noProof/>
          <w:sz w:val="20"/>
          <w:szCs w:val="20"/>
          <w:lang w:bidi="ar-SA"/>
        </w:rPr>
      </w:pPr>
      <w:r>
        <w:rPr>
          <w:noProof/>
          <w:sz w:val="20"/>
          <w:szCs w:val="20"/>
        </w:rPr>
        <mc:AlternateContent>
          <mc:Choice Requires="wps">
            <w:drawing>
              <wp:anchor distT="0" distB="0" distL="114300" distR="114300" simplePos="0" relativeHeight="251648512" behindDoc="0" locked="0" layoutInCell="1" allowOverlap="1" wp14:anchorId="6F67B9BE" wp14:editId="08DEE739">
                <wp:simplePos x="0" y="0"/>
                <wp:positionH relativeFrom="column">
                  <wp:posOffset>2806700</wp:posOffset>
                </wp:positionH>
                <wp:positionV relativeFrom="paragraph">
                  <wp:posOffset>33020</wp:posOffset>
                </wp:positionV>
                <wp:extent cx="365760" cy="2514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365760" cy="251460"/>
                        </a:xfrm>
                        <a:prstGeom prst="rect">
                          <a:avLst/>
                        </a:prstGeom>
                        <a:solidFill>
                          <a:schemeClr val="lt1"/>
                        </a:solidFill>
                        <a:ln w="6350">
                          <a:solidFill>
                            <a:schemeClr val="bg1"/>
                          </a:solidFill>
                        </a:ln>
                      </wps:spPr>
                      <wps:txbx>
                        <w:txbxContent>
                          <w:p w14:paraId="579D66A6" w14:textId="4CACE596" w:rsidR="00C73CE7" w:rsidRPr="00C73CE7" w:rsidRDefault="00C73CE7">
                            <w:pPr>
                              <w:rPr>
                                <w:rFonts w:ascii="Times New Roman" w:hAnsi="Times New Roman"/>
                                <w:sz w:val="20"/>
                                <w:szCs w:val="20"/>
                                <w:lang w:val="en-MY"/>
                              </w:rPr>
                            </w:pPr>
                            <w:r w:rsidRPr="00C73CE7">
                              <w:rPr>
                                <w:rFonts w:ascii="Times New Roman" w:hAnsi="Times New Roman"/>
                                <w:sz w:val="20"/>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B9BE" id="Text Box 10" o:spid="_x0000_s1028" type="#_x0000_t202" style="position:absolute;left:0;text-align:left;margin-left:221pt;margin-top:2.6pt;width:28.8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" fillcolor="white [3201]" strokecolor="white [3212]" strokeweight=".5pt">
                <v:textbox>
                  <w:txbxContent>
                    <w:p w14:paraId="579D66A6" w14:textId="4CACE596" w:rsidR="00C73CE7" w:rsidRPr="00C73CE7" w:rsidRDefault="00C73CE7">
                      <w:pPr>
                        <w:rPr>
                          <w:rFonts w:ascii="Times New Roman" w:hAnsi="Times New Roman"/>
                          <w:sz w:val="20"/>
                          <w:szCs w:val="20"/>
                          <w:lang w:val="en-MY"/>
                        </w:rPr>
                      </w:pPr>
                      <w:r w:rsidRPr="00C73CE7">
                        <w:rPr>
                          <w:rFonts w:ascii="Times New Roman" w:hAnsi="Times New Roman"/>
                          <w:sz w:val="20"/>
                          <w:szCs w:val="20"/>
                          <w:lang w:val="en-MY"/>
                        </w:rPr>
                        <w:t>(a)</w:t>
                      </w:r>
                    </w:p>
                  </w:txbxContent>
                </v:textbox>
              </v:shape>
            </w:pict>
          </mc:Fallback>
        </mc:AlternateContent>
      </w:r>
      <w:r>
        <w:rPr>
          <w:noProof/>
          <w:sz w:val="20"/>
          <w:szCs w:val="20"/>
        </w:rPr>
        <mc:AlternateContent>
          <mc:Choice Requires="wps">
            <w:drawing>
              <wp:anchor distT="0" distB="0" distL="114300" distR="114300" simplePos="0" relativeHeight="251668992" behindDoc="0" locked="0" layoutInCell="1" allowOverlap="1" wp14:anchorId="0564ACE1" wp14:editId="76F27D05">
                <wp:simplePos x="0" y="0"/>
                <wp:positionH relativeFrom="column">
                  <wp:posOffset>5147310</wp:posOffset>
                </wp:positionH>
                <wp:positionV relativeFrom="paragraph">
                  <wp:posOffset>5715</wp:posOffset>
                </wp:positionV>
                <wp:extent cx="342900" cy="91440"/>
                <wp:effectExtent l="0" t="0" r="19050" b="22860"/>
                <wp:wrapNone/>
                <wp:docPr id="23" name="Rectangle 23"/>
                <wp:cNvGraphicFramePr/>
                <a:graphic xmlns:a="http://schemas.openxmlformats.org/drawingml/2006/main">
                  <a:graphicData uri="http://schemas.microsoft.com/office/word/2010/wordprocessingShape">
                    <wps:wsp>
                      <wps:cNvSpPr/>
                      <wps:spPr>
                        <a:xfrm>
                          <a:off x="0" y="0"/>
                          <a:ext cx="34290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1ADC7" id="Rectangle 23" o:spid="_x0000_s1026" style="position:absolute;margin-left:405.3pt;margin-top:.45pt;width:27pt;height: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" fillcolor="white [3212]" strokecolor="white [3212]" strokeweight="2pt"/>
            </w:pict>
          </mc:Fallback>
        </mc:AlternateContent>
      </w:r>
      <w:r>
        <w:rPr>
          <w:noProof/>
          <w:sz w:val="20"/>
          <w:szCs w:val="20"/>
        </w:rPr>
        <mc:AlternateContent>
          <mc:Choice Requires="wps">
            <w:drawing>
              <wp:anchor distT="0" distB="0" distL="114300" distR="114300" simplePos="0" relativeHeight="251659776" behindDoc="0" locked="0" layoutInCell="1" allowOverlap="1" wp14:anchorId="16A55F0D" wp14:editId="0609C012">
                <wp:simplePos x="0" y="0"/>
                <wp:positionH relativeFrom="column">
                  <wp:posOffset>4831080</wp:posOffset>
                </wp:positionH>
                <wp:positionV relativeFrom="paragraph">
                  <wp:posOffset>9525</wp:posOffset>
                </wp:positionV>
                <wp:extent cx="342900" cy="266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42900" cy="266700"/>
                        </a:xfrm>
                        <a:prstGeom prst="rect">
                          <a:avLst/>
                        </a:prstGeom>
                        <a:solidFill>
                          <a:schemeClr val="lt1"/>
                        </a:solidFill>
                        <a:ln w="6350">
                          <a:solidFill>
                            <a:schemeClr val="bg1"/>
                          </a:solidFill>
                        </a:ln>
                      </wps:spPr>
                      <wps:txbx>
                        <w:txbxContent>
                          <w:p w14:paraId="276DF736" w14:textId="67D859AD" w:rsidR="00C73CE7" w:rsidRPr="00C73CE7" w:rsidRDefault="00C73CE7" w:rsidP="00C73CE7">
                            <w:pPr>
                              <w:rPr>
                                <w:rFonts w:ascii="Times New Roman" w:hAnsi="Times New Roman"/>
                                <w:sz w:val="20"/>
                                <w:szCs w:val="20"/>
                                <w:lang w:val="en-MY"/>
                              </w:rPr>
                            </w:pPr>
                            <w:r w:rsidRPr="00C73CE7">
                              <w:rPr>
                                <w:rFonts w:ascii="Times New Roman" w:hAnsi="Times New Roman"/>
                                <w:sz w:val="20"/>
                                <w:szCs w:val="20"/>
                                <w:lang w:val="en-MY"/>
                              </w:rPr>
                              <w:t>(</w:t>
                            </w:r>
                            <w:r>
                              <w:rPr>
                                <w:rFonts w:ascii="Times New Roman" w:hAnsi="Times New Roman"/>
                                <w:sz w:val="20"/>
                                <w:szCs w:val="20"/>
                                <w:lang w:val="en-MY"/>
                              </w:rPr>
                              <w:t>b</w:t>
                            </w:r>
                            <w:r w:rsidRPr="00C73CE7">
                              <w:rPr>
                                <w:rFonts w:ascii="Times New Roman" w:hAnsi="Times New Roman"/>
                                <w:sz w:val="20"/>
                                <w:szCs w:val="20"/>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5F0D" id="Text Box 14" o:spid="_x0000_s1029" type="#_x0000_t202" style="position:absolute;left:0;text-align:left;margin-left:380.4pt;margin-top:.75pt;width:2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" fillcolor="white [3201]" strokecolor="white [3212]" strokeweight=".5pt">
                <v:textbox>
                  <w:txbxContent>
                    <w:p w14:paraId="276DF736" w14:textId="67D859AD" w:rsidR="00C73CE7" w:rsidRPr="00C73CE7" w:rsidRDefault="00C73CE7" w:rsidP="00C73CE7">
                      <w:pPr>
                        <w:rPr>
                          <w:rFonts w:ascii="Times New Roman" w:hAnsi="Times New Roman"/>
                          <w:sz w:val="20"/>
                          <w:szCs w:val="20"/>
                          <w:lang w:val="en-MY"/>
                        </w:rPr>
                      </w:pPr>
                      <w:r w:rsidRPr="00C73CE7">
                        <w:rPr>
                          <w:rFonts w:ascii="Times New Roman" w:hAnsi="Times New Roman"/>
                          <w:sz w:val="20"/>
                          <w:szCs w:val="20"/>
                          <w:lang w:val="en-MY"/>
                        </w:rPr>
                        <w:t>(</w:t>
                      </w:r>
                      <w:r>
                        <w:rPr>
                          <w:rFonts w:ascii="Times New Roman" w:hAnsi="Times New Roman"/>
                          <w:sz w:val="20"/>
                          <w:szCs w:val="20"/>
                          <w:lang w:val="en-MY"/>
                        </w:rPr>
                        <w:t>b</w:t>
                      </w:r>
                      <w:r w:rsidRPr="00C73CE7">
                        <w:rPr>
                          <w:rFonts w:ascii="Times New Roman" w:hAnsi="Times New Roman"/>
                          <w:sz w:val="20"/>
                          <w:szCs w:val="20"/>
                          <w:lang w:val="en-MY"/>
                        </w:rPr>
                        <w:t>)</w:t>
                      </w:r>
                    </w:p>
                  </w:txbxContent>
                </v:textbox>
              </v:shape>
            </w:pict>
          </mc:Fallback>
        </mc:AlternateContent>
      </w:r>
    </w:p>
    <w:p w14:paraId="202935E8" w14:textId="53298C03" w:rsidR="003A1A35" w:rsidRDefault="00A33084" w:rsidP="000C37EC">
      <w:pPr>
        <w:spacing w:after="0"/>
        <w:jc w:val="center"/>
        <w:rPr>
          <w:rFonts w:ascii="Times New Roman" w:hAnsi="Times New Roman"/>
          <w:noProof/>
          <w:sz w:val="20"/>
          <w:szCs w:val="20"/>
          <w:lang w:bidi="ar-SA"/>
        </w:rPr>
      </w:pPr>
      <w:r>
        <w:rPr>
          <w:noProof/>
          <w:sz w:val="20"/>
          <w:szCs w:val="20"/>
        </w:rPr>
        <mc:AlternateContent>
          <mc:Choice Requires="wps">
            <w:drawing>
              <wp:anchor distT="0" distB="0" distL="114300" distR="114300" simplePos="0" relativeHeight="251640832" behindDoc="0" locked="0" layoutInCell="1" allowOverlap="1" wp14:anchorId="71A6DFB2" wp14:editId="0E28F7C0">
                <wp:simplePos x="0" y="0"/>
                <wp:positionH relativeFrom="column">
                  <wp:posOffset>2674620</wp:posOffset>
                </wp:positionH>
                <wp:positionV relativeFrom="paragraph">
                  <wp:posOffset>9525</wp:posOffset>
                </wp:positionV>
                <wp:extent cx="662940" cy="838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07AE" id="Rectangle 15" o:spid="_x0000_s1026" style="position:absolute;margin-left:210.6pt;margin-top:.75pt;width:52.2pt;height: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" fillcolor="white [3212]" strokecolor="white [3212]" strokeweight="2pt"/>
            </w:pict>
          </mc:Fallback>
        </mc:AlternateContent>
      </w:r>
    </w:p>
    <w:p w14:paraId="63387EEC" w14:textId="44EDFE29" w:rsidR="003A1A35" w:rsidRPr="00383C16" w:rsidRDefault="003A1A35" w:rsidP="00383C16">
      <w:pPr>
        <w:spacing w:after="0"/>
        <w:jc w:val="center"/>
        <w:rPr>
          <w:rFonts w:ascii="Times New Roman" w:hAnsi="Times New Roman"/>
          <w:noProof/>
          <w:sz w:val="20"/>
          <w:szCs w:val="20"/>
          <w:lang w:bidi="ar-SA"/>
        </w:rPr>
      </w:pPr>
    </w:p>
    <w:p w14:paraId="4ED0B843" w14:textId="539DC53D" w:rsidR="006768E9" w:rsidRDefault="006768E9" w:rsidP="00474ABC">
      <w:pPr>
        <w:spacing w:after="0"/>
        <w:jc w:val="both"/>
        <w:rPr>
          <w:rFonts w:ascii="Times New Roman" w:hAnsi="Times New Roman"/>
          <w:noProof/>
          <w:sz w:val="20"/>
          <w:szCs w:val="20"/>
          <w:lang w:bidi="ar-SA"/>
        </w:rPr>
      </w:pPr>
    </w:p>
    <w:p w14:paraId="59CF5856" w14:textId="4B60BCCC" w:rsidR="005706B3" w:rsidRPr="005706B3" w:rsidRDefault="00C73CE7" w:rsidP="00552A44">
      <w:pPr>
        <w:adjustRightInd w:val="0"/>
        <w:spacing w:after="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34688" behindDoc="0" locked="0" layoutInCell="1" allowOverlap="1" wp14:anchorId="6209BD38" wp14:editId="2F8F99F3">
                <wp:simplePos x="0" y="0"/>
                <wp:positionH relativeFrom="column">
                  <wp:posOffset>4922520</wp:posOffset>
                </wp:positionH>
                <wp:positionV relativeFrom="paragraph">
                  <wp:posOffset>326390</wp:posOffset>
                </wp:positionV>
                <wp:extent cx="556260" cy="83820"/>
                <wp:effectExtent l="0" t="0" r="15240" b="11430"/>
                <wp:wrapSquare wrapText="bothSides"/>
                <wp:docPr id="9" name="Rectangle 9"/>
                <wp:cNvGraphicFramePr/>
                <a:graphic xmlns:a="http://schemas.openxmlformats.org/drawingml/2006/main">
                  <a:graphicData uri="http://schemas.microsoft.com/office/word/2010/wordprocessingShape">
                    <wps:wsp>
                      <wps:cNvSpPr/>
                      <wps:spPr>
                        <a:xfrm flipV="1">
                          <a:off x="0" y="0"/>
                          <a:ext cx="55626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EDBBB" id="Rectangle 9" o:spid="_x0000_s1026" style="position:absolute;margin-left:387.6pt;margin-top:25.7pt;width:43.8pt;height:6.6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" fillcolor="white [3212]" strokecolor="white [3212]" strokeweight="2pt">
                <w10:wrap type="square"/>
              </v:rect>
            </w:pict>
          </mc:Fallback>
        </mc:AlternateContent>
      </w:r>
      <w:r w:rsidR="001D6F14">
        <w:rPr>
          <w:rFonts w:ascii="Times New Roman" w:hAnsi="Times New Roman"/>
          <w:noProof/>
          <w:sz w:val="20"/>
          <w:szCs w:val="20"/>
          <w:lang w:bidi="ar-SA"/>
        </w:rPr>
        <mc:AlternateContent>
          <mc:Choice Requires="wps">
            <w:drawing>
              <wp:anchor distT="0" distB="0" distL="114300" distR="114300" simplePos="0" relativeHeight="251633664" behindDoc="0" locked="0" layoutInCell="1" allowOverlap="1" wp14:anchorId="1C8BF0C3" wp14:editId="3311B993">
                <wp:simplePos x="0" y="0"/>
                <wp:positionH relativeFrom="column">
                  <wp:posOffset>5387340</wp:posOffset>
                </wp:positionH>
                <wp:positionV relativeFrom="paragraph">
                  <wp:posOffset>336550</wp:posOffset>
                </wp:positionV>
                <wp:extent cx="114300" cy="350520"/>
                <wp:effectExtent l="0" t="0" r="19050" b="11430"/>
                <wp:wrapSquare wrapText="bothSides"/>
                <wp:docPr id="7" name="Rectangle 7"/>
                <wp:cNvGraphicFramePr/>
                <a:graphic xmlns:a="http://schemas.openxmlformats.org/drawingml/2006/main">
                  <a:graphicData uri="http://schemas.microsoft.com/office/word/2010/wordprocessingShape">
                    <wps:wsp>
                      <wps:cNvSpPr/>
                      <wps:spPr>
                        <a:xfrm flipV="1">
                          <a:off x="0" y="0"/>
                          <a:ext cx="11430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412497" id="Rectangle 7" o:spid="_x0000_s1026" style="position:absolute;margin-left:424.2pt;margin-top:26.5pt;width:9pt;height:27.6pt;flip:y;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" fillcolor="white [3212]" strokecolor="white [3212]" strokeweight="2pt">
                <w10:wrap type="square"/>
              </v:rect>
            </w:pict>
          </mc:Fallback>
        </mc:AlternateContent>
      </w:r>
      <w:r w:rsidR="001D6F14">
        <w:rPr>
          <w:rFonts w:ascii="Times New Roman" w:hAnsi="Times New Roman"/>
          <w:noProof/>
          <w:sz w:val="20"/>
          <w:szCs w:val="20"/>
          <w:lang w:bidi="ar-SA"/>
        </w:rPr>
        <mc:AlternateContent>
          <mc:Choice Requires="wps">
            <w:drawing>
              <wp:anchor distT="0" distB="0" distL="114300" distR="114300" simplePos="0" relativeHeight="251632640" behindDoc="0" locked="0" layoutInCell="1" allowOverlap="1" wp14:anchorId="4E2CD7B4" wp14:editId="4A08FC04">
                <wp:simplePos x="0" y="0"/>
                <wp:positionH relativeFrom="column">
                  <wp:posOffset>3192780</wp:posOffset>
                </wp:positionH>
                <wp:positionV relativeFrom="paragraph">
                  <wp:posOffset>336550</wp:posOffset>
                </wp:positionV>
                <wp:extent cx="137160" cy="350520"/>
                <wp:effectExtent l="0" t="0" r="15240" b="11430"/>
                <wp:wrapSquare wrapText="bothSides"/>
                <wp:docPr id="8" name="Rectangle 8"/>
                <wp:cNvGraphicFramePr/>
                <a:graphic xmlns:a="http://schemas.openxmlformats.org/drawingml/2006/main">
                  <a:graphicData uri="http://schemas.microsoft.com/office/word/2010/wordprocessingShape">
                    <wps:wsp>
                      <wps:cNvSpPr/>
                      <wps:spPr>
                        <a:xfrm flipV="1">
                          <a:off x="0" y="0"/>
                          <a:ext cx="137160" cy="35052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2CE00" id="Rectangle 8" o:spid="_x0000_s1026" style="position:absolute;margin-left:251.4pt;margin-top:26.5pt;width:10.8pt;height:27.6pt;flip:y;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" fillcolor="#4f81bd [3204]" strokecolor="white [3212]" strokeweight="2pt">
                <w10:wrap type="square"/>
              </v:rect>
            </w:pict>
          </mc:Fallback>
        </mc:AlternateContent>
      </w:r>
      <w:r w:rsidR="001D6F14">
        <w:rPr>
          <w:noProof/>
          <w:sz w:val="20"/>
          <w:szCs w:val="20"/>
        </w:rPr>
        <mc:AlternateContent>
          <mc:Choice Requires="wps">
            <w:drawing>
              <wp:anchor distT="0" distB="0" distL="114300" distR="114300" simplePos="0" relativeHeight="251631616" behindDoc="0" locked="0" layoutInCell="1" allowOverlap="1" wp14:anchorId="05078C8E" wp14:editId="55B90775">
                <wp:simplePos x="0" y="0"/>
                <wp:positionH relativeFrom="column">
                  <wp:posOffset>2804160</wp:posOffset>
                </wp:positionH>
                <wp:positionV relativeFrom="paragraph">
                  <wp:posOffset>549910</wp:posOffset>
                </wp:positionV>
                <wp:extent cx="329184" cy="256032"/>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9184" cy="256032"/>
                        </a:xfrm>
                        <a:prstGeom prst="rect">
                          <a:avLst/>
                        </a:prstGeom>
                        <a:solidFill>
                          <a:schemeClr val="lt1"/>
                        </a:solidFill>
                        <a:ln w="6350">
                          <a:noFill/>
                        </a:ln>
                      </wps:spPr>
                      <wps:txbx>
                        <w:txbxContent>
                          <w:p w14:paraId="48349AA7" w14:textId="77777777" w:rsidR="009D7875" w:rsidRPr="001179D8" w:rsidRDefault="009D7875" w:rsidP="009D7875">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8C8E" id="Text Box 6" o:spid="_x0000_s1030" type="#_x0000_t202" style="position:absolute;margin-left:220.8pt;margin-top:43.3pt;width:25.9pt;height:20.1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" fillcolor="white [3201]" stroked="f" strokeweight=".5pt">
                <v:textbox>
                  <w:txbxContent>
                    <w:p w14:paraId="48349AA7" w14:textId="77777777" w:rsidR="009D7875" w:rsidRPr="001179D8" w:rsidRDefault="009D7875" w:rsidP="009D7875">
                      <w:pPr>
                        <w:rPr>
                          <w:rFonts w:ascii="Times New Roman" w:hAnsi="Times New Roman"/>
                          <w:sz w:val="20"/>
                          <w:szCs w:val="20"/>
                        </w:rPr>
                      </w:pPr>
                      <w:r>
                        <w:rPr>
                          <w:rFonts w:ascii="Times New Roman" w:hAnsi="Times New Roman"/>
                          <w:sz w:val="20"/>
                          <w:szCs w:val="20"/>
                        </w:rPr>
                        <w:t>(a)</w:t>
                      </w:r>
                    </w:p>
                  </w:txbxContent>
                </v:textbox>
                <w10:wrap type="square"/>
              </v:shape>
            </w:pict>
          </mc:Fallback>
        </mc:AlternateContent>
      </w:r>
    </w:p>
    <w:p w14:paraId="027CCCC3" w14:textId="692B2F2F" w:rsidR="005706B3" w:rsidRPr="005706B3" w:rsidRDefault="00875DC0" w:rsidP="001179D8">
      <w:pPr>
        <w:adjustRightInd w:val="0"/>
        <w:spacing w:after="0"/>
        <w:jc w:val="center"/>
        <w:rPr>
          <w:rFonts w:ascii="Times New Roman" w:hAnsi="Times New Roman"/>
          <w:sz w:val="20"/>
          <w:szCs w:val="20"/>
        </w:rPr>
      </w:pPr>
      <w:r>
        <w:rPr>
          <w:noProof/>
          <w:sz w:val="20"/>
          <w:szCs w:val="20"/>
        </w:rPr>
        <mc:AlternateContent>
          <mc:Choice Requires="wps">
            <w:drawing>
              <wp:anchor distT="0" distB="0" distL="114300" distR="114300" simplePos="0" relativeHeight="251661312" behindDoc="0" locked="0" layoutInCell="1" allowOverlap="1" wp14:anchorId="39761BA9" wp14:editId="366003D3">
                <wp:simplePos x="0" y="0"/>
                <wp:positionH relativeFrom="column">
                  <wp:posOffset>4823460</wp:posOffset>
                </wp:positionH>
                <wp:positionV relativeFrom="paragraph">
                  <wp:posOffset>160655</wp:posOffset>
                </wp:positionV>
                <wp:extent cx="662940" cy="83820"/>
                <wp:effectExtent l="0" t="0" r="22860" b="11430"/>
                <wp:wrapNone/>
                <wp:docPr id="18" name="Rectangle 18"/>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4D78B" id="Rectangle 18" o:spid="_x0000_s1026" style="position:absolute;margin-left:379.8pt;margin-top:12.65pt;width:52.2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" fillcolor="white [3212]" strokecolor="white [3212]" strokeweight="2pt"/>
            </w:pict>
          </mc:Fallback>
        </mc:AlternateContent>
      </w:r>
      <w:r w:rsidR="001179D8">
        <w:rPr>
          <w:noProof/>
          <w:sz w:val="20"/>
          <w:szCs w:val="20"/>
        </w:rPr>
        <mc:AlternateContent>
          <mc:Choice Requires="wps">
            <w:drawing>
              <wp:anchor distT="0" distB="0" distL="114300" distR="114300" simplePos="0" relativeHeight="251630592" behindDoc="0" locked="0" layoutInCell="1" allowOverlap="1" wp14:anchorId="37196F4C" wp14:editId="1C7F73D8">
                <wp:simplePos x="0" y="0"/>
                <wp:positionH relativeFrom="column">
                  <wp:posOffset>2727960</wp:posOffset>
                </wp:positionH>
                <wp:positionV relativeFrom="paragraph">
                  <wp:posOffset>221615</wp:posOffset>
                </wp:positionV>
                <wp:extent cx="91440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noFill/>
                        </a:ln>
                      </wps:spPr>
                      <wps:txbx>
                        <w:txbxContent>
                          <w:p w14:paraId="437DA402" w14:textId="55F20138" w:rsidR="001179D8" w:rsidRPr="001179D8" w:rsidRDefault="001179D8">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96F4C" id="Text Box 3" o:spid="_x0000_s1031" type="#_x0000_t202" style="position:absolute;left:0;text-align:left;margin-left:214.8pt;margin-top:17.45pt;width:1in;height:20.4pt;z-index:251630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" fillcolor="white [3201]" stroked="f" strokeweight=".5pt">
                <v:textbox>
                  <w:txbxContent>
                    <w:p w14:paraId="437DA402" w14:textId="55F20138" w:rsidR="001179D8" w:rsidRPr="001179D8" w:rsidRDefault="001179D8">
                      <w:pPr>
                        <w:rPr>
                          <w:rFonts w:ascii="Times New Roman" w:hAnsi="Times New Roman"/>
                          <w:sz w:val="20"/>
                          <w:szCs w:val="20"/>
                        </w:rPr>
                      </w:pPr>
                      <w:r>
                        <w:rPr>
                          <w:rFonts w:ascii="Times New Roman" w:hAnsi="Times New Roman"/>
                          <w:sz w:val="20"/>
                          <w:szCs w:val="20"/>
                        </w:rPr>
                        <w:t>(a)</w:t>
                      </w:r>
                    </w:p>
                  </w:txbxContent>
                </v:textbox>
              </v:shape>
            </w:pict>
          </mc:Fallback>
        </mc:AlternateContent>
      </w:r>
      <w:r w:rsidR="005706B3" w:rsidRPr="00875DC0">
        <w:rPr>
          <w:rFonts w:ascii="Times New Roman" w:eastAsia="Calibri" w:hAnsi="Times New Roman"/>
          <w:noProof/>
          <w:sz w:val="20"/>
          <w:szCs w:val="20"/>
        </w:rPr>
        <w:drawing>
          <wp:anchor distT="0" distB="0" distL="114300" distR="114300" simplePos="0" relativeHeight="251641856" behindDoc="0" locked="0" layoutInCell="1" allowOverlap="1" wp14:anchorId="5840374F" wp14:editId="608BF62A">
            <wp:simplePos x="0" y="0"/>
            <wp:positionH relativeFrom="column">
              <wp:posOffset>563880</wp:posOffset>
            </wp:positionH>
            <wp:positionV relativeFrom="paragraph">
              <wp:posOffset>635</wp:posOffset>
            </wp:positionV>
            <wp:extent cx="5128260" cy="2232660"/>
            <wp:effectExtent l="0" t="0" r="0" b="0"/>
            <wp:wrapSquare wrapText="bothSides"/>
            <wp:docPr id="1" name="Picture 1" descr="Description: GraphB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GraphB2"/>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8260" cy="2232660"/>
                    </a:xfrm>
                    <a:prstGeom prst="rect">
                      <a:avLst/>
                    </a:prstGeom>
                    <a:noFill/>
                    <a:ln>
                      <a:noFill/>
                    </a:ln>
                  </pic:spPr>
                </pic:pic>
              </a:graphicData>
            </a:graphic>
          </wp:anchor>
        </w:drawing>
      </w:r>
    </w:p>
    <w:p w14:paraId="32C16A63" w14:textId="5B0A74E9" w:rsidR="00875DC0" w:rsidRDefault="00875DC0" w:rsidP="001179D8">
      <w:pPr>
        <w:adjustRightInd w:val="0"/>
        <w:spacing w:after="0"/>
        <w:ind w:left="993" w:hanging="993"/>
        <w:jc w:val="both"/>
        <w:rPr>
          <w:rFonts w:ascii="Times New Roman" w:hAnsi="Times New Roman"/>
          <w:sz w:val="20"/>
          <w:szCs w:val="20"/>
        </w:rPr>
      </w:pPr>
    </w:p>
    <w:p w14:paraId="47DD2557" w14:textId="05BFE261" w:rsidR="00875DC0" w:rsidRDefault="00875DC0" w:rsidP="001179D8">
      <w:pPr>
        <w:adjustRightInd w:val="0"/>
        <w:spacing w:after="0"/>
        <w:ind w:left="993" w:hanging="993"/>
        <w:jc w:val="both"/>
        <w:rPr>
          <w:rFonts w:ascii="Times New Roman" w:hAnsi="Times New Roman"/>
          <w:sz w:val="20"/>
          <w:szCs w:val="20"/>
        </w:rPr>
      </w:pPr>
    </w:p>
    <w:p w14:paraId="1797A62D" w14:textId="36F1AE1B" w:rsidR="00875DC0" w:rsidRDefault="00875DC0" w:rsidP="001179D8">
      <w:pPr>
        <w:adjustRightInd w:val="0"/>
        <w:spacing w:after="0"/>
        <w:ind w:left="993" w:hanging="993"/>
        <w:jc w:val="both"/>
        <w:rPr>
          <w:rFonts w:ascii="Times New Roman" w:hAnsi="Times New Roman"/>
          <w:sz w:val="20"/>
          <w:szCs w:val="20"/>
        </w:rPr>
      </w:pPr>
    </w:p>
    <w:p w14:paraId="2917D989" w14:textId="77777777" w:rsidR="00875DC0" w:rsidRDefault="00875DC0" w:rsidP="001179D8">
      <w:pPr>
        <w:adjustRightInd w:val="0"/>
        <w:spacing w:after="0"/>
        <w:ind w:left="993" w:hanging="993"/>
        <w:jc w:val="both"/>
        <w:rPr>
          <w:rFonts w:ascii="Times New Roman" w:hAnsi="Times New Roman"/>
          <w:sz w:val="20"/>
          <w:szCs w:val="20"/>
        </w:rPr>
      </w:pPr>
    </w:p>
    <w:p w14:paraId="2BADC8FD" w14:textId="7C84F0A3" w:rsidR="00875DC0" w:rsidRDefault="00875DC0" w:rsidP="001179D8">
      <w:pPr>
        <w:adjustRightInd w:val="0"/>
        <w:spacing w:after="0"/>
        <w:ind w:left="993" w:hanging="993"/>
        <w:jc w:val="both"/>
        <w:rPr>
          <w:rFonts w:ascii="Times New Roman" w:hAnsi="Times New Roman"/>
          <w:sz w:val="20"/>
          <w:szCs w:val="20"/>
        </w:rPr>
      </w:pPr>
    </w:p>
    <w:p w14:paraId="44837A93" w14:textId="77777777" w:rsidR="00875DC0" w:rsidRDefault="00875DC0" w:rsidP="001179D8">
      <w:pPr>
        <w:adjustRightInd w:val="0"/>
        <w:spacing w:after="0"/>
        <w:ind w:left="993" w:hanging="993"/>
        <w:jc w:val="both"/>
        <w:rPr>
          <w:rFonts w:ascii="Times New Roman" w:hAnsi="Times New Roman"/>
          <w:sz w:val="20"/>
          <w:szCs w:val="20"/>
        </w:rPr>
      </w:pPr>
    </w:p>
    <w:p w14:paraId="28394455" w14:textId="77777777" w:rsidR="000C37EC" w:rsidRDefault="000C37EC" w:rsidP="00552A44">
      <w:pPr>
        <w:adjustRightInd w:val="0"/>
        <w:spacing w:after="0"/>
        <w:ind w:left="810" w:hanging="810"/>
        <w:jc w:val="both"/>
        <w:rPr>
          <w:rFonts w:ascii="Times New Roman" w:hAnsi="Times New Roman"/>
          <w:sz w:val="20"/>
          <w:szCs w:val="20"/>
        </w:rPr>
      </w:pPr>
    </w:p>
    <w:p w14:paraId="7E04F0CF" w14:textId="43A3BE72" w:rsidR="005706B3" w:rsidRPr="005706B3" w:rsidRDefault="005706B3" w:rsidP="00552A44">
      <w:pPr>
        <w:adjustRightInd w:val="0"/>
        <w:spacing w:after="0"/>
        <w:ind w:left="810" w:hanging="810"/>
        <w:jc w:val="both"/>
        <w:rPr>
          <w:rFonts w:ascii="Times New Roman" w:hAnsi="Times New Roman"/>
          <w:sz w:val="20"/>
          <w:szCs w:val="20"/>
        </w:rPr>
      </w:pPr>
      <w:r w:rsidRPr="005706B3">
        <w:rPr>
          <w:rFonts w:ascii="Times New Roman" w:hAnsi="Times New Roman"/>
          <w:sz w:val="20"/>
          <w:szCs w:val="20"/>
        </w:rPr>
        <w:t xml:space="preserve">Figure 2. </w:t>
      </w:r>
      <w:r w:rsidRPr="005706B3">
        <w:rPr>
          <w:rFonts w:ascii="Times New Roman" w:hAnsi="Times New Roman"/>
          <w:sz w:val="20"/>
          <w:szCs w:val="20"/>
        </w:rPr>
        <w:tab/>
        <w:t xml:space="preserve">(a) UV-Visible spectra of aqueous solution of TC-HCl for different concentrations at 25°C.         </w:t>
      </w:r>
      <w:r w:rsidRPr="005706B3">
        <w:rPr>
          <w:rFonts w:ascii="Times New Roman" w:hAnsi="Times New Roman"/>
          <w:spacing w:val="-2"/>
          <w:sz w:val="20"/>
          <w:szCs w:val="20"/>
        </w:rPr>
        <w:t>1) 3.43</w:t>
      </w:r>
      <w:r w:rsidRPr="005706B3">
        <w:rPr>
          <w:rFonts w:ascii="Times New Roman" w:hAnsi="Times New Roman"/>
          <w:sz w:val="20"/>
          <w:szCs w:val="20"/>
        </w:rPr>
        <w:t>x</w:t>
      </w:r>
      <w:r w:rsidRPr="005706B3">
        <w:rPr>
          <w:rFonts w:ascii="Times New Roman" w:hAnsi="Times New Roman"/>
          <w:spacing w:val="-2"/>
          <w:sz w:val="20"/>
          <w:szCs w:val="20"/>
        </w:rPr>
        <w:t>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M, 2) 5.52</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 xml:space="preserve"> M, 3) 9.2</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 xml:space="preserve"> M, 4) 1.48</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M, 5) 3.1</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 xml:space="preserve"> M, 6) 5</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M</w:t>
      </w:r>
      <w:r w:rsidRPr="005706B3">
        <w:rPr>
          <w:rFonts w:ascii="Times New Roman" w:hAnsi="Times New Roman"/>
          <w:sz w:val="20"/>
          <w:szCs w:val="20"/>
        </w:rPr>
        <w:t>.</w:t>
      </w:r>
      <w:r w:rsidR="00552A44">
        <w:rPr>
          <w:rFonts w:ascii="Times New Roman" w:hAnsi="Times New Roman"/>
          <w:sz w:val="20"/>
          <w:szCs w:val="20"/>
        </w:rPr>
        <w:t xml:space="preserve"> </w:t>
      </w:r>
      <w:r w:rsidRPr="005706B3">
        <w:rPr>
          <w:rFonts w:ascii="Times New Roman" w:hAnsi="Times New Roman"/>
          <w:sz w:val="20"/>
          <w:szCs w:val="20"/>
        </w:rPr>
        <w:t>(b) Absorbance as function of concentration for different wavelengths</w:t>
      </w:r>
      <w:r w:rsidRPr="005706B3">
        <w:rPr>
          <w:rFonts w:ascii="Times New Roman" w:hAnsi="Times New Roman"/>
          <w:sz w:val="20"/>
          <w:szCs w:val="20"/>
          <w:rtl/>
        </w:rPr>
        <w:t>.</w:t>
      </w:r>
    </w:p>
    <w:p w14:paraId="1E974415" w14:textId="22A808D3" w:rsidR="005706B3" w:rsidRPr="005706B3" w:rsidRDefault="005706B3" w:rsidP="001179D8">
      <w:pPr>
        <w:adjustRightInd w:val="0"/>
        <w:spacing w:after="0"/>
        <w:jc w:val="center"/>
        <w:rPr>
          <w:rFonts w:ascii="Times New Roman" w:hAnsi="Times New Roman"/>
          <w:sz w:val="20"/>
          <w:szCs w:val="20"/>
          <w:lang w:val="en-MY"/>
        </w:rPr>
      </w:pPr>
    </w:p>
    <w:p w14:paraId="2C1B8CCE" w14:textId="77777777" w:rsidR="005706B3" w:rsidRPr="005706B3" w:rsidRDefault="005706B3" w:rsidP="001179D8">
      <w:pPr>
        <w:adjustRightInd w:val="0"/>
        <w:spacing w:after="0"/>
        <w:jc w:val="center"/>
        <w:rPr>
          <w:rFonts w:ascii="Times New Roman" w:hAnsi="Times New Roman"/>
          <w:sz w:val="20"/>
          <w:szCs w:val="20"/>
          <w:lang w:val="en-MY"/>
        </w:rPr>
      </w:pPr>
    </w:p>
    <w:p w14:paraId="37F59700" w14:textId="52572FE6" w:rsidR="005706B3" w:rsidRPr="005706B3" w:rsidRDefault="005706B3" w:rsidP="001179D8">
      <w:pPr>
        <w:adjustRightInd w:val="0"/>
        <w:spacing w:after="0"/>
        <w:jc w:val="center"/>
        <w:rPr>
          <w:rFonts w:ascii="Times New Roman" w:hAnsi="Times New Roman"/>
          <w:sz w:val="20"/>
          <w:szCs w:val="20"/>
          <w:lang w:val="en-MY"/>
        </w:rPr>
      </w:pPr>
    </w:p>
    <w:p w14:paraId="0D1580E0" w14:textId="77777777" w:rsidR="00552A44" w:rsidRPr="0072774E" w:rsidRDefault="00552A44" w:rsidP="0072774E">
      <w:pPr>
        <w:adjustRightInd w:val="0"/>
        <w:spacing w:after="0"/>
        <w:jc w:val="both"/>
        <w:rPr>
          <w:rFonts w:ascii="Times New Roman" w:eastAsia="Calibri" w:hAnsi="Times New Roman"/>
          <w:sz w:val="20"/>
          <w:szCs w:val="20"/>
        </w:rPr>
      </w:pPr>
    </w:p>
    <w:p w14:paraId="7072A997" w14:textId="409AC498" w:rsidR="0072774E" w:rsidRPr="0072774E" w:rsidRDefault="0072774E" w:rsidP="0072774E">
      <w:pPr>
        <w:adjustRightInd w:val="0"/>
        <w:spacing w:after="0"/>
        <w:jc w:val="both"/>
        <w:rPr>
          <w:rFonts w:ascii="Times New Roman" w:eastAsia="Calibri" w:hAnsi="Times New Roman"/>
          <w:sz w:val="20"/>
          <w:szCs w:val="20"/>
        </w:rPr>
      </w:pPr>
    </w:p>
    <w:p w14:paraId="5A0C6A92" w14:textId="77777777" w:rsidR="0072774E" w:rsidRDefault="00552A44" w:rsidP="0072774E">
      <w:pPr>
        <w:adjustRightInd w:val="0"/>
        <w:spacing w:after="120"/>
        <w:jc w:val="center"/>
        <w:rPr>
          <w:b/>
          <w:bCs/>
          <w:sz w:val="20"/>
          <w:szCs w:val="20"/>
        </w:rPr>
      </w:pPr>
      <w:r w:rsidRPr="0072774E">
        <w:rPr>
          <w:rFonts w:ascii="Times New Roman" w:hAnsi="Times New Roman"/>
          <w:b/>
          <w:bCs/>
          <w:noProof/>
          <w:sz w:val="20"/>
          <w:szCs w:val="20"/>
        </w:rPr>
        <w:lastRenderedPageBreak/>
        <w:drawing>
          <wp:inline distT="0" distB="0" distL="0" distR="0" wp14:anchorId="68CEE50E" wp14:editId="746F9B25">
            <wp:extent cx="4450080" cy="3048000"/>
            <wp:effectExtent l="19050" t="19050" r="266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0080" cy="3048000"/>
                    </a:xfrm>
                    <a:prstGeom prst="rect">
                      <a:avLst/>
                    </a:prstGeom>
                    <a:noFill/>
                    <a:ln w="6350" cmpd="sng">
                      <a:solidFill>
                        <a:srgbClr val="000000"/>
                      </a:solidFill>
                      <a:miter lim="800000"/>
                      <a:headEnd/>
                      <a:tailEnd/>
                    </a:ln>
                    <a:effectLst/>
                  </pic:spPr>
                </pic:pic>
              </a:graphicData>
            </a:graphic>
          </wp:inline>
        </w:drawing>
      </w:r>
    </w:p>
    <w:p w14:paraId="33E60879" w14:textId="4AB8DDE6" w:rsidR="00552A44" w:rsidRPr="0072774E" w:rsidRDefault="00552A44" w:rsidP="0072774E">
      <w:pPr>
        <w:adjustRightInd w:val="0"/>
        <w:spacing w:after="0"/>
        <w:ind w:left="810" w:hanging="810"/>
        <w:jc w:val="both"/>
        <w:rPr>
          <w:b/>
          <w:bCs/>
          <w:sz w:val="20"/>
          <w:szCs w:val="20"/>
        </w:rPr>
      </w:pPr>
      <w:r w:rsidRPr="0072774E">
        <w:rPr>
          <w:rFonts w:ascii="Times New Roman" w:hAnsi="Times New Roman"/>
          <w:sz w:val="20"/>
          <w:szCs w:val="20"/>
        </w:rPr>
        <w:t xml:space="preserve">Figure 3. </w:t>
      </w:r>
      <w:r w:rsidR="0072774E">
        <w:rPr>
          <w:rFonts w:ascii="Times New Roman" w:hAnsi="Times New Roman"/>
          <w:sz w:val="20"/>
          <w:szCs w:val="20"/>
        </w:rPr>
        <w:tab/>
      </w:r>
      <w:r w:rsidRPr="0072774E">
        <w:rPr>
          <w:rFonts w:ascii="Times New Roman" w:hAnsi="Times New Roman"/>
          <w:sz w:val="20"/>
          <w:szCs w:val="20"/>
        </w:rPr>
        <w:t xml:space="preserve">UV-Visible spectra of aqueous solutions of tetracaine hydrochloride (TC-HCl) </w:t>
      </w:r>
      <w:r w:rsidRPr="0072774E">
        <w:rPr>
          <w:rFonts w:ascii="Times New Roman" w:eastAsia="Calibri" w:hAnsi="Times New Roman"/>
          <w:sz w:val="20"/>
          <w:szCs w:val="20"/>
        </w:rPr>
        <w:t>10</w:t>
      </w:r>
      <w:r w:rsidRPr="0072774E">
        <w:rPr>
          <w:rFonts w:ascii="Times New Roman" w:eastAsia="Calibri" w:hAnsi="Times New Roman"/>
          <w:sz w:val="20"/>
          <w:szCs w:val="20"/>
          <w:vertAlign w:val="superscript"/>
        </w:rPr>
        <w:t>-5</w:t>
      </w:r>
      <w:r w:rsidRPr="0072774E">
        <w:rPr>
          <w:rFonts w:ascii="Times New Roman" w:eastAsia="Calibri" w:hAnsi="Times New Roman"/>
          <w:sz w:val="20"/>
          <w:szCs w:val="20"/>
        </w:rPr>
        <w:t xml:space="preserve">M </w:t>
      </w:r>
      <w:r w:rsidRPr="0072774E">
        <w:rPr>
          <w:rFonts w:ascii="Times New Roman" w:hAnsi="Times New Roman"/>
          <w:sz w:val="20"/>
          <w:szCs w:val="20"/>
        </w:rPr>
        <w:t xml:space="preserve">with                 different amounts of </w:t>
      </w:r>
      <w:r w:rsidRPr="0072774E">
        <w:rPr>
          <w:rFonts w:ascii="Times New Roman" w:hAnsi="Times New Roman"/>
          <w:spacing w:val="-2"/>
          <w:sz w:val="20"/>
          <w:szCs w:val="20"/>
        </w:rPr>
        <w:t xml:space="preserve">β-CD (0-10mM) </w:t>
      </w:r>
      <w:r w:rsidRPr="0072774E">
        <w:rPr>
          <w:rFonts w:ascii="Times New Roman" w:hAnsi="Times New Roman"/>
          <w:sz w:val="20"/>
          <w:szCs w:val="20"/>
        </w:rPr>
        <w:t>at different temperatures</w:t>
      </w:r>
      <w:r w:rsidRPr="0072774E">
        <w:rPr>
          <w:rFonts w:ascii="Times New Roman" w:hAnsi="Times New Roman"/>
          <w:spacing w:val="-2"/>
          <w:sz w:val="20"/>
          <w:szCs w:val="20"/>
        </w:rPr>
        <w:t xml:space="preserve">  </w:t>
      </w:r>
    </w:p>
    <w:p w14:paraId="736EB206" w14:textId="77777777" w:rsidR="0072774E" w:rsidRPr="0072774E" w:rsidRDefault="0072774E" w:rsidP="00474ABC">
      <w:pPr>
        <w:adjustRightInd w:val="0"/>
        <w:spacing w:after="0"/>
        <w:jc w:val="both"/>
        <w:rPr>
          <w:rFonts w:ascii="Times New Roman" w:eastAsia="Calibri" w:hAnsi="Times New Roman"/>
          <w:sz w:val="20"/>
          <w:szCs w:val="20"/>
          <w:lang w:val="x-none"/>
        </w:rPr>
      </w:pPr>
    </w:p>
    <w:p w14:paraId="37A25A25" w14:textId="1356FA57" w:rsidR="00474ABC" w:rsidRPr="0072774E" w:rsidRDefault="000C37EC" w:rsidP="0072774E">
      <w:pPr>
        <w:adjustRightInd w:val="0"/>
        <w:spacing w:after="120"/>
        <w:jc w:val="center"/>
        <w:rPr>
          <w:rFonts w:ascii="Times New Roman" w:eastAsia="Calibri" w:hAnsi="Times New Roman"/>
          <w:sz w:val="24"/>
          <w:szCs w:val="24"/>
        </w:rPr>
      </w:pPr>
      <w:r w:rsidRPr="00930CC6">
        <w:rPr>
          <w:rFonts w:ascii="Times New Roman" w:hAnsi="Times New Roman"/>
          <w:noProof/>
          <w:sz w:val="24"/>
          <w:szCs w:val="24"/>
          <w:lang w:val="fr-FR" w:eastAsia="fr-FR"/>
        </w:rPr>
        <mc:AlternateContent>
          <mc:Choice Requires="wps">
            <w:drawing>
              <wp:anchor distT="0" distB="0" distL="114300" distR="114300" simplePos="0" relativeHeight="251651584" behindDoc="0" locked="0" layoutInCell="1" allowOverlap="1" wp14:anchorId="28C59282" wp14:editId="789FDE3D">
                <wp:simplePos x="0" y="0"/>
                <wp:positionH relativeFrom="column">
                  <wp:posOffset>4419600</wp:posOffset>
                </wp:positionH>
                <wp:positionV relativeFrom="paragraph">
                  <wp:posOffset>353695</wp:posOffset>
                </wp:positionV>
                <wp:extent cx="304165" cy="245745"/>
                <wp:effectExtent l="0" t="0" r="254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9B51D"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(b)</w:t>
                            </w:r>
                          </w:p>
                          <w:p w14:paraId="57361BC2"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9282" id="Text Box 12" o:spid="_x0000_s1032" type="#_x0000_t202" style="position:absolute;left:0;text-align:left;margin-left:348pt;margin-top:27.85pt;width:23.95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" stroked="f">
                <v:textbox>
                  <w:txbxContent>
                    <w:p w14:paraId="6AC9B51D"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(b)</w:t>
                      </w:r>
                    </w:p>
                    <w:p w14:paraId="57361BC2" w14:textId="77777777" w:rsidR="00474ABC" w:rsidRDefault="00474ABC" w:rsidP="00474ABC">
                      <w:pPr>
                        <w:rPr>
                          <w:sz w:val="14"/>
                          <w:szCs w:val="14"/>
                        </w:rPr>
                      </w:pPr>
                    </w:p>
                  </w:txbxContent>
                </v:textbox>
              </v:shape>
            </w:pict>
          </mc:Fallback>
        </mc:AlternateContent>
      </w:r>
      <w:r w:rsidRPr="00930CC6">
        <w:rPr>
          <w:rFonts w:ascii="Times New Roman" w:hAnsi="Times New Roman"/>
          <w:noProof/>
          <w:sz w:val="24"/>
          <w:szCs w:val="24"/>
          <w:lang w:val="fr-FR" w:eastAsia="fr-FR"/>
        </w:rPr>
        <mc:AlternateContent>
          <mc:Choice Requires="wps">
            <w:drawing>
              <wp:anchor distT="0" distB="0" distL="114300" distR="114300" simplePos="0" relativeHeight="251644416" behindDoc="0" locked="0" layoutInCell="1" allowOverlap="1" wp14:anchorId="0C25B117" wp14:editId="281DB77B">
                <wp:simplePos x="0" y="0"/>
                <wp:positionH relativeFrom="column">
                  <wp:posOffset>2110740</wp:posOffset>
                </wp:positionH>
                <wp:positionV relativeFrom="paragraph">
                  <wp:posOffset>315595</wp:posOffset>
                </wp:positionV>
                <wp:extent cx="304165" cy="245745"/>
                <wp:effectExtent l="381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5360F"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(a)</w:t>
                            </w:r>
                          </w:p>
                          <w:p w14:paraId="16B7AD8D"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B117" id="Text Box 11" o:spid="_x0000_s1033" type="#_x0000_t202" style="position:absolute;left:0;text-align:left;margin-left:166.2pt;margin-top:24.85pt;width:23.95pt;height:1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" stroked="f">
                <v:textbox>
                  <w:txbxContent>
                    <w:p w14:paraId="46C5360F"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(a)</w:t>
                      </w:r>
                    </w:p>
                    <w:p w14:paraId="16B7AD8D" w14:textId="77777777" w:rsidR="00474ABC" w:rsidRDefault="00474ABC" w:rsidP="00474ABC">
                      <w:pPr>
                        <w:rPr>
                          <w:sz w:val="14"/>
                          <w:szCs w:val="14"/>
                        </w:rPr>
                      </w:pPr>
                    </w:p>
                  </w:txbxContent>
                </v:textbox>
              </v:shape>
            </w:pict>
          </mc:Fallback>
        </mc:AlternateContent>
      </w:r>
      <w:r w:rsidR="00474ABC" w:rsidRPr="00930CC6">
        <w:rPr>
          <w:rFonts w:ascii="Times New Roman" w:hAnsi="Times New Roman"/>
          <w:noProof/>
          <w:sz w:val="24"/>
          <w:szCs w:val="24"/>
          <w:lang w:val="fr-FR" w:eastAsia="fr-FR"/>
        </w:rPr>
        <mc:AlternateContent>
          <mc:Choice Requires="wps">
            <w:drawing>
              <wp:anchor distT="0" distB="0" distL="114300" distR="114300" simplePos="0" relativeHeight="251658752" behindDoc="0" locked="0" layoutInCell="1" allowOverlap="1" wp14:anchorId="20CA8AE3" wp14:editId="1714C420">
                <wp:simplePos x="0" y="0"/>
                <wp:positionH relativeFrom="column">
                  <wp:posOffset>2099945</wp:posOffset>
                </wp:positionH>
                <wp:positionV relativeFrom="paragraph">
                  <wp:posOffset>1753870</wp:posOffset>
                </wp:positionV>
                <wp:extent cx="304165" cy="245745"/>
                <wp:effectExtent l="4445" t="127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7FCD8"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(c)</w:t>
                            </w:r>
                          </w:p>
                          <w:p w14:paraId="080BBF5E"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8AE3" id="Text Box 13" o:spid="_x0000_s1034" type="#_x0000_t202" style="position:absolute;left:0;text-align:left;margin-left:165.35pt;margin-top:138.1pt;width:23.95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" stroked="f">
                <v:textbox>
                  <w:txbxContent>
                    <w:p w14:paraId="5BD7FCD8"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(c)</w:t>
                      </w:r>
                    </w:p>
                    <w:p w14:paraId="080BBF5E" w14:textId="77777777" w:rsidR="00474ABC" w:rsidRDefault="00474ABC" w:rsidP="00474ABC">
                      <w:pPr>
                        <w:rPr>
                          <w:sz w:val="14"/>
                          <w:szCs w:val="14"/>
                        </w:rPr>
                      </w:pPr>
                    </w:p>
                  </w:txbxContent>
                </v:textbox>
              </v:shape>
            </w:pict>
          </mc:Fallback>
        </mc:AlternateContent>
      </w:r>
      <w:r w:rsidR="00474ABC" w:rsidRPr="00930CC6">
        <w:rPr>
          <w:rFonts w:ascii="Times New Roman" w:eastAsia="Calibri" w:hAnsi="Times New Roman"/>
          <w:noProof/>
        </w:rPr>
        <w:drawing>
          <wp:inline distT="0" distB="0" distL="0" distR="0" wp14:anchorId="4220834D" wp14:editId="12B4BC52">
            <wp:extent cx="4714240" cy="3281680"/>
            <wp:effectExtent l="19050" t="19050" r="1016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4240" cy="3281680"/>
                    </a:xfrm>
                    <a:prstGeom prst="rect">
                      <a:avLst/>
                    </a:prstGeom>
                    <a:noFill/>
                    <a:ln w="6350" cmpd="sng">
                      <a:solidFill>
                        <a:srgbClr val="000000"/>
                      </a:solidFill>
                      <a:miter lim="800000"/>
                      <a:headEnd/>
                      <a:tailEnd/>
                    </a:ln>
                    <a:effectLst/>
                  </pic:spPr>
                </pic:pic>
              </a:graphicData>
            </a:graphic>
          </wp:inline>
        </w:drawing>
      </w:r>
    </w:p>
    <w:p w14:paraId="6A690E2D" w14:textId="77777777" w:rsidR="00474ABC" w:rsidRPr="00930CC6" w:rsidRDefault="00474ABC" w:rsidP="00474ABC">
      <w:pPr>
        <w:spacing w:after="0"/>
        <w:ind w:left="851" w:hanging="851"/>
        <w:jc w:val="both"/>
        <w:rPr>
          <w:rFonts w:ascii="Times New Roman" w:hAnsi="Times New Roman"/>
          <w:sz w:val="20"/>
          <w:szCs w:val="20"/>
        </w:rPr>
      </w:pPr>
      <w:r w:rsidRPr="00930CC6">
        <w:rPr>
          <w:rFonts w:ascii="Times New Roman" w:hAnsi="Times New Roman"/>
          <w:sz w:val="20"/>
          <w:szCs w:val="20"/>
        </w:rPr>
        <w:t xml:space="preserve">Figure 4. UV-Visible spectra of aqueous solutions (TC-HCl) </w:t>
      </w:r>
      <w:r w:rsidRPr="00930CC6">
        <w:rPr>
          <w:rFonts w:ascii="Times New Roman" w:eastAsia="Calibri" w:hAnsi="Times New Roman"/>
          <w:sz w:val="20"/>
          <w:szCs w:val="20"/>
        </w:rPr>
        <w:t>10</w:t>
      </w:r>
      <w:r w:rsidRPr="00930CC6">
        <w:rPr>
          <w:rFonts w:ascii="Times New Roman" w:eastAsia="Calibri" w:hAnsi="Times New Roman"/>
          <w:sz w:val="20"/>
          <w:szCs w:val="20"/>
          <w:vertAlign w:val="superscript"/>
        </w:rPr>
        <w:t>-5</w:t>
      </w:r>
      <w:r w:rsidRPr="00930CC6">
        <w:rPr>
          <w:rFonts w:ascii="Times New Roman" w:eastAsia="Calibri" w:hAnsi="Times New Roman"/>
          <w:sz w:val="20"/>
          <w:szCs w:val="20"/>
        </w:rPr>
        <w:t>M in the presence of</w:t>
      </w:r>
      <w:r w:rsidRPr="00930CC6">
        <w:rPr>
          <w:rFonts w:ascii="Times New Roman" w:hAnsi="Times New Roman"/>
          <w:sz w:val="20"/>
          <w:szCs w:val="20"/>
        </w:rPr>
        <w:t xml:space="preserve"> different host molecules. (a) β-CD, (b) HPβ-CD and (c) α-CD at 25 °C</w:t>
      </w:r>
    </w:p>
    <w:p w14:paraId="6DBBDD02" w14:textId="77777777" w:rsidR="0072774E" w:rsidRDefault="0072774E" w:rsidP="00474ABC">
      <w:pPr>
        <w:spacing w:after="0"/>
        <w:jc w:val="both"/>
        <w:rPr>
          <w:rFonts w:ascii="Times New Roman" w:eastAsia="Calibri" w:hAnsi="Times New Roman"/>
        </w:rPr>
      </w:pPr>
    </w:p>
    <w:p w14:paraId="258C4212" w14:textId="77777777" w:rsidR="0072774E" w:rsidRDefault="0072774E" w:rsidP="00474ABC">
      <w:pPr>
        <w:spacing w:after="0"/>
        <w:jc w:val="both"/>
        <w:rPr>
          <w:rFonts w:ascii="Times New Roman" w:eastAsia="Calibri" w:hAnsi="Times New Roman"/>
        </w:rPr>
      </w:pPr>
    </w:p>
    <w:p w14:paraId="5B51B681" w14:textId="5B1A9328" w:rsidR="00474ABC" w:rsidRPr="00930CC6" w:rsidRDefault="00474ABC" w:rsidP="00474ABC">
      <w:pPr>
        <w:spacing w:after="0"/>
        <w:jc w:val="both"/>
        <w:rPr>
          <w:rFonts w:ascii="Times New Roman" w:eastAsia="Calibri" w:hAnsi="Times New Roman"/>
          <w:sz w:val="24"/>
          <w:szCs w:val="24"/>
        </w:rPr>
      </w:pPr>
      <w:r w:rsidRPr="00930CC6">
        <w:rPr>
          <w:rFonts w:ascii="Times New Roman" w:eastAsia="Calibri" w:hAnsi="Times New Roman"/>
        </w:rPr>
        <w:tab/>
      </w:r>
    </w:p>
    <w:p w14:paraId="0CE7AA6E" w14:textId="77777777" w:rsidR="00474ABC" w:rsidRPr="00930CC6" w:rsidRDefault="00474ABC" w:rsidP="00474ABC">
      <w:pPr>
        <w:spacing w:after="0"/>
        <w:jc w:val="both"/>
        <w:rPr>
          <w:rFonts w:ascii="Times New Roman" w:eastAsia="Calibri" w:hAnsi="Times New Roman"/>
          <w:sz w:val="20"/>
          <w:szCs w:val="20"/>
        </w:rPr>
      </w:pPr>
    </w:p>
    <w:p w14:paraId="5516D96B" w14:textId="77777777" w:rsidR="008642CD" w:rsidRDefault="008642CD" w:rsidP="00474ABC">
      <w:pPr>
        <w:spacing w:after="0"/>
        <w:jc w:val="both"/>
        <w:rPr>
          <w:rFonts w:ascii="Times New Roman" w:eastAsia="Calibri" w:hAnsi="Times New Roman"/>
          <w:sz w:val="20"/>
          <w:szCs w:val="20"/>
        </w:rPr>
        <w:sectPr w:rsidR="008642CD" w:rsidSect="007B550E">
          <w:footerReference w:type="default" r:id="rId45"/>
          <w:type w:val="continuous"/>
          <w:pgSz w:w="11906" w:h="16838" w:code="9"/>
          <w:pgMar w:top="1800" w:right="1469" w:bottom="1699" w:left="1440" w:header="709" w:footer="709" w:gutter="0"/>
          <w:pgNumType w:start="164"/>
          <w:cols w:space="708"/>
          <w:docGrid w:linePitch="360"/>
        </w:sectPr>
      </w:pPr>
    </w:p>
    <w:p w14:paraId="2E81E90C" w14:textId="77777777" w:rsidR="00474ABC" w:rsidRPr="00930CC6" w:rsidRDefault="00474ABC" w:rsidP="00474ABC">
      <w:pPr>
        <w:spacing w:after="0"/>
        <w:jc w:val="both"/>
        <w:rPr>
          <w:rFonts w:ascii="Times New Roman" w:eastAsia="Calibri" w:hAnsi="Times New Roman"/>
          <w:sz w:val="20"/>
          <w:szCs w:val="20"/>
        </w:rPr>
      </w:pPr>
      <w:r w:rsidRPr="00930CC6">
        <w:rPr>
          <w:rFonts w:ascii="Times New Roman" w:eastAsia="Calibri" w:hAnsi="Times New Roman"/>
          <w:sz w:val="20"/>
          <w:szCs w:val="20"/>
        </w:rPr>
        <w:lastRenderedPageBreak/>
        <w:t xml:space="preserve">In order to confirm the formation of complexes the same set of experiments were carried out in the presence of d-(+)-glucose at amounts analogous to ones used for CD’s experiments at 25 °C. </w:t>
      </w:r>
      <w:r w:rsidRPr="00930CC6">
        <w:rPr>
          <w:rFonts w:ascii="Times New Roman" w:hAnsi="Times New Roman"/>
          <w:bCs/>
          <w:sz w:val="20"/>
          <w:szCs w:val="20"/>
        </w:rPr>
        <w:t xml:space="preserve">Because CDs are oligomers of glucose molecule units, they have mainly the same elemental composition but different spatial conformational characteristics. With this choice one tries to preserve the solvent-molecule interaction (water-CD interaction are supposed close to water-glucose one) and letting the geometry differences be the only influencing parameter. </w:t>
      </w:r>
      <w:r w:rsidRPr="00930CC6">
        <w:rPr>
          <w:rFonts w:ascii="Times New Roman" w:eastAsia="Calibri" w:hAnsi="Times New Roman"/>
          <w:sz w:val="20"/>
          <w:szCs w:val="20"/>
        </w:rPr>
        <w:t>From Figure 5 it is easy to note that for d-(+)-glucose no isosbestic points exist, only a slight red shift of the order of 1 nm is obtained with a very weak effect on absorbance values.</w:t>
      </w:r>
    </w:p>
    <w:p w14:paraId="774149ED" w14:textId="77777777" w:rsidR="008642CD" w:rsidRDefault="008642CD" w:rsidP="00474ABC">
      <w:pPr>
        <w:spacing w:after="0"/>
        <w:jc w:val="both"/>
        <w:rPr>
          <w:rFonts w:ascii="Times New Roman" w:hAnsi="Times New Roman"/>
          <w:b/>
          <w:bCs/>
          <w:sz w:val="20"/>
          <w:szCs w:val="20"/>
          <w:shd w:val="clear" w:color="auto" w:fill="FFFFFF"/>
          <w:lang w:eastAsia="fr-FR"/>
        </w:rPr>
      </w:pPr>
    </w:p>
    <w:p w14:paraId="1DAB1585" w14:textId="77777777" w:rsidR="008642CD" w:rsidRPr="00A21B92" w:rsidRDefault="008642CD" w:rsidP="008642CD">
      <w:pPr>
        <w:adjustRightInd w:val="0"/>
        <w:spacing w:after="0"/>
        <w:jc w:val="both"/>
        <w:rPr>
          <w:rFonts w:ascii="Times New Roman" w:eastAsia="Calibri" w:hAnsi="Times New Roman"/>
          <w:sz w:val="20"/>
          <w:szCs w:val="20"/>
        </w:rPr>
      </w:pPr>
      <w:r w:rsidRPr="00A21B92">
        <w:rPr>
          <w:rFonts w:ascii="Times New Roman" w:eastAsia="Calibri" w:hAnsi="Times New Roman"/>
          <w:sz w:val="20"/>
          <w:szCs w:val="20"/>
        </w:rPr>
        <w:t xml:space="preserve">From the variation of the curve of </w:t>
      </w:r>
      <w:r w:rsidRPr="008642CD">
        <w:rPr>
          <w:rFonts w:ascii="Times New Roman" w:eastAsia="Calibri" w:hAnsi="Times New Roman"/>
          <w:i/>
          <w:iCs/>
          <w:sz w:val="20"/>
          <w:szCs w:val="20"/>
        </w:rPr>
        <w:t>ΔA</w:t>
      </w:r>
      <w:r w:rsidRPr="00A21B92">
        <w:rPr>
          <w:rFonts w:ascii="Times New Roman" w:eastAsia="Calibri" w:hAnsi="Times New Roman"/>
          <w:sz w:val="20"/>
          <w:szCs w:val="20"/>
        </w:rPr>
        <w:t xml:space="preserve"> against CD concentration it is possible to extract the </w:t>
      </w:r>
      <w:r w:rsidRPr="00A21B92">
        <w:rPr>
          <w:rFonts w:ascii="Times New Roman" w:eastAsia="Calibri" w:hAnsi="Times New Roman"/>
          <w:i/>
          <w:iCs/>
          <w:sz w:val="20"/>
          <w:szCs w:val="20"/>
        </w:rPr>
        <w:t>K</w:t>
      </w:r>
      <w:r w:rsidRPr="00A21B92">
        <w:rPr>
          <w:rFonts w:ascii="Times New Roman" w:eastAsia="Calibri" w:hAnsi="Times New Roman"/>
          <w:sz w:val="20"/>
          <w:szCs w:val="20"/>
        </w:rPr>
        <w:t xml:space="preserve"> values by a nonlinear regression method [19]. As an example, </w:t>
      </w:r>
      <w:r>
        <w:rPr>
          <w:rFonts w:ascii="Times New Roman" w:eastAsia="Calibri" w:hAnsi="Times New Roman"/>
          <w:sz w:val="20"/>
          <w:szCs w:val="20"/>
        </w:rPr>
        <w:t>F</w:t>
      </w:r>
      <w:r w:rsidRPr="00A21B92">
        <w:rPr>
          <w:rFonts w:ascii="Times New Roman" w:eastAsia="Calibri" w:hAnsi="Times New Roman"/>
          <w:sz w:val="20"/>
          <w:szCs w:val="20"/>
        </w:rPr>
        <w:t xml:space="preserve">igure 6 shows the variation of </w:t>
      </w:r>
      <w:r w:rsidRPr="008642CD">
        <w:rPr>
          <w:rFonts w:ascii="Times New Roman" w:eastAsia="Calibri" w:hAnsi="Times New Roman"/>
          <w:i/>
          <w:iCs/>
          <w:sz w:val="20"/>
          <w:szCs w:val="20"/>
        </w:rPr>
        <w:t>ΔA</w:t>
      </w:r>
      <w:r w:rsidRPr="00A21B92">
        <w:rPr>
          <w:rFonts w:ascii="Times New Roman" w:eastAsia="Calibri" w:hAnsi="Times New Roman"/>
          <w:sz w:val="20"/>
          <w:szCs w:val="20"/>
        </w:rPr>
        <w:t xml:space="preserve"> against CD’s concentration at T=25°C. The same method was </w:t>
      </w:r>
      <w:r w:rsidRPr="00A21B92">
        <w:rPr>
          <w:rFonts w:ascii="Times New Roman" w:eastAsia="Calibri" w:hAnsi="Times New Roman"/>
          <w:sz w:val="20"/>
          <w:szCs w:val="20"/>
        </w:rPr>
        <w:t>applied for all the studied systems at different temperatures and the corresponding association constants</w:t>
      </w:r>
      <w:r w:rsidRPr="00A21B92">
        <w:rPr>
          <w:rFonts w:ascii="Times New Roman" w:eastAsia="Calibri" w:hAnsi="Times New Roman"/>
          <w:sz w:val="20"/>
          <w:szCs w:val="20"/>
          <w:vertAlign w:val="subscript"/>
        </w:rPr>
        <w:t xml:space="preserve"> </w:t>
      </w:r>
      <w:r w:rsidRPr="00A21B92">
        <w:rPr>
          <w:rFonts w:ascii="Times New Roman" w:eastAsia="Calibri" w:hAnsi="Times New Roman"/>
          <w:sz w:val="20"/>
          <w:szCs w:val="20"/>
        </w:rPr>
        <w:t>are reported in Table 1.</w:t>
      </w:r>
    </w:p>
    <w:p w14:paraId="59685F93" w14:textId="77777777" w:rsidR="008642CD" w:rsidRDefault="008642CD" w:rsidP="00474ABC">
      <w:pPr>
        <w:spacing w:after="0"/>
        <w:jc w:val="both"/>
        <w:rPr>
          <w:rFonts w:ascii="Times New Roman" w:hAnsi="Times New Roman"/>
          <w:b/>
          <w:bCs/>
          <w:sz w:val="20"/>
          <w:szCs w:val="20"/>
          <w:shd w:val="clear" w:color="auto" w:fill="FFFFFF"/>
          <w:lang w:eastAsia="fr-FR"/>
        </w:rPr>
      </w:pPr>
    </w:p>
    <w:p w14:paraId="14276C1D" w14:textId="77777777" w:rsidR="008642CD" w:rsidRPr="00A21B92" w:rsidRDefault="008642CD" w:rsidP="008642CD">
      <w:pPr>
        <w:adjustRightInd w:val="0"/>
        <w:spacing w:after="0"/>
        <w:ind w:right="-2"/>
        <w:jc w:val="both"/>
        <w:rPr>
          <w:rFonts w:ascii="Times New Roman" w:eastAsia="Calibri" w:hAnsi="Times New Roman"/>
          <w:sz w:val="20"/>
          <w:szCs w:val="20"/>
        </w:rPr>
      </w:pPr>
      <w:r w:rsidRPr="00A21B92">
        <w:rPr>
          <w:rFonts w:ascii="Times New Roman" w:eastAsia="Calibri" w:hAnsi="Times New Roman"/>
          <w:sz w:val="20"/>
          <w:szCs w:val="20"/>
        </w:rPr>
        <w:t>The dependence of equilibrium constants with the temperature can be noticed in Table 1, where the affinity of all cyclodextrins for the drug decreases as long as the temperature increases. Our results at T=25 °C agree with the findings of Takisawa and al. [21] who studied the inclusion of TC-HCl into α-CD and β-CD using the potentiometric method using drug-sensitive electrodes. They reported that the (β-CD/TC-HCl) formed complex is more stable than (α-CD/TC-HCl) one. From the preceding results, it is possible to determine some thermodynamic parameters of complexation from the variation of Rln</w:t>
      </w:r>
      <w:r w:rsidRPr="00A21B92">
        <w:rPr>
          <w:rFonts w:ascii="Times New Roman" w:eastAsia="Calibri" w:hAnsi="Times New Roman"/>
          <w:i/>
          <w:iCs/>
          <w:sz w:val="20"/>
          <w:szCs w:val="20"/>
        </w:rPr>
        <w:t>K</w:t>
      </w:r>
      <w:r w:rsidRPr="00A21B92">
        <w:rPr>
          <w:rFonts w:ascii="Times New Roman" w:eastAsia="Calibri" w:hAnsi="Times New Roman"/>
          <w:sz w:val="20"/>
          <w:szCs w:val="20"/>
        </w:rPr>
        <w:t xml:space="preserve"> against 1/</w:t>
      </w:r>
      <w:r w:rsidRPr="00A21B92">
        <w:rPr>
          <w:rFonts w:ascii="Times New Roman" w:eastAsia="Calibri" w:hAnsi="Times New Roman"/>
          <w:i/>
          <w:iCs/>
          <w:sz w:val="20"/>
          <w:szCs w:val="20"/>
        </w:rPr>
        <w:t>T</w:t>
      </w:r>
      <w:r w:rsidRPr="00A21B92">
        <w:rPr>
          <w:rFonts w:ascii="Times New Roman" w:eastAsia="Calibri" w:hAnsi="Times New Roman"/>
          <w:sz w:val="20"/>
          <w:szCs w:val="20"/>
        </w:rPr>
        <w:t>. Figure 7 shows the Van’t Hoff plots of all association processes using both linear (</w:t>
      </w:r>
      <w:r w:rsidRPr="00A21B92">
        <w:rPr>
          <w:rFonts w:ascii="Times New Roman" w:eastAsia="MS Mincho" w:hAnsi="Times New Roman"/>
          <w:sz w:val="20"/>
          <w:szCs w:val="20"/>
        </w:rPr>
        <w:t>Δ</w:t>
      </w:r>
      <w:r w:rsidRPr="00A21B92">
        <w:rPr>
          <w:rFonts w:ascii="Times New Roman" w:eastAsia="Calibri" w:hAnsi="Times New Roman"/>
          <w:sz w:val="20"/>
          <w:szCs w:val="20"/>
        </w:rPr>
        <w:t>C</w:t>
      </w:r>
      <w:r w:rsidRPr="00A21B92">
        <w:rPr>
          <w:rFonts w:ascii="Times New Roman" w:eastAsia="Calibri" w:hAnsi="Times New Roman"/>
          <w:sz w:val="20"/>
          <w:szCs w:val="20"/>
          <w:vertAlign w:val="subscript"/>
        </w:rPr>
        <w:t>p</w:t>
      </w:r>
      <w:r w:rsidRPr="00A21B92">
        <w:rPr>
          <w:rFonts w:ascii="Times New Roman" w:eastAsia="Calibri" w:hAnsi="Times New Roman"/>
          <w:sz w:val="20"/>
          <w:szCs w:val="20"/>
        </w:rPr>
        <w:t>°=0) and non-linear (</w:t>
      </w:r>
      <w:r w:rsidRPr="00A21B92">
        <w:rPr>
          <w:rFonts w:ascii="Times New Roman" w:eastAsia="MS Mincho" w:hAnsi="Times New Roman"/>
          <w:sz w:val="20"/>
          <w:szCs w:val="20"/>
        </w:rPr>
        <w:t>Δ</w:t>
      </w:r>
      <w:r w:rsidRPr="00A21B92">
        <w:rPr>
          <w:rFonts w:ascii="Times New Roman" w:eastAsia="Calibri" w:hAnsi="Times New Roman"/>
          <w:sz w:val="20"/>
          <w:szCs w:val="20"/>
        </w:rPr>
        <w:t>C</w:t>
      </w:r>
      <w:r w:rsidRPr="00A21B92">
        <w:rPr>
          <w:rFonts w:ascii="Times New Roman" w:eastAsia="Calibri" w:hAnsi="Times New Roman"/>
          <w:sz w:val="20"/>
          <w:szCs w:val="20"/>
          <w:vertAlign w:val="subscript"/>
        </w:rPr>
        <w:t>p</w:t>
      </w:r>
      <w:r w:rsidRPr="00A21B92">
        <w:rPr>
          <w:rFonts w:ascii="Times New Roman" w:eastAsia="Calibri" w:hAnsi="Times New Roman"/>
          <w:sz w:val="20"/>
          <w:szCs w:val="20"/>
        </w:rPr>
        <w:t xml:space="preserve">°≠0) fitting functions.  </w:t>
      </w:r>
    </w:p>
    <w:p w14:paraId="78E77612" w14:textId="77777777" w:rsidR="008642CD" w:rsidRDefault="008642CD" w:rsidP="00474ABC">
      <w:pPr>
        <w:spacing w:after="0"/>
        <w:jc w:val="both"/>
        <w:rPr>
          <w:rFonts w:ascii="Times New Roman" w:hAnsi="Times New Roman"/>
          <w:b/>
          <w:bCs/>
          <w:sz w:val="20"/>
          <w:szCs w:val="20"/>
          <w:shd w:val="clear" w:color="auto" w:fill="FFFFFF"/>
          <w:lang w:eastAsia="fr-FR"/>
        </w:rPr>
      </w:pPr>
    </w:p>
    <w:p w14:paraId="689FD11C" w14:textId="476B429E" w:rsidR="008642CD" w:rsidRDefault="008642CD" w:rsidP="00474ABC">
      <w:pPr>
        <w:spacing w:after="0"/>
        <w:jc w:val="both"/>
        <w:rPr>
          <w:rFonts w:ascii="Times New Roman" w:hAnsi="Times New Roman"/>
          <w:b/>
          <w:bCs/>
          <w:sz w:val="20"/>
          <w:szCs w:val="20"/>
          <w:shd w:val="clear" w:color="auto" w:fill="FFFFFF"/>
          <w:lang w:eastAsia="fr-FR"/>
        </w:rPr>
        <w:sectPr w:rsidR="008642CD" w:rsidSect="008642CD">
          <w:footerReference w:type="even" r:id="rId46"/>
          <w:type w:val="continuous"/>
          <w:pgSz w:w="11906" w:h="16838" w:code="9"/>
          <w:pgMar w:top="1800" w:right="1469" w:bottom="1699" w:left="1440" w:header="709" w:footer="709" w:gutter="0"/>
          <w:pgNumType w:start="164"/>
          <w:cols w:num="2" w:space="360"/>
          <w:docGrid w:linePitch="360"/>
        </w:sectPr>
      </w:pPr>
    </w:p>
    <w:p w14:paraId="53ADFEDA" w14:textId="77777777" w:rsidR="008642CD" w:rsidRPr="00930CC6" w:rsidRDefault="008642CD" w:rsidP="00474ABC">
      <w:pPr>
        <w:spacing w:after="0"/>
        <w:jc w:val="both"/>
        <w:rPr>
          <w:rFonts w:ascii="Times New Roman" w:hAnsi="Times New Roman"/>
          <w:b/>
          <w:bCs/>
          <w:sz w:val="20"/>
          <w:szCs w:val="20"/>
          <w:shd w:val="clear" w:color="auto" w:fill="FFFFFF"/>
          <w:lang w:eastAsia="fr-FR"/>
        </w:rPr>
      </w:pPr>
    </w:p>
    <w:p w14:paraId="11435C15" w14:textId="26A6D65E" w:rsidR="00474ABC" w:rsidRPr="007D4E4F" w:rsidRDefault="00474ABC" w:rsidP="007D4E4F">
      <w:pPr>
        <w:adjustRightInd w:val="0"/>
        <w:spacing w:after="120"/>
        <w:ind w:firstLine="706"/>
        <w:jc w:val="center"/>
        <w:rPr>
          <w:rFonts w:ascii="Times New Roman" w:hAnsi="Times New Roman"/>
          <w:sz w:val="24"/>
          <w:szCs w:val="24"/>
        </w:rPr>
      </w:pPr>
      <w:r w:rsidRPr="00930CC6">
        <w:rPr>
          <w:rFonts w:ascii="Times New Roman" w:hAnsi="Times New Roman"/>
          <w:noProof/>
        </w:rPr>
        <w:drawing>
          <wp:inline distT="0" distB="0" distL="0" distR="0" wp14:anchorId="3A3CF7A4" wp14:editId="3AA94E36">
            <wp:extent cx="2956560" cy="2275840"/>
            <wp:effectExtent l="19050" t="19050" r="152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6560" cy="2275840"/>
                    </a:xfrm>
                    <a:prstGeom prst="rect">
                      <a:avLst/>
                    </a:prstGeom>
                    <a:noFill/>
                    <a:ln w="6350" cmpd="sng">
                      <a:solidFill>
                        <a:srgbClr val="000000"/>
                      </a:solidFill>
                      <a:miter lim="800000"/>
                      <a:headEnd/>
                      <a:tailEnd/>
                    </a:ln>
                    <a:effectLst/>
                  </pic:spPr>
                </pic:pic>
              </a:graphicData>
            </a:graphic>
          </wp:inline>
        </w:drawing>
      </w:r>
    </w:p>
    <w:p w14:paraId="603041CE" w14:textId="697AA358" w:rsidR="00474ABC" w:rsidRPr="00930CC6" w:rsidRDefault="00474ABC" w:rsidP="007D4E4F">
      <w:pPr>
        <w:adjustRightInd w:val="0"/>
        <w:spacing w:after="0"/>
        <w:jc w:val="center"/>
        <w:rPr>
          <w:rFonts w:ascii="Times New Roman" w:hAnsi="Times New Roman"/>
          <w:spacing w:val="-2"/>
          <w:sz w:val="20"/>
          <w:szCs w:val="20"/>
          <w:lang w:eastAsia="fr-FR"/>
        </w:rPr>
      </w:pPr>
      <w:r w:rsidRPr="00930CC6">
        <w:rPr>
          <w:rFonts w:ascii="Times New Roman" w:hAnsi="Times New Roman"/>
          <w:sz w:val="20"/>
          <w:szCs w:val="20"/>
        </w:rPr>
        <w:t xml:space="preserve">Figure 5. </w:t>
      </w:r>
      <w:r w:rsidR="007D4E4F">
        <w:rPr>
          <w:rFonts w:ascii="Times New Roman" w:hAnsi="Times New Roman"/>
          <w:sz w:val="20"/>
          <w:szCs w:val="20"/>
        </w:rPr>
        <w:t xml:space="preserve"> </w:t>
      </w:r>
      <w:r w:rsidRPr="00930CC6">
        <w:rPr>
          <w:rFonts w:ascii="Times New Roman" w:hAnsi="Times New Roman"/>
          <w:sz w:val="20"/>
          <w:szCs w:val="20"/>
        </w:rPr>
        <w:t>UV-Vis spectra of aqueous solutions of TC-HCl (10</w:t>
      </w:r>
      <w:r w:rsidRPr="00930CC6">
        <w:rPr>
          <w:rFonts w:ascii="Times New Roman" w:hAnsi="Times New Roman"/>
          <w:sz w:val="20"/>
          <w:szCs w:val="20"/>
          <w:vertAlign w:val="superscript"/>
        </w:rPr>
        <w:t>-5</w:t>
      </w:r>
      <w:r w:rsidRPr="00930CC6">
        <w:rPr>
          <w:rFonts w:ascii="Times New Roman" w:hAnsi="Times New Roman"/>
          <w:sz w:val="20"/>
          <w:szCs w:val="20"/>
        </w:rPr>
        <w:t>M) for different amounts of d-(+)-</w:t>
      </w:r>
      <w:r w:rsidRPr="00930CC6">
        <w:rPr>
          <w:rFonts w:ascii="Times New Roman" w:hAnsi="Times New Roman"/>
          <w:spacing w:val="-2"/>
          <w:sz w:val="20"/>
          <w:szCs w:val="20"/>
        </w:rPr>
        <w:t>glucose</w:t>
      </w:r>
    </w:p>
    <w:p w14:paraId="382DEC41" w14:textId="77777777" w:rsidR="00A21B92" w:rsidRDefault="00A21B92" w:rsidP="00A21B92">
      <w:pPr>
        <w:adjustRightInd w:val="0"/>
        <w:spacing w:after="0"/>
        <w:jc w:val="both"/>
        <w:rPr>
          <w:rFonts w:ascii="Times New Roman" w:eastAsia="Calibri" w:hAnsi="Times New Roman"/>
          <w:sz w:val="20"/>
          <w:szCs w:val="20"/>
        </w:rPr>
      </w:pPr>
    </w:p>
    <w:p w14:paraId="2A0EA624" w14:textId="77777777" w:rsidR="00A21B92" w:rsidRDefault="00A21B92" w:rsidP="00A21B92">
      <w:pPr>
        <w:adjustRightInd w:val="0"/>
        <w:spacing w:after="0"/>
        <w:jc w:val="both"/>
        <w:rPr>
          <w:rFonts w:ascii="Times New Roman" w:eastAsia="Calibri" w:hAnsi="Times New Roman"/>
          <w:sz w:val="20"/>
          <w:szCs w:val="20"/>
        </w:rPr>
      </w:pPr>
    </w:p>
    <w:p w14:paraId="347229B5" w14:textId="0F086CED" w:rsidR="00474ABC" w:rsidRDefault="00474ABC" w:rsidP="00474ABC">
      <w:pPr>
        <w:spacing w:after="0"/>
        <w:jc w:val="both"/>
        <w:rPr>
          <w:rFonts w:ascii="Times New Roman" w:hAnsi="Times New Roman"/>
          <w:noProof/>
          <w:sz w:val="20"/>
          <w:szCs w:val="20"/>
          <w:lang w:bidi="ar-SA"/>
        </w:rPr>
      </w:pPr>
    </w:p>
    <w:p w14:paraId="3839B0B7" w14:textId="5D22E3ED" w:rsidR="006768E9" w:rsidRDefault="00A21B92" w:rsidP="00A21B92">
      <w:pPr>
        <w:spacing w:after="120"/>
        <w:jc w:val="center"/>
        <w:rPr>
          <w:rFonts w:ascii="Times New Roman" w:hAnsi="Times New Roman"/>
          <w:noProof/>
          <w:sz w:val="20"/>
          <w:szCs w:val="20"/>
          <w:lang w:bidi="ar-SA"/>
        </w:rPr>
      </w:pPr>
      <w:r w:rsidRPr="00D370A5">
        <w:rPr>
          <w:noProof/>
          <w:sz w:val="20"/>
          <w:szCs w:val="20"/>
        </w:rPr>
        <w:lastRenderedPageBreak/>
        <w:drawing>
          <wp:inline distT="0" distB="0" distL="0" distR="0" wp14:anchorId="17C5197A" wp14:editId="0C2A3ED8">
            <wp:extent cx="4114800" cy="3154680"/>
            <wp:effectExtent l="19050" t="19050" r="19050" b="26670"/>
            <wp:docPr id="20" name="Picture 20" descr="Graph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raphB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w="6350" cmpd="sng">
                      <a:solidFill>
                        <a:srgbClr val="000000"/>
                      </a:solidFill>
                      <a:miter lim="800000"/>
                      <a:headEnd/>
                      <a:tailEnd/>
                    </a:ln>
                    <a:effectLst/>
                  </pic:spPr>
                </pic:pic>
              </a:graphicData>
            </a:graphic>
          </wp:inline>
        </w:drawing>
      </w:r>
    </w:p>
    <w:p w14:paraId="4E9F08CC" w14:textId="623D1A32" w:rsidR="00A21B92" w:rsidRPr="00A21B92" w:rsidRDefault="00A21B92" w:rsidP="00A21B92">
      <w:pPr>
        <w:adjustRightInd w:val="0"/>
        <w:spacing w:after="0"/>
        <w:jc w:val="center"/>
        <w:outlineLvl w:val="0"/>
        <w:rPr>
          <w:rFonts w:ascii="Times New Roman" w:eastAsia="Calibri" w:hAnsi="Times New Roman"/>
          <w:sz w:val="20"/>
          <w:szCs w:val="20"/>
        </w:rPr>
      </w:pPr>
      <w:r w:rsidRPr="00A21B92">
        <w:rPr>
          <w:rFonts w:ascii="Times New Roman" w:hAnsi="Times New Roman"/>
          <w:sz w:val="20"/>
          <w:szCs w:val="20"/>
        </w:rPr>
        <w:t>Figure 6.</w:t>
      </w:r>
      <w:r w:rsidRPr="00A21B92">
        <w:rPr>
          <w:rFonts w:ascii="Times New Roman" w:eastAsia="Calibri" w:hAnsi="Times New Roman"/>
          <w:sz w:val="20"/>
          <w:szCs w:val="20"/>
        </w:rPr>
        <w:t xml:space="preserve"> </w:t>
      </w:r>
      <w:r>
        <w:rPr>
          <w:rFonts w:ascii="Times New Roman" w:eastAsia="Calibri" w:hAnsi="Times New Roman"/>
          <w:sz w:val="20"/>
          <w:szCs w:val="20"/>
        </w:rPr>
        <w:t xml:space="preserve"> </w:t>
      </w:r>
      <w:r w:rsidRPr="00A21B92">
        <w:rPr>
          <w:rFonts w:ascii="Times New Roman" w:eastAsia="Calibri" w:hAnsi="Times New Roman"/>
          <w:sz w:val="20"/>
          <w:szCs w:val="20"/>
        </w:rPr>
        <w:t>Non-Linear fitting of the variation of ΔA as a function of CD’s concentration at 25°C for λ=310 nm</w:t>
      </w:r>
    </w:p>
    <w:p w14:paraId="462153F3" w14:textId="77777777" w:rsidR="00A21B92" w:rsidRPr="00EF4233" w:rsidRDefault="00A21B92" w:rsidP="00A21B92">
      <w:pPr>
        <w:adjustRightInd w:val="0"/>
        <w:jc w:val="both"/>
        <w:rPr>
          <w:rFonts w:eastAsia="Calibri"/>
          <w:sz w:val="20"/>
          <w:szCs w:val="20"/>
        </w:rPr>
      </w:pPr>
    </w:p>
    <w:p w14:paraId="2FD95112" w14:textId="71A6FCF5" w:rsidR="00A21B92" w:rsidRPr="00A21B92" w:rsidRDefault="00A21B92" w:rsidP="00A21B92">
      <w:pPr>
        <w:tabs>
          <w:tab w:val="left" w:pos="851"/>
        </w:tabs>
        <w:adjustRightInd w:val="0"/>
        <w:spacing w:after="120"/>
        <w:ind w:left="850" w:hanging="850"/>
        <w:jc w:val="center"/>
        <w:rPr>
          <w:rFonts w:ascii="Times New Roman" w:eastAsia="Calibri" w:hAnsi="Times New Roman"/>
          <w:sz w:val="20"/>
          <w:szCs w:val="20"/>
        </w:rPr>
      </w:pPr>
      <w:r w:rsidRPr="00A21B92">
        <w:rPr>
          <w:rFonts w:ascii="Times New Roman" w:eastAsia="Calibri" w:hAnsi="Times New Roman"/>
          <w:sz w:val="20"/>
          <w:szCs w:val="20"/>
        </w:rPr>
        <w:t>Table 1.</w:t>
      </w:r>
      <w:r>
        <w:rPr>
          <w:rFonts w:ascii="Times New Roman" w:eastAsia="Calibri" w:hAnsi="Times New Roman"/>
          <w:sz w:val="20"/>
          <w:szCs w:val="20"/>
        </w:rPr>
        <w:t xml:space="preserve">  </w:t>
      </w:r>
      <w:r w:rsidRPr="00A21B92">
        <w:rPr>
          <w:rFonts w:ascii="Times New Roman" w:eastAsia="Calibri" w:hAnsi="Times New Roman"/>
          <w:sz w:val="20"/>
          <w:szCs w:val="20"/>
        </w:rPr>
        <w:t>Values of the association constant (</w:t>
      </w:r>
      <w:r w:rsidRPr="00A21B92">
        <w:rPr>
          <w:rFonts w:ascii="Times New Roman" w:eastAsia="Calibri" w:hAnsi="Times New Roman"/>
          <w:i/>
          <w:iCs/>
          <w:sz w:val="20"/>
          <w:szCs w:val="20"/>
        </w:rPr>
        <w:t>K</w:t>
      </w:r>
      <w:r w:rsidRPr="00A21B92">
        <w:rPr>
          <w:rFonts w:ascii="Times New Roman" w:eastAsia="Calibri" w:hAnsi="Times New Roman"/>
          <w:sz w:val="20"/>
          <w:szCs w:val="20"/>
          <w:vertAlign w:val="subscript"/>
        </w:rPr>
        <w:t>CD</w:t>
      </w:r>
      <w:r w:rsidRPr="00A21B92">
        <w:rPr>
          <w:rFonts w:ascii="Times New Roman" w:eastAsia="Calibri" w:hAnsi="Times New Roman"/>
          <w:sz w:val="20"/>
          <w:szCs w:val="20"/>
        </w:rPr>
        <w:t>) at different temperatures, obtained from UV-Vis measurements for the complex β-CD/TC-HCl, HPβ-CD/TC-HCl and α</w:t>
      </w:r>
      <w:r w:rsidRPr="00A21B92">
        <w:rPr>
          <w:rFonts w:ascii="Times New Roman" w:eastAsia="Calibri" w:hAnsi="Times New Roman"/>
          <w:i/>
          <w:iCs/>
          <w:sz w:val="20"/>
          <w:szCs w:val="20"/>
        </w:rPr>
        <w:t>-</w:t>
      </w:r>
      <w:r w:rsidRPr="00A21B92">
        <w:rPr>
          <w:rFonts w:ascii="Times New Roman" w:eastAsia="Calibri" w:hAnsi="Times New Roman"/>
          <w:sz w:val="20"/>
          <w:szCs w:val="20"/>
        </w:rPr>
        <w:t>CD/TC-HCl</w:t>
      </w:r>
    </w:p>
    <w:tbl>
      <w:tblPr>
        <w:tblW w:w="0" w:type="auto"/>
        <w:jc w:val="center"/>
        <w:tblBorders>
          <w:top w:val="single" w:sz="8" w:space="0" w:color="000000"/>
          <w:bottom w:val="single" w:sz="8" w:space="0" w:color="000000"/>
        </w:tblBorders>
        <w:tblLook w:val="0620" w:firstRow="1" w:lastRow="0" w:firstColumn="0" w:lastColumn="0" w:noHBand="1" w:noVBand="1"/>
      </w:tblPr>
      <w:tblGrid>
        <w:gridCol w:w="1296"/>
        <w:gridCol w:w="1296"/>
        <w:gridCol w:w="1296"/>
        <w:gridCol w:w="1296"/>
      </w:tblGrid>
      <w:tr w:rsidR="00A21B92" w:rsidRPr="00A21B92" w14:paraId="5382A4C3" w14:textId="77777777" w:rsidTr="00A21B92">
        <w:trPr>
          <w:jc w:val="center"/>
        </w:trPr>
        <w:tc>
          <w:tcPr>
            <w:tcW w:w="1296" w:type="dxa"/>
            <w:tcBorders>
              <w:top w:val="single" w:sz="4" w:space="0" w:color="auto"/>
              <w:bottom w:val="single" w:sz="4" w:space="0" w:color="auto"/>
            </w:tcBorders>
            <w:shd w:val="clear" w:color="auto" w:fill="auto"/>
          </w:tcPr>
          <w:p w14:paraId="3F07F136" w14:textId="77777777" w:rsidR="00A21B92" w:rsidRPr="00A21B92" w:rsidRDefault="00A21B92" w:rsidP="00A21B92">
            <w:pPr>
              <w:spacing w:before="60" w:after="0"/>
              <w:rPr>
                <w:rFonts w:ascii="Times New Roman" w:hAnsi="Times New Roman"/>
                <w:b/>
                <w:bCs/>
                <w:kern w:val="24"/>
                <w:sz w:val="20"/>
                <w:szCs w:val="20"/>
              </w:rPr>
            </w:pPr>
            <w:r w:rsidRPr="00A21B92">
              <w:rPr>
                <w:rFonts w:ascii="Times New Roman" w:hAnsi="Times New Roman"/>
                <w:b/>
                <w:bCs/>
                <w:kern w:val="24"/>
                <w:sz w:val="20"/>
                <w:szCs w:val="20"/>
              </w:rPr>
              <w:t>T</w:t>
            </w:r>
          </w:p>
          <w:p w14:paraId="2EBD7E02" w14:textId="77777777" w:rsidR="00A21B92" w:rsidRPr="00A21B92" w:rsidRDefault="00A21B92" w:rsidP="00A21B92">
            <w:pPr>
              <w:spacing w:after="0"/>
              <w:rPr>
                <w:rFonts w:ascii="Times New Roman" w:hAnsi="Times New Roman"/>
                <w:b/>
                <w:bCs/>
                <w:sz w:val="20"/>
                <w:szCs w:val="20"/>
              </w:rPr>
            </w:pPr>
            <w:r w:rsidRPr="00A21B92">
              <w:rPr>
                <w:rFonts w:ascii="Times New Roman" w:hAnsi="Times New Roman"/>
                <w:b/>
                <w:bCs/>
                <w:kern w:val="24"/>
                <w:sz w:val="20"/>
                <w:szCs w:val="20"/>
              </w:rPr>
              <w:t>(°C)</w:t>
            </w:r>
          </w:p>
        </w:tc>
        <w:tc>
          <w:tcPr>
            <w:tcW w:w="1296" w:type="dxa"/>
            <w:tcBorders>
              <w:top w:val="single" w:sz="4" w:space="0" w:color="auto"/>
              <w:bottom w:val="single" w:sz="4" w:space="0" w:color="auto"/>
            </w:tcBorders>
            <w:shd w:val="clear" w:color="auto" w:fill="auto"/>
          </w:tcPr>
          <w:p w14:paraId="3697E0F4" w14:textId="77777777" w:rsidR="00A21B92" w:rsidRPr="00A21B92" w:rsidRDefault="00A21B92" w:rsidP="00A21B92">
            <w:pPr>
              <w:spacing w:before="60" w:after="0"/>
              <w:jc w:val="center"/>
              <w:rPr>
                <w:rFonts w:ascii="Times New Roman" w:hAnsi="Times New Roman"/>
                <w:b/>
                <w:bCs/>
                <w:kern w:val="24"/>
                <w:sz w:val="20"/>
                <w:szCs w:val="20"/>
                <w:vertAlign w:val="subscript"/>
              </w:rPr>
            </w:pP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hAnsi="Times New Roman"/>
                <w:b/>
                <w:bCs/>
                <w:kern w:val="24"/>
                <w:sz w:val="20"/>
                <w:szCs w:val="20"/>
                <w:vertAlign w:val="subscript"/>
              </w:rPr>
              <w:t>α-CD</w:t>
            </w:r>
          </w:p>
          <w:p w14:paraId="7B9DBC64" w14:textId="77777777" w:rsidR="00A21B92" w:rsidRPr="00A21B92" w:rsidRDefault="00A21B92" w:rsidP="00A21B92">
            <w:pPr>
              <w:spacing w:after="0"/>
              <w:jc w:val="center"/>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c>
          <w:tcPr>
            <w:tcW w:w="1296" w:type="dxa"/>
            <w:tcBorders>
              <w:top w:val="single" w:sz="4" w:space="0" w:color="auto"/>
              <w:bottom w:val="single" w:sz="4" w:space="0" w:color="auto"/>
            </w:tcBorders>
            <w:shd w:val="clear" w:color="auto" w:fill="auto"/>
          </w:tcPr>
          <w:p w14:paraId="6D513AAB" w14:textId="057897D4" w:rsidR="00A21B92" w:rsidRPr="00A21B92" w:rsidRDefault="00A21B92" w:rsidP="00A21B92">
            <w:pPr>
              <w:tabs>
                <w:tab w:val="left" w:pos="276"/>
                <w:tab w:val="center" w:pos="540"/>
              </w:tabs>
              <w:spacing w:before="60" w:after="0"/>
              <w:rPr>
                <w:rFonts w:ascii="Times New Roman" w:hAnsi="Times New Roman"/>
                <w:b/>
                <w:bCs/>
                <w:kern w:val="24"/>
                <w:sz w:val="20"/>
                <w:szCs w:val="20"/>
                <w:vertAlign w:val="subscript"/>
              </w:rPr>
            </w:pPr>
            <w:r>
              <w:rPr>
                <w:rFonts w:ascii="Times New Roman" w:hAnsi="Times New Roman"/>
                <w:b/>
                <w:bCs/>
                <w:i/>
                <w:iCs/>
                <w:kern w:val="24"/>
                <w:sz w:val="20"/>
                <w:szCs w:val="20"/>
              </w:rPr>
              <w:tab/>
            </w:r>
            <w:r>
              <w:rPr>
                <w:rFonts w:ascii="Times New Roman" w:hAnsi="Times New Roman"/>
                <w:b/>
                <w:bCs/>
                <w:i/>
                <w:iCs/>
                <w:kern w:val="24"/>
                <w:sz w:val="20"/>
                <w:szCs w:val="20"/>
              </w:rPr>
              <w:tab/>
            </w: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eastAsia="Calibri" w:hAnsi="Times New Roman"/>
                <w:b/>
                <w:bCs/>
                <w:sz w:val="20"/>
                <w:szCs w:val="20"/>
                <w:vertAlign w:val="subscript"/>
              </w:rPr>
              <w:t>β-</w:t>
            </w:r>
            <w:r w:rsidRPr="00A21B92">
              <w:rPr>
                <w:rFonts w:ascii="Times New Roman" w:hAnsi="Times New Roman"/>
                <w:b/>
                <w:bCs/>
                <w:kern w:val="24"/>
                <w:sz w:val="20"/>
                <w:szCs w:val="20"/>
                <w:vertAlign w:val="subscript"/>
              </w:rPr>
              <w:t>CD</w:t>
            </w:r>
          </w:p>
          <w:p w14:paraId="60449327" w14:textId="77777777" w:rsidR="00A21B92" w:rsidRPr="00A21B92" w:rsidRDefault="00A21B92" w:rsidP="00A21B92">
            <w:pPr>
              <w:spacing w:after="0"/>
              <w:jc w:val="center"/>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c>
          <w:tcPr>
            <w:tcW w:w="1296" w:type="dxa"/>
            <w:tcBorders>
              <w:top w:val="single" w:sz="4" w:space="0" w:color="auto"/>
              <w:bottom w:val="single" w:sz="4" w:space="0" w:color="auto"/>
            </w:tcBorders>
            <w:shd w:val="clear" w:color="auto" w:fill="auto"/>
          </w:tcPr>
          <w:p w14:paraId="41CE21B3" w14:textId="2E4326F6" w:rsidR="00A21B92" w:rsidRPr="00A21B92" w:rsidRDefault="00A21B92" w:rsidP="00A21B92">
            <w:pPr>
              <w:spacing w:before="60" w:after="0"/>
              <w:ind w:left="-158" w:firstLine="158"/>
              <w:rPr>
                <w:rFonts w:ascii="Times New Roman" w:hAnsi="Times New Roman"/>
                <w:b/>
                <w:bCs/>
                <w:kern w:val="24"/>
                <w:sz w:val="20"/>
                <w:szCs w:val="20"/>
                <w:vertAlign w:val="subscript"/>
              </w:rPr>
            </w:pP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hAnsi="Times New Roman"/>
                <w:b/>
                <w:bCs/>
                <w:kern w:val="24"/>
                <w:sz w:val="20"/>
                <w:szCs w:val="20"/>
                <w:vertAlign w:val="subscript"/>
              </w:rPr>
              <w:t>HP</w:t>
            </w:r>
            <w:r w:rsidRPr="00A21B92">
              <w:rPr>
                <w:rFonts w:ascii="Times New Roman" w:hAnsi="Times New Roman"/>
                <w:b/>
                <w:bCs/>
                <w:kern w:val="24"/>
                <w:sz w:val="20"/>
                <w:szCs w:val="20"/>
                <w:vertAlign w:val="subscript"/>
                <w:lang w:val="el-GR"/>
              </w:rPr>
              <w:t>β</w:t>
            </w:r>
            <w:r w:rsidRPr="00A21B92">
              <w:rPr>
                <w:rFonts w:ascii="Times New Roman" w:hAnsi="Times New Roman"/>
                <w:b/>
                <w:bCs/>
                <w:kern w:val="24"/>
                <w:sz w:val="20"/>
                <w:szCs w:val="20"/>
                <w:vertAlign w:val="subscript"/>
              </w:rPr>
              <w:t>-CD</w:t>
            </w:r>
          </w:p>
          <w:p w14:paraId="1BEFA466" w14:textId="77777777" w:rsidR="00A21B92" w:rsidRPr="00A21B92" w:rsidRDefault="00A21B92" w:rsidP="00A21B92">
            <w:pPr>
              <w:spacing w:after="60"/>
              <w:ind w:left="-158" w:firstLine="158"/>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r>
      <w:tr w:rsidR="00A21B92" w:rsidRPr="00A21B92" w14:paraId="2FAA33BA" w14:textId="77777777" w:rsidTr="00A21B92">
        <w:trPr>
          <w:jc w:val="center"/>
        </w:trPr>
        <w:tc>
          <w:tcPr>
            <w:tcW w:w="1296" w:type="dxa"/>
            <w:tcBorders>
              <w:top w:val="single" w:sz="4" w:space="0" w:color="auto"/>
            </w:tcBorders>
            <w:shd w:val="clear" w:color="auto" w:fill="auto"/>
          </w:tcPr>
          <w:p w14:paraId="55F7A029"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15</w:t>
            </w:r>
          </w:p>
        </w:tc>
        <w:tc>
          <w:tcPr>
            <w:tcW w:w="1296" w:type="dxa"/>
            <w:tcBorders>
              <w:top w:val="single" w:sz="4" w:space="0" w:color="auto"/>
            </w:tcBorders>
            <w:shd w:val="clear" w:color="auto" w:fill="auto"/>
          </w:tcPr>
          <w:p w14:paraId="17C81E23"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155 ± 2</w:t>
            </w:r>
          </w:p>
        </w:tc>
        <w:tc>
          <w:tcPr>
            <w:tcW w:w="1296" w:type="dxa"/>
            <w:tcBorders>
              <w:top w:val="single" w:sz="4" w:space="0" w:color="auto"/>
            </w:tcBorders>
            <w:shd w:val="clear" w:color="auto" w:fill="auto"/>
          </w:tcPr>
          <w:p w14:paraId="7338E500"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293 ± 26</w:t>
            </w:r>
          </w:p>
        </w:tc>
        <w:tc>
          <w:tcPr>
            <w:tcW w:w="1296" w:type="dxa"/>
            <w:tcBorders>
              <w:top w:val="single" w:sz="4" w:space="0" w:color="auto"/>
            </w:tcBorders>
            <w:shd w:val="clear" w:color="auto" w:fill="auto"/>
          </w:tcPr>
          <w:p w14:paraId="68B62B5B" w14:textId="77777777" w:rsidR="00A21B92" w:rsidRPr="00A21B92" w:rsidRDefault="00A21B92" w:rsidP="00A21B92">
            <w:pPr>
              <w:spacing w:before="60" w:after="0"/>
              <w:ind w:left="513" w:hanging="513"/>
              <w:rPr>
                <w:rFonts w:ascii="Times New Roman" w:hAnsi="Times New Roman"/>
                <w:sz w:val="20"/>
                <w:szCs w:val="20"/>
              </w:rPr>
            </w:pPr>
            <w:r w:rsidRPr="00A21B92">
              <w:rPr>
                <w:rFonts w:ascii="Times New Roman" w:hAnsi="Times New Roman"/>
                <w:kern w:val="24"/>
                <w:sz w:val="20"/>
                <w:szCs w:val="20"/>
              </w:rPr>
              <w:t>285 ± 22</w:t>
            </w:r>
          </w:p>
        </w:tc>
      </w:tr>
      <w:tr w:rsidR="00A21B92" w:rsidRPr="00A21B92" w14:paraId="35AFCD2F" w14:textId="77777777" w:rsidTr="00A21B92">
        <w:trPr>
          <w:jc w:val="center"/>
        </w:trPr>
        <w:tc>
          <w:tcPr>
            <w:tcW w:w="1296" w:type="dxa"/>
            <w:shd w:val="clear" w:color="auto" w:fill="auto"/>
          </w:tcPr>
          <w:p w14:paraId="2F8F2F1A"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20</w:t>
            </w:r>
          </w:p>
        </w:tc>
        <w:tc>
          <w:tcPr>
            <w:tcW w:w="1296" w:type="dxa"/>
            <w:shd w:val="clear" w:color="auto" w:fill="auto"/>
          </w:tcPr>
          <w:p w14:paraId="230ECBB1"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152 ± 14</w:t>
            </w:r>
          </w:p>
        </w:tc>
        <w:tc>
          <w:tcPr>
            <w:tcW w:w="1296" w:type="dxa"/>
            <w:shd w:val="clear" w:color="auto" w:fill="auto"/>
          </w:tcPr>
          <w:p w14:paraId="09A91793"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263 ± 20</w:t>
            </w:r>
          </w:p>
        </w:tc>
        <w:tc>
          <w:tcPr>
            <w:tcW w:w="1296" w:type="dxa"/>
            <w:shd w:val="clear" w:color="auto" w:fill="auto"/>
          </w:tcPr>
          <w:p w14:paraId="36FA26D0"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234 ± 12</w:t>
            </w:r>
          </w:p>
        </w:tc>
      </w:tr>
      <w:tr w:rsidR="00A21B92" w:rsidRPr="00A21B92" w14:paraId="0E3C9E21" w14:textId="77777777" w:rsidTr="00A21B92">
        <w:trPr>
          <w:jc w:val="center"/>
        </w:trPr>
        <w:tc>
          <w:tcPr>
            <w:tcW w:w="1296" w:type="dxa"/>
            <w:shd w:val="clear" w:color="auto" w:fill="auto"/>
          </w:tcPr>
          <w:p w14:paraId="345F52D3"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25</w:t>
            </w:r>
          </w:p>
        </w:tc>
        <w:tc>
          <w:tcPr>
            <w:tcW w:w="1296" w:type="dxa"/>
            <w:shd w:val="clear" w:color="auto" w:fill="auto"/>
          </w:tcPr>
          <w:p w14:paraId="47F93ED2"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137 ± 24</w:t>
            </w:r>
          </w:p>
        </w:tc>
        <w:tc>
          <w:tcPr>
            <w:tcW w:w="1296" w:type="dxa"/>
            <w:shd w:val="clear" w:color="auto" w:fill="auto"/>
          </w:tcPr>
          <w:p w14:paraId="3FEBD3C8"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229 ± 36</w:t>
            </w:r>
          </w:p>
        </w:tc>
        <w:tc>
          <w:tcPr>
            <w:tcW w:w="1296" w:type="dxa"/>
            <w:shd w:val="clear" w:color="auto" w:fill="auto"/>
          </w:tcPr>
          <w:p w14:paraId="55288329"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193 ± 81</w:t>
            </w:r>
          </w:p>
        </w:tc>
      </w:tr>
      <w:tr w:rsidR="00A21B92" w:rsidRPr="00A21B92" w14:paraId="37EDE993" w14:textId="77777777" w:rsidTr="00A21B92">
        <w:trPr>
          <w:jc w:val="center"/>
        </w:trPr>
        <w:tc>
          <w:tcPr>
            <w:tcW w:w="1296" w:type="dxa"/>
            <w:tcBorders>
              <w:bottom w:val="nil"/>
            </w:tcBorders>
            <w:shd w:val="clear" w:color="auto" w:fill="auto"/>
          </w:tcPr>
          <w:p w14:paraId="468B107C" w14:textId="77777777" w:rsidR="00A21B92" w:rsidRPr="00A21B92" w:rsidRDefault="00A21B92" w:rsidP="00A21B92">
            <w:pPr>
              <w:spacing w:after="0"/>
              <w:ind w:left="426" w:hanging="426"/>
              <w:rPr>
                <w:rFonts w:ascii="Times New Roman" w:hAnsi="Times New Roman"/>
                <w:sz w:val="20"/>
                <w:szCs w:val="20"/>
              </w:rPr>
            </w:pPr>
          </w:p>
        </w:tc>
        <w:tc>
          <w:tcPr>
            <w:tcW w:w="1296" w:type="dxa"/>
            <w:tcBorders>
              <w:bottom w:val="nil"/>
            </w:tcBorders>
            <w:shd w:val="clear" w:color="auto" w:fill="auto"/>
          </w:tcPr>
          <w:p w14:paraId="60043D3C" w14:textId="77777777" w:rsidR="00A21B92" w:rsidRPr="00A21B92" w:rsidRDefault="00A21B92" w:rsidP="00A21B92">
            <w:pPr>
              <w:spacing w:after="0"/>
              <w:jc w:val="center"/>
              <w:rPr>
                <w:rFonts w:ascii="Times New Roman" w:hAnsi="Times New Roman"/>
                <w:sz w:val="20"/>
                <w:szCs w:val="20"/>
              </w:rPr>
            </w:pPr>
            <w:r w:rsidRPr="00A21B92">
              <w:rPr>
                <w:rFonts w:ascii="Times New Roman" w:hAnsi="Times New Roman"/>
                <w:kern w:val="24"/>
                <w:sz w:val="20"/>
                <w:szCs w:val="20"/>
              </w:rPr>
              <w:t>252 ± 14</w:t>
            </w:r>
            <w:r w:rsidRPr="00A21B92">
              <w:rPr>
                <w:rFonts w:ascii="Times New Roman" w:hAnsi="Times New Roman"/>
                <w:kern w:val="24"/>
                <w:sz w:val="20"/>
                <w:szCs w:val="20"/>
                <w:vertAlign w:val="superscript"/>
              </w:rPr>
              <w:t>(**)</w:t>
            </w:r>
          </w:p>
        </w:tc>
        <w:tc>
          <w:tcPr>
            <w:tcW w:w="1296" w:type="dxa"/>
            <w:tcBorders>
              <w:bottom w:val="nil"/>
            </w:tcBorders>
            <w:shd w:val="clear" w:color="auto" w:fill="auto"/>
          </w:tcPr>
          <w:p w14:paraId="1DAE1EFC" w14:textId="77777777" w:rsidR="00A21B92" w:rsidRPr="00A21B92" w:rsidRDefault="00A21B92" w:rsidP="00A21B92">
            <w:pPr>
              <w:spacing w:after="0"/>
              <w:jc w:val="center"/>
              <w:rPr>
                <w:rFonts w:ascii="Times New Roman" w:hAnsi="Times New Roman"/>
                <w:sz w:val="20"/>
                <w:szCs w:val="20"/>
              </w:rPr>
            </w:pPr>
            <w:r w:rsidRPr="00A21B92">
              <w:rPr>
                <w:rFonts w:ascii="Times New Roman" w:hAnsi="Times New Roman"/>
                <w:sz w:val="20"/>
                <w:szCs w:val="20"/>
              </w:rPr>
              <w:t xml:space="preserve">1090 </w:t>
            </w:r>
            <w:r w:rsidRPr="00A21B92">
              <w:rPr>
                <w:rFonts w:ascii="Times New Roman" w:hAnsi="Times New Roman"/>
                <w:kern w:val="24"/>
                <w:sz w:val="20"/>
                <w:szCs w:val="20"/>
              </w:rPr>
              <w:t>± 40</w:t>
            </w:r>
            <w:r w:rsidRPr="00A21B92">
              <w:rPr>
                <w:rFonts w:ascii="Times New Roman" w:hAnsi="Times New Roman"/>
                <w:kern w:val="24"/>
                <w:sz w:val="20"/>
                <w:szCs w:val="20"/>
                <w:vertAlign w:val="superscript"/>
              </w:rPr>
              <w:t>(**)</w:t>
            </w:r>
          </w:p>
        </w:tc>
        <w:tc>
          <w:tcPr>
            <w:tcW w:w="1296" w:type="dxa"/>
            <w:tcBorders>
              <w:bottom w:val="nil"/>
            </w:tcBorders>
            <w:shd w:val="clear" w:color="auto" w:fill="auto"/>
          </w:tcPr>
          <w:p w14:paraId="3BE76A83" w14:textId="77777777" w:rsidR="00A21B92" w:rsidRPr="00A21B92" w:rsidRDefault="00A21B92" w:rsidP="00A21B92">
            <w:pPr>
              <w:spacing w:after="0"/>
              <w:rPr>
                <w:rFonts w:ascii="Times New Roman" w:hAnsi="Times New Roman"/>
                <w:sz w:val="20"/>
                <w:szCs w:val="20"/>
              </w:rPr>
            </w:pPr>
          </w:p>
        </w:tc>
      </w:tr>
      <w:tr w:rsidR="00A21B92" w:rsidRPr="00A21B92" w14:paraId="27B519C9" w14:textId="77777777" w:rsidTr="00A21B92">
        <w:trPr>
          <w:jc w:val="center"/>
        </w:trPr>
        <w:tc>
          <w:tcPr>
            <w:tcW w:w="1296" w:type="dxa"/>
            <w:tcBorders>
              <w:top w:val="nil"/>
              <w:bottom w:val="single" w:sz="4" w:space="0" w:color="auto"/>
            </w:tcBorders>
            <w:shd w:val="clear" w:color="auto" w:fill="auto"/>
          </w:tcPr>
          <w:p w14:paraId="3D2678E8" w14:textId="77777777" w:rsidR="00A21B92" w:rsidRPr="00A21B92" w:rsidRDefault="00A21B92" w:rsidP="00A21B92">
            <w:pPr>
              <w:spacing w:before="60" w:after="60"/>
              <w:rPr>
                <w:rFonts w:ascii="Times New Roman" w:hAnsi="Times New Roman"/>
                <w:sz w:val="20"/>
                <w:szCs w:val="20"/>
              </w:rPr>
            </w:pPr>
            <w:r w:rsidRPr="00A21B92">
              <w:rPr>
                <w:rFonts w:ascii="Times New Roman" w:hAnsi="Times New Roman"/>
                <w:kern w:val="24"/>
                <w:sz w:val="20"/>
                <w:szCs w:val="20"/>
              </w:rPr>
              <w:t>37</w:t>
            </w:r>
          </w:p>
        </w:tc>
        <w:tc>
          <w:tcPr>
            <w:tcW w:w="1296" w:type="dxa"/>
            <w:tcBorders>
              <w:top w:val="nil"/>
              <w:bottom w:val="single" w:sz="4" w:space="0" w:color="auto"/>
            </w:tcBorders>
            <w:shd w:val="clear" w:color="auto" w:fill="auto"/>
          </w:tcPr>
          <w:p w14:paraId="07F92138" w14:textId="77777777" w:rsidR="00A21B92" w:rsidRPr="00A21B92" w:rsidRDefault="00A21B92" w:rsidP="00A21B92">
            <w:pPr>
              <w:spacing w:before="60" w:after="60"/>
              <w:jc w:val="center"/>
              <w:rPr>
                <w:rFonts w:ascii="Times New Roman" w:hAnsi="Times New Roman"/>
                <w:sz w:val="20"/>
                <w:szCs w:val="20"/>
              </w:rPr>
            </w:pPr>
            <w:r w:rsidRPr="00A21B92">
              <w:rPr>
                <w:rFonts w:ascii="Times New Roman" w:hAnsi="Times New Roman"/>
                <w:kern w:val="24"/>
                <w:sz w:val="20"/>
                <w:szCs w:val="20"/>
              </w:rPr>
              <w:t>76 ± 5.58</w:t>
            </w:r>
          </w:p>
        </w:tc>
        <w:tc>
          <w:tcPr>
            <w:tcW w:w="1296" w:type="dxa"/>
            <w:tcBorders>
              <w:top w:val="nil"/>
              <w:bottom w:val="single" w:sz="4" w:space="0" w:color="auto"/>
            </w:tcBorders>
            <w:shd w:val="clear" w:color="auto" w:fill="auto"/>
          </w:tcPr>
          <w:p w14:paraId="7B7C1903" w14:textId="77777777" w:rsidR="00A21B92" w:rsidRPr="00A21B92" w:rsidRDefault="00A21B92" w:rsidP="00A21B92">
            <w:pPr>
              <w:spacing w:before="60" w:after="60"/>
              <w:jc w:val="center"/>
              <w:rPr>
                <w:rFonts w:ascii="Times New Roman" w:hAnsi="Times New Roman"/>
                <w:sz w:val="20"/>
                <w:szCs w:val="20"/>
              </w:rPr>
            </w:pPr>
            <w:r w:rsidRPr="00A21B92">
              <w:rPr>
                <w:rFonts w:ascii="Times New Roman" w:hAnsi="Times New Roman"/>
                <w:kern w:val="24"/>
                <w:sz w:val="20"/>
                <w:szCs w:val="20"/>
              </w:rPr>
              <w:t>121 ± 9.6</w:t>
            </w:r>
          </w:p>
        </w:tc>
        <w:tc>
          <w:tcPr>
            <w:tcW w:w="1296" w:type="dxa"/>
            <w:tcBorders>
              <w:top w:val="nil"/>
              <w:bottom w:val="single" w:sz="4" w:space="0" w:color="auto"/>
            </w:tcBorders>
            <w:shd w:val="clear" w:color="auto" w:fill="auto"/>
          </w:tcPr>
          <w:p w14:paraId="62D886B8" w14:textId="77777777" w:rsidR="00A21B92" w:rsidRPr="00A21B92" w:rsidRDefault="00A21B92" w:rsidP="00A21B92">
            <w:pPr>
              <w:spacing w:before="60" w:after="60"/>
              <w:rPr>
                <w:rFonts w:ascii="Times New Roman" w:hAnsi="Times New Roman"/>
                <w:sz w:val="20"/>
                <w:szCs w:val="20"/>
              </w:rPr>
            </w:pPr>
            <w:r w:rsidRPr="00A21B92">
              <w:rPr>
                <w:rFonts w:ascii="Times New Roman" w:hAnsi="Times New Roman"/>
                <w:kern w:val="24"/>
                <w:sz w:val="20"/>
                <w:szCs w:val="20"/>
              </w:rPr>
              <w:t>91 ± 20</w:t>
            </w:r>
          </w:p>
        </w:tc>
      </w:tr>
    </w:tbl>
    <w:p w14:paraId="69AAFECC" w14:textId="6AE69B11" w:rsidR="00A21B92" w:rsidRPr="00C54EBB" w:rsidRDefault="00A21B92" w:rsidP="00C54EBB">
      <w:pPr>
        <w:adjustRightInd w:val="0"/>
        <w:spacing w:before="60" w:after="0"/>
        <w:ind w:left="1411" w:firstLine="389"/>
        <w:jc w:val="both"/>
        <w:rPr>
          <w:rFonts w:ascii="Times New Roman" w:eastAsia="Calibri" w:hAnsi="Times New Roman"/>
          <w:sz w:val="18"/>
          <w:szCs w:val="18"/>
        </w:rPr>
      </w:pPr>
      <w:r w:rsidRPr="00C54EBB">
        <w:rPr>
          <w:rFonts w:ascii="Times New Roman" w:hAnsi="Times New Roman"/>
          <w:kern w:val="24"/>
          <w:sz w:val="18"/>
          <w:szCs w:val="18"/>
        </w:rPr>
        <w:t xml:space="preserve">    (**): reference [21]</w:t>
      </w:r>
    </w:p>
    <w:p w14:paraId="75E2C1AB" w14:textId="77777777" w:rsidR="00C54EBB" w:rsidRDefault="00C54EBB" w:rsidP="00A21B92">
      <w:pPr>
        <w:adjustRightInd w:val="0"/>
        <w:spacing w:after="0"/>
        <w:ind w:right="-2"/>
        <w:jc w:val="both"/>
        <w:rPr>
          <w:rFonts w:ascii="Times New Roman" w:eastAsia="Calibri" w:hAnsi="Times New Roman"/>
          <w:sz w:val="20"/>
          <w:szCs w:val="20"/>
        </w:rPr>
      </w:pPr>
    </w:p>
    <w:p w14:paraId="2B4820D0" w14:textId="77777777" w:rsidR="00C54EBB" w:rsidRDefault="00C54EBB" w:rsidP="00A21B92">
      <w:pPr>
        <w:adjustRightInd w:val="0"/>
        <w:spacing w:after="0"/>
        <w:ind w:right="-2"/>
        <w:jc w:val="both"/>
        <w:rPr>
          <w:rFonts w:ascii="Times New Roman" w:eastAsia="Calibri" w:hAnsi="Times New Roman"/>
          <w:sz w:val="20"/>
          <w:szCs w:val="20"/>
        </w:rPr>
      </w:pPr>
    </w:p>
    <w:p w14:paraId="1CE59FEE" w14:textId="77777777" w:rsidR="00C54EBB" w:rsidRDefault="00C54EBB" w:rsidP="00A21B92">
      <w:pPr>
        <w:adjustRightInd w:val="0"/>
        <w:spacing w:after="0"/>
        <w:ind w:right="-2"/>
        <w:jc w:val="both"/>
        <w:rPr>
          <w:rFonts w:ascii="Times New Roman" w:eastAsia="Calibri" w:hAnsi="Times New Roman"/>
          <w:sz w:val="20"/>
          <w:szCs w:val="20"/>
        </w:rPr>
      </w:pPr>
    </w:p>
    <w:p w14:paraId="18BAD4C8" w14:textId="5281B48D" w:rsidR="00A21B92" w:rsidRDefault="00A21B92" w:rsidP="00A21B92">
      <w:pPr>
        <w:spacing w:after="0"/>
        <w:jc w:val="both"/>
        <w:rPr>
          <w:rFonts w:ascii="Times New Roman" w:hAnsi="Times New Roman"/>
          <w:noProof/>
          <w:sz w:val="20"/>
          <w:szCs w:val="20"/>
          <w:lang w:bidi="ar-SA"/>
        </w:rPr>
      </w:pPr>
    </w:p>
    <w:p w14:paraId="62234260" w14:textId="77777777" w:rsidR="00EB7D5C" w:rsidRPr="00EF4233" w:rsidRDefault="00EB7D5C" w:rsidP="00EB7D5C">
      <w:pPr>
        <w:spacing w:after="0"/>
        <w:jc w:val="both"/>
        <w:rPr>
          <w:rFonts w:ascii="Times New Roman" w:eastAsia="Calibri" w:hAnsi="Times New Roman"/>
          <w:sz w:val="20"/>
          <w:szCs w:val="20"/>
        </w:rPr>
      </w:pPr>
    </w:p>
    <w:p w14:paraId="7DB640C0" w14:textId="77777777" w:rsidR="00EB7D5C" w:rsidRPr="00EF4233" w:rsidRDefault="00DA1AA0" w:rsidP="00EB7D5C">
      <w:pPr>
        <w:adjustRightInd w:val="0"/>
        <w:spacing w:after="0"/>
        <w:jc w:val="center"/>
        <w:rPr>
          <w:rFonts w:ascii="Times New Roman" w:hAnsi="Times New Roman"/>
          <w:sz w:val="20"/>
          <w:szCs w:val="20"/>
        </w:rPr>
      </w:pPr>
      <w:r>
        <w:rPr>
          <w:rFonts w:ascii="Times New Roman" w:hAnsi="Times New Roman"/>
          <w:noProof/>
          <w:sz w:val="20"/>
          <w:szCs w:val="20"/>
        </w:rPr>
        <w:lastRenderedPageBreak/>
        <w:object w:dxaOrig="1440" w:dyaOrig="1440" w14:anchorId="3869DA0D">
          <v:shape id="_x0000_s2064" type="#_x0000_t75" style="position:absolute;left:0;text-align:left;margin-left:10.75pt;margin-top:0;width:431.55pt;height:314.45pt;z-index:251666432" o:allowoverlap="f">
            <v:imagedata r:id="rId49" o:title=""/>
            <w10:wrap type="square"/>
          </v:shape>
          <o:OLEObject Type="Embed" ProgID="Origin50.Graph" ShapeID="_x0000_s2064" DrawAspect="Content" ObjectID="_1707119883" r:id="rId50"/>
        </w:object>
      </w:r>
      <w:r w:rsidR="00EB7D5C" w:rsidRPr="00EF4233">
        <w:rPr>
          <w:rFonts w:ascii="Times New Roman" w:hAnsi="Times New Roman"/>
          <w:sz w:val="20"/>
          <w:szCs w:val="20"/>
        </w:rPr>
        <w:t xml:space="preserve">Figure 7. </w:t>
      </w:r>
      <w:r w:rsidR="00EB7D5C">
        <w:rPr>
          <w:sz w:val="20"/>
          <w:szCs w:val="20"/>
        </w:rPr>
        <w:t xml:space="preserve"> </w:t>
      </w:r>
      <w:r w:rsidR="00EB7D5C" w:rsidRPr="00EF4233">
        <w:rPr>
          <w:rFonts w:ascii="Times New Roman" w:hAnsi="Times New Roman"/>
          <w:sz w:val="20"/>
          <w:szCs w:val="20"/>
        </w:rPr>
        <w:t xml:space="preserve">Van’t Hoff plot for the association of TC-HCl with a) </w:t>
      </w:r>
      <w:r w:rsidR="00EB7D5C" w:rsidRPr="00EF4233">
        <w:rPr>
          <w:rFonts w:ascii="Times New Roman" w:hAnsi="Times New Roman"/>
          <w:i/>
          <w:iCs/>
          <w:sz w:val="20"/>
          <w:szCs w:val="20"/>
        </w:rPr>
        <w:t>α-</w:t>
      </w:r>
      <w:r w:rsidR="00EB7D5C" w:rsidRPr="00EF4233">
        <w:rPr>
          <w:rFonts w:ascii="Times New Roman" w:hAnsi="Times New Roman"/>
          <w:sz w:val="20"/>
          <w:szCs w:val="20"/>
        </w:rPr>
        <w:t>CD,</w:t>
      </w:r>
      <w:r w:rsidR="00EB7D5C" w:rsidRPr="00EF4233">
        <w:rPr>
          <w:rFonts w:ascii="Times New Roman" w:hAnsi="Times New Roman"/>
          <w:i/>
          <w:iCs/>
          <w:sz w:val="20"/>
          <w:szCs w:val="20"/>
        </w:rPr>
        <w:t xml:space="preserve"> b) </w:t>
      </w:r>
      <w:r w:rsidR="00EB7D5C" w:rsidRPr="00EF4233">
        <w:rPr>
          <w:rFonts w:ascii="Times New Roman" w:hAnsi="Times New Roman"/>
          <w:sz w:val="20"/>
          <w:szCs w:val="20"/>
        </w:rPr>
        <w:t>β-CD and c) HPβ-CD</w:t>
      </w:r>
    </w:p>
    <w:p w14:paraId="53DF0AD2" w14:textId="77777777" w:rsidR="00EB7D5C" w:rsidRPr="00EF4233" w:rsidRDefault="00EB7D5C" w:rsidP="00EB7D5C">
      <w:pPr>
        <w:spacing w:after="0"/>
        <w:jc w:val="both"/>
        <w:rPr>
          <w:rFonts w:ascii="Times New Roman" w:eastAsia="Calibri" w:hAnsi="Times New Roman"/>
          <w:sz w:val="20"/>
          <w:szCs w:val="20"/>
        </w:rPr>
        <w:sectPr w:rsidR="00EB7D5C" w:rsidRPr="00EF4233" w:rsidSect="007B550E">
          <w:footerReference w:type="even" r:id="rId51"/>
          <w:footerReference w:type="default" r:id="rId52"/>
          <w:type w:val="continuous"/>
          <w:pgSz w:w="11906" w:h="16838" w:code="9"/>
          <w:pgMar w:top="1800" w:right="1469" w:bottom="1699" w:left="1440" w:header="709" w:footer="709" w:gutter="0"/>
          <w:pgNumType w:start="164"/>
          <w:cols w:space="708"/>
          <w:docGrid w:linePitch="360"/>
        </w:sectPr>
      </w:pPr>
    </w:p>
    <w:p w14:paraId="64AB568B" w14:textId="2BD7C9D9" w:rsidR="00EB7D5C" w:rsidRDefault="00EB7D5C" w:rsidP="00EB7D5C">
      <w:pPr>
        <w:adjustRightInd w:val="0"/>
        <w:spacing w:after="0"/>
        <w:ind w:right="423"/>
        <w:jc w:val="both"/>
        <w:rPr>
          <w:rFonts w:eastAsia="Calibri"/>
          <w:sz w:val="20"/>
          <w:szCs w:val="20"/>
        </w:rPr>
      </w:pPr>
    </w:p>
    <w:p w14:paraId="10674840" w14:textId="77777777" w:rsidR="008642CD" w:rsidRPr="00EF4233" w:rsidRDefault="008642CD" w:rsidP="00EB7D5C">
      <w:pPr>
        <w:adjustRightInd w:val="0"/>
        <w:spacing w:after="0"/>
        <w:ind w:right="423"/>
        <w:jc w:val="both"/>
        <w:rPr>
          <w:rFonts w:ascii="Times New Roman" w:eastAsia="Calibri" w:hAnsi="Times New Roman"/>
          <w:sz w:val="20"/>
          <w:szCs w:val="20"/>
        </w:rPr>
      </w:pPr>
    </w:p>
    <w:p w14:paraId="62F9E38E" w14:textId="77777777" w:rsidR="008642CD" w:rsidRDefault="008642CD" w:rsidP="008642CD">
      <w:pPr>
        <w:adjustRightInd w:val="0"/>
        <w:spacing w:after="0"/>
        <w:ind w:right="-2"/>
        <w:jc w:val="both"/>
        <w:rPr>
          <w:rFonts w:ascii="Times New Roman" w:eastAsia="Calibri" w:hAnsi="Times New Roman"/>
          <w:sz w:val="20"/>
          <w:szCs w:val="20"/>
        </w:rPr>
        <w:sectPr w:rsidR="008642CD" w:rsidSect="00D370A5">
          <w:headerReference w:type="even" r:id="rId53"/>
          <w:footerReference w:type="default" r:id="rId54"/>
          <w:type w:val="continuous"/>
          <w:pgSz w:w="11906" w:h="16838"/>
          <w:pgMar w:top="1440" w:right="1440" w:bottom="1440" w:left="1440" w:header="709" w:footer="709" w:gutter="0"/>
          <w:cols w:space="708"/>
          <w:docGrid w:linePitch="360"/>
        </w:sectPr>
      </w:pPr>
    </w:p>
    <w:p w14:paraId="1C2405E3" w14:textId="77777777" w:rsidR="00EB7D5C" w:rsidRPr="00EF4233" w:rsidRDefault="00EB7D5C" w:rsidP="008642CD">
      <w:pPr>
        <w:adjustRightInd w:val="0"/>
        <w:spacing w:after="0"/>
        <w:ind w:right="-2"/>
        <w:jc w:val="both"/>
        <w:rPr>
          <w:rFonts w:ascii="Times New Roman" w:eastAsia="Calibri" w:hAnsi="Times New Roman"/>
          <w:sz w:val="20"/>
          <w:szCs w:val="20"/>
          <w:vertAlign w:val="superscript"/>
        </w:rPr>
      </w:pPr>
      <w:r w:rsidRPr="00EF4233">
        <w:rPr>
          <w:rFonts w:ascii="Times New Roman" w:eastAsia="Calibri" w:hAnsi="Times New Roman"/>
          <w:sz w:val="20"/>
          <w:szCs w:val="20"/>
        </w:rPr>
        <w:t xml:space="preserve">From the slopes of the linear fits of the data to the classical Van’t Hoff equation </w:t>
      </w:r>
      <w:r w:rsidRPr="00EF4233">
        <w:rPr>
          <w:rFonts w:ascii="Times New Roman" w:eastAsia="Calibri" w:hAnsi="Times New Roman"/>
          <w:i/>
          <w:iCs/>
          <w:sz w:val="20"/>
          <w:szCs w:val="20"/>
        </w:rPr>
        <w:t>(R</w:t>
      </w:r>
      <w:r w:rsidRPr="00EF4233">
        <w:rPr>
          <w:rFonts w:ascii="Times New Roman" w:eastAsia="Calibri" w:hAnsi="Times New Roman"/>
          <w:sz w:val="20"/>
          <w:szCs w:val="20"/>
        </w:rPr>
        <w:t>ln</w:t>
      </w:r>
      <w:r w:rsidRPr="00EF4233">
        <w:rPr>
          <w:rFonts w:ascii="Times New Roman" w:eastAsia="Calibri" w:hAnsi="Times New Roman"/>
          <w:i/>
          <w:iCs/>
          <w:sz w:val="20"/>
          <w:szCs w:val="20"/>
        </w:rPr>
        <w:t>K</w:t>
      </w:r>
      <w:r w:rsidRPr="00EF4233">
        <w:rPr>
          <w:rFonts w:ascii="Times New Roman" w:eastAsia="MTSYN" w:hAnsi="Times New Roman"/>
          <w:sz w:val="20"/>
          <w:szCs w:val="20"/>
        </w:rPr>
        <w:t>=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w:t>
      </w:r>
      <w:r w:rsidRPr="00EF4233">
        <w:rPr>
          <w:rFonts w:ascii="Times New Roman" w:eastAsia="Calibri" w:hAnsi="Times New Roman"/>
          <w:i/>
          <w:iCs/>
          <w:sz w:val="20"/>
          <w:szCs w:val="20"/>
        </w:rPr>
        <w:t xml:space="preserve">/T </w:t>
      </w:r>
      <w:r w:rsidRPr="00EF4233">
        <w:rPr>
          <w:rFonts w:ascii="Times New Roman" w:eastAsia="MTSYN" w:hAnsi="Times New Roman"/>
          <w:sz w:val="20"/>
          <w:szCs w:val="20"/>
        </w:rPr>
        <w:t xml:space="preserv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w:t>
      </w:r>
      <w:r w:rsidRPr="00EF4233">
        <w:rPr>
          <w:rFonts w:ascii="Times New Roman" w:eastAsia="Calibri" w:hAnsi="Times New Roman"/>
          <w:i/>
          <w:iCs/>
          <w:sz w:val="20"/>
          <w:szCs w:val="20"/>
        </w:rPr>
        <w:t>), v</w:t>
      </w:r>
      <w:r w:rsidRPr="00EF4233">
        <w:rPr>
          <w:rFonts w:ascii="Times New Roman" w:eastAsia="Calibri" w:hAnsi="Times New Roman"/>
          <w:sz w:val="20"/>
          <w:szCs w:val="20"/>
        </w:rPr>
        <w:t xml:space="preserve">alues of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equal to </w:t>
      </w:r>
      <w:r w:rsidRPr="00EF4233">
        <w:rPr>
          <w:rFonts w:ascii="Times New Roman" w:eastAsia="MTSYN" w:hAnsi="Times New Roman"/>
          <w:sz w:val="20"/>
          <w:szCs w:val="20"/>
        </w:rPr>
        <w:t>-</w:t>
      </w:r>
      <w:r w:rsidRPr="00EF4233">
        <w:rPr>
          <w:rFonts w:ascii="Times New Roman" w:eastAsia="Calibri" w:hAnsi="Times New Roman"/>
          <w:sz w:val="20"/>
          <w:szCs w:val="20"/>
        </w:rPr>
        <w:t>24.3, -30.06 and -38.08</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Kj.mol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 xml:space="preserve"> are obtained respectively for α-CD, β-CD and HPβ-CD complexes (Table 2). Negative values of the binding enthalpy are the sign that the drug establishes favorable interactions with cyclodextrins. In such association, the enthalpy change is the result of two main conflicting contributions: the favorable enthalpy associated with van der Waals forces coupled to the host/guest hydrogen bonds formation and the unfavorable enthalpy associated with the desolvation of the guest polar groups [11-13].</w:t>
      </w:r>
      <w:r w:rsidRPr="00EF4233">
        <w:rPr>
          <w:rFonts w:ascii="Times New Roman" w:eastAsia="Calibri" w:hAnsi="Times New Roman"/>
          <w:sz w:val="20"/>
          <w:szCs w:val="20"/>
          <w:vertAlign w:val="superscript"/>
        </w:rPr>
        <w:t xml:space="preserve"> </w:t>
      </w:r>
      <w:r w:rsidRPr="00EF4233">
        <w:rPr>
          <w:rFonts w:ascii="Times New Roman" w:eastAsia="Calibri" w:hAnsi="Times New Roman"/>
          <w:sz w:val="20"/>
          <w:szCs w:val="20"/>
        </w:rPr>
        <w:t xml:space="preserve">Van der Waals interactions become maximal when a perfect size fitting between cyclodextrin and the drug takes place while the hydrogen bonds formation optimization is reached when drug polar groups prefer forming hydrogen bond with the cyclodextrin prior to the surrounding water molecules. Thus, an unfavorable binding enthalpy usually indicates that the desolvation is not enough to permit the inclusion of the guest molecule. However, the enthalpic contribution is not the sole provider of the </w:t>
      </w:r>
      <w:r w:rsidRPr="00EF4233">
        <w:rPr>
          <w:rFonts w:ascii="Times New Roman" w:eastAsia="Calibri" w:hAnsi="Times New Roman"/>
          <w:sz w:val="20"/>
          <w:szCs w:val="20"/>
        </w:rPr>
        <w:t xml:space="preserve">stabilization of the complex and one has to consider the entropic contribution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Two major terms contribute to the entropy of binding; the first one is the favorable desolvation entropy change which originates from the release of water molecules as the drug molecule and the binding cavity undergo desolvation upon binding [11-13].</w:t>
      </w:r>
      <w:r w:rsidRPr="00EF4233">
        <w:rPr>
          <w:rFonts w:ascii="Times New Roman" w:eastAsia="Calibri" w:hAnsi="Times New Roman"/>
          <w:sz w:val="20"/>
          <w:szCs w:val="20"/>
          <w:vertAlign w:val="superscript"/>
        </w:rPr>
        <w:t xml:space="preserve"> </w:t>
      </w:r>
    </w:p>
    <w:p w14:paraId="2D02A4D1" w14:textId="77777777" w:rsidR="00EB7D5C" w:rsidRPr="00EF4233" w:rsidRDefault="00EB7D5C" w:rsidP="008642CD">
      <w:pPr>
        <w:adjustRightInd w:val="0"/>
        <w:spacing w:after="0"/>
        <w:ind w:right="-2"/>
        <w:jc w:val="both"/>
        <w:rPr>
          <w:rFonts w:ascii="Times New Roman" w:eastAsia="Calibri" w:hAnsi="Times New Roman"/>
          <w:sz w:val="20"/>
          <w:szCs w:val="20"/>
          <w:vertAlign w:val="superscript"/>
        </w:rPr>
      </w:pPr>
    </w:p>
    <w:p w14:paraId="5979A71D" w14:textId="77777777" w:rsidR="00EB7D5C" w:rsidRPr="00EF4233" w:rsidRDefault="00EB7D5C" w:rsidP="008642CD">
      <w:pPr>
        <w:adjustRightInd w:val="0"/>
        <w:spacing w:after="0"/>
        <w:ind w:right="-2"/>
        <w:jc w:val="both"/>
        <w:rPr>
          <w:rFonts w:ascii="Times New Roman" w:eastAsia="Calibri" w:hAnsi="Times New Roman"/>
          <w:sz w:val="20"/>
          <w:szCs w:val="20"/>
        </w:rPr>
      </w:pPr>
      <w:r w:rsidRPr="00EF4233">
        <w:rPr>
          <w:rFonts w:ascii="Times New Roman" w:eastAsia="Calibri" w:hAnsi="Times New Roman"/>
          <w:sz w:val="20"/>
          <w:szCs w:val="20"/>
        </w:rPr>
        <w:t>The second term is related to the conformational entropy change which is almost always unfavorable since during the binding process both the drug and the cyclodextrin molecules induce the loss of conformational degrees of freedom.  Thus, for our studied system, from the intercepts of V</w:t>
      </w:r>
      <w:r w:rsidRPr="00EF4233">
        <w:rPr>
          <w:rFonts w:ascii="Times New Roman" w:hAnsi="Times New Roman"/>
          <w:sz w:val="20"/>
          <w:szCs w:val="20"/>
        </w:rPr>
        <w:t>an’t Hoff plot</w:t>
      </w:r>
      <w:r w:rsidRPr="00EF4233">
        <w:rPr>
          <w:rFonts w:ascii="Times New Roman" w:eastAsia="Calibri" w:hAnsi="Times New Roman"/>
          <w:sz w:val="20"/>
          <w:szCs w:val="20"/>
        </w:rPr>
        <w:t xml:space="preserv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values </w:t>
      </w:r>
      <w:r w:rsidRPr="00EF4233">
        <w:rPr>
          <w:rFonts w:ascii="Times New Roman" w:eastAsia="MTSYN" w:hAnsi="Times New Roman"/>
          <w:sz w:val="20"/>
          <w:szCs w:val="20"/>
        </w:rPr>
        <w:t>equal to −</w:t>
      </w:r>
      <w:r w:rsidRPr="00EF4233">
        <w:rPr>
          <w:rFonts w:ascii="Times New Roman" w:eastAsia="Calibri" w:hAnsi="Times New Roman"/>
          <w:sz w:val="20"/>
          <w:szCs w:val="20"/>
        </w:rPr>
        <w:t>41.8, -56.63 and -84.73 J.K</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 xml:space="preserve"> are extracted for α-CD, β-CD and HPβ-CD complexes respectively (Table 2). For all cases it can be observed that the drug bind to CDs with a favorable enthalpic term </w:t>
      </w:r>
      <w:r w:rsidRPr="00EF4233">
        <w:rPr>
          <w:rFonts w:ascii="Times New Roman" w:eastAsia="Calibri" w:hAnsi="Times New Roman"/>
          <w:i/>
          <w:iCs/>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 xml:space="preserve">and an unfavorable entropic term </w:t>
      </w:r>
      <w:r w:rsidRPr="00EF4233">
        <w:rPr>
          <w:rFonts w:ascii="Times New Roman" w:eastAsia="Calibri" w:hAnsi="Times New Roman"/>
          <w:i/>
          <w:iCs/>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w:t>
      </w:r>
      <w:r w:rsidRPr="00EF4233">
        <w:rPr>
          <w:rFonts w:ascii="Times New Roman" w:eastAsia="Calibri" w:hAnsi="Times New Roman"/>
          <w:sz w:val="20"/>
          <w:szCs w:val="20"/>
        </w:rPr>
        <w:t>. All processes are exothermic and enthalpy driven (</w:t>
      </w:r>
      <w:r w:rsidRPr="00EF4233">
        <w:rPr>
          <w:rFonts w:ascii="Times New Roman" w:eastAsia="MTSYN" w:hAnsi="Times New Roman"/>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w:t>
      </w:r>
      <w:r w:rsidRPr="00EF4233">
        <w:rPr>
          <w:rFonts w:ascii="Times New Roman" w:eastAsia="MTSYN" w:hAnsi="Times New Roman"/>
          <w:sz w:val="20"/>
          <w:szCs w:val="20"/>
        </w:rPr>
        <w:t xml:space="preserve">| </w:t>
      </w:r>
      <w:r w:rsidRPr="00EF4233">
        <w:rPr>
          <w:rFonts w:ascii="Times New Roman" w:eastAsia="Calibri" w:hAnsi="Times New Roman"/>
          <w:i/>
          <w:iCs/>
          <w:sz w:val="20"/>
          <w:szCs w:val="20"/>
        </w:rPr>
        <w:t>&gt; T</w:t>
      </w:r>
      <w:r w:rsidRPr="00EF4233">
        <w:rPr>
          <w:rFonts w:ascii="Times New Roman" w:eastAsia="MTSYN" w:hAnsi="Times New Roman"/>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w:t>
      </w:r>
      <w:r w:rsidRPr="00EF4233">
        <w:rPr>
          <w:rFonts w:ascii="Times New Roman" w:eastAsia="MTSYN" w:hAnsi="Times New Roman"/>
          <w:sz w:val="20"/>
          <w:szCs w:val="20"/>
        </w:rPr>
        <w:t>|</w:t>
      </w:r>
      <w:r w:rsidRPr="00EF4233">
        <w:rPr>
          <w:rFonts w:ascii="Times New Roman" w:eastAsia="Calibri" w:hAnsi="Times New Roman"/>
          <w:sz w:val="20"/>
          <w:szCs w:val="20"/>
        </w:rPr>
        <w:t xml:space="preserve">), as usually found for such associations [10, 22]. With its negative entropy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 xml:space="preserve">0 the complexation seems </w:t>
      </w:r>
      <w:r w:rsidRPr="00EF4233">
        <w:rPr>
          <w:rFonts w:ascii="Times New Roman" w:eastAsia="Calibri" w:hAnsi="Times New Roman"/>
          <w:sz w:val="20"/>
          <w:szCs w:val="20"/>
        </w:rPr>
        <w:lastRenderedPageBreak/>
        <w:t>to be mainly driven by Van der Waals attractive forces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 xml:space="preserve">0;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and solvent reorganization effects. The contribution coming from the hydrophobic effect seems to be negligible especially for HPβ-CD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w:t>
      </w:r>
      <w:r w:rsidRPr="00EF4233">
        <w:rPr>
          <w:rFonts w:ascii="Times New Roman" w:eastAsia="Calibri" w:hAnsi="Times New Roman"/>
          <w:sz w:val="20"/>
          <w:szCs w:val="20"/>
        </w:rPr>
        <w:t>-84 J.mol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w:t>
      </w:r>
      <w:r w:rsidRPr="00EF4233">
        <w:rPr>
          <w:rFonts w:ascii="Times New Roman" w:hAnsi="Times New Roman"/>
          <w:spacing w:val="-2"/>
          <w:sz w:val="20"/>
          <w:szCs w:val="20"/>
        </w:rPr>
        <w:t>K</w:t>
      </w:r>
      <w:r w:rsidRPr="00EF4233">
        <w:rPr>
          <w:rFonts w:ascii="Times New Roman" w:hAnsi="Times New Roman"/>
          <w:spacing w:val="-2"/>
          <w:sz w:val="20"/>
          <w:szCs w:val="20"/>
          <w:vertAlign w:val="superscript"/>
        </w:rPr>
        <w:t>-1</w:t>
      </w:r>
      <w:r w:rsidRPr="00EF4233">
        <w:rPr>
          <w:rFonts w:ascii="Times New Roman" w:eastAsia="Calibri" w:hAnsi="Times New Roman"/>
          <w:sz w:val="20"/>
          <w:szCs w:val="20"/>
        </w:rPr>
        <w:t>).</w:t>
      </w:r>
    </w:p>
    <w:p w14:paraId="2B0CDE6D" w14:textId="77777777" w:rsidR="00EB7D5C" w:rsidRPr="00EF4233" w:rsidRDefault="00EB7D5C" w:rsidP="008642CD">
      <w:pPr>
        <w:adjustRightInd w:val="0"/>
        <w:spacing w:after="0"/>
        <w:ind w:right="-2"/>
        <w:jc w:val="both"/>
        <w:rPr>
          <w:rFonts w:ascii="Times New Roman" w:eastAsia="Calibri" w:hAnsi="Times New Roman"/>
          <w:sz w:val="20"/>
          <w:szCs w:val="20"/>
        </w:rPr>
      </w:pPr>
    </w:p>
    <w:p w14:paraId="44A9F356" w14:textId="77777777" w:rsidR="008642CD" w:rsidRDefault="00EB7D5C" w:rsidP="00D66C25">
      <w:pPr>
        <w:adjustRightInd w:val="0"/>
        <w:spacing w:after="0"/>
        <w:jc w:val="both"/>
        <w:rPr>
          <w:rFonts w:eastAsia="Calibri"/>
          <w:sz w:val="20"/>
          <w:szCs w:val="20"/>
        </w:rPr>
      </w:pPr>
      <w:r w:rsidRPr="00EF4233">
        <w:rPr>
          <w:rFonts w:ascii="Times New Roman" w:eastAsia="Calibri" w:hAnsi="Times New Roman"/>
          <w:sz w:val="20"/>
          <w:szCs w:val="20"/>
        </w:rPr>
        <w:t xml:space="preserve">For HPβ-CD a linear relationship has been found in the Van Hoff plot, revealing independence of both the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and the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of the association processes with </w:t>
      </w:r>
      <w:r w:rsidRPr="00EF4233">
        <w:rPr>
          <w:rFonts w:ascii="Times New Roman" w:eastAsia="Calibri" w:hAnsi="Times New Roman"/>
          <w:i/>
          <w:iCs/>
          <w:sz w:val="20"/>
          <w:szCs w:val="20"/>
        </w:rPr>
        <w:t>T</w:t>
      </w:r>
      <w:r w:rsidRPr="00EF4233">
        <w:rPr>
          <w:rFonts w:ascii="Times New Roman" w:eastAsia="Calibri" w:hAnsi="Times New Roman"/>
          <w:sz w:val="20"/>
          <w:szCs w:val="20"/>
        </w:rPr>
        <w:t xml:space="preserve">. For β-CD and α-CD, Van Hoff plots are better described by nonlinear curves as usually reported for this kind of processes by different authors [10, 22]. With its hydroxypropyl hydrocarbon chains the HPβ-CD second rim is a relatively flexible structure </w:t>
      </w:r>
      <w:r w:rsidRPr="00EF4233">
        <w:rPr>
          <w:rFonts w:ascii="Times New Roman" w:eastAsia="Calibri" w:hAnsi="Times New Roman"/>
          <w:sz w:val="20"/>
          <w:szCs w:val="20"/>
        </w:rPr>
        <w:t>compared to one belonging to native βCD which is more rigid since hydrogen bonds belt is thought to exist all around the rim. These hydrocarbon chains can hinder the complete inclusion of the guest molecule and decrease the desolvation process and thus diminish the strength of the desolvation positive entropy contribution. So, the contribution of solvent reorganization and hydrophobic effects couldn't be similar in both inclusion processes which make the binding of β-CD and TC-HCl</w:t>
      </w:r>
      <w:r w:rsidRPr="00EF4233">
        <w:rPr>
          <w:rFonts w:ascii="Times New Roman" w:eastAsia="MTSYN" w:hAnsi="Times New Roman"/>
          <w:sz w:val="20"/>
          <w:szCs w:val="20"/>
        </w:rPr>
        <w:t xml:space="preserve"> </w:t>
      </w:r>
      <w:r w:rsidRPr="00EF4233">
        <w:rPr>
          <w:rFonts w:ascii="Times New Roman" w:eastAsia="Calibri" w:hAnsi="Times New Roman"/>
          <w:sz w:val="20"/>
          <w:szCs w:val="20"/>
        </w:rPr>
        <w:t>energetically more favorable than that of HP</w:t>
      </w:r>
      <w:r w:rsidRPr="00EF4233">
        <w:rPr>
          <w:rFonts w:ascii="Times New Roman" w:hAnsi="Times New Roman"/>
          <w:sz w:val="20"/>
          <w:szCs w:val="20"/>
        </w:rPr>
        <w:t>β-</w:t>
      </w:r>
      <w:r w:rsidRPr="00EF4233">
        <w:rPr>
          <w:rFonts w:ascii="Times New Roman" w:eastAsia="Calibri" w:hAnsi="Times New Roman"/>
          <w:sz w:val="20"/>
          <w:szCs w:val="20"/>
        </w:rPr>
        <w:t>CD with TC-HCl.</w:t>
      </w:r>
      <w:r w:rsidRPr="00EF4233">
        <w:rPr>
          <w:rFonts w:ascii="Times New Roman" w:hAnsi="Times New Roman"/>
          <w:sz w:val="20"/>
          <w:szCs w:val="20"/>
        </w:rPr>
        <w:t xml:space="preserve"> The proposed architecture of the complexes formed can then be illustrated in Figure</w:t>
      </w:r>
      <w:r w:rsidRPr="00EF4233">
        <w:rPr>
          <w:rFonts w:ascii="Times New Roman" w:eastAsia="Calibri" w:hAnsi="Times New Roman"/>
          <w:sz w:val="20"/>
          <w:szCs w:val="20"/>
        </w:rPr>
        <w:t xml:space="preserve"> 8.</w:t>
      </w:r>
    </w:p>
    <w:p w14:paraId="279BAB62" w14:textId="391062C5" w:rsidR="00D66C25" w:rsidRDefault="00D66C25" w:rsidP="00D66C25">
      <w:pPr>
        <w:adjustRightInd w:val="0"/>
        <w:spacing w:after="0"/>
        <w:jc w:val="both"/>
        <w:rPr>
          <w:rFonts w:eastAsia="Calibri"/>
          <w:sz w:val="20"/>
          <w:szCs w:val="20"/>
        </w:rPr>
        <w:sectPr w:rsidR="00D66C25" w:rsidSect="008642CD">
          <w:footerReference w:type="default" r:id="rId55"/>
          <w:type w:val="continuous"/>
          <w:pgSz w:w="11906" w:h="16838"/>
          <w:pgMar w:top="1440" w:right="1440" w:bottom="1440" w:left="1440" w:header="709" w:footer="709" w:gutter="0"/>
          <w:cols w:num="2" w:space="403"/>
          <w:docGrid w:linePitch="360"/>
        </w:sectPr>
      </w:pPr>
    </w:p>
    <w:p w14:paraId="11F528C9" w14:textId="5980196A" w:rsidR="00EB7D5C" w:rsidRDefault="00EB7D5C" w:rsidP="00D66C25">
      <w:pPr>
        <w:tabs>
          <w:tab w:val="left" w:pos="2208"/>
        </w:tabs>
        <w:adjustRightInd w:val="0"/>
        <w:jc w:val="both"/>
        <w:rPr>
          <w:rFonts w:eastAsia="Calibri"/>
          <w:sz w:val="20"/>
          <w:szCs w:val="20"/>
        </w:rPr>
      </w:pPr>
    </w:p>
    <w:p w14:paraId="052A6B48" w14:textId="50A8CD1F" w:rsidR="00EB7D5C" w:rsidRDefault="00EB7D5C" w:rsidP="00EB7D5C">
      <w:pPr>
        <w:adjustRightInd w:val="0"/>
        <w:spacing w:after="120"/>
        <w:jc w:val="center"/>
        <w:rPr>
          <w:b/>
          <w:bCs/>
          <w:noProof/>
          <w:sz w:val="20"/>
          <w:szCs w:val="20"/>
        </w:rPr>
      </w:pPr>
      <w:r w:rsidRPr="00EF4233">
        <w:rPr>
          <w:rFonts w:ascii="Times New Roman" w:hAnsi="Times New Roman"/>
          <w:b/>
          <w:bCs/>
          <w:noProof/>
          <w:sz w:val="20"/>
          <w:szCs w:val="20"/>
        </w:rPr>
        <w:drawing>
          <wp:inline distT="0" distB="0" distL="0" distR="0" wp14:anchorId="4FDEF233" wp14:editId="6C2B354D">
            <wp:extent cx="3246120" cy="1737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6120" cy="1737360"/>
                    </a:xfrm>
                    <a:prstGeom prst="rect">
                      <a:avLst/>
                    </a:prstGeom>
                    <a:noFill/>
                    <a:ln>
                      <a:noFill/>
                    </a:ln>
                  </pic:spPr>
                </pic:pic>
              </a:graphicData>
            </a:graphic>
          </wp:inline>
        </w:drawing>
      </w:r>
    </w:p>
    <w:p w14:paraId="47626ED7" w14:textId="20C435F0" w:rsidR="00EB7D5C" w:rsidRDefault="00EB7D5C" w:rsidP="00EB7D5C">
      <w:pPr>
        <w:adjustRightInd w:val="0"/>
        <w:spacing w:after="120"/>
        <w:jc w:val="center"/>
        <w:rPr>
          <w:rFonts w:eastAsia="Calibri"/>
          <w:sz w:val="20"/>
          <w:szCs w:val="20"/>
        </w:rPr>
      </w:pPr>
      <w:r w:rsidRPr="00EF4233">
        <w:rPr>
          <w:rFonts w:ascii="Times New Roman" w:hAnsi="Times New Roman"/>
          <w:sz w:val="20"/>
          <w:szCs w:val="20"/>
        </w:rPr>
        <w:t xml:space="preserve">Figure 8. </w:t>
      </w:r>
      <w:r w:rsidR="00D66C25">
        <w:rPr>
          <w:sz w:val="20"/>
          <w:szCs w:val="20"/>
        </w:rPr>
        <w:t xml:space="preserve"> </w:t>
      </w:r>
      <w:r w:rsidRPr="00EF4233">
        <w:rPr>
          <w:rFonts w:ascii="Times New Roman" w:hAnsi="Times New Roman"/>
          <w:sz w:val="20"/>
          <w:szCs w:val="20"/>
        </w:rPr>
        <w:t>Architecture of inclusion complexes TC-HCl/CD</w:t>
      </w:r>
    </w:p>
    <w:p w14:paraId="266DBC0A" w14:textId="77777777" w:rsidR="00EB7D5C" w:rsidRPr="00D66C25" w:rsidRDefault="00EB7D5C" w:rsidP="00D66C25">
      <w:pPr>
        <w:adjustRightInd w:val="0"/>
        <w:spacing w:after="0"/>
        <w:jc w:val="both"/>
        <w:rPr>
          <w:rFonts w:ascii="Times New Roman" w:eastAsia="Calibri" w:hAnsi="Times New Roman"/>
          <w:sz w:val="20"/>
          <w:szCs w:val="20"/>
        </w:rPr>
      </w:pPr>
    </w:p>
    <w:p w14:paraId="1DC17467" w14:textId="77777777" w:rsidR="00D66C25" w:rsidRDefault="00D66C25" w:rsidP="00EB7D5C">
      <w:pPr>
        <w:adjustRightInd w:val="0"/>
        <w:spacing w:after="0"/>
        <w:jc w:val="both"/>
        <w:rPr>
          <w:rFonts w:ascii="Times New Roman" w:eastAsia="Calibri" w:hAnsi="Times New Roman"/>
          <w:sz w:val="20"/>
          <w:szCs w:val="20"/>
        </w:rPr>
        <w:sectPr w:rsidR="00D66C25" w:rsidSect="00D370A5">
          <w:type w:val="continuous"/>
          <w:pgSz w:w="11906" w:h="16838"/>
          <w:pgMar w:top="1440" w:right="1440" w:bottom="1440" w:left="1440" w:header="709" w:footer="709" w:gutter="0"/>
          <w:cols w:space="708"/>
          <w:docGrid w:linePitch="360"/>
        </w:sectPr>
      </w:pPr>
    </w:p>
    <w:p w14:paraId="5AD38BB2" w14:textId="77777777" w:rsidR="00EB7D5C" w:rsidRPr="00EF4233" w:rsidRDefault="00EB7D5C" w:rsidP="00EB7D5C">
      <w:pPr>
        <w:adjustRightInd w:val="0"/>
        <w:spacing w:after="0"/>
        <w:jc w:val="both"/>
        <w:rPr>
          <w:rFonts w:ascii="Times New Roman" w:eastAsia="Calibri" w:hAnsi="Times New Roman"/>
          <w:sz w:val="20"/>
          <w:szCs w:val="20"/>
        </w:rPr>
      </w:pPr>
      <w:r w:rsidRPr="00EF4233">
        <w:rPr>
          <w:rFonts w:ascii="Times New Roman" w:eastAsia="Calibri" w:hAnsi="Times New Roman"/>
          <w:sz w:val="20"/>
          <w:szCs w:val="20"/>
        </w:rPr>
        <w:t xml:space="preserve">The negative value of all the </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hAnsi="Times New Roman"/>
          <w:iCs/>
          <w:spacing w:val="6"/>
          <w:sz w:val="20"/>
          <w:szCs w:val="20"/>
        </w:rPr>
        <w:t xml:space="preserve"> </w:t>
      </w:r>
      <w:r w:rsidRPr="00EF4233">
        <w:rPr>
          <w:rFonts w:ascii="Times New Roman" w:eastAsia="Calibri" w:hAnsi="Times New Roman"/>
          <w:sz w:val="20"/>
          <w:szCs w:val="20"/>
        </w:rPr>
        <w:t>in table 2 obtained from the fitting of the experimental data with the non-linear Van Hoff equation (R.lnK</w:t>
      </w:r>
      <w:r w:rsidRPr="00EF4233">
        <w:rPr>
          <w:rFonts w:ascii="Times New Roman" w:eastAsia="MTSYN" w:hAnsi="Times New Roman"/>
          <w:sz w:val="20"/>
          <w:szCs w:val="20"/>
        </w:rPr>
        <w:t>= [−(</w:t>
      </w:r>
      <w:r w:rsidRPr="00EF4233">
        <w:rPr>
          <w:rFonts w:ascii="Times New Roman" w:eastAsia="MS Mincho" w:hAnsi="Times New Roman"/>
          <w:sz w:val="20"/>
          <w:szCs w:val="20"/>
        </w:rPr>
        <w:t>Δ</w:t>
      </w:r>
      <w:r w:rsidRPr="00EF4233">
        <w:rPr>
          <w:rFonts w:ascii="Times New Roman" w:eastAsia="Calibri" w:hAnsi="Times New Roman"/>
          <w:sz w:val="20"/>
          <w:szCs w:val="20"/>
        </w:rPr>
        <w:t>H°+(T-T</w:t>
      </w:r>
      <w:r w:rsidRPr="00EF4233">
        <w:rPr>
          <w:rFonts w:ascii="Times New Roman" w:eastAsia="Calibri" w:hAnsi="Times New Roman"/>
          <w:sz w:val="20"/>
          <w:szCs w:val="20"/>
          <w:vertAlign w:val="subscript"/>
        </w:rPr>
        <w:t>o</w:t>
      </w:r>
      <w:r w:rsidRPr="00EF4233">
        <w:rPr>
          <w:rFonts w:ascii="Times New Roman" w:eastAsia="Calibri" w:hAnsi="Times New Roman"/>
          <w:sz w:val="20"/>
          <w:szCs w:val="20"/>
        </w:rPr>
        <w:t>)</w:t>
      </w:r>
      <w:r w:rsidRPr="00EF4233">
        <w:rPr>
          <w:rFonts w:ascii="Times New Roman" w:hAnsi="Times New Roman"/>
          <w:iCs/>
          <w:sz w:val="20"/>
          <w:szCs w:val="20"/>
        </w:rPr>
        <w:t xml:space="preserve"> ∆</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eastAsia="Calibri" w:hAnsi="Times New Roman"/>
          <w:sz w:val="20"/>
          <w:szCs w:val="20"/>
        </w:rPr>
        <w:t xml:space="preserve">)/T </w:t>
      </w:r>
      <w:r w:rsidRPr="00EF4233">
        <w:rPr>
          <w:rFonts w:ascii="Times New Roman" w:eastAsia="MTSYN" w:hAnsi="Times New Roman"/>
          <w:sz w:val="20"/>
          <w:szCs w:val="20"/>
        </w:rPr>
        <w:t xml:space="preserve">+ </w:t>
      </w:r>
      <w:r w:rsidRPr="00EF4233">
        <w:rPr>
          <w:rFonts w:ascii="Times New Roman" w:eastAsia="MS Mincho" w:hAnsi="Times New Roman"/>
          <w:sz w:val="20"/>
          <w:szCs w:val="20"/>
        </w:rPr>
        <w:t>Δ</w:t>
      </w:r>
      <w:r w:rsidRPr="00EF4233">
        <w:rPr>
          <w:rFonts w:ascii="Times New Roman" w:eastAsia="Calibri" w:hAnsi="Times New Roman"/>
          <w:sz w:val="20"/>
          <w:szCs w:val="20"/>
        </w:rPr>
        <w:t>S°+(</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eastAsia="Calibri" w:hAnsi="Times New Roman"/>
          <w:sz w:val="20"/>
          <w:szCs w:val="20"/>
        </w:rPr>
        <w:t>ln(T/T</w:t>
      </w:r>
      <w:r w:rsidRPr="00EF4233">
        <w:rPr>
          <w:rFonts w:ascii="Times New Roman" w:eastAsia="Calibri" w:hAnsi="Times New Roman"/>
          <w:sz w:val="20"/>
          <w:szCs w:val="20"/>
          <w:vertAlign w:val="subscript"/>
        </w:rPr>
        <w:t>o</w:t>
      </w:r>
      <w:r w:rsidRPr="00EF4233">
        <w:rPr>
          <w:rFonts w:ascii="Times New Roman" w:eastAsia="Calibri" w:hAnsi="Times New Roman"/>
          <w:sz w:val="20"/>
          <w:szCs w:val="20"/>
        </w:rPr>
        <w:t xml:space="preserve">))]) are close to values generally found when apolar solutes are encapsulated in CD’s [23]. The difference found in the values of </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 xml:space="preserve">° </w:t>
      </w:r>
      <w:r w:rsidRPr="00EF4233">
        <w:rPr>
          <w:rFonts w:ascii="Times New Roman" w:eastAsia="Calibri" w:hAnsi="Times New Roman"/>
          <w:sz w:val="20"/>
          <w:szCs w:val="20"/>
        </w:rPr>
        <w:t>for β-CD and HPβ-CD confirm the fact that the β-CD complex is more stable than the HPβ-CD one probably due to the diminution of the OH groups on the HPβ-CD molecule, which limit the formation of hydrogen bonds with the surrounding water.</w:t>
      </w:r>
    </w:p>
    <w:p w14:paraId="00A3111F" w14:textId="77777777" w:rsidR="00EB7D5C" w:rsidRPr="00EF4233" w:rsidRDefault="00EB7D5C" w:rsidP="00EB7D5C">
      <w:pPr>
        <w:adjustRightInd w:val="0"/>
        <w:spacing w:after="0"/>
        <w:jc w:val="both"/>
        <w:rPr>
          <w:rFonts w:ascii="Times New Roman" w:eastAsia="Calibri" w:hAnsi="Times New Roman"/>
          <w:sz w:val="20"/>
          <w:szCs w:val="20"/>
        </w:rPr>
      </w:pPr>
    </w:p>
    <w:p w14:paraId="0AD4837E" w14:textId="77777777" w:rsidR="00EB7D5C" w:rsidRPr="00EF4233" w:rsidRDefault="00EB7D5C" w:rsidP="00EB7D5C">
      <w:pPr>
        <w:adjustRightInd w:val="0"/>
        <w:spacing w:after="0"/>
        <w:jc w:val="both"/>
        <w:rPr>
          <w:rFonts w:ascii="Times New Roman" w:eastAsia="Calibri" w:hAnsi="Times New Roman"/>
          <w:sz w:val="20"/>
          <w:szCs w:val="20"/>
        </w:rPr>
      </w:pPr>
      <w:r w:rsidRPr="00EF4233">
        <w:rPr>
          <w:rFonts w:ascii="Times New Roman" w:eastAsia="Calibri" w:hAnsi="Times New Roman"/>
          <w:sz w:val="20"/>
          <w:szCs w:val="20"/>
        </w:rPr>
        <w:t>The β-CD secondary face diameter is larger than the α-CD one and could better accommodate the inclusion of a guest molecule bearing a benzene structure. This hypothesis is confirmed by the appearance of shifts of the absorbance and wavelength λ and consequently the attractive Van der Walls interactions must be optimal for the TC-HCl/β-</w:t>
      </w:r>
      <w:r w:rsidRPr="00EF4233">
        <w:rPr>
          <w:rFonts w:ascii="Times New Roman" w:eastAsia="Calibri" w:hAnsi="Times New Roman"/>
          <w:sz w:val="20"/>
          <w:szCs w:val="20"/>
        </w:rPr>
        <w:t>CD complex compared to the TC-HCl/α-CD one. The hyperchromic effect is usually attributed to the dissociation of the hydrogen bonds and the bathocromic is related to change of drug surrounding environment which become more apolar. According to Bernardi's theoretical DFT calculation in water the terminal nitrogen end of tetracaine possesses appreciable hydrophilicity which can reach the ester function close to the benzene cycle whereas the hydrocarbon butyl chain is completely hydrophobic [23, 24]. So, it can be proposed that the drug penetrates deeply in the β-CD cavity to an extent where both hydrophobic butyl chain and the benzene aromatic structure are influenced by the cavity walls which explain the simultaneous variation of ∆A and ∆λ. For α-CD because of its narrower rim diameter only hydrophobic chain is penetrated and hyperchromic signature is revealed by UV-Visible spectrophotometry.</w:t>
      </w:r>
    </w:p>
    <w:p w14:paraId="2BC73F7B" w14:textId="77777777" w:rsidR="00D66C25" w:rsidRDefault="00D66C25" w:rsidP="00EB7D5C">
      <w:pPr>
        <w:jc w:val="both"/>
        <w:rPr>
          <w:rFonts w:eastAsia="Calibri"/>
          <w:sz w:val="20"/>
          <w:szCs w:val="20"/>
        </w:rPr>
      </w:pPr>
    </w:p>
    <w:p w14:paraId="219B561B" w14:textId="5F43169C" w:rsidR="00D66C25" w:rsidRDefault="00D66C25" w:rsidP="00EB7D5C">
      <w:pPr>
        <w:jc w:val="both"/>
        <w:rPr>
          <w:rFonts w:eastAsia="Calibri"/>
          <w:sz w:val="20"/>
          <w:szCs w:val="20"/>
        </w:rPr>
        <w:sectPr w:rsidR="00D66C25" w:rsidSect="00D66C25">
          <w:type w:val="continuous"/>
          <w:pgSz w:w="11906" w:h="16838"/>
          <w:pgMar w:top="1440" w:right="1440" w:bottom="1440" w:left="1440" w:header="709" w:footer="709" w:gutter="0"/>
          <w:cols w:num="2" w:space="403"/>
          <w:docGrid w:linePitch="360"/>
        </w:sectPr>
      </w:pPr>
    </w:p>
    <w:p w14:paraId="15C53937" w14:textId="77777777" w:rsidR="00EB7D5C" w:rsidRDefault="00EB7D5C" w:rsidP="00EB7D5C">
      <w:pPr>
        <w:jc w:val="both"/>
        <w:rPr>
          <w:rFonts w:eastAsia="Calibri"/>
          <w:sz w:val="20"/>
          <w:szCs w:val="20"/>
        </w:rPr>
      </w:pPr>
    </w:p>
    <w:p w14:paraId="4A30BA0D" w14:textId="77777777" w:rsidR="00EB7D5C" w:rsidRPr="00EF4233" w:rsidRDefault="00EB7D5C" w:rsidP="00EB7D5C">
      <w:pPr>
        <w:spacing w:after="0"/>
        <w:jc w:val="both"/>
        <w:rPr>
          <w:rFonts w:ascii="Times New Roman" w:eastAsia="Calibri" w:hAnsi="Times New Roman"/>
          <w:sz w:val="20"/>
          <w:szCs w:val="20"/>
        </w:rPr>
      </w:pPr>
    </w:p>
    <w:p w14:paraId="21E8046E" w14:textId="7AD6196E" w:rsidR="001431E1" w:rsidRDefault="001431E1" w:rsidP="001431E1">
      <w:pPr>
        <w:spacing w:after="120"/>
        <w:jc w:val="center"/>
        <w:rPr>
          <w:rFonts w:ascii="Times New Roman" w:eastAsia="Calibri" w:hAnsi="Times New Roman"/>
          <w:sz w:val="20"/>
          <w:szCs w:val="20"/>
        </w:rPr>
      </w:pPr>
      <w:r w:rsidRPr="001431E1">
        <w:rPr>
          <w:rFonts w:ascii="Times New Roman" w:eastAsia="Calibri" w:hAnsi="Times New Roman"/>
          <w:sz w:val="20"/>
          <w:szCs w:val="20"/>
        </w:rPr>
        <w:lastRenderedPageBreak/>
        <w:t>Table 2.</w:t>
      </w:r>
      <w:r w:rsidR="001E337E">
        <w:rPr>
          <w:rFonts w:ascii="Times New Roman" w:eastAsia="Calibri" w:hAnsi="Times New Roman"/>
          <w:sz w:val="20"/>
          <w:szCs w:val="20"/>
        </w:rPr>
        <w:t xml:space="preserve">  </w:t>
      </w:r>
      <w:r w:rsidRPr="001431E1">
        <w:rPr>
          <w:rFonts w:ascii="Times New Roman" w:eastAsia="Calibri" w:hAnsi="Times New Roman"/>
          <w:sz w:val="20"/>
          <w:szCs w:val="20"/>
        </w:rPr>
        <w:t xml:space="preserve">Values of </w:t>
      </w:r>
      <w:r w:rsidRPr="001431E1">
        <w:rPr>
          <w:rFonts w:ascii="Times New Roman" w:hAnsi="Times New Roman"/>
          <w:sz w:val="20"/>
          <w:szCs w:val="20"/>
        </w:rPr>
        <w:t>ΔH°</w:t>
      </w:r>
      <w:r w:rsidRPr="001431E1">
        <w:rPr>
          <w:rFonts w:ascii="Times New Roman" w:eastAsia="Calibri" w:hAnsi="Times New Roman"/>
          <w:sz w:val="20"/>
          <w:szCs w:val="20"/>
        </w:rPr>
        <w:t>;</w:t>
      </w:r>
      <w:r w:rsidRPr="001431E1">
        <w:rPr>
          <w:rFonts w:ascii="Times New Roman" w:hAnsi="Times New Roman"/>
          <w:sz w:val="20"/>
          <w:szCs w:val="20"/>
        </w:rPr>
        <w:t xml:space="preserve"> ΔS°</w:t>
      </w:r>
      <w:r w:rsidRPr="001431E1">
        <w:rPr>
          <w:rFonts w:ascii="Times New Roman" w:eastAsia="Calibri" w:hAnsi="Times New Roman"/>
          <w:sz w:val="20"/>
          <w:szCs w:val="20"/>
        </w:rPr>
        <w:t xml:space="preserve">, and </w:t>
      </w:r>
      <w:r w:rsidRPr="001431E1">
        <w:rPr>
          <w:rFonts w:ascii="Times New Roman" w:hAnsi="Times New Roman"/>
          <w:iCs/>
          <w:sz w:val="20"/>
          <w:szCs w:val="20"/>
        </w:rPr>
        <w:t>∆</w:t>
      </w:r>
      <w:r w:rsidRPr="001431E1">
        <w:rPr>
          <w:rFonts w:ascii="Times New Roman" w:hAnsi="Times New Roman"/>
          <w:iCs/>
          <w:spacing w:val="6"/>
          <w:sz w:val="20"/>
          <w:szCs w:val="20"/>
        </w:rPr>
        <w:t>C</w:t>
      </w:r>
      <w:r w:rsidRPr="001431E1">
        <w:rPr>
          <w:rFonts w:ascii="Times New Roman" w:hAnsi="Times New Roman"/>
          <w:iCs/>
          <w:spacing w:val="6"/>
          <w:sz w:val="20"/>
          <w:szCs w:val="20"/>
          <w:vertAlign w:val="subscript"/>
        </w:rPr>
        <w:t>P</w:t>
      </w:r>
      <w:r w:rsidRPr="001431E1">
        <w:rPr>
          <w:rFonts w:ascii="Times New Roman" w:hAnsi="Times New Roman"/>
          <w:iCs/>
          <w:spacing w:val="6"/>
          <w:sz w:val="20"/>
          <w:szCs w:val="20"/>
          <w:vertAlign w:val="superscript"/>
        </w:rPr>
        <w:t>0</w:t>
      </w:r>
      <w:r w:rsidRPr="001431E1">
        <w:rPr>
          <w:rFonts w:ascii="Times New Roman" w:hAnsi="Times New Roman"/>
          <w:iCs/>
          <w:spacing w:val="6"/>
          <w:sz w:val="20"/>
          <w:szCs w:val="20"/>
          <w:vertAlign w:val="subscript"/>
        </w:rPr>
        <w:t xml:space="preserve"> </w:t>
      </w:r>
      <w:r w:rsidR="00EB7D5C" w:rsidRPr="001431E1">
        <w:rPr>
          <w:rFonts w:ascii="Times New Roman" w:eastAsia="Calibri" w:hAnsi="Times New Roman"/>
          <w:sz w:val="20"/>
          <w:szCs w:val="20"/>
        </w:rPr>
        <w:t xml:space="preserve">for the association of TC-HCl with different CDs obtained from the </w:t>
      </w:r>
      <w:r w:rsidRPr="001431E1">
        <w:rPr>
          <w:rFonts w:ascii="Times New Roman" w:eastAsia="Calibri" w:hAnsi="Times New Roman"/>
          <w:sz w:val="20"/>
          <w:szCs w:val="20"/>
        </w:rPr>
        <w:t xml:space="preserve">  linear and nonlinear fitting of Van't Hoff equation</w:t>
      </w:r>
    </w:p>
    <w:tbl>
      <w:tblPr>
        <w:tblpPr w:leftFromText="180" w:rightFromText="180" w:vertAnchor="text" w:horzAnchor="margin" w:tblpXSpec="center" w:tblpY="61"/>
        <w:tblW w:w="0" w:type="auto"/>
        <w:tblBorders>
          <w:top w:val="single" w:sz="4" w:space="0" w:color="auto"/>
        </w:tblBorders>
        <w:tblLook w:val="04A0" w:firstRow="1" w:lastRow="0" w:firstColumn="1" w:lastColumn="0" w:noHBand="0" w:noVBand="1"/>
      </w:tblPr>
      <w:tblGrid>
        <w:gridCol w:w="1152"/>
        <w:gridCol w:w="1296"/>
        <w:gridCol w:w="1440"/>
        <w:gridCol w:w="1440"/>
        <w:gridCol w:w="1440"/>
      </w:tblGrid>
      <w:tr w:rsidR="001E337E" w:rsidRPr="00EF4233" w14:paraId="4992D9D4" w14:textId="77777777" w:rsidTr="001E337E">
        <w:trPr>
          <w:trHeight w:val="413"/>
        </w:trPr>
        <w:tc>
          <w:tcPr>
            <w:tcW w:w="1152" w:type="dxa"/>
            <w:tcBorders>
              <w:top w:val="single" w:sz="4" w:space="0" w:color="auto"/>
              <w:bottom w:val="single" w:sz="4" w:space="0" w:color="auto"/>
            </w:tcBorders>
            <w:vAlign w:val="center"/>
          </w:tcPr>
          <w:p w14:paraId="3D74CF67" w14:textId="77777777" w:rsidR="001E337E" w:rsidRPr="00EF4233" w:rsidRDefault="001E337E" w:rsidP="001E337E">
            <w:pPr>
              <w:spacing w:after="0"/>
              <w:rPr>
                <w:rFonts w:ascii="Times New Roman" w:hAnsi="Times New Roman"/>
                <w:b/>
                <w:bCs/>
                <w:sz w:val="20"/>
                <w:szCs w:val="20"/>
              </w:rPr>
            </w:pPr>
            <w:r w:rsidRPr="00EF4233">
              <w:rPr>
                <w:rFonts w:ascii="Times New Roman" w:hAnsi="Times New Roman"/>
                <w:b/>
                <w:bCs/>
                <w:sz w:val="20"/>
                <w:szCs w:val="20"/>
              </w:rPr>
              <w:t>CD</w:t>
            </w:r>
          </w:p>
        </w:tc>
        <w:tc>
          <w:tcPr>
            <w:tcW w:w="1296" w:type="dxa"/>
            <w:tcBorders>
              <w:top w:val="single" w:sz="4" w:space="0" w:color="auto"/>
              <w:bottom w:val="single" w:sz="4" w:space="0" w:color="auto"/>
            </w:tcBorders>
            <w:vAlign w:val="center"/>
          </w:tcPr>
          <w:p w14:paraId="45457630" w14:textId="77777777" w:rsidR="001E337E" w:rsidRPr="00EF4233" w:rsidRDefault="001E337E" w:rsidP="001E337E">
            <w:pPr>
              <w:spacing w:after="0"/>
              <w:rPr>
                <w:rFonts w:ascii="Times New Roman" w:hAnsi="Times New Roman"/>
                <w:b/>
                <w:bCs/>
                <w:sz w:val="20"/>
                <w:szCs w:val="20"/>
              </w:rPr>
            </w:pPr>
            <w:r w:rsidRPr="00EF4233">
              <w:rPr>
                <w:rFonts w:ascii="Times New Roman" w:hAnsi="Times New Roman"/>
                <w:b/>
                <w:bCs/>
                <w:sz w:val="20"/>
                <w:szCs w:val="20"/>
              </w:rPr>
              <w:t>Fitting</w:t>
            </w:r>
          </w:p>
        </w:tc>
        <w:tc>
          <w:tcPr>
            <w:tcW w:w="1440" w:type="dxa"/>
            <w:tcBorders>
              <w:top w:val="single" w:sz="4" w:space="0" w:color="auto"/>
              <w:bottom w:val="single" w:sz="4" w:space="0" w:color="auto"/>
            </w:tcBorders>
            <w:vAlign w:val="center"/>
          </w:tcPr>
          <w:p w14:paraId="14D3EC20" w14:textId="77777777" w:rsidR="001E337E" w:rsidRPr="00EF4233" w:rsidRDefault="001E337E" w:rsidP="001E337E">
            <w:pPr>
              <w:spacing w:before="60" w:after="0"/>
              <w:jc w:val="center"/>
              <w:rPr>
                <w:rFonts w:ascii="Times New Roman" w:hAnsi="Times New Roman"/>
                <w:b/>
                <w:bCs/>
                <w:sz w:val="20"/>
                <w:szCs w:val="20"/>
              </w:rPr>
            </w:pPr>
            <w:r w:rsidRPr="00EF4233">
              <w:rPr>
                <w:rFonts w:ascii="Times New Roman" w:hAnsi="Times New Roman"/>
                <w:b/>
                <w:bCs/>
                <w:sz w:val="20"/>
                <w:szCs w:val="20"/>
              </w:rPr>
              <w:t>ΔH°</w:t>
            </w:r>
          </w:p>
          <w:p w14:paraId="2116558D" w14:textId="77777777" w:rsidR="001E337E" w:rsidRPr="00EF4233" w:rsidRDefault="001E337E" w:rsidP="001E337E">
            <w:pPr>
              <w:spacing w:after="60"/>
              <w:jc w:val="center"/>
              <w:rPr>
                <w:rFonts w:ascii="Times New Roman" w:hAnsi="Times New Roman"/>
                <w:b/>
                <w:bCs/>
                <w:sz w:val="20"/>
                <w:szCs w:val="20"/>
              </w:rPr>
            </w:pPr>
            <w:r w:rsidRPr="00EF4233">
              <w:rPr>
                <w:rFonts w:ascii="Times New Roman" w:hAnsi="Times New Roman"/>
                <w:b/>
                <w:bCs/>
                <w:sz w:val="20"/>
                <w:szCs w:val="20"/>
              </w:rPr>
              <w:t>(</w:t>
            </w:r>
            <w:r w:rsidRPr="00EF4233">
              <w:rPr>
                <w:rFonts w:ascii="Times New Roman" w:eastAsia="Calibri" w:hAnsi="Times New Roman"/>
                <w:b/>
                <w:bCs/>
                <w:sz w:val="20"/>
                <w:szCs w:val="20"/>
              </w:rPr>
              <w:t xml:space="preserve"> KJ.mol</w:t>
            </w:r>
            <w:r w:rsidRPr="00EF4233">
              <w:rPr>
                <w:rFonts w:ascii="Times New Roman" w:eastAsia="MTSYN" w:hAnsi="Times New Roman"/>
                <w:b/>
                <w:bCs/>
                <w:sz w:val="20"/>
                <w:szCs w:val="20"/>
                <w:vertAlign w:val="superscript"/>
              </w:rPr>
              <w:t>−</w:t>
            </w:r>
            <w:r w:rsidRPr="00EF4233">
              <w:rPr>
                <w:rFonts w:ascii="Times New Roman" w:eastAsia="Calibri" w:hAnsi="Times New Roman"/>
                <w:b/>
                <w:bCs/>
                <w:sz w:val="20"/>
                <w:szCs w:val="20"/>
                <w:vertAlign w:val="superscript"/>
              </w:rPr>
              <w:t>1</w:t>
            </w:r>
            <w:r w:rsidRPr="00EF4233">
              <w:rPr>
                <w:rFonts w:ascii="Times New Roman" w:eastAsia="Calibri" w:hAnsi="Times New Roman"/>
                <w:b/>
                <w:bCs/>
                <w:sz w:val="20"/>
                <w:szCs w:val="20"/>
              </w:rPr>
              <w:t>)</w:t>
            </w:r>
            <w:r w:rsidRPr="00EF4233">
              <w:rPr>
                <w:rFonts w:ascii="Times New Roman" w:eastAsia="Calibri" w:hAnsi="Times New Roman"/>
                <w:sz w:val="20"/>
                <w:szCs w:val="20"/>
              </w:rPr>
              <w:t xml:space="preserve"> linear</w:t>
            </w:r>
          </w:p>
        </w:tc>
        <w:tc>
          <w:tcPr>
            <w:tcW w:w="1440" w:type="dxa"/>
            <w:tcBorders>
              <w:top w:val="single" w:sz="4" w:space="0" w:color="auto"/>
              <w:bottom w:val="single" w:sz="4" w:space="0" w:color="auto"/>
            </w:tcBorders>
            <w:vAlign w:val="center"/>
          </w:tcPr>
          <w:p w14:paraId="70DCD876"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sz w:val="20"/>
                <w:szCs w:val="20"/>
              </w:rPr>
              <w:t>ΔS°</w:t>
            </w:r>
          </w:p>
          <w:p w14:paraId="636929B1"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sz w:val="20"/>
                <w:szCs w:val="20"/>
              </w:rPr>
              <w:t>(</w:t>
            </w:r>
            <w:r w:rsidRPr="00EF4233">
              <w:rPr>
                <w:rFonts w:ascii="Times New Roman" w:eastAsia="Calibri" w:hAnsi="Times New Roman"/>
                <w:b/>
                <w:bCs/>
                <w:sz w:val="20"/>
                <w:szCs w:val="20"/>
              </w:rPr>
              <w:t xml:space="preserve"> J.mol</w:t>
            </w:r>
            <w:r w:rsidRPr="00EF4233">
              <w:rPr>
                <w:rFonts w:ascii="Times New Roman" w:eastAsia="MTSYN" w:hAnsi="Times New Roman"/>
                <w:b/>
                <w:bCs/>
                <w:sz w:val="20"/>
                <w:szCs w:val="20"/>
                <w:vertAlign w:val="superscript"/>
              </w:rPr>
              <w:t>−</w:t>
            </w:r>
            <w:r w:rsidRPr="00EF4233">
              <w:rPr>
                <w:rFonts w:ascii="Times New Roman" w:eastAsia="Calibri" w:hAnsi="Times New Roman"/>
                <w:b/>
                <w:bCs/>
                <w:sz w:val="20"/>
                <w:szCs w:val="20"/>
                <w:vertAlign w:val="superscript"/>
              </w:rPr>
              <w:t>1</w:t>
            </w:r>
            <w:r w:rsidRPr="00EF4233">
              <w:rPr>
                <w:rFonts w:ascii="Times New Roman" w:hAnsi="Times New Roman"/>
                <w:b/>
                <w:bCs/>
                <w:iCs/>
                <w:spacing w:val="-2"/>
                <w:sz w:val="20"/>
                <w:szCs w:val="20"/>
              </w:rPr>
              <w:t>.K</w:t>
            </w:r>
            <w:r w:rsidRPr="00EF4233">
              <w:rPr>
                <w:rFonts w:ascii="Times New Roman" w:hAnsi="Times New Roman"/>
                <w:b/>
                <w:bCs/>
                <w:iCs/>
                <w:spacing w:val="-2"/>
                <w:sz w:val="20"/>
                <w:szCs w:val="20"/>
                <w:vertAlign w:val="superscript"/>
              </w:rPr>
              <w:t>-1</w:t>
            </w:r>
            <w:r w:rsidRPr="00EF4233">
              <w:rPr>
                <w:rFonts w:ascii="Times New Roman" w:eastAsia="Calibri" w:hAnsi="Times New Roman"/>
                <w:b/>
                <w:bCs/>
                <w:sz w:val="20"/>
                <w:szCs w:val="20"/>
              </w:rPr>
              <w:t>)</w:t>
            </w:r>
          </w:p>
        </w:tc>
        <w:tc>
          <w:tcPr>
            <w:tcW w:w="1440" w:type="dxa"/>
            <w:tcBorders>
              <w:top w:val="single" w:sz="4" w:space="0" w:color="auto"/>
              <w:bottom w:val="single" w:sz="4" w:space="0" w:color="auto"/>
            </w:tcBorders>
            <w:vAlign w:val="center"/>
          </w:tcPr>
          <w:p w14:paraId="54714AD5" w14:textId="77777777" w:rsidR="001E337E" w:rsidRPr="00EF4233" w:rsidRDefault="001E337E" w:rsidP="001E337E">
            <w:pPr>
              <w:spacing w:after="0"/>
              <w:jc w:val="center"/>
              <w:rPr>
                <w:rFonts w:ascii="Times New Roman" w:hAnsi="Times New Roman"/>
                <w:b/>
                <w:bCs/>
                <w:iCs/>
                <w:spacing w:val="6"/>
                <w:sz w:val="20"/>
                <w:szCs w:val="20"/>
              </w:rPr>
            </w:pPr>
            <w:r w:rsidRPr="00EF4233">
              <w:rPr>
                <w:rFonts w:ascii="Times New Roman" w:hAnsi="Times New Roman"/>
                <w:b/>
                <w:bCs/>
                <w:iCs/>
                <w:sz w:val="20"/>
                <w:szCs w:val="20"/>
              </w:rPr>
              <w:t>∆</w:t>
            </w:r>
            <w:r w:rsidRPr="00EF4233">
              <w:rPr>
                <w:rFonts w:ascii="Times New Roman" w:hAnsi="Times New Roman"/>
                <w:b/>
                <w:bCs/>
                <w:iCs/>
                <w:spacing w:val="6"/>
                <w:sz w:val="20"/>
                <w:szCs w:val="20"/>
              </w:rPr>
              <w:t>C</w:t>
            </w:r>
            <w:r w:rsidRPr="00EF4233">
              <w:rPr>
                <w:rFonts w:ascii="Times New Roman" w:hAnsi="Times New Roman"/>
                <w:b/>
                <w:bCs/>
                <w:iCs/>
                <w:spacing w:val="6"/>
                <w:sz w:val="20"/>
                <w:szCs w:val="20"/>
                <w:vertAlign w:val="subscript"/>
              </w:rPr>
              <w:t>P</w:t>
            </w:r>
            <w:r w:rsidRPr="00EF4233">
              <w:rPr>
                <w:rFonts w:ascii="Times New Roman" w:hAnsi="Times New Roman"/>
                <w:b/>
                <w:bCs/>
                <w:iCs/>
                <w:spacing w:val="6"/>
                <w:sz w:val="20"/>
                <w:szCs w:val="20"/>
                <w:vertAlign w:val="superscript"/>
              </w:rPr>
              <w:t>0</w:t>
            </w:r>
          </w:p>
          <w:p w14:paraId="1950BDED"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iCs/>
                <w:spacing w:val="-2"/>
                <w:sz w:val="20"/>
                <w:szCs w:val="20"/>
              </w:rPr>
              <w:t>(J.mol</w:t>
            </w:r>
            <w:r w:rsidRPr="00EF4233">
              <w:rPr>
                <w:rFonts w:ascii="Times New Roman" w:hAnsi="Times New Roman"/>
                <w:b/>
                <w:bCs/>
                <w:iCs/>
                <w:spacing w:val="-2"/>
                <w:sz w:val="20"/>
                <w:szCs w:val="20"/>
                <w:vertAlign w:val="superscript"/>
              </w:rPr>
              <w:t>-1</w:t>
            </w:r>
            <w:r w:rsidRPr="00EF4233">
              <w:rPr>
                <w:rFonts w:ascii="Times New Roman" w:hAnsi="Times New Roman"/>
                <w:b/>
                <w:bCs/>
                <w:iCs/>
                <w:spacing w:val="-2"/>
                <w:sz w:val="20"/>
                <w:szCs w:val="20"/>
              </w:rPr>
              <w:t>.K</w:t>
            </w:r>
            <w:r w:rsidRPr="00EF4233">
              <w:rPr>
                <w:rFonts w:ascii="Times New Roman" w:hAnsi="Times New Roman"/>
                <w:b/>
                <w:bCs/>
                <w:iCs/>
                <w:spacing w:val="-2"/>
                <w:sz w:val="20"/>
                <w:szCs w:val="20"/>
                <w:vertAlign w:val="superscript"/>
              </w:rPr>
              <w:t>-1</w:t>
            </w:r>
            <w:r w:rsidRPr="00EF4233">
              <w:rPr>
                <w:rFonts w:ascii="Times New Roman" w:hAnsi="Times New Roman"/>
                <w:b/>
                <w:bCs/>
                <w:iCs/>
                <w:spacing w:val="-2"/>
                <w:sz w:val="20"/>
                <w:szCs w:val="20"/>
              </w:rPr>
              <w:t>)</w:t>
            </w:r>
          </w:p>
        </w:tc>
      </w:tr>
      <w:tr w:rsidR="001E337E" w:rsidRPr="00EF4233" w14:paraId="3CB5D8B3" w14:textId="77777777" w:rsidTr="001E337E">
        <w:trPr>
          <w:trHeight w:val="185"/>
        </w:trPr>
        <w:tc>
          <w:tcPr>
            <w:tcW w:w="1152" w:type="dxa"/>
            <w:vMerge w:val="restart"/>
            <w:tcBorders>
              <w:top w:val="single" w:sz="4" w:space="0" w:color="auto"/>
            </w:tcBorders>
          </w:tcPr>
          <w:p w14:paraId="21BB84B7" w14:textId="77777777" w:rsidR="001E337E" w:rsidRPr="00EF4233" w:rsidRDefault="001E337E" w:rsidP="001E337E">
            <w:pPr>
              <w:spacing w:before="60" w:after="0"/>
              <w:rPr>
                <w:rFonts w:ascii="Times New Roman" w:hAnsi="Times New Roman"/>
                <w:sz w:val="20"/>
                <w:szCs w:val="20"/>
              </w:rPr>
            </w:pPr>
            <w:r w:rsidRPr="00EF4233">
              <w:rPr>
                <w:rFonts w:ascii="Times New Roman" w:eastAsia="Calibri" w:hAnsi="Times New Roman"/>
                <w:sz w:val="20"/>
                <w:szCs w:val="20"/>
              </w:rPr>
              <w:t>α-CD</w:t>
            </w:r>
          </w:p>
        </w:tc>
        <w:tc>
          <w:tcPr>
            <w:tcW w:w="1296" w:type="dxa"/>
            <w:tcBorders>
              <w:top w:val="single" w:sz="4" w:space="0" w:color="auto"/>
            </w:tcBorders>
            <w:vAlign w:val="center"/>
          </w:tcPr>
          <w:p w14:paraId="31DF2D22"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single" w:sz="4" w:space="0" w:color="auto"/>
            </w:tcBorders>
            <w:vAlign w:val="center"/>
          </w:tcPr>
          <w:p w14:paraId="59D34439"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-24.3 ± 7.74</w:t>
            </w:r>
          </w:p>
        </w:tc>
        <w:tc>
          <w:tcPr>
            <w:tcW w:w="1440" w:type="dxa"/>
            <w:tcBorders>
              <w:top w:val="single" w:sz="4" w:space="0" w:color="auto"/>
            </w:tcBorders>
            <w:vAlign w:val="center"/>
          </w:tcPr>
          <w:p w14:paraId="18ED1481"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-41.8 ± 25.9</w:t>
            </w:r>
          </w:p>
        </w:tc>
        <w:tc>
          <w:tcPr>
            <w:tcW w:w="1440" w:type="dxa"/>
            <w:tcBorders>
              <w:top w:val="single" w:sz="4" w:space="0" w:color="auto"/>
            </w:tcBorders>
            <w:vAlign w:val="center"/>
          </w:tcPr>
          <w:p w14:paraId="5A384B83"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00F0DB65" w14:textId="77777777" w:rsidTr="001E337E">
        <w:trPr>
          <w:trHeight w:val="298"/>
        </w:trPr>
        <w:tc>
          <w:tcPr>
            <w:tcW w:w="1152" w:type="dxa"/>
            <w:vMerge/>
            <w:tcBorders>
              <w:top w:val="nil"/>
            </w:tcBorders>
            <w:vAlign w:val="center"/>
          </w:tcPr>
          <w:p w14:paraId="27472B63" w14:textId="77777777" w:rsidR="001E337E" w:rsidRPr="00EF4233" w:rsidRDefault="001E337E" w:rsidP="001E337E">
            <w:pPr>
              <w:spacing w:after="0"/>
              <w:rPr>
                <w:rFonts w:ascii="Times New Roman" w:hAnsi="Times New Roman"/>
                <w:sz w:val="20"/>
                <w:szCs w:val="20"/>
              </w:rPr>
            </w:pPr>
          </w:p>
        </w:tc>
        <w:tc>
          <w:tcPr>
            <w:tcW w:w="1296" w:type="dxa"/>
            <w:tcBorders>
              <w:top w:val="nil"/>
            </w:tcBorders>
            <w:vAlign w:val="center"/>
          </w:tcPr>
          <w:p w14:paraId="70583F11" w14:textId="77777777" w:rsidR="001E337E" w:rsidRPr="00EF4233" w:rsidRDefault="001E337E" w:rsidP="001E337E">
            <w:pPr>
              <w:spacing w:after="0"/>
              <w:rPr>
                <w:rFonts w:ascii="Times New Roman" w:hAnsi="Times New Roman"/>
                <w:sz w:val="20"/>
                <w:szCs w:val="20"/>
              </w:rPr>
            </w:pPr>
            <w:r w:rsidRPr="00EF4233">
              <w:rPr>
                <w:rFonts w:ascii="Times New Roman" w:hAnsi="Times New Roman"/>
                <w:sz w:val="20"/>
                <w:szCs w:val="20"/>
              </w:rPr>
              <w:t>Nonlinear</w:t>
            </w:r>
          </w:p>
        </w:tc>
        <w:tc>
          <w:tcPr>
            <w:tcW w:w="1440" w:type="dxa"/>
            <w:tcBorders>
              <w:top w:val="nil"/>
            </w:tcBorders>
            <w:vAlign w:val="center"/>
          </w:tcPr>
          <w:p w14:paraId="047861AC"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-23.0 ± 0.077</w:t>
            </w:r>
          </w:p>
        </w:tc>
        <w:tc>
          <w:tcPr>
            <w:tcW w:w="1440" w:type="dxa"/>
            <w:tcBorders>
              <w:top w:val="nil"/>
            </w:tcBorders>
            <w:vAlign w:val="center"/>
          </w:tcPr>
          <w:p w14:paraId="1947A594"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-39.29</w:t>
            </w:r>
          </w:p>
        </w:tc>
        <w:tc>
          <w:tcPr>
            <w:tcW w:w="1440" w:type="dxa"/>
            <w:tcBorders>
              <w:top w:val="nil"/>
            </w:tcBorders>
            <w:vAlign w:val="center"/>
          </w:tcPr>
          <w:p w14:paraId="6CA7EB0A"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-2311 ± 464.4</w:t>
            </w:r>
          </w:p>
        </w:tc>
      </w:tr>
      <w:tr w:rsidR="001E337E" w:rsidRPr="00EF4233" w14:paraId="2A827E2F" w14:textId="77777777" w:rsidTr="001E337E">
        <w:trPr>
          <w:trHeight w:val="304"/>
        </w:trPr>
        <w:tc>
          <w:tcPr>
            <w:tcW w:w="1152" w:type="dxa"/>
            <w:vMerge w:val="restart"/>
            <w:tcBorders>
              <w:top w:val="nil"/>
            </w:tcBorders>
          </w:tcPr>
          <w:p w14:paraId="331D4F70"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β-CD</w:t>
            </w:r>
          </w:p>
        </w:tc>
        <w:tc>
          <w:tcPr>
            <w:tcW w:w="1296" w:type="dxa"/>
            <w:tcBorders>
              <w:top w:val="nil"/>
            </w:tcBorders>
            <w:vAlign w:val="center"/>
          </w:tcPr>
          <w:p w14:paraId="067D59CD"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nil"/>
            </w:tcBorders>
            <w:vAlign w:val="center"/>
          </w:tcPr>
          <w:p w14:paraId="11EAD1D9"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-30.06 ± 6.68</w:t>
            </w:r>
          </w:p>
        </w:tc>
        <w:tc>
          <w:tcPr>
            <w:tcW w:w="1440" w:type="dxa"/>
            <w:tcBorders>
              <w:top w:val="nil"/>
              <w:bottom w:val="nil"/>
            </w:tcBorders>
            <w:vAlign w:val="center"/>
          </w:tcPr>
          <w:p w14:paraId="78812EC8"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-56.63 ± 22.4</w:t>
            </w:r>
          </w:p>
        </w:tc>
        <w:tc>
          <w:tcPr>
            <w:tcW w:w="1440" w:type="dxa"/>
            <w:tcBorders>
              <w:top w:val="nil"/>
            </w:tcBorders>
            <w:vAlign w:val="center"/>
          </w:tcPr>
          <w:p w14:paraId="0EECB904"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7E07E0F7" w14:textId="77777777" w:rsidTr="001E337E">
        <w:trPr>
          <w:trHeight w:val="297"/>
        </w:trPr>
        <w:tc>
          <w:tcPr>
            <w:tcW w:w="1152" w:type="dxa"/>
            <w:vMerge/>
            <w:tcBorders>
              <w:top w:val="nil"/>
              <w:bottom w:val="nil"/>
            </w:tcBorders>
            <w:vAlign w:val="center"/>
          </w:tcPr>
          <w:p w14:paraId="6B2F9F99" w14:textId="77777777" w:rsidR="001E337E" w:rsidRPr="00EF4233" w:rsidRDefault="001E337E" w:rsidP="001E337E">
            <w:pPr>
              <w:spacing w:after="0"/>
              <w:rPr>
                <w:rFonts w:ascii="Times New Roman" w:hAnsi="Times New Roman"/>
                <w:sz w:val="20"/>
                <w:szCs w:val="20"/>
              </w:rPr>
            </w:pPr>
          </w:p>
        </w:tc>
        <w:tc>
          <w:tcPr>
            <w:tcW w:w="1296" w:type="dxa"/>
            <w:tcBorders>
              <w:top w:val="nil"/>
              <w:bottom w:val="nil"/>
            </w:tcBorders>
            <w:vAlign w:val="center"/>
          </w:tcPr>
          <w:p w14:paraId="1D0A9836" w14:textId="77777777" w:rsidR="001E337E" w:rsidRPr="00EF4233" w:rsidRDefault="001E337E" w:rsidP="001E337E">
            <w:pPr>
              <w:spacing w:after="0"/>
              <w:rPr>
                <w:rFonts w:ascii="Times New Roman" w:hAnsi="Times New Roman"/>
                <w:sz w:val="20"/>
                <w:szCs w:val="20"/>
              </w:rPr>
            </w:pPr>
            <w:r w:rsidRPr="00EF4233">
              <w:rPr>
                <w:rFonts w:ascii="Times New Roman" w:hAnsi="Times New Roman"/>
                <w:sz w:val="20"/>
                <w:szCs w:val="20"/>
              </w:rPr>
              <w:t>Nonlinear</w:t>
            </w:r>
          </w:p>
        </w:tc>
        <w:tc>
          <w:tcPr>
            <w:tcW w:w="1440" w:type="dxa"/>
            <w:tcBorders>
              <w:top w:val="nil"/>
              <w:bottom w:val="nil"/>
            </w:tcBorders>
            <w:vAlign w:val="center"/>
          </w:tcPr>
          <w:p w14:paraId="3A7E0B30"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-29.23 ± 0.00</w:t>
            </w:r>
          </w:p>
        </w:tc>
        <w:tc>
          <w:tcPr>
            <w:tcW w:w="1440" w:type="dxa"/>
            <w:tcBorders>
              <w:top w:val="nil"/>
              <w:bottom w:val="nil"/>
            </w:tcBorders>
            <w:vAlign w:val="center"/>
          </w:tcPr>
          <w:p w14:paraId="107FF36D"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-53.40 ± 4.81</w:t>
            </w:r>
          </w:p>
        </w:tc>
        <w:tc>
          <w:tcPr>
            <w:tcW w:w="1440" w:type="dxa"/>
            <w:tcBorders>
              <w:top w:val="nil"/>
              <w:bottom w:val="nil"/>
            </w:tcBorders>
            <w:vAlign w:val="center"/>
          </w:tcPr>
          <w:p w14:paraId="17AA5EE9"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-1000 ± 4.85</w:t>
            </w:r>
          </w:p>
        </w:tc>
      </w:tr>
      <w:tr w:rsidR="001E337E" w:rsidRPr="00EF4233" w14:paraId="02E211FC" w14:textId="77777777" w:rsidTr="001E337E">
        <w:trPr>
          <w:trHeight w:val="289"/>
        </w:trPr>
        <w:tc>
          <w:tcPr>
            <w:tcW w:w="1152" w:type="dxa"/>
            <w:vMerge w:val="restart"/>
            <w:tcBorders>
              <w:top w:val="nil"/>
            </w:tcBorders>
          </w:tcPr>
          <w:p w14:paraId="0F4E5925"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HPβ-CD</w:t>
            </w:r>
          </w:p>
        </w:tc>
        <w:tc>
          <w:tcPr>
            <w:tcW w:w="1296" w:type="dxa"/>
            <w:tcBorders>
              <w:top w:val="nil"/>
            </w:tcBorders>
            <w:vAlign w:val="center"/>
          </w:tcPr>
          <w:p w14:paraId="4BBEAC32"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nil"/>
            </w:tcBorders>
            <w:vAlign w:val="center"/>
          </w:tcPr>
          <w:p w14:paraId="6CE0C624"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-38.08 ± 6.06</w:t>
            </w:r>
          </w:p>
        </w:tc>
        <w:tc>
          <w:tcPr>
            <w:tcW w:w="1440" w:type="dxa"/>
            <w:tcBorders>
              <w:top w:val="nil"/>
            </w:tcBorders>
            <w:vAlign w:val="center"/>
          </w:tcPr>
          <w:p w14:paraId="061E33F7"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-84.73 ± 20</w:t>
            </w:r>
          </w:p>
        </w:tc>
        <w:tc>
          <w:tcPr>
            <w:tcW w:w="1440" w:type="dxa"/>
            <w:tcBorders>
              <w:top w:val="nil"/>
            </w:tcBorders>
            <w:vAlign w:val="center"/>
          </w:tcPr>
          <w:p w14:paraId="4FBC38F6"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01516843" w14:textId="77777777" w:rsidTr="001E337E">
        <w:trPr>
          <w:trHeight w:val="295"/>
        </w:trPr>
        <w:tc>
          <w:tcPr>
            <w:tcW w:w="1152" w:type="dxa"/>
            <w:vMerge/>
            <w:tcBorders>
              <w:top w:val="nil"/>
              <w:bottom w:val="single" w:sz="4" w:space="0" w:color="auto"/>
            </w:tcBorders>
            <w:vAlign w:val="center"/>
          </w:tcPr>
          <w:p w14:paraId="35D89124" w14:textId="77777777" w:rsidR="001E337E" w:rsidRPr="00EF4233" w:rsidRDefault="001E337E" w:rsidP="001E337E">
            <w:pPr>
              <w:spacing w:after="0"/>
              <w:rPr>
                <w:rFonts w:ascii="Times New Roman" w:hAnsi="Times New Roman"/>
                <w:sz w:val="20"/>
                <w:szCs w:val="20"/>
              </w:rPr>
            </w:pPr>
          </w:p>
        </w:tc>
        <w:tc>
          <w:tcPr>
            <w:tcW w:w="1296" w:type="dxa"/>
            <w:tcBorders>
              <w:top w:val="nil"/>
              <w:bottom w:val="single" w:sz="4" w:space="0" w:color="auto"/>
            </w:tcBorders>
            <w:vAlign w:val="center"/>
          </w:tcPr>
          <w:p w14:paraId="5044EC71" w14:textId="77777777" w:rsidR="001E337E" w:rsidRPr="00EF4233" w:rsidRDefault="001E337E" w:rsidP="001E337E">
            <w:pPr>
              <w:spacing w:after="60"/>
              <w:rPr>
                <w:rFonts w:ascii="Times New Roman" w:hAnsi="Times New Roman"/>
                <w:sz w:val="20"/>
                <w:szCs w:val="20"/>
              </w:rPr>
            </w:pPr>
            <w:r w:rsidRPr="00EF4233">
              <w:rPr>
                <w:rFonts w:ascii="Times New Roman" w:hAnsi="Times New Roman"/>
                <w:sz w:val="20"/>
                <w:szCs w:val="20"/>
              </w:rPr>
              <w:t>Nonlinear</w:t>
            </w:r>
          </w:p>
        </w:tc>
        <w:tc>
          <w:tcPr>
            <w:tcW w:w="1440" w:type="dxa"/>
            <w:tcBorders>
              <w:top w:val="nil"/>
              <w:bottom w:val="single" w:sz="4" w:space="0" w:color="auto"/>
            </w:tcBorders>
            <w:vAlign w:val="center"/>
          </w:tcPr>
          <w:p w14:paraId="7F2F9E23"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-37.78 ± 5.10</w:t>
            </w:r>
          </w:p>
        </w:tc>
        <w:tc>
          <w:tcPr>
            <w:tcW w:w="1440" w:type="dxa"/>
            <w:tcBorders>
              <w:top w:val="nil"/>
              <w:bottom w:val="single" w:sz="4" w:space="0" w:color="auto"/>
            </w:tcBorders>
            <w:vAlign w:val="center"/>
          </w:tcPr>
          <w:p w14:paraId="60D2A4EA"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-83.57 ± 17.08</w:t>
            </w:r>
          </w:p>
        </w:tc>
        <w:tc>
          <w:tcPr>
            <w:tcW w:w="1440" w:type="dxa"/>
            <w:tcBorders>
              <w:top w:val="nil"/>
              <w:bottom w:val="single" w:sz="4" w:space="0" w:color="auto"/>
            </w:tcBorders>
            <w:vAlign w:val="center"/>
          </w:tcPr>
          <w:p w14:paraId="0C0D9D1F"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-300</w:t>
            </w:r>
          </w:p>
        </w:tc>
      </w:tr>
    </w:tbl>
    <w:p w14:paraId="65D68F3A" w14:textId="77777777" w:rsidR="001431E1" w:rsidRPr="001431E1" w:rsidRDefault="001431E1" w:rsidP="001431E1">
      <w:pPr>
        <w:spacing w:after="120"/>
        <w:jc w:val="center"/>
        <w:rPr>
          <w:rFonts w:ascii="Times New Roman" w:hAnsi="Times New Roman"/>
          <w:vanish/>
          <w:sz w:val="20"/>
          <w:szCs w:val="20"/>
        </w:rPr>
      </w:pPr>
    </w:p>
    <w:p w14:paraId="5CFEB558" w14:textId="77777777" w:rsidR="001431E1" w:rsidRPr="001431E1" w:rsidRDefault="001431E1" w:rsidP="001431E1">
      <w:pPr>
        <w:spacing w:after="120"/>
        <w:jc w:val="center"/>
        <w:rPr>
          <w:rFonts w:ascii="Times New Roman" w:eastAsia="Calibri" w:hAnsi="Times New Roman"/>
          <w:sz w:val="20"/>
          <w:szCs w:val="20"/>
        </w:rPr>
      </w:pPr>
    </w:p>
    <w:p w14:paraId="5A60A84B" w14:textId="77777777" w:rsidR="00EB7D5C" w:rsidRDefault="00EB7D5C" w:rsidP="001431E1">
      <w:pPr>
        <w:tabs>
          <w:tab w:val="left" w:pos="-142"/>
          <w:tab w:val="left" w:pos="851"/>
        </w:tabs>
        <w:adjustRightInd w:val="0"/>
        <w:spacing w:after="120"/>
        <w:jc w:val="center"/>
        <w:rPr>
          <w:rFonts w:ascii="Times New Roman" w:eastAsia="Calibri" w:hAnsi="Times New Roman"/>
          <w:sz w:val="20"/>
          <w:szCs w:val="20"/>
        </w:rPr>
      </w:pPr>
    </w:p>
    <w:p w14:paraId="7EE97817" w14:textId="77777777" w:rsidR="001431E1" w:rsidRDefault="001431E1" w:rsidP="001431E1">
      <w:pPr>
        <w:tabs>
          <w:tab w:val="left" w:pos="-142"/>
          <w:tab w:val="left" w:pos="851"/>
        </w:tabs>
        <w:adjustRightInd w:val="0"/>
        <w:spacing w:after="120"/>
        <w:jc w:val="center"/>
        <w:rPr>
          <w:rFonts w:ascii="Times New Roman" w:eastAsia="Calibri" w:hAnsi="Times New Roman"/>
          <w:sz w:val="20"/>
          <w:szCs w:val="20"/>
        </w:rPr>
      </w:pPr>
    </w:p>
    <w:p w14:paraId="692EB862" w14:textId="77777777" w:rsidR="001E337E" w:rsidRPr="001E337E" w:rsidRDefault="001E337E" w:rsidP="001E337E">
      <w:pPr>
        <w:rPr>
          <w:rFonts w:ascii="Times New Roman" w:eastAsia="Calibri" w:hAnsi="Times New Roman"/>
          <w:sz w:val="20"/>
          <w:szCs w:val="20"/>
        </w:rPr>
      </w:pPr>
    </w:p>
    <w:p w14:paraId="676DCD0A" w14:textId="77777777" w:rsidR="001E337E" w:rsidRPr="001E337E" w:rsidRDefault="001E337E" w:rsidP="001E337E">
      <w:pPr>
        <w:rPr>
          <w:rFonts w:ascii="Times New Roman" w:eastAsia="Calibri" w:hAnsi="Times New Roman"/>
          <w:sz w:val="20"/>
          <w:szCs w:val="20"/>
        </w:rPr>
      </w:pPr>
    </w:p>
    <w:p w14:paraId="49DAD4F7" w14:textId="77777777" w:rsidR="001E337E" w:rsidRPr="001E337E" w:rsidRDefault="001E337E" w:rsidP="001E337E">
      <w:pPr>
        <w:rPr>
          <w:rFonts w:ascii="Times New Roman" w:eastAsia="Calibri" w:hAnsi="Times New Roman"/>
          <w:sz w:val="20"/>
          <w:szCs w:val="20"/>
        </w:rPr>
      </w:pPr>
    </w:p>
    <w:p w14:paraId="1931BD6C" w14:textId="77777777" w:rsidR="001E337E" w:rsidRPr="001E337E" w:rsidRDefault="001E337E" w:rsidP="001E337E">
      <w:pPr>
        <w:rPr>
          <w:rFonts w:ascii="Times New Roman" w:eastAsia="Calibri" w:hAnsi="Times New Roman"/>
          <w:sz w:val="20"/>
          <w:szCs w:val="20"/>
        </w:rPr>
      </w:pPr>
    </w:p>
    <w:p w14:paraId="43F07DF5" w14:textId="00C04D17" w:rsidR="001E337E" w:rsidRDefault="001E337E" w:rsidP="001E337E">
      <w:pPr>
        <w:jc w:val="center"/>
        <w:rPr>
          <w:rFonts w:ascii="Times New Roman" w:eastAsia="Calibri" w:hAnsi="Times New Roman"/>
          <w:sz w:val="20"/>
          <w:szCs w:val="20"/>
        </w:rPr>
      </w:pPr>
    </w:p>
    <w:p w14:paraId="2AB897F2" w14:textId="77777777" w:rsidR="001E337E" w:rsidRDefault="001E337E" w:rsidP="001E337E">
      <w:pPr>
        <w:adjustRightInd w:val="0"/>
        <w:spacing w:after="0"/>
        <w:jc w:val="both"/>
        <w:rPr>
          <w:rFonts w:ascii="Times New Roman" w:eastAsia="Calibri" w:hAnsi="Times New Roman"/>
          <w:b/>
          <w:bCs/>
          <w:sz w:val="20"/>
          <w:szCs w:val="20"/>
        </w:rPr>
        <w:sectPr w:rsidR="001E337E" w:rsidSect="00CB2AE7">
          <w:footerReference w:type="even" r:id="rId57"/>
          <w:type w:val="continuous"/>
          <w:pgSz w:w="11906" w:h="16838"/>
          <w:pgMar w:top="1800" w:right="1469" w:bottom="1699" w:left="1440" w:header="709" w:footer="709" w:gutter="0"/>
          <w:cols w:space="708"/>
          <w:docGrid w:linePitch="360"/>
        </w:sectPr>
      </w:pPr>
    </w:p>
    <w:p w14:paraId="1F0B6583" w14:textId="77777777" w:rsidR="001E337E" w:rsidRPr="001E337E" w:rsidRDefault="001E337E" w:rsidP="001E337E">
      <w:pPr>
        <w:adjustRightInd w:val="0"/>
        <w:spacing w:after="0"/>
        <w:jc w:val="center"/>
        <w:rPr>
          <w:rFonts w:ascii="Times New Roman" w:eastAsia="Calibri" w:hAnsi="Times New Roman"/>
          <w:b/>
          <w:bCs/>
          <w:sz w:val="20"/>
          <w:szCs w:val="20"/>
        </w:rPr>
      </w:pPr>
      <w:r w:rsidRPr="001E337E">
        <w:rPr>
          <w:rFonts w:ascii="Times New Roman" w:eastAsia="Calibri" w:hAnsi="Times New Roman"/>
          <w:b/>
          <w:bCs/>
          <w:sz w:val="20"/>
          <w:szCs w:val="20"/>
        </w:rPr>
        <w:t>Conclusion</w:t>
      </w:r>
    </w:p>
    <w:p w14:paraId="134204A5" w14:textId="77777777" w:rsidR="001E337E" w:rsidRPr="001E337E" w:rsidRDefault="001E337E" w:rsidP="001E337E">
      <w:pPr>
        <w:tabs>
          <w:tab w:val="left" w:pos="9070"/>
        </w:tabs>
        <w:adjustRightInd w:val="0"/>
        <w:spacing w:after="0"/>
        <w:ind w:right="-2"/>
        <w:jc w:val="both"/>
        <w:rPr>
          <w:rFonts w:ascii="Times New Roman" w:hAnsi="Times New Roman"/>
          <w:sz w:val="20"/>
          <w:szCs w:val="20"/>
        </w:rPr>
      </w:pPr>
      <w:r w:rsidRPr="001E337E">
        <w:rPr>
          <w:rFonts w:ascii="Times New Roman" w:eastAsia="Calibri" w:hAnsi="Times New Roman"/>
          <w:sz w:val="20"/>
          <w:szCs w:val="20"/>
        </w:rPr>
        <w:t xml:space="preserve">Employing the spectrophotometry technique for the inclusion complexation of tetracaine hydrochloride in different type of CDs (α-CD, β-CD and HPβ-CD) was demonstrated. The occurrence of the complexation is confirmed by the appearance of isosbestic points, hyperchromic and bathochromic shift effects on the UV-Visible spectra. From the values of complexation constants, the strength of the complexation increases from α-CD to β-CD in accord with the majority of the studies earlier reported by different authors with other techniques. </w:t>
      </w:r>
      <w:r w:rsidRPr="001E337E">
        <w:rPr>
          <w:rFonts w:ascii="Times New Roman" w:hAnsi="Times New Roman"/>
          <w:sz w:val="20"/>
          <w:szCs w:val="20"/>
        </w:rPr>
        <w:t>From the Van’t Hoff analysis, the studied complexation processes are spontaneous, with a favorable enthalpic contribution and an unfavorable entropic term. This means that the complexation seems to be driven by Van der Waals attractive forces (ΔH° &lt; 0; ΔS° &lt; 0) and to the solvent reorganization effects. Van’t Hoff plots well show that for the drug/HPβ-CD association process linear fitting function is sufficient to describe the phenomena. However, for the α-CD and β-CD a non-linear fitting is necessary (ΔCp°≠0) to characterize their association with the drug.</w:t>
      </w:r>
    </w:p>
    <w:p w14:paraId="66B8EE4E" w14:textId="77777777" w:rsidR="001E337E" w:rsidRPr="001E337E" w:rsidRDefault="001E337E" w:rsidP="001E337E">
      <w:pPr>
        <w:adjustRightInd w:val="0"/>
        <w:spacing w:after="0"/>
        <w:jc w:val="center"/>
        <w:rPr>
          <w:rFonts w:ascii="Times New Roman" w:eastAsia="Calibri" w:hAnsi="Times New Roman"/>
          <w:b/>
          <w:bCs/>
          <w:sz w:val="20"/>
          <w:szCs w:val="20"/>
          <w:u w:val="single"/>
        </w:rPr>
      </w:pPr>
    </w:p>
    <w:p w14:paraId="5F9B014C" w14:textId="77777777" w:rsidR="001E337E" w:rsidRPr="001E337E" w:rsidRDefault="001E337E" w:rsidP="001E337E">
      <w:pPr>
        <w:adjustRightInd w:val="0"/>
        <w:spacing w:after="0"/>
        <w:jc w:val="center"/>
        <w:rPr>
          <w:rFonts w:ascii="Times New Roman" w:eastAsia="Calibri" w:hAnsi="Times New Roman"/>
          <w:b/>
          <w:bCs/>
          <w:sz w:val="20"/>
          <w:szCs w:val="20"/>
        </w:rPr>
      </w:pPr>
      <w:r w:rsidRPr="001E337E">
        <w:rPr>
          <w:rFonts w:ascii="Times New Roman" w:eastAsia="Calibri" w:hAnsi="Times New Roman"/>
          <w:b/>
          <w:bCs/>
          <w:sz w:val="20"/>
          <w:szCs w:val="20"/>
        </w:rPr>
        <w:t>Acknowledgement</w:t>
      </w:r>
    </w:p>
    <w:p w14:paraId="588DAE14" w14:textId="77777777" w:rsidR="001E337E" w:rsidRPr="001E337E" w:rsidRDefault="001E337E" w:rsidP="001E337E">
      <w:pPr>
        <w:adjustRightInd w:val="0"/>
        <w:spacing w:after="0"/>
        <w:jc w:val="both"/>
        <w:rPr>
          <w:rFonts w:ascii="Times New Roman" w:hAnsi="Times New Roman"/>
          <w:sz w:val="20"/>
          <w:szCs w:val="20"/>
        </w:rPr>
      </w:pPr>
      <w:r w:rsidRPr="001E337E">
        <w:rPr>
          <w:rFonts w:ascii="Times New Roman" w:hAnsi="Times New Roman"/>
          <w:sz w:val="20"/>
          <w:szCs w:val="20"/>
        </w:rPr>
        <w:t>The authors would like to thank the general directorate of scientific research and technological development, Algeria for the financial support.</w:t>
      </w:r>
    </w:p>
    <w:p w14:paraId="4E5C1D91" w14:textId="77777777" w:rsidR="001E337E" w:rsidRPr="001E337E" w:rsidRDefault="001E337E" w:rsidP="001E337E">
      <w:pPr>
        <w:adjustRightInd w:val="0"/>
        <w:spacing w:after="0"/>
        <w:jc w:val="center"/>
        <w:rPr>
          <w:rFonts w:ascii="Times New Roman" w:hAnsi="Times New Roman"/>
          <w:sz w:val="20"/>
          <w:szCs w:val="20"/>
        </w:rPr>
      </w:pPr>
    </w:p>
    <w:p w14:paraId="3EE71785" w14:textId="77777777" w:rsidR="001E337E" w:rsidRPr="001E337E" w:rsidRDefault="001E337E" w:rsidP="001E337E">
      <w:pPr>
        <w:adjustRightInd w:val="0"/>
        <w:spacing w:after="0"/>
        <w:jc w:val="center"/>
        <w:outlineLvl w:val="0"/>
        <w:rPr>
          <w:rFonts w:ascii="Times New Roman" w:eastAsia="Calibri" w:hAnsi="Times New Roman"/>
          <w:b/>
          <w:bCs/>
          <w:sz w:val="20"/>
          <w:szCs w:val="20"/>
        </w:rPr>
      </w:pPr>
      <w:r w:rsidRPr="001E337E">
        <w:rPr>
          <w:rFonts w:ascii="Times New Roman" w:eastAsia="Calibri" w:hAnsi="Times New Roman"/>
          <w:b/>
          <w:bCs/>
          <w:sz w:val="20"/>
          <w:szCs w:val="20"/>
        </w:rPr>
        <w:t>References</w:t>
      </w:r>
    </w:p>
    <w:p w14:paraId="427E2CF9" w14:textId="77777777" w:rsidR="001E337E" w:rsidRPr="001E337E" w:rsidRDefault="001E337E" w:rsidP="001E337E">
      <w:pPr>
        <w:numPr>
          <w:ilvl w:val="0"/>
          <w:numId w:val="3"/>
        </w:numPr>
        <w:autoSpaceDE w:val="0"/>
        <w:autoSpaceDN w:val="0"/>
        <w:adjustRightInd w:val="0"/>
        <w:spacing w:after="0"/>
        <w:ind w:left="360"/>
        <w:jc w:val="both"/>
        <w:rPr>
          <w:rFonts w:ascii="Times New Roman" w:eastAsia="Calibri" w:hAnsi="Times New Roman"/>
          <w:sz w:val="20"/>
          <w:szCs w:val="20"/>
        </w:rPr>
      </w:pPr>
      <w:r w:rsidRPr="001E337E">
        <w:rPr>
          <w:rFonts w:ascii="Times New Roman" w:eastAsia="Calibri" w:hAnsi="Times New Roman"/>
          <w:sz w:val="20"/>
          <w:szCs w:val="20"/>
        </w:rPr>
        <w:t xml:space="preserve">Mary Ann Vann, M. D., Babatunde O. Ogunnaike, M. D. and Girish P. Joshi, M.B. </w:t>
      </w:r>
      <w:r w:rsidRPr="001E337E">
        <w:rPr>
          <w:rFonts w:ascii="Times New Roman" w:hAnsi="Times New Roman"/>
          <w:sz w:val="20"/>
          <w:szCs w:val="20"/>
        </w:rPr>
        <w:t xml:space="preserve">(2007). </w:t>
      </w:r>
      <w:r w:rsidRPr="001E337E">
        <w:rPr>
          <w:rFonts w:ascii="Times New Roman" w:eastAsia="Calibri" w:hAnsi="Times New Roman"/>
          <w:sz w:val="20"/>
          <w:szCs w:val="20"/>
        </w:rPr>
        <w:t xml:space="preserve">Sedation and anesthesia care for </w:t>
      </w:r>
      <w:r w:rsidRPr="001E337E">
        <w:rPr>
          <w:rFonts w:ascii="Times New Roman" w:eastAsia="Calibri" w:hAnsi="Times New Roman"/>
          <w:sz w:val="20"/>
          <w:szCs w:val="20"/>
        </w:rPr>
        <w:t>ophthalmologic surgery during local/regional anesthesia.</w:t>
      </w:r>
      <w:r w:rsidRPr="001E337E">
        <w:rPr>
          <w:rFonts w:ascii="Times New Roman" w:hAnsi="Times New Roman"/>
          <w:sz w:val="20"/>
          <w:szCs w:val="20"/>
        </w:rPr>
        <w:t xml:space="preserve"> </w:t>
      </w:r>
      <w:r w:rsidRPr="00EB76DD">
        <w:rPr>
          <w:rStyle w:val="Emphasis"/>
          <w:rFonts w:ascii="Times New Roman" w:hAnsi="Times New Roman"/>
          <w:b w:val="0"/>
          <w:bCs w:val="0"/>
          <w:sz w:val="20"/>
          <w:szCs w:val="20"/>
        </w:rPr>
        <w:t>Anesthesiology,</w:t>
      </w:r>
      <w:r w:rsidRPr="001E337E">
        <w:rPr>
          <w:rFonts w:ascii="Times New Roman" w:eastAsia="Calibri" w:hAnsi="Times New Roman"/>
          <w:sz w:val="20"/>
          <w:szCs w:val="20"/>
        </w:rPr>
        <w:t xml:space="preserve"> 107(3): 502-508.</w:t>
      </w:r>
    </w:p>
    <w:p w14:paraId="7D901642" w14:textId="77777777" w:rsidR="001E337E" w:rsidRPr="001E337E" w:rsidRDefault="001E337E" w:rsidP="001E337E">
      <w:pPr>
        <w:numPr>
          <w:ilvl w:val="0"/>
          <w:numId w:val="3"/>
        </w:numPr>
        <w:autoSpaceDE w:val="0"/>
        <w:autoSpaceDN w:val="0"/>
        <w:adjustRightInd w:val="0"/>
        <w:spacing w:after="0"/>
        <w:ind w:left="360"/>
        <w:jc w:val="both"/>
        <w:rPr>
          <w:rStyle w:val="cit"/>
          <w:rFonts w:ascii="Times New Roman" w:hAnsi="Times New Roman"/>
          <w:sz w:val="20"/>
          <w:szCs w:val="20"/>
        </w:rPr>
      </w:pPr>
      <w:r w:rsidRPr="001E337E">
        <w:rPr>
          <w:rStyle w:val="authors-list-item"/>
          <w:rFonts w:ascii="Times New Roman" w:hAnsi="Times New Roman"/>
          <w:sz w:val="20"/>
          <w:szCs w:val="20"/>
        </w:rPr>
        <w:t>Glantz,</w:t>
      </w:r>
      <w:r w:rsidRPr="001E337E">
        <w:rPr>
          <w:rFonts w:ascii="Times New Roman" w:hAnsi="Times New Roman"/>
          <w:sz w:val="20"/>
          <w:szCs w:val="20"/>
        </w:rPr>
        <w:t xml:space="preserve"> </w:t>
      </w:r>
      <w:r w:rsidRPr="001E337E">
        <w:rPr>
          <w:rStyle w:val="authors-list-item"/>
          <w:rFonts w:ascii="Times New Roman" w:hAnsi="Times New Roman"/>
          <w:sz w:val="20"/>
          <w:szCs w:val="20"/>
        </w:rPr>
        <w:t>L.</w:t>
      </w:r>
      <w:r w:rsidRPr="001E337E">
        <w:rPr>
          <w:rStyle w:val="comma"/>
          <w:rFonts w:ascii="Times New Roman" w:hAnsi="Times New Roman"/>
          <w:sz w:val="20"/>
          <w:szCs w:val="20"/>
        </w:rPr>
        <w:t>, </w:t>
      </w:r>
      <w:r w:rsidRPr="001E337E">
        <w:rPr>
          <w:rStyle w:val="authors-list-item"/>
          <w:rFonts w:ascii="Times New Roman" w:hAnsi="Times New Roman"/>
          <w:sz w:val="20"/>
          <w:szCs w:val="20"/>
        </w:rPr>
        <w:t xml:space="preserve"> Drenger</w:t>
      </w:r>
      <w:r w:rsidRPr="001E337E">
        <w:rPr>
          <w:rStyle w:val="comma"/>
          <w:rFonts w:ascii="Times New Roman" w:hAnsi="Times New Roman"/>
          <w:sz w:val="20"/>
          <w:szCs w:val="20"/>
        </w:rPr>
        <w:t>,</w:t>
      </w:r>
      <w:r w:rsidRPr="001E337E">
        <w:rPr>
          <w:rFonts w:ascii="Times New Roman" w:hAnsi="Times New Roman"/>
          <w:sz w:val="20"/>
          <w:szCs w:val="20"/>
        </w:rPr>
        <w:t xml:space="preserve"> </w:t>
      </w:r>
      <w:r w:rsidRPr="001E337E">
        <w:rPr>
          <w:rStyle w:val="comma"/>
          <w:rFonts w:ascii="Times New Roman" w:hAnsi="Times New Roman"/>
          <w:sz w:val="20"/>
          <w:szCs w:val="20"/>
        </w:rPr>
        <w:t>B. and </w:t>
      </w:r>
      <w:r w:rsidRPr="001E337E">
        <w:rPr>
          <w:rStyle w:val="authors-list-item"/>
          <w:rFonts w:ascii="Times New Roman" w:hAnsi="Times New Roman"/>
          <w:sz w:val="20"/>
          <w:szCs w:val="20"/>
        </w:rPr>
        <w:t xml:space="preserve"> Gozal,</w:t>
      </w:r>
      <w:r w:rsidRPr="001E337E">
        <w:rPr>
          <w:rFonts w:ascii="Times New Roman" w:hAnsi="Times New Roman"/>
          <w:sz w:val="20"/>
          <w:szCs w:val="20"/>
        </w:rPr>
        <w:t xml:space="preserve"> </w:t>
      </w:r>
      <w:r w:rsidRPr="001E337E">
        <w:rPr>
          <w:rStyle w:val="authors-list-item"/>
          <w:rFonts w:ascii="Times New Roman" w:hAnsi="Times New Roman"/>
          <w:sz w:val="20"/>
          <w:szCs w:val="20"/>
        </w:rPr>
        <w:t xml:space="preserve">Y. </w:t>
      </w:r>
      <w:r w:rsidRPr="001E337E">
        <w:rPr>
          <w:rFonts w:ascii="Times New Roman" w:hAnsi="Times New Roman"/>
          <w:sz w:val="20"/>
          <w:szCs w:val="20"/>
        </w:rPr>
        <w:t xml:space="preserve">(2007). Perioperative myocardial ischemia in cataract surgery patients: general versus local anesthesia. </w:t>
      </w:r>
      <w:r w:rsidRPr="001E337E">
        <w:rPr>
          <w:rFonts w:ascii="Times New Roman" w:hAnsi="Times New Roman"/>
          <w:i/>
          <w:iCs/>
          <w:sz w:val="20"/>
          <w:szCs w:val="20"/>
        </w:rPr>
        <w:t>Anesthesia &amp; Analgesia,</w:t>
      </w:r>
      <w:r w:rsidRPr="001E337E">
        <w:rPr>
          <w:rFonts w:ascii="Times New Roman" w:hAnsi="Times New Roman"/>
          <w:sz w:val="20"/>
          <w:szCs w:val="20"/>
        </w:rPr>
        <w:t xml:space="preserve"> </w:t>
      </w:r>
      <w:r w:rsidRPr="001E337E">
        <w:rPr>
          <w:rStyle w:val="cit"/>
          <w:rFonts w:ascii="Times New Roman" w:hAnsi="Times New Roman"/>
          <w:sz w:val="20"/>
          <w:szCs w:val="20"/>
        </w:rPr>
        <w:t>91(6): 1415-1419.</w:t>
      </w:r>
      <w:bookmarkStart w:id="0" w:name="baut0005"/>
    </w:p>
    <w:p w14:paraId="1BB2DEF6" w14:textId="77777777" w:rsidR="001E337E" w:rsidRPr="001E337E" w:rsidRDefault="00DA1AA0" w:rsidP="001E337E">
      <w:pPr>
        <w:numPr>
          <w:ilvl w:val="0"/>
          <w:numId w:val="3"/>
        </w:numPr>
        <w:autoSpaceDE w:val="0"/>
        <w:autoSpaceDN w:val="0"/>
        <w:adjustRightInd w:val="0"/>
        <w:spacing w:after="0"/>
        <w:ind w:left="360"/>
        <w:jc w:val="both"/>
        <w:rPr>
          <w:rFonts w:ascii="Times New Roman" w:hAnsi="Times New Roman"/>
          <w:sz w:val="20"/>
          <w:szCs w:val="20"/>
        </w:rPr>
      </w:pPr>
      <w:hyperlink r:id="rId58" w:anchor="!" w:history="1">
        <w:r w:rsidR="001E337E" w:rsidRPr="001E337E">
          <w:rPr>
            <w:rStyle w:val="text"/>
            <w:rFonts w:ascii="Times New Roman" w:hAnsi="Times New Roman"/>
            <w:sz w:val="20"/>
            <w:szCs w:val="20"/>
          </w:rPr>
          <w:t>Cherobin</w:t>
        </w:r>
      </w:hyperlink>
      <w:bookmarkStart w:id="1" w:name="baut0010"/>
      <w:bookmarkEnd w:id="0"/>
      <w:r w:rsidR="001E337E" w:rsidRPr="001E337E">
        <w:rPr>
          <w:rFonts w:ascii="Times New Roman" w:hAnsi="Times New Roman"/>
          <w:sz w:val="20"/>
          <w:szCs w:val="20"/>
        </w:rPr>
        <w:t xml:space="preserve">, A. C. F. P. and </w:t>
      </w:r>
      <w:hyperlink r:id="rId59" w:anchor="!" w:history="1">
        <w:r w:rsidR="001E337E" w:rsidRPr="001E337E">
          <w:rPr>
            <w:rStyle w:val="text"/>
            <w:rFonts w:ascii="Times New Roman" w:hAnsi="Times New Roman"/>
            <w:sz w:val="20"/>
            <w:szCs w:val="20"/>
          </w:rPr>
          <w:t>Tavares</w:t>
        </w:r>
      </w:hyperlink>
      <w:bookmarkEnd w:id="1"/>
      <w:r w:rsidR="001E337E" w:rsidRPr="001E337E">
        <w:rPr>
          <w:rFonts w:ascii="Times New Roman" w:hAnsi="Times New Roman"/>
          <w:sz w:val="20"/>
          <w:szCs w:val="20"/>
        </w:rPr>
        <w:t xml:space="preserve">, G. T. (2020). </w:t>
      </w:r>
      <w:r w:rsidR="001E337E" w:rsidRPr="001E337E">
        <w:rPr>
          <w:rStyle w:val="title-text"/>
          <w:rFonts w:ascii="Times New Roman" w:hAnsi="Times New Roman"/>
          <w:sz w:val="20"/>
          <w:szCs w:val="20"/>
        </w:rPr>
        <w:t xml:space="preserve">Safety of local anesthetics. </w:t>
      </w:r>
      <w:r w:rsidR="001E337E" w:rsidRPr="001E337E">
        <w:rPr>
          <w:rFonts w:ascii="Times New Roman" w:hAnsi="Times New Roman"/>
          <w:i/>
          <w:iCs/>
          <w:sz w:val="20"/>
          <w:szCs w:val="20"/>
        </w:rPr>
        <w:t>Anais Brasileiros de Dermatologia,</w:t>
      </w:r>
      <w:r w:rsidR="001E337E" w:rsidRPr="001E337E">
        <w:rPr>
          <w:rFonts w:ascii="Times New Roman" w:hAnsi="Times New Roman"/>
          <w:sz w:val="20"/>
          <w:szCs w:val="20"/>
        </w:rPr>
        <w:t xml:space="preserve"> 95 (1):82-90.</w:t>
      </w:r>
    </w:p>
    <w:p w14:paraId="382035F2"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Strong"/>
          <w:rFonts w:ascii="Times New Roman" w:hAnsi="Times New Roman"/>
          <w:b w:val="0"/>
          <w:bCs w:val="0"/>
          <w:sz w:val="20"/>
          <w:szCs w:val="20"/>
        </w:rPr>
        <w:t>Ariga</w:t>
      </w:r>
      <w:r w:rsidRPr="001E337E">
        <w:rPr>
          <w:rFonts w:ascii="Times New Roman" w:hAnsi="Times New Roman"/>
          <w:b/>
          <w:bCs/>
          <w:sz w:val="20"/>
          <w:szCs w:val="20"/>
        </w:rPr>
        <w:t xml:space="preserve">, </w:t>
      </w:r>
      <w:r w:rsidRPr="001E337E">
        <w:rPr>
          <w:rFonts w:ascii="Times New Roman" w:hAnsi="Times New Roman"/>
          <w:sz w:val="20"/>
          <w:szCs w:val="20"/>
        </w:rPr>
        <w:t>K. and</w:t>
      </w:r>
      <w:r w:rsidRPr="001E337E">
        <w:rPr>
          <w:rFonts w:ascii="Times New Roman" w:hAnsi="Times New Roman"/>
          <w:b/>
          <w:bCs/>
          <w:sz w:val="20"/>
          <w:szCs w:val="20"/>
        </w:rPr>
        <w:t xml:space="preserve"> </w:t>
      </w:r>
      <w:r w:rsidRPr="001E337E">
        <w:rPr>
          <w:rStyle w:val="Strong"/>
          <w:rFonts w:ascii="Times New Roman" w:hAnsi="Times New Roman"/>
          <w:b w:val="0"/>
          <w:bCs w:val="0"/>
          <w:sz w:val="20"/>
          <w:szCs w:val="20"/>
        </w:rPr>
        <w:t>Kunitake</w:t>
      </w:r>
      <w:r w:rsidRPr="001E337E">
        <w:rPr>
          <w:rFonts w:ascii="Times New Roman" w:hAnsi="Times New Roman"/>
          <w:sz w:val="20"/>
          <w:szCs w:val="20"/>
        </w:rPr>
        <w:t xml:space="preserve">, T. (2006). </w:t>
      </w:r>
      <w:r w:rsidRPr="001E337E">
        <w:rPr>
          <w:rStyle w:val="HTMLCite"/>
          <w:rFonts w:ascii="Times New Roman" w:hAnsi="Times New Roman"/>
          <w:i w:val="0"/>
          <w:iCs w:val="0"/>
          <w:sz w:val="20"/>
          <w:szCs w:val="20"/>
        </w:rPr>
        <w:t xml:space="preserve">Supramolecular chemistry-fundamentals and applications. </w:t>
      </w:r>
      <w:r w:rsidRPr="001E337E">
        <w:rPr>
          <w:rStyle w:val="bibliographic-informationvalue"/>
          <w:rFonts w:ascii="Times New Roman" w:hAnsi="Times New Roman"/>
          <w:sz w:val="20"/>
          <w:szCs w:val="20"/>
        </w:rPr>
        <w:t>Springer</w:t>
      </w:r>
      <w:r w:rsidRPr="001E337E">
        <w:rPr>
          <w:rFonts w:ascii="Times New Roman" w:eastAsia="Calibri" w:hAnsi="Times New Roman"/>
          <w:sz w:val="20"/>
          <w:szCs w:val="20"/>
        </w:rPr>
        <w:t>-Verlag</w:t>
      </w:r>
      <w:r w:rsidRPr="001E337E">
        <w:rPr>
          <w:rStyle w:val="bibliographic-informationvalue"/>
          <w:rFonts w:ascii="Times New Roman" w:hAnsi="Times New Roman"/>
          <w:sz w:val="20"/>
          <w:szCs w:val="20"/>
        </w:rPr>
        <w:t xml:space="preserve"> Berlin, Heidelberg: pp. 207-238.</w:t>
      </w:r>
    </w:p>
    <w:p w14:paraId="46C24FB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authors-list-item"/>
          <w:rFonts w:ascii="Times New Roman" w:hAnsi="Times New Roman"/>
          <w:sz w:val="20"/>
          <w:szCs w:val="20"/>
        </w:rPr>
        <w:t>Torchilin,</w:t>
      </w:r>
      <w:r w:rsidRPr="001E337E">
        <w:rPr>
          <w:rFonts w:ascii="Times New Roman" w:hAnsi="Times New Roman"/>
          <w:sz w:val="20"/>
          <w:szCs w:val="20"/>
        </w:rPr>
        <w:t xml:space="preserve"> </w:t>
      </w:r>
      <w:r w:rsidRPr="001E337E">
        <w:rPr>
          <w:rStyle w:val="authors-list-item"/>
          <w:rFonts w:ascii="Times New Roman" w:hAnsi="Times New Roman"/>
          <w:sz w:val="20"/>
          <w:szCs w:val="20"/>
        </w:rPr>
        <w:t xml:space="preserve">V. P. </w:t>
      </w:r>
      <w:r w:rsidRPr="001E337E">
        <w:rPr>
          <w:rFonts w:ascii="Times New Roman" w:hAnsi="Times New Roman"/>
          <w:sz w:val="20"/>
          <w:szCs w:val="20"/>
        </w:rPr>
        <w:t xml:space="preserve">(2006). </w:t>
      </w:r>
      <w:r w:rsidRPr="001E337E">
        <w:rPr>
          <w:rFonts w:ascii="Times New Roman" w:hAnsi="Times New Roman"/>
          <w:sz w:val="20"/>
          <w:szCs w:val="20"/>
          <w:shd w:val="clear" w:color="auto" w:fill="FCFCFC"/>
        </w:rPr>
        <w:t>Multifunctional nanocarriers</w:t>
      </w:r>
      <w:r w:rsidRPr="001E337E">
        <w:rPr>
          <w:rFonts w:ascii="Times New Roman" w:hAnsi="Times New Roman"/>
          <w:sz w:val="20"/>
          <w:szCs w:val="20"/>
        </w:rPr>
        <w:t xml:space="preserve">. </w:t>
      </w:r>
      <w:r w:rsidRPr="001E337E">
        <w:rPr>
          <w:rFonts w:ascii="Times New Roman" w:hAnsi="Times New Roman"/>
          <w:i/>
          <w:iCs/>
          <w:sz w:val="20"/>
          <w:szCs w:val="20"/>
        </w:rPr>
        <w:t>Advanced Drug Delivery Reviews</w:t>
      </w:r>
      <w:r w:rsidRPr="001E337E">
        <w:rPr>
          <w:rFonts w:ascii="Times New Roman" w:hAnsi="Times New Roman"/>
          <w:sz w:val="20"/>
          <w:szCs w:val="20"/>
        </w:rPr>
        <w:t>, 58(14): 1532-1555.</w:t>
      </w:r>
    </w:p>
    <w:p w14:paraId="27781DC8"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Loftsson, T. and Masson, M. (2001). Cyclodextrin in topical drug formulation: Theory and practice.</w:t>
      </w:r>
      <w:r w:rsidRPr="001E337E">
        <w:rPr>
          <w:rFonts w:ascii="Times New Roman" w:eastAsia="Calibri" w:hAnsi="Times New Roman"/>
          <w:i/>
          <w:iCs/>
          <w:sz w:val="20"/>
          <w:szCs w:val="20"/>
        </w:rPr>
        <w:t xml:space="preserve"> International Journal of Pharmaceutics</w:t>
      </w:r>
      <w:r w:rsidRPr="001E337E">
        <w:rPr>
          <w:rFonts w:ascii="Times New Roman" w:eastAsia="Calibri" w:hAnsi="Times New Roman"/>
          <w:sz w:val="20"/>
          <w:szCs w:val="20"/>
        </w:rPr>
        <w:t xml:space="preserve">, </w:t>
      </w:r>
      <w:r w:rsidRPr="001E337E">
        <w:rPr>
          <w:rStyle w:val="cit"/>
          <w:rFonts w:ascii="Times New Roman" w:hAnsi="Times New Roman"/>
          <w:sz w:val="20"/>
          <w:szCs w:val="20"/>
        </w:rPr>
        <w:t>225(1-2): 15-30</w:t>
      </w:r>
      <w:r w:rsidRPr="001E337E">
        <w:rPr>
          <w:rFonts w:ascii="Times New Roman" w:eastAsia="Calibri" w:hAnsi="Times New Roman"/>
          <w:sz w:val="20"/>
          <w:szCs w:val="20"/>
        </w:rPr>
        <w:t>.</w:t>
      </w:r>
    </w:p>
    <w:p w14:paraId="461B4B63" w14:textId="77777777" w:rsidR="001E337E" w:rsidRPr="001E337E" w:rsidRDefault="001E337E" w:rsidP="001E337E">
      <w:pPr>
        <w:numPr>
          <w:ilvl w:val="0"/>
          <w:numId w:val="3"/>
        </w:numPr>
        <w:autoSpaceDE w:val="0"/>
        <w:autoSpaceDN w:val="0"/>
        <w:adjustRightInd w:val="0"/>
        <w:spacing w:after="0"/>
        <w:ind w:left="360"/>
        <w:jc w:val="both"/>
        <w:rPr>
          <w:rStyle w:val="bibliographic-informationvalue"/>
          <w:rFonts w:ascii="Times New Roman" w:eastAsia="Calibri" w:hAnsi="Times New Roman"/>
          <w:sz w:val="20"/>
          <w:szCs w:val="20"/>
        </w:rPr>
      </w:pPr>
      <w:r w:rsidRPr="001E337E">
        <w:rPr>
          <w:rFonts w:ascii="Times New Roman" w:hAnsi="Times New Roman"/>
          <w:sz w:val="20"/>
          <w:szCs w:val="20"/>
        </w:rPr>
        <w:t>Frömming, K. H. and Szejtli, J.</w:t>
      </w:r>
      <w:r w:rsidRPr="001E337E">
        <w:rPr>
          <w:rStyle w:val="page-numbers-info"/>
          <w:rFonts w:ascii="Times New Roman" w:hAnsi="Times New Roman"/>
          <w:sz w:val="20"/>
          <w:szCs w:val="20"/>
        </w:rPr>
        <w:t xml:space="preserve"> (</w:t>
      </w:r>
      <w:r w:rsidRPr="001E337E">
        <w:rPr>
          <w:rFonts w:ascii="Times New Roman" w:hAnsi="Times New Roman"/>
          <w:sz w:val="20"/>
          <w:szCs w:val="20"/>
        </w:rPr>
        <w:t xml:space="preserve">1994). Cyclodextrin in pharmacy. </w:t>
      </w:r>
      <w:r w:rsidRPr="001E337E">
        <w:rPr>
          <w:rFonts w:ascii="Times New Roman" w:hAnsi="Times New Roman"/>
          <w:iCs/>
          <w:sz w:val="20"/>
          <w:szCs w:val="20"/>
        </w:rPr>
        <w:t>Klumer Academies Publishers</w:t>
      </w:r>
      <w:r w:rsidRPr="001E337E">
        <w:rPr>
          <w:rFonts w:ascii="Times New Roman" w:hAnsi="Times New Roman"/>
          <w:sz w:val="20"/>
          <w:szCs w:val="20"/>
        </w:rPr>
        <w:t>, Dordrecht: pp. 1</w:t>
      </w:r>
      <w:r w:rsidRPr="001E337E">
        <w:rPr>
          <w:rStyle w:val="bibliographic-informationvalue"/>
          <w:rFonts w:ascii="Times New Roman" w:hAnsi="Times New Roman"/>
          <w:sz w:val="20"/>
          <w:szCs w:val="20"/>
        </w:rPr>
        <w:t>-18.</w:t>
      </w:r>
    </w:p>
    <w:p w14:paraId="2027E49E" w14:textId="77777777" w:rsidR="001E337E" w:rsidRPr="001E337E" w:rsidRDefault="001E337E" w:rsidP="001E337E">
      <w:pPr>
        <w:numPr>
          <w:ilvl w:val="0"/>
          <w:numId w:val="3"/>
        </w:numPr>
        <w:autoSpaceDE w:val="0"/>
        <w:autoSpaceDN w:val="0"/>
        <w:adjustRightInd w:val="0"/>
        <w:spacing w:after="0"/>
        <w:ind w:left="360"/>
        <w:jc w:val="both"/>
        <w:rPr>
          <w:rFonts w:ascii="Times New Roman" w:eastAsia="Calibri" w:hAnsi="Times New Roman"/>
          <w:sz w:val="20"/>
          <w:szCs w:val="20"/>
        </w:rPr>
      </w:pPr>
      <w:r w:rsidRPr="001E337E">
        <w:rPr>
          <w:rFonts w:ascii="Times New Roman" w:eastAsia="Calibri" w:hAnsi="Times New Roman"/>
          <w:sz w:val="20"/>
          <w:szCs w:val="20"/>
        </w:rPr>
        <w:t xml:space="preserve">Martin Del Valle, E. M. (2004). Cyclodextrins and their uses: A review. </w:t>
      </w:r>
      <w:r w:rsidRPr="001E337E">
        <w:rPr>
          <w:rFonts w:ascii="Times New Roman" w:eastAsia="Calibri" w:hAnsi="Times New Roman"/>
          <w:i/>
          <w:iCs/>
          <w:sz w:val="20"/>
          <w:szCs w:val="20"/>
        </w:rPr>
        <w:t>Process Biochemistry</w:t>
      </w:r>
      <w:r w:rsidRPr="001E337E">
        <w:rPr>
          <w:rFonts w:ascii="Times New Roman" w:eastAsia="Calibri" w:hAnsi="Times New Roman"/>
          <w:sz w:val="20"/>
          <w:szCs w:val="20"/>
        </w:rPr>
        <w:t>, 39: 1033-1046.</w:t>
      </w:r>
    </w:p>
    <w:p w14:paraId="357A3819" w14:textId="24EDDCEF" w:rsid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Maheriya, P. M</w:t>
      </w:r>
      <w:r w:rsidRPr="001E337E">
        <w:rPr>
          <w:rFonts w:ascii="Times New Roman" w:eastAsia="Calibri" w:hAnsi="Times New Roman"/>
          <w:sz w:val="20"/>
          <w:szCs w:val="20"/>
        </w:rPr>
        <w:t xml:space="preserve">. (2017). </w:t>
      </w:r>
      <w:r w:rsidRPr="001E337E">
        <w:rPr>
          <w:rFonts w:ascii="Times New Roman" w:hAnsi="Times New Roman"/>
          <w:sz w:val="20"/>
          <w:szCs w:val="20"/>
        </w:rPr>
        <w:t>Cyclodextrin: A promising candidate in enhancing oral bioavailability of poorly water soluble drugs</w:t>
      </w:r>
      <w:r w:rsidRPr="001E337E">
        <w:rPr>
          <w:rFonts w:ascii="Times New Roman" w:eastAsia="Calibri" w:hAnsi="Times New Roman"/>
          <w:sz w:val="20"/>
          <w:szCs w:val="20"/>
        </w:rPr>
        <w:t xml:space="preserve">. </w:t>
      </w:r>
      <w:r w:rsidRPr="001E337E">
        <w:rPr>
          <w:rFonts w:ascii="Times New Roman" w:eastAsia="Calibri" w:hAnsi="Times New Roman"/>
          <w:i/>
          <w:iCs/>
          <w:sz w:val="20"/>
          <w:szCs w:val="20"/>
        </w:rPr>
        <w:t>Bioequivalence &amp;Bioavailability</w:t>
      </w:r>
      <w:r w:rsidRPr="001E337E">
        <w:rPr>
          <w:rFonts w:ascii="Times New Roman" w:eastAsia="Calibri" w:hAnsi="Times New Roman"/>
          <w:sz w:val="20"/>
          <w:szCs w:val="20"/>
        </w:rPr>
        <w:t xml:space="preserve">, </w:t>
      </w:r>
      <w:r w:rsidRPr="001E337E">
        <w:rPr>
          <w:rFonts w:ascii="Times New Roman" w:hAnsi="Times New Roman"/>
          <w:sz w:val="20"/>
          <w:szCs w:val="20"/>
        </w:rPr>
        <w:t>3(3): 60-63</w:t>
      </w:r>
      <w:r w:rsidRPr="001E337E">
        <w:rPr>
          <w:rFonts w:ascii="Times New Roman" w:eastAsia="Calibri" w:hAnsi="Times New Roman"/>
          <w:sz w:val="20"/>
          <w:szCs w:val="20"/>
        </w:rPr>
        <w:t>.</w:t>
      </w:r>
    </w:p>
    <w:p w14:paraId="5441789E" w14:textId="6EBD1D49"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68197C31" w14:textId="32167AE8"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2375E0E9" w14:textId="6B1C8B31"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4114C8D8" w14:textId="77777777" w:rsidR="001E337E" w:rsidRP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2CC6E17D" w14:textId="77777777" w:rsidR="001E337E" w:rsidRPr="001E337E" w:rsidRDefault="001E337E" w:rsidP="001E337E">
      <w:pPr>
        <w:widowControl w:val="0"/>
        <w:numPr>
          <w:ilvl w:val="0"/>
          <w:numId w:val="3"/>
        </w:numPr>
        <w:autoSpaceDE w:val="0"/>
        <w:autoSpaceDN w:val="0"/>
        <w:spacing w:after="0"/>
        <w:ind w:left="360"/>
        <w:jc w:val="both"/>
        <w:rPr>
          <w:rStyle w:val="page-range"/>
          <w:rFonts w:ascii="Times New Roman" w:hAnsi="Times New Roman"/>
          <w:sz w:val="20"/>
          <w:szCs w:val="20"/>
        </w:rPr>
      </w:pPr>
      <w:bookmarkStart w:id="2" w:name="baep-author-id6"/>
      <w:r w:rsidRPr="001E337E">
        <w:rPr>
          <w:rFonts w:ascii="Times New Roman" w:hAnsi="Times New Roman"/>
          <w:sz w:val="20"/>
          <w:szCs w:val="20"/>
        </w:rPr>
        <w:lastRenderedPageBreak/>
        <w:t xml:space="preserve">Junquera, E. and Aicart, E. (1997). Potentiometric study of the encapsulation of ketoprophen by hydroxypropyl-β-cyclodextrin. Temperature, solvent, and salt effects. </w:t>
      </w:r>
      <w:r w:rsidRPr="001E337E">
        <w:rPr>
          <w:rFonts w:ascii="Times New Roman" w:hAnsi="Times New Roman"/>
          <w:i/>
          <w:iCs/>
          <w:sz w:val="20"/>
          <w:szCs w:val="20"/>
        </w:rPr>
        <w:t>Journal Physical Chemistry. B</w:t>
      </w:r>
      <w:r w:rsidRPr="001E337E">
        <w:rPr>
          <w:rFonts w:ascii="Times New Roman" w:hAnsi="Times New Roman"/>
          <w:sz w:val="20"/>
          <w:szCs w:val="20"/>
        </w:rPr>
        <w:t>, 101(36), 7163–7171.</w:t>
      </w:r>
    </w:p>
    <w:p w14:paraId="64C53A0C" w14:textId="77777777" w:rsidR="001E337E" w:rsidRPr="001E337E" w:rsidRDefault="00DA1AA0" w:rsidP="001E337E">
      <w:pPr>
        <w:widowControl w:val="0"/>
        <w:numPr>
          <w:ilvl w:val="0"/>
          <w:numId w:val="3"/>
        </w:numPr>
        <w:autoSpaceDE w:val="0"/>
        <w:autoSpaceDN w:val="0"/>
        <w:spacing w:after="0"/>
        <w:ind w:left="360"/>
        <w:jc w:val="both"/>
        <w:rPr>
          <w:rFonts w:ascii="Times New Roman" w:hAnsi="Times New Roman"/>
          <w:sz w:val="20"/>
          <w:szCs w:val="20"/>
        </w:rPr>
      </w:pPr>
      <w:hyperlink r:id="rId60" w:anchor="!" w:history="1">
        <w:r w:rsidR="001E337E" w:rsidRPr="001E337E">
          <w:rPr>
            <w:rStyle w:val="text"/>
            <w:rFonts w:ascii="Times New Roman" w:eastAsia="Lucida Sans Unicode" w:hAnsi="Times New Roman"/>
            <w:sz w:val="20"/>
            <w:szCs w:val="20"/>
          </w:rPr>
          <w:t>Astray, G.</w:t>
        </w:r>
      </w:hyperlink>
      <w:bookmarkStart w:id="3" w:name="baep-author-id7"/>
      <w:bookmarkEnd w:id="2"/>
      <w:r w:rsidR="001E337E" w:rsidRPr="001E337E">
        <w:rPr>
          <w:rFonts w:ascii="Times New Roman" w:hAnsi="Times New Roman"/>
          <w:sz w:val="20"/>
          <w:szCs w:val="20"/>
        </w:rPr>
        <w:t xml:space="preserve">, </w:t>
      </w:r>
      <w:hyperlink r:id="rId61" w:anchor="!" w:history="1">
        <w:r w:rsidR="001E337E" w:rsidRPr="001E337E">
          <w:rPr>
            <w:rStyle w:val="text"/>
            <w:rFonts w:ascii="Times New Roman" w:eastAsia="Lucida Sans Unicode" w:hAnsi="Times New Roman"/>
            <w:sz w:val="20"/>
            <w:szCs w:val="20"/>
          </w:rPr>
          <w:t>Mejuto, J. C.,</w:t>
        </w:r>
      </w:hyperlink>
      <w:bookmarkStart w:id="4" w:name="baep-author-id8"/>
      <w:bookmarkEnd w:id="3"/>
      <w:r w:rsidR="001E337E" w:rsidRPr="001E337E">
        <w:rPr>
          <w:rFonts w:ascii="Times New Roman" w:hAnsi="Times New Roman"/>
          <w:sz w:val="20"/>
          <w:szCs w:val="20"/>
        </w:rPr>
        <w:t xml:space="preserve"> </w:t>
      </w:r>
      <w:hyperlink r:id="rId62" w:anchor="!" w:history="1">
        <w:r w:rsidR="001E337E" w:rsidRPr="001E337E">
          <w:rPr>
            <w:rStyle w:val="text"/>
            <w:rFonts w:ascii="Times New Roman" w:eastAsia="Lucida Sans Unicode" w:hAnsi="Times New Roman"/>
            <w:sz w:val="20"/>
            <w:szCs w:val="20"/>
          </w:rPr>
          <w:t xml:space="preserve">Morales, J., </w:t>
        </w:r>
      </w:hyperlink>
      <w:bookmarkStart w:id="5" w:name="baep-author-id9"/>
      <w:bookmarkEnd w:id="4"/>
      <w:r w:rsidR="001E337E" w:rsidRPr="001E337E">
        <w:rPr>
          <w:rFonts w:ascii="Times New Roman" w:hAnsi="Times New Roman"/>
          <w:sz w:val="20"/>
          <w:szCs w:val="20"/>
        </w:rPr>
        <w:fldChar w:fldCharType="begin"/>
      </w:r>
      <w:r w:rsidR="001E337E" w:rsidRPr="001E337E">
        <w:rPr>
          <w:rFonts w:ascii="Times New Roman" w:hAnsi="Times New Roman"/>
          <w:sz w:val="20"/>
          <w:szCs w:val="20"/>
        </w:rPr>
        <w:instrText xml:space="preserve"> HYPERLINK "https://www.sciencedirect.com/science/article/abs/pii/S0963996910000773" \l "!" </w:instrText>
      </w:r>
      <w:r w:rsidR="001E337E" w:rsidRPr="001E337E">
        <w:rPr>
          <w:rFonts w:ascii="Times New Roman" w:hAnsi="Times New Roman"/>
          <w:sz w:val="20"/>
          <w:szCs w:val="20"/>
        </w:rPr>
        <w:fldChar w:fldCharType="separate"/>
      </w:r>
      <w:r w:rsidR="001E337E" w:rsidRPr="001E337E">
        <w:rPr>
          <w:rStyle w:val="text"/>
          <w:rFonts w:ascii="Times New Roman" w:eastAsia="Lucida Sans Unicode" w:hAnsi="Times New Roman"/>
          <w:sz w:val="20"/>
          <w:szCs w:val="20"/>
        </w:rPr>
        <w:t>Rial-Otero, R. and</w:t>
      </w:r>
      <w:r w:rsidR="001E337E" w:rsidRPr="001E337E">
        <w:rPr>
          <w:rFonts w:ascii="Times New Roman" w:hAnsi="Times New Roman"/>
          <w:sz w:val="20"/>
          <w:szCs w:val="20"/>
        </w:rPr>
        <w:fldChar w:fldCharType="end"/>
      </w:r>
      <w:bookmarkStart w:id="6" w:name="baep-author-id10"/>
      <w:bookmarkEnd w:id="5"/>
      <w:r w:rsidR="001E337E" w:rsidRPr="001E337E">
        <w:rPr>
          <w:rFonts w:ascii="Times New Roman" w:hAnsi="Times New Roman"/>
          <w:sz w:val="20"/>
          <w:szCs w:val="20"/>
        </w:rPr>
        <w:t xml:space="preserve"> </w:t>
      </w:r>
      <w:hyperlink r:id="rId63" w:anchor="!" w:history="1">
        <w:r w:rsidR="001E337E" w:rsidRPr="001E337E">
          <w:rPr>
            <w:rStyle w:val="text"/>
            <w:rFonts w:ascii="Times New Roman" w:eastAsia="Lucida Sans Unicode" w:hAnsi="Times New Roman"/>
            <w:sz w:val="20"/>
            <w:szCs w:val="20"/>
          </w:rPr>
          <w:t>Simal-Gándara, J.</w:t>
        </w:r>
      </w:hyperlink>
      <w:bookmarkEnd w:id="6"/>
      <w:r w:rsidR="001E337E" w:rsidRPr="001E337E">
        <w:rPr>
          <w:rStyle w:val="title-text"/>
          <w:rFonts w:ascii="Times New Roman" w:hAnsi="Times New Roman"/>
          <w:sz w:val="20"/>
          <w:szCs w:val="20"/>
        </w:rPr>
        <w:t xml:space="preserve"> (2010). Factors controlling flavors binding constants to cyclodextrins and their applications in foods.</w:t>
      </w:r>
      <w:r w:rsidR="001E337E" w:rsidRPr="001E337E">
        <w:rPr>
          <w:rFonts w:ascii="Times New Roman" w:hAnsi="Times New Roman"/>
          <w:sz w:val="20"/>
          <w:szCs w:val="20"/>
        </w:rPr>
        <w:t xml:space="preserve"> </w:t>
      </w:r>
      <w:r w:rsidR="001E337E" w:rsidRPr="001E337E">
        <w:rPr>
          <w:rFonts w:ascii="Times New Roman" w:hAnsi="Times New Roman"/>
          <w:i/>
          <w:iCs/>
          <w:sz w:val="20"/>
          <w:szCs w:val="20"/>
        </w:rPr>
        <w:t>Food Research International</w:t>
      </w:r>
      <w:r w:rsidR="001E337E" w:rsidRPr="001E337E">
        <w:rPr>
          <w:rFonts w:ascii="Times New Roman" w:hAnsi="Times New Roman"/>
          <w:sz w:val="20"/>
          <w:szCs w:val="20"/>
        </w:rPr>
        <w:t>, 43 (4): 1212-1218.</w:t>
      </w:r>
    </w:p>
    <w:p w14:paraId="7D50BCB1" w14:textId="77777777" w:rsidR="001E337E" w:rsidRPr="001E337E" w:rsidRDefault="001E337E" w:rsidP="001E337E">
      <w:pPr>
        <w:numPr>
          <w:ilvl w:val="0"/>
          <w:numId w:val="3"/>
        </w:numPr>
        <w:spacing w:after="0"/>
        <w:ind w:left="360"/>
        <w:jc w:val="both"/>
        <w:rPr>
          <w:rFonts w:ascii="Times New Roman" w:hAnsi="Times New Roman"/>
          <w:sz w:val="20"/>
          <w:szCs w:val="20"/>
        </w:rPr>
      </w:pPr>
      <w:r w:rsidRPr="001E337E">
        <w:rPr>
          <w:rFonts w:ascii="Times New Roman" w:hAnsi="Times New Roman"/>
          <w:sz w:val="20"/>
          <w:szCs w:val="20"/>
        </w:rPr>
        <w:t xml:space="preserve">Rekharsky, M. V. and Inoue, Y. (1998). Complexation thermodynamics of cyclodextrins. </w:t>
      </w:r>
      <w:r w:rsidRPr="001E337E">
        <w:rPr>
          <w:rFonts w:ascii="Times New Roman" w:hAnsi="Times New Roman"/>
          <w:i/>
          <w:iCs/>
          <w:sz w:val="20"/>
          <w:szCs w:val="20"/>
        </w:rPr>
        <w:t>Chemical Reviews,</w:t>
      </w:r>
      <w:r w:rsidRPr="001E337E">
        <w:rPr>
          <w:rFonts w:ascii="Times New Roman" w:hAnsi="Times New Roman"/>
          <w:sz w:val="20"/>
          <w:szCs w:val="20"/>
        </w:rPr>
        <w:t xml:space="preserve"> </w:t>
      </w:r>
      <w:r w:rsidRPr="001E337E">
        <w:rPr>
          <w:rStyle w:val="cit-volume"/>
          <w:rFonts w:ascii="Times New Roman" w:hAnsi="Times New Roman"/>
          <w:sz w:val="20"/>
          <w:szCs w:val="20"/>
        </w:rPr>
        <w:t>98</w:t>
      </w:r>
      <w:r w:rsidRPr="001E337E">
        <w:rPr>
          <w:rStyle w:val="cit-issue"/>
          <w:rFonts w:ascii="Times New Roman" w:hAnsi="Times New Roman"/>
          <w:sz w:val="20"/>
          <w:szCs w:val="20"/>
        </w:rPr>
        <w:t xml:space="preserve">(5): </w:t>
      </w:r>
      <w:r w:rsidRPr="001E337E">
        <w:rPr>
          <w:rFonts w:ascii="Times New Roman" w:hAnsi="Times New Roman"/>
          <w:sz w:val="20"/>
          <w:szCs w:val="20"/>
        </w:rPr>
        <w:t>1875-1918.</w:t>
      </w:r>
    </w:p>
    <w:p w14:paraId="1D63C67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authors-list-item"/>
          <w:rFonts w:ascii="Times New Roman" w:hAnsi="Times New Roman"/>
          <w:sz w:val="20"/>
          <w:szCs w:val="20"/>
          <w:shd w:val="clear" w:color="auto" w:fill="FFFFFF"/>
        </w:rPr>
        <w:t xml:space="preserve">Santos, </w:t>
      </w:r>
      <w:r w:rsidRPr="001E337E">
        <w:rPr>
          <w:rStyle w:val="authors-list-item"/>
          <w:rFonts w:ascii="Times New Roman" w:hAnsi="Times New Roman"/>
          <w:sz w:val="20"/>
          <w:szCs w:val="20"/>
        </w:rPr>
        <w:t>C. I. A. V.</w:t>
      </w:r>
      <w:r w:rsidRPr="001E337E">
        <w:rPr>
          <w:rStyle w:val="comma"/>
          <w:rFonts w:ascii="Times New Roman" w:hAnsi="Times New Roman"/>
          <w:sz w:val="20"/>
          <w:szCs w:val="20"/>
          <w:shd w:val="clear" w:color="auto" w:fill="FFFFFF"/>
        </w:rPr>
        <w:t>, </w:t>
      </w:r>
      <w:r w:rsidRPr="001E337E">
        <w:rPr>
          <w:rStyle w:val="authors-list-item"/>
          <w:rFonts w:ascii="Times New Roman" w:hAnsi="Times New Roman"/>
          <w:sz w:val="20"/>
          <w:szCs w:val="20"/>
        </w:rPr>
        <w:t xml:space="preserve"> Ribeiro</w:t>
      </w:r>
      <w:r w:rsidRPr="001E337E">
        <w:rPr>
          <w:rStyle w:val="comma"/>
          <w:rFonts w:ascii="Times New Roman" w:hAnsi="Times New Roman"/>
          <w:sz w:val="20"/>
          <w:szCs w:val="20"/>
          <w:shd w:val="clear" w:color="auto" w:fill="FFFFFF"/>
        </w:rPr>
        <w:t xml:space="preserve">, A. C. F. and </w:t>
      </w:r>
      <w:r w:rsidRPr="001E337E">
        <w:rPr>
          <w:rStyle w:val="authors-list-item"/>
          <w:rFonts w:ascii="Times New Roman" w:hAnsi="Times New Roman"/>
          <w:sz w:val="20"/>
          <w:szCs w:val="20"/>
        </w:rPr>
        <w:t>Esteso</w:t>
      </w:r>
      <w:r w:rsidRPr="001E337E">
        <w:rPr>
          <w:rStyle w:val="authors-list-item"/>
          <w:rFonts w:ascii="Times New Roman" w:hAnsi="Times New Roman"/>
          <w:sz w:val="20"/>
          <w:szCs w:val="20"/>
          <w:shd w:val="clear" w:color="auto" w:fill="FFFFFF"/>
        </w:rPr>
        <w:t>,</w:t>
      </w:r>
      <w:r w:rsidRPr="001E337E">
        <w:rPr>
          <w:rFonts w:ascii="Times New Roman" w:hAnsi="Times New Roman"/>
          <w:sz w:val="20"/>
          <w:szCs w:val="20"/>
        </w:rPr>
        <w:t xml:space="preserve"> M. A. (2019). Drug delivery systems: Study of inclusion complex formation between methylxanthines and cyclodextrins and their thermodynamic and transport properties. </w:t>
      </w:r>
      <w:r w:rsidRPr="001E337E">
        <w:rPr>
          <w:rFonts w:ascii="Times New Roman" w:hAnsi="Times New Roman"/>
          <w:i/>
          <w:iCs/>
          <w:sz w:val="20"/>
          <w:szCs w:val="20"/>
        </w:rPr>
        <w:t>Biomolecules</w:t>
      </w:r>
      <w:r w:rsidRPr="001E337E">
        <w:rPr>
          <w:rFonts w:ascii="Times New Roman" w:hAnsi="Times New Roman"/>
          <w:sz w:val="20"/>
          <w:szCs w:val="20"/>
        </w:rPr>
        <w:t>, 9(5): 196-216.</w:t>
      </w:r>
    </w:p>
    <w:p w14:paraId="17C0A582"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bCs/>
          <w:sz w:val="20"/>
          <w:szCs w:val="20"/>
        </w:rPr>
      </w:pPr>
      <w:r w:rsidRPr="001E337E">
        <w:rPr>
          <w:rFonts w:ascii="Times New Roman" w:hAnsi="Times New Roman"/>
          <w:bCs/>
          <w:sz w:val="20"/>
          <w:szCs w:val="20"/>
        </w:rPr>
        <w:t xml:space="preserve">Hugh, C., Hemmings, Jr. and Talmage D. E. (2019). Pharmacology and physiology for anesthesia: Foundations and clinical application, </w:t>
      </w:r>
      <w:r w:rsidRPr="001E337E">
        <w:rPr>
          <w:rFonts w:ascii="Times New Roman" w:hAnsi="Times New Roman"/>
          <w:sz w:val="20"/>
          <w:szCs w:val="20"/>
          <w:shd w:val="clear" w:color="auto" w:fill="FCFCFC"/>
        </w:rPr>
        <w:t>Elsevier, Philadelphia.</w:t>
      </w:r>
      <w:r w:rsidRPr="001E337E">
        <w:rPr>
          <w:rFonts w:ascii="Times New Roman" w:hAnsi="Times New Roman"/>
          <w:bCs/>
          <w:sz w:val="20"/>
          <w:szCs w:val="20"/>
        </w:rPr>
        <w:t xml:space="preserve"> pp: 20-43.</w:t>
      </w:r>
    </w:p>
    <w:p w14:paraId="549A388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bCs/>
          <w:sz w:val="20"/>
          <w:szCs w:val="20"/>
        </w:rPr>
      </w:pPr>
      <w:r w:rsidRPr="001E337E">
        <w:rPr>
          <w:rFonts w:ascii="Times New Roman" w:hAnsi="Times New Roman"/>
          <w:sz w:val="20"/>
          <w:szCs w:val="20"/>
        </w:rPr>
        <w:t xml:space="preserve">Shibata, A., Ikawa, K. and Terada, H. (1995). </w:t>
      </w:r>
      <w:r w:rsidRPr="001E337E">
        <w:rPr>
          <w:rStyle w:val="title-text"/>
          <w:rFonts w:ascii="Times New Roman" w:hAnsi="Times New Roman"/>
          <w:sz w:val="20"/>
          <w:szCs w:val="20"/>
        </w:rPr>
        <w:t xml:space="preserve">Site of action of the local anesthetic tetracaine in a phosphatidylcholine bilayer with incorporated cardiolipin. </w:t>
      </w:r>
      <w:r w:rsidRPr="001E337E">
        <w:rPr>
          <w:rFonts w:ascii="Times New Roman" w:hAnsi="Times New Roman"/>
          <w:i/>
          <w:iCs/>
          <w:sz w:val="20"/>
          <w:szCs w:val="20"/>
        </w:rPr>
        <w:t>Biophysical Journal</w:t>
      </w:r>
      <w:r w:rsidRPr="001E337E">
        <w:rPr>
          <w:rFonts w:ascii="Times New Roman" w:hAnsi="Times New Roman"/>
          <w:sz w:val="20"/>
          <w:szCs w:val="20"/>
        </w:rPr>
        <w:t>, 69(2): 470-477.</w:t>
      </w:r>
    </w:p>
    <w:p w14:paraId="3B768342" w14:textId="77777777" w:rsidR="001E337E" w:rsidRPr="001E337E" w:rsidRDefault="001E337E" w:rsidP="001E337E">
      <w:pPr>
        <w:widowControl w:val="0"/>
        <w:numPr>
          <w:ilvl w:val="0"/>
          <w:numId w:val="3"/>
        </w:numPr>
        <w:autoSpaceDE w:val="0"/>
        <w:autoSpaceDN w:val="0"/>
        <w:adjustRightInd w:val="0"/>
        <w:spacing w:after="0"/>
        <w:ind w:left="360"/>
        <w:jc w:val="both"/>
        <w:rPr>
          <w:rFonts w:ascii="Times New Roman" w:hAnsi="Times New Roman"/>
          <w:sz w:val="20"/>
          <w:szCs w:val="20"/>
        </w:rPr>
      </w:pPr>
      <w:r w:rsidRPr="001E337E">
        <w:rPr>
          <w:rFonts w:ascii="Times New Roman" w:eastAsia="AdvP3D13A4" w:hAnsi="Times New Roman"/>
          <w:sz w:val="20"/>
          <w:szCs w:val="20"/>
        </w:rPr>
        <w:t>Schalley,</w:t>
      </w:r>
      <w:r w:rsidRPr="001E337E">
        <w:rPr>
          <w:rFonts w:ascii="Times New Roman" w:hAnsi="Times New Roman"/>
          <w:sz w:val="20"/>
          <w:szCs w:val="20"/>
        </w:rPr>
        <w:t xml:space="preserve"> </w:t>
      </w:r>
      <w:r w:rsidRPr="001E337E">
        <w:rPr>
          <w:rFonts w:ascii="Times New Roman" w:eastAsia="AdvP3D13A4" w:hAnsi="Times New Roman"/>
          <w:sz w:val="20"/>
          <w:szCs w:val="20"/>
        </w:rPr>
        <w:t>C.</w:t>
      </w:r>
      <w:r w:rsidRPr="001E337E">
        <w:rPr>
          <w:rFonts w:ascii="Times New Roman" w:hAnsi="Times New Roman"/>
          <w:sz w:val="20"/>
          <w:szCs w:val="20"/>
        </w:rPr>
        <w:t xml:space="preserve"> (2007). Analytical methods in supramolecular chemistry. Wiley-VCH Verlag GmbH &amp; Co. KGaA, Weinheim. pp: 419-471.</w:t>
      </w:r>
    </w:p>
    <w:p w14:paraId="4C963F03"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 xml:space="preserve">Nouiri, M. A., Fergoug, T., Azayez, M., Boujores, H., Zelmat, C. and Bouhadda, Y. (2017). Experimental and theoretical study of tetracaine-hydrochloride β-cyclodextrin complexation. </w:t>
      </w:r>
      <w:r w:rsidRPr="001E337E">
        <w:rPr>
          <w:rFonts w:ascii="Times New Roman" w:hAnsi="Times New Roman"/>
          <w:i/>
          <w:iCs/>
          <w:sz w:val="20"/>
          <w:szCs w:val="20"/>
        </w:rPr>
        <w:t>Journal of Materials Environmental Sciences</w:t>
      </w:r>
      <w:r w:rsidRPr="001E337E">
        <w:rPr>
          <w:rFonts w:ascii="Times New Roman" w:hAnsi="Times New Roman"/>
          <w:sz w:val="20"/>
          <w:szCs w:val="20"/>
        </w:rPr>
        <w:t>, 8(5): 1589-1598.</w:t>
      </w:r>
    </w:p>
    <w:p w14:paraId="3AFC2D3B"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 xml:space="preserve">Merino, C.,  Junquera, E., Jiménez-Barbero, J. and Aicart, E. (2000). Effect of the presence of β-cyclodextrin on the solution behavior of procaine hydrochloride. spectroscopic and thermodynamic studies. </w:t>
      </w:r>
      <w:r w:rsidRPr="001E337E">
        <w:rPr>
          <w:rFonts w:ascii="Times New Roman" w:eastAsia="Calibri" w:hAnsi="Times New Roman"/>
          <w:i/>
          <w:iCs/>
          <w:sz w:val="20"/>
          <w:szCs w:val="20"/>
        </w:rPr>
        <w:t>Langmuir</w:t>
      </w:r>
      <w:r w:rsidRPr="001E337E">
        <w:rPr>
          <w:rFonts w:ascii="Times New Roman" w:eastAsia="Calibri" w:hAnsi="Times New Roman"/>
          <w:sz w:val="20"/>
          <w:szCs w:val="20"/>
        </w:rPr>
        <w:t>, 16(4): 1557-1565.</w:t>
      </w:r>
    </w:p>
    <w:p w14:paraId="776013C9" w14:textId="77777777" w:rsidR="001E337E" w:rsidRPr="001E337E" w:rsidRDefault="00DA1AA0" w:rsidP="001E337E">
      <w:pPr>
        <w:numPr>
          <w:ilvl w:val="0"/>
          <w:numId w:val="3"/>
        </w:numPr>
        <w:autoSpaceDE w:val="0"/>
        <w:autoSpaceDN w:val="0"/>
        <w:adjustRightInd w:val="0"/>
        <w:spacing w:after="0"/>
        <w:ind w:left="360"/>
        <w:jc w:val="both"/>
        <w:outlineLvl w:val="0"/>
        <w:rPr>
          <w:rStyle w:val="cit"/>
          <w:rFonts w:ascii="Times New Roman" w:eastAsia="Calibri" w:hAnsi="Times New Roman"/>
          <w:sz w:val="20"/>
          <w:szCs w:val="20"/>
        </w:rPr>
      </w:pPr>
      <w:hyperlink r:id="rId64" w:anchor="!" w:history="1">
        <w:r w:rsidR="001E337E" w:rsidRPr="001E337E">
          <w:rPr>
            <w:rStyle w:val="text"/>
            <w:rFonts w:ascii="Times New Roman" w:hAnsi="Times New Roman"/>
            <w:sz w:val="20"/>
            <w:szCs w:val="20"/>
          </w:rPr>
          <w:t>Mura</w:t>
        </w:r>
      </w:hyperlink>
      <w:r w:rsidR="001E337E" w:rsidRPr="001E337E">
        <w:rPr>
          <w:rFonts w:ascii="Times New Roman" w:hAnsi="Times New Roman"/>
          <w:sz w:val="20"/>
          <w:szCs w:val="20"/>
        </w:rPr>
        <w:t xml:space="preserve">, P. (2014). Analytical techniques for characterization of cyclodextrin complexes in aqueous solution: A review. </w:t>
      </w:r>
      <w:r w:rsidR="001E337E" w:rsidRPr="001E337E">
        <w:rPr>
          <w:rFonts w:ascii="Times New Roman" w:hAnsi="Times New Roman"/>
          <w:i/>
          <w:iCs/>
          <w:sz w:val="20"/>
          <w:szCs w:val="20"/>
        </w:rPr>
        <w:t>Journal of Pharmaceutical and Biomedical Analysis</w:t>
      </w:r>
      <w:r w:rsidR="001E337E" w:rsidRPr="001E337E">
        <w:rPr>
          <w:rFonts w:ascii="Times New Roman" w:hAnsi="Times New Roman"/>
          <w:sz w:val="20"/>
          <w:szCs w:val="20"/>
        </w:rPr>
        <w:t xml:space="preserve">, </w:t>
      </w:r>
      <w:r w:rsidR="001E337E" w:rsidRPr="001E337E">
        <w:rPr>
          <w:rStyle w:val="cit"/>
          <w:rFonts w:ascii="Times New Roman" w:hAnsi="Times New Roman"/>
          <w:sz w:val="20"/>
          <w:szCs w:val="20"/>
        </w:rPr>
        <w:t>101: 238-250.</w:t>
      </w:r>
    </w:p>
    <w:p w14:paraId="3BE400AD"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hAnsi="Times New Roman"/>
          <w:sz w:val="20"/>
          <w:szCs w:val="20"/>
          <w:shd w:val="clear" w:color="auto" w:fill="FFFFFF"/>
        </w:rPr>
      </w:pPr>
      <w:r w:rsidRPr="001E337E">
        <w:rPr>
          <w:rStyle w:val="Emphasis"/>
          <w:rFonts w:ascii="Times New Roman" w:hAnsi="Times New Roman"/>
          <w:b w:val="0"/>
          <w:bCs w:val="0"/>
          <w:i w:val="0"/>
          <w:iCs w:val="0"/>
          <w:sz w:val="20"/>
          <w:szCs w:val="20"/>
          <w:shd w:val="clear" w:color="auto" w:fill="FFFFFF"/>
        </w:rPr>
        <w:t>García, I.,</w:t>
      </w:r>
      <w:r w:rsidRPr="001E337E">
        <w:rPr>
          <w:rFonts w:ascii="Times New Roman" w:hAnsi="Times New Roman"/>
          <w:b/>
          <w:bCs/>
          <w:sz w:val="20"/>
          <w:szCs w:val="20"/>
          <w:shd w:val="clear" w:color="auto" w:fill="FFFFFF"/>
        </w:rPr>
        <w:t> </w:t>
      </w:r>
      <w:r w:rsidRPr="001E337E">
        <w:rPr>
          <w:rStyle w:val="Emphasis"/>
          <w:rFonts w:ascii="Times New Roman" w:hAnsi="Times New Roman"/>
          <w:b w:val="0"/>
          <w:bCs w:val="0"/>
          <w:i w:val="0"/>
          <w:iCs w:val="0"/>
          <w:sz w:val="20"/>
          <w:szCs w:val="20"/>
          <w:shd w:val="clear" w:color="auto" w:fill="FFFFFF"/>
        </w:rPr>
        <w:t>Brandariz,</w:t>
      </w:r>
      <w:r w:rsidRPr="001E337E">
        <w:rPr>
          <w:rFonts w:ascii="Times New Roman" w:hAnsi="Times New Roman"/>
          <w:b/>
          <w:bCs/>
          <w:sz w:val="20"/>
          <w:szCs w:val="20"/>
          <w:shd w:val="clear" w:color="auto" w:fill="FFFFFF"/>
        </w:rPr>
        <w:t> </w:t>
      </w:r>
      <w:r w:rsidRPr="001E337E">
        <w:rPr>
          <w:rStyle w:val="Emphasis"/>
          <w:rFonts w:ascii="Times New Roman" w:hAnsi="Times New Roman"/>
          <w:b w:val="0"/>
          <w:bCs w:val="0"/>
          <w:i w:val="0"/>
          <w:iCs w:val="0"/>
          <w:sz w:val="20"/>
          <w:szCs w:val="20"/>
          <w:shd w:val="clear" w:color="auto" w:fill="FFFFFF"/>
        </w:rPr>
        <w:t>I. and Iglesias, E.</w:t>
      </w:r>
      <w:r w:rsidRPr="001E337E">
        <w:rPr>
          <w:rFonts w:ascii="Times New Roman" w:hAnsi="Times New Roman"/>
          <w:sz w:val="20"/>
          <w:szCs w:val="20"/>
          <w:shd w:val="clear" w:color="auto" w:fill="FFFFFF"/>
        </w:rPr>
        <w:t xml:space="preserve"> (2010). </w:t>
      </w:r>
      <w:r w:rsidRPr="001E337E">
        <w:rPr>
          <w:rFonts w:ascii="Times New Roman" w:hAnsi="Times New Roman"/>
          <w:sz w:val="20"/>
          <w:szCs w:val="20"/>
        </w:rPr>
        <w:t>Fluorescence study of tetracaine- cyclodextrin inclusion complexes</w:t>
      </w:r>
      <w:r w:rsidRPr="001E337E">
        <w:rPr>
          <w:rFonts w:ascii="Times New Roman" w:hAnsi="Times New Roman"/>
          <w:sz w:val="20"/>
          <w:szCs w:val="20"/>
          <w:shd w:val="clear" w:color="auto" w:fill="FFFFFF"/>
        </w:rPr>
        <w:t xml:space="preserve">. </w:t>
      </w:r>
      <w:r w:rsidRPr="001E337E">
        <w:rPr>
          <w:rFonts w:ascii="Times New Roman" w:hAnsi="Times New Roman"/>
          <w:i/>
          <w:iCs/>
          <w:sz w:val="20"/>
          <w:szCs w:val="20"/>
          <w:shd w:val="clear" w:color="auto" w:fill="FFFFFF"/>
        </w:rPr>
        <w:t>Journal of Supramolecular Chemistry</w:t>
      </w:r>
      <w:r w:rsidRPr="001E337E">
        <w:rPr>
          <w:rFonts w:ascii="Times New Roman" w:hAnsi="Times New Roman"/>
          <w:sz w:val="20"/>
          <w:szCs w:val="20"/>
          <w:shd w:val="clear" w:color="auto" w:fill="FFFFFF"/>
        </w:rPr>
        <w:t>, 22(4): 228-236.</w:t>
      </w:r>
    </w:p>
    <w:p w14:paraId="34FAD406"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 xml:space="preserve">Takisawa, N., Shirahama, K. and Tanaka, I. (1993). </w:t>
      </w:r>
      <w:r w:rsidRPr="001E337E">
        <w:rPr>
          <w:rFonts w:ascii="Times New Roman" w:hAnsi="Times New Roman"/>
          <w:sz w:val="20"/>
          <w:szCs w:val="20"/>
        </w:rPr>
        <w:t xml:space="preserve">Interactions of amphiphilic drugs with </w:t>
      </w:r>
      <w:r w:rsidRPr="001E337E">
        <w:rPr>
          <w:rFonts w:ascii="Times New Roman" w:hAnsi="Times New Roman"/>
          <w:i/>
          <w:iCs/>
          <w:sz w:val="20"/>
          <w:szCs w:val="20"/>
        </w:rPr>
        <w:t>α</w:t>
      </w:r>
      <w:r w:rsidRPr="001E337E">
        <w:rPr>
          <w:rFonts w:ascii="Times New Roman" w:hAnsi="Times New Roman"/>
          <w:sz w:val="20"/>
          <w:szCs w:val="20"/>
        </w:rPr>
        <w:t xml:space="preserve">-, </w:t>
      </w:r>
      <w:r w:rsidRPr="001E337E">
        <w:rPr>
          <w:rFonts w:ascii="Times New Roman" w:hAnsi="Times New Roman"/>
          <w:i/>
          <w:iCs/>
          <w:sz w:val="20"/>
          <w:szCs w:val="20"/>
        </w:rPr>
        <w:t>β</w:t>
      </w:r>
      <w:r w:rsidRPr="001E337E">
        <w:rPr>
          <w:rFonts w:ascii="Times New Roman" w:hAnsi="Times New Roman"/>
          <w:sz w:val="20"/>
          <w:szCs w:val="20"/>
        </w:rPr>
        <w:t xml:space="preserve">-, and </w:t>
      </w:r>
      <w:r w:rsidRPr="001E337E">
        <w:rPr>
          <w:rFonts w:ascii="Times New Roman" w:hAnsi="Times New Roman"/>
          <w:i/>
          <w:iCs/>
          <w:sz w:val="20"/>
          <w:szCs w:val="20"/>
        </w:rPr>
        <w:t>γ</w:t>
      </w:r>
      <w:r w:rsidRPr="001E337E">
        <w:rPr>
          <w:rFonts w:ascii="Times New Roman" w:hAnsi="Times New Roman"/>
          <w:sz w:val="20"/>
          <w:szCs w:val="20"/>
        </w:rPr>
        <w:t>- cyclodextrins.</w:t>
      </w:r>
      <w:r w:rsidRPr="001E337E">
        <w:rPr>
          <w:rFonts w:ascii="Times New Roman" w:eastAsia="Calibri" w:hAnsi="Times New Roman"/>
          <w:sz w:val="20"/>
          <w:szCs w:val="20"/>
        </w:rPr>
        <w:t xml:space="preserve"> C</w:t>
      </w:r>
      <w:r w:rsidRPr="001E337E">
        <w:rPr>
          <w:rFonts w:ascii="Times New Roman" w:eastAsia="Calibri" w:hAnsi="Times New Roman"/>
          <w:i/>
          <w:iCs/>
          <w:sz w:val="20"/>
          <w:szCs w:val="20"/>
        </w:rPr>
        <w:t>olloid and Polymer Science</w:t>
      </w:r>
      <w:r w:rsidRPr="001E337E">
        <w:rPr>
          <w:rFonts w:ascii="Times New Roman" w:eastAsia="Calibri" w:hAnsi="Times New Roman"/>
          <w:sz w:val="20"/>
          <w:szCs w:val="20"/>
        </w:rPr>
        <w:t>, 271: 499-506.</w:t>
      </w:r>
    </w:p>
    <w:p w14:paraId="15A4C898"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 xml:space="preserve">Cano, J. Rodriguez, A.  Aicart, E. and  Junquera, E. (2007). Temperature effect on the complex formation between tricyclic antidepressant drugs (amitriptyline or imipramine) and hydroxypropyl-β-cyclodextrin in water. </w:t>
      </w:r>
      <w:r w:rsidRPr="001E337E">
        <w:rPr>
          <w:rFonts w:ascii="Times New Roman" w:hAnsi="Times New Roman"/>
          <w:i/>
          <w:iCs/>
          <w:sz w:val="20"/>
          <w:szCs w:val="20"/>
        </w:rPr>
        <w:t>Journal of Inclusion Phenomena and Macrocyclic Chemistry,</w:t>
      </w:r>
      <w:r w:rsidRPr="001E337E">
        <w:rPr>
          <w:rFonts w:ascii="Times New Roman" w:hAnsi="Times New Roman"/>
          <w:sz w:val="20"/>
          <w:szCs w:val="20"/>
        </w:rPr>
        <w:t xml:space="preserve"> 59: 279-285.</w:t>
      </w:r>
    </w:p>
    <w:p w14:paraId="6DB01D99"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Style w:val="hlfld-contribauthor"/>
          <w:rFonts w:ascii="Times New Roman" w:hAnsi="Times New Roman"/>
          <w:sz w:val="20"/>
          <w:szCs w:val="20"/>
          <w:shd w:val="clear" w:color="auto" w:fill="FFFFFF"/>
        </w:rPr>
        <w:t>Bernardi, R. C.,</w:t>
      </w:r>
      <w:r w:rsidRPr="001E337E">
        <w:rPr>
          <w:rFonts w:ascii="Times New Roman" w:hAnsi="Times New Roman"/>
          <w:sz w:val="20"/>
          <w:szCs w:val="20"/>
        </w:rPr>
        <w:t xml:space="preserve"> </w:t>
      </w:r>
      <w:r w:rsidRPr="001E337E">
        <w:rPr>
          <w:rStyle w:val="hlfld-contribauthor"/>
          <w:rFonts w:ascii="Times New Roman" w:hAnsi="Times New Roman"/>
          <w:sz w:val="20"/>
          <w:szCs w:val="20"/>
          <w:shd w:val="clear" w:color="auto" w:fill="FFFFFF"/>
        </w:rPr>
        <w:t xml:space="preserve">Gomes, D. E. B., Pascutti, P., Ito, A. S. and Ota, A. T. (2006). </w:t>
      </w:r>
      <w:r w:rsidRPr="001E337E">
        <w:rPr>
          <w:rFonts w:ascii="Times New Roman" w:hAnsi="Times New Roman"/>
          <w:sz w:val="20"/>
          <w:szCs w:val="20"/>
        </w:rPr>
        <w:t>Theoretical studies on water–tetracaine interaction.</w:t>
      </w:r>
      <w:r w:rsidRPr="001E337E">
        <w:rPr>
          <w:rStyle w:val="hlfld-contribauthor"/>
          <w:rFonts w:ascii="Times New Roman" w:hAnsi="Times New Roman"/>
          <w:i/>
          <w:iCs/>
          <w:sz w:val="20"/>
          <w:szCs w:val="20"/>
          <w:shd w:val="clear" w:color="auto" w:fill="FFFFFF"/>
        </w:rPr>
        <w:t xml:space="preserve"> International </w:t>
      </w:r>
      <w:r w:rsidRPr="001E337E">
        <w:rPr>
          <w:rFonts w:ascii="Times New Roman" w:hAnsi="Times New Roman"/>
          <w:i/>
          <w:iCs/>
          <w:sz w:val="20"/>
          <w:szCs w:val="20"/>
        </w:rPr>
        <w:t>Journal Quantum Chemistry</w:t>
      </w:r>
      <w:r w:rsidRPr="001E337E">
        <w:rPr>
          <w:rFonts w:ascii="Times New Roman" w:hAnsi="Times New Roman"/>
          <w:sz w:val="20"/>
          <w:szCs w:val="20"/>
        </w:rPr>
        <w:t>, 106: 1277-1282</w:t>
      </w:r>
      <w:r w:rsidRPr="001E337E">
        <w:rPr>
          <w:rFonts w:ascii="Times New Roman" w:eastAsia="Calibri" w:hAnsi="Times New Roman"/>
          <w:sz w:val="20"/>
          <w:szCs w:val="20"/>
        </w:rPr>
        <w:t>.</w:t>
      </w:r>
    </w:p>
    <w:p w14:paraId="3F3CFF30" w14:textId="77777777" w:rsidR="007869E3" w:rsidRDefault="001E337E" w:rsidP="007869E3">
      <w:pPr>
        <w:numPr>
          <w:ilvl w:val="0"/>
          <w:numId w:val="3"/>
        </w:numPr>
        <w:autoSpaceDE w:val="0"/>
        <w:autoSpaceDN w:val="0"/>
        <w:adjustRightInd w:val="0"/>
        <w:spacing w:after="0"/>
        <w:ind w:left="360"/>
        <w:jc w:val="both"/>
        <w:outlineLvl w:val="0"/>
        <w:rPr>
          <w:rStyle w:val="page-range"/>
          <w:rFonts w:ascii="Times New Roman" w:eastAsia="Lucida Sans Unicode" w:hAnsi="Times New Roman"/>
          <w:sz w:val="20"/>
          <w:szCs w:val="20"/>
          <w:shd w:val="clear" w:color="auto" w:fill="FFFFFF"/>
        </w:rPr>
      </w:pPr>
      <w:r w:rsidRPr="001E337E">
        <w:rPr>
          <w:rStyle w:val="hlfld-contribauthor"/>
          <w:rFonts w:ascii="Times New Roman" w:hAnsi="Times New Roman"/>
          <w:sz w:val="20"/>
          <w:szCs w:val="20"/>
          <w:shd w:val="clear" w:color="auto" w:fill="FFFFFF"/>
        </w:rPr>
        <w:t>Bernardi, R. C. Gomes, D. E. B. Ito, A. S. Ota, A. T. Pascutti, P. G. and Taft, C. (2007).</w:t>
      </w:r>
      <w:r w:rsidRPr="001E337E">
        <w:rPr>
          <w:rStyle w:val="issue"/>
          <w:rFonts w:ascii="Times New Roman" w:hAnsi="Times New Roman"/>
          <w:sz w:val="20"/>
          <w:szCs w:val="20"/>
          <w:shd w:val="clear" w:color="auto" w:fill="FFFFFF"/>
        </w:rPr>
        <w:t xml:space="preserve"> </w:t>
      </w:r>
      <w:r w:rsidRPr="001E337E">
        <w:rPr>
          <w:rFonts w:ascii="Times New Roman" w:hAnsi="Times New Roman"/>
          <w:sz w:val="20"/>
          <w:szCs w:val="20"/>
        </w:rPr>
        <w:t>Density functional and molecular dynamics simulations of local anesthetics in 0.9% NaCl solution</w:t>
      </w:r>
      <w:r w:rsidRPr="001E337E">
        <w:rPr>
          <w:rFonts w:ascii="Times New Roman" w:hAnsi="Times New Roman"/>
          <w:sz w:val="20"/>
          <w:szCs w:val="20"/>
          <w:shd w:val="clear" w:color="auto" w:fill="FFFFFF"/>
        </w:rPr>
        <w:t xml:space="preserve">. </w:t>
      </w:r>
      <w:r w:rsidRPr="001E337E">
        <w:rPr>
          <w:rStyle w:val="seriestitle"/>
          <w:rFonts w:ascii="Times New Roman" w:hAnsi="Times New Roman"/>
          <w:i/>
          <w:iCs/>
          <w:sz w:val="20"/>
          <w:szCs w:val="20"/>
          <w:shd w:val="clear" w:color="auto" w:fill="FFFFFF"/>
        </w:rPr>
        <w:t>Molecular Simulation</w:t>
      </w:r>
      <w:r w:rsidRPr="001E337E">
        <w:rPr>
          <w:rStyle w:val="seperator"/>
          <w:rFonts w:ascii="Times New Roman" w:hAnsi="Times New Roman"/>
          <w:sz w:val="20"/>
          <w:szCs w:val="20"/>
          <w:shd w:val="clear" w:color="auto" w:fill="FFFFFF"/>
        </w:rPr>
        <w:t>, 33(14):</w:t>
      </w:r>
      <w:r w:rsidRPr="001E337E">
        <w:rPr>
          <w:rStyle w:val="volume"/>
          <w:rFonts w:ascii="Times New Roman" w:hAnsi="Times New Roman"/>
          <w:sz w:val="20"/>
          <w:szCs w:val="20"/>
          <w:shd w:val="clear" w:color="auto" w:fill="FFFFFF"/>
        </w:rPr>
        <w:t xml:space="preserve"> 1135</w:t>
      </w:r>
      <w:r w:rsidRPr="001E337E">
        <w:rPr>
          <w:rStyle w:val="page-range"/>
          <w:rFonts w:ascii="Times New Roman" w:eastAsia="Lucida Sans Unicode" w:hAnsi="Times New Roman"/>
          <w:sz w:val="20"/>
          <w:szCs w:val="20"/>
          <w:shd w:val="clear" w:color="auto" w:fill="FFFFFF"/>
        </w:rPr>
        <w:t>-1141</w:t>
      </w:r>
      <w:r w:rsidR="007869E3">
        <w:rPr>
          <w:rStyle w:val="page-range"/>
          <w:rFonts w:ascii="Times New Roman" w:eastAsia="Lucida Sans Unicode" w:hAnsi="Times New Roman"/>
          <w:sz w:val="20"/>
          <w:szCs w:val="20"/>
          <w:shd w:val="clear" w:color="auto" w:fill="FFFFFF"/>
        </w:rPr>
        <w:t>.</w:t>
      </w:r>
    </w:p>
    <w:p w14:paraId="06A9EB6B" w14:textId="6F1978D2" w:rsidR="007869E3" w:rsidRPr="007869E3" w:rsidRDefault="007869E3" w:rsidP="00986883">
      <w:pPr>
        <w:autoSpaceDE w:val="0"/>
        <w:autoSpaceDN w:val="0"/>
        <w:adjustRightInd w:val="0"/>
        <w:spacing w:after="0"/>
        <w:jc w:val="both"/>
        <w:outlineLvl w:val="0"/>
        <w:rPr>
          <w:rFonts w:ascii="Times New Roman" w:eastAsia="Lucida Sans Unicode" w:hAnsi="Times New Roman"/>
          <w:sz w:val="20"/>
          <w:szCs w:val="20"/>
          <w:shd w:val="clear" w:color="auto" w:fill="FFFFFF"/>
        </w:rPr>
        <w:sectPr w:rsidR="007869E3" w:rsidRPr="007869E3" w:rsidSect="001E337E">
          <w:footerReference w:type="default" r:id="rId65"/>
          <w:type w:val="continuous"/>
          <w:pgSz w:w="11906" w:h="16838"/>
          <w:pgMar w:top="1800" w:right="1469" w:bottom="1699" w:left="1440" w:header="709" w:footer="709" w:gutter="0"/>
          <w:cols w:num="2" w:space="403"/>
          <w:docGrid w:linePitch="360"/>
        </w:sectPr>
      </w:pPr>
    </w:p>
    <w:p w14:paraId="4A5E565B" w14:textId="35DE41A5" w:rsidR="001E337E" w:rsidRPr="001E337E" w:rsidRDefault="001E337E" w:rsidP="001E337E">
      <w:pPr>
        <w:tabs>
          <w:tab w:val="center" w:pos="4498"/>
        </w:tabs>
        <w:rPr>
          <w:rFonts w:ascii="Times New Roman" w:eastAsia="Calibri" w:hAnsi="Times New Roman"/>
          <w:sz w:val="20"/>
          <w:szCs w:val="20"/>
        </w:rPr>
        <w:sectPr w:rsidR="001E337E" w:rsidRPr="001E337E" w:rsidSect="00CB2AE7">
          <w:type w:val="continuous"/>
          <w:pgSz w:w="11906" w:h="16838"/>
          <w:pgMar w:top="1800" w:right="1469" w:bottom="1699" w:left="1440" w:header="709" w:footer="709" w:gutter="0"/>
          <w:cols w:space="708"/>
          <w:docGrid w:linePitch="360"/>
        </w:sectPr>
      </w:pPr>
    </w:p>
    <w:p w14:paraId="02C05410" w14:textId="77777777" w:rsidR="001431E1" w:rsidRDefault="001431E1" w:rsidP="00986883">
      <w:pPr>
        <w:adjustRightInd w:val="0"/>
        <w:spacing w:after="0"/>
        <w:rPr>
          <w:rFonts w:ascii="Times New Roman" w:eastAsia="Calibri" w:hAnsi="Times New Roman"/>
          <w:b/>
          <w:bCs/>
          <w:sz w:val="20"/>
          <w:szCs w:val="20"/>
        </w:rPr>
      </w:pPr>
    </w:p>
    <w:p w14:paraId="0D7C37EB" w14:textId="7179F355" w:rsidR="00DF6475" w:rsidRDefault="00DF6475" w:rsidP="00383C16">
      <w:pPr>
        <w:spacing w:after="0"/>
        <w:jc w:val="both"/>
        <w:rPr>
          <w:rFonts w:ascii="Times New Roman" w:hAnsi="Times New Roman"/>
          <w:noProof/>
          <w:sz w:val="20"/>
          <w:szCs w:val="20"/>
          <w:lang w:bidi="ar-SA"/>
        </w:rPr>
      </w:pPr>
    </w:p>
    <w:p w14:paraId="4D8ACFB4" w14:textId="77777777" w:rsidR="00DF6475" w:rsidRDefault="00DF6475" w:rsidP="00DF6475">
      <w:pPr>
        <w:pStyle w:val="NoSpacing"/>
        <w:rPr>
          <w:rFonts w:ascii="Times New Roman" w:eastAsia="Calibri" w:hAnsi="Times New Roman"/>
          <w:sz w:val="18"/>
          <w:szCs w:val="18"/>
        </w:rPr>
      </w:pPr>
    </w:p>
    <w:p w14:paraId="6F6426F9" w14:textId="77777777" w:rsidR="00DF6475" w:rsidRDefault="00DF6475" w:rsidP="00DF6475">
      <w:pPr>
        <w:rPr>
          <w:b/>
          <w:bCs/>
          <w:sz w:val="20"/>
          <w:szCs w:val="20"/>
        </w:rPr>
      </w:pPr>
    </w:p>
    <w:p w14:paraId="38C7A48E" w14:textId="77777777" w:rsidR="00DF6475" w:rsidRDefault="00DF6475" w:rsidP="00DF6475">
      <w:pPr>
        <w:tabs>
          <w:tab w:val="left" w:pos="284"/>
        </w:tabs>
        <w:jc w:val="center"/>
        <w:rPr>
          <w:b/>
          <w:sz w:val="20"/>
          <w:szCs w:val="20"/>
        </w:rPr>
      </w:pPr>
    </w:p>
    <w:p w14:paraId="6E78F039" w14:textId="77777777" w:rsidR="00DF6475" w:rsidRPr="00383C16" w:rsidRDefault="00DF6475" w:rsidP="00383C16">
      <w:pPr>
        <w:spacing w:after="0"/>
        <w:jc w:val="both"/>
        <w:rPr>
          <w:rFonts w:ascii="Times New Roman" w:hAnsi="Times New Roman"/>
          <w:noProof/>
          <w:sz w:val="20"/>
          <w:szCs w:val="20"/>
          <w:lang w:bidi="ar-SA"/>
        </w:rPr>
      </w:pPr>
    </w:p>
    <w:sectPr w:rsidR="00DF6475" w:rsidRPr="00383C16" w:rsidSect="00A74A7E">
      <w:headerReference w:type="even" r:id="rId66"/>
      <w:headerReference w:type="default" r:id="rId67"/>
      <w:footerReference w:type="even" r:id="rId68"/>
      <w:footerReference w:type="default" r:id="rId69"/>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9515A" w14:textId="77777777" w:rsidR="00DA1AA0" w:rsidRDefault="00DA1AA0" w:rsidP="00FB4C59">
      <w:pPr>
        <w:spacing w:after="0" w:line="240" w:lineRule="auto"/>
      </w:pPr>
      <w:r>
        <w:separator/>
      </w:r>
    </w:p>
  </w:endnote>
  <w:endnote w:type="continuationSeparator" w:id="0">
    <w:p w14:paraId="250907FB" w14:textId="77777777" w:rsidR="00DA1AA0" w:rsidRDefault="00DA1AA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TimesNewRomanSF">
    <w:altName w:val="Arial Unicode MS"/>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TSYN">
    <w:altName w:val="Arial Unicode MS"/>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AdvP3D13A4">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E23E" w14:textId="7B26FC2C" w:rsidR="00B9349A" w:rsidRPr="00B9349A" w:rsidRDefault="005675AA" w:rsidP="00B9349A">
    <w:pPr>
      <w:pStyle w:val="Footer"/>
      <w:jc w:val="right"/>
      <w:rPr>
        <w:lang w:val="en-US"/>
      </w:rPr>
    </w:pPr>
    <w:r>
      <w:rPr>
        <w:lang w:val="en-US"/>
      </w:rPr>
      <w:t>164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AB4C" w14:textId="77777777" w:rsidR="007869E3" w:rsidRPr="00B9349A" w:rsidRDefault="007869E3" w:rsidP="00B9349A">
    <w:pPr>
      <w:pStyle w:val="Footer"/>
      <w:rPr>
        <w:lang w:val="en-US"/>
      </w:rPr>
    </w:pPr>
  </w:p>
  <w:p w14:paraId="063A4C45" w14:textId="6B6918CB" w:rsidR="007869E3" w:rsidRPr="00B9349A" w:rsidRDefault="005675AA">
    <w:pPr>
      <w:pStyle w:val="Footer"/>
      <w:rPr>
        <w:lang w:val="en-US"/>
      </w:rPr>
    </w:pPr>
    <w:r>
      <w:rPr>
        <w:lang w:val="en-US"/>
      </w:rPr>
      <w:t>1</w:t>
    </w:r>
    <w:r w:rsidR="007869E3">
      <w:rPr>
        <w:lang w:val="en-US"/>
      </w:rPr>
      <w:t>7</w:t>
    </w:r>
    <w:r>
      <w:rPr>
        <w:lang w:val="en-US"/>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EE83" w14:textId="195BEC4A" w:rsidR="00EB7D5C" w:rsidRPr="006D0986" w:rsidRDefault="00EB7D5C" w:rsidP="00F73C2D">
    <w:pPr>
      <w:pStyle w:val="Footer"/>
      <w:jc w:val="center"/>
    </w:pPr>
  </w:p>
  <w:p w14:paraId="116E04EA" w14:textId="77777777" w:rsidR="00EB7D5C" w:rsidRDefault="00EB7D5C" w:rsidP="007869E3">
    <w:pPr>
      <w:pStyle w:val="Footer"/>
      <w:ind w:firstLine="72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DCAF" w14:textId="77777777" w:rsidR="007869E3" w:rsidRPr="006D0986" w:rsidRDefault="007869E3" w:rsidP="00F73C2D">
    <w:pPr>
      <w:pStyle w:val="Footer"/>
      <w:jc w:val="center"/>
    </w:pPr>
  </w:p>
  <w:p w14:paraId="51B3F572" w14:textId="3FAA2E96" w:rsidR="007869E3" w:rsidRPr="007869E3" w:rsidRDefault="005675AA" w:rsidP="007869E3">
    <w:pPr>
      <w:pStyle w:val="Footer"/>
      <w:rPr>
        <w:lang w:val="en-US"/>
      </w:rPr>
    </w:pPr>
    <w:r>
      <w:rPr>
        <w:lang w:val="en-US"/>
      </w:rPr>
      <w:t>173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9629" w14:textId="685D4C55" w:rsidR="007869E3" w:rsidRPr="00B9349A" w:rsidRDefault="007869E3" w:rsidP="00B9349A">
    <w:pPr>
      <w:pStyle w:val="Footer"/>
      <w:jc w:val="right"/>
      <w:rPr>
        <w:lang w:val="en-US"/>
      </w:rPr>
    </w:pPr>
    <w:r>
      <w:rPr>
        <w:lang w:val="en-US"/>
      </w:rPr>
      <w:t>1</w:t>
    </w:r>
    <w:r w:rsidR="005675AA">
      <w:rPr>
        <w:lang w:val="en-US"/>
      </w:rPr>
      <w:t>74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7C79" w14:textId="77777777" w:rsidR="007869E3" w:rsidRPr="006D0986" w:rsidRDefault="007869E3" w:rsidP="00F73C2D">
    <w:pPr>
      <w:pStyle w:val="Footer"/>
      <w:jc w:val="center"/>
    </w:pPr>
  </w:p>
  <w:p w14:paraId="4FF817E8" w14:textId="4E5082E7" w:rsidR="007869E3" w:rsidRPr="007869E3" w:rsidRDefault="007869E3" w:rsidP="007869E3">
    <w:pPr>
      <w:pStyle w:val="Footer"/>
      <w:rPr>
        <w:lang w:val="en-US"/>
      </w:rPr>
    </w:pPr>
    <w:r>
      <w:rPr>
        <w:lang w:val="en-US"/>
      </w:rPr>
      <w:t>1</w:t>
    </w:r>
    <w:r w:rsidR="005675AA">
      <w:rPr>
        <w:lang w:val="en-US"/>
      </w:rPr>
      <w:t>75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2CF5" w14:textId="5C14FABE" w:rsidR="00EB7D5C" w:rsidRPr="00B9349A" w:rsidRDefault="00EB7D5C" w:rsidP="00B9349A">
    <w:pPr>
      <w:pStyle w:val="Footer"/>
      <w:rPr>
        <w:lang w:val="en-US"/>
      </w:rPr>
    </w:pPr>
  </w:p>
  <w:p w14:paraId="165B6B94" w14:textId="2BE42D42" w:rsidR="00EB7D5C" w:rsidRPr="00B9349A" w:rsidRDefault="00B9349A">
    <w:pPr>
      <w:pStyle w:val="Footer"/>
      <w:rPr>
        <w:lang w:val="en-US"/>
      </w:rPr>
    </w:pPr>
    <w:r>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E343" w14:textId="77777777" w:rsidR="007869E3" w:rsidRPr="00B9349A" w:rsidRDefault="007869E3" w:rsidP="00B9349A">
    <w:pPr>
      <w:pStyle w:val="Footer"/>
      <w:rPr>
        <w:lang w:val="en-US"/>
      </w:rPr>
    </w:pPr>
  </w:p>
  <w:p w14:paraId="00722C47" w14:textId="0F37A655" w:rsidR="007869E3" w:rsidRPr="00B9349A" w:rsidRDefault="005675AA">
    <w:pPr>
      <w:pStyle w:val="Footer"/>
      <w:rPr>
        <w:lang w:val="en-US"/>
      </w:rPr>
    </w:pPr>
    <w:r>
      <w:rPr>
        <w:lang w:val="en-US"/>
      </w:rPr>
      <w:t>165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E007" w14:textId="1596D9F6" w:rsidR="007869E3" w:rsidRPr="00B9349A" w:rsidRDefault="005675AA" w:rsidP="00B9349A">
    <w:pPr>
      <w:pStyle w:val="Footer"/>
      <w:jc w:val="right"/>
      <w:rPr>
        <w:lang w:val="en-US"/>
      </w:rPr>
    </w:pPr>
    <w:r>
      <w:rPr>
        <w:lang w:val="en-US"/>
      </w:rPr>
      <w:t>166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AEE6" w14:textId="77777777" w:rsidR="007869E3" w:rsidRPr="00B9349A" w:rsidRDefault="007869E3" w:rsidP="00B9349A">
    <w:pPr>
      <w:pStyle w:val="Footer"/>
      <w:rPr>
        <w:lang w:val="en-US"/>
      </w:rPr>
    </w:pPr>
  </w:p>
  <w:p w14:paraId="2F0293E8" w14:textId="5BD42568" w:rsidR="007869E3" w:rsidRPr="00B9349A" w:rsidRDefault="005675AA">
    <w:pPr>
      <w:pStyle w:val="Footer"/>
      <w:rPr>
        <w:lang w:val="en-US"/>
      </w:rPr>
    </w:pPr>
    <w:r>
      <w:rPr>
        <w:lang w:val="en-US"/>
      </w:rPr>
      <w:t>167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1EE3" w14:textId="0B98BE7D" w:rsidR="007869E3" w:rsidRPr="00B9349A" w:rsidRDefault="005675AA" w:rsidP="00B9349A">
    <w:pPr>
      <w:pStyle w:val="Footer"/>
      <w:jc w:val="right"/>
      <w:rPr>
        <w:lang w:val="en-US"/>
      </w:rPr>
    </w:pPr>
    <w:r>
      <w:rPr>
        <w:lang w:val="en-US"/>
      </w:rPr>
      <w:t>168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A2D7" w14:textId="77777777" w:rsidR="007869E3" w:rsidRPr="00B9349A" w:rsidRDefault="007869E3" w:rsidP="00B9349A">
    <w:pPr>
      <w:pStyle w:val="Footer"/>
      <w:rPr>
        <w:lang w:val="en-US"/>
      </w:rPr>
    </w:pPr>
  </w:p>
  <w:p w14:paraId="27ABDFA8" w14:textId="0887CA3B" w:rsidR="007869E3" w:rsidRPr="00B9349A" w:rsidRDefault="005675AA">
    <w:pPr>
      <w:pStyle w:val="Footer"/>
      <w:rPr>
        <w:lang w:val="en-US"/>
      </w:rPr>
    </w:pPr>
    <w:r>
      <w:rPr>
        <w:lang w:val="en-US"/>
      </w:rPr>
      <w:t>169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3F63" w14:textId="52E519A5" w:rsidR="007869E3" w:rsidRPr="00B9349A" w:rsidRDefault="005675AA" w:rsidP="00B9349A">
    <w:pPr>
      <w:pStyle w:val="Footer"/>
      <w:jc w:val="right"/>
      <w:rPr>
        <w:lang w:val="en-US"/>
      </w:rPr>
    </w:pPr>
    <w:r>
      <w:rPr>
        <w:lang w:val="en-US"/>
      </w:rPr>
      <w:t>170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8BAD" w14:textId="55996EBB" w:rsidR="007869E3" w:rsidRPr="00B9349A" w:rsidRDefault="005675AA" w:rsidP="00B9349A">
    <w:pPr>
      <w:pStyle w:val="Footer"/>
      <w:jc w:val="right"/>
      <w:rPr>
        <w:lang w:val="en-US"/>
      </w:rPr>
    </w:pPr>
    <w:r>
      <w:rPr>
        <w:lang w:val="en-US"/>
      </w:rPr>
      <w:t>172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25C49" w14:textId="77777777" w:rsidR="00DA1AA0" w:rsidRDefault="00DA1AA0" w:rsidP="00FB4C59">
      <w:pPr>
        <w:spacing w:after="0" w:line="240" w:lineRule="auto"/>
      </w:pPr>
      <w:r>
        <w:separator/>
      </w:r>
    </w:p>
  </w:footnote>
  <w:footnote w:type="continuationSeparator" w:id="0">
    <w:p w14:paraId="5311DCBB" w14:textId="77777777" w:rsidR="00DA1AA0" w:rsidRDefault="00DA1AA0"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D445" w14:textId="15B688C4" w:rsidR="007B550E" w:rsidRDefault="007B550E" w:rsidP="00CD105B">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675AA">
      <w:rPr>
        <w:rFonts w:ascii="Times New Roman" w:hAnsi="Times New Roman"/>
        <w:i/>
        <w:lang w:val="en-US"/>
      </w:rPr>
      <w:t>164</w:t>
    </w:r>
    <w:r>
      <w:rPr>
        <w:rFonts w:ascii="Times New Roman" w:hAnsi="Times New Roman"/>
        <w:i/>
        <w:lang w:val="en-US"/>
      </w:rPr>
      <w:t xml:space="preserve"> - </w:t>
    </w:r>
    <w:r w:rsidR="005675AA">
      <w:rPr>
        <w:rFonts w:ascii="Times New Roman" w:hAnsi="Times New Roman"/>
        <w:i/>
        <w:lang w:val="en-US"/>
      </w:rPr>
      <w:t>175</w:t>
    </w:r>
  </w:p>
  <w:p w14:paraId="4F906333" w14:textId="77777777" w:rsidR="007B550E" w:rsidRDefault="007B55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F8FC" w14:textId="12244F41" w:rsidR="00CD105B" w:rsidRPr="00CD105B" w:rsidRDefault="00CD105B" w:rsidP="00CD105B">
    <w:pPr>
      <w:spacing w:after="0"/>
      <w:ind w:left="1440" w:hanging="1440"/>
      <w:rPr>
        <w:rFonts w:ascii="Times New Roman" w:hAnsi="Times New Roman"/>
        <w:spacing w:val="2"/>
        <w:sz w:val="20"/>
        <w:szCs w:val="20"/>
        <w:lang w:eastAsia="fr-FR" w:bidi="ar-SA"/>
      </w:rPr>
    </w:pPr>
    <w:r w:rsidRPr="00CD105B">
      <w:rPr>
        <w:rFonts w:ascii="Times New Roman" w:hAnsi="Times New Roman"/>
        <w:sz w:val="20"/>
        <w:szCs w:val="20"/>
      </w:rPr>
      <w:t xml:space="preserve">Boudjoras et al:   </w:t>
    </w:r>
    <w:r>
      <w:rPr>
        <w:rFonts w:ascii="Times New Roman" w:hAnsi="Times New Roman"/>
        <w:sz w:val="20"/>
        <w:szCs w:val="20"/>
      </w:rPr>
      <w:tab/>
    </w:r>
    <w:r w:rsidRPr="00CD105B">
      <w:rPr>
        <w:rFonts w:ascii="Times New Roman" w:hAnsi="Times New Roman"/>
        <w:spacing w:val="2"/>
        <w:sz w:val="20"/>
        <w:szCs w:val="20"/>
      </w:rPr>
      <w:t>TEMPERATURE EFFECT ON THE ENCAPSULATION OF THE DRUG TETRACAINE HYDROCHLORIDE IN DIFFERENT CYCLODEXTRINS</w:t>
    </w:r>
  </w:p>
  <w:p w14:paraId="4DCB9037" w14:textId="1449C92C" w:rsidR="00CD105B" w:rsidRPr="00CD105B" w:rsidRDefault="00CD105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9795" w14:textId="05368DAA" w:rsidR="00CD105B" w:rsidRDefault="00CD105B" w:rsidP="00CD105B">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362F">
      <w:rPr>
        <w:rFonts w:ascii="Times New Roman" w:hAnsi="Times New Roman"/>
        <w:i/>
        <w:lang w:val="en-US"/>
      </w:rPr>
      <w:t>164 - 175</w:t>
    </w:r>
  </w:p>
  <w:p w14:paraId="49ACA1CA" w14:textId="704B2E84" w:rsidR="00EB7D5C" w:rsidRPr="00CB2AE7" w:rsidRDefault="00EB7D5C" w:rsidP="00CB2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F10519E"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2148" w14:textId="79863404" w:rsidR="002D2DFC" w:rsidRPr="002D2DFC" w:rsidRDefault="002D2DFC" w:rsidP="002D2DFC">
    <w:pPr>
      <w:spacing w:after="0"/>
      <w:ind w:left="1440" w:hanging="1440"/>
      <w:rPr>
        <w:rFonts w:ascii="Times New Roman" w:hAnsi="Times New Roman"/>
        <w:spacing w:val="2"/>
        <w:sz w:val="20"/>
        <w:szCs w:val="20"/>
        <w:lang w:eastAsia="fr-FR" w:bidi="ar-SA"/>
      </w:rPr>
    </w:pPr>
    <w:r>
      <w:rPr>
        <w:rFonts w:ascii="Times New Roman" w:hAnsi="Times New Roman"/>
        <w:sz w:val="20"/>
        <w:szCs w:val="20"/>
      </w:rPr>
      <w:t>Boudjoras et al</w:t>
    </w:r>
    <w:r w:rsidR="008E6968" w:rsidRPr="002D2DFC">
      <w:rPr>
        <w:rFonts w:ascii="Times New Roman" w:hAnsi="Times New Roman"/>
        <w:sz w:val="20"/>
        <w:szCs w:val="20"/>
      </w:rPr>
      <w:t xml:space="preserve">:  </w:t>
    </w:r>
    <w:r w:rsidR="002752F0" w:rsidRPr="002D2DFC">
      <w:rPr>
        <w:rFonts w:ascii="Times New Roman" w:hAnsi="Times New Roman"/>
        <w:sz w:val="20"/>
        <w:szCs w:val="20"/>
      </w:rPr>
      <w:t xml:space="preserve"> </w:t>
    </w:r>
    <w:r>
      <w:rPr>
        <w:rFonts w:ascii="Times New Roman" w:hAnsi="Times New Roman"/>
        <w:sz w:val="20"/>
        <w:szCs w:val="20"/>
      </w:rPr>
      <w:tab/>
    </w:r>
    <w:r w:rsidRPr="002D2DFC">
      <w:rPr>
        <w:rFonts w:ascii="Times New Roman" w:hAnsi="Times New Roman"/>
        <w:spacing w:val="2"/>
        <w:sz w:val="20"/>
        <w:szCs w:val="20"/>
      </w:rPr>
      <w:t>TEMPERATURE EFFECT ON THE ENCAPSULATION OF THE DRUG TETRACAINE HYDROCHLORIDE IN DIFFERENT CYCLODEXTRINS</w:t>
    </w:r>
  </w:p>
  <w:p w14:paraId="652E6EB3" w14:textId="1238BF32"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0133736"/>
    <w:multiLevelType w:val="hybridMultilevel"/>
    <w:tmpl w:val="E59C44AA"/>
    <w:lvl w:ilvl="0" w:tplc="BC12A71E">
      <w:start w:val="1"/>
      <w:numFmt w:val="decimal"/>
      <w:lvlText w:val="%1."/>
      <w:lvlJc w:val="left"/>
      <w:pPr>
        <w:ind w:left="644" w:hanging="360"/>
      </w:pPr>
      <w:rPr>
        <w:color w:val="auto"/>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566DF"/>
    <w:rsid w:val="00070690"/>
    <w:rsid w:val="000773E2"/>
    <w:rsid w:val="00084936"/>
    <w:rsid w:val="000944A8"/>
    <w:rsid w:val="000C37EC"/>
    <w:rsid w:val="000C49FF"/>
    <w:rsid w:val="000C5261"/>
    <w:rsid w:val="000E5AF1"/>
    <w:rsid w:val="000F77DA"/>
    <w:rsid w:val="0010025E"/>
    <w:rsid w:val="001068E8"/>
    <w:rsid w:val="001179D8"/>
    <w:rsid w:val="00117BCD"/>
    <w:rsid w:val="001431E1"/>
    <w:rsid w:val="001644F9"/>
    <w:rsid w:val="00174FCC"/>
    <w:rsid w:val="001B0F9D"/>
    <w:rsid w:val="001D035A"/>
    <w:rsid w:val="001D3855"/>
    <w:rsid w:val="001D6F14"/>
    <w:rsid w:val="001D6F2C"/>
    <w:rsid w:val="001E337E"/>
    <w:rsid w:val="001F72B9"/>
    <w:rsid w:val="002004F5"/>
    <w:rsid w:val="00221D39"/>
    <w:rsid w:val="002752F0"/>
    <w:rsid w:val="002867F0"/>
    <w:rsid w:val="0029079C"/>
    <w:rsid w:val="002A4D7E"/>
    <w:rsid w:val="002B188F"/>
    <w:rsid w:val="002B3BD8"/>
    <w:rsid w:val="002D2DFC"/>
    <w:rsid w:val="002F3F91"/>
    <w:rsid w:val="00303C7E"/>
    <w:rsid w:val="00304767"/>
    <w:rsid w:val="00304B34"/>
    <w:rsid w:val="00312C0E"/>
    <w:rsid w:val="00317FE6"/>
    <w:rsid w:val="003369D1"/>
    <w:rsid w:val="00345738"/>
    <w:rsid w:val="00361BAF"/>
    <w:rsid w:val="00367D1F"/>
    <w:rsid w:val="00373A9B"/>
    <w:rsid w:val="0038323C"/>
    <w:rsid w:val="00383C16"/>
    <w:rsid w:val="00383F26"/>
    <w:rsid w:val="0039005B"/>
    <w:rsid w:val="003A1A35"/>
    <w:rsid w:val="003B0AC0"/>
    <w:rsid w:val="003D585B"/>
    <w:rsid w:val="003E4390"/>
    <w:rsid w:val="003E7DA6"/>
    <w:rsid w:val="003F12FF"/>
    <w:rsid w:val="00420074"/>
    <w:rsid w:val="00474ABC"/>
    <w:rsid w:val="004760D4"/>
    <w:rsid w:val="00494C46"/>
    <w:rsid w:val="004A1191"/>
    <w:rsid w:val="004A12DD"/>
    <w:rsid w:val="004A578A"/>
    <w:rsid w:val="004B43FF"/>
    <w:rsid w:val="004E20CB"/>
    <w:rsid w:val="00502641"/>
    <w:rsid w:val="00510BA6"/>
    <w:rsid w:val="00534441"/>
    <w:rsid w:val="00540A4B"/>
    <w:rsid w:val="00542CFC"/>
    <w:rsid w:val="00545363"/>
    <w:rsid w:val="00552A44"/>
    <w:rsid w:val="005675AA"/>
    <w:rsid w:val="00567D9E"/>
    <w:rsid w:val="005706B3"/>
    <w:rsid w:val="0057362F"/>
    <w:rsid w:val="00583C85"/>
    <w:rsid w:val="00584156"/>
    <w:rsid w:val="00590E9D"/>
    <w:rsid w:val="005B09FF"/>
    <w:rsid w:val="005B4A21"/>
    <w:rsid w:val="005C6768"/>
    <w:rsid w:val="005D3BF9"/>
    <w:rsid w:val="005F2748"/>
    <w:rsid w:val="00624C7C"/>
    <w:rsid w:val="0063144D"/>
    <w:rsid w:val="00634C25"/>
    <w:rsid w:val="006416AB"/>
    <w:rsid w:val="00656EBD"/>
    <w:rsid w:val="00672075"/>
    <w:rsid w:val="006768E9"/>
    <w:rsid w:val="00687982"/>
    <w:rsid w:val="00692890"/>
    <w:rsid w:val="0069547D"/>
    <w:rsid w:val="00695D0E"/>
    <w:rsid w:val="00697C01"/>
    <w:rsid w:val="006A3A0F"/>
    <w:rsid w:val="006B3EC8"/>
    <w:rsid w:val="006D695E"/>
    <w:rsid w:val="00725A6A"/>
    <w:rsid w:val="0072774E"/>
    <w:rsid w:val="00727D9A"/>
    <w:rsid w:val="00730CB3"/>
    <w:rsid w:val="00735444"/>
    <w:rsid w:val="00746A35"/>
    <w:rsid w:val="007703FE"/>
    <w:rsid w:val="007859BE"/>
    <w:rsid w:val="007869E3"/>
    <w:rsid w:val="0078735F"/>
    <w:rsid w:val="007943F3"/>
    <w:rsid w:val="007A738C"/>
    <w:rsid w:val="007B1349"/>
    <w:rsid w:val="007B550E"/>
    <w:rsid w:val="007C42F6"/>
    <w:rsid w:val="007D4E4F"/>
    <w:rsid w:val="007E25BD"/>
    <w:rsid w:val="007E77E1"/>
    <w:rsid w:val="007F4ECC"/>
    <w:rsid w:val="00801E18"/>
    <w:rsid w:val="008023D0"/>
    <w:rsid w:val="00802C35"/>
    <w:rsid w:val="00816289"/>
    <w:rsid w:val="0082181A"/>
    <w:rsid w:val="00850EDD"/>
    <w:rsid w:val="00861FE2"/>
    <w:rsid w:val="008642CD"/>
    <w:rsid w:val="0086622B"/>
    <w:rsid w:val="00875DC0"/>
    <w:rsid w:val="008B02C7"/>
    <w:rsid w:val="008B470E"/>
    <w:rsid w:val="008C14D6"/>
    <w:rsid w:val="008E1211"/>
    <w:rsid w:val="008E5BBF"/>
    <w:rsid w:val="008E6968"/>
    <w:rsid w:val="008F2DC2"/>
    <w:rsid w:val="008F4779"/>
    <w:rsid w:val="008F5769"/>
    <w:rsid w:val="009110FB"/>
    <w:rsid w:val="00917637"/>
    <w:rsid w:val="00976FE7"/>
    <w:rsid w:val="00986883"/>
    <w:rsid w:val="00992776"/>
    <w:rsid w:val="009D7875"/>
    <w:rsid w:val="00A140EE"/>
    <w:rsid w:val="00A14DB9"/>
    <w:rsid w:val="00A21B92"/>
    <w:rsid w:val="00A33084"/>
    <w:rsid w:val="00A4762A"/>
    <w:rsid w:val="00A64C1D"/>
    <w:rsid w:val="00A74A7E"/>
    <w:rsid w:val="00A87399"/>
    <w:rsid w:val="00AD1B8A"/>
    <w:rsid w:val="00AD76AF"/>
    <w:rsid w:val="00AE713F"/>
    <w:rsid w:val="00B10B90"/>
    <w:rsid w:val="00B1121C"/>
    <w:rsid w:val="00B21436"/>
    <w:rsid w:val="00B25B65"/>
    <w:rsid w:val="00B2770A"/>
    <w:rsid w:val="00B314AD"/>
    <w:rsid w:val="00B36193"/>
    <w:rsid w:val="00B7255A"/>
    <w:rsid w:val="00B75BF6"/>
    <w:rsid w:val="00B9349A"/>
    <w:rsid w:val="00B95E42"/>
    <w:rsid w:val="00BA1F7B"/>
    <w:rsid w:val="00BB223B"/>
    <w:rsid w:val="00BB5171"/>
    <w:rsid w:val="00BB58AF"/>
    <w:rsid w:val="00BD2480"/>
    <w:rsid w:val="00BE2D36"/>
    <w:rsid w:val="00BE7C30"/>
    <w:rsid w:val="00C055BF"/>
    <w:rsid w:val="00C0756D"/>
    <w:rsid w:val="00C141CE"/>
    <w:rsid w:val="00C2226A"/>
    <w:rsid w:val="00C54EBB"/>
    <w:rsid w:val="00C601E2"/>
    <w:rsid w:val="00C73CE7"/>
    <w:rsid w:val="00C80273"/>
    <w:rsid w:val="00C943DD"/>
    <w:rsid w:val="00C94D92"/>
    <w:rsid w:val="00C97340"/>
    <w:rsid w:val="00CA2E2F"/>
    <w:rsid w:val="00CA513F"/>
    <w:rsid w:val="00CB2AE7"/>
    <w:rsid w:val="00CC6D67"/>
    <w:rsid w:val="00CD105B"/>
    <w:rsid w:val="00CD41CA"/>
    <w:rsid w:val="00CF05FF"/>
    <w:rsid w:val="00D33D1A"/>
    <w:rsid w:val="00D340BB"/>
    <w:rsid w:val="00D348AF"/>
    <w:rsid w:val="00D505D5"/>
    <w:rsid w:val="00D63C28"/>
    <w:rsid w:val="00D66C25"/>
    <w:rsid w:val="00D75B35"/>
    <w:rsid w:val="00D76E09"/>
    <w:rsid w:val="00D9736F"/>
    <w:rsid w:val="00D97773"/>
    <w:rsid w:val="00D9792A"/>
    <w:rsid w:val="00DA1AA0"/>
    <w:rsid w:val="00DD377F"/>
    <w:rsid w:val="00DD5279"/>
    <w:rsid w:val="00DF6475"/>
    <w:rsid w:val="00E17493"/>
    <w:rsid w:val="00E229C4"/>
    <w:rsid w:val="00E25547"/>
    <w:rsid w:val="00E2773B"/>
    <w:rsid w:val="00E3287E"/>
    <w:rsid w:val="00E36297"/>
    <w:rsid w:val="00E66197"/>
    <w:rsid w:val="00E9669B"/>
    <w:rsid w:val="00EB240F"/>
    <w:rsid w:val="00EB5BA5"/>
    <w:rsid w:val="00EB7152"/>
    <w:rsid w:val="00EB76DD"/>
    <w:rsid w:val="00EB7D5C"/>
    <w:rsid w:val="00EF4195"/>
    <w:rsid w:val="00F202C3"/>
    <w:rsid w:val="00F23D94"/>
    <w:rsid w:val="00F307D5"/>
    <w:rsid w:val="00F31093"/>
    <w:rsid w:val="00F412AF"/>
    <w:rsid w:val="00F41DAF"/>
    <w:rsid w:val="00F43667"/>
    <w:rsid w:val="00F447A7"/>
    <w:rsid w:val="00F467A2"/>
    <w:rsid w:val="00F50B4D"/>
    <w:rsid w:val="00F567E6"/>
    <w:rsid w:val="00F60756"/>
    <w:rsid w:val="00F62342"/>
    <w:rsid w:val="00F66C25"/>
    <w:rsid w:val="00F7357E"/>
    <w:rsid w:val="00F743E1"/>
    <w:rsid w:val="00F775A1"/>
    <w:rsid w:val="00FB4C59"/>
    <w:rsid w:val="00FB4F34"/>
    <w:rsid w:val="00FC2F16"/>
    <w:rsid w:val="00FE0572"/>
    <w:rsid w:val="00FE765F"/>
    <w:rsid w:val="00FF550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uiPriority w:val="99"/>
    <w:unhideWhenUsed/>
    <w:rsid w:val="00DF6475"/>
    <w:rPr>
      <w:color w:val="0000FF"/>
      <w:u w:val="single"/>
    </w:rPr>
  </w:style>
  <w:style w:type="paragraph" w:customStyle="1" w:styleId="Els-history">
    <w:name w:val="Els-history"/>
    <w:next w:val="Normal"/>
    <w:rsid w:val="00DF6475"/>
    <w:pPr>
      <w:spacing w:after="400" w:line="200" w:lineRule="exact"/>
      <w:jc w:val="center"/>
    </w:pPr>
    <w:rPr>
      <w:rFonts w:ascii="Times New Roman" w:eastAsia="Times New Roman" w:hAnsi="Times New Roman"/>
      <w:noProof/>
      <w:sz w:val="16"/>
      <w:lang w:val="en-GB" w:eastAsia="en-US"/>
    </w:rPr>
  </w:style>
  <w:style w:type="character" w:styleId="HTMLCite">
    <w:name w:val="HTML Cite"/>
    <w:uiPriority w:val="99"/>
    <w:semiHidden/>
    <w:unhideWhenUsed/>
    <w:rsid w:val="00EB7D5C"/>
    <w:rPr>
      <w:i/>
      <w:iCs/>
    </w:rPr>
  </w:style>
  <w:style w:type="character" w:customStyle="1" w:styleId="hlfld-contribauthor">
    <w:name w:val="hlfld-contribauthor"/>
    <w:basedOn w:val="DefaultParagraphFont"/>
    <w:rsid w:val="00EB7D5C"/>
  </w:style>
  <w:style w:type="character" w:customStyle="1" w:styleId="seperator">
    <w:name w:val="seperator"/>
    <w:basedOn w:val="DefaultParagraphFont"/>
    <w:rsid w:val="00EB7D5C"/>
  </w:style>
  <w:style w:type="character" w:customStyle="1" w:styleId="seriestitle">
    <w:name w:val="seriestitle"/>
    <w:basedOn w:val="DefaultParagraphFont"/>
    <w:rsid w:val="00EB7D5C"/>
  </w:style>
  <w:style w:type="character" w:customStyle="1" w:styleId="volume">
    <w:name w:val="volume"/>
    <w:basedOn w:val="DefaultParagraphFont"/>
    <w:rsid w:val="00EB7D5C"/>
  </w:style>
  <w:style w:type="character" w:customStyle="1" w:styleId="issue">
    <w:name w:val="issue"/>
    <w:basedOn w:val="DefaultParagraphFont"/>
    <w:rsid w:val="00EB7D5C"/>
  </w:style>
  <w:style w:type="character" w:customStyle="1" w:styleId="page-range">
    <w:name w:val="page-range"/>
    <w:basedOn w:val="DefaultParagraphFont"/>
    <w:rsid w:val="00EB7D5C"/>
  </w:style>
  <w:style w:type="character" w:customStyle="1" w:styleId="text">
    <w:name w:val="text"/>
    <w:basedOn w:val="DefaultParagraphFont"/>
    <w:rsid w:val="00EB7D5C"/>
  </w:style>
  <w:style w:type="character" w:customStyle="1" w:styleId="title-text">
    <w:name w:val="title-text"/>
    <w:basedOn w:val="DefaultParagraphFont"/>
    <w:rsid w:val="00EB7D5C"/>
  </w:style>
  <w:style w:type="paragraph" w:customStyle="1" w:styleId="Els-Title">
    <w:name w:val="Els-Title"/>
    <w:next w:val="Normal"/>
    <w:rsid w:val="00EB7D5C"/>
    <w:pPr>
      <w:suppressAutoHyphens/>
      <w:spacing w:before="880" w:after="240" w:line="400" w:lineRule="exact"/>
      <w:jc w:val="center"/>
    </w:pPr>
    <w:rPr>
      <w:rFonts w:ascii="Times New Roman" w:eastAsia="Times New Roman" w:hAnsi="Times New Roman"/>
      <w:sz w:val="34"/>
      <w:lang w:val="en-US" w:eastAsia="en-US"/>
    </w:rPr>
  </w:style>
  <w:style w:type="character" w:styleId="PageNumber">
    <w:name w:val="page number"/>
    <w:basedOn w:val="DefaultParagraphFont"/>
    <w:rsid w:val="00EB7D5C"/>
  </w:style>
  <w:style w:type="character" w:customStyle="1" w:styleId="cit">
    <w:name w:val="cit"/>
    <w:basedOn w:val="DefaultParagraphFont"/>
    <w:rsid w:val="00EB7D5C"/>
  </w:style>
  <w:style w:type="character" w:customStyle="1" w:styleId="page-numbers-info">
    <w:name w:val="page-numbers-info"/>
    <w:basedOn w:val="DefaultParagraphFont"/>
    <w:rsid w:val="00EB7D5C"/>
  </w:style>
  <w:style w:type="character" w:customStyle="1" w:styleId="cit-volume">
    <w:name w:val="cit-volume"/>
    <w:basedOn w:val="DefaultParagraphFont"/>
    <w:rsid w:val="00EB7D5C"/>
  </w:style>
  <w:style w:type="character" w:customStyle="1" w:styleId="cit-issue">
    <w:name w:val="cit-issue"/>
    <w:basedOn w:val="DefaultParagraphFont"/>
    <w:rsid w:val="00EB7D5C"/>
  </w:style>
  <w:style w:type="character" w:customStyle="1" w:styleId="authors-list-item">
    <w:name w:val="authors-list-item"/>
    <w:basedOn w:val="DefaultParagraphFont"/>
    <w:rsid w:val="00EB7D5C"/>
  </w:style>
  <w:style w:type="character" w:customStyle="1" w:styleId="comma">
    <w:name w:val="comma"/>
    <w:basedOn w:val="DefaultParagraphFont"/>
    <w:rsid w:val="00EB7D5C"/>
  </w:style>
  <w:style w:type="character" w:customStyle="1" w:styleId="bibliographic-informationvalue">
    <w:name w:val="bibliographic-information__value"/>
    <w:basedOn w:val="DefaultParagraphFont"/>
    <w:rsid w:val="00EB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hyperlink" Target="https://www.sciencedirect.com/science/article/abs/pii/S0963996910000773" TargetMode="Externa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footer" Target="footer7.xml"/><Relationship Id="rId53" Type="http://schemas.openxmlformats.org/officeDocument/2006/relationships/header" Target="header3.xml"/><Relationship Id="rId58" Type="http://schemas.openxmlformats.org/officeDocument/2006/relationships/hyperlink" Target="https://www.sciencedirect.com/science/article/pii/S0365059619301734" TargetMode="Externa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sciencedirect.com/science/article/abs/pii/S0963996910000773" TargetMode="Externa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1.png"/><Relationship Id="rId64" Type="http://schemas.openxmlformats.org/officeDocument/2006/relationships/hyperlink" Target="https://www.sciencedirect.com/science/article/abs/pii/S0731708514001137?via%3Dihub" TargetMode="External"/><Relationship Id="rId69"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footer" Target="footer8.xml"/><Relationship Id="rId59" Type="http://schemas.openxmlformats.org/officeDocument/2006/relationships/hyperlink" Target="https://www.sciencedirect.com/science/article/pii/S0365059619301734" TargetMode="External"/><Relationship Id="rId67"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hyperlink" Target="https://www.sciencedirect.com/science/article/abs/pii/S096399691000077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5.xml"/><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image" Target="media/image17.png"/><Relationship Id="rId52" Type="http://schemas.openxmlformats.org/officeDocument/2006/relationships/footer" Target="footer10.xml"/><Relationship Id="rId60" Type="http://schemas.openxmlformats.org/officeDocument/2006/relationships/hyperlink" Target="https://www.sciencedirect.com/science/article/abs/pii/S0963996910000773" TargetMode="External"/><Relationship Id="rId6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4.wmf"/><Relationship Id="rId34" Type="http://schemas.openxmlformats.org/officeDocument/2006/relationships/oleObject" Target="embeddings/oleObject9.bin"/><Relationship Id="rId50" Type="http://schemas.openxmlformats.org/officeDocument/2006/relationships/oleObject" Target="embeddings/oleObject13.bin"/><Relationship Id="rId5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4267</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6</cp:revision>
  <dcterms:created xsi:type="dcterms:W3CDTF">2022-02-23T02:48:00Z</dcterms:created>
  <dcterms:modified xsi:type="dcterms:W3CDTF">2022-02-23T03:11:00Z</dcterms:modified>
</cp:coreProperties>
</file>