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458D94A3" w:rsidR="006768E9" w:rsidRPr="00F447A7" w:rsidRDefault="00C80638" w:rsidP="00C80638">
      <w:pPr>
        <w:spacing w:after="0"/>
        <w:jc w:val="center"/>
        <w:rPr>
          <w:rFonts w:ascii="Times New Roman" w:hAnsi="Times New Roman"/>
          <w:noProof/>
          <w:sz w:val="28"/>
          <w:szCs w:val="28"/>
          <w:lang w:bidi="ar-SA"/>
        </w:rPr>
      </w:pPr>
      <w:r w:rsidRPr="00C80638">
        <w:rPr>
          <w:rFonts w:ascii="Times New Roman" w:hAnsi="Times New Roman"/>
          <w:noProof/>
          <w:sz w:val="28"/>
          <w:szCs w:val="28"/>
          <w:lang w:bidi="ar-SA"/>
        </w:rPr>
        <w:t>MEASUREMENT OF SOLVENT PROPERTIES USING KAMLET-TAFT</w:t>
      </w:r>
      <w:r w:rsidR="007654B2">
        <w:rPr>
          <w:rFonts w:ascii="Times New Roman" w:hAnsi="Times New Roman"/>
          <w:noProof/>
          <w:sz w:val="28"/>
          <w:szCs w:val="28"/>
          <w:lang w:bidi="ar-SA"/>
        </w:rPr>
        <w:t xml:space="preserve"> </w:t>
      </w:r>
      <w:r w:rsidRPr="00C80638">
        <w:rPr>
          <w:rFonts w:ascii="Times New Roman" w:hAnsi="Times New Roman"/>
          <w:noProof/>
          <w:sz w:val="28"/>
          <w:szCs w:val="28"/>
          <w:lang w:bidi="ar-SA"/>
        </w:rPr>
        <w:t>APPROACH FOR APPLICATION IN SYNTHESIS</w:t>
      </w:r>
    </w:p>
    <w:p w14:paraId="349D3987" w14:textId="77777777" w:rsidR="006768E9" w:rsidRPr="00F447A7" w:rsidRDefault="006768E9" w:rsidP="002B412F">
      <w:pPr>
        <w:spacing w:after="0"/>
        <w:jc w:val="center"/>
        <w:rPr>
          <w:rFonts w:ascii="Times New Roman" w:hAnsi="Times New Roman"/>
          <w:noProof/>
          <w:sz w:val="24"/>
          <w:szCs w:val="24"/>
          <w:lang w:bidi="ar-SA"/>
        </w:rPr>
      </w:pPr>
    </w:p>
    <w:p w14:paraId="0EB4D2CD" w14:textId="3BB10812" w:rsidR="006768E9" w:rsidRPr="007654B2" w:rsidRDefault="00C80638" w:rsidP="007654B2">
      <w:pPr>
        <w:spacing w:after="0"/>
        <w:jc w:val="center"/>
        <w:rPr>
          <w:rFonts w:ascii="Times New Roman" w:hAnsi="Times New Roman"/>
          <w:bCs/>
          <w:noProof/>
          <w:sz w:val="24"/>
          <w:szCs w:val="24"/>
          <w:lang w:bidi="ar-SA"/>
        </w:rPr>
      </w:pPr>
      <w:r w:rsidRPr="00C80638">
        <w:rPr>
          <w:rFonts w:ascii="Times New Roman" w:hAnsi="Times New Roman"/>
          <w:noProof/>
          <w:sz w:val="24"/>
          <w:szCs w:val="24"/>
          <w:lang w:bidi="ar-SA"/>
        </w:rPr>
        <w:t>(</w:t>
      </w:r>
      <w:r w:rsidRPr="00C80638">
        <w:rPr>
          <w:rFonts w:ascii="Times New Roman" w:hAnsi="Times New Roman"/>
          <w:bCs/>
          <w:noProof/>
          <w:sz w:val="24"/>
          <w:szCs w:val="24"/>
          <w:lang w:bidi="ar-SA"/>
        </w:rPr>
        <w:t>Pengukuran Sifat Pelarut Menggunakan Pendekatan Kamlet-Taft untuk Penggunaan dalam Sintesis</w:t>
      </w:r>
      <w:r w:rsidRPr="00C80638">
        <w:rPr>
          <w:rFonts w:ascii="Times New Roman" w:hAnsi="Times New Roman"/>
          <w:noProof/>
          <w:sz w:val="24"/>
          <w:szCs w:val="24"/>
          <w:lang w:bidi="ar-SA"/>
        </w:rPr>
        <w:t>)</w:t>
      </w:r>
    </w:p>
    <w:p w14:paraId="4A07C562" w14:textId="67FE700D" w:rsidR="006768E9" w:rsidRDefault="006768E9" w:rsidP="002B412F">
      <w:pPr>
        <w:spacing w:after="0"/>
        <w:jc w:val="center"/>
        <w:rPr>
          <w:rFonts w:ascii="Times New Roman" w:hAnsi="Times New Roman"/>
          <w:noProof/>
          <w:sz w:val="20"/>
          <w:szCs w:val="20"/>
          <w:lang w:bidi="ar-SA"/>
        </w:rPr>
      </w:pPr>
    </w:p>
    <w:p w14:paraId="35624265" w14:textId="77777777" w:rsidR="00642EA8" w:rsidRPr="00642EA8" w:rsidRDefault="00642EA8" w:rsidP="00642EA8">
      <w:pPr>
        <w:spacing w:after="0"/>
        <w:jc w:val="center"/>
        <w:rPr>
          <w:rFonts w:ascii="Times New Roman" w:hAnsi="Times New Roman"/>
          <w:noProof/>
          <w:sz w:val="20"/>
          <w:szCs w:val="20"/>
          <w:lang w:bidi="ar-SA"/>
        </w:rPr>
      </w:pPr>
      <w:r w:rsidRPr="00642EA8">
        <w:rPr>
          <w:rFonts w:ascii="Times New Roman" w:hAnsi="Times New Roman"/>
          <w:noProof/>
          <w:sz w:val="20"/>
          <w:szCs w:val="20"/>
          <w:lang w:bidi="ar-SA"/>
        </w:rPr>
        <w:t>Tariqul Islam</w:t>
      </w:r>
      <w:r w:rsidRPr="00642EA8">
        <w:rPr>
          <w:rFonts w:ascii="Times New Roman" w:hAnsi="Times New Roman"/>
          <w:noProof/>
          <w:sz w:val="20"/>
          <w:szCs w:val="20"/>
          <w:vertAlign w:val="superscript"/>
          <w:lang w:bidi="ar-SA"/>
        </w:rPr>
        <w:t>1</w:t>
      </w:r>
      <w:r w:rsidRPr="00642EA8">
        <w:rPr>
          <w:rFonts w:ascii="Times New Roman" w:hAnsi="Times New Roman"/>
          <w:noProof/>
          <w:sz w:val="20"/>
          <w:szCs w:val="20"/>
          <w:lang w:bidi="ar-SA"/>
        </w:rPr>
        <w:t>, A. B. M. Helal Uddin</w:t>
      </w:r>
      <w:r w:rsidRPr="00642EA8">
        <w:rPr>
          <w:rFonts w:ascii="Times New Roman" w:hAnsi="Times New Roman"/>
          <w:noProof/>
          <w:sz w:val="20"/>
          <w:szCs w:val="20"/>
          <w:vertAlign w:val="superscript"/>
          <w:lang w:bidi="ar-SA"/>
        </w:rPr>
        <w:t>1</w:t>
      </w:r>
      <w:r w:rsidRPr="00642EA8">
        <w:rPr>
          <w:rFonts w:ascii="Times New Roman" w:hAnsi="Times New Roman"/>
          <w:noProof/>
          <w:sz w:val="20"/>
          <w:szCs w:val="20"/>
          <w:lang w:bidi="ar-SA"/>
        </w:rPr>
        <w:t>, Sahena Ferdosh</w:t>
      </w:r>
      <w:r w:rsidRPr="00642EA8">
        <w:rPr>
          <w:rFonts w:ascii="Times New Roman" w:hAnsi="Times New Roman"/>
          <w:noProof/>
          <w:sz w:val="20"/>
          <w:szCs w:val="20"/>
          <w:vertAlign w:val="superscript"/>
          <w:lang w:bidi="ar-SA"/>
        </w:rPr>
        <w:t>2</w:t>
      </w:r>
      <w:r w:rsidRPr="00642EA8">
        <w:rPr>
          <w:rFonts w:ascii="Times New Roman" w:hAnsi="Times New Roman"/>
          <w:noProof/>
          <w:sz w:val="20"/>
          <w:szCs w:val="20"/>
          <w:lang w:bidi="ar-SA"/>
        </w:rPr>
        <w:t>, Md. Zaidul Islam Sarker</w:t>
      </w:r>
      <w:r w:rsidRPr="00642EA8">
        <w:rPr>
          <w:rFonts w:ascii="Times New Roman" w:hAnsi="Times New Roman"/>
          <w:noProof/>
          <w:sz w:val="20"/>
          <w:szCs w:val="20"/>
          <w:vertAlign w:val="superscript"/>
          <w:lang w:bidi="ar-SA"/>
        </w:rPr>
        <w:t>1,3</w:t>
      </w:r>
      <w:r w:rsidRPr="007654B2">
        <w:rPr>
          <w:rFonts w:ascii="Times New Roman" w:hAnsi="Times New Roman"/>
          <w:noProof/>
          <w:sz w:val="20"/>
          <w:szCs w:val="20"/>
          <w:lang w:bidi="ar-SA"/>
        </w:rPr>
        <w:t>*</w:t>
      </w:r>
    </w:p>
    <w:p w14:paraId="271D9823" w14:textId="77777777" w:rsidR="00642EA8" w:rsidRPr="007654B2" w:rsidRDefault="00642EA8" w:rsidP="002B412F">
      <w:pPr>
        <w:spacing w:after="0"/>
        <w:jc w:val="center"/>
        <w:rPr>
          <w:rFonts w:ascii="Times New Roman" w:hAnsi="Times New Roman"/>
          <w:noProof/>
          <w:sz w:val="18"/>
          <w:szCs w:val="18"/>
          <w:lang w:bidi="ar-SA"/>
        </w:rPr>
      </w:pPr>
    </w:p>
    <w:p w14:paraId="000036EC" w14:textId="0EC4A76F"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1</w:t>
      </w:r>
      <w:r w:rsidRPr="007654B2">
        <w:rPr>
          <w:rFonts w:ascii="Times New Roman" w:hAnsi="Times New Roman"/>
          <w:i/>
          <w:noProof/>
          <w:sz w:val="18"/>
          <w:szCs w:val="18"/>
          <w:lang w:bidi="ar-SA"/>
        </w:rPr>
        <w:t>Faculty of Pharmacy</w:t>
      </w:r>
    </w:p>
    <w:p w14:paraId="0FBD806F" w14:textId="30740686"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2</w:t>
      </w:r>
      <w:r w:rsidRPr="007654B2">
        <w:rPr>
          <w:rFonts w:ascii="Times New Roman" w:hAnsi="Times New Roman"/>
          <w:i/>
          <w:noProof/>
          <w:sz w:val="18"/>
          <w:szCs w:val="18"/>
          <w:lang w:bidi="ar-SA"/>
        </w:rPr>
        <w:t>Faculty of Science</w:t>
      </w:r>
    </w:p>
    <w:p w14:paraId="73F4CD8E" w14:textId="77777777" w:rsidR="00C80638" w:rsidRPr="007654B2" w:rsidRDefault="00C80638" w:rsidP="00C80638">
      <w:pPr>
        <w:spacing w:after="0"/>
        <w:jc w:val="center"/>
        <w:rPr>
          <w:rFonts w:ascii="Times New Roman" w:hAnsi="Times New Roman"/>
          <w:b/>
          <w:i/>
          <w:noProof/>
          <w:sz w:val="18"/>
          <w:szCs w:val="18"/>
          <w:lang w:bidi="ar-SA"/>
        </w:rPr>
      </w:pPr>
      <w:r w:rsidRPr="007654B2">
        <w:rPr>
          <w:rFonts w:ascii="Times New Roman" w:hAnsi="Times New Roman"/>
          <w:i/>
          <w:noProof/>
          <w:sz w:val="18"/>
          <w:szCs w:val="18"/>
          <w:lang w:bidi="ar-SA"/>
        </w:rPr>
        <w:t>International Islamic University Malaysia, 25200 Kuantan, Pahang, Malaysia</w:t>
      </w:r>
      <w:r w:rsidRPr="007654B2">
        <w:rPr>
          <w:rFonts w:ascii="Times New Roman" w:hAnsi="Times New Roman"/>
          <w:b/>
          <w:i/>
          <w:noProof/>
          <w:sz w:val="18"/>
          <w:szCs w:val="18"/>
          <w:lang w:bidi="ar-SA"/>
        </w:rPr>
        <w:t xml:space="preserve"> </w:t>
      </w:r>
    </w:p>
    <w:p w14:paraId="117EB960" w14:textId="3F27B883"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vertAlign w:val="superscript"/>
          <w:lang w:bidi="ar-SA"/>
        </w:rPr>
        <w:t>3</w:t>
      </w:r>
      <w:r w:rsidR="007C1A57" w:rsidRPr="007C1A57">
        <w:rPr>
          <w:rFonts w:ascii="Times New Roman" w:hAnsi="Times New Roman"/>
          <w:i/>
          <w:noProof/>
          <w:sz w:val="18"/>
          <w:szCs w:val="18"/>
          <w:lang w:bidi="ar-SA"/>
        </w:rPr>
        <w:t>Program Lea</w:t>
      </w:r>
      <w:r w:rsidR="007C1A57">
        <w:rPr>
          <w:rFonts w:ascii="Times New Roman" w:hAnsi="Times New Roman"/>
          <w:i/>
          <w:noProof/>
          <w:sz w:val="18"/>
          <w:szCs w:val="18"/>
          <w:lang w:bidi="ar-SA"/>
        </w:rPr>
        <w:t xml:space="preserve">der of </w:t>
      </w:r>
      <w:r w:rsidRPr="007654B2">
        <w:rPr>
          <w:rFonts w:ascii="Times New Roman" w:hAnsi="Times New Roman"/>
          <w:i/>
          <w:noProof/>
          <w:sz w:val="18"/>
          <w:szCs w:val="18"/>
          <w:lang w:bidi="ar-SA"/>
        </w:rPr>
        <w:t>Food Science Program,</w:t>
      </w:r>
      <w:r w:rsidR="007C1A57">
        <w:rPr>
          <w:rFonts w:ascii="Times New Roman" w:hAnsi="Times New Roman"/>
          <w:i/>
          <w:noProof/>
          <w:sz w:val="18"/>
          <w:szCs w:val="18"/>
          <w:lang w:bidi="ar-SA"/>
        </w:rPr>
        <w:t xml:space="preserve"> Cooperative Research, Education and Extension Services,</w:t>
      </w:r>
      <w:r w:rsidRPr="007654B2">
        <w:rPr>
          <w:rFonts w:ascii="Times New Roman" w:hAnsi="Times New Roman"/>
          <w:i/>
          <w:noProof/>
          <w:sz w:val="18"/>
          <w:szCs w:val="18"/>
          <w:lang w:bidi="ar-SA"/>
        </w:rPr>
        <w:t xml:space="preserve"> </w:t>
      </w:r>
    </w:p>
    <w:p w14:paraId="459A43DC" w14:textId="77777777"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lang w:bidi="ar-SA"/>
        </w:rPr>
        <w:t>Northern Marianas College, 501250, Saipan MP 96950, USA</w:t>
      </w:r>
    </w:p>
    <w:p w14:paraId="4A2A1A4D" w14:textId="77777777" w:rsidR="00C80638" w:rsidRPr="007654B2" w:rsidRDefault="00C80638" w:rsidP="00C80638">
      <w:pPr>
        <w:spacing w:after="0"/>
        <w:jc w:val="center"/>
        <w:rPr>
          <w:rFonts w:ascii="Times New Roman" w:hAnsi="Times New Roman"/>
          <w:b/>
          <w:noProof/>
          <w:sz w:val="18"/>
          <w:szCs w:val="18"/>
          <w:lang w:bidi="ar-SA"/>
        </w:rPr>
      </w:pPr>
    </w:p>
    <w:p w14:paraId="4C3FCB79" w14:textId="3B36FF65" w:rsidR="00C80638" w:rsidRPr="007654B2" w:rsidRDefault="00C80638" w:rsidP="00C80638">
      <w:pPr>
        <w:spacing w:after="0"/>
        <w:jc w:val="center"/>
        <w:rPr>
          <w:rFonts w:ascii="Times New Roman" w:hAnsi="Times New Roman"/>
          <w:i/>
          <w:noProof/>
          <w:sz w:val="18"/>
          <w:szCs w:val="18"/>
          <w:lang w:bidi="ar-SA"/>
        </w:rPr>
      </w:pPr>
      <w:r w:rsidRPr="007654B2">
        <w:rPr>
          <w:rFonts w:ascii="Times New Roman" w:hAnsi="Times New Roman"/>
          <w:i/>
          <w:noProof/>
          <w:sz w:val="18"/>
          <w:szCs w:val="18"/>
          <w:lang w:bidi="ar-SA"/>
        </w:rPr>
        <w:t>*Corresponding author:</w:t>
      </w:r>
      <w:r w:rsidR="007654B2">
        <w:rPr>
          <w:rFonts w:ascii="Times New Roman" w:hAnsi="Times New Roman"/>
          <w:i/>
          <w:noProof/>
          <w:sz w:val="18"/>
          <w:szCs w:val="18"/>
          <w:lang w:bidi="ar-SA"/>
        </w:rPr>
        <w:t xml:space="preserve">  </w:t>
      </w:r>
      <w:r w:rsidRPr="007654B2">
        <w:rPr>
          <w:rFonts w:ascii="Times New Roman" w:hAnsi="Times New Roman"/>
          <w:i/>
          <w:noProof/>
          <w:sz w:val="18"/>
          <w:szCs w:val="18"/>
          <w:lang w:bidi="ar-SA"/>
        </w:rPr>
        <w:t>mdzaidul.sarker@marianas.edu</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22465C9" w:rsidR="00BA1F7B" w:rsidRDefault="00BA1F7B" w:rsidP="002B412F">
      <w:pPr>
        <w:spacing w:after="0"/>
        <w:jc w:val="center"/>
        <w:rPr>
          <w:rFonts w:ascii="Times New Roman" w:hAnsi="Times New Roman"/>
          <w:noProof/>
          <w:sz w:val="18"/>
          <w:szCs w:val="18"/>
          <w:lang w:bidi="ar-SA"/>
        </w:rPr>
      </w:pPr>
      <w:r w:rsidRPr="00C4098F">
        <w:rPr>
          <w:rFonts w:ascii="Times New Roman" w:hAnsi="Times New Roman"/>
          <w:noProof/>
          <w:sz w:val="18"/>
          <w:szCs w:val="18"/>
          <w:lang w:bidi="ar-SA"/>
        </w:rPr>
        <w:t xml:space="preserve">Received: </w:t>
      </w:r>
      <w:r w:rsidR="00C4098F" w:rsidRPr="00C4098F">
        <w:rPr>
          <w:rFonts w:ascii="Times New Roman" w:hAnsi="Times New Roman"/>
          <w:noProof/>
          <w:sz w:val="18"/>
          <w:szCs w:val="18"/>
          <w:lang w:bidi="ar-SA"/>
        </w:rPr>
        <w:t>31 August 2021</w:t>
      </w:r>
      <w:r w:rsidRPr="00C4098F">
        <w:rPr>
          <w:rFonts w:ascii="Times New Roman" w:hAnsi="Times New Roman"/>
          <w:noProof/>
          <w:sz w:val="18"/>
          <w:szCs w:val="18"/>
          <w:lang w:bidi="ar-SA"/>
        </w:rPr>
        <w:t xml:space="preserve">; Accepted: </w:t>
      </w:r>
      <w:r w:rsidR="00C4098F" w:rsidRPr="00C4098F">
        <w:rPr>
          <w:rFonts w:ascii="Times New Roman" w:hAnsi="Times New Roman"/>
          <w:noProof/>
          <w:sz w:val="18"/>
          <w:szCs w:val="18"/>
          <w:lang w:bidi="ar-SA"/>
        </w:rPr>
        <w:t>11 January 2022</w:t>
      </w:r>
      <w:r w:rsidR="00F82059" w:rsidRPr="00C4098F">
        <w:rPr>
          <w:rFonts w:ascii="Times New Roman" w:hAnsi="Times New Roman"/>
          <w:noProof/>
          <w:sz w:val="18"/>
          <w:szCs w:val="18"/>
          <w:lang w:bidi="ar-SA"/>
        </w:rPr>
        <w:t>; Published</w:t>
      </w:r>
      <w:r w:rsidR="00F82059" w:rsidRPr="00B32171">
        <w:rPr>
          <w:rFonts w:ascii="Times New Roman" w:hAnsi="Times New Roman"/>
          <w:noProof/>
          <w:sz w:val="18"/>
          <w:szCs w:val="18"/>
          <w:lang w:bidi="ar-SA"/>
        </w:rPr>
        <w:t>:</w:t>
      </w:r>
      <w:r w:rsidR="00F82059">
        <w:rPr>
          <w:rFonts w:ascii="Times New Roman" w:hAnsi="Times New Roman"/>
          <w:noProof/>
          <w:sz w:val="18"/>
          <w:szCs w:val="18"/>
          <w:lang w:bidi="ar-SA"/>
        </w:rPr>
        <w:t xml:space="preserve">  </w:t>
      </w:r>
      <w:r w:rsidR="00C4098F">
        <w:rPr>
          <w:rFonts w:ascii="Times New Roman" w:hAnsi="Times New Roman"/>
          <w:noProof/>
          <w:sz w:val="18"/>
          <w:szCs w:val="18"/>
          <w:lang w:bidi="ar-SA"/>
        </w:rPr>
        <w:t>xx February 2022</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64737ED0"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C70BC14" w14:textId="756172B9" w:rsidR="00C80638" w:rsidRPr="00C80638" w:rsidRDefault="00C80638" w:rsidP="00C80638">
      <w:pPr>
        <w:spacing w:after="0"/>
        <w:jc w:val="both"/>
        <w:rPr>
          <w:rFonts w:ascii="Times New Roman" w:hAnsi="Times New Roman"/>
          <w:noProof/>
          <w:sz w:val="18"/>
          <w:szCs w:val="18"/>
          <w:lang w:bidi="ar-SA"/>
        </w:rPr>
      </w:pPr>
      <w:r w:rsidRPr="00C80638">
        <w:rPr>
          <w:rFonts w:ascii="Times New Roman" w:hAnsi="Times New Roman"/>
          <w:noProof/>
          <w:sz w:val="18"/>
          <w:szCs w:val="18"/>
          <w:lang w:bidi="ar-SA"/>
        </w:rPr>
        <w:t>Solvents are an unavoidable part of pharmaceutical and chemical manufacturing/synthesis, most of them are toxic or hazardous. The study on toxic solvent replacement is ongoing over the world. Researchers are trying to overcome the hazardous issues that can be possible using the mixture of hydrogen bond donor (HBD) and hydrogen bond acceptor (HBA) solvent as a safe/recommended solvent mixture. This study present</w:t>
      </w:r>
      <w:r w:rsidR="007C1A57">
        <w:rPr>
          <w:rFonts w:ascii="Times New Roman" w:hAnsi="Times New Roman"/>
          <w:noProof/>
          <w:sz w:val="18"/>
          <w:szCs w:val="18"/>
          <w:lang w:bidi="ar-SA"/>
        </w:rPr>
        <w:t>s</w:t>
      </w:r>
      <w:r w:rsidRPr="00C80638">
        <w:rPr>
          <w:rFonts w:ascii="Times New Roman" w:hAnsi="Times New Roman"/>
          <w:noProof/>
          <w:sz w:val="18"/>
          <w:szCs w:val="18"/>
          <w:lang w:bidi="ar-SA"/>
        </w:rPr>
        <w:t xml:space="preserve"> the possibility for the replacement/limitation of dipolar aprotic solvent in drug synthesis </w:t>
      </w:r>
      <w:r w:rsidR="007C1A57">
        <w:rPr>
          <w:rFonts w:ascii="Times New Roman" w:hAnsi="Times New Roman"/>
          <w:noProof/>
          <w:sz w:val="18"/>
          <w:szCs w:val="18"/>
          <w:lang w:bidi="ar-SA"/>
        </w:rPr>
        <w:t>using</w:t>
      </w:r>
      <w:r w:rsidRPr="00C80638">
        <w:rPr>
          <w:rFonts w:ascii="Times New Roman" w:hAnsi="Times New Roman"/>
          <w:noProof/>
          <w:sz w:val="18"/>
          <w:szCs w:val="18"/>
          <w:lang w:bidi="ar-SA"/>
        </w:rPr>
        <w:t xml:space="preserve"> solvent-pair mixture where the Kamlet-Taft (KT) parameter work</w:t>
      </w:r>
      <w:r w:rsidR="007C1A57">
        <w:rPr>
          <w:rFonts w:ascii="Times New Roman" w:hAnsi="Times New Roman"/>
          <w:noProof/>
          <w:sz w:val="18"/>
          <w:szCs w:val="18"/>
          <w:lang w:bidi="ar-SA"/>
        </w:rPr>
        <w:t>s</w:t>
      </w:r>
      <w:r w:rsidRPr="00C80638">
        <w:rPr>
          <w:rFonts w:ascii="Times New Roman" w:hAnsi="Times New Roman"/>
          <w:noProof/>
          <w:sz w:val="18"/>
          <w:szCs w:val="18"/>
          <w:lang w:bidi="ar-SA"/>
        </w:rPr>
        <w:t xml:space="preserve"> as a tool to alternate the uses of such types of toxic solvents. It has been simplified here among the many methods and equations of the KT approach. The polarity (π*), basicity (β), and acidity (α) of 10 pure solvents and 16 solvent-pair mixtures were measured spectroscopically, utilizing well-suited dyes or indicators. The highest absorption wavenumber value of indicators in the solution was selected and the simplified KT equations were used to determine the solvent properties (π*, β, α). Solvent mixtures were classified as per the solvent selection guideline of GSK2016 and CHEM21. Four pure solvents (tetrahydrofuran, dimethylformamide, dimethylsulfoxide, and acetone) exhibited low KT acidity, high KT basicity, and high KT polarity. Eight aqueous solvent mixtures (water-acetone, water-ethanol, water-isopropyl alcohol, water-dimethylsulfoxide, water-dimethylformamide, water-tetrahydrofuran), and two non-aqueous solvent mixtures (ethanol-dimethylformamide, ethanol-dimethylsulfoxide) showed low KT acidity and high KT basicity. Solvent classification by composite score showed that four solvent mixtures were as recommended and 5 mixtures were near to recommended solvent among 16 solvent mixtures. KT parameter was a simplified approach to determine which mixture can bind with active pharmaceutical ingredients (API) that is indicated by KT solvatochromic properties and solvent classification. </w:t>
      </w:r>
    </w:p>
    <w:p w14:paraId="5D50361B" w14:textId="77777777" w:rsidR="006768E9" w:rsidRPr="00F447A7" w:rsidRDefault="006768E9" w:rsidP="002B412F">
      <w:pPr>
        <w:spacing w:after="0"/>
        <w:jc w:val="center"/>
        <w:rPr>
          <w:rFonts w:ascii="Times New Roman" w:hAnsi="Times New Roman"/>
          <w:noProof/>
          <w:sz w:val="18"/>
          <w:szCs w:val="18"/>
          <w:lang w:bidi="ar-SA"/>
        </w:rPr>
      </w:pPr>
    </w:p>
    <w:p w14:paraId="04A37E33" w14:textId="28D3F23E" w:rsidR="008A3758" w:rsidRPr="007654B2" w:rsidRDefault="006768E9" w:rsidP="007654B2">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7654B2">
        <w:rPr>
          <w:rFonts w:ascii="Times New Roman" w:hAnsi="Times New Roman"/>
          <w:noProof/>
          <w:sz w:val="18"/>
          <w:szCs w:val="18"/>
          <w:lang w:bidi="ar-SA"/>
        </w:rPr>
        <w:t xml:space="preserve"> </w:t>
      </w:r>
      <w:r w:rsidR="00C80638" w:rsidRPr="00C1299C">
        <w:rPr>
          <w:rFonts w:ascii="Times New Roman" w:hAnsi="Times New Roman"/>
          <w:sz w:val="18"/>
          <w:szCs w:val="18"/>
        </w:rPr>
        <w:t>Kamlet-Taft parameters, hazardous solvent, solvent-pair mixture, dipolar aprotic solvent, drug synthesis</w:t>
      </w:r>
    </w:p>
    <w:p w14:paraId="4F1BD299" w14:textId="77777777" w:rsidR="008A3758" w:rsidRDefault="008A3758" w:rsidP="002B412F">
      <w:pPr>
        <w:spacing w:after="0"/>
        <w:jc w:val="center"/>
        <w:rPr>
          <w:rFonts w:ascii="Times New Roman" w:hAnsi="Times New Roman"/>
          <w:b/>
          <w:noProof/>
          <w:sz w:val="18"/>
          <w:szCs w:val="18"/>
          <w:lang w:bidi="ar-SA"/>
        </w:rPr>
      </w:pPr>
    </w:p>
    <w:p w14:paraId="45F7F5C9" w14:textId="0F2D1218"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46E2A1C0" w14:textId="77777777" w:rsidR="00C80638" w:rsidRPr="00C80638" w:rsidRDefault="00C80638" w:rsidP="00C80638">
      <w:pPr>
        <w:spacing w:after="0"/>
        <w:jc w:val="both"/>
        <w:rPr>
          <w:rFonts w:ascii="Times New Roman" w:hAnsi="Times New Roman"/>
          <w:noProof/>
          <w:sz w:val="18"/>
          <w:szCs w:val="18"/>
          <w:lang w:val="ms-MY" w:bidi="ar-SA"/>
        </w:rPr>
      </w:pPr>
      <w:r w:rsidRPr="00C80638">
        <w:rPr>
          <w:rFonts w:ascii="Times New Roman" w:hAnsi="Times New Roman"/>
          <w:noProof/>
          <w:sz w:val="18"/>
          <w:szCs w:val="18"/>
          <w:lang w:val="ms-MY" w:bidi="ar-SA"/>
        </w:rPr>
        <w:t xml:space="preserve">Pelarut adalah bahagian yang tidak dapat dielakkan dalam pembuatan/sintesis farmaseutikal dan kimia, kebanyakannya beracun atau berbahaya. Kajian mengenai penggantian pelarut toksik sedang dijalankan di seluruh dunia. Penyelidik berusaha mengatasi masalah berbahaya yang mungkin dilakukan dengan menggunakan campuran pelarut penderma ikatan hidrogen (HBD) dan pelarut </w:t>
      </w:r>
      <w:r w:rsidRPr="00C80638">
        <w:rPr>
          <w:rFonts w:ascii="Times New Roman" w:hAnsi="Times New Roman"/>
          <w:noProof/>
          <w:sz w:val="18"/>
          <w:szCs w:val="18"/>
          <w:lang w:val="ms-MY" w:bidi="ar-SA"/>
        </w:rPr>
        <w:lastRenderedPageBreak/>
        <w:t>ikatan hidrogen (HBA) sebagai campuran pelarut yang selamat/disyorkan. Kajian ini menunjukkan kemungkinan penggantian/pembatasan pelarut aprotik dipolar dalam sintesis ubat dengan campuran pasangan pelarut di mana parameter Kamlet-Taft (KT) berfungsi sebagai alat untuk mengganti penggunaan jenis pelarut toksik tersebut. Ini telah dipermudahkan di sini antara banyak kaedah dan persamaan pendekatan KT. Kekutuban (π*), asas (β), dan keasidan (α) daripada 10 pelarut tulen dan 16 campuran pasangan pelarut telah diukur dengan menggunakan spektroskopi, berdasarkan pewarna atau indikator yang sesuai. Nilai penyerapan gelombang tertinggi dari indikator dalam larutan dipilih dan persamaan KT digunakan untuk menentukan sifat pelarut (π*, β, α). Campuran pelarut dikelaskan mengikut garis panduan pemilihan pelarut GSK 2016 dan CHEM21. Empat pelarut tulen (tetrahidrofuran, dimetilformamida, dimetilsulfoksida, dan aseton) menunjukkan keasidan KT rendah, asas KT tinggi, dan kekutuban KT tinggi. Lapan campuran pelarut berasaskan air (air-aseton, air-etanol, air-isopropil alkohol, air-dimetilsulfoksida, air-dimetilformamida, air-tetrahidrofuran), dan dua campuran pelarut tidak berasaskan air (etanol-dimetilformamida, etanol-dimetilsulfoksida) menunjukkan keasidan KT rendah dan asas KT yang tinggi. Penggolongan terhadap 16 campuran pelarut berdasarkan skor komposit menunjukkan empat campuran pelarut adalah seperti yang disyorkan dan 5 campuran pelarut hampir dengan yang disyorkan. Parameter KT adalah pendekatan yang dipermudah untuk menentukan campuran mana yang dapat mengikat dengan bahan aktif farmaseutikal (API) yang ditunjukkan oleh sifat solvatochromic KT dan klasifikasi pelarut.</w:t>
      </w:r>
    </w:p>
    <w:p w14:paraId="27F5FE65" w14:textId="77777777" w:rsidR="006768E9" w:rsidRPr="00F447A7" w:rsidRDefault="006768E9" w:rsidP="002B412F">
      <w:pPr>
        <w:spacing w:after="0"/>
        <w:jc w:val="center"/>
        <w:rPr>
          <w:rFonts w:ascii="Times New Roman" w:hAnsi="Times New Roman"/>
          <w:noProof/>
          <w:sz w:val="18"/>
          <w:szCs w:val="18"/>
          <w:lang w:bidi="ar-SA"/>
        </w:rPr>
      </w:pPr>
    </w:p>
    <w:p w14:paraId="232D2563" w14:textId="2C2786D4" w:rsidR="006768E9" w:rsidRPr="00F447A7" w:rsidRDefault="006768E9" w:rsidP="002B412F">
      <w:pPr>
        <w:spacing w:after="0"/>
        <w:rPr>
          <w:rFonts w:ascii="Times New Roman" w:hAnsi="Times New Roman"/>
          <w:noProof/>
          <w:sz w:val="18"/>
          <w:szCs w:val="18"/>
          <w:lang w:bidi="ar-SA"/>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C80638">
        <w:rPr>
          <w:rFonts w:ascii="Times New Roman" w:hAnsi="Times New Roman"/>
          <w:noProof/>
          <w:sz w:val="18"/>
          <w:szCs w:val="18"/>
          <w:lang w:bidi="ar-SA"/>
        </w:rPr>
        <w:t xml:space="preserve"> </w:t>
      </w:r>
      <w:r w:rsidR="00B32171">
        <w:rPr>
          <w:rFonts w:ascii="Times New Roman" w:hAnsi="Times New Roman"/>
          <w:noProof/>
          <w:sz w:val="18"/>
          <w:szCs w:val="18"/>
          <w:lang w:bidi="ar-SA"/>
        </w:rPr>
        <w:t xml:space="preserve"> </w:t>
      </w:r>
      <w:r w:rsidR="007654B2">
        <w:rPr>
          <w:rFonts w:ascii="Times New Roman" w:hAnsi="Times New Roman"/>
          <w:noProof/>
          <w:sz w:val="18"/>
          <w:szCs w:val="18"/>
          <w:lang w:val="ms-MY"/>
        </w:rPr>
        <w:t>p</w:t>
      </w:r>
      <w:r w:rsidR="00C80638" w:rsidRPr="001F0AB2">
        <w:rPr>
          <w:rFonts w:ascii="Times New Roman" w:hAnsi="Times New Roman"/>
          <w:noProof/>
          <w:sz w:val="18"/>
          <w:szCs w:val="18"/>
          <w:lang w:val="ms-MY"/>
        </w:rPr>
        <w:t>arameter Kamlet-Taft, pelarut berbahaya, campuran pasangan pelarut, pelarut aprotik dipolar, sintesis ubat</w:t>
      </w:r>
      <w:r w:rsidR="00F447A7">
        <w:rPr>
          <w:rFonts w:ascii="Times New Roman" w:hAnsi="Times New Roman"/>
          <w:noProof/>
          <w:sz w:val="18"/>
          <w:szCs w:val="18"/>
          <w:lang w:bidi="ar-SA"/>
        </w:rPr>
        <w:t xml:space="preserve"> </w:t>
      </w:r>
    </w:p>
    <w:p w14:paraId="15FFFF64" w14:textId="77777777" w:rsidR="006768E9" w:rsidRDefault="006768E9" w:rsidP="002B412F">
      <w:pPr>
        <w:spacing w:after="0"/>
        <w:jc w:val="center"/>
        <w:rPr>
          <w:rFonts w:ascii="Times New Roman" w:hAnsi="Times New Roman"/>
          <w:noProof/>
          <w:sz w:val="20"/>
          <w:szCs w:val="20"/>
          <w:lang w:bidi="ar-SA"/>
        </w:rPr>
      </w:pPr>
    </w:p>
    <w:p w14:paraId="105FDF69" w14:textId="77777777" w:rsidR="00AA69F2" w:rsidRDefault="00AA69F2" w:rsidP="002B412F">
      <w:pPr>
        <w:spacing w:after="0"/>
        <w:jc w:val="center"/>
        <w:rPr>
          <w:rFonts w:ascii="Times New Roman" w:hAnsi="Times New Roman"/>
          <w:b/>
          <w:noProof/>
          <w:sz w:val="20"/>
          <w:szCs w:val="20"/>
          <w:lang w:bidi="ar-SA"/>
        </w:rPr>
      </w:pPr>
    </w:p>
    <w:p w14:paraId="45CCC9F3" w14:textId="25E9AB5D" w:rsidR="00B32171" w:rsidRDefault="00B32171" w:rsidP="002B412F">
      <w:pPr>
        <w:spacing w:after="0"/>
        <w:jc w:val="center"/>
        <w:rPr>
          <w:rFonts w:ascii="Times New Roman" w:hAnsi="Times New Roman"/>
          <w:b/>
          <w:noProof/>
          <w:sz w:val="20"/>
          <w:szCs w:val="20"/>
          <w:lang w:bidi="ar-SA"/>
        </w:rPr>
        <w:sectPr w:rsidR="00B32171"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F3E6D6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4E7431B" w14:textId="02A619CC" w:rsidR="00C80638" w:rsidRPr="00C80638" w:rsidRDefault="00C80638" w:rsidP="00C80638">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In 1976, Kamlet and Taft introduced a model to measure the solvatochromic properties, known as Kamlet-Taft parameters [1]. In 1997, Marcus brought some modifications in the measurement of KT parameters [2]. Various equations and indicators were used to calculate the KT parameters (KT acidity, KT basicity, and KT polarity) so that the appropriate result is obtained by averaging [3]. The most used indicators were N, N-dimethyl-4-nitroaniline, 4-nitro anisole, and N,N-dimethyl-3-nitro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aniline for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π* value; </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4-nitroaniline, 4-nitrophenol, 4-aminoacetophenone and (tetramethyl</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ethylenediamine)(acetylacetonato)copper(II)</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perchlorate for β value; Cis-bis-(1,10-phenan</w:t>
      </w:r>
      <w:r w:rsidR="00E106F1">
        <w:rPr>
          <w:rFonts w:ascii="Times New Roman" w:hAnsi="Times New Roman"/>
          <w:noProof/>
          <w:sz w:val="20"/>
          <w:szCs w:val="20"/>
          <w:lang w:bidi="ar-SA"/>
        </w:rPr>
        <w:t xml:space="preserve"> </w:t>
      </w:r>
      <w:r w:rsidRPr="00C80638">
        <w:rPr>
          <w:rFonts w:ascii="Times New Roman" w:hAnsi="Times New Roman"/>
          <w:noProof/>
          <w:sz w:val="20"/>
          <w:szCs w:val="20"/>
          <w:lang w:bidi="ar-SA"/>
        </w:rPr>
        <w:t>throline)dicyanoiron(II), 2,6-dichloro-4-(2,4,6-triphenyl-1-pyridinio) phenolate, and 2,6-diphenyl-4-(2, 4, 6-tripheny-1-pyridinio) phenoxide/ phenolate for α value. The indicators were utilized in KT measurement because their UV variations are higher than the UV-Vis cutoff (310 nm) of the cyclic ketone [4]. In analysis, many specific equations are used to calculate the KT parameters that were prepared based on the indicators [2,5], and the concentration of the indicator greatly affects the result [6].</w:t>
      </w:r>
    </w:p>
    <w:p w14:paraId="370604D4" w14:textId="77777777" w:rsidR="00C80638" w:rsidRPr="00C80638" w:rsidRDefault="00C80638" w:rsidP="00C80638">
      <w:pPr>
        <w:spacing w:after="0"/>
        <w:jc w:val="both"/>
        <w:rPr>
          <w:rFonts w:ascii="Times New Roman" w:hAnsi="Times New Roman"/>
          <w:noProof/>
          <w:sz w:val="20"/>
          <w:szCs w:val="20"/>
          <w:lang w:bidi="ar-SA"/>
        </w:rPr>
      </w:pPr>
    </w:p>
    <w:p w14:paraId="7CF3FE52" w14:textId="77777777" w:rsidR="00C80638" w:rsidRPr="00C80638" w:rsidRDefault="00C80638" w:rsidP="00C80638">
      <w:pPr>
        <w:spacing w:after="0"/>
        <w:jc w:val="both"/>
        <w:rPr>
          <w:rFonts w:ascii="Times New Roman" w:hAnsi="Times New Roman"/>
          <w:noProof/>
          <w:sz w:val="20"/>
          <w:szCs w:val="20"/>
          <w:lang w:bidi="ar-SA"/>
        </w:rPr>
      </w:pPr>
      <w:r w:rsidRPr="00C80638">
        <w:rPr>
          <w:rFonts w:ascii="Times New Roman" w:hAnsi="Times New Roman"/>
          <w:noProof/>
          <w:sz w:val="20"/>
          <w:szCs w:val="20"/>
          <w:lang w:val="en-MY" w:bidi="ar-SA"/>
        </w:rPr>
        <w:t xml:space="preserve">Solvents are categorized into four major types; recommended, problematic, hazardous, and highly </w:t>
      </w:r>
      <w:r w:rsidRPr="00C80638">
        <w:rPr>
          <w:rFonts w:ascii="Times New Roman" w:hAnsi="Times New Roman"/>
          <w:noProof/>
          <w:sz w:val="20"/>
          <w:szCs w:val="20"/>
          <w:lang w:val="en-MY" w:bidi="ar-SA"/>
        </w:rPr>
        <w:t xml:space="preserve">hazardous based on health, safety, environment, and global harmonized system (GHS) hazards statements </w:t>
      </w:r>
      <w:r w:rsidRPr="00C80638">
        <w:rPr>
          <w:rFonts w:ascii="Times New Roman" w:hAnsi="Times New Roman"/>
          <w:noProof/>
          <w:sz w:val="20"/>
          <w:szCs w:val="20"/>
          <w:lang w:bidi="ar-SA"/>
        </w:rPr>
        <w:t>[7]. Most used solvents are hazardous as per the recommendation of the international conference on harmonization (ICH), Pfizer, GSK, and Sanofi [8,9], as shown in Table 1. Recently, KT parameters have been used to investigate the replacement/limitation of hazardous solvents using solvent-pair mixtures in synthetic chemistry. Most of the HBD-HBA solvent mixtures exhibit as solvent of recommended and problematic category [7,10,11], they can be applied in API [4,11] and non-API chemical [5,12,13] synthesis. The maximum use of safe solvents can minimize the health risks and negative impacts on the environment, which can be the most effective way to limit the use of hazardous solvents [14-17]. However, many methods; KT solvatochromic parameters using COSMO-RS [18], KT parameters using solvate ionic liquids [19] were more complex. Taking into consideration the advancement of the KT parameters in synthetic chemistry, the measurement technique has been simplified for determining the solvatochromic parameters. The 16 solvent-pair mixtures and 10 pure solvents were analyzed to determine the probability of application in replacing dipolar aprotic solvents (dimethylformamide, dimethylacetamide, N-methyl-2-pyrrolidone, pyridine etc.).</w:t>
      </w:r>
    </w:p>
    <w:p w14:paraId="5C6C4DC3" w14:textId="48F82A56" w:rsidR="00B32171" w:rsidRDefault="00B32171" w:rsidP="00AA69F2">
      <w:pPr>
        <w:spacing w:after="0"/>
        <w:rPr>
          <w:rFonts w:ascii="Times New Roman" w:hAnsi="Times New Roman"/>
          <w:noProof/>
          <w:sz w:val="20"/>
          <w:szCs w:val="20"/>
          <w:lang w:bidi="ar-SA"/>
        </w:rPr>
        <w:sectPr w:rsidR="00B32171" w:rsidSect="00AA69F2">
          <w:type w:val="continuous"/>
          <w:pgSz w:w="12240" w:h="15840" w:code="1"/>
          <w:pgMar w:top="1800" w:right="1469" w:bottom="1699" w:left="1440" w:header="706" w:footer="706" w:gutter="0"/>
          <w:pgNumType w:start="1"/>
          <w:cols w:num="2" w:space="403"/>
          <w:docGrid w:linePitch="360"/>
        </w:sectPr>
      </w:pPr>
    </w:p>
    <w:p w14:paraId="533A03D7" w14:textId="77777777" w:rsidR="00B32171" w:rsidRDefault="00B32171" w:rsidP="0025785B">
      <w:pPr>
        <w:jc w:val="center"/>
        <w:rPr>
          <w:rFonts w:ascii="Times New Roman" w:hAnsi="Times New Roman"/>
          <w:noProof/>
          <w:sz w:val="20"/>
          <w:szCs w:val="20"/>
          <w:lang w:bidi="ar-SA"/>
        </w:rPr>
      </w:pPr>
    </w:p>
    <w:p w14:paraId="16C52779" w14:textId="77777777" w:rsidR="00B32171" w:rsidRDefault="00B32171" w:rsidP="0025785B">
      <w:pPr>
        <w:jc w:val="center"/>
        <w:rPr>
          <w:rFonts w:ascii="Times New Roman" w:hAnsi="Times New Roman"/>
          <w:noProof/>
          <w:sz w:val="20"/>
          <w:szCs w:val="20"/>
          <w:lang w:bidi="ar-SA"/>
        </w:rPr>
      </w:pPr>
    </w:p>
    <w:p w14:paraId="43DB3B11" w14:textId="24881843" w:rsidR="00AA69F2" w:rsidRPr="00C80638" w:rsidRDefault="0025785B" w:rsidP="00B32171">
      <w:pPr>
        <w:spacing w:after="120"/>
        <w:jc w:val="center"/>
        <w:rPr>
          <w:rFonts w:ascii="Times New Roman" w:hAnsi="Times New Roman"/>
          <w:noProof/>
          <w:sz w:val="20"/>
          <w:szCs w:val="20"/>
          <w:lang w:bidi="ar-SA"/>
        </w:rPr>
      </w:pPr>
      <w:r w:rsidRPr="00C80638">
        <w:rPr>
          <w:rFonts w:ascii="Times New Roman" w:hAnsi="Times New Roman"/>
          <w:noProof/>
          <w:sz w:val="20"/>
          <w:szCs w:val="20"/>
          <w:lang w:bidi="ar-SA"/>
        </w:rPr>
        <w:lastRenderedPageBreak/>
        <w:t xml:space="preserve">Table 1. </w:t>
      </w:r>
      <w:r w:rsidR="00B32171">
        <w:rPr>
          <w:rFonts w:ascii="Times New Roman" w:hAnsi="Times New Roman"/>
          <w:noProof/>
          <w:sz w:val="20"/>
          <w:szCs w:val="20"/>
          <w:lang w:bidi="ar-SA"/>
        </w:rPr>
        <w:t xml:space="preserve"> </w:t>
      </w:r>
      <w:r w:rsidRPr="00C80638">
        <w:rPr>
          <w:rFonts w:ascii="Times New Roman" w:hAnsi="Times New Roman"/>
          <w:noProof/>
          <w:sz w:val="20"/>
          <w:szCs w:val="20"/>
          <w:lang w:bidi="ar-SA"/>
        </w:rPr>
        <w:t>Recommendation from Pfizer, GSK, Sanofi, and ICH regarding the use of the following solvents</w:t>
      </w:r>
    </w:p>
    <w:tbl>
      <w:tblPr>
        <w:tblW w:w="8815" w:type="dxa"/>
        <w:jc w:val="center"/>
        <w:tblLayout w:type="fixed"/>
        <w:tblCellMar>
          <w:left w:w="0" w:type="dxa"/>
          <w:right w:w="0" w:type="dxa"/>
        </w:tblCellMar>
        <w:tblLook w:val="0420" w:firstRow="1" w:lastRow="0" w:firstColumn="0" w:lastColumn="0" w:noHBand="0" w:noVBand="1"/>
      </w:tblPr>
      <w:tblGrid>
        <w:gridCol w:w="2276"/>
        <w:gridCol w:w="1279"/>
        <w:gridCol w:w="1422"/>
        <w:gridCol w:w="2262"/>
        <w:gridCol w:w="1576"/>
      </w:tblGrid>
      <w:tr w:rsidR="00C80638" w:rsidRPr="00B32171" w14:paraId="1C18D9D9" w14:textId="77777777" w:rsidTr="00B32171">
        <w:trPr>
          <w:trHeight w:val="251"/>
          <w:jc w:val="center"/>
        </w:trPr>
        <w:tc>
          <w:tcPr>
            <w:tcW w:w="2276" w:type="dxa"/>
            <w:vMerge w:val="restart"/>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vAlign w:val="center"/>
            <w:hideMark/>
          </w:tcPr>
          <w:p w14:paraId="0FE74D8A" w14:textId="77777777" w:rsidR="00C80638" w:rsidRPr="00B32171" w:rsidRDefault="00C80638" w:rsidP="00B822E7">
            <w:pPr>
              <w:spacing w:after="0" w:line="240" w:lineRule="auto"/>
              <w:rPr>
                <w:rFonts w:ascii="Times New Roman" w:hAnsi="Times New Roman"/>
                <w:b/>
                <w:bCs/>
                <w:noProof/>
                <w:sz w:val="20"/>
                <w:szCs w:val="20"/>
                <w:lang w:bidi="ar-SA"/>
              </w:rPr>
            </w:pPr>
            <w:r w:rsidRPr="00B32171">
              <w:rPr>
                <w:rFonts w:ascii="Times New Roman" w:hAnsi="Times New Roman"/>
                <w:b/>
                <w:bCs/>
                <w:noProof/>
                <w:sz w:val="20"/>
                <w:szCs w:val="20"/>
                <w:lang w:bidi="ar-SA"/>
              </w:rPr>
              <w:t>Most Used Organic</w:t>
            </w:r>
          </w:p>
          <w:p w14:paraId="37966121" w14:textId="77777777" w:rsidR="00C80638" w:rsidRPr="00B32171" w:rsidRDefault="00C80638" w:rsidP="00B822E7">
            <w:pPr>
              <w:spacing w:after="0" w:line="240" w:lineRule="auto"/>
              <w:rPr>
                <w:rFonts w:ascii="Times New Roman" w:hAnsi="Times New Roman"/>
                <w:b/>
                <w:bCs/>
                <w:noProof/>
                <w:sz w:val="20"/>
                <w:szCs w:val="20"/>
                <w:lang w:bidi="ar-SA"/>
              </w:rPr>
            </w:pPr>
            <w:r w:rsidRPr="00B32171">
              <w:rPr>
                <w:rFonts w:ascii="Times New Roman" w:hAnsi="Times New Roman"/>
                <w:b/>
                <w:bCs/>
                <w:noProof/>
                <w:sz w:val="20"/>
                <w:szCs w:val="20"/>
                <w:lang w:bidi="ar-SA"/>
              </w:rPr>
              <w:t>Solvents</w:t>
            </w:r>
          </w:p>
        </w:tc>
        <w:tc>
          <w:tcPr>
            <w:tcW w:w="6539" w:type="dxa"/>
            <w:gridSpan w:val="4"/>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F18F918" w14:textId="5AA00CB3" w:rsidR="00C80638" w:rsidRPr="00B32171" w:rsidRDefault="00C80638" w:rsidP="00B822E7">
            <w:pPr>
              <w:spacing w:after="0" w:line="240" w:lineRule="auto"/>
              <w:jc w:val="center"/>
              <w:rPr>
                <w:rFonts w:ascii="Times New Roman" w:hAnsi="Times New Roman"/>
                <w:noProof/>
                <w:sz w:val="20"/>
                <w:szCs w:val="20"/>
                <w:lang w:bidi="ar-SA"/>
              </w:rPr>
            </w:pPr>
            <w:r w:rsidRPr="00B32171">
              <w:rPr>
                <w:rFonts w:ascii="Times New Roman" w:hAnsi="Times New Roman"/>
                <w:b/>
                <w:bCs/>
                <w:noProof/>
                <w:sz w:val="20"/>
                <w:szCs w:val="20"/>
                <w:lang w:bidi="ar-SA"/>
              </w:rPr>
              <w:t>Concern in Use (Comment)</w:t>
            </w:r>
            <w:r w:rsidR="007C1A57">
              <w:rPr>
                <w:rFonts w:ascii="Times New Roman" w:hAnsi="Times New Roman"/>
                <w:b/>
                <w:bCs/>
                <w:noProof/>
                <w:sz w:val="20"/>
                <w:szCs w:val="20"/>
                <w:lang w:bidi="ar-SA"/>
              </w:rPr>
              <w:t xml:space="preserve"> [8, 9]</w:t>
            </w:r>
          </w:p>
        </w:tc>
      </w:tr>
      <w:tr w:rsidR="00C80638" w:rsidRPr="00B32171" w14:paraId="07A1DAEB" w14:textId="77777777" w:rsidTr="00B32171">
        <w:trPr>
          <w:trHeight w:val="197"/>
          <w:jc w:val="center"/>
        </w:trPr>
        <w:tc>
          <w:tcPr>
            <w:tcW w:w="2276" w:type="dxa"/>
            <w:vMerge/>
            <w:tcBorders>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06A224B" w14:textId="77777777" w:rsidR="00C80638" w:rsidRPr="00B32171" w:rsidRDefault="00C80638" w:rsidP="00B822E7">
            <w:pPr>
              <w:spacing w:after="0" w:line="240" w:lineRule="auto"/>
              <w:rPr>
                <w:rFonts w:ascii="Times New Roman" w:hAnsi="Times New Roman"/>
                <w:noProof/>
                <w:sz w:val="20"/>
                <w:szCs w:val="20"/>
                <w:lang w:bidi="ar-SA"/>
              </w:rPr>
            </w:pPr>
          </w:p>
        </w:tc>
        <w:tc>
          <w:tcPr>
            <w:tcW w:w="1279"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2B23D2A"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Pfizer</w:t>
            </w:r>
          </w:p>
        </w:tc>
        <w:tc>
          <w:tcPr>
            <w:tcW w:w="142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AE1244B"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GSK</w:t>
            </w:r>
          </w:p>
        </w:tc>
        <w:tc>
          <w:tcPr>
            <w:tcW w:w="2262"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7A39FA6A"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Sanofi</w:t>
            </w:r>
          </w:p>
        </w:tc>
        <w:tc>
          <w:tcPr>
            <w:tcW w:w="157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D48A9AC" w14:textId="77777777" w:rsidR="00C80638" w:rsidRPr="00B32171" w:rsidRDefault="00C80638" w:rsidP="00B822E7">
            <w:pPr>
              <w:spacing w:after="0" w:line="240" w:lineRule="auto"/>
              <w:jc w:val="center"/>
              <w:rPr>
                <w:rFonts w:ascii="Times New Roman" w:hAnsi="Times New Roman"/>
                <w:b/>
                <w:bCs/>
                <w:noProof/>
                <w:sz w:val="20"/>
                <w:szCs w:val="20"/>
                <w:lang w:bidi="ar-SA"/>
              </w:rPr>
            </w:pPr>
            <w:r w:rsidRPr="00B32171">
              <w:rPr>
                <w:rFonts w:ascii="Times New Roman" w:hAnsi="Times New Roman"/>
                <w:b/>
                <w:bCs/>
                <w:noProof/>
                <w:sz w:val="20"/>
                <w:szCs w:val="20"/>
                <w:lang w:bidi="ar-SA"/>
              </w:rPr>
              <w:t>ICH</w:t>
            </w:r>
          </w:p>
        </w:tc>
      </w:tr>
      <w:tr w:rsidR="00C80638" w:rsidRPr="00B32171" w14:paraId="79B6F592" w14:textId="77777777" w:rsidTr="0025785B">
        <w:trPr>
          <w:trHeight w:val="211"/>
          <w:jc w:val="center"/>
        </w:trPr>
        <w:tc>
          <w:tcPr>
            <w:tcW w:w="227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7581C05"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Dimethylformamide </w:t>
            </w:r>
          </w:p>
          <w:p w14:paraId="3A37E3ED"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(DMF)</w:t>
            </w:r>
          </w:p>
        </w:tc>
        <w:tc>
          <w:tcPr>
            <w:tcW w:w="1279"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D2FDB7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002E19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995E9C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73725EE"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636F389B" w14:textId="77777777" w:rsidTr="0025785B">
        <w:trPr>
          <w:trHeight w:val="20"/>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AF7C82A"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Dimethylacetamide </w:t>
            </w:r>
          </w:p>
          <w:p w14:paraId="0EC6E34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(DMAC)</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F09E38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96B5A03"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668EB2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211E44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401CED7A"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CDB70B8"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N-methyl-2-pyrrolidone(NMP)</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980179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215C00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77524B7"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40E353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202E2BD0"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0CF4161"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Dichloromethane </w:t>
            </w:r>
          </w:p>
          <w:p w14:paraId="1A0BFAD6"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(DCM)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8A299F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0FA6C3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216EDC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4AD875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0CEF19C6"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653932B"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Chloroform</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F41B2D5"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67689E4"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C94DB0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No comment</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5A458CB"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07692211"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BC72FB"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1,4-Dioxane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793EDEA"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11ADE9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EDACDC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requested</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B153398"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26658DA7" w14:textId="77777777" w:rsidTr="0025785B">
        <w:trPr>
          <w:trHeight w:val="154"/>
          <w:jc w:val="center"/>
        </w:trPr>
        <w:tc>
          <w:tcPr>
            <w:tcW w:w="22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74CA37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Pyridine</w:t>
            </w:r>
          </w:p>
        </w:tc>
        <w:tc>
          <w:tcPr>
            <w:tcW w:w="127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227FC67"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30AABAC"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No comment</w:t>
            </w:r>
          </w:p>
        </w:tc>
        <w:tc>
          <w:tcPr>
            <w:tcW w:w="22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B68BE6D"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C5E3D61"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To be limited</w:t>
            </w:r>
          </w:p>
        </w:tc>
      </w:tr>
      <w:tr w:rsidR="00C80638" w:rsidRPr="00B32171" w14:paraId="3CC8066F" w14:textId="77777777" w:rsidTr="0025785B">
        <w:trPr>
          <w:trHeight w:val="154"/>
          <w:jc w:val="center"/>
        </w:trPr>
        <w:tc>
          <w:tcPr>
            <w:tcW w:w="227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0F80A39"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 xml:space="preserve">Diisopropyl ether </w:t>
            </w:r>
          </w:p>
          <w:p w14:paraId="66ACFC47" w14:textId="77777777" w:rsidR="00C80638" w:rsidRPr="00B32171" w:rsidRDefault="00C80638" w:rsidP="00B32171">
            <w:pPr>
              <w:spacing w:after="0"/>
              <w:rPr>
                <w:rFonts w:ascii="Times New Roman" w:hAnsi="Times New Roman"/>
                <w:noProof/>
                <w:sz w:val="20"/>
                <w:szCs w:val="20"/>
                <w:lang w:bidi="ar-SA"/>
              </w:rPr>
            </w:pPr>
            <w:r w:rsidRPr="00B32171">
              <w:rPr>
                <w:rFonts w:ascii="Times New Roman" w:hAnsi="Times New Roman"/>
                <w:noProof/>
                <w:sz w:val="20"/>
                <w:szCs w:val="20"/>
                <w:lang w:bidi="ar-SA"/>
              </w:rPr>
              <w:t>(IPE)</w:t>
            </w:r>
          </w:p>
        </w:tc>
        <w:tc>
          <w:tcPr>
            <w:tcW w:w="1279"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5572C40"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Undesirable</w:t>
            </w:r>
          </w:p>
        </w:tc>
        <w:tc>
          <w:tcPr>
            <w:tcW w:w="142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C4961C6"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Major issues</w:t>
            </w:r>
          </w:p>
        </w:tc>
        <w:tc>
          <w:tcPr>
            <w:tcW w:w="226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638D08E"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Substitution advisable</w:t>
            </w:r>
          </w:p>
        </w:tc>
        <w:tc>
          <w:tcPr>
            <w:tcW w:w="157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CA5B971" w14:textId="77777777" w:rsidR="00C80638" w:rsidRPr="00B32171" w:rsidRDefault="00C80638" w:rsidP="00C80638">
            <w:pPr>
              <w:spacing w:after="0"/>
              <w:jc w:val="center"/>
              <w:rPr>
                <w:rFonts w:ascii="Times New Roman" w:hAnsi="Times New Roman"/>
                <w:noProof/>
                <w:sz w:val="20"/>
                <w:szCs w:val="20"/>
                <w:lang w:bidi="ar-SA"/>
              </w:rPr>
            </w:pPr>
            <w:r w:rsidRPr="00B32171">
              <w:rPr>
                <w:rFonts w:ascii="Times New Roman" w:hAnsi="Times New Roman"/>
                <w:noProof/>
                <w:sz w:val="20"/>
                <w:szCs w:val="20"/>
                <w:lang w:bidi="ar-SA"/>
              </w:rPr>
              <w:t>Unknown</w:t>
            </w:r>
          </w:p>
        </w:tc>
      </w:tr>
    </w:tbl>
    <w:p w14:paraId="682AC24E" w14:textId="77777777" w:rsidR="006768E9" w:rsidRPr="00F447A7" w:rsidRDefault="006768E9" w:rsidP="002B412F">
      <w:pPr>
        <w:spacing w:after="0"/>
        <w:jc w:val="center"/>
        <w:rPr>
          <w:rFonts w:ascii="Times New Roman" w:hAnsi="Times New Roman"/>
          <w:noProof/>
          <w:sz w:val="20"/>
          <w:szCs w:val="20"/>
          <w:lang w:bidi="ar-SA"/>
        </w:rPr>
      </w:pPr>
    </w:p>
    <w:p w14:paraId="475FA071" w14:textId="77777777" w:rsidR="00AA69F2" w:rsidRDefault="00AA69F2" w:rsidP="002B412F">
      <w:pPr>
        <w:spacing w:after="0"/>
        <w:jc w:val="center"/>
        <w:rPr>
          <w:rFonts w:ascii="Times New Roman" w:hAnsi="Times New Roman"/>
          <w:bCs/>
          <w:noProof/>
          <w:sz w:val="20"/>
          <w:szCs w:val="20"/>
          <w:lang w:bidi="ar-SA"/>
        </w:rPr>
      </w:pPr>
    </w:p>
    <w:p w14:paraId="726D5DCC" w14:textId="20FDE5A5" w:rsidR="000D4B54" w:rsidRPr="000D4B54" w:rsidRDefault="000D4B54" w:rsidP="002B412F">
      <w:pPr>
        <w:spacing w:after="0"/>
        <w:jc w:val="center"/>
        <w:rPr>
          <w:rFonts w:ascii="Times New Roman" w:hAnsi="Times New Roman"/>
          <w:bCs/>
          <w:noProof/>
          <w:sz w:val="20"/>
          <w:szCs w:val="20"/>
          <w:lang w:bidi="ar-SA"/>
        </w:rPr>
        <w:sectPr w:rsidR="000D4B54" w:rsidRPr="000D4B54" w:rsidSect="008A3758">
          <w:headerReference w:type="even" r:id="rId13"/>
          <w:headerReference w:type="default" r:id="rId14"/>
          <w:footerReference w:type="default" r:id="rId15"/>
          <w:headerReference w:type="first" r:id="rId16"/>
          <w:type w:val="continuous"/>
          <w:pgSz w:w="12240" w:h="15840" w:code="1"/>
          <w:pgMar w:top="1800" w:right="1469" w:bottom="1699" w:left="1440" w:header="706" w:footer="706" w:gutter="0"/>
          <w:pgNumType w:start="3"/>
          <w:cols w:space="708"/>
          <w:docGrid w:linePitch="360"/>
        </w:sectPr>
      </w:pPr>
    </w:p>
    <w:p w14:paraId="4B6D0B71" w14:textId="5FC3B7C1"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1C6DB3A2"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 xml:space="preserve">Materials </w:t>
      </w:r>
    </w:p>
    <w:p w14:paraId="37910D77" w14:textId="6AD9AD0F" w:rsidR="00C80638" w:rsidRPr="00C80638"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Analytical reagent (AR) grade methanol (MeOH 99.9%), acetone (Ace 99.8%), tetrahydrofuran (THF 99.8%), dimethyl sulfoxide (DMSO 99.9%), and calcium chloride anhydrous (99.9%) were received from Merck KGaA, Germany. Ethanol (EtOH 99.8%) was purchased from HmbG chemicals, Malaysia. HPLC grade acetonitrile (ACN 99.99%), AR grade dichloromethane (DCM 99.9%) were purchased from QREC (Asia), Malaysia. AR grade dimethylformamide (DMF 99.99%), and isopropyl alcohol (iPrOH 99.99%) were received from Fisher Scientific, UK. Three solvatochromic indicators were purchased: N, N-dimethyl-4-nitroaniline 98% as indicator 1 from Alfa Aesar through Permula chemicals, Malaysia; 4-nitro</w:t>
      </w:r>
      <w:r w:rsidR="000D4B5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aniline 99% (Indicator 2) and Reichardt’s dye 90% or 2,6-diphenyl-4-(2,4,6-triphenyl-1-pyridinio) phenolate 90% as indicator 3 from Sigma-Aldrich. To avoid humidity contamination or light degradation, the samples and indicators were weighted cautiously. A microbalance (Brand: Mettler Toledo; model: AX-205) </w:t>
      </w:r>
      <w:r w:rsidRPr="00C80638">
        <w:rPr>
          <w:rFonts w:ascii="Times New Roman" w:hAnsi="Times New Roman"/>
          <w:noProof/>
          <w:sz w:val="20"/>
          <w:szCs w:val="20"/>
          <w:lang w:bidi="ar-SA"/>
        </w:rPr>
        <w:t>was used to prepare the samples by mass with an uncertainty of ±1×10-4 g.</w:t>
      </w:r>
    </w:p>
    <w:p w14:paraId="52BE703C" w14:textId="77777777" w:rsidR="00C80638" w:rsidRPr="00C80638" w:rsidRDefault="00C80638" w:rsidP="00AA69F2">
      <w:pPr>
        <w:spacing w:after="0"/>
        <w:jc w:val="both"/>
        <w:rPr>
          <w:rFonts w:ascii="Times New Roman" w:hAnsi="Times New Roman"/>
          <w:b/>
          <w:noProof/>
          <w:sz w:val="20"/>
          <w:szCs w:val="20"/>
          <w:lang w:bidi="ar-SA"/>
        </w:rPr>
      </w:pPr>
    </w:p>
    <w:p w14:paraId="6EE49E1D"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Analytical condition of KT parameters</w:t>
      </w:r>
    </w:p>
    <w:p w14:paraId="57F3BE15" w14:textId="77777777" w:rsidR="00642EA8" w:rsidRDefault="00C80638" w:rsidP="00AA69F2">
      <w:pPr>
        <w:spacing w:after="0"/>
        <w:jc w:val="both"/>
        <w:rPr>
          <w:rFonts w:ascii="Times New Roman" w:hAnsi="Times New Roman"/>
          <w:bCs/>
          <w:noProof/>
          <w:sz w:val="20"/>
          <w:szCs w:val="20"/>
          <w:lang w:bidi="ar-SA"/>
        </w:rPr>
        <w:sectPr w:rsidR="00642EA8" w:rsidSect="00AA69F2">
          <w:type w:val="continuous"/>
          <w:pgSz w:w="12240" w:h="15840" w:code="1"/>
          <w:pgMar w:top="1800" w:right="1469" w:bottom="1699" w:left="1440" w:header="706" w:footer="706" w:gutter="0"/>
          <w:pgNumType w:start="1"/>
          <w:cols w:num="2" w:space="403"/>
          <w:docGrid w:linePitch="360"/>
        </w:sectPr>
      </w:pPr>
      <w:bookmarkStart w:id="0" w:name="_Hlk85014722"/>
      <w:r w:rsidRPr="00C80638">
        <w:rPr>
          <w:rFonts w:ascii="Times New Roman" w:hAnsi="Times New Roman"/>
          <w:bCs/>
          <w:noProof/>
          <w:sz w:val="20"/>
          <w:szCs w:val="20"/>
          <w:lang w:val="en-MY" w:bidi="ar-SA"/>
        </w:rPr>
        <w:t>Organic solvents were dried to free residual water before analysis using calcium chloride anhydrous</w:t>
      </w:r>
      <w:bookmarkEnd w:id="0"/>
      <w:r w:rsidRPr="00C80638">
        <w:rPr>
          <w:rFonts w:ascii="Times New Roman" w:hAnsi="Times New Roman"/>
          <w:bCs/>
          <w:noProof/>
          <w:sz w:val="20"/>
          <w:szCs w:val="20"/>
          <w:lang w:val="en-MY" w:bidi="ar-SA"/>
        </w:rPr>
        <w:t xml:space="preserve">. </w:t>
      </w:r>
      <w:r w:rsidRPr="00C80638">
        <w:rPr>
          <w:rFonts w:ascii="Times New Roman" w:hAnsi="Times New Roman"/>
          <w:bCs/>
          <w:noProof/>
          <w:sz w:val="20"/>
          <w:szCs w:val="20"/>
          <w:lang w:bidi="ar-SA"/>
        </w:rPr>
        <w:t>Indicator concentration in the solvent was from 0.03 mM to 0.05 mM (for indicator 1 &amp; 2) and 0.1 mM (for indicator 3). The indicator and solvent were mixed properly before analysis to limit a variety of UV absorption to 0.5-1.2. The desired UV spectra of the solution were determined at a resolution of 0.2 nm using a double beam UV-Vis spectrophotometer (Shimadzu, UV-1800). Every UV-Vis spectrum was performed in triplicate. During the UV analysis, the temperature has been controlled at 25±0.1 °C using a temperature controller (Shimadzu, TCC-240A).</w:t>
      </w:r>
    </w:p>
    <w:p w14:paraId="5392A317" w14:textId="77777777" w:rsidR="00C80638" w:rsidRPr="00C80638" w:rsidRDefault="00C80638" w:rsidP="00AA69F2">
      <w:pPr>
        <w:spacing w:after="0"/>
        <w:jc w:val="both"/>
        <w:rPr>
          <w:rFonts w:ascii="Times New Roman" w:hAnsi="Times New Roman"/>
          <w:bCs/>
          <w:noProof/>
          <w:sz w:val="20"/>
          <w:szCs w:val="20"/>
          <w:lang w:val="en-MY" w:bidi="ar-SA"/>
        </w:rPr>
      </w:pPr>
    </w:p>
    <w:p w14:paraId="68B45085" w14:textId="77777777" w:rsidR="00AA69F2" w:rsidRDefault="00AA69F2" w:rsidP="00C80638">
      <w:pPr>
        <w:spacing w:after="0"/>
        <w:jc w:val="center"/>
        <w:rPr>
          <w:rFonts w:ascii="Times New Roman" w:hAnsi="Times New Roman"/>
          <w:noProof/>
          <w:sz w:val="20"/>
          <w:szCs w:val="20"/>
          <w:lang w:bidi="ar-SA"/>
        </w:rPr>
        <w:sectPr w:rsidR="00AA69F2" w:rsidSect="008A3758">
          <w:headerReference w:type="even" r:id="rId17"/>
          <w:headerReference w:type="default" r:id="rId18"/>
          <w:footerReference w:type="even" r:id="rId19"/>
          <w:headerReference w:type="first" r:id="rId20"/>
          <w:type w:val="evenPage"/>
          <w:pgSz w:w="12240" w:h="15840" w:code="1"/>
          <w:pgMar w:top="1800" w:right="1469" w:bottom="1699" w:left="1440" w:header="706" w:footer="706" w:gutter="0"/>
          <w:pgNumType w:start="4"/>
          <w:cols w:num="2" w:space="403"/>
          <w:docGrid w:linePitch="360"/>
        </w:sectPr>
      </w:pPr>
    </w:p>
    <w:p w14:paraId="3B877A34" w14:textId="77777777" w:rsidR="00C80638" w:rsidRPr="00C80638" w:rsidRDefault="00C80638" w:rsidP="000D4B54">
      <w:pPr>
        <w:spacing w:after="120"/>
        <w:jc w:val="center"/>
        <w:rPr>
          <w:rFonts w:ascii="Times New Roman" w:hAnsi="Times New Roman"/>
          <w:noProof/>
          <w:sz w:val="20"/>
          <w:szCs w:val="20"/>
          <w:lang w:bidi="ar-SA"/>
        </w:rPr>
      </w:pPr>
      <w:r w:rsidRPr="00C80638">
        <w:rPr>
          <w:rFonts w:ascii="Times New Roman" w:hAnsi="Times New Roman"/>
          <w:noProof/>
          <w:sz w:val="20"/>
          <w:szCs w:val="20"/>
          <w:lang w:bidi="ar-SA"/>
        </w:rPr>
        <w:drawing>
          <wp:inline distT="0" distB="0" distL="0" distR="0" wp14:anchorId="4FC76375" wp14:editId="28B380D2">
            <wp:extent cx="5474281" cy="196141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5562760" cy="1993119"/>
                    </a:xfrm>
                    <a:prstGeom prst="rect">
                      <a:avLst/>
                    </a:prstGeom>
                    <a:noFill/>
                    <a:ln>
                      <a:noFill/>
                    </a:ln>
                  </pic:spPr>
                </pic:pic>
              </a:graphicData>
            </a:graphic>
          </wp:inline>
        </w:drawing>
      </w:r>
    </w:p>
    <w:p w14:paraId="5767F65B" w14:textId="127A6D24" w:rsidR="00C80638" w:rsidRPr="00B042CE" w:rsidRDefault="00C80638" w:rsidP="00C80638">
      <w:pPr>
        <w:spacing w:after="0"/>
        <w:jc w:val="center"/>
        <w:rPr>
          <w:rFonts w:ascii="Times New Roman" w:hAnsi="Times New Roman"/>
          <w:bCs/>
          <w:noProof/>
          <w:sz w:val="20"/>
          <w:szCs w:val="20"/>
          <w:lang w:bidi="ar-SA"/>
        </w:rPr>
      </w:pPr>
      <w:r w:rsidRPr="00B042CE">
        <w:rPr>
          <w:rFonts w:ascii="Times New Roman" w:hAnsi="Times New Roman"/>
          <w:bCs/>
          <w:noProof/>
          <w:sz w:val="20"/>
          <w:szCs w:val="20"/>
          <w:lang w:bidi="ar-SA"/>
        </w:rPr>
        <w:t xml:space="preserve">Figure 1. </w:t>
      </w:r>
      <w:r w:rsidR="000D4B54">
        <w:rPr>
          <w:rFonts w:ascii="Times New Roman" w:hAnsi="Times New Roman"/>
          <w:bCs/>
          <w:noProof/>
          <w:sz w:val="20"/>
          <w:szCs w:val="20"/>
          <w:lang w:bidi="ar-SA"/>
        </w:rPr>
        <w:t xml:space="preserve"> </w:t>
      </w:r>
      <w:r w:rsidRPr="00B042CE">
        <w:rPr>
          <w:rFonts w:ascii="Times New Roman" w:hAnsi="Times New Roman"/>
          <w:bCs/>
          <w:noProof/>
          <w:sz w:val="20"/>
          <w:szCs w:val="20"/>
          <w:lang w:bidi="ar-SA"/>
        </w:rPr>
        <w:t>Measurement overview of solvatochromic parameters (π*, β, α) using the KT theory</w:t>
      </w:r>
    </w:p>
    <w:p w14:paraId="3F892303" w14:textId="77777777" w:rsidR="00C80638" w:rsidRPr="00C80638" w:rsidRDefault="00C80638" w:rsidP="00C80638">
      <w:pPr>
        <w:spacing w:after="0"/>
        <w:jc w:val="center"/>
        <w:rPr>
          <w:rFonts w:ascii="Times New Roman" w:hAnsi="Times New Roman"/>
          <w:bCs/>
          <w:noProof/>
          <w:sz w:val="20"/>
          <w:szCs w:val="20"/>
          <w:lang w:bidi="ar-SA"/>
        </w:rPr>
      </w:pPr>
    </w:p>
    <w:p w14:paraId="5639B923" w14:textId="77777777" w:rsidR="00DD5CD9" w:rsidRDefault="00DD5CD9" w:rsidP="00AA69F2">
      <w:pPr>
        <w:spacing w:after="0"/>
        <w:jc w:val="both"/>
        <w:rPr>
          <w:rFonts w:ascii="Times New Roman" w:hAnsi="Times New Roman"/>
          <w:b/>
          <w:noProof/>
          <w:sz w:val="20"/>
          <w:szCs w:val="20"/>
          <w:lang w:bidi="ar-SA"/>
        </w:rPr>
      </w:pPr>
    </w:p>
    <w:p w14:paraId="2E076E0B" w14:textId="7DB9A69C" w:rsidR="000D4B54" w:rsidRDefault="000D4B54" w:rsidP="00AA69F2">
      <w:pPr>
        <w:spacing w:after="0"/>
        <w:jc w:val="both"/>
        <w:rPr>
          <w:rFonts w:ascii="Times New Roman" w:hAnsi="Times New Roman"/>
          <w:b/>
          <w:noProof/>
          <w:sz w:val="20"/>
          <w:szCs w:val="20"/>
          <w:lang w:bidi="ar-SA"/>
        </w:rPr>
        <w:sectPr w:rsidR="000D4B54" w:rsidSect="00AA69F2">
          <w:type w:val="continuous"/>
          <w:pgSz w:w="12240" w:h="15840" w:code="1"/>
          <w:pgMar w:top="1800" w:right="1469" w:bottom="1699" w:left="1440" w:header="706" w:footer="706" w:gutter="0"/>
          <w:pgNumType w:start="1"/>
          <w:cols w:space="708"/>
          <w:docGrid w:linePitch="360"/>
        </w:sectPr>
      </w:pPr>
    </w:p>
    <w:p w14:paraId="4A62D640" w14:textId="77777777" w:rsidR="00C80638" w:rsidRPr="00C80638" w:rsidRDefault="00C80638" w:rsidP="00AA69F2">
      <w:pPr>
        <w:spacing w:after="0"/>
        <w:jc w:val="both"/>
        <w:rPr>
          <w:rFonts w:ascii="Times New Roman" w:hAnsi="Times New Roman"/>
          <w:b/>
          <w:noProof/>
          <w:sz w:val="20"/>
          <w:szCs w:val="20"/>
          <w:lang w:bidi="ar-SA"/>
        </w:rPr>
      </w:pPr>
      <w:r w:rsidRPr="00C80638">
        <w:rPr>
          <w:rFonts w:ascii="Times New Roman" w:hAnsi="Times New Roman"/>
          <w:b/>
          <w:noProof/>
          <w:sz w:val="20"/>
          <w:szCs w:val="20"/>
          <w:lang w:bidi="ar-SA"/>
        </w:rPr>
        <w:t>Measurement equation of KT parameters</w:t>
      </w:r>
    </w:p>
    <w:p w14:paraId="4CC2433F" w14:textId="2F3BC05A"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Cs/>
          <w:noProof/>
          <w:sz w:val="20"/>
          <w:szCs w:val="20"/>
          <w:lang w:bidi="ar-SA"/>
        </w:rPr>
        <w:t>Three solvatochromic parameters i.e., KT polarity, KT basicity, and KT acidity were measured according to the original approach of KT theory using three equations (equation S1 to equation S3) [3,4]. The absorption wavenumber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from the highest wavelength value of the analytical sample was converted into KiloKaiser unit (1KK = 1000 cm</w:t>
      </w:r>
      <w:r w:rsidRPr="00C80638">
        <w:rPr>
          <w:rFonts w:ascii="Times New Roman" w:hAnsi="Times New Roman"/>
          <w:bCs/>
          <w:noProof/>
          <w:sz w:val="20"/>
          <w:szCs w:val="20"/>
          <w:vertAlign w:val="superscript"/>
          <w:lang w:bidi="ar-SA"/>
        </w:rPr>
        <w:t>-1</w:t>
      </w:r>
      <w:r w:rsidRPr="00C80638">
        <w:rPr>
          <w:rFonts w:ascii="Times New Roman" w:hAnsi="Times New Roman"/>
          <w:bCs/>
          <w:noProof/>
          <w:sz w:val="20"/>
          <w:szCs w:val="20"/>
          <w:lang w:bidi="ar-SA"/>
        </w:rPr>
        <w:t>) to calculate the equations</w:t>
      </w:r>
      <w:r w:rsidR="00DD5CD9">
        <w:rPr>
          <w:rFonts w:ascii="Times New Roman" w:hAnsi="Times New Roman"/>
          <w:bCs/>
          <w:noProof/>
          <w:sz w:val="20"/>
          <w:szCs w:val="20"/>
          <w:lang w:bidi="ar-SA"/>
        </w:rPr>
        <w:t xml:space="preserve"> (1-3)</w:t>
      </w:r>
      <w:r w:rsidRPr="00C80638">
        <w:rPr>
          <w:rFonts w:ascii="Times New Roman" w:hAnsi="Times New Roman"/>
          <w:bCs/>
          <w:noProof/>
          <w:sz w:val="20"/>
          <w:szCs w:val="20"/>
          <w:lang w:bidi="ar-SA"/>
        </w:rPr>
        <w:t xml:space="preserve">. </w:t>
      </w:r>
    </w:p>
    <w:p w14:paraId="73CF9EFF" w14:textId="77777777" w:rsidR="00C80638" w:rsidRPr="00C80638" w:rsidRDefault="00C80638" w:rsidP="00C80638">
      <w:pPr>
        <w:spacing w:after="0"/>
        <w:jc w:val="center"/>
        <w:rPr>
          <w:rFonts w:ascii="Times New Roman" w:hAnsi="Times New Roman"/>
          <w:bCs/>
          <w:noProof/>
          <w:sz w:val="20"/>
          <w:szCs w:val="20"/>
          <w:lang w:bidi="ar-SA"/>
        </w:rPr>
      </w:pPr>
    </w:p>
    <w:p w14:paraId="7F13A4EE" w14:textId="77777777"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
          <w:noProof/>
          <w:sz w:val="20"/>
          <w:szCs w:val="20"/>
          <w:lang w:bidi="ar-SA"/>
        </w:rPr>
        <w:t>Statistical analysis</w:t>
      </w:r>
    </w:p>
    <w:p w14:paraId="2FAB27E3" w14:textId="77777777" w:rsidR="00C80638" w:rsidRPr="00C80638" w:rsidRDefault="00C80638" w:rsidP="00AA69F2">
      <w:pPr>
        <w:spacing w:after="0"/>
        <w:jc w:val="both"/>
        <w:rPr>
          <w:rFonts w:ascii="Times New Roman" w:hAnsi="Times New Roman"/>
          <w:bCs/>
          <w:noProof/>
          <w:sz w:val="20"/>
          <w:szCs w:val="20"/>
          <w:lang w:bidi="ar-SA"/>
        </w:rPr>
      </w:pPr>
      <w:r w:rsidRPr="00C80638">
        <w:rPr>
          <w:rFonts w:ascii="Times New Roman" w:hAnsi="Times New Roman"/>
          <w:bCs/>
          <w:noProof/>
          <w:sz w:val="20"/>
          <w:szCs w:val="20"/>
          <w:lang w:bidi="ar-SA"/>
        </w:rPr>
        <w:t>Experimental results were expressed as mean (n = 3) with uncertainty values and the data was analyzed using ANOVA and Dunnett's t-test in SPSS (version 20). *P values of 0.05 or less were regarded as significant.</w:t>
      </w:r>
    </w:p>
    <w:p w14:paraId="51C32C99" w14:textId="77777777" w:rsidR="006768E9" w:rsidRPr="00F447A7" w:rsidRDefault="006768E9" w:rsidP="00AA69F2">
      <w:pPr>
        <w:spacing w:after="0"/>
        <w:jc w:val="both"/>
        <w:rPr>
          <w:rFonts w:ascii="Times New Roman" w:hAnsi="Times New Roman"/>
          <w:noProof/>
          <w:sz w:val="20"/>
          <w:szCs w:val="20"/>
          <w:lang w:bidi="ar-SA"/>
        </w:rPr>
      </w:pPr>
    </w:p>
    <w:p w14:paraId="4792DC26" w14:textId="64EEB9A2" w:rsidR="006768E9" w:rsidRPr="00F447A7" w:rsidRDefault="006768E9" w:rsidP="00B822E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93161A8" w14:textId="4C31938E" w:rsidR="00C80638" w:rsidRPr="00C80638"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values of the measured wavenumbers (Vmax) and the obtained KT parameters have been expressed in Table 2 and Table 3. The absorbance range was established among the samples confined within 0.5 to 1.2. A total of ten pure solvents were analyzed to determine π*, β, and α. At the same time, sixteen mixed (HBD-HBA) solvents were also analyzed, involving eight aqueous and eight non-aqueous solvent pairs. </w:t>
      </w:r>
      <w:bookmarkStart w:id="1" w:name="_Hlk82209698"/>
      <w:r w:rsidRPr="00C80638">
        <w:rPr>
          <w:rFonts w:ascii="Times New Roman" w:hAnsi="Times New Roman"/>
          <w:noProof/>
          <w:sz w:val="20"/>
          <w:szCs w:val="20"/>
          <w:lang w:bidi="ar-SA"/>
        </w:rPr>
        <w:t>In pure solvents, EtOH, MeOH,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 xml:space="preserve">O, iPrOH showed a high KT acidity and low KT polarity, whereas, DCM, ACN showed a low KT basicity. On the other hand, Ace, ACN, DMSO, DMF, and THF showed low acidity. In other words, the recommended solvents showed a high KT acidity, low KT basicity, and low KT polarity. In </w:t>
      </w:r>
      <w:r w:rsidRPr="00C80638">
        <w:rPr>
          <w:rFonts w:ascii="Times New Roman" w:hAnsi="Times New Roman"/>
          <w:noProof/>
          <w:sz w:val="20"/>
          <w:szCs w:val="20"/>
          <w:lang w:bidi="ar-SA"/>
        </w:rPr>
        <w:t>contrast, maximum problematic and hazardous solvents showed low KT acidity, high KT basicity, and high KT polarity except for DCM, iPrOH, and MeOH. Almost similar</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 findings </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have </w:t>
      </w:r>
      <w:r w:rsidR="00215204">
        <w:rPr>
          <w:rFonts w:ascii="Times New Roman" w:hAnsi="Times New Roman"/>
          <w:noProof/>
          <w:sz w:val="20"/>
          <w:szCs w:val="20"/>
          <w:lang w:bidi="ar-SA"/>
        </w:rPr>
        <w:t xml:space="preserve"> </w:t>
      </w:r>
      <w:r w:rsidRPr="00C80638">
        <w:rPr>
          <w:rFonts w:ascii="Times New Roman" w:hAnsi="Times New Roman"/>
          <w:noProof/>
          <w:sz w:val="20"/>
          <w:szCs w:val="20"/>
          <w:lang w:bidi="ar-SA"/>
        </w:rPr>
        <w:t xml:space="preserve">been reported in the literature [20, 21]. </w:t>
      </w:r>
      <w:bookmarkEnd w:id="1"/>
    </w:p>
    <w:p w14:paraId="767C601E" w14:textId="77777777" w:rsidR="00C80638" w:rsidRPr="00C80638" w:rsidRDefault="00C80638" w:rsidP="00AA69F2">
      <w:pPr>
        <w:spacing w:after="0"/>
        <w:jc w:val="both"/>
        <w:rPr>
          <w:rFonts w:ascii="Times New Roman" w:hAnsi="Times New Roman"/>
          <w:noProof/>
          <w:sz w:val="20"/>
          <w:szCs w:val="20"/>
          <w:lang w:bidi="ar-SA"/>
        </w:rPr>
      </w:pPr>
    </w:p>
    <w:p w14:paraId="14A329F2" w14:textId="2F4D2C9B" w:rsidR="00DD5CD9" w:rsidRDefault="00C80638" w:rsidP="00AA69F2">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Among the 16 mixed solvents, only four solvent mixtures i.e.,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 EtOH-DMSO were exhibited as recommended solvents, and the other 12 solvent mixtures were demonstrated as problematic in which 5 solvent mixtures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 EtOH-Ace, MeOH-Ace,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EtOH-</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xml:space="preserve">) showed as near to recommended solvent, as shown in Table 4. </w:t>
      </w:r>
      <w:bookmarkStart w:id="2" w:name="_Hlk82209633"/>
      <w:r w:rsidRPr="00C80638">
        <w:rPr>
          <w:rFonts w:ascii="Times New Roman" w:hAnsi="Times New Roman"/>
          <w:noProof/>
          <w:sz w:val="20"/>
          <w:szCs w:val="20"/>
          <w:lang w:bidi="ar-SA"/>
        </w:rPr>
        <w:t>Eight aqueous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 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 and two non-aqueous solvent mixtures (EtOH-DMF, EtOH-DMSO) showed a low KT acidity, low KT basicity, and high KT polarity. On the contrary, other non-aqueous solvent mixtures (EtOH-</w:t>
      </w:r>
      <w:r w:rsidR="00215204">
        <w:rPr>
          <w:rFonts w:ascii="Times New Roman" w:hAnsi="Times New Roman"/>
          <w:noProof/>
          <w:sz w:val="20"/>
          <w:szCs w:val="20"/>
          <w:lang w:bidi="ar-SA"/>
        </w:rPr>
        <w:t>CAN</w:t>
      </w:r>
      <w:r w:rsidRPr="00C80638">
        <w:rPr>
          <w:rFonts w:ascii="Times New Roman" w:hAnsi="Times New Roman"/>
          <w:noProof/>
          <w:sz w:val="20"/>
          <w:szCs w:val="20"/>
          <w:lang w:bidi="ar-SA"/>
        </w:rPr>
        <w:t xml:space="preserve">, EtOH-Ace, EtOH-THF, MeOH-Ace, MeOH-DMF, MeOH-THF) showed a high KT acidity, low KT polarity, and low KT basicity, tabulated (Table 3). Similar results were found in the literature and previous work [6,11,12]. </w:t>
      </w:r>
      <w:bookmarkEnd w:id="2"/>
      <w:r w:rsidRPr="00C80638">
        <w:rPr>
          <w:rFonts w:ascii="Times New Roman" w:hAnsi="Times New Roman"/>
          <w:noProof/>
          <w:sz w:val="20"/>
          <w:szCs w:val="20"/>
          <w:lang w:bidi="ar-SA"/>
        </w:rPr>
        <w:t>The solvent ranking was required for the application of mixed solvents that was prepared based on the GSK2016 and Innovative Medicines Initiative CHEM21 (IMI-CHEM21) solvent selection guideline [22]. The ranking of mixed solvents was ascertained from the minimum value of the GSK health and safety scores of HBA solvent using the equation (</w:t>
      </w:r>
      <w:r w:rsidR="00DD5CD9">
        <w:rPr>
          <w:rFonts w:ascii="Times New Roman" w:hAnsi="Times New Roman"/>
          <w:noProof/>
          <w:sz w:val="20"/>
          <w:szCs w:val="20"/>
          <w:lang w:bidi="ar-SA"/>
        </w:rPr>
        <w:t>S</w:t>
      </w:r>
      <w:r w:rsidRPr="00C80638">
        <w:rPr>
          <w:rFonts w:ascii="Times New Roman" w:hAnsi="Times New Roman"/>
          <w:noProof/>
          <w:sz w:val="20"/>
          <w:szCs w:val="20"/>
          <w:lang w:bidi="ar-SA"/>
        </w:rPr>
        <w:t>4) [22].</w:t>
      </w:r>
    </w:p>
    <w:p w14:paraId="57AD5FA5" w14:textId="77777777" w:rsidR="00D662D7" w:rsidRPr="00C80638" w:rsidRDefault="00D662D7" w:rsidP="00D662D7">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lastRenderedPageBreak/>
        <w:t>Prat et al.  and Byrne et al. stated that the commonly used solvents in drug synthesis and processing are hazardous, such as DMF, DMSO, NMP, DMAC, and pyridine, which are from dipolar aprotic solvents (HBA). IMI-CHEM21, GSK, Pfizer, ICH guidelines suggested that those solvents should be substituted/limited with safe solvents due to their toxic activities [7-9]. American Chemical Society (ACS) and Green Chemistry Institute (GCI) were investigating to replace such solvents in synthetic chemistry [23]. Duereh et al. stated that API has both HBD and HBA sites and dipolar aprotic (HBA) solvents have low KT acidity, high KT basicity, and high KT polarity. HBA solvents could easily create a strong chemical binding with the HBD site of API for these chemical properties [5].</w:t>
      </w:r>
    </w:p>
    <w:p w14:paraId="313B2E29" w14:textId="77777777" w:rsidR="00D662D7" w:rsidRDefault="00D662D7" w:rsidP="00D662D7">
      <w:pPr>
        <w:spacing w:after="0"/>
        <w:jc w:val="both"/>
        <w:rPr>
          <w:rFonts w:ascii="Times New Roman" w:hAnsi="Times New Roman"/>
          <w:noProof/>
          <w:sz w:val="20"/>
          <w:szCs w:val="20"/>
          <w:lang w:bidi="ar-SA"/>
        </w:rPr>
      </w:pPr>
    </w:p>
    <w:p w14:paraId="6E155C35" w14:textId="6B4022E6" w:rsidR="00151873" w:rsidRDefault="00D662D7" w:rsidP="00AA69F2">
      <w:pPr>
        <w:spacing w:after="0"/>
        <w:jc w:val="both"/>
        <w:rPr>
          <w:rFonts w:ascii="Times New Roman" w:hAnsi="Times New Roman"/>
          <w:noProof/>
          <w:sz w:val="20"/>
          <w:szCs w:val="20"/>
          <w:lang w:bidi="ar-SA"/>
        </w:rPr>
        <w:sectPr w:rsidR="00151873" w:rsidSect="00DD5CD9">
          <w:footerReference w:type="default" r:id="rId23"/>
          <w:type w:val="continuous"/>
          <w:pgSz w:w="12240" w:h="15840" w:code="1"/>
          <w:pgMar w:top="1800" w:right="1469" w:bottom="1699" w:left="1440" w:header="706" w:footer="706" w:gutter="0"/>
          <w:pgNumType w:start="1"/>
          <w:cols w:num="2" w:space="403"/>
          <w:docGrid w:linePitch="360"/>
        </w:sectPr>
      </w:pPr>
      <w:r w:rsidRPr="00C80638">
        <w:rPr>
          <w:rFonts w:ascii="Times New Roman" w:hAnsi="Times New Roman"/>
          <w:noProof/>
          <w:sz w:val="20"/>
          <w:szCs w:val="20"/>
          <w:lang w:bidi="ar-SA"/>
        </w:rPr>
        <w:t xml:space="preserve">Duereh et al. studied with 52 solvent mixtures and they reported that combinations of HBD-HBA allow the </w:t>
      </w:r>
      <w:r w:rsidRPr="00C80638">
        <w:rPr>
          <w:rFonts w:ascii="Times New Roman" w:hAnsi="Times New Roman"/>
          <w:noProof/>
          <w:sz w:val="20"/>
          <w:szCs w:val="20"/>
          <w:lang w:bidi="ar-SA"/>
        </w:rPr>
        <w:t>binding with API because solvent mixtures show low KT acidity, high KT basicity, and high KT polarity properties. For that, the solvent mixture can be used for the replacement of dipolar aprotic solvent. Although strong binding with API depends on physicochemical properties of solvent mixture. All mixtures who exhibited low KT acidity and high KT basicity, they are also capable to bind with the HBD site of API, can be selected for drug synthesis [4, 11, 13]. The solvent ranking was prepared to know which mixture is hazardous or p</w:t>
      </w:r>
      <w:r w:rsidRPr="00C80638">
        <w:rPr>
          <w:rFonts w:ascii="Times New Roman" w:hAnsi="Times New Roman" w:hint="eastAsia"/>
          <w:noProof/>
          <w:sz w:val="20"/>
          <w:szCs w:val="20"/>
          <w:lang w:bidi="ar-SA"/>
        </w:rPr>
        <w:t xml:space="preserve">roblematic and which is recommended before being applied in synthesis. However, pure recommended solvents typically showed high acidity that is not capable to bind with the API. Therefore, when the solvent-pair mixtures </w:t>
      </w:r>
      <w:r w:rsidRPr="00C80638">
        <w:rPr>
          <w:rFonts w:ascii="Times New Roman" w:hAnsi="Times New Roman"/>
          <w:noProof/>
          <w:sz w:val="20"/>
          <w:szCs w:val="20"/>
          <w:lang w:bidi="ar-SA"/>
        </w:rPr>
        <w:t xml:space="preserve">show </w:t>
      </w:r>
      <w:r w:rsidRPr="00C80638">
        <w:rPr>
          <w:rFonts w:ascii="Times New Roman" w:hAnsi="Times New Roman" w:hint="eastAsia"/>
          <w:noProof/>
          <w:sz w:val="20"/>
          <w:szCs w:val="20"/>
          <w:lang w:bidi="ar-SA"/>
        </w:rPr>
        <w:t>low KT acidity (α ≈ 0), high KT</w:t>
      </w:r>
      <w:r w:rsidRPr="00C80638">
        <w:rPr>
          <w:rFonts w:ascii="Times New Roman" w:hAnsi="Times New Roman"/>
          <w:noProof/>
          <w:sz w:val="20"/>
          <w:szCs w:val="20"/>
          <w:lang w:bidi="ar-SA"/>
        </w:rPr>
        <w:t xml:space="preserve"> basicity (β &gt; 0.6), and high KT polarity (π* &gt; 0.6), they offer a strong binding with the API [3, 11]. </w:t>
      </w:r>
    </w:p>
    <w:p w14:paraId="06EB83D3" w14:textId="77777777" w:rsidR="00D662D7" w:rsidRDefault="00D662D7" w:rsidP="008857CC">
      <w:pPr>
        <w:spacing w:after="0"/>
        <w:rPr>
          <w:rFonts w:ascii="Times New Roman" w:hAnsi="Times New Roman"/>
          <w:noProof/>
          <w:sz w:val="20"/>
          <w:szCs w:val="20"/>
          <w:lang w:bidi="ar-SA"/>
        </w:rPr>
      </w:pPr>
    </w:p>
    <w:p w14:paraId="6D57B2E4" w14:textId="344CF1F8" w:rsidR="00DD5CD9" w:rsidRPr="00C80638"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1: </w:t>
      </w:r>
      <w:r w:rsidRPr="00C80638">
        <w:rPr>
          <w:rFonts w:ascii="Times New Roman" w:hAnsi="Times New Roman"/>
          <w:noProof/>
          <w:sz w:val="20"/>
          <w:szCs w:val="20"/>
          <w:lang w:bidi="ar-SA"/>
        </w:rPr>
        <w:tab/>
        <w:t xml:space="preserve">Polarity (π*) = (28.10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3.52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(1)</w:t>
      </w:r>
    </w:p>
    <w:p w14:paraId="5876C24C" w14:textId="77777777" w:rsidR="00DD5CD9" w:rsidRPr="00C80638" w:rsidRDefault="00DD5CD9" w:rsidP="00B822E7">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2: </w:t>
      </w:r>
      <w:r w:rsidRPr="00C80638">
        <w:rPr>
          <w:rFonts w:ascii="Times New Roman" w:hAnsi="Times New Roman"/>
          <w:noProof/>
          <w:sz w:val="20"/>
          <w:szCs w:val="20"/>
          <w:lang w:bidi="ar-SA"/>
        </w:rPr>
        <w:tab/>
        <w:t>Basicity (β) = (0.984</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+ 3.49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max2</w:t>
      </w:r>
      <w:r w:rsidRPr="00C80638">
        <w:rPr>
          <w:rFonts w:ascii="Times New Roman" w:hAnsi="Times New Roman"/>
          <w:noProof/>
          <w:sz w:val="20"/>
          <w:szCs w:val="20"/>
          <w:lang w:bidi="ar-SA"/>
        </w:rPr>
        <w:t xml:space="preserve">) / 2.759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(2)</w:t>
      </w:r>
    </w:p>
    <w:p w14:paraId="18487043" w14:textId="4756332A" w:rsidR="00DD5CD9" w:rsidRDefault="00DD5CD9" w:rsidP="008857CC">
      <w:pPr>
        <w:spacing w:after="0"/>
        <w:ind w:firstLine="547"/>
        <w:rPr>
          <w:rFonts w:ascii="Times New Roman" w:hAnsi="Times New Roman"/>
          <w:noProof/>
          <w:sz w:val="20"/>
          <w:szCs w:val="20"/>
          <w:lang w:bidi="ar-SA"/>
        </w:rPr>
      </w:pPr>
      <w:r w:rsidRPr="00C80638">
        <w:rPr>
          <w:rFonts w:ascii="Times New Roman" w:hAnsi="Times New Roman"/>
          <w:noProof/>
          <w:sz w:val="20"/>
          <w:szCs w:val="20"/>
          <w:lang w:bidi="ar-SA"/>
        </w:rPr>
        <w:t xml:space="preserve">Indicator 3: </w:t>
      </w:r>
      <w:r w:rsidRPr="00C80638">
        <w:rPr>
          <w:rFonts w:ascii="Times New Roman" w:hAnsi="Times New Roman"/>
          <w:noProof/>
          <w:sz w:val="20"/>
          <w:szCs w:val="20"/>
          <w:lang w:bidi="ar-SA"/>
        </w:rPr>
        <w:tab/>
        <w:t>Acidity (α) = (1.318</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max1</w:t>
      </w:r>
      <w:r w:rsidRPr="00C80638">
        <w:rPr>
          <w:rFonts w:ascii="Times New Roman" w:hAnsi="Times New Roman"/>
          <w:noProof/>
          <w:sz w:val="20"/>
          <w:szCs w:val="20"/>
          <w:lang w:bidi="ar-SA"/>
        </w:rPr>
        <w:t xml:space="preserve"> – 47.7 + </w:t>
      </w:r>
      <w:r w:rsidRPr="00C80638">
        <w:rPr>
          <w:rFonts w:ascii="Times New Roman" w:hAnsi="Times New Roman"/>
          <w:i/>
          <w:noProof/>
          <w:sz w:val="20"/>
          <w:szCs w:val="20"/>
          <w:lang w:bidi="ar-SA"/>
        </w:rPr>
        <w:t>V</w:t>
      </w:r>
      <w:r w:rsidRPr="00C80638">
        <w:rPr>
          <w:rFonts w:ascii="Times New Roman" w:hAnsi="Times New Roman"/>
          <w:noProof/>
          <w:sz w:val="20"/>
          <w:szCs w:val="20"/>
          <w:vertAlign w:val="subscript"/>
          <w:lang w:bidi="ar-SA"/>
        </w:rPr>
        <w:t>max3</w:t>
      </w:r>
      <w:r w:rsidRPr="00C80638">
        <w:rPr>
          <w:rFonts w:ascii="Times New Roman" w:hAnsi="Times New Roman"/>
          <w:noProof/>
          <w:sz w:val="20"/>
          <w:szCs w:val="20"/>
          <w:lang w:bidi="ar-SA"/>
        </w:rPr>
        <w:t xml:space="preserve">) / 5.47             </w:t>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r>
      <w:r w:rsidRPr="00C80638">
        <w:rPr>
          <w:rFonts w:ascii="Times New Roman" w:hAnsi="Times New Roman"/>
          <w:noProof/>
          <w:sz w:val="20"/>
          <w:szCs w:val="20"/>
          <w:lang w:bidi="ar-SA"/>
        </w:rPr>
        <w:tab/>
        <w:t xml:space="preserve">   (3)</w:t>
      </w:r>
    </w:p>
    <w:p w14:paraId="5F9A04E8" w14:textId="50F5BD08" w:rsidR="00C80638" w:rsidRDefault="00C80638" w:rsidP="008857CC">
      <w:pPr>
        <w:spacing w:after="0"/>
        <w:ind w:left="540"/>
        <w:rPr>
          <w:rFonts w:ascii="Times New Roman" w:hAnsi="Times New Roman"/>
          <w:noProof/>
          <w:sz w:val="20"/>
          <w:szCs w:val="20"/>
          <w:lang w:bidi="ar-SA"/>
        </w:rPr>
      </w:pPr>
      <w:r w:rsidRPr="00C80638">
        <w:rPr>
          <w:rFonts w:ascii="Times New Roman" w:hAnsi="Times New Roman" w:hint="eastAsia"/>
          <w:noProof/>
          <w:sz w:val="20"/>
          <w:szCs w:val="20"/>
          <w:lang w:bidi="ar-SA"/>
        </w:rPr>
        <w:t>Composite score = √</w:t>
      </w:r>
      <w:r w:rsidRPr="00C80638">
        <w:rPr>
          <w:rFonts w:ascii="Times New Roman" w:hAnsi="Times New Roman"/>
          <w:noProof/>
          <w:sz w:val="20"/>
          <w:szCs w:val="20"/>
          <w:lang w:bidi="ar-SA"/>
        </w:rPr>
        <w:t xml:space="preserve"> (</w:t>
      </w:r>
      <w:r w:rsidRPr="00C80638">
        <w:rPr>
          <w:rFonts w:ascii="Times New Roman" w:hAnsi="Times New Roman" w:hint="eastAsia"/>
          <w:noProof/>
          <w:sz w:val="20"/>
          <w:szCs w:val="20"/>
          <w:lang w:bidi="ar-SA"/>
        </w:rPr>
        <w:t>Safety score x Health score)</w:t>
      </w:r>
      <w:r w:rsidRPr="00C80638">
        <w:rPr>
          <w:rFonts w:ascii="Times New Roman" w:hAnsi="Times New Roman" w:hint="eastAsia"/>
          <w:noProof/>
          <w:sz w:val="20"/>
          <w:szCs w:val="20"/>
          <w:lang w:bidi="ar-SA"/>
        </w:rPr>
        <w:tab/>
      </w:r>
      <w:r w:rsidR="00642EA8">
        <w:rPr>
          <w:rFonts w:ascii="Times New Roman" w:hAnsi="Times New Roman"/>
          <w:noProof/>
          <w:sz w:val="20"/>
          <w:szCs w:val="20"/>
          <w:lang w:bidi="ar-SA"/>
        </w:rPr>
        <w:tab/>
      </w:r>
      <w:r w:rsidRPr="00C80638">
        <w:rPr>
          <w:rFonts w:ascii="Times New Roman" w:hAnsi="Times New Roman" w:hint="eastAsia"/>
          <w:noProof/>
          <w:sz w:val="20"/>
          <w:szCs w:val="20"/>
          <w:lang w:bidi="ar-SA"/>
        </w:rPr>
        <w:t xml:space="preserve">      </w:t>
      </w:r>
      <w:r w:rsidRPr="00C80638">
        <w:rPr>
          <w:rFonts w:ascii="Times New Roman" w:hAnsi="Times New Roman" w:hint="eastAsia"/>
          <w:noProof/>
          <w:sz w:val="20"/>
          <w:szCs w:val="20"/>
          <w:lang w:bidi="ar-SA"/>
        </w:rPr>
        <w:tab/>
      </w:r>
      <w:r w:rsidRPr="00C80638">
        <w:rPr>
          <w:rFonts w:ascii="Times New Roman" w:hAnsi="Times New Roman" w:hint="eastAsia"/>
          <w:noProof/>
          <w:sz w:val="20"/>
          <w:szCs w:val="20"/>
          <w:lang w:bidi="ar-SA"/>
        </w:rPr>
        <w:tab/>
      </w:r>
      <w:r w:rsidRPr="00C80638">
        <w:rPr>
          <w:rFonts w:ascii="Times New Roman" w:hAnsi="Times New Roman" w:hint="eastAsia"/>
          <w:noProof/>
          <w:sz w:val="20"/>
          <w:szCs w:val="20"/>
          <w:lang w:bidi="ar-SA"/>
        </w:rPr>
        <w:tab/>
      </w:r>
      <w:r w:rsidRPr="00C80638">
        <w:rPr>
          <w:rFonts w:ascii="Times New Roman" w:hAnsi="Times New Roman"/>
          <w:noProof/>
          <w:sz w:val="20"/>
          <w:szCs w:val="20"/>
          <w:lang w:bidi="ar-SA"/>
        </w:rPr>
        <w:t xml:space="preserve">   </w:t>
      </w:r>
      <w:r w:rsidR="00642EA8">
        <w:rPr>
          <w:rFonts w:ascii="Times New Roman" w:hAnsi="Times New Roman"/>
          <w:noProof/>
          <w:sz w:val="20"/>
          <w:szCs w:val="20"/>
          <w:lang w:bidi="ar-SA"/>
        </w:rPr>
        <w:t xml:space="preserve">    </w:t>
      </w:r>
      <w:r w:rsidR="00642EA8">
        <w:rPr>
          <w:rFonts w:ascii="Times New Roman" w:hAnsi="Times New Roman"/>
          <w:noProof/>
          <w:sz w:val="20"/>
          <w:szCs w:val="20"/>
          <w:lang w:bidi="ar-SA"/>
        </w:rPr>
        <w:tab/>
        <w:t xml:space="preserve">   </w:t>
      </w:r>
      <w:r w:rsidRPr="00C80638">
        <w:rPr>
          <w:rFonts w:ascii="Times New Roman" w:hAnsi="Times New Roman" w:hint="eastAsia"/>
          <w:noProof/>
          <w:sz w:val="20"/>
          <w:szCs w:val="20"/>
          <w:lang w:bidi="ar-SA"/>
        </w:rPr>
        <w:t xml:space="preserve">(4) </w:t>
      </w:r>
    </w:p>
    <w:p w14:paraId="19F868AA" w14:textId="77777777" w:rsidR="00D662D7" w:rsidRPr="00C80638" w:rsidRDefault="00D662D7" w:rsidP="00C80638">
      <w:pPr>
        <w:spacing w:after="0"/>
        <w:jc w:val="center"/>
        <w:rPr>
          <w:rFonts w:ascii="Times New Roman" w:hAnsi="Times New Roman"/>
          <w:noProof/>
          <w:sz w:val="20"/>
          <w:szCs w:val="20"/>
          <w:lang w:bidi="ar-SA"/>
        </w:rPr>
      </w:pPr>
    </w:p>
    <w:tbl>
      <w:tblPr>
        <w:tblW w:w="8757" w:type="dxa"/>
        <w:jc w:val="center"/>
        <w:tblLayout w:type="fixed"/>
        <w:tblLook w:val="04A0" w:firstRow="1" w:lastRow="0" w:firstColumn="1" w:lastColumn="0" w:noHBand="0" w:noVBand="1"/>
      </w:tblPr>
      <w:tblGrid>
        <w:gridCol w:w="1023"/>
        <w:gridCol w:w="1594"/>
        <w:gridCol w:w="1077"/>
        <w:gridCol w:w="1522"/>
        <w:gridCol w:w="1094"/>
        <w:gridCol w:w="1494"/>
        <w:gridCol w:w="953"/>
      </w:tblGrid>
      <w:tr w:rsidR="008857CC" w:rsidRPr="00C80638" w14:paraId="200508A3" w14:textId="77777777" w:rsidTr="005436F7">
        <w:trPr>
          <w:trHeight w:val="467"/>
          <w:jc w:val="center"/>
        </w:trPr>
        <w:tc>
          <w:tcPr>
            <w:tcW w:w="8757" w:type="dxa"/>
            <w:gridSpan w:val="7"/>
            <w:tcBorders>
              <w:bottom w:val="single" w:sz="4" w:space="0" w:color="auto"/>
            </w:tcBorders>
            <w:shd w:val="clear" w:color="auto" w:fill="auto"/>
          </w:tcPr>
          <w:p w14:paraId="05516E67" w14:textId="77777777" w:rsidR="008857CC" w:rsidRPr="00C80638" w:rsidRDefault="008857CC" w:rsidP="005436F7">
            <w:pPr>
              <w:spacing w:after="120"/>
              <w:ind w:left="691" w:hanging="691"/>
              <w:jc w:val="center"/>
              <w:rPr>
                <w:rFonts w:ascii="Times New Roman" w:hAnsi="Times New Roman"/>
                <w:bCs/>
                <w:noProof/>
                <w:sz w:val="20"/>
                <w:szCs w:val="20"/>
                <w:lang w:bidi="ar-SA"/>
              </w:rPr>
            </w:pPr>
            <w:r w:rsidRPr="00C80638">
              <w:rPr>
                <w:rFonts w:ascii="Times New Roman" w:hAnsi="Times New Roman"/>
                <w:bCs/>
                <w:noProof/>
                <w:sz w:val="20"/>
                <w:szCs w:val="20"/>
                <w:lang w:bidi="ar-SA"/>
              </w:rPr>
              <w:t>Table 2</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The properties of pure solvents from the wavenumber average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using the original approach of KT equations</w:t>
            </w:r>
          </w:p>
        </w:tc>
      </w:tr>
      <w:tr w:rsidR="008857CC" w:rsidRPr="00C80638" w14:paraId="5CAE55AE" w14:textId="77777777" w:rsidTr="005436F7">
        <w:trPr>
          <w:trHeight w:val="609"/>
          <w:jc w:val="center"/>
        </w:trPr>
        <w:tc>
          <w:tcPr>
            <w:tcW w:w="1023" w:type="dxa"/>
            <w:vMerge w:val="restart"/>
            <w:tcBorders>
              <w:top w:val="single" w:sz="4" w:space="0" w:color="auto"/>
            </w:tcBorders>
            <w:shd w:val="clear" w:color="auto" w:fill="auto"/>
            <w:vAlign w:val="center"/>
          </w:tcPr>
          <w:p w14:paraId="7C29226C" w14:textId="77777777" w:rsidR="008857CC" w:rsidRPr="00C80638" w:rsidRDefault="008857CC" w:rsidP="005436F7">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Solvent</w:t>
            </w:r>
          </w:p>
        </w:tc>
        <w:tc>
          <w:tcPr>
            <w:tcW w:w="1594" w:type="dxa"/>
            <w:tcBorders>
              <w:top w:val="single" w:sz="4" w:space="0" w:color="auto"/>
              <w:bottom w:val="single" w:sz="4" w:space="0" w:color="auto"/>
            </w:tcBorders>
            <w:shd w:val="clear" w:color="auto" w:fill="auto"/>
            <w:vAlign w:val="center"/>
          </w:tcPr>
          <w:p w14:paraId="511A758B" w14:textId="77777777" w:rsidR="008857CC" w:rsidRPr="00C80638" w:rsidRDefault="008857CC" w:rsidP="005436F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7F1C31BB" w14:textId="77777777" w:rsidR="008857CC" w:rsidRPr="00C80638" w:rsidRDefault="008857CC" w:rsidP="005436F7">
            <w:pPr>
              <w:spacing w:after="0" w:line="240" w:lineRule="auto"/>
              <w:jc w:val="center"/>
              <w:rPr>
                <w:rFonts w:ascii="Times New Roman" w:hAnsi="Times New Roman"/>
                <w:b/>
                <w:noProof/>
                <w:sz w:val="20"/>
                <w:szCs w:val="20"/>
                <w:lang w:bidi="ar-SA"/>
              </w:rPr>
            </w:pPr>
          </w:p>
        </w:tc>
        <w:tc>
          <w:tcPr>
            <w:tcW w:w="1077" w:type="dxa"/>
            <w:tcBorders>
              <w:top w:val="single" w:sz="4" w:space="0" w:color="auto"/>
              <w:bottom w:val="single" w:sz="4" w:space="0" w:color="auto"/>
            </w:tcBorders>
            <w:shd w:val="clear" w:color="auto" w:fill="auto"/>
            <w:vAlign w:val="center"/>
          </w:tcPr>
          <w:p w14:paraId="77ACC3C6"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*Polarity</w:t>
            </w:r>
          </w:p>
          <w:p w14:paraId="39DF720D"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(π*)</w:t>
            </w:r>
          </w:p>
        </w:tc>
        <w:tc>
          <w:tcPr>
            <w:tcW w:w="1522" w:type="dxa"/>
            <w:tcBorders>
              <w:top w:val="single" w:sz="4" w:space="0" w:color="auto"/>
              <w:bottom w:val="single" w:sz="4" w:space="0" w:color="auto"/>
            </w:tcBorders>
            <w:shd w:val="clear" w:color="auto" w:fill="auto"/>
            <w:vAlign w:val="center"/>
          </w:tcPr>
          <w:p w14:paraId="4C271E96" w14:textId="77777777" w:rsidR="008857CC" w:rsidRPr="00C80638" w:rsidRDefault="008857CC" w:rsidP="005436F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13CD2D5F" w14:textId="77777777" w:rsidR="008857CC" w:rsidRPr="00C80638" w:rsidRDefault="008857CC" w:rsidP="005436F7">
            <w:pPr>
              <w:spacing w:after="0" w:line="240" w:lineRule="auto"/>
              <w:jc w:val="center"/>
              <w:rPr>
                <w:rFonts w:ascii="Times New Roman" w:hAnsi="Times New Roman"/>
                <w:b/>
                <w:noProof/>
                <w:sz w:val="20"/>
                <w:szCs w:val="20"/>
                <w:lang w:bidi="ar-SA"/>
              </w:rPr>
            </w:pPr>
          </w:p>
        </w:tc>
        <w:tc>
          <w:tcPr>
            <w:tcW w:w="1094" w:type="dxa"/>
            <w:tcBorders>
              <w:top w:val="single" w:sz="4" w:space="0" w:color="auto"/>
              <w:bottom w:val="single" w:sz="4" w:space="0" w:color="auto"/>
            </w:tcBorders>
            <w:shd w:val="clear" w:color="auto" w:fill="auto"/>
            <w:vAlign w:val="center"/>
          </w:tcPr>
          <w:p w14:paraId="415256ED"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*Basicity</w:t>
            </w:r>
          </w:p>
          <w:p w14:paraId="0EDD8B88"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(β)</w:t>
            </w:r>
          </w:p>
        </w:tc>
        <w:tc>
          <w:tcPr>
            <w:tcW w:w="1494" w:type="dxa"/>
            <w:tcBorders>
              <w:top w:val="single" w:sz="4" w:space="0" w:color="auto"/>
              <w:bottom w:val="single" w:sz="4" w:space="0" w:color="auto"/>
            </w:tcBorders>
            <w:shd w:val="clear" w:color="auto" w:fill="auto"/>
            <w:vAlign w:val="center"/>
          </w:tcPr>
          <w:p w14:paraId="643E942E" w14:textId="77777777" w:rsidR="008857CC" w:rsidRPr="00C80638" w:rsidRDefault="008857CC" w:rsidP="005436F7">
            <w:pPr>
              <w:spacing w:after="0" w:line="240" w:lineRule="auto"/>
              <w:jc w:val="center"/>
              <w:rPr>
                <w:rFonts w:ascii="Times New Roman" w:hAnsi="Times New Roman"/>
                <w:b/>
                <w:noProof/>
                <w:sz w:val="20"/>
                <w:szCs w:val="20"/>
                <w:vertAlign w:val="subscript"/>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p w14:paraId="4FC79641" w14:textId="77777777" w:rsidR="008857CC" w:rsidRPr="00C80638" w:rsidRDefault="008857CC" w:rsidP="005436F7">
            <w:pPr>
              <w:spacing w:after="0" w:line="240" w:lineRule="auto"/>
              <w:jc w:val="center"/>
              <w:rPr>
                <w:rFonts w:ascii="Times New Roman" w:hAnsi="Times New Roman"/>
                <w:b/>
                <w:noProof/>
                <w:sz w:val="20"/>
                <w:szCs w:val="20"/>
                <w:lang w:bidi="ar-SA"/>
              </w:rPr>
            </w:pPr>
          </w:p>
        </w:tc>
        <w:tc>
          <w:tcPr>
            <w:tcW w:w="953" w:type="dxa"/>
            <w:tcBorders>
              <w:top w:val="single" w:sz="4" w:space="0" w:color="auto"/>
              <w:bottom w:val="single" w:sz="4" w:space="0" w:color="auto"/>
            </w:tcBorders>
            <w:shd w:val="clear" w:color="auto" w:fill="auto"/>
            <w:vAlign w:val="center"/>
          </w:tcPr>
          <w:p w14:paraId="36DC2AE2"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*Acidity</w:t>
            </w:r>
          </w:p>
          <w:p w14:paraId="3765EFD3" w14:textId="77777777" w:rsidR="008857CC" w:rsidRPr="00C80638" w:rsidRDefault="008857CC" w:rsidP="005436F7">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(α)</w:t>
            </w:r>
          </w:p>
        </w:tc>
      </w:tr>
      <w:tr w:rsidR="008857CC" w:rsidRPr="00C80638" w14:paraId="161256D3" w14:textId="77777777" w:rsidTr="005436F7">
        <w:trPr>
          <w:trHeight w:val="318"/>
          <w:jc w:val="center"/>
        </w:trPr>
        <w:tc>
          <w:tcPr>
            <w:tcW w:w="1023" w:type="dxa"/>
            <w:vMerge/>
            <w:tcBorders>
              <w:bottom w:val="single" w:sz="4" w:space="0" w:color="auto"/>
            </w:tcBorders>
            <w:shd w:val="clear" w:color="auto" w:fill="auto"/>
            <w:vAlign w:val="center"/>
          </w:tcPr>
          <w:p w14:paraId="2719E0DC" w14:textId="77777777" w:rsidR="008857CC" w:rsidRPr="00C80638" w:rsidRDefault="008857CC" w:rsidP="005436F7">
            <w:pPr>
              <w:spacing w:after="0" w:line="240" w:lineRule="auto"/>
              <w:rPr>
                <w:rFonts w:ascii="Times New Roman" w:hAnsi="Times New Roman"/>
                <w:b/>
                <w:noProof/>
                <w:sz w:val="20"/>
                <w:szCs w:val="20"/>
                <w:lang w:bidi="ar-SA"/>
              </w:rPr>
            </w:pPr>
          </w:p>
        </w:tc>
        <w:tc>
          <w:tcPr>
            <w:tcW w:w="1594" w:type="dxa"/>
            <w:tcBorders>
              <w:top w:val="single" w:sz="4" w:space="0" w:color="auto"/>
              <w:bottom w:val="single" w:sz="4" w:space="0" w:color="auto"/>
            </w:tcBorders>
            <w:shd w:val="clear" w:color="auto" w:fill="auto"/>
            <w:vAlign w:val="center"/>
          </w:tcPr>
          <w:p w14:paraId="26D419F0" w14:textId="28BE801A"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077" w:type="dxa"/>
            <w:tcBorders>
              <w:top w:val="single" w:sz="4" w:space="0" w:color="auto"/>
              <w:bottom w:val="single" w:sz="4" w:space="0" w:color="auto"/>
            </w:tcBorders>
            <w:shd w:val="clear" w:color="auto" w:fill="auto"/>
            <w:vAlign w:val="center"/>
          </w:tcPr>
          <w:p w14:paraId="31F3C0A3" w14:textId="77777777"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522" w:type="dxa"/>
            <w:tcBorders>
              <w:top w:val="single" w:sz="4" w:space="0" w:color="auto"/>
              <w:bottom w:val="single" w:sz="4" w:space="0" w:color="auto"/>
            </w:tcBorders>
            <w:shd w:val="clear" w:color="auto" w:fill="auto"/>
            <w:vAlign w:val="center"/>
          </w:tcPr>
          <w:p w14:paraId="6F320CBF" w14:textId="21F80751"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094" w:type="dxa"/>
            <w:tcBorders>
              <w:top w:val="single" w:sz="4" w:space="0" w:color="auto"/>
              <w:bottom w:val="single" w:sz="4" w:space="0" w:color="auto"/>
            </w:tcBorders>
            <w:shd w:val="clear" w:color="auto" w:fill="auto"/>
            <w:vAlign w:val="center"/>
          </w:tcPr>
          <w:p w14:paraId="6E1FEBED" w14:textId="77777777"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494" w:type="dxa"/>
            <w:tcBorders>
              <w:top w:val="single" w:sz="4" w:space="0" w:color="auto"/>
              <w:bottom w:val="single" w:sz="4" w:space="0" w:color="auto"/>
            </w:tcBorders>
            <w:shd w:val="clear" w:color="auto" w:fill="auto"/>
            <w:vAlign w:val="center"/>
          </w:tcPr>
          <w:p w14:paraId="59AADCB4" w14:textId="7F835E02"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953" w:type="dxa"/>
            <w:tcBorders>
              <w:top w:val="single" w:sz="4" w:space="0" w:color="auto"/>
              <w:bottom w:val="single" w:sz="4" w:space="0" w:color="auto"/>
            </w:tcBorders>
            <w:shd w:val="clear" w:color="auto" w:fill="auto"/>
            <w:vAlign w:val="center"/>
          </w:tcPr>
          <w:p w14:paraId="0AE1DE1B" w14:textId="77777777" w:rsidR="008857CC" w:rsidRPr="00C80638" w:rsidRDefault="008857CC" w:rsidP="005436F7">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r>
      <w:tr w:rsidR="008857CC" w:rsidRPr="00C80638" w14:paraId="0469D05C" w14:textId="77777777" w:rsidTr="005436F7">
        <w:trPr>
          <w:trHeight w:val="300"/>
          <w:jc w:val="center"/>
        </w:trPr>
        <w:tc>
          <w:tcPr>
            <w:tcW w:w="1023" w:type="dxa"/>
            <w:tcBorders>
              <w:top w:val="single" w:sz="4" w:space="0" w:color="auto"/>
            </w:tcBorders>
            <w:shd w:val="clear" w:color="auto" w:fill="auto"/>
          </w:tcPr>
          <w:p w14:paraId="5899AC26" w14:textId="77777777" w:rsidR="008857CC" w:rsidRPr="00C80638" w:rsidRDefault="008857CC" w:rsidP="005436F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w:t>
            </w:r>
          </w:p>
        </w:tc>
        <w:tc>
          <w:tcPr>
            <w:tcW w:w="1594" w:type="dxa"/>
            <w:tcBorders>
              <w:top w:val="single" w:sz="4" w:space="0" w:color="auto"/>
            </w:tcBorders>
            <w:shd w:val="clear" w:color="auto" w:fill="auto"/>
          </w:tcPr>
          <w:p w14:paraId="1A6E234B"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25.92</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0.06</w:t>
            </w:r>
          </w:p>
        </w:tc>
        <w:tc>
          <w:tcPr>
            <w:tcW w:w="1077" w:type="dxa"/>
            <w:tcBorders>
              <w:top w:val="single" w:sz="4" w:space="0" w:color="auto"/>
            </w:tcBorders>
            <w:shd w:val="clear" w:color="auto" w:fill="FFFFFF" w:themeFill="background1"/>
          </w:tcPr>
          <w:p w14:paraId="0E4CC6E5" w14:textId="77777777" w:rsidR="008857CC" w:rsidRPr="00223E27" w:rsidRDefault="008857CC" w:rsidP="005436F7">
            <w:pPr>
              <w:spacing w:before="60" w:after="0"/>
              <w:jc w:val="center"/>
              <w:rPr>
                <w:rFonts w:ascii="Times New Roman" w:hAnsi="Times New Roman"/>
                <w:noProof/>
                <w:sz w:val="20"/>
                <w:szCs w:val="20"/>
                <w:lang w:bidi="ar-SA"/>
              </w:rPr>
            </w:pPr>
            <w:r w:rsidRPr="00223E27">
              <w:rPr>
                <w:rFonts w:ascii="Times New Roman" w:hAnsi="Times New Roman"/>
                <w:noProof/>
                <w:sz w:val="20"/>
                <w:szCs w:val="20"/>
                <w:lang w:bidi="ar-SA"/>
              </w:rPr>
              <w:t>0.62</w:t>
            </w:r>
          </w:p>
        </w:tc>
        <w:tc>
          <w:tcPr>
            <w:tcW w:w="1522" w:type="dxa"/>
            <w:tcBorders>
              <w:top w:val="single" w:sz="4" w:space="0" w:color="auto"/>
            </w:tcBorders>
            <w:shd w:val="clear" w:color="auto" w:fill="auto"/>
          </w:tcPr>
          <w:p w14:paraId="32770015"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25.80</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94" w:type="dxa"/>
            <w:tcBorders>
              <w:top w:val="single" w:sz="4" w:space="0" w:color="auto"/>
            </w:tcBorders>
            <w:shd w:val="clear" w:color="auto" w:fill="FFFFFF" w:themeFill="background1"/>
          </w:tcPr>
          <w:p w14:paraId="1A4AE4A5"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c>
          <w:tcPr>
            <w:tcW w:w="1494" w:type="dxa"/>
            <w:tcBorders>
              <w:top w:val="single" w:sz="4" w:space="0" w:color="auto"/>
            </w:tcBorders>
            <w:shd w:val="clear" w:color="auto" w:fill="auto"/>
          </w:tcPr>
          <w:p w14:paraId="46325E90"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25.80</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953" w:type="dxa"/>
            <w:tcBorders>
              <w:top w:val="single" w:sz="4" w:space="0" w:color="auto"/>
            </w:tcBorders>
            <w:shd w:val="clear" w:color="auto" w:fill="FFFFFF" w:themeFill="background1"/>
          </w:tcPr>
          <w:p w14:paraId="1562A53D" w14:textId="77777777" w:rsidR="008857CC" w:rsidRPr="00C80638" w:rsidRDefault="008857CC" w:rsidP="005436F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8857CC" w:rsidRPr="00C80638" w14:paraId="40E6F01D" w14:textId="77777777" w:rsidTr="005436F7">
        <w:trPr>
          <w:trHeight w:val="300"/>
          <w:jc w:val="center"/>
        </w:trPr>
        <w:tc>
          <w:tcPr>
            <w:tcW w:w="1023" w:type="dxa"/>
            <w:shd w:val="clear" w:color="auto" w:fill="auto"/>
          </w:tcPr>
          <w:p w14:paraId="6A6AF990"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MeOH</w:t>
            </w:r>
          </w:p>
        </w:tc>
        <w:tc>
          <w:tcPr>
            <w:tcW w:w="1594" w:type="dxa"/>
            <w:shd w:val="clear" w:color="auto" w:fill="auto"/>
          </w:tcPr>
          <w:p w14:paraId="24F50698"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670AC3AB"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0.70</w:t>
            </w:r>
          </w:p>
        </w:tc>
        <w:tc>
          <w:tcPr>
            <w:tcW w:w="1522" w:type="dxa"/>
            <w:shd w:val="clear" w:color="auto" w:fill="auto"/>
          </w:tcPr>
          <w:p w14:paraId="230157C8"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94" w:type="dxa"/>
            <w:shd w:val="clear" w:color="auto" w:fill="FFFFFF" w:themeFill="background1"/>
          </w:tcPr>
          <w:p w14:paraId="05915346"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c>
          <w:tcPr>
            <w:tcW w:w="1494" w:type="dxa"/>
            <w:shd w:val="clear" w:color="auto" w:fill="auto"/>
          </w:tcPr>
          <w:p w14:paraId="3334601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953" w:type="dxa"/>
            <w:shd w:val="clear" w:color="auto" w:fill="FFFFFF" w:themeFill="background1"/>
          </w:tcPr>
          <w:p w14:paraId="7B5682DA"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1.00</w:t>
            </w:r>
          </w:p>
        </w:tc>
      </w:tr>
      <w:tr w:rsidR="008857CC" w:rsidRPr="00C80638" w14:paraId="28576D8F" w14:textId="77777777" w:rsidTr="005436F7">
        <w:trPr>
          <w:trHeight w:val="300"/>
          <w:jc w:val="center"/>
        </w:trPr>
        <w:tc>
          <w:tcPr>
            <w:tcW w:w="1023" w:type="dxa"/>
            <w:shd w:val="clear" w:color="auto" w:fill="auto"/>
          </w:tcPr>
          <w:p w14:paraId="76965961"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Ace</w:t>
            </w:r>
          </w:p>
        </w:tc>
        <w:tc>
          <w:tcPr>
            <w:tcW w:w="1594" w:type="dxa"/>
            <w:shd w:val="clear" w:color="auto" w:fill="auto"/>
          </w:tcPr>
          <w:p w14:paraId="00EFDE12"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25.66</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77" w:type="dxa"/>
            <w:shd w:val="clear" w:color="auto" w:fill="FFFFFF" w:themeFill="background1"/>
          </w:tcPr>
          <w:p w14:paraId="0D270786"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0.69</w:t>
            </w:r>
          </w:p>
        </w:tc>
        <w:tc>
          <w:tcPr>
            <w:tcW w:w="1522" w:type="dxa"/>
            <w:shd w:val="clear" w:color="auto" w:fill="auto"/>
          </w:tcPr>
          <w:p w14:paraId="2D584EE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25.59</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94" w:type="dxa"/>
            <w:shd w:val="clear" w:color="auto" w:fill="FFFFFF" w:themeFill="background1"/>
          </w:tcPr>
          <w:p w14:paraId="2FD72A14"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0.49</w:t>
            </w:r>
          </w:p>
        </w:tc>
        <w:tc>
          <w:tcPr>
            <w:tcW w:w="1494" w:type="dxa"/>
            <w:shd w:val="clear" w:color="auto" w:fill="auto"/>
          </w:tcPr>
          <w:p w14:paraId="6C7607A9"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25.59</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953" w:type="dxa"/>
            <w:shd w:val="clear" w:color="auto" w:fill="FFFFFF" w:themeFill="background1"/>
          </w:tcPr>
          <w:p w14:paraId="0710BE0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0.24</w:t>
            </w:r>
          </w:p>
        </w:tc>
      </w:tr>
      <w:tr w:rsidR="008857CC" w:rsidRPr="00C80638" w14:paraId="41D5A984" w14:textId="77777777" w:rsidTr="005436F7">
        <w:trPr>
          <w:trHeight w:val="300"/>
          <w:jc w:val="center"/>
        </w:trPr>
        <w:tc>
          <w:tcPr>
            <w:tcW w:w="1023" w:type="dxa"/>
            <w:shd w:val="clear" w:color="auto" w:fill="auto"/>
          </w:tcPr>
          <w:p w14:paraId="3D12DE51" w14:textId="77777777" w:rsidR="008857CC" w:rsidRPr="00C80638" w:rsidRDefault="008857CC" w:rsidP="005436F7">
            <w:pPr>
              <w:spacing w:after="0"/>
              <w:rPr>
                <w:rFonts w:ascii="Times New Roman" w:hAnsi="Times New Roman"/>
                <w:noProof/>
                <w:sz w:val="20"/>
                <w:szCs w:val="20"/>
                <w:lang w:bidi="ar-SA"/>
              </w:rPr>
            </w:pPr>
            <w:r>
              <w:rPr>
                <w:rFonts w:ascii="Times New Roman" w:hAnsi="Times New Roman"/>
                <w:noProof/>
                <w:sz w:val="20"/>
                <w:szCs w:val="20"/>
                <w:lang w:bidi="ar-SA"/>
              </w:rPr>
              <w:t>CAN</w:t>
            </w:r>
          </w:p>
        </w:tc>
        <w:tc>
          <w:tcPr>
            <w:tcW w:w="1594" w:type="dxa"/>
            <w:shd w:val="clear" w:color="auto" w:fill="auto"/>
          </w:tcPr>
          <w:p w14:paraId="17E79B5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25.41</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2B3E8716"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0.76</w:t>
            </w:r>
          </w:p>
        </w:tc>
        <w:tc>
          <w:tcPr>
            <w:tcW w:w="1522" w:type="dxa"/>
            <w:shd w:val="clear" w:color="auto" w:fill="auto"/>
          </w:tcPr>
          <w:p w14:paraId="18D118D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25.39</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94" w:type="dxa"/>
            <w:shd w:val="clear" w:color="auto" w:fill="FFFFFF" w:themeFill="background1"/>
          </w:tcPr>
          <w:p w14:paraId="28B35670"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0.33</w:t>
            </w:r>
          </w:p>
        </w:tc>
        <w:tc>
          <w:tcPr>
            <w:tcW w:w="1494" w:type="dxa"/>
            <w:shd w:val="clear" w:color="auto" w:fill="auto"/>
          </w:tcPr>
          <w:p w14:paraId="0307C81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25.39</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953" w:type="dxa"/>
            <w:shd w:val="clear" w:color="auto" w:fill="FFFFFF" w:themeFill="background1"/>
          </w:tcPr>
          <w:p w14:paraId="5C9456E0"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0.38</w:t>
            </w:r>
          </w:p>
        </w:tc>
      </w:tr>
      <w:tr w:rsidR="008857CC" w:rsidRPr="00C80638" w14:paraId="7E8F8E98" w14:textId="77777777" w:rsidTr="005436F7">
        <w:trPr>
          <w:trHeight w:val="300"/>
          <w:jc w:val="center"/>
        </w:trPr>
        <w:tc>
          <w:tcPr>
            <w:tcW w:w="1023" w:type="dxa"/>
            <w:shd w:val="clear" w:color="auto" w:fill="auto"/>
          </w:tcPr>
          <w:p w14:paraId="3CD50B23"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i-PrOH</w:t>
            </w:r>
          </w:p>
        </w:tc>
        <w:tc>
          <w:tcPr>
            <w:tcW w:w="1594" w:type="dxa"/>
            <w:shd w:val="clear" w:color="auto" w:fill="auto"/>
          </w:tcPr>
          <w:p w14:paraId="541923E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25.94</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6383BEEB"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0.61</w:t>
            </w:r>
          </w:p>
        </w:tc>
        <w:tc>
          <w:tcPr>
            <w:tcW w:w="1522" w:type="dxa"/>
            <w:shd w:val="clear" w:color="auto" w:fill="auto"/>
          </w:tcPr>
          <w:p w14:paraId="5040215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25.91</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0.07</w:t>
            </w:r>
          </w:p>
        </w:tc>
        <w:tc>
          <w:tcPr>
            <w:tcW w:w="1094" w:type="dxa"/>
            <w:shd w:val="clear" w:color="auto" w:fill="FFFFFF" w:themeFill="background1"/>
          </w:tcPr>
          <w:p w14:paraId="474B52D4"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0.56</w:t>
            </w:r>
          </w:p>
        </w:tc>
        <w:tc>
          <w:tcPr>
            <w:tcW w:w="1494" w:type="dxa"/>
            <w:shd w:val="clear" w:color="auto" w:fill="auto"/>
          </w:tcPr>
          <w:p w14:paraId="2FB57B8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25.91</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953" w:type="dxa"/>
            <w:shd w:val="clear" w:color="auto" w:fill="FFFFFF" w:themeFill="background1"/>
          </w:tcPr>
          <w:p w14:paraId="60502B07"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r>
      <w:tr w:rsidR="008857CC" w:rsidRPr="00C80638" w14:paraId="0BA18059" w14:textId="77777777" w:rsidTr="005436F7">
        <w:trPr>
          <w:trHeight w:val="300"/>
          <w:jc w:val="center"/>
        </w:trPr>
        <w:tc>
          <w:tcPr>
            <w:tcW w:w="1023" w:type="dxa"/>
            <w:shd w:val="clear" w:color="auto" w:fill="auto"/>
          </w:tcPr>
          <w:p w14:paraId="645E625D"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DMSO</w:t>
            </w:r>
          </w:p>
        </w:tc>
        <w:tc>
          <w:tcPr>
            <w:tcW w:w="1594" w:type="dxa"/>
            <w:shd w:val="clear" w:color="auto" w:fill="auto"/>
          </w:tcPr>
          <w:p w14:paraId="13F0817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24.55</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0CA2CF54"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1.01</w:t>
            </w:r>
          </w:p>
        </w:tc>
        <w:tc>
          <w:tcPr>
            <w:tcW w:w="1522" w:type="dxa"/>
            <w:shd w:val="clear" w:color="auto" w:fill="auto"/>
          </w:tcPr>
          <w:p w14:paraId="5CF885F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94" w:type="dxa"/>
            <w:shd w:val="clear" w:color="auto" w:fill="FFFFFF" w:themeFill="background1"/>
          </w:tcPr>
          <w:p w14:paraId="4538DE6D"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0.69</w:t>
            </w:r>
          </w:p>
        </w:tc>
        <w:tc>
          <w:tcPr>
            <w:tcW w:w="1494" w:type="dxa"/>
            <w:shd w:val="clear" w:color="auto" w:fill="auto"/>
          </w:tcPr>
          <w:p w14:paraId="31B9D92F"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953" w:type="dxa"/>
            <w:shd w:val="clear" w:color="auto" w:fill="FFFFFF" w:themeFill="background1"/>
          </w:tcPr>
          <w:p w14:paraId="41CDB4E5"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0.10</w:t>
            </w:r>
          </w:p>
        </w:tc>
      </w:tr>
      <w:tr w:rsidR="008857CC" w:rsidRPr="00C80638" w14:paraId="19FC8815" w14:textId="77777777" w:rsidTr="005436F7">
        <w:trPr>
          <w:trHeight w:val="300"/>
          <w:jc w:val="center"/>
        </w:trPr>
        <w:tc>
          <w:tcPr>
            <w:tcW w:w="1023" w:type="dxa"/>
            <w:shd w:val="clear" w:color="auto" w:fill="auto"/>
          </w:tcPr>
          <w:p w14:paraId="4DC590ED"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 xml:space="preserve"> DMF</w:t>
            </w:r>
          </w:p>
        </w:tc>
        <w:tc>
          <w:tcPr>
            <w:tcW w:w="1594" w:type="dxa"/>
            <w:shd w:val="clear" w:color="auto" w:fill="auto"/>
          </w:tcPr>
          <w:p w14:paraId="2F55AF96"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shd w:val="clear" w:color="auto" w:fill="FFFFFF" w:themeFill="background1"/>
          </w:tcPr>
          <w:p w14:paraId="053DDF05"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0.86</w:t>
            </w:r>
          </w:p>
        </w:tc>
        <w:tc>
          <w:tcPr>
            <w:tcW w:w="1522" w:type="dxa"/>
            <w:shd w:val="clear" w:color="auto" w:fill="auto"/>
          </w:tcPr>
          <w:p w14:paraId="31A167E8"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94" w:type="dxa"/>
            <w:shd w:val="clear" w:color="auto" w:fill="FFFFFF" w:themeFill="background1"/>
          </w:tcPr>
          <w:p w14:paraId="181C05C0"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0.71</w:t>
            </w:r>
          </w:p>
        </w:tc>
        <w:tc>
          <w:tcPr>
            <w:tcW w:w="1494" w:type="dxa"/>
            <w:shd w:val="clear" w:color="auto" w:fill="auto"/>
          </w:tcPr>
          <w:p w14:paraId="061561C2"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25.07</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953" w:type="dxa"/>
            <w:shd w:val="clear" w:color="auto" w:fill="FFFFFF" w:themeFill="background1"/>
          </w:tcPr>
          <w:p w14:paraId="7D53FC21"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0.09</w:t>
            </w:r>
          </w:p>
        </w:tc>
      </w:tr>
      <w:tr w:rsidR="008857CC" w:rsidRPr="00C80638" w14:paraId="794EA379" w14:textId="77777777" w:rsidTr="005436F7">
        <w:trPr>
          <w:trHeight w:val="300"/>
          <w:jc w:val="center"/>
        </w:trPr>
        <w:tc>
          <w:tcPr>
            <w:tcW w:w="1023" w:type="dxa"/>
            <w:shd w:val="clear" w:color="auto" w:fill="auto"/>
          </w:tcPr>
          <w:p w14:paraId="07FD5E7B"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THF</w:t>
            </w:r>
          </w:p>
        </w:tc>
        <w:tc>
          <w:tcPr>
            <w:tcW w:w="1594" w:type="dxa"/>
            <w:shd w:val="clear" w:color="auto" w:fill="auto"/>
          </w:tcPr>
          <w:p w14:paraId="1E1E47C9"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26.05</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77" w:type="dxa"/>
            <w:shd w:val="clear" w:color="auto" w:fill="FFFFFF" w:themeFill="background1"/>
          </w:tcPr>
          <w:p w14:paraId="0AB4BF37"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0.58</w:t>
            </w:r>
          </w:p>
        </w:tc>
        <w:tc>
          <w:tcPr>
            <w:tcW w:w="1522" w:type="dxa"/>
            <w:shd w:val="clear" w:color="auto" w:fill="auto"/>
          </w:tcPr>
          <w:p w14:paraId="5318689C"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25.95</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94" w:type="dxa"/>
            <w:shd w:val="clear" w:color="auto" w:fill="FFFFFF" w:themeFill="background1"/>
          </w:tcPr>
          <w:p w14:paraId="6A721B63"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494" w:type="dxa"/>
            <w:shd w:val="clear" w:color="auto" w:fill="auto"/>
          </w:tcPr>
          <w:p w14:paraId="36918254"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25.95</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0.11</w:t>
            </w:r>
          </w:p>
        </w:tc>
        <w:tc>
          <w:tcPr>
            <w:tcW w:w="953" w:type="dxa"/>
            <w:shd w:val="clear" w:color="auto" w:fill="FFFFFF" w:themeFill="background1"/>
          </w:tcPr>
          <w:p w14:paraId="0741906F"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0.00</w:t>
            </w:r>
          </w:p>
        </w:tc>
      </w:tr>
      <w:tr w:rsidR="008857CC" w:rsidRPr="00C80638" w14:paraId="20C19D83" w14:textId="77777777" w:rsidTr="005436F7">
        <w:trPr>
          <w:trHeight w:val="300"/>
          <w:jc w:val="center"/>
        </w:trPr>
        <w:tc>
          <w:tcPr>
            <w:tcW w:w="1023" w:type="dxa"/>
            <w:shd w:val="clear" w:color="auto" w:fill="auto"/>
          </w:tcPr>
          <w:p w14:paraId="58E25F27" w14:textId="77777777" w:rsidR="008857CC" w:rsidRPr="00C80638" w:rsidRDefault="008857CC" w:rsidP="005436F7">
            <w:pPr>
              <w:spacing w:after="0"/>
              <w:rPr>
                <w:rFonts w:ascii="Times New Roman" w:hAnsi="Times New Roman"/>
                <w:noProof/>
                <w:sz w:val="20"/>
                <w:szCs w:val="20"/>
                <w:lang w:bidi="ar-SA"/>
              </w:rPr>
            </w:pPr>
            <w:r w:rsidRPr="00C80638">
              <w:rPr>
                <w:rFonts w:ascii="Times New Roman" w:hAnsi="Times New Roman"/>
                <w:noProof/>
                <w:sz w:val="20"/>
                <w:szCs w:val="20"/>
                <w:lang w:bidi="ar-SA"/>
              </w:rPr>
              <w:t>DCM</w:t>
            </w:r>
          </w:p>
        </w:tc>
        <w:tc>
          <w:tcPr>
            <w:tcW w:w="1594" w:type="dxa"/>
            <w:shd w:val="clear" w:color="auto" w:fill="auto"/>
          </w:tcPr>
          <w:p w14:paraId="7F69414B"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25.48</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77" w:type="dxa"/>
            <w:shd w:val="clear" w:color="auto" w:fill="FFFFFF" w:themeFill="background1"/>
          </w:tcPr>
          <w:p w14:paraId="03FACA31" w14:textId="77777777" w:rsidR="008857CC" w:rsidRPr="00223E27" w:rsidRDefault="008857CC" w:rsidP="005436F7">
            <w:pPr>
              <w:spacing w:after="0"/>
              <w:jc w:val="center"/>
              <w:rPr>
                <w:rFonts w:ascii="Times New Roman" w:hAnsi="Times New Roman"/>
                <w:noProof/>
                <w:sz w:val="20"/>
                <w:szCs w:val="20"/>
                <w:lang w:bidi="ar-SA"/>
              </w:rPr>
            </w:pPr>
            <w:r w:rsidRPr="00223E27">
              <w:rPr>
                <w:rFonts w:ascii="Times New Roman" w:hAnsi="Times New Roman"/>
                <w:noProof/>
                <w:sz w:val="20"/>
                <w:szCs w:val="20"/>
                <w:lang w:bidi="ar-SA"/>
              </w:rPr>
              <w:t>0.74</w:t>
            </w:r>
          </w:p>
        </w:tc>
        <w:tc>
          <w:tcPr>
            <w:tcW w:w="1522" w:type="dxa"/>
            <w:shd w:val="clear" w:color="auto" w:fill="auto"/>
          </w:tcPr>
          <w:p w14:paraId="472B7BAA"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25.43</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94" w:type="dxa"/>
            <w:shd w:val="clear" w:color="auto" w:fill="FFFFFF" w:themeFill="background1"/>
          </w:tcPr>
          <w:p w14:paraId="6A33F5A2"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0.00</w:t>
            </w:r>
          </w:p>
        </w:tc>
        <w:tc>
          <w:tcPr>
            <w:tcW w:w="1494" w:type="dxa"/>
            <w:shd w:val="clear" w:color="auto" w:fill="auto"/>
          </w:tcPr>
          <w:p w14:paraId="66632FA0"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25.43</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0.06</w:t>
            </w:r>
          </w:p>
        </w:tc>
        <w:tc>
          <w:tcPr>
            <w:tcW w:w="953" w:type="dxa"/>
            <w:shd w:val="clear" w:color="auto" w:fill="FFFFFF" w:themeFill="background1"/>
          </w:tcPr>
          <w:p w14:paraId="0626FCEC" w14:textId="77777777" w:rsidR="008857CC" w:rsidRPr="00C80638" w:rsidRDefault="008857CC" w:rsidP="005436F7">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0.04</w:t>
            </w:r>
          </w:p>
        </w:tc>
      </w:tr>
      <w:tr w:rsidR="008857CC" w:rsidRPr="00C80638" w14:paraId="77ADCA93" w14:textId="77777777" w:rsidTr="008857CC">
        <w:trPr>
          <w:trHeight w:val="300"/>
          <w:jc w:val="center"/>
        </w:trPr>
        <w:tc>
          <w:tcPr>
            <w:tcW w:w="1023" w:type="dxa"/>
            <w:tcBorders>
              <w:bottom w:val="single" w:sz="4" w:space="0" w:color="auto"/>
            </w:tcBorders>
            <w:shd w:val="clear" w:color="auto" w:fill="auto"/>
          </w:tcPr>
          <w:p w14:paraId="3EC471C6" w14:textId="77777777" w:rsidR="008857CC" w:rsidRPr="00C80638" w:rsidRDefault="008857CC" w:rsidP="005436F7">
            <w:pPr>
              <w:spacing w:after="6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p>
        </w:tc>
        <w:tc>
          <w:tcPr>
            <w:tcW w:w="1594" w:type="dxa"/>
            <w:tcBorders>
              <w:bottom w:val="single" w:sz="4" w:space="0" w:color="auto"/>
            </w:tcBorders>
            <w:shd w:val="clear" w:color="auto" w:fill="auto"/>
          </w:tcPr>
          <w:p w14:paraId="114D81D7"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23.68</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77" w:type="dxa"/>
            <w:tcBorders>
              <w:bottom w:val="single" w:sz="4" w:space="0" w:color="auto"/>
            </w:tcBorders>
            <w:shd w:val="clear" w:color="auto" w:fill="FFFFFF" w:themeFill="background1"/>
          </w:tcPr>
          <w:p w14:paraId="657ABE77" w14:textId="77777777" w:rsidR="008857CC" w:rsidRPr="00223E27" w:rsidRDefault="008857CC" w:rsidP="005436F7">
            <w:pPr>
              <w:spacing w:after="60"/>
              <w:jc w:val="center"/>
              <w:rPr>
                <w:rFonts w:ascii="Times New Roman" w:hAnsi="Times New Roman"/>
                <w:noProof/>
                <w:sz w:val="20"/>
                <w:szCs w:val="20"/>
                <w:lang w:bidi="ar-SA"/>
              </w:rPr>
            </w:pPr>
            <w:r w:rsidRPr="00223E27">
              <w:rPr>
                <w:rFonts w:ascii="Times New Roman" w:hAnsi="Times New Roman"/>
                <w:noProof/>
                <w:sz w:val="20"/>
                <w:szCs w:val="20"/>
                <w:lang w:bidi="ar-SA"/>
              </w:rPr>
              <w:t>1.26</w:t>
            </w:r>
          </w:p>
        </w:tc>
        <w:tc>
          <w:tcPr>
            <w:tcW w:w="1522" w:type="dxa"/>
            <w:tcBorders>
              <w:bottom w:val="single" w:sz="4" w:space="0" w:color="auto"/>
            </w:tcBorders>
            <w:shd w:val="clear" w:color="auto" w:fill="auto"/>
          </w:tcPr>
          <w:p w14:paraId="30E9BF43"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23.64</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94" w:type="dxa"/>
            <w:tcBorders>
              <w:bottom w:val="single" w:sz="4" w:space="0" w:color="auto"/>
            </w:tcBorders>
            <w:shd w:val="clear" w:color="auto" w:fill="FFFFFF" w:themeFill="background1"/>
          </w:tcPr>
          <w:p w14:paraId="125B33A0"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0.16</w:t>
            </w:r>
          </w:p>
        </w:tc>
        <w:tc>
          <w:tcPr>
            <w:tcW w:w="1494" w:type="dxa"/>
            <w:tcBorders>
              <w:bottom w:val="single" w:sz="4" w:space="0" w:color="auto"/>
            </w:tcBorders>
            <w:shd w:val="clear" w:color="auto" w:fill="auto"/>
          </w:tcPr>
          <w:p w14:paraId="4FD84323"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23.64</w:t>
            </w:r>
            <w:r>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0.14</w:t>
            </w:r>
          </w:p>
        </w:tc>
        <w:tc>
          <w:tcPr>
            <w:tcW w:w="953" w:type="dxa"/>
            <w:tcBorders>
              <w:bottom w:val="single" w:sz="4" w:space="0" w:color="auto"/>
            </w:tcBorders>
            <w:shd w:val="clear" w:color="auto" w:fill="FFFFFF" w:themeFill="background1"/>
          </w:tcPr>
          <w:p w14:paraId="36947087" w14:textId="77777777" w:rsidR="008857CC" w:rsidRPr="00C80638" w:rsidRDefault="008857CC" w:rsidP="005436F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1.27</w:t>
            </w:r>
          </w:p>
        </w:tc>
      </w:tr>
      <w:tr w:rsidR="008857CC" w:rsidRPr="00223E27" w14:paraId="23246C29" w14:textId="77777777" w:rsidTr="008857CC">
        <w:trPr>
          <w:trHeight w:val="300"/>
          <w:jc w:val="center"/>
        </w:trPr>
        <w:tc>
          <w:tcPr>
            <w:tcW w:w="8757" w:type="dxa"/>
            <w:gridSpan w:val="7"/>
            <w:tcBorders>
              <w:top w:val="single" w:sz="4" w:space="0" w:color="auto"/>
            </w:tcBorders>
            <w:shd w:val="clear" w:color="auto" w:fill="auto"/>
          </w:tcPr>
          <w:p w14:paraId="364C8CD6" w14:textId="0DB4D438" w:rsidR="008857CC" w:rsidRDefault="008857CC" w:rsidP="008857CC">
            <w:pPr>
              <w:spacing w:before="60" w:after="0" w:line="240" w:lineRule="auto"/>
              <w:ind w:left="432" w:hanging="432"/>
              <w:jc w:val="both"/>
              <w:rPr>
                <w:rFonts w:ascii="Times New Roman" w:hAnsi="Times New Roman"/>
                <w:bCs/>
                <w:noProof/>
                <w:sz w:val="18"/>
                <w:szCs w:val="18"/>
                <w:lang w:bidi="ar-SA"/>
              </w:rPr>
            </w:pPr>
            <w:r w:rsidRPr="00223E27">
              <w:rPr>
                <w:rFonts w:ascii="Times New Roman" w:hAnsi="Times New Roman"/>
                <w:noProof/>
                <w:sz w:val="18"/>
                <w:szCs w:val="18"/>
                <w:lang w:bidi="ar-SA"/>
              </w:rPr>
              <w:t xml:space="preserve">Key: </w:t>
            </w:r>
            <w:r w:rsidRPr="00223E27">
              <w:rPr>
                <w:rFonts w:ascii="Times New Roman" w:hAnsi="Times New Roman"/>
                <w:bCs/>
                <w:noProof/>
                <w:sz w:val="18"/>
                <w:szCs w:val="18"/>
                <w:lang w:bidi="ar-SA"/>
              </w:rPr>
              <w:t xml:space="preserve">*P values (P&lt;0.05)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were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regarded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as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significant.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Uncertainty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value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of </w:t>
            </w: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π* =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223E27">
              <w:rPr>
                <w:rFonts w:ascii="Times New Roman" w:hAnsi="Times New Roman"/>
                <w:bCs/>
                <w:noProof/>
                <w:sz w:val="18"/>
                <w:szCs w:val="18"/>
                <w:lang w:bidi="ar-SA"/>
              </w:rPr>
              <w:t>8×10</w:t>
            </w:r>
            <w:r w:rsidRPr="00223E27">
              <w:rPr>
                <w:rFonts w:ascii="Times New Roman" w:hAnsi="Times New Roman"/>
                <w:bCs/>
                <w:noProof/>
                <w:sz w:val="18"/>
                <w:szCs w:val="18"/>
                <w:vertAlign w:val="superscript"/>
                <w:lang w:bidi="ar-SA"/>
              </w:rPr>
              <w:t>-3</w:t>
            </w:r>
            <w:r w:rsidRPr="00223E27">
              <w:rPr>
                <w:rFonts w:ascii="Times New Roman" w:hAnsi="Times New Roman"/>
                <w:bCs/>
                <w:noProof/>
                <w:sz w:val="18"/>
                <w:szCs w:val="18"/>
                <w:lang w:bidi="ar-SA"/>
              </w:rPr>
              <w:t xml:space="preserve">, β =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223E27">
              <w:rPr>
                <w:rFonts w:ascii="Times New Roman" w:hAnsi="Times New Roman"/>
                <w:bCs/>
                <w:noProof/>
                <w:sz w:val="18"/>
                <w:szCs w:val="18"/>
                <w:lang w:bidi="ar-SA"/>
              </w:rPr>
              <w:t>6×10</w:t>
            </w:r>
            <w:r w:rsidRPr="00223E27">
              <w:rPr>
                <w:rFonts w:ascii="Times New Roman" w:hAnsi="Times New Roman"/>
                <w:bCs/>
                <w:noProof/>
                <w:sz w:val="18"/>
                <w:szCs w:val="18"/>
                <w:vertAlign w:val="superscript"/>
                <w:lang w:bidi="ar-SA"/>
              </w:rPr>
              <w:t>-3</w:t>
            </w:r>
            <w:r w:rsidRPr="00223E27">
              <w:rPr>
                <w:rFonts w:ascii="Times New Roman" w:hAnsi="Times New Roman"/>
                <w:bCs/>
                <w:noProof/>
                <w:sz w:val="18"/>
                <w:szCs w:val="18"/>
                <w:lang w:bidi="ar-SA"/>
              </w:rPr>
              <w:t xml:space="preserve">, and </w:t>
            </w:r>
          </w:p>
          <w:p w14:paraId="614159F1" w14:textId="6D3E1A18" w:rsidR="008857CC" w:rsidRPr="00223E27" w:rsidRDefault="008857CC" w:rsidP="005436F7">
            <w:pPr>
              <w:spacing w:after="0" w:line="240" w:lineRule="auto"/>
              <w:ind w:left="432" w:hanging="432"/>
              <w:jc w:val="both"/>
              <w:rPr>
                <w:rFonts w:ascii="Times New Roman" w:hAnsi="Times New Roman"/>
                <w:noProof/>
                <w:sz w:val="18"/>
                <w:szCs w:val="18"/>
                <w:lang w:bidi="ar-SA"/>
              </w:rPr>
            </w:pPr>
            <w:r>
              <w:rPr>
                <w:rFonts w:ascii="Times New Roman" w:hAnsi="Times New Roman"/>
                <w:bCs/>
                <w:noProof/>
                <w:sz w:val="18"/>
                <w:szCs w:val="18"/>
                <w:lang w:bidi="ar-SA"/>
              </w:rPr>
              <w:t xml:space="preserve">         </w:t>
            </w:r>
            <w:r w:rsidRPr="00223E27">
              <w:rPr>
                <w:rFonts w:ascii="Times New Roman" w:hAnsi="Times New Roman"/>
                <w:bCs/>
                <w:noProof/>
                <w:sz w:val="18"/>
                <w:szCs w:val="18"/>
                <w:lang w:bidi="ar-SA"/>
              </w:rPr>
              <w:t xml:space="preserve">α = </w:t>
            </w:r>
            <w:r>
              <w:rPr>
                <w:rFonts w:ascii="Times New Roman" w:hAnsi="Times New Roman"/>
                <w:bCs/>
                <w:noProof/>
                <w:sz w:val="18"/>
                <w:szCs w:val="18"/>
                <w:lang w:bidi="ar-SA"/>
              </w:rPr>
              <w:t xml:space="preserve"> </w:t>
            </w:r>
            <w:r w:rsidRPr="00C80638">
              <w:rPr>
                <w:rFonts w:ascii="Times New Roman" w:hAnsi="Times New Roman"/>
                <w:bCs/>
                <w:noProof/>
                <w:sz w:val="20"/>
                <w:szCs w:val="20"/>
                <w:lang w:bidi="ar-SA"/>
              </w:rPr>
              <w:t>±</w:t>
            </w:r>
            <w:r>
              <w:rPr>
                <w:rFonts w:ascii="Times New Roman" w:hAnsi="Times New Roman"/>
                <w:bCs/>
                <w:noProof/>
                <w:sz w:val="20"/>
                <w:szCs w:val="20"/>
                <w:lang w:bidi="ar-SA"/>
              </w:rPr>
              <w:t xml:space="preserve"> </w:t>
            </w:r>
            <w:r w:rsidRPr="00223E27">
              <w:rPr>
                <w:rFonts w:ascii="Times New Roman" w:hAnsi="Times New Roman"/>
                <w:bCs/>
                <w:noProof/>
                <w:sz w:val="18"/>
                <w:szCs w:val="18"/>
                <w:lang w:bidi="ar-SA"/>
              </w:rPr>
              <w:t>8×10</w:t>
            </w:r>
            <w:r w:rsidRPr="00223E27">
              <w:rPr>
                <w:rFonts w:ascii="Times New Roman" w:hAnsi="Times New Roman"/>
                <w:bCs/>
                <w:noProof/>
                <w:sz w:val="18"/>
                <w:szCs w:val="18"/>
                <w:vertAlign w:val="superscript"/>
                <w:lang w:bidi="ar-SA"/>
              </w:rPr>
              <w:t>-3</w:t>
            </w:r>
          </w:p>
        </w:tc>
      </w:tr>
    </w:tbl>
    <w:p w14:paraId="30554964" w14:textId="1CACA088" w:rsidR="00C80638" w:rsidRDefault="00C80638" w:rsidP="00C80638">
      <w:pPr>
        <w:spacing w:after="0"/>
        <w:jc w:val="center"/>
        <w:rPr>
          <w:rFonts w:ascii="Times New Roman" w:hAnsi="Times New Roman"/>
          <w:noProof/>
          <w:sz w:val="20"/>
          <w:szCs w:val="20"/>
          <w:lang w:bidi="ar-SA"/>
        </w:rPr>
      </w:pPr>
    </w:p>
    <w:p w14:paraId="0293B071" w14:textId="77777777" w:rsidR="00DD5CD9" w:rsidRDefault="00DD5CD9" w:rsidP="00DD5CD9">
      <w:pPr>
        <w:spacing w:after="0"/>
        <w:jc w:val="both"/>
        <w:rPr>
          <w:rFonts w:ascii="Times New Roman" w:hAnsi="Times New Roman"/>
          <w:noProof/>
          <w:sz w:val="20"/>
          <w:szCs w:val="20"/>
          <w:lang w:bidi="ar-SA"/>
        </w:rPr>
        <w:sectPr w:rsidR="00DD5CD9" w:rsidSect="00F168B9">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5"/>
          <w:cols w:space="708"/>
          <w:docGrid w:linePitch="360"/>
        </w:sectPr>
      </w:pPr>
    </w:p>
    <w:p w14:paraId="76E49AB1" w14:textId="77777777" w:rsidR="00DD5CD9" w:rsidRDefault="00DD5CD9" w:rsidP="009E2062">
      <w:pPr>
        <w:spacing w:after="0"/>
        <w:rPr>
          <w:rFonts w:ascii="Times New Roman" w:hAnsi="Times New Roman"/>
          <w:noProof/>
          <w:sz w:val="20"/>
          <w:szCs w:val="20"/>
          <w:lang w:bidi="ar-SA"/>
        </w:rPr>
        <w:sectPr w:rsidR="00DD5CD9" w:rsidSect="00DD5CD9">
          <w:type w:val="continuous"/>
          <w:pgSz w:w="12240" w:h="15840" w:code="1"/>
          <w:pgMar w:top="1800" w:right="1469" w:bottom="1699" w:left="1440" w:header="706" w:footer="706" w:gutter="0"/>
          <w:pgNumType w:start="1"/>
          <w:cols w:num="2" w:space="403"/>
          <w:docGrid w:linePitch="360"/>
        </w:sectPr>
      </w:pPr>
    </w:p>
    <w:p w14:paraId="0C9182EC" w14:textId="45585D1E" w:rsidR="00976876" w:rsidRDefault="00976876" w:rsidP="009E2062">
      <w:pPr>
        <w:spacing w:after="0"/>
        <w:rPr>
          <w:rFonts w:ascii="Times New Roman" w:hAnsi="Times New Roman"/>
          <w:noProof/>
          <w:sz w:val="20"/>
          <w:szCs w:val="20"/>
          <w:lang w:bidi="ar-SA"/>
        </w:rPr>
      </w:pPr>
    </w:p>
    <w:p w14:paraId="69F92961" w14:textId="776AE9A3" w:rsidR="00976876" w:rsidRPr="00C80638" w:rsidRDefault="00976876" w:rsidP="009E2062">
      <w:pPr>
        <w:spacing w:after="120"/>
        <w:ind w:left="720" w:hanging="720"/>
        <w:jc w:val="center"/>
        <w:rPr>
          <w:rFonts w:ascii="Times New Roman" w:hAnsi="Times New Roman"/>
          <w:noProof/>
          <w:sz w:val="20"/>
          <w:szCs w:val="20"/>
          <w:lang w:bidi="ar-SA"/>
        </w:rPr>
      </w:pPr>
      <w:r w:rsidRPr="00C80638">
        <w:rPr>
          <w:rFonts w:ascii="Times New Roman" w:hAnsi="Times New Roman"/>
          <w:noProof/>
          <w:sz w:val="20"/>
          <w:szCs w:val="20"/>
          <w:lang w:bidi="ar-SA"/>
        </w:rPr>
        <w:lastRenderedPageBreak/>
        <w:t>Table 3.</w:t>
      </w:r>
      <w:r w:rsidR="00D662D7">
        <w:rPr>
          <w:rFonts w:ascii="Times New Roman" w:hAnsi="Times New Roman"/>
          <w:noProof/>
          <w:sz w:val="20"/>
          <w:szCs w:val="20"/>
          <w:lang w:bidi="ar-SA"/>
        </w:rPr>
        <w:t xml:space="preserve">  </w:t>
      </w:r>
      <w:r w:rsidRPr="00C80638">
        <w:rPr>
          <w:rFonts w:ascii="Times New Roman" w:hAnsi="Times New Roman"/>
          <w:bCs/>
          <w:noProof/>
          <w:sz w:val="20"/>
          <w:szCs w:val="20"/>
          <w:lang w:bidi="ar-SA"/>
        </w:rPr>
        <w:t>The properties of mixed solvents from the wavenumber average (V</w:t>
      </w:r>
      <w:r w:rsidRPr="00C80638">
        <w:rPr>
          <w:rFonts w:ascii="Times New Roman" w:hAnsi="Times New Roman"/>
          <w:bCs/>
          <w:noProof/>
          <w:sz w:val="20"/>
          <w:szCs w:val="20"/>
          <w:vertAlign w:val="subscript"/>
          <w:lang w:bidi="ar-SA"/>
        </w:rPr>
        <w:t>max</w:t>
      </w:r>
      <w:r w:rsidRPr="00C80638">
        <w:rPr>
          <w:rFonts w:ascii="Times New Roman" w:hAnsi="Times New Roman"/>
          <w:bCs/>
          <w:noProof/>
          <w:sz w:val="20"/>
          <w:szCs w:val="20"/>
          <w:lang w:bidi="ar-SA"/>
        </w:rPr>
        <w:t>) using the original approach of KT equations</w:t>
      </w:r>
    </w:p>
    <w:tbl>
      <w:tblPr>
        <w:tblW w:w="9504" w:type="dxa"/>
        <w:jc w:val="center"/>
        <w:tblLayout w:type="fixed"/>
        <w:tblLook w:val="04A0" w:firstRow="1" w:lastRow="0" w:firstColumn="1" w:lastColumn="0" w:noHBand="0" w:noVBand="1"/>
      </w:tblPr>
      <w:tblGrid>
        <w:gridCol w:w="1526"/>
        <w:gridCol w:w="1440"/>
        <w:gridCol w:w="1144"/>
        <w:gridCol w:w="1440"/>
        <w:gridCol w:w="1053"/>
        <w:gridCol w:w="1584"/>
        <w:gridCol w:w="903"/>
        <w:gridCol w:w="414"/>
      </w:tblGrid>
      <w:tr w:rsidR="00C80638" w:rsidRPr="00C80638" w14:paraId="3489D19E" w14:textId="77777777" w:rsidTr="00EE59D4">
        <w:trPr>
          <w:trHeight w:val="257"/>
          <w:jc w:val="center"/>
        </w:trPr>
        <w:tc>
          <w:tcPr>
            <w:tcW w:w="1526" w:type="dxa"/>
            <w:vMerge w:val="restart"/>
            <w:tcBorders>
              <w:top w:val="single" w:sz="4" w:space="0" w:color="auto"/>
            </w:tcBorders>
            <w:shd w:val="clear" w:color="auto" w:fill="auto"/>
            <w:vAlign w:val="center"/>
          </w:tcPr>
          <w:p w14:paraId="28727DC5" w14:textId="77777777" w:rsidR="00C80638" w:rsidRPr="00C80638" w:rsidRDefault="00C80638" w:rsidP="00151873">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HBD-HBA</w:t>
            </w:r>
          </w:p>
          <w:p w14:paraId="4B4FC81B" w14:textId="77777777" w:rsidR="00C80638" w:rsidRPr="00C80638" w:rsidRDefault="00C80638" w:rsidP="00151873">
            <w:pPr>
              <w:spacing w:after="0" w:line="240" w:lineRule="auto"/>
              <w:rPr>
                <w:rFonts w:ascii="Times New Roman" w:hAnsi="Times New Roman"/>
                <w:b/>
                <w:noProof/>
                <w:sz w:val="20"/>
                <w:szCs w:val="20"/>
                <w:lang w:bidi="ar-SA"/>
              </w:rPr>
            </w:pPr>
            <w:r w:rsidRPr="00C80638">
              <w:rPr>
                <w:rFonts w:ascii="Times New Roman" w:hAnsi="Times New Roman"/>
                <w:b/>
                <w:noProof/>
                <w:sz w:val="20"/>
                <w:szCs w:val="20"/>
                <w:lang w:bidi="ar-SA"/>
              </w:rPr>
              <w:t>Mixture</w:t>
            </w:r>
          </w:p>
        </w:tc>
        <w:tc>
          <w:tcPr>
            <w:tcW w:w="1440" w:type="dxa"/>
            <w:tcBorders>
              <w:top w:val="single" w:sz="4" w:space="0" w:color="auto"/>
              <w:bottom w:val="single" w:sz="4" w:space="0" w:color="auto"/>
            </w:tcBorders>
            <w:shd w:val="clear" w:color="auto" w:fill="auto"/>
          </w:tcPr>
          <w:p w14:paraId="4EBC8FF8"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144" w:type="dxa"/>
            <w:tcBorders>
              <w:top w:val="single" w:sz="4" w:space="0" w:color="auto"/>
              <w:bottom w:val="single" w:sz="4" w:space="0" w:color="auto"/>
            </w:tcBorders>
            <w:shd w:val="clear" w:color="auto" w:fill="auto"/>
          </w:tcPr>
          <w:p w14:paraId="32EC06F8"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*Polarity</w:t>
            </w:r>
          </w:p>
          <w:p w14:paraId="23D424D3"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(π)</w:t>
            </w:r>
          </w:p>
        </w:tc>
        <w:tc>
          <w:tcPr>
            <w:tcW w:w="1440" w:type="dxa"/>
            <w:tcBorders>
              <w:top w:val="single" w:sz="4" w:space="0" w:color="auto"/>
              <w:bottom w:val="single" w:sz="4" w:space="0" w:color="auto"/>
            </w:tcBorders>
            <w:shd w:val="clear" w:color="auto" w:fill="auto"/>
          </w:tcPr>
          <w:p w14:paraId="1C956621"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053" w:type="dxa"/>
            <w:tcBorders>
              <w:top w:val="single" w:sz="4" w:space="0" w:color="auto"/>
              <w:bottom w:val="single" w:sz="4" w:space="0" w:color="auto"/>
            </w:tcBorders>
            <w:shd w:val="clear" w:color="auto" w:fill="auto"/>
          </w:tcPr>
          <w:p w14:paraId="2A7BD1A9"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*Basicity</w:t>
            </w:r>
          </w:p>
          <w:p w14:paraId="6B2719C8"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(β)</w:t>
            </w:r>
          </w:p>
        </w:tc>
        <w:tc>
          <w:tcPr>
            <w:tcW w:w="1584" w:type="dxa"/>
            <w:tcBorders>
              <w:top w:val="single" w:sz="4" w:space="0" w:color="auto"/>
              <w:bottom w:val="single" w:sz="4" w:space="0" w:color="auto"/>
            </w:tcBorders>
            <w:shd w:val="clear" w:color="auto" w:fill="auto"/>
          </w:tcPr>
          <w:p w14:paraId="5615023E"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*V</w:t>
            </w:r>
            <w:r w:rsidRPr="00C80638">
              <w:rPr>
                <w:rFonts w:ascii="Times New Roman" w:hAnsi="Times New Roman"/>
                <w:b/>
                <w:noProof/>
                <w:sz w:val="20"/>
                <w:szCs w:val="20"/>
                <w:vertAlign w:val="subscript"/>
                <w:lang w:bidi="ar-SA"/>
              </w:rPr>
              <w:t>max</w:t>
            </w:r>
          </w:p>
        </w:tc>
        <w:tc>
          <w:tcPr>
            <w:tcW w:w="1317" w:type="dxa"/>
            <w:gridSpan w:val="2"/>
            <w:tcBorders>
              <w:top w:val="single" w:sz="4" w:space="0" w:color="auto"/>
              <w:bottom w:val="single" w:sz="4" w:space="0" w:color="auto"/>
            </w:tcBorders>
            <w:shd w:val="clear" w:color="auto" w:fill="auto"/>
          </w:tcPr>
          <w:p w14:paraId="7F03F6A3" w14:textId="77777777" w:rsidR="00C80638" w:rsidRPr="00C80638" w:rsidRDefault="00C80638" w:rsidP="00151873">
            <w:pPr>
              <w:spacing w:before="60"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*Acidity</w:t>
            </w:r>
          </w:p>
          <w:p w14:paraId="5619BD8E"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(α)</w:t>
            </w:r>
          </w:p>
        </w:tc>
      </w:tr>
      <w:tr w:rsidR="00C80638" w:rsidRPr="00C80638" w14:paraId="713A3790" w14:textId="77777777" w:rsidTr="00EE59D4">
        <w:trPr>
          <w:trHeight w:val="257"/>
          <w:jc w:val="center"/>
        </w:trPr>
        <w:tc>
          <w:tcPr>
            <w:tcW w:w="1526" w:type="dxa"/>
            <w:vMerge/>
            <w:tcBorders>
              <w:bottom w:val="single" w:sz="4" w:space="0" w:color="auto"/>
            </w:tcBorders>
            <w:shd w:val="clear" w:color="auto" w:fill="auto"/>
          </w:tcPr>
          <w:p w14:paraId="263B7CDB" w14:textId="77777777" w:rsidR="00C80638" w:rsidRPr="00C80638" w:rsidRDefault="00C80638" w:rsidP="00151873">
            <w:pPr>
              <w:spacing w:after="0" w:line="240" w:lineRule="auto"/>
              <w:rPr>
                <w:rFonts w:ascii="Times New Roman" w:hAnsi="Times New Roman"/>
                <w:b/>
                <w:noProof/>
                <w:sz w:val="20"/>
                <w:szCs w:val="20"/>
                <w:lang w:bidi="ar-SA"/>
              </w:rPr>
            </w:pPr>
          </w:p>
        </w:tc>
        <w:tc>
          <w:tcPr>
            <w:tcW w:w="1440" w:type="dxa"/>
            <w:tcBorders>
              <w:top w:val="single" w:sz="4" w:space="0" w:color="auto"/>
              <w:bottom w:val="single" w:sz="4" w:space="0" w:color="auto"/>
            </w:tcBorders>
            <w:shd w:val="clear" w:color="auto" w:fill="auto"/>
          </w:tcPr>
          <w:p w14:paraId="5331AAF5" w14:textId="40E24960"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144" w:type="dxa"/>
            <w:tcBorders>
              <w:top w:val="single" w:sz="4" w:space="0" w:color="auto"/>
              <w:bottom w:val="single" w:sz="4" w:space="0" w:color="auto"/>
            </w:tcBorders>
            <w:shd w:val="clear" w:color="auto" w:fill="auto"/>
          </w:tcPr>
          <w:p w14:paraId="33786B32"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440" w:type="dxa"/>
            <w:tcBorders>
              <w:top w:val="single" w:sz="4" w:space="0" w:color="auto"/>
              <w:bottom w:val="single" w:sz="4" w:space="0" w:color="auto"/>
            </w:tcBorders>
            <w:shd w:val="clear" w:color="auto" w:fill="auto"/>
          </w:tcPr>
          <w:p w14:paraId="2DB5301C" w14:textId="74663F1A"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053" w:type="dxa"/>
            <w:tcBorders>
              <w:top w:val="single" w:sz="4" w:space="0" w:color="auto"/>
              <w:bottom w:val="single" w:sz="4" w:space="0" w:color="auto"/>
            </w:tcBorders>
            <w:shd w:val="clear" w:color="auto" w:fill="auto"/>
          </w:tcPr>
          <w:p w14:paraId="1B037EF0" w14:textId="77777777"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c>
          <w:tcPr>
            <w:tcW w:w="1584" w:type="dxa"/>
            <w:tcBorders>
              <w:top w:val="single" w:sz="4" w:space="0" w:color="auto"/>
              <w:bottom w:val="single" w:sz="4" w:space="0" w:color="auto"/>
            </w:tcBorders>
            <w:shd w:val="clear" w:color="auto" w:fill="auto"/>
          </w:tcPr>
          <w:p w14:paraId="70296BB7" w14:textId="5336E3E1" w:rsidR="00C80638" w:rsidRPr="00C80638" w:rsidRDefault="00C80638" w:rsidP="00151873">
            <w:pPr>
              <w:spacing w:after="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w:t>
            </w:r>
            <w:r w:rsidR="00EE59D4">
              <w:rPr>
                <w:rFonts w:ascii="Times New Roman" w:hAnsi="Times New Roman"/>
                <w:b/>
                <w:noProof/>
                <w:sz w:val="20"/>
                <w:szCs w:val="20"/>
                <w:lang w:bidi="ar-SA"/>
              </w:rPr>
              <w:t xml:space="preserve"> </w:t>
            </w:r>
            <w:r w:rsidRPr="00C80638">
              <w:rPr>
                <w:rFonts w:ascii="Times New Roman" w:hAnsi="Times New Roman"/>
                <w:b/>
                <w:noProof/>
                <w:sz w:val="20"/>
                <w:szCs w:val="20"/>
                <w:lang w:bidi="ar-SA"/>
              </w:rPr>
              <w:t>SD)</w:t>
            </w:r>
          </w:p>
        </w:tc>
        <w:tc>
          <w:tcPr>
            <w:tcW w:w="1317" w:type="dxa"/>
            <w:gridSpan w:val="2"/>
            <w:tcBorders>
              <w:top w:val="single" w:sz="4" w:space="0" w:color="auto"/>
              <w:bottom w:val="single" w:sz="4" w:space="0" w:color="auto"/>
            </w:tcBorders>
            <w:shd w:val="clear" w:color="auto" w:fill="auto"/>
          </w:tcPr>
          <w:p w14:paraId="001643F8" w14:textId="77777777" w:rsidR="00C80638" w:rsidRPr="00C80638" w:rsidRDefault="00C80638" w:rsidP="00151873">
            <w:pPr>
              <w:spacing w:after="60" w:line="240" w:lineRule="auto"/>
              <w:jc w:val="center"/>
              <w:rPr>
                <w:rFonts w:ascii="Times New Roman" w:hAnsi="Times New Roman"/>
                <w:b/>
                <w:noProof/>
                <w:sz w:val="20"/>
                <w:szCs w:val="20"/>
                <w:lang w:bidi="ar-SA"/>
              </w:rPr>
            </w:pPr>
            <w:r w:rsidRPr="00C80638">
              <w:rPr>
                <w:rFonts w:ascii="Times New Roman" w:hAnsi="Times New Roman"/>
                <w:b/>
                <w:noProof/>
                <w:sz w:val="20"/>
                <w:szCs w:val="20"/>
                <w:lang w:bidi="ar-SA"/>
              </w:rPr>
              <w:t>(Mean)</w:t>
            </w:r>
          </w:p>
        </w:tc>
      </w:tr>
      <w:tr w:rsidR="00C80638" w:rsidRPr="00C80638" w14:paraId="034636ED" w14:textId="77777777" w:rsidTr="00EE59D4">
        <w:trPr>
          <w:gridAfter w:val="1"/>
          <w:wAfter w:w="414" w:type="dxa"/>
          <w:trHeight w:val="251"/>
          <w:jc w:val="center"/>
        </w:trPr>
        <w:tc>
          <w:tcPr>
            <w:tcW w:w="9090" w:type="dxa"/>
            <w:gridSpan w:val="7"/>
            <w:tcBorders>
              <w:top w:val="single" w:sz="4" w:space="0" w:color="auto"/>
              <w:bottom w:val="single" w:sz="4" w:space="0" w:color="auto"/>
            </w:tcBorders>
            <w:shd w:val="clear" w:color="auto" w:fill="auto"/>
          </w:tcPr>
          <w:p w14:paraId="6172918A" w14:textId="77777777" w:rsidR="00C80638" w:rsidRPr="00C80638" w:rsidRDefault="00C80638" w:rsidP="00D662D7">
            <w:pPr>
              <w:spacing w:before="60" w:after="60" w:line="240" w:lineRule="auto"/>
              <w:rPr>
                <w:rFonts w:ascii="Times New Roman" w:hAnsi="Times New Roman"/>
                <w:noProof/>
                <w:sz w:val="20"/>
                <w:szCs w:val="20"/>
                <w:lang w:bidi="ar-SA"/>
              </w:rPr>
            </w:pPr>
            <w:r w:rsidRPr="00C80638">
              <w:rPr>
                <w:rFonts w:ascii="Times New Roman" w:hAnsi="Times New Roman"/>
                <w:noProof/>
                <w:sz w:val="20"/>
                <w:szCs w:val="20"/>
                <w:lang w:bidi="ar-SA"/>
              </w:rPr>
              <w:t>Aqueous solvent mixture</w:t>
            </w:r>
          </w:p>
        </w:tc>
      </w:tr>
      <w:tr w:rsidR="00C80638" w:rsidRPr="00C80638" w14:paraId="1786C01F" w14:textId="77777777" w:rsidTr="00EE59D4">
        <w:trPr>
          <w:trHeight w:val="246"/>
          <w:jc w:val="center"/>
        </w:trPr>
        <w:tc>
          <w:tcPr>
            <w:tcW w:w="1526" w:type="dxa"/>
            <w:tcBorders>
              <w:top w:val="single" w:sz="4" w:space="0" w:color="auto"/>
            </w:tcBorders>
            <w:shd w:val="clear" w:color="auto" w:fill="auto"/>
          </w:tcPr>
          <w:p w14:paraId="37B5C2C4" w14:textId="77777777" w:rsidR="00C80638" w:rsidRPr="00C80638" w:rsidRDefault="00C80638" w:rsidP="00215204">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w:t>
            </w:r>
          </w:p>
        </w:tc>
        <w:tc>
          <w:tcPr>
            <w:tcW w:w="1440" w:type="dxa"/>
            <w:tcBorders>
              <w:top w:val="single" w:sz="4" w:space="0" w:color="auto"/>
            </w:tcBorders>
            <w:shd w:val="clear" w:color="auto" w:fill="auto"/>
          </w:tcPr>
          <w:p w14:paraId="52FDBA89" w14:textId="53BE4874"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.02</w:t>
            </w:r>
          </w:p>
        </w:tc>
        <w:tc>
          <w:tcPr>
            <w:tcW w:w="1144" w:type="dxa"/>
            <w:tcBorders>
              <w:top w:val="single" w:sz="4" w:space="0" w:color="auto"/>
            </w:tcBorders>
            <w:shd w:val="clear" w:color="auto" w:fill="FFFFFF" w:themeFill="background1"/>
          </w:tcPr>
          <w:p w14:paraId="6AEA08BC"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1.12</w:t>
            </w:r>
          </w:p>
        </w:tc>
        <w:tc>
          <w:tcPr>
            <w:tcW w:w="1440" w:type="dxa"/>
            <w:tcBorders>
              <w:top w:val="single" w:sz="4" w:space="0" w:color="auto"/>
            </w:tcBorders>
            <w:shd w:val="clear" w:color="auto" w:fill="auto"/>
          </w:tcPr>
          <w:p w14:paraId="2F5E14E0" w14:textId="41A8B2D5"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53" w:type="dxa"/>
            <w:tcBorders>
              <w:top w:val="single" w:sz="4" w:space="0" w:color="auto"/>
            </w:tcBorders>
            <w:shd w:val="clear" w:color="auto" w:fill="FFFFFF" w:themeFill="background1"/>
          </w:tcPr>
          <w:p w14:paraId="4753A386"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0.40</w:t>
            </w:r>
          </w:p>
        </w:tc>
        <w:tc>
          <w:tcPr>
            <w:tcW w:w="1584" w:type="dxa"/>
            <w:tcBorders>
              <w:top w:val="single" w:sz="4" w:space="0" w:color="auto"/>
            </w:tcBorders>
            <w:shd w:val="clear" w:color="auto" w:fill="auto"/>
          </w:tcPr>
          <w:p w14:paraId="6EB536D3" w14:textId="03979576"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24.14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317" w:type="dxa"/>
            <w:gridSpan w:val="2"/>
            <w:tcBorders>
              <w:top w:val="single" w:sz="4" w:space="0" w:color="auto"/>
            </w:tcBorders>
            <w:shd w:val="clear" w:color="auto" w:fill="FFFFFF" w:themeFill="background1"/>
          </w:tcPr>
          <w:p w14:paraId="3905331D" w14:textId="77777777" w:rsidR="00C80638" w:rsidRPr="00C80638" w:rsidRDefault="00C80638" w:rsidP="00215204">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0C8373D0" w14:textId="77777777" w:rsidTr="00EE59D4">
        <w:trPr>
          <w:trHeight w:val="257"/>
          <w:jc w:val="center"/>
        </w:trPr>
        <w:tc>
          <w:tcPr>
            <w:tcW w:w="1526" w:type="dxa"/>
            <w:shd w:val="clear" w:color="auto" w:fill="auto"/>
          </w:tcPr>
          <w:p w14:paraId="27851DE9"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w:t>
            </w:r>
          </w:p>
        </w:tc>
        <w:tc>
          <w:tcPr>
            <w:tcW w:w="1440" w:type="dxa"/>
            <w:shd w:val="clear" w:color="auto" w:fill="auto"/>
          </w:tcPr>
          <w:p w14:paraId="38D93369" w14:textId="68A62183"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144" w:type="dxa"/>
            <w:shd w:val="clear" w:color="auto" w:fill="FFFFFF" w:themeFill="background1"/>
          </w:tcPr>
          <w:p w14:paraId="7F960CB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1.05</w:t>
            </w:r>
          </w:p>
        </w:tc>
        <w:tc>
          <w:tcPr>
            <w:tcW w:w="1440" w:type="dxa"/>
            <w:shd w:val="clear" w:color="auto" w:fill="auto"/>
          </w:tcPr>
          <w:p w14:paraId="3A72FD48" w14:textId="00CC88CC"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686B988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584" w:type="dxa"/>
            <w:shd w:val="clear" w:color="auto" w:fill="auto"/>
          </w:tcPr>
          <w:p w14:paraId="02C79065" w14:textId="5EB18D42"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24.39</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3CFB374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0.68</w:t>
            </w:r>
          </w:p>
        </w:tc>
      </w:tr>
      <w:tr w:rsidR="00C80638" w:rsidRPr="00C80638" w14:paraId="615D4BA9" w14:textId="77777777" w:rsidTr="00EE59D4">
        <w:trPr>
          <w:trHeight w:val="246"/>
          <w:jc w:val="center"/>
        </w:trPr>
        <w:tc>
          <w:tcPr>
            <w:tcW w:w="1526" w:type="dxa"/>
            <w:shd w:val="clear" w:color="auto" w:fill="auto"/>
          </w:tcPr>
          <w:p w14:paraId="29FEA9B6"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w:t>
            </w:r>
          </w:p>
        </w:tc>
        <w:tc>
          <w:tcPr>
            <w:tcW w:w="1440" w:type="dxa"/>
            <w:shd w:val="clear" w:color="auto" w:fill="auto"/>
          </w:tcPr>
          <w:p w14:paraId="29C178F8" w14:textId="3C96507B"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7E4A915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1.08</w:t>
            </w:r>
          </w:p>
        </w:tc>
        <w:tc>
          <w:tcPr>
            <w:tcW w:w="1440" w:type="dxa"/>
            <w:shd w:val="clear" w:color="auto" w:fill="auto"/>
          </w:tcPr>
          <w:p w14:paraId="0DB7A3BC" w14:textId="51428A9D"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59111C0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584" w:type="dxa"/>
            <w:shd w:val="clear" w:color="auto" w:fill="auto"/>
          </w:tcPr>
          <w:p w14:paraId="006CB28E" w14:textId="77111E29"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24.31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650A90A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0.67</w:t>
            </w:r>
          </w:p>
        </w:tc>
      </w:tr>
      <w:tr w:rsidR="00C80638" w:rsidRPr="00C80638" w14:paraId="1023D59E" w14:textId="77777777" w:rsidTr="00EE59D4">
        <w:trPr>
          <w:trHeight w:val="257"/>
          <w:jc w:val="center"/>
        </w:trPr>
        <w:tc>
          <w:tcPr>
            <w:tcW w:w="1526" w:type="dxa"/>
            <w:shd w:val="clear" w:color="auto" w:fill="auto"/>
          </w:tcPr>
          <w:p w14:paraId="532C7FA4" w14:textId="188EE74F"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w:t>
            </w:r>
            <w:r w:rsidR="00215204">
              <w:rPr>
                <w:rFonts w:ascii="Times New Roman" w:hAnsi="Times New Roman"/>
                <w:noProof/>
                <w:sz w:val="20"/>
                <w:szCs w:val="20"/>
                <w:lang w:bidi="ar-SA"/>
              </w:rPr>
              <w:t>CAN</w:t>
            </w:r>
          </w:p>
        </w:tc>
        <w:tc>
          <w:tcPr>
            <w:tcW w:w="1440" w:type="dxa"/>
            <w:shd w:val="clear" w:color="auto" w:fill="auto"/>
          </w:tcPr>
          <w:p w14:paraId="6D2989F9" w14:textId="54544916"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6D9EF5A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1.02</w:t>
            </w:r>
          </w:p>
        </w:tc>
        <w:tc>
          <w:tcPr>
            <w:tcW w:w="1440" w:type="dxa"/>
            <w:shd w:val="clear" w:color="auto" w:fill="auto"/>
          </w:tcPr>
          <w:p w14:paraId="06435D4B" w14:textId="1DD00AFF"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53" w:type="dxa"/>
            <w:shd w:val="clear" w:color="auto" w:fill="FFFFFF" w:themeFill="background1"/>
          </w:tcPr>
          <w:p w14:paraId="615EB453"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0.41</w:t>
            </w:r>
          </w:p>
        </w:tc>
        <w:tc>
          <w:tcPr>
            <w:tcW w:w="1584" w:type="dxa"/>
            <w:shd w:val="clear" w:color="auto" w:fill="auto"/>
          </w:tcPr>
          <w:p w14:paraId="0938C932" w14:textId="478A2D51"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24.51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628B2C0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56F06123" w14:textId="77777777" w:rsidTr="00EE59D4">
        <w:trPr>
          <w:trHeight w:val="246"/>
          <w:jc w:val="center"/>
        </w:trPr>
        <w:tc>
          <w:tcPr>
            <w:tcW w:w="1526" w:type="dxa"/>
            <w:shd w:val="clear" w:color="auto" w:fill="auto"/>
          </w:tcPr>
          <w:p w14:paraId="49C6CB2A"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w:t>
            </w:r>
          </w:p>
        </w:tc>
        <w:tc>
          <w:tcPr>
            <w:tcW w:w="1440" w:type="dxa"/>
            <w:shd w:val="clear" w:color="auto" w:fill="auto"/>
          </w:tcPr>
          <w:p w14:paraId="6A6CF002" w14:textId="3C108542"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70407030"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0.99</w:t>
            </w:r>
          </w:p>
        </w:tc>
        <w:tc>
          <w:tcPr>
            <w:tcW w:w="1440" w:type="dxa"/>
            <w:shd w:val="clear" w:color="auto" w:fill="auto"/>
          </w:tcPr>
          <w:p w14:paraId="731CDE1E" w14:textId="38187868"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3582085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0.57</w:t>
            </w:r>
          </w:p>
        </w:tc>
        <w:tc>
          <w:tcPr>
            <w:tcW w:w="1584" w:type="dxa"/>
            <w:shd w:val="clear" w:color="auto" w:fill="auto"/>
          </w:tcPr>
          <w:p w14:paraId="588659DA" w14:textId="687DF6BF"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24.62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3531EA25"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r>
      <w:tr w:rsidR="00C80638" w:rsidRPr="00C80638" w14:paraId="4660196F" w14:textId="77777777" w:rsidTr="00EE59D4">
        <w:trPr>
          <w:trHeight w:val="257"/>
          <w:jc w:val="center"/>
        </w:trPr>
        <w:tc>
          <w:tcPr>
            <w:tcW w:w="1526" w:type="dxa"/>
            <w:shd w:val="clear" w:color="auto" w:fill="auto"/>
          </w:tcPr>
          <w:p w14:paraId="5ECB516E"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w:t>
            </w:r>
          </w:p>
        </w:tc>
        <w:tc>
          <w:tcPr>
            <w:tcW w:w="1440" w:type="dxa"/>
            <w:shd w:val="clear" w:color="auto" w:fill="auto"/>
          </w:tcPr>
          <w:p w14:paraId="38FFE15F" w14:textId="697AF006"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4B75CF6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1.20</w:t>
            </w:r>
          </w:p>
        </w:tc>
        <w:tc>
          <w:tcPr>
            <w:tcW w:w="1440" w:type="dxa"/>
            <w:shd w:val="clear" w:color="auto" w:fill="auto"/>
          </w:tcPr>
          <w:p w14:paraId="01A19C3A" w14:textId="5BADDD8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23.88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shd w:val="clear" w:color="auto" w:fill="FFFFFF" w:themeFill="background1"/>
          </w:tcPr>
          <w:p w14:paraId="2FF3045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0.43</w:t>
            </w:r>
          </w:p>
        </w:tc>
        <w:tc>
          <w:tcPr>
            <w:tcW w:w="1584" w:type="dxa"/>
            <w:shd w:val="clear" w:color="auto" w:fill="auto"/>
          </w:tcPr>
          <w:p w14:paraId="18FA119D" w14:textId="3578A5A2" w:rsidR="00C80638" w:rsidRPr="00C80638" w:rsidRDefault="00EE59D4" w:rsidP="00C80638">
            <w:pPr>
              <w:spacing w:after="0"/>
              <w:jc w:val="center"/>
              <w:rPr>
                <w:rFonts w:ascii="Times New Roman" w:hAnsi="Times New Roman"/>
                <w:noProof/>
                <w:sz w:val="20"/>
                <w:szCs w:val="20"/>
                <w:lang w:bidi="ar-SA"/>
              </w:rPr>
            </w:pPr>
            <w:r>
              <w:rPr>
                <w:rFonts w:ascii="Times New Roman" w:hAnsi="Times New Roman"/>
                <w:noProof/>
                <w:sz w:val="20"/>
                <w:szCs w:val="20"/>
                <w:lang w:bidi="ar-SA"/>
              </w:rPr>
              <w:t xml:space="preserve"> </w:t>
            </w:r>
          </w:p>
        </w:tc>
        <w:tc>
          <w:tcPr>
            <w:tcW w:w="1317" w:type="dxa"/>
            <w:gridSpan w:val="2"/>
            <w:shd w:val="clear" w:color="auto" w:fill="FFFFFF" w:themeFill="background1"/>
          </w:tcPr>
          <w:p w14:paraId="4C82861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0.58</w:t>
            </w:r>
          </w:p>
        </w:tc>
      </w:tr>
      <w:tr w:rsidR="00C80638" w:rsidRPr="00C80638" w14:paraId="5D4B8936" w14:textId="77777777" w:rsidTr="00EE59D4">
        <w:trPr>
          <w:trHeight w:val="246"/>
          <w:jc w:val="center"/>
        </w:trPr>
        <w:tc>
          <w:tcPr>
            <w:tcW w:w="1526" w:type="dxa"/>
            <w:shd w:val="clear" w:color="auto" w:fill="auto"/>
          </w:tcPr>
          <w:p w14:paraId="6FBC821A"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w:t>
            </w:r>
          </w:p>
        </w:tc>
        <w:tc>
          <w:tcPr>
            <w:tcW w:w="1440" w:type="dxa"/>
            <w:shd w:val="clear" w:color="auto" w:fill="auto"/>
          </w:tcPr>
          <w:p w14:paraId="2DD803ED" w14:textId="243BFCB0"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144" w:type="dxa"/>
            <w:shd w:val="clear" w:color="auto" w:fill="FFFFFF" w:themeFill="background1"/>
          </w:tcPr>
          <w:p w14:paraId="531B64E7"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1.14</w:t>
            </w:r>
          </w:p>
        </w:tc>
        <w:tc>
          <w:tcPr>
            <w:tcW w:w="1440" w:type="dxa"/>
            <w:shd w:val="clear" w:color="auto" w:fill="auto"/>
          </w:tcPr>
          <w:p w14:paraId="5CFAC889" w14:textId="4B51BE1E"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shd w:val="clear" w:color="auto" w:fill="FFFFFF" w:themeFill="background1"/>
          </w:tcPr>
          <w:p w14:paraId="1BEC08B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0.48</w:t>
            </w:r>
          </w:p>
        </w:tc>
        <w:tc>
          <w:tcPr>
            <w:tcW w:w="1584" w:type="dxa"/>
            <w:shd w:val="clear" w:color="auto" w:fill="auto"/>
          </w:tcPr>
          <w:p w14:paraId="4916F8E5" w14:textId="6AA78B24"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24.08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317" w:type="dxa"/>
            <w:gridSpan w:val="2"/>
            <w:shd w:val="clear" w:color="auto" w:fill="FFFFFF" w:themeFill="background1"/>
          </w:tcPr>
          <w:p w14:paraId="11574DA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0.62</w:t>
            </w:r>
          </w:p>
        </w:tc>
      </w:tr>
      <w:tr w:rsidR="00C80638" w:rsidRPr="00C80638" w14:paraId="48CA3B17" w14:textId="77777777" w:rsidTr="00EE59D4">
        <w:trPr>
          <w:trHeight w:val="246"/>
          <w:jc w:val="center"/>
        </w:trPr>
        <w:tc>
          <w:tcPr>
            <w:tcW w:w="1526" w:type="dxa"/>
            <w:tcBorders>
              <w:bottom w:val="single" w:sz="4" w:space="0" w:color="auto"/>
            </w:tcBorders>
            <w:shd w:val="clear" w:color="auto" w:fill="auto"/>
          </w:tcPr>
          <w:p w14:paraId="35DBD2A1" w14:textId="77777777" w:rsidR="00C80638" w:rsidRPr="00C80638" w:rsidRDefault="00C80638" w:rsidP="00215204">
            <w:pPr>
              <w:spacing w:after="6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w:t>
            </w:r>
          </w:p>
        </w:tc>
        <w:tc>
          <w:tcPr>
            <w:tcW w:w="1440" w:type="dxa"/>
            <w:tcBorders>
              <w:bottom w:val="single" w:sz="4" w:space="0" w:color="auto"/>
            </w:tcBorders>
            <w:shd w:val="clear" w:color="auto" w:fill="auto"/>
          </w:tcPr>
          <w:p w14:paraId="4D2C478C" w14:textId="0A197F93"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tcBorders>
              <w:bottom w:val="single" w:sz="4" w:space="0" w:color="auto"/>
            </w:tcBorders>
            <w:shd w:val="clear" w:color="auto" w:fill="FFFFFF" w:themeFill="background1"/>
          </w:tcPr>
          <w:p w14:paraId="36C1B6A1"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0.89</w:t>
            </w:r>
          </w:p>
        </w:tc>
        <w:tc>
          <w:tcPr>
            <w:tcW w:w="1440" w:type="dxa"/>
            <w:tcBorders>
              <w:bottom w:val="single" w:sz="4" w:space="0" w:color="auto"/>
            </w:tcBorders>
            <w:shd w:val="clear" w:color="auto" w:fill="auto"/>
          </w:tcPr>
          <w:p w14:paraId="40880020" w14:textId="40D237A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tcBorders>
              <w:bottom w:val="single" w:sz="4" w:space="0" w:color="auto"/>
            </w:tcBorders>
            <w:shd w:val="clear" w:color="auto" w:fill="FFFFFF" w:themeFill="background1"/>
          </w:tcPr>
          <w:p w14:paraId="3C79A9F6"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c>
          <w:tcPr>
            <w:tcW w:w="1584" w:type="dxa"/>
            <w:tcBorders>
              <w:bottom w:val="single" w:sz="4" w:space="0" w:color="auto"/>
            </w:tcBorders>
            <w:shd w:val="clear" w:color="auto" w:fill="auto"/>
          </w:tcPr>
          <w:p w14:paraId="227A1025" w14:textId="4E6B6149"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24.98</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tcBorders>
              <w:bottom w:val="single" w:sz="4" w:space="0" w:color="auto"/>
            </w:tcBorders>
            <w:shd w:val="clear" w:color="auto" w:fill="FFFFFF" w:themeFill="background1"/>
          </w:tcPr>
          <w:p w14:paraId="3FCA23BF" w14:textId="77777777" w:rsidR="00C80638" w:rsidRPr="00C80638" w:rsidRDefault="00C80638" w:rsidP="00215204">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r>
      <w:tr w:rsidR="00C80638" w:rsidRPr="00C80638" w14:paraId="5557368F" w14:textId="77777777" w:rsidTr="00EE59D4">
        <w:trPr>
          <w:gridAfter w:val="1"/>
          <w:wAfter w:w="414" w:type="dxa"/>
          <w:trHeight w:val="251"/>
          <w:jc w:val="center"/>
        </w:trPr>
        <w:tc>
          <w:tcPr>
            <w:tcW w:w="9090" w:type="dxa"/>
            <w:gridSpan w:val="7"/>
            <w:tcBorders>
              <w:top w:val="single" w:sz="4" w:space="0" w:color="auto"/>
              <w:bottom w:val="single" w:sz="4" w:space="0" w:color="auto"/>
            </w:tcBorders>
            <w:shd w:val="clear" w:color="auto" w:fill="FFFFFF" w:themeFill="background1"/>
          </w:tcPr>
          <w:p w14:paraId="1149BFFE" w14:textId="77777777" w:rsidR="00C80638" w:rsidRPr="00C80638" w:rsidRDefault="00C80638" w:rsidP="00D662D7">
            <w:pPr>
              <w:spacing w:before="60" w:after="60" w:line="240" w:lineRule="auto"/>
              <w:rPr>
                <w:rFonts w:ascii="Times New Roman" w:hAnsi="Times New Roman"/>
                <w:noProof/>
                <w:sz w:val="20"/>
                <w:szCs w:val="20"/>
                <w:lang w:bidi="ar-SA"/>
              </w:rPr>
            </w:pPr>
            <w:r w:rsidRPr="00C80638">
              <w:rPr>
                <w:rFonts w:ascii="Times New Roman" w:hAnsi="Times New Roman"/>
                <w:noProof/>
                <w:sz w:val="20"/>
                <w:szCs w:val="20"/>
                <w:lang w:bidi="ar-SA"/>
              </w:rPr>
              <w:t>Non-aqueous solvent mixture</w:t>
            </w:r>
          </w:p>
        </w:tc>
      </w:tr>
      <w:tr w:rsidR="00C80638" w:rsidRPr="00C80638" w14:paraId="6FDD8A83" w14:textId="77777777" w:rsidTr="00EE59D4">
        <w:trPr>
          <w:trHeight w:val="257"/>
          <w:jc w:val="center"/>
        </w:trPr>
        <w:tc>
          <w:tcPr>
            <w:tcW w:w="1526" w:type="dxa"/>
            <w:tcBorders>
              <w:top w:val="single" w:sz="4" w:space="0" w:color="auto"/>
            </w:tcBorders>
            <w:shd w:val="clear" w:color="auto" w:fill="auto"/>
          </w:tcPr>
          <w:p w14:paraId="0DD4EA23" w14:textId="277BCF95" w:rsidR="00C80638" w:rsidRPr="00C80638" w:rsidRDefault="00C80638"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w:t>
            </w:r>
            <w:r w:rsidR="00215204">
              <w:rPr>
                <w:rFonts w:ascii="Times New Roman" w:hAnsi="Times New Roman"/>
                <w:noProof/>
                <w:sz w:val="20"/>
                <w:szCs w:val="20"/>
                <w:lang w:bidi="ar-SA"/>
              </w:rPr>
              <w:t>CAN</w:t>
            </w:r>
          </w:p>
        </w:tc>
        <w:tc>
          <w:tcPr>
            <w:tcW w:w="1440" w:type="dxa"/>
            <w:tcBorders>
              <w:top w:val="single" w:sz="4" w:space="0" w:color="auto"/>
            </w:tcBorders>
            <w:shd w:val="clear" w:color="auto" w:fill="auto"/>
          </w:tcPr>
          <w:p w14:paraId="3C27008E" w14:textId="719DB4BC"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tcBorders>
              <w:top w:val="single" w:sz="4" w:space="0" w:color="auto"/>
            </w:tcBorders>
            <w:shd w:val="clear" w:color="auto" w:fill="FFFFFF" w:themeFill="background1"/>
          </w:tcPr>
          <w:p w14:paraId="3F4D1822"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0.75</w:t>
            </w:r>
          </w:p>
        </w:tc>
        <w:tc>
          <w:tcPr>
            <w:tcW w:w="1440" w:type="dxa"/>
            <w:tcBorders>
              <w:top w:val="single" w:sz="4" w:space="0" w:color="auto"/>
            </w:tcBorders>
            <w:shd w:val="clear" w:color="auto" w:fill="auto"/>
          </w:tcPr>
          <w:p w14:paraId="0BA3B44F" w14:textId="5E712C66"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053" w:type="dxa"/>
            <w:tcBorders>
              <w:top w:val="single" w:sz="4" w:space="0" w:color="auto"/>
            </w:tcBorders>
            <w:shd w:val="clear" w:color="auto" w:fill="FFFFFF" w:themeFill="background1"/>
          </w:tcPr>
          <w:p w14:paraId="2248FA04"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0.51</w:t>
            </w:r>
          </w:p>
        </w:tc>
        <w:tc>
          <w:tcPr>
            <w:tcW w:w="1584" w:type="dxa"/>
            <w:tcBorders>
              <w:top w:val="single" w:sz="4" w:space="0" w:color="auto"/>
            </w:tcBorders>
            <w:shd w:val="clear" w:color="auto" w:fill="auto"/>
          </w:tcPr>
          <w:p w14:paraId="64AC3196" w14:textId="2313E34B"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25.46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0.001</w:t>
            </w:r>
          </w:p>
        </w:tc>
        <w:tc>
          <w:tcPr>
            <w:tcW w:w="1317" w:type="dxa"/>
            <w:gridSpan w:val="2"/>
            <w:tcBorders>
              <w:top w:val="single" w:sz="4" w:space="0" w:color="auto"/>
            </w:tcBorders>
            <w:shd w:val="clear" w:color="auto" w:fill="FFFFFF" w:themeFill="background1"/>
          </w:tcPr>
          <w:p w14:paraId="3CF721EE" w14:textId="77777777" w:rsidR="00C80638" w:rsidRPr="00C80638" w:rsidRDefault="00C80638"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0.82</w:t>
            </w:r>
          </w:p>
        </w:tc>
      </w:tr>
      <w:tr w:rsidR="00C80638" w:rsidRPr="00C80638" w14:paraId="23EE3724" w14:textId="77777777" w:rsidTr="00EE59D4">
        <w:trPr>
          <w:trHeight w:val="246"/>
          <w:jc w:val="center"/>
        </w:trPr>
        <w:tc>
          <w:tcPr>
            <w:tcW w:w="1526" w:type="dxa"/>
            <w:shd w:val="clear" w:color="auto" w:fill="auto"/>
          </w:tcPr>
          <w:p w14:paraId="2117C8BD" w14:textId="5E33110F" w:rsidR="00C80638" w:rsidRPr="00C80638" w:rsidRDefault="00EE59D4" w:rsidP="00151873">
            <w:pPr>
              <w:spacing w:after="0"/>
              <w:rPr>
                <w:rFonts w:ascii="Times New Roman" w:hAnsi="Times New Roman"/>
                <w:noProof/>
                <w:sz w:val="20"/>
                <w:szCs w:val="20"/>
                <w:lang w:bidi="ar-SA"/>
              </w:rPr>
            </w:pPr>
            <w:r>
              <w:rPr>
                <w:rFonts w:ascii="Times New Roman" w:hAnsi="Times New Roman"/>
                <w:noProof/>
                <w:sz w:val="20"/>
                <w:szCs w:val="20"/>
                <w:lang w:bidi="ar-SA"/>
              </w:rPr>
              <w:t xml:space="preserve"> </w:t>
            </w:r>
          </w:p>
        </w:tc>
        <w:tc>
          <w:tcPr>
            <w:tcW w:w="1440" w:type="dxa"/>
            <w:shd w:val="clear" w:color="auto" w:fill="auto"/>
          </w:tcPr>
          <w:p w14:paraId="287CCBF6" w14:textId="002EA00C"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56A952E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c>
          <w:tcPr>
            <w:tcW w:w="1440" w:type="dxa"/>
            <w:shd w:val="clear" w:color="auto" w:fill="auto"/>
          </w:tcPr>
          <w:p w14:paraId="38DEBDD7" w14:textId="36C12989"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5425AAF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0.59</w:t>
            </w:r>
          </w:p>
        </w:tc>
        <w:tc>
          <w:tcPr>
            <w:tcW w:w="1584" w:type="dxa"/>
            <w:shd w:val="clear" w:color="auto" w:fill="auto"/>
          </w:tcPr>
          <w:p w14:paraId="441D6322" w14:textId="1A18CE91"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25.64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3670E42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0.76</w:t>
            </w:r>
          </w:p>
        </w:tc>
      </w:tr>
      <w:tr w:rsidR="00C80638" w:rsidRPr="00C80638" w14:paraId="3E09C5C0" w14:textId="77777777" w:rsidTr="00EE59D4">
        <w:trPr>
          <w:trHeight w:val="257"/>
          <w:jc w:val="center"/>
        </w:trPr>
        <w:tc>
          <w:tcPr>
            <w:tcW w:w="1526" w:type="dxa"/>
            <w:shd w:val="clear" w:color="auto" w:fill="auto"/>
          </w:tcPr>
          <w:p w14:paraId="04C61AA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EtOH-DMF</w:t>
            </w:r>
          </w:p>
        </w:tc>
        <w:tc>
          <w:tcPr>
            <w:tcW w:w="1440" w:type="dxa"/>
            <w:shd w:val="clear" w:color="auto" w:fill="auto"/>
          </w:tcPr>
          <w:p w14:paraId="3EFA13F9" w14:textId="06F84711"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1ADD08F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0.78</w:t>
            </w:r>
          </w:p>
        </w:tc>
        <w:tc>
          <w:tcPr>
            <w:tcW w:w="1440" w:type="dxa"/>
            <w:shd w:val="clear" w:color="auto" w:fill="auto"/>
          </w:tcPr>
          <w:p w14:paraId="2CAE50A3" w14:textId="2B6341F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53" w:type="dxa"/>
            <w:shd w:val="clear" w:color="auto" w:fill="FFFFFF" w:themeFill="background1"/>
          </w:tcPr>
          <w:p w14:paraId="365853AF"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c>
          <w:tcPr>
            <w:tcW w:w="1584" w:type="dxa"/>
            <w:shd w:val="clear" w:color="auto" w:fill="auto"/>
          </w:tcPr>
          <w:p w14:paraId="758F2B93" w14:textId="146107DB"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25.36</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shd w:val="clear" w:color="auto" w:fill="FFFFFF" w:themeFill="background1"/>
          </w:tcPr>
          <w:p w14:paraId="10879FC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0.67</w:t>
            </w:r>
          </w:p>
        </w:tc>
      </w:tr>
      <w:tr w:rsidR="00C80638" w:rsidRPr="00C80638" w14:paraId="4B47F540" w14:textId="77777777" w:rsidTr="00EE59D4">
        <w:trPr>
          <w:trHeight w:val="246"/>
          <w:jc w:val="center"/>
        </w:trPr>
        <w:tc>
          <w:tcPr>
            <w:tcW w:w="1526" w:type="dxa"/>
            <w:shd w:val="clear" w:color="auto" w:fill="auto"/>
          </w:tcPr>
          <w:p w14:paraId="17F42787"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EtOH-DMSO</w:t>
            </w:r>
          </w:p>
        </w:tc>
        <w:tc>
          <w:tcPr>
            <w:tcW w:w="1440" w:type="dxa"/>
            <w:shd w:val="clear" w:color="auto" w:fill="auto"/>
          </w:tcPr>
          <w:p w14:paraId="0C9D122E" w14:textId="70D128F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00CF21AB"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0.83</w:t>
            </w:r>
          </w:p>
        </w:tc>
        <w:tc>
          <w:tcPr>
            <w:tcW w:w="1440" w:type="dxa"/>
            <w:shd w:val="clear" w:color="auto" w:fill="auto"/>
          </w:tcPr>
          <w:p w14:paraId="254B3E04" w14:textId="070D529F"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0.04</w:t>
            </w:r>
          </w:p>
        </w:tc>
        <w:tc>
          <w:tcPr>
            <w:tcW w:w="1053" w:type="dxa"/>
            <w:shd w:val="clear" w:color="auto" w:fill="FFFFFF" w:themeFill="background1"/>
          </w:tcPr>
          <w:p w14:paraId="5296EF54"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0.74</w:t>
            </w:r>
          </w:p>
        </w:tc>
        <w:tc>
          <w:tcPr>
            <w:tcW w:w="1584" w:type="dxa"/>
            <w:shd w:val="clear" w:color="auto" w:fill="auto"/>
          </w:tcPr>
          <w:p w14:paraId="036840A0" w14:textId="1BDC4AD6"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25.17</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0.01</w:t>
            </w:r>
          </w:p>
        </w:tc>
        <w:tc>
          <w:tcPr>
            <w:tcW w:w="1317" w:type="dxa"/>
            <w:gridSpan w:val="2"/>
            <w:shd w:val="clear" w:color="auto" w:fill="FFFFFF" w:themeFill="background1"/>
          </w:tcPr>
          <w:p w14:paraId="5183E07D"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0.60</w:t>
            </w:r>
          </w:p>
        </w:tc>
      </w:tr>
      <w:tr w:rsidR="00C80638" w:rsidRPr="00C80638" w14:paraId="007A01AE" w14:textId="77777777" w:rsidTr="00EE59D4">
        <w:trPr>
          <w:trHeight w:val="257"/>
          <w:jc w:val="center"/>
        </w:trPr>
        <w:tc>
          <w:tcPr>
            <w:tcW w:w="1526" w:type="dxa"/>
            <w:shd w:val="clear" w:color="auto" w:fill="auto"/>
          </w:tcPr>
          <w:p w14:paraId="229869E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EtOH-THF</w:t>
            </w:r>
          </w:p>
        </w:tc>
        <w:tc>
          <w:tcPr>
            <w:tcW w:w="1440" w:type="dxa"/>
            <w:shd w:val="clear" w:color="auto" w:fill="auto"/>
          </w:tcPr>
          <w:p w14:paraId="4C245C20" w14:textId="3E187262"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29EF05DA"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0.65</w:t>
            </w:r>
          </w:p>
        </w:tc>
        <w:tc>
          <w:tcPr>
            <w:tcW w:w="1440" w:type="dxa"/>
            <w:shd w:val="clear" w:color="auto" w:fill="auto"/>
          </w:tcPr>
          <w:p w14:paraId="51C047F2" w14:textId="62558CF4"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shd w:val="clear" w:color="auto" w:fill="FFFFFF" w:themeFill="background1"/>
          </w:tcPr>
          <w:p w14:paraId="5895014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0.64</w:t>
            </w:r>
          </w:p>
        </w:tc>
        <w:tc>
          <w:tcPr>
            <w:tcW w:w="1584" w:type="dxa"/>
            <w:shd w:val="clear" w:color="auto" w:fill="auto"/>
          </w:tcPr>
          <w:p w14:paraId="675DFB7E" w14:textId="2154FA50"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25.81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shd w:val="clear" w:color="auto" w:fill="FFFFFF" w:themeFill="background1"/>
          </w:tcPr>
          <w:p w14:paraId="1B860BA9"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0.70</w:t>
            </w:r>
          </w:p>
        </w:tc>
      </w:tr>
      <w:tr w:rsidR="00C80638" w:rsidRPr="00C80638" w14:paraId="2C0F55AE" w14:textId="77777777" w:rsidTr="00EE59D4">
        <w:trPr>
          <w:trHeight w:val="246"/>
          <w:jc w:val="center"/>
        </w:trPr>
        <w:tc>
          <w:tcPr>
            <w:tcW w:w="1526" w:type="dxa"/>
            <w:shd w:val="clear" w:color="auto" w:fill="auto"/>
          </w:tcPr>
          <w:p w14:paraId="639F14ED"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MeOH-Ace</w:t>
            </w:r>
          </w:p>
        </w:tc>
        <w:tc>
          <w:tcPr>
            <w:tcW w:w="1440" w:type="dxa"/>
            <w:shd w:val="clear" w:color="auto" w:fill="auto"/>
          </w:tcPr>
          <w:p w14:paraId="68F2A216" w14:textId="66965ECC"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3F411111"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0.73</w:t>
            </w:r>
          </w:p>
        </w:tc>
        <w:tc>
          <w:tcPr>
            <w:tcW w:w="1440" w:type="dxa"/>
            <w:shd w:val="clear" w:color="auto" w:fill="auto"/>
          </w:tcPr>
          <w:p w14:paraId="3E38824E" w14:textId="081680BD"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shd w:val="clear" w:color="auto" w:fill="FFFFFF" w:themeFill="background1"/>
          </w:tcPr>
          <w:p w14:paraId="18EBCEF8"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0.56</w:t>
            </w:r>
          </w:p>
        </w:tc>
        <w:tc>
          <w:tcPr>
            <w:tcW w:w="1584" w:type="dxa"/>
            <w:shd w:val="clear" w:color="auto" w:fill="auto"/>
          </w:tcPr>
          <w:p w14:paraId="296FB166" w14:textId="5413A288"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25.54</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shd w:val="clear" w:color="auto" w:fill="FFFFFF" w:themeFill="background1"/>
          </w:tcPr>
          <w:p w14:paraId="3CF55D76"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0.88</w:t>
            </w:r>
          </w:p>
        </w:tc>
      </w:tr>
      <w:tr w:rsidR="00C80638" w:rsidRPr="00C80638" w14:paraId="6EC6728A" w14:textId="77777777" w:rsidTr="00EE59D4">
        <w:trPr>
          <w:trHeight w:val="257"/>
          <w:jc w:val="center"/>
        </w:trPr>
        <w:tc>
          <w:tcPr>
            <w:tcW w:w="1526" w:type="dxa"/>
            <w:shd w:val="clear" w:color="auto" w:fill="auto"/>
          </w:tcPr>
          <w:p w14:paraId="6356B792" w14:textId="77777777" w:rsidR="00C80638" w:rsidRPr="00C80638" w:rsidRDefault="00C80638" w:rsidP="00151873">
            <w:pPr>
              <w:spacing w:after="0"/>
              <w:rPr>
                <w:rFonts w:ascii="Times New Roman" w:hAnsi="Times New Roman"/>
                <w:noProof/>
                <w:sz w:val="20"/>
                <w:szCs w:val="20"/>
                <w:lang w:bidi="ar-SA"/>
              </w:rPr>
            </w:pPr>
            <w:r w:rsidRPr="00C80638">
              <w:rPr>
                <w:rFonts w:ascii="Times New Roman" w:hAnsi="Times New Roman"/>
                <w:noProof/>
                <w:sz w:val="20"/>
                <w:szCs w:val="20"/>
                <w:lang w:bidi="ar-SA"/>
              </w:rPr>
              <w:t>MeOH-DMF</w:t>
            </w:r>
          </w:p>
        </w:tc>
        <w:tc>
          <w:tcPr>
            <w:tcW w:w="1440" w:type="dxa"/>
            <w:shd w:val="clear" w:color="auto" w:fill="auto"/>
          </w:tcPr>
          <w:p w14:paraId="10CD4132" w14:textId="209EE2CD"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144" w:type="dxa"/>
            <w:shd w:val="clear" w:color="auto" w:fill="FFFFFF" w:themeFill="background1"/>
          </w:tcPr>
          <w:p w14:paraId="2D4AD6E2"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0.79</w:t>
            </w:r>
          </w:p>
        </w:tc>
        <w:tc>
          <w:tcPr>
            <w:tcW w:w="1440" w:type="dxa"/>
            <w:shd w:val="clear" w:color="auto" w:fill="auto"/>
          </w:tcPr>
          <w:p w14:paraId="2B226D07" w14:textId="1659A4DD"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053" w:type="dxa"/>
            <w:shd w:val="clear" w:color="auto" w:fill="FFFFFF" w:themeFill="background1"/>
          </w:tcPr>
          <w:p w14:paraId="62BD5F9C"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0.63</w:t>
            </w:r>
          </w:p>
        </w:tc>
        <w:tc>
          <w:tcPr>
            <w:tcW w:w="1584" w:type="dxa"/>
            <w:shd w:val="clear" w:color="auto" w:fill="auto"/>
          </w:tcPr>
          <w:p w14:paraId="1609DB1C" w14:textId="46EE8C8A"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25.32</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shd w:val="clear" w:color="auto" w:fill="FFFFFF" w:themeFill="background1"/>
          </w:tcPr>
          <w:p w14:paraId="1327892E" w14:textId="77777777" w:rsidR="00C80638" w:rsidRPr="00C80638" w:rsidRDefault="00C80638" w:rsidP="00C80638">
            <w:pPr>
              <w:spacing w:after="0"/>
              <w:jc w:val="center"/>
              <w:rPr>
                <w:rFonts w:ascii="Times New Roman" w:hAnsi="Times New Roman"/>
                <w:noProof/>
                <w:sz w:val="20"/>
                <w:szCs w:val="20"/>
                <w:lang w:bidi="ar-SA"/>
              </w:rPr>
            </w:pPr>
            <w:r w:rsidRPr="00C80638">
              <w:rPr>
                <w:rFonts w:ascii="Times New Roman" w:hAnsi="Times New Roman"/>
                <w:noProof/>
                <w:sz w:val="20"/>
                <w:szCs w:val="20"/>
                <w:lang w:bidi="ar-SA"/>
              </w:rPr>
              <w:t>0.81</w:t>
            </w:r>
          </w:p>
        </w:tc>
      </w:tr>
      <w:tr w:rsidR="00C80638" w:rsidRPr="00C80638" w14:paraId="316AF6AB" w14:textId="77777777" w:rsidTr="00EE59D4">
        <w:trPr>
          <w:trHeight w:val="246"/>
          <w:jc w:val="center"/>
        </w:trPr>
        <w:tc>
          <w:tcPr>
            <w:tcW w:w="1526" w:type="dxa"/>
            <w:tcBorders>
              <w:bottom w:val="single" w:sz="4" w:space="0" w:color="auto"/>
            </w:tcBorders>
            <w:shd w:val="clear" w:color="auto" w:fill="auto"/>
          </w:tcPr>
          <w:p w14:paraId="4E250740" w14:textId="77777777" w:rsidR="00C80638" w:rsidRPr="00C80638" w:rsidRDefault="00C80638" w:rsidP="007677D7">
            <w:pPr>
              <w:spacing w:after="60"/>
              <w:rPr>
                <w:rFonts w:ascii="Times New Roman" w:hAnsi="Times New Roman"/>
                <w:noProof/>
                <w:sz w:val="20"/>
                <w:szCs w:val="20"/>
                <w:lang w:bidi="ar-SA"/>
              </w:rPr>
            </w:pPr>
            <w:r w:rsidRPr="00C80638">
              <w:rPr>
                <w:rFonts w:ascii="Times New Roman" w:hAnsi="Times New Roman"/>
                <w:noProof/>
                <w:sz w:val="20"/>
                <w:szCs w:val="20"/>
                <w:lang w:bidi="ar-SA"/>
              </w:rPr>
              <w:t>MeOH-THF</w:t>
            </w:r>
          </w:p>
        </w:tc>
        <w:tc>
          <w:tcPr>
            <w:tcW w:w="1440" w:type="dxa"/>
            <w:tcBorders>
              <w:bottom w:val="single" w:sz="4" w:space="0" w:color="auto"/>
            </w:tcBorders>
            <w:shd w:val="clear" w:color="auto" w:fill="auto"/>
          </w:tcPr>
          <w:p w14:paraId="7D940A79" w14:textId="752A5929"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0.05</w:t>
            </w:r>
          </w:p>
        </w:tc>
        <w:tc>
          <w:tcPr>
            <w:tcW w:w="1144" w:type="dxa"/>
            <w:tcBorders>
              <w:bottom w:val="single" w:sz="4" w:space="0" w:color="auto"/>
            </w:tcBorders>
            <w:shd w:val="clear" w:color="auto" w:fill="FFFFFF" w:themeFill="background1"/>
          </w:tcPr>
          <w:p w14:paraId="3362B733"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0.68</w:t>
            </w:r>
          </w:p>
        </w:tc>
        <w:tc>
          <w:tcPr>
            <w:tcW w:w="1440" w:type="dxa"/>
            <w:tcBorders>
              <w:bottom w:val="single" w:sz="4" w:space="0" w:color="auto"/>
            </w:tcBorders>
            <w:shd w:val="clear" w:color="auto" w:fill="auto"/>
          </w:tcPr>
          <w:p w14:paraId="6D1AE116" w14:textId="41EC03C6"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0.03</w:t>
            </w:r>
          </w:p>
        </w:tc>
        <w:tc>
          <w:tcPr>
            <w:tcW w:w="1053" w:type="dxa"/>
            <w:tcBorders>
              <w:bottom w:val="single" w:sz="4" w:space="0" w:color="auto"/>
            </w:tcBorders>
            <w:shd w:val="clear" w:color="auto" w:fill="FFFFFF" w:themeFill="background1"/>
          </w:tcPr>
          <w:p w14:paraId="3B3A06B9"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0.61</w:t>
            </w:r>
          </w:p>
        </w:tc>
        <w:tc>
          <w:tcPr>
            <w:tcW w:w="1584" w:type="dxa"/>
            <w:tcBorders>
              <w:bottom w:val="single" w:sz="4" w:space="0" w:color="auto"/>
            </w:tcBorders>
            <w:shd w:val="clear" w:color="auto" w:fill="auto"/>
          </w:tcPr>
          <w:p w14:paraId="3C20B941" w14:textId="324EA1ED"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25.71</w:t>
            </w:r>
            <w:r w:rsidR="00EE59D4">
              <w:rPr>
                <w:rFonts w:ascii="Times New Roman" w:hAnsi="Times New Roman"/>
                <w:noProof/>
                <w:sz w:val="20"/>
                <w:szCs w:val="20"/>
                <w:lang w:bidi="ar-SA"/>
              </w:rPr>
              <w:t xml:space="preserve"> </w:t>
            </w:r>
            <w:r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0.02</w:t>
            </w:r>
          </w:p>
        </w:tc>
        <w:tc>
          <w:tcPr>
            <w:tcW w:w="1317" w:type="dxa"/>
            <w:gridSpan w:val="2"/>
            <w:tcBorders>
              <w:bottom w:val="single" w:sz="4" w:space="0" w:color="auto"/>
            </w:tcBorders>
            <w:shd w:val="clear" w:color="auto" w:fill="FFFFFF" w:themeFill="background1"/>
          </w:tcPr>
          <w:p w14:paraId="4E6FC87B" w14:textId="77777777" w:rsidR="00C80638" w:rsidRPr="00C80638" w:rsidRDefault="00C80638" w:rsidP="007677D7">
            <w:pPr>
              <w:spacing w:after="60"/>
              <w:jc w:val="center"/>
              <w:rPr>
                <w:rFonts w:ascii="Times New Roman" w:hAnsi="Times New Roman"/>
                <w:noProof/>
                <w:sz w:val="20"/>
                <w:szCs w:val="20"/>
                <w:lang w:bidi="ar-SA"/>
              </w:rPr>
            </w:pPr>
            <w:r w:rsidRPr="00C80638">
              <w:rPr>
                <w:rFonts w:ascii="Times New Roman" w:hAnsi="Times New Roman"/>
                <w:noProof/>
                <w:sz w:val="20"/>
                <w:szCs w:val="20"/>
                <w:lang w:bidi="ar-SA"/>
              </w:rPr>
              <w:t>0.84</w:t>
            </w:r>
          </w:p>
        </w:tc>
      </w:tr>
      <w:tr w:rsidR="00C80638" w:rsidRPr="00C80638" w14:paraId="7AE63F1E" w14:textId="77777777" w:rsidTr="00EE59D4">
        <w:trPr>
          <w:gridAfter w:val="1"/>
          <w:wAfter w:w="414" w:type="dxa"/>
          <w:trHeight w:val="246"/>
          <w:jc w:val="center"/>
        </w:trPr>
        <w:tc>
          <w:tcPr>
            <w:tcW w:w="9090" w:type="dxa"/>
            <w:gridSpan w:val="7"/>
            <w:tcBorders>
              <w:top w:val="single" w:sz="4" w:space="0" w:color="auto"/>
            </w:tcBorders>
            <w:shd w:val="clear" w:color="auto" w:fill="auto"/>
          </w:tcPr>
          <w:p w14:paraId="6F85CBBF" w14:textId="0648F2FB" w:rsidR="00C80638" w:rsidRPr="00215204" w:rsidRDefault="00C80638" w:rsidP="00215204">
            <w:pPr>
              <w:spacing w:before="60" w:after="0"/>
              <w:rPr>
                <w:rFonts w:ascii="Times New Roman" w:hAnsi="Times New Roman"/>
                <w:noProof/>
                <w:sz w:val="18"/>
                <w:szCs w:val="18"/>
                <w:lang w:bidi="ar-SA"/>
              </w:rPr>
            </w:pPr>
            <w:r w:rsidRPr="00215204">
              <w:rPr>
                <w:rFonts w:ascii="Times New Roman" w:hAnsi="Times New Roman"/>
                <w:noProof/>
                <w:sz w:val="18"/>
                <w:szCs w:val="18"/>
                <w:lang w:bidi="ar-SA"/>
              </w:rPr>
              <w:t xml:space="preserve">Key: </w:t>
            </w:r>
            <w:r w:rsidRPr="00215204">
              <w:rPr>
                <w:rFonts w:ascii="Times New Roman" w:hAnsi="Times New Roman"/>
                <w:bCs/>
                <w:noProof/>
                <w:sz w:val="18"/>
                <w:szCs w:val="18"/>
                <w:lang w:bidi="ar-SA"/>
              </w:rPr>
              <w:t xml:space="preserve">*P values (P&lt;0.05) were regarded as significant. Uncertainty value of π* = </w:t>
            </w:r>
            <w:r w:rsidR="00EE59D4"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215204">
              <w:rPr>
                <w:rFonts w:ascii="Times New Roman" w:hAnsi="Times New Roman"/>
                <w:bCs/>
                <w:noProof/>
                <w:sz w:val="18"/>
                <w:szCs w:val="18"/>
                <w:lang w:bidi="ar-SA"/>
              </w:rPr>
              <w:t>7×10</w:t>
            </w:r>
            <w:r w:rsidRPr="00215204">
              <w:rPr>
                <w:rFonts w:ascii="Times New Roman" w:hAnsi="Times New Roman"/>
                <w:bCs/>
                <w:noProof/>
                <w:sz w:val="18"/>
                <w:szCs w:val="18"/>
                <w:vertAlign w:val="superscript"/>
                <w:lang w:bidi="ar-SA"/>
              </w:rPr>
              <w:t>-3</w:t>
            </w:r>
            <w:r w:rsidRPr="00215204">
              <w:rPr>
                <w:rFonts w:ascii="Times New Roman" w:hAnsi="Times New Roman"/>
                <w:bCs/>
                <w:noProof/>
                <w:sz w:val="18"/>
                <w:szCs w:val="18"/>
                <w:lang w:bidi="ar-SA"/>
              </w:rPr>
              <w:t>, β = 8×10</w:t>
            </w:r>
            <w:r w:rsidRPr="00215204">
              <w:rPr>
                <w:rFonts w:ascii="Times New Roman" w:hAnsi="Times New Roman"/>
                <w:bCs/>
                <w:noProof/>
                <w:sz w:val="18"/>
                <w:szCs w:val="18"/>
                <w:vertAlign w:val="superscript"/>
                <w:lang w:bidi="ar-SA"/>
              </w:rPr>
              <w:t>-3</w:t>
            </w:r>
            <w:r w:rsidRPr="00215204">
              <w:rPr>
                <w:rFonts w:ascii="Times New Roman" w:hAnsi="Times New Roman"/>
                <w:bCs/>
                <w:noProof/>
                <w:sz w:val="18"/>
                <w:szCs w:val="18"/>
                <w:lang w:bidi="ar-SA"/>
              </w:rPr>
              <w:t xml:space="preserve">, and α = </w:t>
            </w:r>
            <w:r w:rsidR="00EE59D4" w:rsidRPr="00C80638">
              <w:rPr>
                <w:rFonts w:ascii="Times New Roman" w:hAnsi="Times New Roman"/>
                <w:bCs/>
                <w:noProof/>
                <w:sz w:val="20"/>
                <w:szCs w:val="20"/>
                <w:lang w:bidi="ar-SA"/>
              </w:rPr>
              <w:t>±</w:t>
            </w:r>
            <w:r w:rsidR="00EE59D4">
              <w:rPr>
                <w:rFonts w:ascii="Times New Roman" w:hAnsi="Times New Roman"/>
                <w:bCs/>
                <w:noProof/>
                <w:sz w:val="20"/>
                <w:szCs w:val="20"/>
                <w:lang w:bidi="ar-SA"/>
              </w:rPr>
              <w:t xml:space="preserve"> </w:t>
            </w:r>
            <w:r w:rsidRPr="00215204">
              <w:rPr>
                <w:rFonts w:ascii="Times New Roman" w:hAnsi="Times New Roman"/>
                <w:bCs/>
                <w:noProof/>
                <w:sz w:val="18"/>
                <w:szCs w:val="18"/>
                <w:lang w:bidi="ar-SA"/>
              </w:rPr>
              <w:t>3×10</w:t>
            </w:r>
            <w:r w:rsidRPr="00215204">
              <w:rPr>
                <w:rFonts w:ascii="Times New Roman" w:hAnsi="Times New Roman"/>
                <w:bCs/>
                <w:noProof/>
                <w:sz w:val="18"/>
                <w:szCs w:val="18"/>
                <w:vertAlign w:val="superscript"/>
                <w:lang w:bidi="ar-SA"/>
              </w:rPr>
              <w:t>-3</w:t>
            </w:r>
          </w:p>
        </w:tc>
      </w:tr>
    </w:tbl>
    <w:p w14:paraId="1088DEDB" w14:textId="24F67ACA" w:rsidR="00976876" w:rsidRDefault="00976876" w:rsidP="00215204">
      <w:pPr>
        <w:spacing w:after="0"/>
        <w:jc w:val="both"/>
        <w:rPr>
          <w:rFonts w:ascii="Times New Roman" w:hAnsi="Times New Roman"/>
          <w:bCs/>
          <w:noProof/>
          <w:sz w:val="20"/>
          <w:szCs w:val="20"/>
          <w:lang w:bidi="ar-SA"/>
        </w:rPr>
      </w:pPr>
    </w:p>
    <w:p w14:paraId="1ED166CF" w14:textId="53D755BA" w:rsidR="00215204" w:rsidRDefault="00215204" w:rsidP="00215204">
      <w:pPr>
        <w:spacing w:after="0"/>
        <w:jc w:val="both"/>
        <w:rPr>
          <w:rFonts w:ascii="Times New Roman" w:hAnsi="Times New Roman"/>
          <w:bCs/>
          <w:noProof/>
          <w:sz w:val="20"/>
          <w:szCs w:val="20"/>
          <w:lang w:bidi="ar-SA"/>
        </w:rPr>
      </w:pPr>
    </w:p>
    <w:p w14:paraId="17710492" w14:textId="7D08E92A" w:rsidR="009E2062" w:rsidRPr="00C80638" w:rsidRDefault="009E2062" w:rsidP="009E2062">
      <w:pPr>
        <w:spacing w:after="120"/>
        <w:jc w:val="center"/>
        <w:rPr>
          <w:rFonts w:ascii="Times New Roman" w:hAnsi="Times New Roman"/>
          <w:noProof/>
          <w:sz w:val="20"/>
          <w:szCs w:val="20"/>
          <w:lang w:bidi="ar-SA"/>
        </w:rPr>
      </w:pPr>
      <w:r w:rsidRPr="00C80638">
        <w:rPr>
          <w:rFonts w:ascii="Times New Roman" w:hAnsi="Times New Roman"/>
          <w:bCs/>
          <w:noProof/>
          <w:sz w:val="20"/>
          <w:szCs w:val="20"/>
          <w:lang w:bidi="ar-SA"/>
        </w:rPr>
        <w:t xml:space="preserve">Table 4. </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Ranking of the solvent-pair mixture from the minimum values of GSK health and safety score [22]</w:t>
      </w:r>
    </w:p>
    <w:tbl>
      <w:tblPr>
        <w:tblW w:w="8987" w:type="dxa"/>
        <w:jc w:val="center"/>
        <w:tblLook w:val="04A0" w:firstRow="1" w:lastRow="0" w:firstColumn="1" w:lastColumn="0" w:noHBand="0" w:noVBand="1"/>
      </w:tblPr>
      <w:tblGrid>
        <w:gridCol w:w="1588"/>
        <w:gridCol w:w="1452"/>
        <w:gridCol w:w="1391"/>
        <w:gridCol w:w="1738"/>
        <w:gridCol w:w="1121"/>
        <w:gridCol w:w="1697"/>
      </w:tblGrid>
      <w:tr w:rsidR="00141D45" w:rsidRPr="00C80638" w14:paraId="594C975A" w14:textId="77777777" w:rsidTr="00141D45">
        <w:trPr>
          <w:trHeight w:val="325"/>
          <w:jc w:val="center"/>
        </w:trPr>
        <w:tc>
          <w:tcPr>
            <w:tcW w:w="1588" w:type="dxa"/>
            <w:vMerge w:val="restart"/>
            <w:tcBorders>
              <w:top w:val="single" w:sz="4" w:space="0" w:color="auto"/>
              <w:bottom w:val="single" w:sz="4" w:space="0" w:color="auto"/>
            </w:tcBorders>
            <w:shd w:val="clear" w:color="auto" w:fill="auto"/>
            <w:noWrap/>
            <w:vAlign w:val="center"/>
            <w:hideMark/>
          </w:tcPr>
          <w:p w14:paraId="65C91CE5" w14:textId="77777777" w:rsidR="00141D45" w:rsidRPr="00C80638" w:rsidRDefault="00141D45" w:rsidP="009E2062">
            <w:pPr>
              <w:spacing w:before="60" w:after="0"/>
              <w:rPr>
                <w:rFonts w:ascii="Times New Roman" w:hAnsi="Times New Roman"/>
                <w:b/>
                <w:bCs/>
                <w:noProof/>
                <w:sz w:val="20"/>
                <w:szCs w:val="20"/>
                <w:lang w:bidi="ar-SA"/>
              </w:rPr>
            </w:pPr>
            <w:r w:rsidRPr="00C80638">
              <w:rPr>
                <w:rFonts w:ascii="Times New Roman" w:hAnsi="Times New Roman"/>
                <w:b/>
                <w:bCs/>
                <w:noProof/>
                <w:sz w:val="20"/>
                <w:szCs w:val="20"/>
                <w:lang w:bidi="ar-SA"/>
              </w:rPr>
              <w:t>Solvent-pair</w:t>
            </w:r>
          </w:p>
          <w:p w14:paraId="6F665E72" w14:textId="77777777" w:rsidR="00141D45" w:rsidRPr="00C80638" w:rsidRDefault="00141D45" w:rsidP="009E2062">
            <w:pPr>
              <w:spacing w:after="60"/>
              <w:rPr>
                <w:rFonts w:ascii="Times New Roman" w:hAnsi="Times New Roman"/>
                <w:b/>
                <w:bCs/>
                <w:noProof/>
                <w:sz w:val="20"/>
                <w:szCs w:val="20"/>
                <w:lang w:bidi="ar-SA"/>
              </w:rPr>
            </w:pPr>
            <w:r w:rsidRPr="00C80638">
              <w:rPr>
                <w:rFonts w:ascii="Times New Roman" w:hAnsi="Times New Roman"/>
                <w:b/>
                <w:bCs/>
                <w:noProof/>
                <w:sz w:val="20"/>
                <w:szCs w:val="20"/>
                <w:lang w:bidi="ar-SA"/>
              </w:rPr>
              <w:t>(HBD-HBA)</w:t>
            </w:r>
          </w:p>
        </w:tc>
        <w:tc>
          <w:tcPr>
            <w:tcW w:w="5702" w:type="dxa"/>
            <w:gridSpan w:val="4"/>
            <w:tcBorders>
              <w:top w:val="single" w:sz="4" w:space="0" w:color="auto"/>
              <w:bottom w:val="single" w:sz="4" w:space="0" w:color="auto"/>
            </w:tcBorders>
            <w:shd w:val="clear" w:color="auto" w:fill="auto"/>
            <w:noWrap/>
            <w:vAlign w:val="center"/>
          </w:tcPr>
          <w:p w14:paraId="454232C6" w14:textId="77777777" w:rsidR="00141D45" w:rsidRPr="00C80638" w:rsidRDefault="00141D45" w:rsidP="009E2062">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GSK Scores of HBA Solvent</w:t>
            </w:r>
          </w:p>
        </w:tc>
        <w:tc>
          <w:tcPr>
            <w:tcW w:w="1697" w:type="dxa"/>
            <w:vMerge w:val="restart"/>
            <w:tcBorders>
              <w:top w:val="single" w:sz="4" w:space="0" w:color="auto"/>
              <w:bottom w:val="single" w:sz="4" w:space="0" w:color="auto"/>
            </w:tcBorders>
            <w:shd w:val="clear" w:color="auto" w:fill="auto"/>
            <w:noWrap/>
            <w:vAlign w:val="center"/>
            <w:hideMark/>
          </w:tcPr>
          <w:p w14:paraId="594912B3" w14:textId="77777777" w:rsidR="00141D45" w:rsidRPr="00C80638" w:rsidRDefault="00141D45" w:rsidP="009E2062">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Composite</w:t>
            </w:r>
          </w:p>
          <w:p w14:paraId="635F47A6"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Score (Rank)</w:t>
            </w:r>
          </w:p>
        </w:tc>
      </w:tr>
      <w:tr w:rsidR="00141D45" w:rsidRPr="00C80638" w14:paraId="132579FA" w14:textId="77777777" w:rsidTr="00141D45">
        <w:trPr>
          <w:trHeight w:val="282"/>
          <w:jc w:val="center"/>
        </w:trPr>
        <w:tc>
          <w:tcPr>
            <w:tcW w:w="1588" w:type="dxa"/>
            <w:vMerge/>
            <w:tcBorders>
              <w:bottom w:val="single" w:sz="4" w:space="0" w:color="auto"/>
            </w:tcBorders>
            <w:shd w:val="clear" w:color="auto" w:fill="auto"/>
            <w:noWrap/>
            <w:vAlign w:val="bottom"/>
            <w:hideMark/>
          </w:tcPr>
          <w:p w14:paraId="6A572EAF" w14:textId="77777777" w:rsidR="00141D45" w:rsidRPr="00C80638" w:rsidRDefault="00141D45" w:rsidP="009E2062">
            <w:pPr>
              <w:spacing w:after="0"/>
              <w:rPr>
                <w:rFonts w:ascii="Times New Roman" w:hAnsi="Times New Roman"/>
                <w:noProof/>
                <w:sz w:val="20"/>
                <w:szCs w:val="20"/>
                <w:lang w:bidi="ar-SA"/>
              </w:rPr>
            </w:pPr>
          </w:p>
        </w:tc>
        <w:tc>
          <w:tcPr>
            <w:tcW w:w="1452" w:type="dxa"/>
            <w:tcBorders>
              <w:top w:val="single" w:sz="4" w:space="0" w:color="auto"/>
              <w:bottom w:val="single" w:sz="4" w:space="0" w:color="auto"/>
            </w:tcBorders>
            <w:shd w:val="clear" w:color="auto" w:fill="auto"/>
            <w:noWrap/>
            <w:vAlign w:val="center"/>
            <w:hideMark/>
          </w:tcPr>
          <w:p w14:paraId="2DA6EB5B"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Safety </w:t>
            </w:r>
          </w:p>
        </w:tc>
        <w:tc>
          <w:tcPr>
            <w:tcW w:w="1391" w:type="dxa"/>
            <w:tcBorders>
              <w:top w:val="single" w:sz="4" w:space="0" w:color="auto"/>
              <w:bottom w:val="single" w:sz="4" w:space="0" w:color="auto"/>
            </w:tcBorders>
            <w:shd w:val="clear" w:color="auto" w:fill="auto"/>
            <w:noWrap/>
            <w:vAlign w:val="center"/>
            <w:hideMark/>
          </w:tcPr>
          <w:p w14:paraId="779FDE98"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Health </w:t>
            </w:r>
          </w:p>
        </w:tc>
        <w:tc>
          <w:tcPr>
            <w:tcW w:w="1738" w:type="dxa"/>
            <w:tcBorders>
              <w:top w:val="single" w:sz="4" w:space="0" w:color="auto"/>
              <w:bottom w:val="single" w:sz="4" w:space="0" w:color="auto"/>
            </w:tcBorders>
            <w:shd w:val="clear" w:color="auto" w:fill="auto"/>
            <w:noWrap/>
            <w:vAlign w:val="center"/>
            <w:hideMark/>
          </w:tcPr>
          <w:p w14:paraId="4B2B5392"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Environmental </w:t>
            </w:r>
          </w:p>
        </w:tc>
        <w:tc>
          <w:tcPr>
            <w:tcW w:w="1121" w:type="dxa"/>
            <w:tcBorders>
              <w:top w:val="single" w:sz="4" w:space="0" w:color="auto"/>
              <w:bottom w:val="single" w:sz="4" w:space="0" w:color="auto"/>
            </w:tcBorders>
            <w:shd w:val="clear" w:color="auto" w:fill="auto"/>
            <w:noWrap/>
            <w:vAlign w:val="center"/>
            <w:hideMark/>
          </w:tcPr>
          <w:p w14:paraId="5831E6AC" w14:textId="77777777" w:rsidR="00141D45" w:rsidRPr="00C80638" w:rsidRDefault="00141D45" w:rsidP="009E2062">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Waste </w:t>
            </w:r>
          </w:p>
        </w:tc>
        <w:tc>
          <w:tcPr>
            <w:tcW w:w="1697" w:type="dxa"/>
            <w:vMerge/>
            <w:tcBorders>
              <w:bottom w:val="single" w:sz="4" w:space="0" w:color="auto"/>
            </w:tcBorders>
            <w:shd w:val="clear" w:color="auto" w:fill="auto"/>
            <w:noWrap/>
            <w:vAlign w:val="bottom"/>
            <w:hideMark/>
          </w:tcPr>
          <w:p w14:paraId="663B7C89" w14:textId="77777777" w:rsidR="00141D45" w:rsidRPr="00C80638" w:rsidRDefault="00141D45" w:rsidP="00F010BA">
            <w:pPr>
              <w:spacing w:after="0"/>
              <w:jc w:val="center"/>
              <w:rPr>
                <w:rFonts w:ascii="Times New Roman" w:hAnsi="Times New Roman"/>
                <w:noProof/>
                <w:sz w:val="20"/>
                <w:szCs w:val="20"/>
                <w:lang w:bidi="ar-SA"/>
              </w:rPr>
            </w:pPr>
          </w:p>
        </w:tc>
      </w:tr>
      <w:tr w:rsidR="00141D45" w:rsidRPr="00C80638" w14:paraId="402C702D" w14:textId="77777777" w:rsidTr="00141D45">
        <w:trPr>
          <w:trHeight w:val="282"/>
          <w:jc w:val="center"/>
        </w:trPr>
        <w:tc>
          <w:tcPr>
            <w:tcW w:w="1588" w:type="dxa"/>
            <w:tcBorders>
              <w:top w:val="single" w:sz="4" w:space="0" w:color="auto"/>
            </w:tcBorders>
            <w:shd w:val="clear" w:color="auto" w:fill="auto"/>
            <w:noWrap/>
            <w:vAlign w:val="bottom"/>
            <w:hideMark/>
          </w:tcPr>
          <w:p w14:paraId="1FC51602"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O-EtOH</w:t>
            </w:r>
          </w:p>
        </w:tc>
        <w:tc>
          <w:tcPr>
            <w:tcW w:w="1452" w:type="dxa"/>
            <w:tcBorders>
              <w:top w:val="single" w:sz="4" w:space="0" w:color="auto"/>
            </w:tcBorders>
            <w:shd w:val="clear" w:color="auto" w:fill="76D889"/>
            <w:noWrap/>
            <w:vAlign w:val="bottom"/>
            <w:hideMark/>
          </w:tcPr>
          <w:p w14:paraId="66EA085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tcBorders>
              <w:top w:val="single" w:sz="4" w:space="0" w:color="auto"/>
            </w:tcBorders>
            <w:shd w:val="clear" w:color="auto" w:fill="76D889"/>
            <w:noWrap/>
            <w:vAlign w:val="bottom"/>
            <w:hideMark/>
          </w:tcPr>
          <w:p w14:paraId="3B4DF11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738" w:type="dxa"/>
            <w:tcBorders>
              <w:top w:val="single" w:sz="4" w:space="0" w:color="auto"/>
            </w:tcBorders>
            <w:shd w:val="clear" w:color="auto" w:fill="FFD72D"/>
            <w:noWrap/>
            <w:vAlign w:val="bottom"/>
            <w:hideMark/>
          </w:tcPr>
          <w:p w14:paraId="38275EF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121" w:type="dxa"/>
            <w:tcBorders>
              <w:top w:val="single" w:sz="4" w:space="0" w:color="auto"/>
            </w:tcBorders>
            <w:shd w:val="clear" w:color="auto" w:fill="FFD72D"/>
            <w:noWrap/>
            <w:vAlign w:val="bottom"/>
            <w:hideMark/>
          </w:tcPr>
          <w:p w14:paraId="59721DF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4.2</w:t>
            </w:r>
          </w:p>
        </w:tc>
        <w:tc>
          <w:tcPr>
            <w:tcW w:w="1697" w:type="dxa"/>
            <w:tcBorders>
              <w:top w:val="single" w:sz="4" w:space="0" w:color="auto"/>
            </w:tcBorders>
            <w:shd w:val="clear" w:color="auto" w:fill="76D889"/>
            <w:noWrap/>
            <w:vAlign w:val="bottom"/>
            <w:hideMark/>
          </w:tcPr>
          <w:p w14:paraId="23EFC38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8.3</w:t>
            </w:r>
          </w:p>
        </w:tc>
      </w:tr>
      <w:tr w:rsidR="00141D45" w:rsidRPr="00C80638" w14:paraId="600C333B" w14:textId="77777777" w:rsidTr="00141D45">
        <w:trPr>
          <w:trHeight w:val="282"/>
          <w:jc w:val="center"/>
        </w:trPr>
        <w:tc>
          <w:tcPr>
            <w:tcW w:w="1588" w:type="dxa"/>
            <w:shd w:val="clear" w:color="auto" w:fill="auto"/>
            <w:noWrap/>
            <w:vAlign w:val="bottom"/>
            <w:hideMark/>
          </w:tcPr>
          <w:p w14:paraId="03D8444B"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O-iPrOH</w:t>
            </w:r>
          </w:p>
        </w:tc>
        <w:tc>
          <w:tcPr>
            <w:tcW w:w="1452" w:type="dxa"/>
            <w:shd w:val="clear" w:color="auto" w:fill="FFD72D"/>
            <w:noWrap/>
            <w:vAlign w:val="bottom"/>
            <w:hideMark/>
          </w:tcPr>
          <w:p w14:paraId="1AC0B1D6"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391" w:type="dxa"/>
            <w:shd w:val="clear" w:color="auto" w:fill="76D889"/>
            <w:noWrap/>
            <w:vAlign w:val="bottom"/>
            <w:hideMark/>
          </w:tcPr>
          <w:p w14:paraId="6D73283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75DBD9F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7.5</w:t>
            </w:r>
          </w:p>
        </w:tc>
        <w:tc>
          <w:tcPr>
            <w:tcW w:w="1121" w:type="dxa"/>
            <w:shd w:val="clear" w:color="auto" w:fill="FFD72D"/>
            <w:noWrap/>
            <w:vAlign w:val="bottom"/>
            <w:hideMark/>
          </w:tcPr>
          <w:p w14:paraId="0E46CEB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4.4</w:t>
            </w:r>
          </w:p>
        </w:tc>
        <w:tc>
          <w:tcPr>
            <w:tcW w:w="1697" w:type="dxa"/>
            <w:shd w:val="clear" w:color="auto" w:fill="76D889"/>
            <w:noWrap/>
            <w:vAlign w:val="bottom"/>
            <w:hideMark/>
          </w:tcPr>
          <w:p w14:paraId="0754ECC7"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6F55348A" w14:textId="77777777" w:rsidTr="00141D45">
        <w:trPr>
          <w:trHeight w:val="282"/>
          <w:jc w:val="center"/>
        </w:trPr>
        <w:tc>
          <w:tcPr>
            <w:tcW w:w="1588" w:type="dxa"/>
            <w:shd w:val="clear" w:color="auto" w:fill="auto"/>
            <w:noWrap/>
            <w:vAlign w:val="bottom"/>
            <w:hideMark/>
          </w:tcPr>
          <w:p w14:paraId="4F164D5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O-DMSO</w:t>
            </w:r>
          </w:p>
        </w:tc>
        <w:tc>
          <w:tcPr>
            <w:tcW w:w="1452" w:type="dxa"/>
            <w:shd w:val="clear" w:color="auto" w:fill="FFD72D"/>
            <w:noWrap/>
            <w:vAlign w:val="bottom"/>
            <w:hideMark/>
          </w:tcPr>
          <w:p w14:paraId="25A162C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391" w:type="dxa"/>
            <w:shd w:val="clear" w:color="auto" w:fill="76D889"/>
            <w:noWrap/>
            <w:vAlign w:val="bottom"/>
            <w:hideMark/>
          </w:tcPr>
          <w:p w14:paraId="3B56A51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7.9</w:t>
            </w:r>
          </w:p>
        </w:tc>
        <w:tc>
          <w:tcPr>
            <w:tcW w:w="1738" w:type="dxa"/>
            <w:shd w:val="clear" w:color="auto" w:fill="FFD72D"/>
            <w:noWrap/>
            <w:vAlign w:val="bottom"/>
            <w:hideMark/>
          </w:tcPr>
          <w:p w14:paraId="06090DF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121" w:type="dxa"/>
            <w:shd w:val="clear" w:color="auto" w:fill="FFD72D"/>
            <w:noWrap/>
            <w:vAlign w:val="bottom"/>
            <w:hideMark/>
          </w:tcPr>
          <w:p w14:paraId="2468D089"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76D889"/>
            <w:noWrap/>
            <w:vAlign w:val="bottom"/>
            <w:hideMark/>
          </w:tcPr>
          <w:p w14:paraId="10DC527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1984E2C9" w14:textId="77777777" w:rsidTr="00141D45">
        <w:trPr>
          <w:trHeight w:val="282"/>
          <w:jc w:val="center"/>
        </w:trPr>
        <w:tc>
          <w:tcPr>
            <w:tcW w:w="1588" w:type="dxa"/>
            <w:shd w:val="clear" w:color="auto" w:fill="auto"/>
            <w:noWrap/>
            <w:vAlign w:val="bottom"/>
            <w:hideMark/>
          </w:tcPr>
          <w:p w14:paraId="32CD75A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EtOH-DMSO</w:t>
            </w:r>
          </w:p>
        </w:tc>
        <w:tc>
          <w:tcPr>
            <w:tcW w:w="1452" w:type="dxa"/>
            <w:shd w:val="clear" w:color="auto" w:fill="FFD72D"/>
            <w:noWrap/>
            <w:vAlign w:val="bottom"/>
            <w:hideMark/>
          </w:tcPr>
          <w:p w14:paraId="0F26D07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c>
          <w:tcPr>
            <w:tcW w:w="1391" w:type="dxa"/>
            <w:shd w:val="clear" w:color="auto" w:fill="76D889"/>
            <w:noWrap/>
            <w:vAlign w:val="bottom"/>
            <w:hideMark/>
          </w:tcPr>
          <w:p w14:paraId="5F178446"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7.9</w:t>
            </w:r>
          </w:p>
        </w:tc>
        <w:tc>
          <w:tcPr>
            <w:tcW w:w="1738" w:type="dxa"/>
            <w:shd w:val="clear" w:color="auto" w:fill="FFD72D"/>
            <w:noWrap/>
            <w:vAlign w:val="bottom"/>
            <w:hideMark/>
          </w:tcPr>
          <w:p w14:paraId="243A499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6.9</w:t>
            </w:r>
          </w:p>
        </w:tc>
        <w:tc>
          <w:tcPr>
            <w:tcW w:w="1121" w:type="dxa"/>
            <w:shd w:val="clear" w:color="auto" w:fill="FFD72D"/>
            <w:noWrap/>
            <w:vAlign w:val="bottom"/>
            <w:hideMark/>
          </w:tcPr>
          <w:p w14:paraId="6B272A9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76D889"/>
            <w:noWrap/>
            <w:vAlign w:val="bottom"/>
            <w:hideMark/>
          </w:tcPr>
          <w:p w14:paraId="136EB79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7.3</w:t>
            </w:r>
          </w:p>
        </w:tc>
      </w:tr>
      <w:tr w:rsidR="00141D45" w:rsidRPr="00C80638" w14:paraId="50110136" w14:textId="77777777" w:rsidTr="00141D45">
        <w:trPr>
          <w:trHeight w:val="282"/>
          <w:jc w:val="center"/>
        </w:trPr>
        <w:tc>
          <w:tcPr>
            <w:tcW w:w="1588" w:type="dxa"/>
            <w:shd w:val="clear" w:color="auto" w:fill="auto"/>
            <w:noWrap/>
            <w:vAlign w:val="bottom"/>
            <w:hideMark/>
          </w:tcPr>
          <w:p w14:paraId="19FCF9D6" w14:textId="77777777" w:rsidR="00141D45" w:rsidRPr="00C80638" w:rsidRDefault="00141D45" w:rsidP="007677D7">
            <w:pPr>
              <w:spacing w:before="60" w:after="0"/>
              <w:rPr>
                <w:rFonts w:ascii="Times New Roman" w:hAnsi="Times New Roman"/>
                <w:noProof/>
                <w:sz w:val="20"/>
                <w:szCs w:val="20"/>
                <w:lang w:bidi="ar-SA"/>
              </w:rPr>
            </w:pPr>
            <w:bookmarkStart w:id="3" w:name="_Hlk85362734"/>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O-Ace</w:t>
            </w:r>
          </w:p>
        </w:tc>
        <w:tc>
          <w:tcPr>
            <w:tcW w:w="1452" w:type="dxa"/>
            <w:shd w:val="clear" w:color="auto" w:fill="FFD72D"/>
            <w:noWrap/>
            <w:vAlign w:val="bottom"/>
            <w:hideMark/>
          </w:tcPr>
          <w:p w14:paraId="19093EC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12BAA021"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1C9DD62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6E2E3B0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5C15EC2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4BA0211B" w14:textId="77777777" w:rsidTr="00141D45">
        <w:trPr>
          <w:trHeight w:val="282"/>
          <w:jc w:val="center"/>
        </w:trPr>
        <w:tc>
          <w:tcPr>
            <w:tcW w:w="1588" w:type="dxa"/>
            <w:shd w:val="clear" w:color="auto" w:fill="auto"/>
            <w:noWrap/>
            <w:vAlign w:val="bottom"/>
            <w:hideMark/>
          </w:tcPr>
          <w:p w14:paraId="3768502E"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EtOH-Ace</w:t>
            </w:r>
          </w:p>
        </w:tc>
        <w:tc>
          <w:tcPr>
            <w:tcW w:w="1452" w:type="dxa"/>
            <w:shd w:val="clear" w:color="auto" w:fill="FFD72D"/>
            <w:noWrap/>
            <w:vAlign w:val="bottom"/>
            <w:hideMark/>
          </w:tcPr>
          <w:p w14:paraId="37D8CD3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13450B3A"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5ACC608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6DA0C8B4"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6268054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2F3B667C" w14:textId="77777777" w:rsidTr="00141D45">
        <w:trPr>
          <w:trHeight w:val="282"/>
          <w:jc w:val="center"/>
        </w:trPr>
        <w:tc>
          <w:tcPr>
            <w:tcW w:w="1588" w:type="dxa"/>
            <w:shd w:val="clear" w:color="auto" w:fill="auto"/>
            <w:noWrap/>
            <w:vAlign w:val="bottom"/>
            <w:hideMark/>
          </w:tcPr>
          <w:p w14:paraId="5922E33F"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MeOH-Ace</w:t>
            </w:r>
          </w:p>
        </w:tc>
        <w:tc>
          <w:tcPr>
            <w:tcW w:w="1452" w:type="dxa"/>
            <w:shd w:val="clear" w:color="auto" w:fill="FFD72D"/>
            <w:noWrap/>
            <w:vAlign w:val="bottom"/>
            <w:hideMark/>
          </w:tcPr>
          <w:p w14:paraId="2A74CAF2"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w:t>
            </w:r>
          </w:p>
        </w:tc>
        <w:tc>
          <w:tcPr>
            <w:tcW w:w="1391" w:type="dxa"/>
            <w:shd w:val="clear" w:color="auto" w:fill="76D889"/>
            <w:noWrap/>
            <w:vAlign w:val="bottom"/>
            <w:hideMark/>
          </w:tcPr>
          <w:p w14:paraId="5D9A5E5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738" w:type="dxa"/>
            <w:shd w:val="clear" w:color="auto" w:fill="76D889"/>
            <w:noWrap/>
            <w:vAlign w:val="bottom"/>
            <w:hideMark/>
          </w:tcPr>
          <w:p w14:paraId="0621DA78"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121" w:type="dxa"/>
            <w:shd w:val="clear" w:color="auto" w:fill="F55161"/>
            <w:noWrap/>
            <w:vAlign w:val="bottom"/>
            <w:hideMark/>
          </w:tcPr>
          <w:p w14:paraId="5BC6DD2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3.3</w:t>
            </w:r>
          </w:p>
        </w:tc>
        <w:tc>
          <w:tcPr>
            <w:tcW w:w="1697" w:type="dxa"/>
            <w:shd w:val="clear" w:color="auto" w:fill="FFD72D"/>
            <w:noWrap/>
            <w:vAlign w:val="bottom"/>
            <w:hideMark/>
          </w:tcPr>
          <w:p w14:paraId="19460BB2"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6.8</w:t>
            </w:r>
          </w:p>
        </w:tc>
      </w:tr>
      <w:tr w:rsidR="00141D45" w:rsidRPr="00C80638" w14:paraId="2A735894" w14:textId="77777777" w:rsidTr="00141D45">
        <w:trPr>
          <w:trHeight w:val="282"/>
          <w:jc w:val="center"/>
        </w:trPr>
        <w:tc>
          <w:tcPr>
            <w:tcW w:w="1588" w:type="dxa"/>
            <w:shd w:val="clear" w:color="auto" w:fill="auto"/>
            <w:noWrap/>
            <w:vAlign w:val="bottom"/>
            <w:hideMark/>
          </w:tcPr>
          <w:p w14:paraId="14D76D14"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O-ACN</w:t>
            </w:r>
          </w:p>
        </w:tc>
        <w:tc>
          <w:tcPr>
            <w:tcW w:w="1452" w:type="dxa"/>
            <w:shd w:val="clear" w:color="auto" w:fill="76D889"/>
            <w:noWrap/>
            <w:vAlign w:val="bottom"/>
            <w:hideMark/>
          </w:tcPr>
          <w:p w14:paraId="27805D6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shd w:val="clear" w:color="auto" w:fill="FFD72D"/>
            <w:noWrap/>
            <w:vAlign w:val="bottom"/>
            <w:hideMark/>
          </w:tcPr>
          <w:p w14:paraId="028CEB2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76D889"/>
            <w:noWrap/>
            <w:vAlign w:val="bottom"/>
            <w:hideMark/>
          </w:tcPr>
          <w:p w14:paraId="7326E93F"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121" w:type="dxa"/>
            <w:shd w:val="clear" w:color="auto" w:fill="F55161"/>
            <w:noWrap/>
            <w:vAlign w:val="bottom"/>
            <w:hideMark/>
          </w:tcPr>
          <w:p w14:paraId="36CF162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2.8</w:t>
            </w:r>
          </w:p>
        </w:tc>
        <w:tc>
          <w:tcPr>
            <w:tcW w:w="1697" w:type="dxa"/>
            <w:shd w:val="clear" w:color="auto" w:fill="FFD72D"/>
            <w:noWrap/>
            <w:vAlign w:val="bottom"/>
            <w:hideMark/>
          </w:tcPr>
          <w:p w14:paraId="21A0A1F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r>
      <w:tr w:rsidR="00141D45" w:rsidRPr="00C80638" w14:paraId="6550D0D4" w14:textId="77777777" w:rsidTr="00141D45">
        <w:trPr>
          <w:trHeight w:val="282"/>
          <w:jc w:val="center"/>
        </w:trPr>
        <w:tc>
          <w:tcPr>
            <w:tcW w:w="1588" w:type="dxa"/>
            <w:shd w:val="clear" w:color="auto" w:fill="auto"/>
            <w:noWrap/>
            <w:vAlign w:val="bottom"/>
            <w:hideMark/>
          </w:tcPr>
          <w:p w14:paraId="2619EE4C"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EtOH-ACN</w:t>
            </w:r>
          </w:p>
        </w:tc>
        <w:tc>
          <w:tcPr>
            <w:tcW w:w="1452" w:type="dxa"/>
            <w:shd w:val="clear" w:color="auto" w:fill="76D889"/>
            <w:noWrap/>
            <w:vAlign w:val="bottom"/>
            <w:hideMark/>
          </w:tcPr>
          <w:p w14:paraId="4BD7ACDB"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7.7</w:t>
            </w:r>
          </w:p>
        </w:tc>
        <w:tc>
          <w:tcPr>
            <w:tcW w:w="1391" w:type="dxa"/>
            <w:shd w:val="clear" w:color="auto" w:fill="FFD72D"/>
            <w:noWrap/>
            <w:vAlign w:val="bottom"/>
            <w:hideMark/>
          </w:tcPr>
          <w:p w14:paraId="2C0F1FD5"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76D889"/>
            <w:noWrap/>
            <w:vAlign w:val="bottom"/>
            <w:hideMark/>
          </w:tcPr>
          <w:p w14:paraId="5B44F2C9"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8.9</w:t>
            </w:r>
          </w:p>
        </w:tc>
        <w:tc>
          <w:tcPr>
            <w:tcW w:w="1121" w:type="dxa"/>
            <w:shd w:val="clear" w:color="auto" w:fill="F55161"/>
            <w:noWrap/>
            <w:vAlign w:val="bottom"/>
            <w:hideMark/>
          </w:tcPr>
          <w:p w14:paraId="7F230300"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2.8</w:t>
            </w:r>
          </w:p>
        </w:tc>
        <w:tc>
          <w:tcPr>
            <w:tcW w:w="1697" w:type="dxa"/>
            <w:shd w:val="clear" w:color="auto" w:fill="FFD72D"/>
            <w:noWrap/>
            <w:vAlign w:val="bottom"/>
            <w:hideMark/>
          </w:tcPr>
          <w:p w14:paraId="43D88AC7"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6.7</w:t>
            </w:r>
          </w:p>
        </w:tc>
      </w:tr>
      <w:bookmarkEnd w:id="3"/>
      <w:tr w:rsidR="00141D45" w:rsidRPr="00C80638" w14:paraId="7D2F96C6" w14:textId="77777777" w:rsidTr="00141D45">
        <w:trPr>
          <w:trHeight w:val="282"/>
          <w:jc w:val="center"/>
        </w:trPr>
        <w:tc>
          <w:tcPr>
            <w:tcW w:w="1588" w:type="dxa"/>
            <w:tcBorders>
              <w:bottom w:val="single" w:sz="4" w:space="0" w:color="auto"/>
            </w:tcBorders>
            <w:shd w:val="clear" w:color="auto" w:fill="auto"/>
            <w:noWrap/>
            <w:vAlign w:val="bottom"/>
            <w:hideMark/>
          </w:tcPr>
          <w:p w14:paraId="68683B5E" w14:textId="77777777" w:rsidR="00141D45" w:rsidRPr="00C80638" w:rsidRDefault="00141D45" w:rsidP="007677D7">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O-MeOH</w:t>
            </w:r>
          </w:p>
        </w:tc>
        <w:tc>
          <w:tcPr>
            <w:tcW w:w="1452" w:type="dxa"/>
            <w:tcBorders>
              <w:bottom w:val="single" w:sz="4" w:space="0" w:color="auto"/>
            </w:tcBorders>
            <w:shd w:val="clear" w:color="auto" w:fill="76D889"/>
            <w:noWrap/>
            <w:vAlign w:val="bottom"/>
            <w:hideMark/>
          </w:tcPr>
          <w:p w14:paraId="01BA63A3"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7.1</w:t>
            </w:r>
          </w:p>
        </w:tc>
        <w:tc>
          <w:tcPr>
            <w:tcW w:w="1391" w:type="dxa"/>
            <w:tcBorders>
              <w:bottom w:val="single" w:sz="4" w:space="0" w:color="auto"/>
            </w:tcBorders>
            <w:shd w:val="clear" w:color="auto" w:fill="FFD72D"/>
            <w:noWrap/>
            <w:vAlign w:val="bottom"/>
            <w:hideMark/>
          </w:tcPr>
          <w:p w14:paraId="668D1990"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738" w:type="dxa"/>
            <w:tcBorders>
              <w:bottom w:val="single" w:sz="4" w:space="0" w:color="auto"/>
            </w:tcBorders>
            <w:shd w:val="clear" w:color="auto" w:fill="76D889"/>
            <w:noWrap/>
            <w:vAlign w:val="bottom"/>
            <w:hideMark/>
          </w:tcPr>
          <w:p w14:paraId="4E1A8FBE"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8.4</w:t>
            </w:r>
          </w:p>
        </w:tc>
        <w:tc>
          <w:tcPr>
            <w:tcW w:w="1121" w:type="dxa"/>
            <w:tcBorders>
              <w:bottom w:val="single" w:sz="4" w:space="0" w:color="auto"/>
            </w:tcBorders>
            <w:shd w:val="clear" w:color="auto" w:fill="F55161"/>
            <w:noWrap/>
            <w:vAlign w:val="bottom"/>
            <w:hideMark/>
          </w:tcPr>
          <w:p w14:paraId="6C09421D"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4.0</w:t>
            </w:r>
          </w:p>
        </w:tc>
        <w:tc>
          <w:tcPr>
            <w:tcW w:w="1697" w:type="dxa"/>
            <w:tcBorders>
              <w:bottom w:val="single" w:sz="4" w:space="0" w:color="auto"/>
            </w:tcBorders>
            <w:shd w:val="clear" w:color="auto" w:fill="FFD72D"/>
            <w:noWrap/>
            <w:vAlign w:val="bottom"/>
            <w:hideMark/>
          </w:tcPr>
          <w:p w14:paraId="68D2E1DC" w14:textId="77777777" w:rsidR="00141D45" w:rsidRPr="00C80638" w:rsidRDefault="00141D45" w:rsidP="007677D7">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r>
    </w:tbl>
    <w:p w14:paraId="4D5A03B2" w14:textId="650F03EE" w:rsidR="00215204" w:rsidRDefault="00215204" w:rsidP="007677D7">
      <w:pPr>
        <w:spacing w:after="0"/>
        <w:ind w:left="90"/>
        <w:jc w:val="center"/>
        <w:rPr>
          <w:rFonts w:ascii="Times New Roman" w:hAnsi="Times New Roman"/>
          <w:bCs/>
          <w:noProof/>
          <w:sz w:val="20"/>
          <w:szCs w:val="20"/>
          <w:lang w:bidi="ar-SA"/>
        </w:rPr>
      </w:pPr>
    </w:p>
    <w:p w14:paraId="313B9E5E" w14:textId="050AFD89" w:rsidR="00141D45" w:rsidRPr="00C80638" w:rsidRDefault="00141D45" w:rsidP="00801D68">
      <w:pPr>
        <w:spacing w:after="120"/>
        <w:jc w:val="center"/>
        <w:rPr>
          <w:rFonts w:ascii="Times New Roman" w:hAnsi="Times New Roman"/>
          <w:noProof/>
          <w:sz w:val="20"/>
          <w:szCs w:val="20"/>
          <w:lang w:bidi="ar-SA"/>
        </w:rPr>
      </w:pPr>
      <w:r w:rsidRPr="00C80638">
        <w:rPr>
          <w:rFonts w:ascii="Times New Roman" w:hAnsi="Times New Roman"/>
          <w:bCs/>
          <w:noProof/>
          <w:sz w:val="20"/>
          <w:szCs w:val="20"/>
          <w:lang w:bidi="ar-SA"/>
        </w:rPr>
        <w:lastRenderedPageBreak/>
        <w:t>Table 4</w:t>
      </w:r>
      <w:r>
        <w:rPr>
          <w:rFonts w:ascii="Times New Roman" w:hAnsi="Times New Roman"/>
          <w:bCs/>
          <w:noProof/>
          <w:sz w:val="20"/>
          <w:szCs w:val="20"/>
          <w:lang w:bidi="ar-SA"/>
        </w:rPr>
        <w:t xml:space="preserve"> (cont’d)</w:t>
      </w:r>
      <w:r w:rsidRPr="00C80638">
        <w:rPr>
          <w:rFonts w:ascii="Times New Roman" w:hAnsi="Times New Roman"/>
          <w:bCs/>
          <w:noProof/>
          <w:sz w:val="20"/>
          <w:szCs w:val="20"/>
          <w:lang w:bidi="ar-SA"/>
        </w:rPr>
        <w:t xml:space="preserve">. </w:t>
      </w:r>
      <w:r>
        <w:rPr>
          <w:rFonts w:ascii="Times New Roman" w:hAnsi="Times New Roman"/>
          <w:bCs/>
          <w:noProof/>
          <w:sz w:val="20"/>
          <w:szCs w:val="20"/>
          <w:lang w:bidi="ar-SA"/>
        </w:rPr>
        <w:t xml:space="preserve"> </w:t>
      </w:r>
      <w:r w:rsidRPr="00C80638">
        <w:rPr>
          <w:rFonts w:ascii="Times New Roman" w:hAnsi="Times New Roman"/>
          <w:bCs/>
          <w:noProof/>
          <w:sz w:val="20"/>
          <w:szCs w:val="20"/>
          <w:lang w:bidi="ar-SA"/>
        </w:rPr>
        <w:t>Ranking of the solvent-pair mixture from the minimum values of GSK health and safety score [22]</w:t>
      </w:r>
    </w:p>
    <w:tbl>
      <w:tblPr>
        <w:tblW w:w="8987" w:type="dxa"/>
        <w:jc w:val="center"/>
        <w:tblLook w:val="04A0" w:firstRow="1" w:lastRow="0" w:firstColumn="1" w:lastColumn="0" w:noHBand="0" w:noVBand="1"/>
      </w:tblPr>
      <w:tblGrid>
        <w:gridCol w:w="1588"/>
        <w:gridCol w:w="1452"/>
        <w:gridCol w:w="1391"/>
        <w:gridCol w:w="1738"/>
        <w:gridCol w:w="1121"/>
        <w:gridCol w:w="1697"/>
      </w:tblGrid>
      <w:tr w:rsidR="00B1415F" w:rsidRPr="00C80638" w14:paraId="5FADA7FB" w14:textId="77777777" w:rsidTr="00B1415F">
        <w:trPr>
          <w:trHeight w:val="325"/>
          <w:jc w:val="center"/>
        </w:trPr>
        <w:tc>
          <w:tcPr>
            <w:tcW w:w="1588" w:type="dxa"/>
            <w:vMerge w:val="restart"/>
            <w:tcBorders>
              <w:top w:val="single" w:sz="4" w:space="0" w:color="auto"/>
            </w:tcBorders>
            <w:shd w:val="clear" w:color="auto" w:fill="auto"/>
            <w:noWrap/>
            <w:vAlign w:val="center"/>
            <w:hideMark/>
          </w:tcPr>
          <w:p w14:paraId="57374E32" w14:textId="77777777" w:rsidR="00B1415F" w:rsidRPr="00C80638" w:rsidRDefault="00B1415F" w:rsidP="00F010BA">
            <w:pPr>
              <w:spacing w:before="60" w:after="0"/>
              <w:rPr>
                <w:rFonts w:ascii="Times New Roman" w:hAnsi="Times New Roman"/>
                <w:b/>
                <w:bCs/>
                <w:noProof/>
                <w:sz w:val="20"/>
                <w:szCs w:val="20"/>
                <w:lang w:bidi="ar-SA"/>
              </w:rPr>
            </w:pPr>
            <w:r w:rsidRPr="00C80638">
              <w:rPr>
                <w:rFonts w:ascii="Times New Roman" w:hAnsi="Times New Roman"/>
                <w:b/>
                <w:bCs/>
                <w:noProof/>
                <w:sz w:val="20"/>
                <w:szCs w:val="20"/>
                <w:lang w:bidi="ar-SA"/>
              </w:rPr>
              <w:t>Solvent-pair</w:t>
            </w:r>
          </w:p>
          <w:p w14:paraId="7FBFAA07" w14:textId="77777777" w:rsidR="00B1415F" w:rsidRPr="00C80638" w:rsidRDefault="00B1415F" w:rsidP="00F010BA">
            <w:pPr>
              <w:spacing w:after="60"/>
              <w:rPr>
                <w:rFonts w:ascii="Times New Roman" w:hAnsi="Times New Roman"/>
                <w:b/>
                <w:bCs/>
                <w:noProof/>
                <w:sz w:val="20"/>
                <w:szCs w:val="20"/>
                <w:lang w:bidi="ar-SA"/>
              </w:rPr>
            </w:pPr>
            <w:r w:rsidRPr="00C80638">
              <w:rPr>
                <w:rFonts w:ascii="Times New Roman" w:hAnsi="Times New Roman"/>
                <w:b/>
                <w:bCs/>
                <w:noProof/>
                <w:sz w:val="20"/>
                <w:szCs w:val="20"/>
                <w:lang w:bidi="ar-SA"/>
              </w:rPr>
              <w:t>(HBD-HBA)</w:t>
            </w:r>
          </w:p>
        </w:tc>
        <w:tc>
          <w:tcPr>
            <w:tcW w:w="5702" w:type="dxa"/>
            <w:gridSpan w:val="4"/>
            <w:tcBorders>
              <w:top w:val="single" w:sz="4" w:space="0" w:color="auto"/>
              <w:bottom w:val="single" w:sz="4" w:space="0" w:color="auto"/>
            </w:tcBorders>
            <w:shd w:val="clear" w:color="auto" w:fill="auto"/>
            <w:noWrap/>
            <w:vAlign w:val="center"/>
          </w:tcPr>
          <w:p w14:paraId="76EAD4E3" w14:textId="77777777" w:rsidR="00B1415F" w:rsidRPr="00C80638" w:rsidRDefault="00B1415F" w:rsidP="00F010BA">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GSK Scores of HBA Solvent</w:t>
            </w:r>
          </w:p>
        </w:tc>
        <w:tc>
          <w:tcPr>
            <w:tcW w:w="1697" w:type="dxa"/>
            <w:vMerge w:val="restart"/>
            <w:tcBorders>
              <w:top w:val="single" w:sz="4" w:space="0" w:color="auto"/>
              <w:bottom w:val="single" w:sz="4" w:space="0" w:color="auto"/>
            </w:tcBorders>
            <w:shd w:val="clear" w:color="auto" w:fill="auto"/>
            <w:noWrap/>
            <w:vAlign w:val="center"/>
            <w:hideMark/>
          </w:tcPr>
          <w:p w14:paraId="5CE5AED1" w14:textId="77777777" w:rsidR="00B1415F" w:rsidRPr="00C80638" w:rsidRDefault="00B1415F" w:rsidP="00F010BA">
            <w:pPr>
              <w:spacing w:before="60" w:after="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Composite</w:t>
            </w:r>
          </w:p>
          <w:p w14:paraId="727077B7"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Score (Rank)</w:t>
            </w:r>
          </w:p>
        </w:tc>
      </w:tr>
      <w:tr w:rsidR="00B1415F" w:rsidRPr="00C80638" w14:paraId="375D8F7D" w14:textId="77777777" w:rsidTr="00B1415F">
        <w:trPr>
          <w:trHeight w:val="282"/>
          <w:jc w:val="center"/>
        </w:trPr>
        <w:tc>
          <w:tcPr>
            <w:tcW w:w="1588" w:type="dxa"/>
            <w:vMerge/>
            <w:tcBorders>
              <w:bottom w:val="single" w:sz="4" w:space="0" w:color="auto"/>
            </w:tcBorders>
            <w:shd w:val="clear" w:color="auto" w:fill="auto"/>
            <w:noWrap/>
            <w:vAlign w:val="bottom"/>
            <w:hideMark/>
          </w:tcPr>
          <w:p w14:paraId="241235CE" w14:textId="77777777" w:rsidR="00B1415F" w:rsidRPr="00C80638" w:rsidRDefault="00B1415F" w:rsidP="00F010BA">
            <w:pPr>
              <w:spacing w:after="0"/>
              <w:rPr>
                <w:rFonts w:ascii="Times New Roman" w:hAnsi="Times New Roman"/>
                <w:noProof/>
                <w:sz w:val="20"/>
                <w:szCs w:val="20"/>
                <w:lang w:bidi="ar-SA"/>
              </w:rPr>
            </w:pPr>
          </w:p>
        </w:tc>
        <w:tc>
          <w:tcPr>
            <w:tcW w:w="1452" w:type="dxa"/>
            <w:tcBorders>
              <w:top w:val="single" w:sz="4" w:space="0" w:color="auto"/>
              <w:bottom w:val="single" w:sz="4" w:space="0" w:color="auto"/>
            </w:tcBorders>
            <w:shd w:val="clear" w:color="auto" w:fill="auto"/>
            <w:noWrap/>
            <w:vAlign w:val="center"/>
            <w:hideMark/>
          </w:tcPr>
          <w:p w14:paraId="69A6EFB5"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Safety </w:t>
            </w:r>
          </w:p>
        </w:tc>
        <w:tc>
          <w:tcPr>
            <w:tcW w:w="1391" w:type="dxa"/>
            <w:tcBorders>
              <w:top w:val="single" w:sz="4" w:space="0" w:color="auto"/>
              <w:bottom w:val="single" w:sz="4" w:space="0" w:color="auto"/>
            </w:tcBorders>
            <w:shd w:val="clear" w:color="auto" w:fill="auto"/>
            <w:noWrap/>
            <w:vAlign w:val="center"/>
            <w:hideMark/>
          </w:tcPr>
          <w:p w14:paraId="4446E4B8"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Health </w:t>
            </w:r>
          </w:p>
        </w:tc>
        <w:tc>
          <w:tcPr>
            <w:tcW w:w="1738" w:type="dxa"/>
            <w:tcBorders>
              <w:top w:val="single" w:sz="4" w:space="0" w:color="auto"/>
              <w:bottom w:val="single" w:sz="4" w:space="0" w:color="auto"/>
            </w:tcBorders>
            <w:shd w:val="clear" w:color="auto" w:fill="auto"/>
            <w:noWrap/>
            <w:vAlign w:val="center"/>
            <w:hideMark/>
          </w:tcPr>
          <w:p w14:paraId="6EC14B3F"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Environmental </w:t>
            </w:r>
          </w:p>
        </w:tc>
        <w:tc>
          <w:tcPr>
            <w:tcW w:w="1121" w:type="dxa"/>
            <w:tcBorders>
              <w:top w:val="single" w:sz="4" w:space="0" w:color="auto"/>
              <w:bottom w:val="single" w:sz="4" w:space="0" w:color="auto"/>
            </w:tcBorders>
            <w:shd w:val="clear" w:color="auto" w:fill="auto"/>
            <w:noWrap/>
            <w:vAlign w:val="center"/>
            <w:hideMark/>
          </w:tcPr>
          <w:p w14:paraId="08709904" w14:textId="77777777" w:rsidR="00B1415F" w:rsidRPr="00C80638" w:rsidRDefault="00B1415F" w:rsidP="00F010BA">
            <w:pPr>
              <w:spacing w:after="60"/>
              <w:jc w:val="center"/>
              <w:rPr>
                <w:rFonts w:ascii="Times New Roman" w:hAnsi="Times New Roman"/>
                <w:b/>
                <w:bCs/>
                <w:noProof/>
                <w:sz w:val="20"/>
                <w:szCs w:val="20"/>
                <w:lang w:bidi="ar-SA"/>
              </w:rPr>
            </w:pPr>
            <w:r w:rsidRPr="00C80638">
              <w:rPr>
                <w:rFonts w:ascii="Times New Roman" w:hAnsi="Times New Roman"/>
                <w:b/>
                <w:bCs/>
                <w:noProof/>
                <w:sz w:val="20"/>
                <w:szCs w:val="20"/>
                <w:lang w:bidi="ar-SA"/>
              </w:rPr>
              <w:t xml:space="preserve">Waste </w:t>
            </w:r>
          </w:p>
        </w:tc>
        <w:tc>
          <w:tcPr>
            <w:tcW w:w="1697" w:type="dxa"/>
            <w:vMerge/>
            <w:tcBorders>
              <w:bottom w:val="single" w:sz="4" w:space="0" w:color="auto"/>
            </w:tcBorders>
            <w:shd w:val="clear" w:color="auto" w:fill="auto"/>
            <w:noWrap/>
            <w:vAlign w:val="bottom"/>
            <w:hideMark/>
          </w:tcPr>
          <w:p w14:paraId="4FC4437A" w14:textId="77777777" w:rsidR="00B1415F" w:rsidRPr="00C80638" w:rsidRDefault="00B1415F" w:rsidP="00F010BA">
            <w:pPr>
              <w:spacing w:after="0"/>
              <w:jc w:val="center"/>
              <w:rPr>
                <w:rFonts w:ascii="Times New Roman" w:hAnsi="Times New Roman"/>
                <w:noProof/>
                <w:sz w:val="20"/>
                <w:szCs w:val="20"/>
                <w:lang w:bidi="ar-SA"/>
              </w:rPr>
            </w:pPr>
          </w:p>
        </w:tc>
      </w:tr>
      <w:tr w:rsidR="00B1415F" w:rsidRPr="00C80638" w14:paraId="39C6ACC5" w14:textId="77777777" w:rsidTr="00B1415F">
        <w:trPr>
          <w:trHeight w:val="282"/>
          <w:jc w:val="center"/>
        </w:trPr>
        <w:tc>
          <w:tcPr>
            <w:tcW w:w="1588" w:type="dxa"/>
            <w:tcBorders>
              <w:top w:val="single" w:sz="4" w:space="0" w:color="auto"/>
            </w:tcBorders>
            <w:shd w:val="clear" w:color="auto" w:fill="auto"/>
            <w:noWrap/>
            <w:vAlign w:val="bottom"/>
            <w:hideMark/>
          </w:tcPr>
          <w:p w14:paraId="184E0859"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O-THF</w:t>
            </w:r>
          </w:p>
        </w:tc>
        <w:tc>
          <w:tcPr>
            <w:tcW w:w="1452" w:type="dxa"/>
            <w:tcBorders>
              <w:top w:val="single" w:sz="4" w:space="0" w:color="auto"/>
            </w:tcBorders>
            <w:shd w:val="clear" w:color="auto" w:fill="FFD72D"/>
            <w:noWrap/>
            <w:vAlign w:val="bottom"/>
            <w:hideMark/>
          </w:tcPr>
          <w:p w14:paraId="04A2F54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tcBorders>
              <w:top w:val="single" w:sz="4" w:space="0" w:color="auto"/>
            </w:tcBorders>
            <w:shd w:val="clear" w:color="auto" w:fill="FFD72D"/>
            <w:noWrap/>
            <w:vAlign w:val="bottom"/>
            <w:hideMark/>
          </w:tcPr>
          <w:p w14:paraId="7AA79DE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tcBorders>
              <w:top w:val="single" w:sz="4" w:space="0" w:color="auto"/>
            </w:tcBorders>
            <w:shd w:val="clear" w:color="auto" w:fill="FFD72D"/>
            <w:noWrap/>
            <w:vAlign w:val="bottom"/>
            <w:hideMark/>
          </w:tcPr>
          <w:p w14:paraId="0B624260"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tcBorders>
              <w:top w:val="single" w:sz="4" w:space="0" w:color="auto"/>
            </w:tcBorders>
            <w:shd w:val="clear" w:color="auto" w:fill="F55161"/>
            <w:noWrap/>
            <w:vAlign w:val="bottom"/>
            <w:hideMark/>
          </w:tcPr>
          <w:p w14:paraId="5399160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tcBorders>
              <w:top w:val="single" w:sz="4" w:space="0" w:color="auto"/>
            </w:tcBorders>
            <w:shd w:val="clear" w:color="auto" w:fill="FFD72D"/>
            <w:noWrap/>
            <w:vAlign w:val="bottom"/>
            <w:hideMark/>
          </w:tcPr>
          <w:p w14:paraId="2C22453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2C2C2237" w14:textId="77777777" w:rsidTr="00B1415F">
        <w:trPr>
          <w:trHeight w:val="282"/>
          <w:jc w:val="center"/>
        </w:trPr>
        <w:tc>
          <w:tcPr>
            <w:tcW w:w="1588" w:type="dxa"/>
            <w:shd w:val="clear" w:color="auto" w:fill="auto"/>
            <w:noWrap/>
            <w:vAlign w:val="bottom"/>
            <w:hideMark/>
          </w:tcPr>
          <w:p w14:paraId="15DECE39"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EtOH-THF</w:t>
            </w:r>
          </w:p>
        </w:tc>
        <w:tc>
          <w:tcPr>
            <w:tcW w:w="1452" w:type="dxa"/>
            <w:shd w:val="clear" w:color="auto" w:fill="FFD72D"/>
            <w:noWrap/>
            <w:vAlign w:val="bottom"/>
            <w:hideMark/>
          </w:tcPr>
          <w:p w14:paraId="1F9A0D37"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shd w:val="clear" w:color="auto" w:fill="FFD72D"/>
            <w:noWrap/>
            <w:vAlign w:val="bottom"/>
            <w:hideMark/>
          </w:tcPr>
          <w:p w14:paraId="73F9CCC5"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FFD72D"/>
            <w:noWrap/>
            <w:vAlign w:val="bottom"/>
            <w:hideMark/>
          </w:tcPr>
          <w:p w14:paraId="5131A0F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shd w:val="clear" w:color="auto" w:fill="F55161"/>
            <w:noWrap/>
            <w:vAlign w:val="bottom"/>
            <w:hideMark/>
          </w:tcPr>
          <w:p w14:paraId="77F835A8"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shd w:val="clear" w:color="auto" w:fill="FFD72D"/>
            <w:noWrap/>
            <w:vAlign w:val="bottom"/>
            <w:hideMark/>
          </w:tcPr>
          <w:p w14:paraId="1F9EDA5F"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1DCBB7D3" w14:textId="77777777" w:rsidTr="00B1415F">
        <w:trPr>
          <w:trHeight w:val="282"/>
          <w:jc w:val="center"/>
        </w:trPr>
        <w:tc>
          <w:tcPr>
            <w:tcW w:w="1588" w:type="dxa"/>
            <w:shd w:val="clear" w:color="auto" w:fill="auto"/>
            <w:noWrap/>
            <w:vAlign w:val="bottom"/>
            <w:hideMark/>
          </w:tcPr>
          <w:p w14:paraId="34295832"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MeOH-THF</w:t>
            </w:r>
          </w:p>
        </w:tc>
        <w:tc>
          <w:tcPr>
            <w:tcW w:w="1452" w:type="dxa"/>
            <w:shd w:val="clear" w:color="auto" w:fill="FFD72D"/>
            <w:noWrap/>
            <w:vAlign w:val="bottom"/>
            <w:hideMark/>
          </w:tcPr>
          <w:p w14:paraId="31294331"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4.9</w:t>
            </w:r>
          </w:p>
        </w:tc>
        <w:tc>
          <w:tcPr>
            <w:tcW w:w="1391" w:type="dxa"/>
            <w:shd w:val="clear" w:color="auto" w:fill="FFD72D"/>
            <w:noWrap/>
            <w:vAlign w:val="bottom"/>
            <w:hideMark/>
          </w:tcPr>
          <w:p w14:paraId="17037E27"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5.9</w:t>
            </w:r>
          </w:p>
        </w:tc>
        <w:tc>
          <w:tcPr>
            <w:tcW w:w="1738" w:type="dxa"/>
            <w:shd w:val="clear" w:color="auto" w:fill="FFD72D"/>
            <w:noWrap/>
            <w:vAlign w:val="bottom"/>
            <w:hideMark/>
          </w:tcPr>
          <w:p w14:paraId="7C0B5F5A"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5.2</w:t>
            </w:r>
          </w:p>
        </w:tc>
        <w:tc>
          <w:tcPr>
            <w:tcW w:w="1121" w:type="dxa"/>
            <w:shd w:val="clear" w:color="auto" w:fill="F55161"/>
            <w:noWrap/>
            <w:vAlign w:val="bottom"/>
            <w:hideMark/>
          </w:tcPr>
          <w:p w14:paraId="5B5600F2"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3.5</w:t>
            </w:r>
          </w:p>
        </w:tc>
        <w:tc>
          <w:tcPr>
            <w:tcW w:w="1697" w:type="dxa"/>
            <w:shd w:val="clear" w:color="auto" w:fill="FFD72D"/>
            <w:noWrap/>
            <w:vAlign w:val="bottom"/>
            <w:hideMark/>
          </w:tcPr>
          <w:p w14:paraId="7CBDF0CC"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5.4</w:t>
            </w:r>
          </w:p>
        </w:tc>
      </w:tr>
      <w:tr w:rsidR="00B1415F" w:rsidRPr="00C80638" w14:paraId="4D3579F7" w14:textId="77777777" w:rsidTr="00B1415F">
        <w:trPr>
          <w:trHeight w:val="282"/>
          <w:jc w:val="center"/>
        </w:trPr>
        <w:tc>
          <w:tcPr>
            <w:tcW w:w="1588" w:type="dxa"/>
            <w:shd w:val="clear" w:color="auto" w:fill="auto"/>
            <w:noWrap/>
            <w:vAlign w:val="bottom"/>
            <w:hideMark/>
          </w:tcPr>
          <w:p w14:paraId="2B57DAEB"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H</w:t>
            </w:r>
            <w:r w:rsidRPr="00C80638">
              <w:rPr>
                <w:rFonts w:ascii="Times New Roman" w:hAnsi="Times New Roman"/>
                <w:noProof/>
                <w:sz w:val="20"/>
                <w:szCs w:val="20"/>
                <w:vertAlign w:val="subscript"/>
                <w:lang w:bidi="ar-SA"/>
              </w:rPr>
              <w:t>2</w:t>
            </w:r>
            <w:r w:rsidRPr="00C80638">
              <w:rPr>
                <w:rFonts w:ascii="Times New Roman" w:hAnsi="Times New Roman"/>
                <w:noProof/>
                <w:sz w:val="20"/>
                <w:szCs w:val="20"/>
                <w:lang w:bidi="ar-SA"/>
              </w:rPr>
              <w:t>O-DMF</w:t>
            </w:r>
          </w:p>
        </w:tc>
        <w:tc>
          <w:tcPr>
            <w:tcW w:w="1452" w:type="dxa"/>
            <w:shd w:val="clear" w:color="auto" w:fill="76D889"/>
            <w:noWrap/>
            <w:vAlign w:val="bottom"/>
            <w:hideMark/>
          </w:tcPr>
          <w:p w14:paraId="647624DD"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shd w:val="clear" w:color="auto" w:fill="F55161"/>
            <w:noWrap/>
            <w:vAlign w:val="bottom"/>
            <w:hideMark/>
          </w:tcPr>
          <w:p w14:paraId="237114AB"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shd w:val="clear" w:color="auto" w:fill="FFD72D"/>
            <w:noWrap/>
            <w:vAlign w:val="bottom"/>
            <w:hideMark/>
          </w:tcPr>
          <w:p w14:paraId="4432AA8E"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shd w:val="clear" w:color="auto" w:fill="FFD72D"/>
            <w:noWrap/>
            <w:vAlign w:val="bottom"/>
            <w:hideMark/>
          </w:tcPr>
          <w:p w14:paraId="66C5D988"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FFD72D"/>
            <w:noWrap/>
            <w:vAlign w:val="bottom"/>
            <w:hideMark/>
          </w:tcPr>
          <w:p w14:paraId="131FFCE4"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r w:rsidR="00B1415F" w:rsidRPr="00C80638" w14:paraId="594A0B4D" w14:textId="77777777" w:rsidTr="00B1415F">
        <w:trPr>
          <w:trHeight w:val="282"/>
          <w:jc w:val="center"/>
        </w:trPr>
        <w:tc>
          <w:tcPr>
            <w:tcW w:w="1588" w:type="dxa"/>
            <w:shd w:val="clear" w:color="auto" w:fill="auto"/>
            <w:noWrap/>
            <w:vAlign w:val="bottom"/>
            <w:hideMark/>
          </w:tcPr>
          <w:p w14:paraId="1794C8FB" w14:textId="77777777" w:rsidR="00B1415F" w:rsidRPr="00C80638" w:rsidRDefault="00B1415F" w:rsidP="00F010BA">
            <w:pPr>
              <w:spacing w:before="60" w:after="0"/>
              <w:rPr>
                <w:rFonts w:ascii="Times New Roman" w:hAnsi="Times New Roman"/>
                <w:noProof/>
                <w:sz w:val="20"/>
                <w:szCs w:val="20"/>
                <w:lang w:bidi="ar-SA"/>
              </w:rPr>
            </w:pPr>
            <w:r w:rsidRPr="00C80638">
              <w:rPr>
                <w:rFonts w:ascii="Times New Roman" w:hAnsi="Times New Roman"/>
                <w:noProof/>
                <w:sz w:val="20"/>
                <w:szCs w:val="20"/>
                <w:lang w:bidi="ar-SA"/>
              </w:rPr>
              <w:t>EtOH-DMF</w:t>
            </w:r>
          </w:p>
        </w:tc>
        <w:tc>
          <w:tcPr>
            <w:tcW w:w="1452" w:type="dxa"/>
            <w:shd w:val="clear" w:color="auto" w:fill="76D889"/>
            <w:noWrap/>
            <w:vAlign w:val="bottom"/>
            <w:hideMark/>
          </w:tcPr>
          <w:p w14:paraId="41EF0D44"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shd w:val="clear" w:color="auto" w:fill="F55161"/>
            <w:noWrap/>
            <w:vAlign w:val="bottom"/>
            <w:hideMark/>
          </w:tcPr>
          <w:p w14:paraId="0ADCB981"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shd w:val="clear" w:color="auto" w:fill="FFD72D"/>
            <w:noWrap/>
            <w:vAlign w:val="bottom"/>
            <w:hideMark/>
          </w:tcPr>
          <w:p w14:paraId="50C54E7F"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shd w:val="clear" w:color="auto" w:fill="FFD72D"/>
            <w:noWrap/>
            <w:vAlign w:val="bottom"/>
            <w:hideMark/>
          </w:tcPr>
          <w:p w14:paraId="3C6146AA"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shd w:val="clear" w:color="auto" w:fill="FFD72D"/>
            <w:noWrap/>
            <w:vAlign w:val="bottom"/>
            <w:hideMark/>
          </w:tcPr>
          <w:p w14:paraId="17EC24BC" w14:textId="77777777" w:rsidR="00B1415F" w:rsidRPr="00C80638" w:rsidRDefault="00B1415F" w:rsidP="00F010BA">
            <w:pPr>
              <w:spacing w:before="60" w:after="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r w:rsidR="00B1415F" w:rsidRPr="00C80638" w14:paraId="17040078" w14:textId="77777777" w:rsidTr="00B1415F">
        <w:trPr>
          <w:trHeight w:val="282"/>
          <w:jc w:val="center"/>
        </w:trPr>
        <w:tc>
          <w:tcPr>
            <w:tcW w:w="1588" w:type="dxa"/>
            <w:tcBorders>
              <w:bottom w:val="single" w:sz="4" w:space="0" w:color="auto"/>
            </w:tcBorders>
            <w:shd w:val="clear" w:color="auto" w:fill="auto"/>
            <w:noWrap/>
            <w:vAlign w:val="bottom"/>
            <w:hideMark/>
          </w:tcPr>
          <w:p w14:paraId="08A05BFF" w14:textId="77777777" w:rsidR="00B1415F" w:rsidRPr="00C80638" w:rsidRDefault="00B1415F" w:rsidP="00F010BA">
            <w:pPr>
              <w:spacing w:before="60" w:after="60"/>
              <w:rPr>
                <w:rFonts w:ascii="Times New Roman" w:hAnsi="Times New Roman"/>
                <w:noProof/>
                <w:sz w:val="20"/>
                <w:szCs w:val="20"/>
                <w:lang w:bidi="ar-SA"/>
              </w:rPr>
            </w:pPr>
            <w:r w:rsidRPr="00C80638">
              <w:rPr>
                <w:rFonts w:ascii="Times New Roman" w:hAnsi="Times New Roman"/>
                <w:noProof/>
                <w:sz w:val="20"/>
                <w:szCs w:val="20"/>
                <w:lang w:bidi="ar-SA"/>
              </w:rPr>
              <w:t>MeOH-DMF</w:t>
            </w:r>
          </w:p>
        </w:tc>
        <w:tc>
          <w:tcPr>
            <w:tcW w:w="1452" w:type="dxa"/>
            <w:tcBorders>
              <w:bottom w:val="single" w:sz="4" w:space="0" w:color="auto"/>
            </w:tcBorders>
            <w:shd w:val="clear" w:color="auto" w:fill="76D889"/>
            <w:noWrap/>
            <w:vAlign w:val="bottom"/>
            <w:hideMark/>
          </w:tcPr>
          <w:p w14:paraId="0AF60302"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9</w:t>
            </w:r>
          </w:p>
        </w:tc>
        <w:tc>
          <w:tcPr>
            <w:tcW w:w="1391" w:type="dxa"/>
            <w:tcBorders>
              <w:bottom w:val="single" w:sz="4" w:space="0" w:color="auto"/>
            </w:tcBorders>
            <w:shd w:val="clear" w:color="auto" w:fill="F55161"/>
            <w:noWrap/>
            <w:vAlign w:val="bottom"/>
            <w:hideMark/>
          </w:tcPr>
          <w:p w14:paraId="1ADE0E23"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2.4</w:t>
            </w:r>
          </w:p>
        </w:tc>
        <w:tc>
          <w:tcPr>
            <w:tcW w:w="1738" w:type="dxa"/>
            <w:tcBorders>
              <w:bottom w:val="single" w:sz="4" w:space="0" w:color="auto"/>
            </w:tcBorders>
            <w:shd w:val="clear" w:color="auto" w:fill="FFD72D"/>
            <w:noWrap/>
            <w:vAlign w:val="bottom"/>
            <w:hideMark/>
          </w:tcPr>
          <w:p w14:paraId="53D12736"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6.3</w:t>
            </w:r>
          </w:p>
        </w:tc>
        <w:tc>
          <w:tcPr>
            <w:tcW w:w="1121" w:type="dxa"/>
            <w:tcBorders>
              <w:bottom w:val="single" w:sz="4" w:space="0" w:color="auto"/>
            </w:tcBorders>
            <w:shd w:val="clear" w:color="auto" w:fill="FFD72D"/>
            <w:noWrap/>
            <w:vAlign w:val="bottom"/>
            <w:hideMark/>
          </w:tcPr>
          <w:p w14:paraId="19DA1BEF"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c>
          <w:tcPr>
            <w:tcW w:w="1697" w:type="dxa"/>
            <w:tcBorders>
              <w:bottom w:val="single" w:sz="4" w:space="0" w:color="auto"/>
            </w:tcBorders>
            <w:shd w:val="clear" w:color="auto" w:fill="FFD72D"/>
            <w:noWrap/>
            <w:vAlign w:val="bottom"/>
            <w:hideMark/>
          </w:tcPr>
          <w:p w14:paraId="29756081" w14:textId="77777777" w:rsidR="00B1415F" w:rsidRPr="00C80638" w:rsidRDefault="00B1415F" w:rsidP="00F010BA">
            <w:pPr>
              <w:spacing w:before="60" w:after="60"/>
              <w:jc w:val="center"/>
              <w:rPr>
                <w:rFonts w:ascii="Times New Roman" w:hAnsi="Times New Roman"/>
                <w:noProof/>
                <w:sz w:val="20"/>
                <w:szCs w:val="20"/>
                <w:lang w:bidi="ar-SA"/>
              </w:rPr>
            </w:pPr>
            <w:r w:rsidRPr="00C80638">
              <w:rPr>
                <w:rFonts w:ascii="Times New Roman" w:hAnsi="Times New Roman"/>
                <w:noProof/>
                <w:sz w:val="20"/>
                <w:szCs w:val="20"/>
                <w:lang w:bidi="ar-SA"/>
              </w:rPr>
              <w:t>4.6</w:t>
            </w:r>
          </w:p>
        </w:tc>
      </w:tr>
    </w:tbl>
    <w:p w14:paraId="0F92B9A3" w14:textId="77777777" w:rsidR="00141D45" w:rsidRPr="009E2062" w:rsidRDefault="00141D45" w:rsidP="00B1415F">
      <w:pPr>
        <w:spacing w:before="60" w:after="0"/>
        <w:ind w:left="270"/>
        <w:jc w:val="both"/>
        <w:rPr>
          <w:rFonts w:ascii="Times New Roman" w:hAnsi="Times New Roman"/>
          <w:bCs/>
          <w:noProof/>
          <w:sz w:val="18"/>
          <w:szCs w:val="18"/>
          <w:lang w:bidi="ar-SA"/>
        </w:rPr>
      </w:pPr>
      <w:r w:rsidRPr="009E2062">
        <w:rPr>
          <w:rFonts w:ascii="Times New Roman" w:hAnsi="Times New Roman"/>
          <w:b/>
          <w:bCs/>
          <w:noProof/>
          <w:sz w:val="18"/>
          <w:szCs w:val="18"/>
          <w:lang w:bidi="ar-SA"/>
        </w:rPr>
        <w:t>Keys:</w:t>
      </w:r>
      <w:r w:rsidRPr="009E2062">
        <w:rPr>
          <w:rFonts w:ascii="Times New Roman" w:hAnsi="Times New Roman"/>
          <w:noProof/>
          <w:sz w:val="18"/>
          <w:szCs w:val="18"/>
          <w:lang w:bidi="ar-SA"/>
        </w:rPr>
        <w:t xml:space="preserve"> Recommended solvent-pairs (green highlight) = score 7-10, problematic solvent-pairs (yellow highlight) = score 4-7, </w:t>
      </w:r>
      <w:r>
        <w:rPr>
          <w:rFonts w:ascii="Times New Roman" w:hAnsi="Times New Roman"/>
          <w:noProof/>
          <w:sz w:val="18"/>
          <w:szCs w:val="18"/>
          <w:lang w:bidi="ar-SA"/>
        </w:rPr>
        <w:t xml:space="preserve">  </w:t>
      </w:r>
      <w:r w:rsidRPr="009E2062">
        <w:rPr>
          <w:rFonts w:ascii="Times New Roman" w:hAnsi="Times New Roman"/>
          <w:noProof/>
          <w:sz w:val="18"/>
          <w:szCs w:val="18"/>
          <w:lang w:bidi="ar-SA"/>
        </w:rPr>
        <w:t>hazardous solvent-pairs (red highlight) = score 0-4 are score ranges adopted from IMI-CHEM21 [7]</w:t>
      </w:r>
    </w:p>
    <w:p w14:paraId="4409F13D" w14:textId="4C789B1C" w:rsidR="00141D45" w:rsidRDefault="00141D45" w:rsidP="007677D7">
      <w:pPr>
        <w:spacing w:after="0"/>
        <w:ind w:left="90"/>
        <w:jc w:val="center"/>
        <w:rPr>
          <w:rFonts w:ascii="Times New Roman" w:hAnsi="Times New Roman"/>
          <w:bCs/>
          <w:noProof/>
          <w:sz w:val="20"/>
          <w:szCs w:val="20"/>
          <w:lang w:bidi="ar-SA"/>
        </w:rPr>
      </w:pPr>
    </w:p>
    <w:p w14:paraId="49E354DE" w14:textId="77777777" w:rsidR="00141D45" w:rsidRDefault="00141D45" w:rsidP="007677D7">
      <w:pPr>
        <w:spacing w:after="0"/>
        <w:ind w:left="90"/>
        <w:jc w:val="center"/>
        <w:rPr>
          <w:rFonts w:ascii="Times New Roman" w:hAnsi="Times New Roman"/>
          <w:bCs/>
          <w:noProof/>
          <w:sz w:val="20"/>
          <w:szCs w:val="20"/>
          <w:lang w:bidi="ar-SA"/>
        </w:rPr>
      </w:pPr>
    </w:p>
    <w:p w14:paraId="7505BD1B" w14:textId="77777777" w:rsidR="00976876" w:rsidRDefault="00976876" w:rsidP="007677D7">
      <w:pPr>
        <w:spacing w:after="0"/>
        <w:ind w:left="90"/>
        <w:jc w:val="center"/>
        <w:rPr>
          <w:rFonts w:ascii="Times New Roman" w:hAnsi="Times New Roman"/>
          <w:b/>
          <w:noProof/>
          <w:sz w:val="20"/>
          <w:szCs w:val="20"/>
          <w:lang w:bidi="ar-SA"/>
        </w:rPr>
        <w:sectPr w:rsidR="00976876" w:rsidSect="00F168B9">
          <w:headerReference w:type="even" r:id="rId28"/>
          <w:headerReference w:type="default" r:id="rId29"/>
          <w:footerReference w:type="even" r:id="rId30"/>
          <w:footerReference w:type="default" r:id="rId31"/>
          <w:headerReference w:type="first" r:id="rId32"/>
          <w:type w:val="continuous"/>
          <w:pgSz w:w="12240" w:h="15840" w:code="1"/>
          <w:pgMar w:top="1800" w:right="1469" w:bottom="1699" w:left="1440" w:header="706" w:footer="706" w:gutter="0"/>
          <w:pgNumType w:start="6"/>
          <w:cols w:space="708"/>
          <w:docGrid w:linePitch="360"/>
        </w:sectPr>
      </w:pPr>
    </w:p>
    <w:p w14:paraId="48C83A88" w14:textId="77777777" w:rsidR="00976876" w:rsidRPr="00F447A7" w:rsidRDefault="00976876" w:rsidP="0097687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47A5EB4" w14:textId="77777777" w:rsidR="00976876" w:rsidRPr="00C80638" w:rsidRDefault="00976876" w:rsidP="00976876">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Kamlet-Taft analytical approach was simple and efficient to measure the KT acidity, basicity, and polarity of solvents or solvent mixtures. However, the proper mixing and temperature control of the solvent and indicator was the prerequisite to get the correct result in KT analysis. The ranking of HBD-HBA combinations facilitated to find out a suitable solvent mixture to substitute hazardous solvents in drug synthesis. The highest yield was found when the solvent creates a strong interaction with the HBD site of API. It is possible if the solvent mixture carries low KT acidity and high KT basicity. The maximum use of this methodology could bring a revolutionary change in synthetic chemistry. </w:t>
      </w:r>
    </w:p>
    <w:p w14:paraId="258FFD6D" w14:textId="77777777" w:rsidR="00976876" w:rsidRPr="00F447A7" w:rsidRDefault="00976876" w:rsidP="00976876">
      <w:pPr>
        <w:spacing w:after="0"/>
        <w:jc w:val="both"/>
        <w:rPr>
          <w:rFonts w:ascii="Times New Roman" w:hAnsi="Times New Roman"/>
          <w:noProof/>
          <w:sz w:val="20"/>
          <w:szCs w:val="20"/>
          <w:lang w:bidi="ar-SA"/>
        </w:rPr>
      </w:pPr>
    </w:p>
    <w:p w14:paraId="1FFA16DE" w14:textId="77777777" w:rsidR="00976876" w:rsidRPr="00F447A7" w:rsidRDefault="00976876" w:rsidP="0097687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584BF513" w14:textId="634723BF" w:rsidR="00976876" w:rsidRDefault="00976876" w:rsidP="00976876">
      <w:pPr>
        <w:spacing w:after="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The authors are thankful to the Fundamental Research Grant Scheme of the Ministry of Education, Malaysia (GRANT NO: FRGS19-002-0610) and International Islamic University Malaysia for their support. </w:t>
      </w:r>
    </w:p>
    <w:p w14:paraId="3B33479B" w14:textId="77777777" w:rsidR="00CB11A3" w:rsidRDefault="00CB11A3" w:rsidP="00976876">
      <w:pPr>
        <w:spacing w:after="0"/>
        <w:jc w:val="both"/>
        <w:rPr>
          <w:rFonts w:ascii="Times New Roman" w:hAnsi="Times New Roman"/>
          <w:noProof/>
          <w:sz w:val="20"/>
          <w:szCs w:val="20"/>
          <w:lang w:bidi="ar-SA"/>
        </w:rPr>
      </w:pPr>
    </w:p>
    <w:p w14:paraId="640D6D75" w14:textId="77777777" w:rsidR="00CB11A3" w:rsidRPr="00F447A7" w:rsidRDefault="00CB11A3" w:rsidP="00CB11A3">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22D175D"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Kamlet, M. J., and Taft, R. W. (1976). The solvatochromic comparison method. I. The beta-scale of solvent hydrogen-bond acceptor (HBA) basicity. </w:t>
      </w:r>
      <w:r w:rsidRPr="00C80638">
        <w:rPr>
          <w:rFonts w:ascii="Times New Roman" w:hAnsi="Times New Roman"/>
          <w:i/>
          <w:iCs/>
          <w:noProof/>
          <w:sz w:val="20"/>
          <w:szCs w:val="20"/>
          <w:lang w:bidi="ar-SA"/>
        </w:rPr>
        <w:t>Journal of the American chemical Society</w:t>
      </w:r>
      <w:r w:rsidRPr="00C80638">
        <w:rPr>
          <w:rFonts w:ascii="Times New Roman" w:hAnsi="Times New Roman"/>
          <w:noProof/>
          <w:sz w:val="20"/>
          <w:szCs w:val="20"/>
          <w:lang w:bidi="ar-SA"/>
        </w:rPr>
        <w:t>, 98(2): 377-383.</w:t>
      </w:r>
    </w:p>
    <w:p w14:paraId="46E64046"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Labban, A. S. and Marcus, Y. (1997). Solvatochromic parameters of ethanolamines. </w:t>
      </w:r>
      <w:r w:rsidRPr="00C80638">
        <w:rPr>
          <w:rFonts w:ascii="Times New Roman" w:hAnsi="Times New Roman"/>
          <w:i/>
          <w:iCs/>
          <w:noProof/>
          <w:sz w:val="20"/>
          <w:szCs w:val="20"/>
          <w:lang w:bidi="ar-SA"/>
        </w:rPr>
        <w:t>Journal of the Chemical Society, Faraday Transactions</w:t>
      </w:r>
      <w:r w:rsidRPr="00C80638">
        <w:rPr>
          <w:rFonts w:ascii="Times New Roman" w:hAnsi="Times New Roman"/>
          <w:noProof/>
          <w:sz w:val="20"/>
          <w:szCs w:val="20"/>
          <w:lang w:bidi="ar-SA"/>
        </w:rPr>
        <w:t>, 93(1): 77-79.</w:t>
      </w:r>
    </w:p>
    <w:p w14:paraId="0A3C9014" w14:textId="77777777" w:rsidR="00CB11A3" w:rsidRPr="00C80638" w:rsidRDefault="00CB11A3" w:rsidP="00CB11A3">
      <w:pPr>
        <w:numPr>
          <w:ilvl w:val="0"/>
          <w:numId w:val="3"/>
        </w:numPr>
        <w:spacing w:after="0" w:line="240" w:lineRule="auto"/>
        <w:ind w:left="360"/>
        <w:jc w:val="both"/>
        <w:rPr>
          <w:rFonts w:ascii="Times New Roman" w:hAnsi="Times New Roman"/>
          <w:noProof/>
          <w:sz w:val="20"/>
          <w:szCs w:val="20"/>
          <w:lang w:bidi="ar-SA"/>
        </w:rPr>
      </w:pPr>
      <w:r w:rsidRPr="00C80638">
        <w:rPr>
          <w:rFonts w:ascii="Times New Roman" w:hAnsi="Times New Roman"/>
          <w:noProof/>
          <w:sz w:val="20"/>
          <w:szCs w:val="20"/>
          <w:lang w:bidi="ar-SA"/>
        </w:rPr>
        <w:t xml:space="preserve">Islam, T., Sarker, M. Z. I., Uddin, A. H., Yunus, K. B., Prasad, R., Mia, M. A. R. and Ferdosh, S. (2020). Kamlet Taft parameters: A tool to alternate the usage of hazardous solvent in pharmaceutical and chemical manufacturing/synthesis-A gateway towards green technology. </w:t>
      </w:r>
      <w:r w:rsidRPr="00C80638">
        <w:rPr>
          <w:rFonts w:ascii="Times New Roman" w:hAnsi="Times New Roman"/>
          <w:i/>
          <w:iCs/>
          <w:noProof/>
          <w:sz w:val="20"/>
          <w:szCs w:val="20"/>
          <w:lang w:bidi="ar-SA"/>
        </w:rPr>
        <w:t>Analytical Chemistry Letters</w:t>
      </w:r>
      <w:r w:rsidRPr="00C80638">
        <w:rPr>
          <w:rFonts w:ascii="Times New Roman" w:hAnsi="Times New Roman"/>
          <w:noProof/>
          <w:sz w:val="20"/>
          <w:szCs w:val="20"/>
          <w:lang w:bidi="ar-SA"/>
        </w:rPr>
        <w:t>, 10 (5): 550-561.</w:t>
      </w:r>
    </w:p>
    <w:p w14:paraId="50701027" w14:textId="77777777" w:rsidR="00CB11A3" w:rsidRDefault="00CB11A3" w:rsidP="00CB11A3">
      <w:pPr>
        <w:numPr>
          <w:ilvl w:val="0"/>
          <w:numId w:val="3"/>
        </w:numPr>
        <w:spacing w:after="0" w:line="240" w:lineRule="auto"/>
        <w:ind w:left="360"/>
        <w:jc w:val="both"/>
        <w:rPr>
          <w:rFonts w:ascii="Times New Roman" w:hAnsi="Times New Roman"/>
          <w:noProof/>
          <w:sz w:val="20"/>
          <w:szCs w:val="20"/>
          <w:lang w:bidi="ar-SA"/>
        </w:rPr>
      </w:pPr>
      <w:r w:rsidRPr="00B1415F">
        <w:rPr>
          <w:rFonts w:ascii="Times New Roman" w:hAnsi="Times New Roman"/>
          <w:noProof/>
          <w:sz w:val="20"/>
          <w:szCs w:val="20"/>
          <w:lang w:bidi="ar-SA"/>
        </w:rPr>
        <w:t xml:space="preserve">Duereh, A., Guo, H., Honma, T., Hiraga, Y., Sato, Y., Lee Smith Jr, R. and Inomata, H. (2018). Solvent polarity of cyclic ketone (cyclopentanone, cyclohexanone): Alcohol (methanol, ethanol) renewable mixed-solvent systems for applications in pharmaceutical and chemical processing. </w:t>
      </w:r>
      <w:r w:rsidRPr="00B1415F">
        <w:rPr>
          <w:rFonts w:ascii="Times New Roman" w:hAnsi="Times New Roman"/>
          <w:i/>
          <w:iCs/>
          <w:noProof/>
          <w:sz w:val="20"/>
          <w:szCs w:val="20"/>
          <w:lang w:bidi="ar-SA"/>
        </w:rPr>
        <w:t>Industrial &amp; Engineering Chemistry Research</w:t>
      </w:r>
      <w:r w:rsidRPr="00B1415F">
        <w:rPr>
          <w:rFonts w:ascii="Times New Roman" w:hAnsi="Times New Roman"/>
          <w:noProof/>
          <w:sz w:val="20"/>
          <w:szCs w:val="20"/>
          <w:lang w:bidi="ar-SA"/>
        </w:rPr>
        <w:t>, 57(22): 7331-7344.</w:t>
      </w:r>
    </w:p>
    <w:p w14:paraId="76288D8B" w14:textId="77777777" w:rsidR="00CB11A3" w:rsidRDefault="00CB11A3" w:rsidP="00CB11A3">
      <w:pPr>
        <w:pStyle w:val="ListParagraph"/>
        <w:numPr>
          <w:ilvl w:val="0"/>
          <w:numId w:val="3"/>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t xml:space="preserve">Duereh, A., Sato, Y., Smith Jr, R. L., and Inomata, H. (2016). Analysis of the cybotactic region of two renewable lactone–water mixed-solvent systems that exhibit synergistic Kamlet–Taft basicity. </w:t>
      </w:r>
      <w:r w:rsidRPr="00535CCB">
        <w:rPr>
          <w:rFonts w:ascii="Times New Roman" w:hAnsi="Times New Roman"/>
          <w:i/>
          <w:iCs/>
          <w:noProof/>
          <w:sz w:val="20"/>
          <w:szCs w:val="20"/>
        </w:rPr>
        <w:t>The Journal of Physical Chemistry B</w:t>
      </w:r>
      <w:r w:rsidRPr="00535CCB">
        <w:rPr>
          <w:rFonts w:ascii="Times New Roman" w:hAnsi="Times New Roman"/>
          <w:noProof/>
          <w:sz w:val="20"/>
          <w:szCs w:val="20"/>
        </w:rPr>
        <w:t>, 120(19): 4467-4481.</w:t>
      </w:r>
    </w:p>
    <w:p w14:paraId="0CCB047C" w14:textId="394ECA65" w:rsidR="00CB11A3" w:rsidRDefault="00CB11A3" w:rsidP="00CB11A3">
      <w:pPr>
        <w:pStyle w:val="ListParagraph"/>
        <w:numPr>
          <w:ilvl w:val="0"/>
          <w:numId w:val="3"/>
        </w:numPr>
        <w:spacing w:after="0"/>
        <w:ind w:left="360" w:hanging="446"/>
        <w:jc w:val="both"/>
        <w:rPr>
          <w:rFonts w:ascii="Times New Roman" w:hAnsi="Times New Roman"/>
          <w:noProof/>
          <w:sz w:val="20"/>
          <w:szCs w:val="20"/>
        </w:rPr>
      </w:pPr>
      <w:r w:rsidRPr="00535CCB">
        <w:rPr>
          <w:rFonts w:ascii="Times New Roman" w:hAnsi="Times New Roman"/>
          <w:noProof/>
          <w:sz w:val="20"/>
          <w:szCs w:val="20"/>
        </w:rPr>
        <w:t xml:space="preserve">Marcus, Y. (1994). The use of chemical probes for the characterization of solvent mixtures. Part 2. Aqueous mixtures. </w:t>
      </w:r>
      <w:r w:rsidRPr="00535CCB">
        <w:rPr>
          <w:rFonts w:ascii="Times New Roman" w:hAnsi="Times New Roman"/>
          <w:i/>
          <w:iCs/>
          <w:noProof/>
          <w:sz w:val="20"/>
          <w:szCs w:val="20"/>
        </w:rPr>
        <w:t>Journal of the Chemical Society, Perkin Transactions 2</w:t>
      </w:r>
      <w:r w:rsidRPr="00535CCB">
        <w:rPr>
          <w:rFonts w:ascii="Times New Roman" w:hAnsi="Times New Roman"/>
          <w:noProof/>
          <w:sz w:val="20"/>
          <w:szCs w:val="20"/>
        </w:rPr>
        <w:t>(8): 1751-1758.</w:t>
      </w:r>
    </w:p>
    <w:p w14:paraId="1EB74A4D" w14:textId="589B757D" w:rsidR="00CB11A3" w:rsidRDefault="00CB11A3" w:rsidP="00CB11A3">
      <w:pPr>
        <w:spacing w:after="0"/>
        <w:jc w:val="both"/>
        <w:rPr>
          <w:rFonts w:ascii="Times New Roman" w:hAnsi="Times New Roman"/>
          <w:noProof/>
          <w:sz w:val="20"/>
          <w:szCs w:val="20"/>
        </w:rPr>
      </w:pPr>
    </w:p>
    <w:p w14:paraId="5EF728E8" w14:textId="4AE926B8" w:rsidR="00CB11A3" w:rsidRDefault="00CB11A3" w:rsidP="00CB11A3">
      <w:pPr>
        <w:spacing w:after="0"/>
        <w:jc w:val="both"/>
        <w:rPr>
          <w:rFonts w:ascii="Times New Roman" w:hAnsi="Times New Roman"/>
          <w:noProof/>
          <w:sz w:val="20"/>
          <w:szCs w:val="20"/>
        </w:rPr>
      </w:pPr>
    </w:p>
    <w:p w14:paraId="6D7F43E6" w14:textId="465CAD57" w:rsidR="00CB11A3" w:rsidRDefault="00CB11A3" w:rsidP="00CB11A3">
      <w:pPr>
        <w:spacing w:after="0"/>
        <w:jc w:val="both"/>
        <w:rPr>
          <w:rFonts w:ascii="Times New Roman" w:hAnsi="Times New Roman"/>
          <w:noProof/>
          <w:sz w:val="20"/>
          <w:szCs w:val="20"/>
        </w:rPr>
      </w:pPr>
    </w:p>
    <w:p w14:paraId="6C72B3E6" w14:textId="77777777" w:rsidR="00CB11A3" w:rsidRPr="00CB11A3" w:rsidRDefault="00CB11A3" w:rsidP="00CB11A3">
      <w:pPr>
        <w:spacing w:after="0"/>
        <w:jc w:val="both"/>
        <w:rPr>
          <w:rFonts w:ascii="Times New Roman" w:hAnsi="Times New Roman"/>
          <w:noProof/>
          <w:sz w:val="20"/>
          <w:szCs w:val="20"/>
        </w:rPr>
      </w:pPr>
    </w:p>
    <w:p w14:paraId="6377CD9B"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lastRenderedPageBreak/>
        <w:t xml:space="preserve">Prat, D., Wells, A., Hayler, J., Sneddon, H., McElroy, C. R., Abou-Shehada, S. and Dunn, P. J. (2015). CHEM21 selection guide of classical-and less classical-solvents.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18(1): 288-296.</w:t>
      </w:r>
    </w:p>
    <w:p w14:paraId="061794DE" w14:textId="01489F70"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European Medicines Agency (2019), ICH guideline Q3C (R6) on impurities: guideline for residual solvents, step 5. </w:t>
      </w:r>
      <w:r w:rsidR="00B77392" w:rsidRPr="00B77392">
        <w:rPr>
          <w:rFonts w:ascii="Times New Roman" w:hAnsi="Times New Roman"/>
          <w:noProof/>
          <w:sz w:val="20"/>
          <w:szCs w:val="20"/>
        </w:rPr>
        <w:t>https://www.ema.europa.eu/</w:t>
      </w:r>
      <w:r w:rsidR="00B77392">
        <w:rPr>
          <w:rFonts w:ascii="Times New Roman" w:hAnsi="Times New Roman"/>
          <w:noProof/>
          <w:sz w:val="20"/>
          <w:szCs w:val="20"/>
        </w:rPr>
        <w:t xml:space="preserve"> </w:t>
      </w:r>
      <w:r w:rsidRPr="00BB5D05">
        <w:rPr>
          <w:rFonts w:ascii="Times New Roman" w:hAnsi="Times New Roman"/>
          <w:noProof/>
          <w:sz w:val="20"/>
          <w:szCs w:val="20"/>
        </w:rPr>
        <w:t>en/ich-q3c-r6-residual-solvents [Access online 08 October 2021].</w:t>
      </w:r>
    </w:p>
    <w:p w14:paraId="51B6CF28"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Byrne, F. P., Jin, S., Paggiola, G., Petchey, T. H., Clark, J. H., Farmer, T. J., Hunt, A. J., McElroy, C. R. and Sherwood, J. (2016). Tools and techniques for solvent selection: green solvent selection guides. </w:t>
      </w:r>
      <w:r w:rsidRPr="00BB5D05">
        <w:rPr>
          <w:rFonts w:ascii="Times New Roman" w:hAnsi="Times New Roman"/>
          <w:i/>
          <w:iCs/>
          <w:noProof/>
          <w:sz w:val="20"/>
          <w:szCs w:val="20"/>
        </w:rPr>
        <w:t>Sustainable Chemical Processes</w:t>
      </w:r>
      <w:r w:rsidRPr="00BB5D05">
        <w:rPr>
          <w:rFonts w:ascii="Times New Roman" w:hAnsi="Times New Roman"/>
          <w:noProof/>
          <w:sz w:val="20"/>
          <w:szCs w:val="20"/>
        </w:rPr>
        <w:t>, 4(1): 1-24.</w:t>
      </w:r>
    </w:p>
    <w:p w14:paraId="6D360872"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Prat, D., Hayler, J. and Wells, A. (2014). A survey of solvent selection guides. </w:t>
      </w:r>
      <w:r w:rsidRPr="00BB5D05">
        <w:rPr>
          <w:rFonts w:ascii="Times New Roman" w:hAnsi="Times New Roman"/>
          <w:i/>
          <w:iCs/>
          <w:noProof/>
          <w:sz w:val="20"/>
          <w:szCs w:val="20"/>
        </w:rPr>
        <w:t>Green Chemistry</w:t>
      </w:r>
      <w:r w:rsidRPr="00BB5D05">
        <w:rPr>
          <w:rFonts w:ascii="Times New Roman" w:hAnsi="Times New Roman"/>
          <w:noProof/>
          <w:sz w:val="20"/>
          <w:szCs w:val="20"/>
        </w:rPr>
        <w:t>, 16(10): 4546-4551.</w:t>
      </w:r>
    </w:p>
    <w:p w14:paraId="4CEEF23A"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(2017). Methodology for replacing dipolar aprotic solvents used in API processing with safe hydrogen-bond donor and acceptor solvent-pair mixtures.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21(1): 114-124.</w:t>
      </w:r>
    </w:p>
    <w:p w14:paraId="05CF7BCE"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Spectroscopic analysis of binary mixed-solvent-polyimide precursor systems with the preferential solvation model for determining solute-centric Kamlet–Taft solvatochromic parameters. </w:t>
      </w:r>
      <w:r w:rsidRPr="00BB5D05">
        <w:rPr>
          <w:rFonts w:ascii="Times New Roman" w:hAnsi="Times New Roman"/>
          <w:i/>
          <w:iCs/>
          <w:noProof/>
          <w:sz w:val="20"/>
          <w:szCs w:val="20"/>
        </w:rPr>
        <w:t>The Journal of Physical Chemistry B</w:t>
      </w:r>
      <w:r w:rsidRPr="00BB5D05">
        <w:rPr>
          <w:rFonts w:ascii="Times New Roman" w:hAnsi="Times New Roman"/>
          <w:noProof/>
          <w:sz w:val="20"/>
          <w:szCs w:val="20"/>
        </w:rPr>
        <w:t>, 119(46): 14738-14749.</w:t>
      </w:r>
    </w:p>
    <w:p w14:paraId="03CD546C"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Duereh, A., Sato, Y., Smith Jr, R. L. and Inomata, H. (2015). Replacement of hazardous chemicals used in engineering plastics with safe and renewable hydrogen-bond donor and acceptor solvent-pair mixtures. </w:t>
      </w:r>
      <w:r w:rsidRPr="00BB5D05">
        <w:rPr>
          <w:rFonts w:ascii="Times New Roman" w:hAnsi="Times New Roman"/>
          <w:i/>
          <w:iCs/>
          <w:noProof/>
          <w:sz w:val="20"/>
          <w:szCs w:val="20"/>
        </w:rPr>
        <w:t>ACS Sustainable Chemistry &amp; Engineering</w:t>
      </w:r>
      <w:r w:rsidRPr="00BB5D05">
        <w:rPr>
          <w:rFonts w:ascii="Times New Roman" w:hAnsi="Times New Roman"/>
          <w:noProof/>
          <w:sz w:val="20"/>
          <w:szCs w:val="20"/>
        </w:rPr>
        <w:t>, 3(8): 1881-1889.</w:t>
      </w:r>
    </w:p>
    <w:p w14:paraId="772C6AC1"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Capello, C., Fischer, U. and Hungerbühler, K. (2007). What is a green solvent? A comprehensive framework for the environmental assessment of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9(9): 927-934.</w:t>
      </w:r>
    </w:p>
    <w:p w14:paraId="7E085ECD"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Clark, J. H., and Tavener, S. J. (2007). Alternative solvents: shades of green.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11(1): 149-155.</w:t>
      </w:r>
    </w:p>
    <w:p w14:paraId="2229E5DF"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Jessop, P. G. (2011). Searching for green solvents. </w:t>
      </w:r>
      <w:r w:rsidRPr="00BB5D05">
        <w:rPr>
          <w:rFonts w:ascii="Times New Roman" w:hAnsi="Times New Roman"/>
          <w:i/>
          <w:iCs/>
          <w:noProof/>
          <w:sz w:val="20"/>
          <w:szCs w:val="20"/>
        </w:rPr>
        <w:t>Green Chemistry</w:t>
      </w:r>
      <w:r w:rsidRPr="00BB5D05">
        <w:rPr>
          <w:rFonts w:ascii="Times New Roman" w:hAnsi="Times New Roman"/>
          <w:noProof/>
          <w:sz w:val="20"/>
          <w:szCs w:val="20"/>
        </w:rPr>
        <w:t>, 13(6): 1391-1398.</w:t>
      </w:r>
    </w:p>
    <w:p w14:paraId="3C64582E"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Ashcroft, C. P., Dunn, P. J., Hayler, J. D. and Wells, A. S. (2015). Survey of solvent usage in papers published in organic process research &amp; development 1997–2012. </w:t>
      </w:r>
      <w:r w:rsidRPr="00BB5D05">
        <w:rPr>
          <w:rFonts w:ascii="Times New Roman" w:hAnsi="Times New Roman"/>
          <w:i/>
          <w:iCs/>
          <w:noProof/>
          <w:sz w:val="20"/>
          <w:szCs w:val="20"/>
        </w:rPr>
        <w:t>Organic Process Research &amp; Development</w:t>
      </w:r>
      <w:r w:rsidRPr="00BB5D05">
        <w:rPr>
          <w:rFonts w:ascii="Times New Roman" w:hAnsi="Times New Roman"/>
          <w:noProof/>
          <w:sz w:val="20"/>
          <w:szCs w:val="20"/>
        </w:rPr>
        <w:t>, 19(7): 740-747.</w:t>
      </w:r>
    </w:p>
    <w:p w14:paraId="7097B114" w14:textId="26D283B4"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Sherwood, J., Granelli, J., McElroy, C. R. and Clark, J. H. (2019). A method of calculating the Kamlet–Abboud–Taft solvatochromic parameters</w:t>
      </w:r>
      <w:r w:rsidR="00BB5D05" w:rsidRPr="00BB5D05">
        <w:rPr>
          <w:rFonts w:ascii="Times New Roman" w:hAnsi="Times New Roman"/>
          <w:noProof/>
          <w:sz w:val="20"/>
          <w:szCs w:val="20"/>
          <w:shd w:val="clear" w:color="auto" w:fill="FFFFFF"/>
        </w:rPr>
        <w:t xml:space="preserve"> </w:t>
      </w:r>
      <w:r w:rsidRPr="00BB5D05">
        <w:rPr>
          <w:rFonts w:ascii="Times New Roman" w:hAnsi="Times New Roman"/>
          <w:noProof/>
          <w:sz w:val="20"/>
          <w:szCs w:val="20"/>
          <w:shd w:val="clear" w:color="auto" w:fill="FFFFFF"/>
        </w:rPr>
        <w:t>using</w:t>
      </w:r>
      <w:r w:rsidR="00BB5D05" w:rsidRPr="00BB5D05">
        <w:rPr>
          <w:rFonts w:ascii="Times New Roman" w:hAnsi="Times New Roman"/>
          <w:noProof/>
          <w:sz w:val="20"/>
          <w:szCs w:val="20"/>
          <w:shd w:val="clear" w:color="auto" w:fill="FFFFFF"/>
        </w:rPr>
        <w:t xml:space="preserve"> </w:t>
      </w:r>
      <w:r w:rsidRPr="00BB5D05">
        <w:rPr>
          <w:rFonts w:ascii="Times New Roman" w:hAnsi="Times New Roman"/>
          <w:noProof/>
          <w:sz w:val="20"/>
          <w:szCs w:val="20"/>
          <w:shd w:val="clear" w:color="auto" w:fill="FFFFFF"/>
        </w:rPr>
        <w:t>COSMO-RS. </w:t>
      </w:r>
      <w:r w:rsidRPr="00BB5D05">
        <w:rPr>
          <w:rFonts w:ascii="Times New Roman" w:hAnsi="Times New Roman"/>
          <w:i/>
          <w:iCs/>
          <w:noProof/>
          <w:sz w:val="20"/>
          <w:szCs w:val="20"/>
          <w:shd w:val="clear" w:color="auto" w:fill="FFFFFF"/>
        </w:rPr>
        <w:t>Molecules</w:t>
      </w:r>
      <w:r w:rsidRPr="00BB5D05">
        <w:rPr>
          <w:rFonts w:ascii="Times New Roman" w:hAnsi="Times New Roman"/>
          <w:noProof/>
          <w:sz w:val="20"/>
          <w:szCs w:val="20"/>
          <w:shd w:val="clear" w:color="auto" w:fill="FFFFFF"/>
        </w:rPr>
        <w:t>, 24(12): 2209.</w:t>
      </w:r>
    </w:p>
    <w:p w14:paraId="06713A57" w14:textId="7742D606"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shd w:val="clear" w:color="auto" w:fill="FFFFFF"/>
        </w:rPr>
        <w:t>Dolan, D. A., Sherman, D. A., Atkin, R., and Warr, G. G. (2016). Kamlet–taft solvation parameters of solvate ionic liquids. </w:t>
      </w:r>
      <w:r w:rsidRPr="00BB5D05">
        <w:rPr>
          <w:rFonts w:ascii="Times New Roman" w:hAnsi="Times New Roman"/>
          <w:i/>
          <w:iCs/>
          <w:noProof/>
          <w:sz w:val="20"/>
          <w:szCs w:val="20"/>
          <w:shd w:val="clear" w:color="auto" w:fill="FFFFFF"/>
        </w:rPr>
        <w:t>ChemPhysChem</w:t>
      </w:r>
      <w:r w:rsidRPr="00BB5D05">
        <w:rPr>
          <w:rFonts w:ascii="Times New Roman" w:hAnsi="Times New Roman"/>
          <w:noProof/>
          <w:sz w:val="20"/>
          <w:szCs w:val="20"/>
          <w:shd w:val="clear" w:color="auto" w:fill="FFFFFF"/>
        </w:rPr>
        <w:t>, 17(19): 3096-3101.</w:t>
      </w:r>
    </w:p>
    <w:p w14:paraId="40D7C8A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Marcus, Y. (1998). The properties of solvents. John Wiley &amp; Sons, England: pp. 256</w:t>
      </w:r>
    </w:p>
    <w:p w14:paraId="3138F56D"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Marcus, Y. (1993). The properties of organic liquids that are relevant to their use as solvating solvents. </w:t>
      </w:r>
      <w:r w:rsidRPr="00BB5D05">
        <w:rPr>
          <w:rFonts w:ascii="Times New Roman" w:hAnsi="Times New Roman"/>
          <w:i/>
          <w:iCs/>
          <w:noProof/>
          <w:sz w:val="20"/>
          <w:szCs w:val="20"/>
        </w:rPr>
        <w:t>Chemical Society Reviews</w:t>
      </w:r>
      <w:r w:rsidRPr="00BB5D05">
        <w:rPr>
          <w:rFonts w:ascii="Times New Roman" w:hAnsi="Times New Roman"/>
          <w:noProof/>
          <w:sz w:val="20"/>
          <w:szCs w:val="20"/>
        </w:rPr>
        <w:t>, 22(6): 409-416.</w:t>
      </w:r>
    </w:p>
    <w:p w14:paraId="712C12C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Alder, C. M., Hayler, J. D., Henderson, R. K., Redman, A. M., Shukla, L., Shuster, L. E. and Sneddon, H. F. (2016). Updating and further expanding GSK's solvent sustainability guide. </w:t>
      </w:r>
      <w:r w:rsidRPr="00BB5D05">
        <w:rPr>
          <w:rFonts w:ascii="Times New Roman" w:hAnsi="Times New Roman"/>
          <w:i/>
          <w:iCs/>
          <w:noProof/>
          <w:sz w:val="20"/>
          <w:szCs w:val="20"/>
        </w:rPr>
        <w:t>Green Chemistry</w:t>
      </w:r>
      <w:r w:rsidRPr="00BB5D05">
        <w:rPr>
          <w:rFonts w:ascii="Times New Roman" w:hAnsi="Times New Roman"/>
          <w:noProof/>
          <w:sz w:val="20"/>
          <w:szCs w:val="20"/>
        </w:rPr>
        <w:t>, 18 (13): 3879-3890.</w:t>
      </w:r>
    </w:p>
    <w:p w14:paraId="42D8BD93" w14:textId="77777777" w:rsidR="00CB11A3" w:rsidRPr="00BB5D05" w:rsidRDefault="00CB11A3" w:rsidP="00BB5D05">
      <w:pPr>
        <w:pStyle w:val="ListParagraph"/>
        <w:numPr>
          <w:ilvl w:val="0"/>
          <w:numId w:val="3"/>
        </w:numPr>
        <w:spacing w:after="0"/>
        <w:ind w:left="360" w:hanging="446"/>
        <w:contextualSpacing w:val="0"/>
        <w:jc w:val="both"/>
        <w:rPr>
          <w:rFonts w:ascii="Times New Roman" w:hAnsi="Times New Roman"/>
          <w:noProof/>
          <w:sz w:val="20"/>
          <w:szCs w:val="20"/>
        </w:rPr>
      </w:pPr>
      <w:r w:rsidRPr="00BB5D05">
        <w:rPr>
          <w:rFonts w:ascii="Times New Roman" w:hAnsi="Times New Roman"/>
          <w:noProof/>
          <w:sz w:val="20"/>
          <w:szCs w:val="20"/>
        </w:rPr>
        <w:t xml:space="preserve">Hellsten, S., Qu, H. and Louhi‐Kultanen, M. (2011). Screening of binary solvent mixtures and solvate formation of indomethacin. </w:t>
      </w:r>
      <w:r w:rsidRPr="00BB5D05">
        <w:rPr>
          <w:rFonts w:ascii="Times New Roman" w:hAnsi="Times New Roman"/>
          <w:i/>
          <w:iCs/>
          <w:noProof/>
          <w:sz w:val="20"/>
          <w:szCs w:val="20"/>
        </w:rPr>
        <w:t>Chemical Engineering &amp; Technology</w:t>
      </w:r>
      <w:r w:rsidRPr="00BB5D05">
        <w:rPr>
          <w:rFonts w:ascii="Times New Roman" w:hAnsi="Times New Roman"/>
          <w:noProof/>
          <w:sz w:val="20"/>
          <w:szCs w:val="20"/>
        </w:rPr>
        <w:t>, 34(10): 1667-1674.</w:t>
      </w:r>
    </w:p>
    <w:p w14:paraId="2CFC3F19" w14:textId="77777777" w:rsidR="00CB11A3" w:rsidRPr="00F447A7" w:rsidRDefault="00CB11A3" w:rsidP="00976876">
      <w:pPr>
        <w:spacing w:after="0"/>
        <w:jc w:val="both"/>
        <w:rPr>
          <w:rFonts w:ascii="Times New Roman" w:hAnsi="Times New Roman"/>
          <w:noProof/>
          <w:sz w:val="20"/>
          <w:szCs w:val="20"/>
          <w:lang w:bidi="ar-SA"/>
        </w:rPr>
      </w:pPr>
    </w:p>
    <w:p w14:paraId="1848494E" w14:textId="77777777" w:rsidR="00976876" w:rsidRDefault="00976876" w:rsidP="00215204">
      <w:pPr>
        <w:spacing w:after="0"/>
        <w:jc w:val="center"/>
        <w:rPr>
          <w:rFonts w:ascii="Times New Roman" w:hAnsi="Times New Roman"/>
          <w:bCs/>
          <w:noProof/>
          <w:sz w:val="20"/>
          <w:szCs w:val="20"/>
          <w:lang w:bidi="ar-SA"/>
        </w:rPr>
      </w:pPr>
    </w:p>
    <w:p w14:paraId="314A7FD8" w14:textId="77777777" w:rsidR="00883F6E" w:rsidRDefault="00883F6E" w:rsidP="00976876">
      <w:pPr>
        <w:spacing w:after="0"/>
        <w:jc w:val="center"/>
        <w:rPr>
          <w:rFonts w:ascii="Times New Roman" w:hAnsi="Times New Roman"/>
          <w:b/>
          <w:noProof/>
          <w:sz w:val="20"/>
          <w:szCs w:val="20"/>
          <w:lang w:bidi="ar-SA"/>
        </w:rPr>
        <w:sectPr w:rsidR="00883F6E" w:rsidSect="00074FCE">
          <w:footerReference w:type="even" r:id="rId33"/>
          <w:type w:val="continuous"/>
          <w:pgSz w:w="12240" w:h="15840" w:code="1"/>
          <w:pgMar w:top="1800" w:right="1469" w:bottom="1699" w:left="1440" w:header="706" w:footer="706" w:gutter="0"/>
          <w:pgNumType w:start="1"/>
          <w:cols w:num="2" w:space="403"/>
          <w:docGrid w:linePitch="360"/>
        </w:sectPr>
      </w:pPr>
    </w:p>
    <w:p w14:paraId="15C81AEB" w14:textId="4B01BDED" w:rsidR="00337D7D" w:rsidRPr="00B1415F" w:rsidRDefault="00337D7D" w:rsidP="00337D7D">
      <w:pPr>
        <w:spacing w:after="0" w:line="240" w:lineRule="auto"/>
        <w:jc w:val="both"/>
        <w:rPr>
          <w:rFonts w:ascii="Times New Roman" w:hAnsi="Times New Roman"/>
          <w:noProof/>
          <w:sz w:val="20"/>
          <w:szCs w:val="20"/>
          <w:lang w:bidi="ar-SA"/>
        </w:rPr>
        <w:sectPr w:rsidR="00337D7D" w:rsidRPr="00B1415F" w:rsidSect="00883F6E">
          <w:type w:val="continuous"/>
          <w:pgSz w:w="12240" w:h="15840" w:code="1"/>
          <w:pgMar w:top="1800" w:right="1469" w:bottom="1699" w:left="1440" w:header="706" w:footer="706" w:gutter="0"/>
          <w:pgNumType w:start="1"/>
          <w:cols w:space="403"/>
          <w:docGrid w:linePitch="360"/>
        </w:sectPr>
      </w:pPr>
    </w:p>
    <w:p w14:paraId="6C1449F5" w14:textId="77777777" w:rsidR="00337D7D" w:rsidRDefault="00337D7D" w:rsidP="00B42AB3">
      <w:pPr>
        <w:spacing w:after="0" w:line="240" w:lineRule="auto"/>
        <w:jc w:val="both"/>
        <w:rPr>
          <w:rFonts w:ascii="Times New Roman" w:hAnsi="Times New Roman"/>
          <w:noProof/>
          <w:sz w:val="20"/>
          <w:szCs w:val="20"/>
          <w:lang w:bidi="ar-SA"/>
        </w:rPr>
        <w:sectPr w:rsidR="00337D7D" w:rsidSect="00B42AB3">
          <w:headerReference w:type="even" r:id="rId34"/>
          <w:headerReference w:type="default" r:id="rId35"/>
          <w:footerReference w:type="even" r:id="rId36"/>
          <w:headerReference w:type="first" r:id="rId37"/>
          <w:type w:val="continuous"/>
          <w:pgSz w:w="12240" w:h="15840" w:code="1"/>
          <w:pgMar w:top="1800" w:right="1469" w:bottom="1699" w:left="1440" w:header="706" w:footer="706" w:gutter="0"/>
          <w:pgNumType w:start="8"/>
          <w:cols w:space="403"/>
          <w:docGrid w:linePitch="360"/>
        </w:sectPr>
      </w:pPr>
    </w:p>
    <w:p w14:paraId="7753D2C2" w14:textId="6BB26C11" w:rsidR="00337D7D" w:rsidRPr="00B1415F" w:rsidRDefault="00337D7D" w:rsidP="00337D7D">
      <w:pPr>
        <w:spacing w:after="0" w:line="240" w:lineRule="auto"/>
        <w:jc w:val="both"/>
        <w:rPr>
          <w:rFonts w:ascii="Times New Roman" w:hAnsi="Times New Roman"/>
          <w:noProof/>
          <w:sz w:val="20"/>
          <w:szCs w:val="20"/>
          <w:lang w:bidi="ar-SA"/>
        </w:rPr>
        <w:sectPr w:rsidR="00337D7D" w:rsidRPr="00B1415F" w:rsidSect="00B42AB3">
          <w:type w:val="continuous"/>
          <w:pgSz w:w="12240" w:h="15840" w:code="1"/>
          <w:pgMar w:top="1800" w:right="1469" w:bottom="1699" w:left="1440" w:header="706" w:footer="706" w:gutter="0"/>
          <w:pgNumType w:start="1"/>
          <w:cols w:space="403"/>
          <w:docGrid w:linePitch="360"/>
        </w:sectPr>
      </w:pPr>
    </w:p>
    <w:p w14:paraId="18FA9E68" w14:textId="77777777" w:rsidR="00337D7D" w:rsidRPr="00C80638" w:rsidRDefault="00337D7D">
      <w:pPr>
        <w:spacing w:after="0" w:line="240" w:lineRule="auto"/>
        <w:jc w:val="both"/>
        <w:rPr>
          <w:rFonts w:ascii="Times New Roman" w:hAnsi="Times New Roman"/>
          <w:noProof/>
          <w:sz w:val="20"/>
          <w:szCs w:val="20"/>
          <w:lang w:bidi="ar-SA"/>
        </w:rPr>
      </w:pPr>
    </w:p>
    <w:p w14:paraId="751348E2" w14:textId="77777777" w:rsidR="00BB5D05" w:rsidRPr="00C80638" w:rsidRDefault="00BB5D05">
      <w:pPr>
        <w:spacing w:after="0" w:line="240" w:lineRule="auto"/>
        <w:jc w:val="both"/>
        <w:rPr>
          <w:rFonts w:ascii="Times New Roman" w:hAnsi="Times New Roman"/>
          <w:noProof/>
          <w:sz w:val="20"/>
          <w:szCs w:val="20"/>
          <w:lang w:bidi="ar-SA"/>
        </w:rPr>
      </w:pPr>
    </w:p>
    <w:sectPr w:rsidR="00BB5D05" w:rsidRPr="00C80638" w:rsidSect="00F168B9">
      <w:headerReference w:type="even" r:id="rId38"/>
      <w:headerReference w:type="default" r:id="rId39"/>
      <w:footerReference w:type="even" r:id="rId40"/>
      <w:headerReference w:type="first" r:id="rId41"/>
      <w:type w:val="continuous"/>
      <w:pgSz w:w="12240" w:h="15840" w:code="1"/>
      <w:pgMar w:top="1800" w:right="1469" w:bottom="1699" w:left="1440" w:header="706" w:footer="706" w:gutter="0"/>
      <w:pgNumType w:start="8"/>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D2176" w14:textId="77777777" w:rsidR="00C95C2D" w:rsidRDefault="00C95C2D" w:rsidP="00FB4C59">
      <w:pPr>
        <w:spacing w:after="0" w:line="240" w:lineRule="auto"/>
      </w:pPr>
      <w:r>
        <w:separator/>
      </w:r>
    </w:p>
  </w:endnote>
  <w:endnote w:type="continuationSeparator" w:id="0">
    <w:p w14:paraId="0B0D48D3" w14:textId="77777777" w:rsidR="00C95C2D" w:rsidRDefault="00C95C2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EF48" w14:textId="3A5C6E18" w:rsidR="00FF1FF3" w:rsidRPr="00452E0B" w:rsidRDefault="00C248F5">
    <w:pPr>
      <w:pStyle w:val="Footer"/>
      <w:rPr>
        <w:lang w:val="en-MY"/>
      </w:rPr>
    </w:pPr>
    <w:r>
      <w:rPr>
        <w:lang w:val="en-MY"/>
      </w:rPr>
      <w:t>40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005499"/>
      <w:docPartObj>
        <w:docPartGallery w:val="Page Numbers (Bottom of Page)"/>
        <w:docPartUnique/>
      </w:docPartObj>
    </w:sdtPr>
    <w:sdtEndPr>
      <w:rPr>
        <w:noProof/>
      </w:rPr>
    </w:sdtEndPr>
    <w:sdtContent>
      <w:p w14:paraId="7246ECA4" w14:textId="77777777" w:rsidR="00337D7D" w:rsidRDefault="00337D7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02556"/>
      <w:docPartObj>
        <w:docPartGallery w:val="Page Numbers (Bottom of Page)"/>
        <w:docPartUnique/>
      </w:docPartObj>
    </w:sdtPr>
    <w:sdtEndPr>
      <w:rPr>
        <w:noProof/>
      </w:rPr>
    </w:sdtEndPr>
    <w:sdtContent>
      <w:p w14:paraId="3853D596" w14:textId="3B04F762" w:rsidR="00F168B9" w:rsidRDefault="00F168B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54309E1"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248F5">
      <w:rPr>
        <w:rFonts w:ascii="Times New Roman" w:hAnsi="Times New Roman"/>
        <w:lang w:val="en-US"/>
      </w:rPr>
      <w:t>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78758"/>
      <w:docPartObj>
        <w:docPartGallery w:val="Page Numbers (Bottom of Page)"/>
        <w:docPartUnique/>
      </w:docPartObj>
    </w:sdtPr>
    <w:sdtEndPr>
      <w:rPr>
        <w:noProof/>
      </w:rPr>
    </w:sdtEndPr>
    <w:sdtContent>
      <w:p w14:paraId="1B68B031" w14:textId="1A4C94BC" w:rsidR="008A3758" w:rsidRPr="007D4BAB" w:rsidRDefault="00C248F5" w:rsidP="008A3758">
        <w:pPr>
          <w:pStyle w:val="Footer"/>
          <w:jc w:val="right"/>
        </w:pPr>
        <w:r>
          <w:rPr>
            <w:lang w:val="en-MY"/>
          </w:rPr>
          <w:t>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154659"/>
      <w:docPartObj>
        <w:docPartGallery w:val="Page Numbers (Bottom of Page)"/>
        <w:docPartUnique/>
      </w:docPartObj>
    </w:sdtPr>
    <w:sdtEndPr>
      <w:rPr>
        <w:noProof/>
      </w:rPr>
    </w:sdtEndPr>
    <w:sdtContent>
      <w:p w14:paraId="187E97FA" w14:textId="3ED85E3F" w:rsidR="008A3758" w:rsidRDefault="008A3758">
        <w:pPr>
          <w:pStyle w:val="Footer"/>
        </w:pPr>
        <w:r>
          <w:fldChar w:fldCharType="begin"/>
        </w:r>
        <w:r>
          <w:instrText xml:space="preserve"> PAGE   \* MERGEFORMAT </w:instrText>
        </w:r>
        <w:r>
          <w:fldChar w:fldCharType="separate"/>
        </w:r>
        <w:r>
          <w:rPr>
            <w:noProof/>
          </w:rPr>
          <w:t>2</w:t>
        </w:r>
        <w:r>
          <w:rPr>
            <w:noProof/>
          </w:rPr>
          <w:fldChar w:fldCharType="end"/>
        </w:r>
        <w:r w:rsidR="00C248F5">
          <w:rPr>
            <w:noProof/>
            <w:lang w:val="en-MY"/>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923594"/>
      <w:docPartObj>
        <w:docPartGallery w:val="Page Numbers (Bottom of Page)"/>
        <w:docPartUnique/>
      </w:docPartObj>
    </w:sdtPr>
    <w:sdtEndPr>
      <w:rPr>
        <w:noProof/>
      </w:rPr>
    </w:sdtEndPr>
    <w:sdtContent>
      <w:p w14:paraId="7D118272" w14:textId="1F8DB433" w:rsidR="00452E0B" w:rsidRPr="007D4BAB" w:rsidRDefault="00C248F5" w:rsidP="008A3758">
        <w:pPr>
          <w:pStyle w:val="Footer"/>
          <w:jc w:val="right"/>
        </w:pPr>
        <w:r>
          <w:rPr>
            <w:lang w:val="en-MY"/>
          </w:rPr>
          <w:t>43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89783"/>
      <w:docPartObj>
        <w:docPartGallery w:val="Page Numbers (Bottom of Page)"/>
        <w:docPartUnique/>
      </w:docPartObj>
    </w:sdtPr>
    <w:sdtEndPr>
      <w:rPr>
        <w:noProof/>
      </w:rPr>
    </w:sdtEndPr>
    <w:sdtContent>
      <w:p w14:paraId="23493D57" w14:textId="010975BC" w:rsidR="008A3758" w:rsidRDefault="00F168B9" w:rsidP="00F16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893497"/>
      <w:docPartObj>
        <w:docPartGallery w:val="Page Numbers (Bottom of Page)"/>
        <w:docPartUnique/>
      </w:docPartObj>
    </w:sdtPr>
    <w:sdtEndPr>
      <w:rPr>
        <w:noProof/>
      </w:rPr>
    </w:sdtEndPr>
    <w:sdtContent>
      <w:p w14:paraId="62F23D94" w14:textId="1A0343AE" w:rsidR="008A3758" w:rsidRDefault="004E35B5">
        <w:pPr>
          <w:pStyle w:val="Footer"/>
        </w:pPr>
        <w:r>
          <w:rPr>
            <w:lang w:val="en-MY"/>
          </w:rPr>
          <w:t>44</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735705"/>
      <w:docPartObj>
        <w:docPartGallery w:val="Page Numbers (Bottom of Page)"/>
        <w:docPartUnique/>
      </w:docPartObj>
    </w:sdtPr>
    <w:sdtEndPr>
      <w:rPr>
        <w:noProof/>
      </w:rPr>
    </w:sdtEndPr>
    <w:sdtContent>
      <w:p w14:paraId="16FFBC8F" w14:textId="34A326AC" w:rsidR="00452E0B" w:rsidRDefault="004E35B5" w:rsidP="00F168B9">
        <w:pPr>
          <w:pStyle w:val="Footer"/>
          <w:jc w:val="right"/>
        </w:pPr>
        <w:r>
          <w:rPr>
            <w:lang w:val="en-MY"/>
          </w:rPr>
          <w:t>45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908397"/>
      <w:docPartObj>
        <w:docPartGallery w:val="Page Numbers (Bottom of Page)"/>
        <w:docPartUnique/>
      </w:docPartObj>
    </w:sdtPr>
    <w:sdtEndPr>
      <w:rPr>
        <w:noProof/>
      </w:rPr>
    </w:sdtEndPr>
    <w:sdtContent>
      <w:p w14:paraId="6B97FB36" w14:textId="67F14B81" w:rsidR="00452E0B" w:rsidRDefault="004E35B5">
        <w:pPr>
          <w:pStyle w:val="Footer"/>
        </w:pPr>
        <w:r>
          <w:rPr>
            <w:lang w:val="en-MY"/>
          </w:rPr>
          <w:t>46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153A" w14:textId="77777777" w:rsidR="00C95C2D" w:rsidRDefault="00C95C2D" w:rsidP="00FB4C59">
      <w:pPr>
        <w:spacing w:after="0" w:line="240" w:lineRule="auto"/>
      </w:pPr>
      <w:r>
        <w:separator/>
      </w:r>
    </w:p>
  </w:footnote>
  <w:footnote w:type="continuationSeparator" w:id="0">
    <w:p w14:paraId="4B9B9D7A" w14:textId="77777777" w:rsidR="00C95C2D" w:rsidRDefault="00C95C2D"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3FD0D73" w:rsidR="002B3BD8" w:rsidRPr="006B72B0" w:rsidRDefault="00B32171" w:rsidP="00B32171">
    <w:pPr>
      <w:pStyle w:val="Header"/>
      <w:ind w:left="1080" w:hanging="1080"/>
      <w:rPr>
        <w:rFonts w:ascii="Times New Roman" w:hAnsi="Times New Roman"/>
        <w:lang w:val="en-US"/>
      </w:rPr>
    </w:pPr>
    <w:r>
      <w:rPr>
        <w:rFonts w:ascii="Times New Roman" w:hAnsi="Times New Roman"/>
        <w:lang w:val="en-US"/>
      </w:rPr>
      <w:t>Islam</w:t>
    </w:r>
    <w:r w:rsidR="00074FCE">
      <w:rPr>
        <w:rFonts w:ascii="Times New Roman" w:hAnsi="Times New Roman"/>
        <w:lang w:val="en-US"/>
      </w:rPr>
      <w:t xml:space="preserve"> et al.</w:t>
    </w:r>
    <w:r w:rsidR="006B72B0" w:rsidRPr="006B72B0">
      <w:rPr>
        <w:rFonts w:ascii="Times New Roman" w:hAnsi="Times New Roman"/>
        <w:lang w:val="en-US"/>
      </w:rPr>
      <w:t xml:space="preserve">: </w:t>
    </w:r>
    <w:r w:rsidR="009B0F4A">
      <w:rPr>
        <w:rFonts w:ascii="Times New Roman" w:hAnsi="Times New Roman"/>
        <w:lang w:val="en-US"/>
      </w:rPr>
      <w:t xml:space="preserve"> </w:t>
    </w:r>
    <w:r>
      <w:rPr>
        <w:rFonts w:ascii="Times New Roman" w:hAnsi="Times New Roman"/>
        <w:lang w:val="en-US"/>
      </w:rPr>
      <w:t xml:space="preserve"> </w:t>
    </w:r>
    <w:r w:rsidR="00074FCE" w:rsidRPr="00074FCE">
      <w:rPr>
        <w:rFonts w:ascii="Times New Roman" w:hAnsi="Times New Roman"/>
        <w:lang w:val="en-US"/>
      </w:rPr>
      <w:t>MEASUREMENT OF SOLVENT PROPERTIES USING KAMLET-TAFT APPROACH FOR APPLICATION IN SYNTHESIS</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A43C" w14:textId="44A408C2" w:rsidR="00FF1FF3" w:rsidRDefault="00FF1F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6A176" w14:textId="3A720B49" w:rsidR="00FF1FF3" w:rsidRDefault="00FF1F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7D7F" w14:textId="2A1F0CD0" w:rsidR="00FF1FF3" w:rsidRDefault="00FF1FF3" w:rsidP="00FF1FF3">
    <w:pPr>
      <w:pStyle w:val="Header"/>
      <w:ind w:left="1080" w:hanging="1080"/>
    </w:pPr>
    <w:r>
      <w:rPr>
        <w:rFonts w:ascii="Times New Roman" w:hAnsi="Times New Roman"/>
        <w:lang w:val="en-US"/>
      </w:rPr>
      <w:t>Islam et al.</w:t>
    </w:r>
    <w:r w:rsidRPr="006B72B0">
      <w:rPr>
        <w:rFonts w:ascii="Times New Roman" w:hAnsi="Times New Roman"/>
        <w:lang w:val="en-US"/>
      </w:rPr>
      <w:t xml:space="preserve">: </w:t>
    </w:r>
    <w:r>
      <w:rPr>
        <w:rFonts w:ascii="Times New Roman" w:hAnsi="Times New Roman"/>
        <w:lang w:val="en-US"/>
      </w:rPr>
      <w:t xml:space="preserve">  </w:t>
    </w:r>
    <w:r w:rsidRPr="00074FCE">
      <w:rPr>
        <w:rFonts w:ascii="Times New Roman" w:hAnsi="Times New Roman"/>
        <w:lang w:val="en-US"/>
      </w:rPr>
      <w:t>MEASUREMENT OF SOLVENT PROPERTIES USING KAMLET-TAFT APPROACH FOR APPLICATION IN SYNTHESIS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9D0A" w14:textId="2F49692A" w:rsidR="00FF1FF3" w:rsidRDefault="00FF1FF3" w:rsidP="00FF1FF3">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4E35B5">
      <w:rPr>
        <w:rFonts w:ascii="Times New Roman" w:hAnsi="Times New Roman"/>
        <w:i/>
        <w:lang w:val="en-US"/>
      </w:rPr>
      <w:t>39</w:t>
    </w:r>
    <w:r>
      <w:rPr>
        <w:rFonts w:ascii="Times New Roman" w:hAnsi="Times New Roman"/>
        <w:i/>
        <w:lang w:val="en-US"/>
      </w:rPr>
      <w:t xml:space="preserve"> - </w:t>
    </w:r>
    <w:r w:rsidR="004E35B5">
      <w:rPr>
        <w:rFonts w:ascii="Times New Roman" w:hAnsi="Times New Roman"/>
        <w:i/>
        <w:lang w:val="en-US"/>
      </w:rPr>
      <w:t>46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B478" w14:textId="63F0DB6F" w:rsidR="00FF1FF3" w:rsidRDefault="00FF1F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2C8C" w14:textId="5DAE27E1" w:rsidR="00FF1FF3" w:rsidRDefault="00FF1F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71D4" w14:textId="7D3CD440" w:rsidR="00FF1FF3" w:rsidRDefault="00FF1F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7A0" w14:textId="73D56C71" w:rsidR="00FF1FF3" w:rsidRDefault="00FF1F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7DAF" w14:textId="371496AD" w:rsidR="00FF1FF3" w:rsidRDefault="00FF1F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5F93" w14:textId="2BE54A4F" w:rsidR="00FF1FF3" w:rsidRDefault="00FF1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016B99D"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C4098F">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C4098F">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845F4F">
      <w:rPr>
        <w:rFonts w:ascii="Times New Roman" w:hAnsi="Times New Roman"/>
        <w:i/>
        <w:lang w:val="en-MY"/>
      </w:rPr>
      <w:t>2</w:t>
    </w:r>
    <w:r w:rsidRPr="00D75B35">
      <w:rPr>
        <w:rFonts w:ascii="Times New Roman" w:hAnsi="Times New Roman"/>
        <w:i/>
      </w:rPr>
      <w:t xml:space="preserve">): </w:t>
    </w:r>
    <w:r w:rsidR="00C248F5">
      <w:rPr>
        <w:rFonts w:ascii="Times New Roman" w:hAnsi="Times New Roman"/>
        <w:i/>
        <w:lang w:val="en-US"/>
      </w:rPr>
      <w:t>39</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4E35B5">
      <w:rPr>
        <w:rFonts w:ascii="Times New Roman" w:hAnsi="Times New Roman"/>
        <w:i/>
        <w:lang w:val="en-US"/>
      </w:rPr>
      <w:t>46</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3F51" w14:textId="21A7A293" w:rsidR="00FF1FF3" w:rsidRDefault="00FF1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8DB5" w14:textId="6F44B1F7" w:rsidR="00FF1FF3" w:rsidRDefault="00FF1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6BC2" w14:textId="37FDF69C" w:rsidR="00FF1FF3" w:rsidRDefault="00FF1FF3" w:rsidP="00FF1FF3">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C248F5">
      <w:rPr>
        <w:rFonts w:ascii="Times New Roman" w:hAnsi="Times New Roman"/>
        <w:i/>
        <w:lang w:val="en-US"/>
      </w:rPr>
      <w:t>39</w:t>
    </w:r>
    <w:r>
      <w:rPr>
        <w:rFonts w:ascii="Times New Roman" w:hAnsi="Times New Roman"/>
        <w:i/>
        <w:lang w:val="en-US"/>
      </w:rPr>
      <w:t xml:space="preserve"> - </w:t>
    </w:r>
    <w:r w:rsidR="004E35B5">
      <w:rPr>
        <w:rFonts w:ascii="Times New Roman" w:hAnsi="Times New Roman"/>
        <w:i/>
        <w:lang w:val="en-US"/>
      </w:rPr>
      <w:t>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DCE9" w14:textId="623D9331" w:rsidR="00FF1FF3" w:rsidRDefault="00FF1F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8D4D" w14:textId="73B23B56" w:rsidR="00FF1FF3" w:rsidRDefault="00FF1FF3" w:rsidP="00FF1FF3">
    <w:pPr>
      <w:pStyle w:val="Header"/>
      <w:ind w:left="1080" w:hanging="1080"/>
    </w:pPr>
    <w:r>
      <w:rPr>
        <w:rFonts w:ascii="Times New Roman" w:hAnsi="Times New Roman"/>
        <w:lang w:val="en-US"/>
      </w:rPr>
      <w:t>Islam et al.</w:t>
    </w:r>
    <w:r w:rsidRPr="006B72B0">
      <w:rPr>
        <w:rFonts w:ascii="Times New Roman" w:hAnsi="Times New Roman"/>
        <w:lang w:val="en-US"/>
      </w:rPr>
      <w:t xml:space="preserve">: </w:t>
    </w:r>
    <w:r>
      <w:rPr>
        <w:rFonts w:ascii="Times New Roman" w:hAnsi="Times New Roman"/>
        <w:lang w:val="en-US"/>
      </w:rPr>
      <w:t xml:space="preserve">  </w:t>
    </w:r>
    <w:r w:rsidRPr="00074FCE">
      <w:rPr>
        <w:rFonts w:ascii="Times New Roman" w:hAnsi="Times New Roman"/>
        <w:lang w:val="en-US"/>
      </w:rPr>
      <w:t>MEASUREMENT OF SOLVENT PROPERTIES USING KAMLET-TAFT APPROACH FOR APPLICATION IN SYNTHESIS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AC21" w14:textId="0C5DA215" w:rsidR="00FF1FF3" w:rsidRPr="00FF1FF3" w:rsidRDefault="00FF1FF3" w:rsidP="00FF1FF3">
    <w:pPr>
      <w:pStyle w:val="Header"/>
      <w:jc w:val="right"/>
      <w:rPr>
        <w:lang w:val="en-MY"/>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C248F5">
      <w:rPr>
        <w:rFonts w:ascii="Times New Roman" w:hAnsi="Times New Roman"/>
        <w:i/>
        <w:lang w:val="en-US"/>
      </w:rPr>
      <w:t>39</w:t>
    </w:r>
    <w:r>
      <w:rPr>
        <w:rFonts w:ascii="Times New Roman" w:hAnsi="Times New Roman"/>
        <w:i/>
        <w:lang w:val="en-US"/>
      </w:rPr>
      <w:t xml:space="preserve"> - </w:t>
    </w:r>
    <w:r w:rsidR="004E35B5">
      <w:rPr>
        <w:rFonts w:ascii="Times New Roman" w:hAnsi="Times New Roman"/>
        <w:i/>
        <w:lang w:val="en-US"/>
      </w:rPr>
      <w:t>46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4FD1" w14:textId="06B548B0" w:rsidR="00FF1FF3" w:rsidRDefault="00FF1F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FC7D" w14:textId="4427C457" w:rsidR="00FF1FF3" w:rsidRDefault="00FF1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763"/>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47705"/>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5D09C7"/>
    <w:multiLevelType w:val="hybridMultilevel"/>
    <w:tmpl w:val="B7BC2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659104F"/>
    <w:multiLevelType w:val="hybridMultilevel"/>
    <w:tmpl w:val="B7BC27EC"/>
    <w:lvl w:ilvl="0" w:tplc="80D60AD6">
      <w:start w:val="1"/>
      <w:numFmt w:val="decimal"/>
      <w:lvlText w:val="%1."/>
      <w:lvlJc w:val="left"/>
      <w:pPr>
        <w:ind w:left="720" w:hanging="360"/>
      </w:pPr>
    </w:lvl>
    <w:lvl w:ilvl="1" w:tplc="038C64B6" w:tentative="1">
      <w:start w:val="1"/>
      <w:numFmt w:val="lowerLetter"/>
      <w:lvlText w:val="%2."/>
      <w:lvlJc w:val="left"/>
      <w:pPr>
        <w:ind w:left="1440" w:hanging="360"/>
      </w:pPr>
    </w:lvl>
    <w:lvl w:ilvl="2" w:tplc="0EDA472A" w:tentative="1">
      <w:start w:val="1"/>
      <w:numFmt w:val="lowerRoman"/>
      <w:lvlText w:val="%3."/>
      <w:lvlJc w:val="right"/>
      <w:pPr>
        <w:ind w:left="2160" w:hanging="180"/>
      </w:pPr>
    </w:lvl>
    <w:lvl w:ilvl="3" w:tplc="84182CFC" w:tentative="1">
      <w:start w:val="1"/>
      <w:numFmt w:val="decimal"/>
      <w:lvlText w:val="%4."/>
      <w:lvlJc w:val="left"/>
      <w:pPr>
        <w:ind w:left="2880" w:hanging="360"/>
      </w:pPr>
    </w:lvl>
    <w:lvl w:ilvl="4" w:tplc="405ED978" w:tentative="1">
      <w:start w:val="1"/>
      <w:numFmt w:val="lowerLetter"/>
      <w:lvlText w:val="%5."/>
      <w:lvlJc w:val="left"/>
      <w:pPr>
        <w:ind w:left="3600" w:hanging="360"/>
      </w:pPr>
    </w:lvl>
    <w:lvl w:ilvl="5" w:tplc="63401DF6" w:tentative="1">
      <w:start w:val="1"/>
      <w:numFmt w:val="lowerRoman"/>
      <w:lvlText w:val="%6."/>
      <w:lvlJc w:val="right"/>
      <w:pPr>
        <w:ind w:left="4320" w:hanging="180"/>
      </w:pPr>
    </w:lvl>
    <w:lvl w:ilvl="6" w:tplc="AE2C5480" w:tentative="1">
      <w:start w:val="1"/>
      <w:numFmt w:val="decimal"/>
      <w:lvlText w:val="%7."/>
      <w:lvlJc w:val="left"/>
      <w:pPr>
        <w:ind w:left="5040" w:hanging="360"/>
      </w:pPr>
    </w:lvl>
    <w:lvl w:ilvl="7" w:tplc="4E22C3D4" w:tentative="1">
      <w:start w:val="1"/>
      <w:numFmt w:val="lowerLetter"/>
      <w:lvlText w:val="%8."/>
      <w:lvlJc w:val="left"/>
      <w:pPr>
        <w:ind w:left="5760" w:hanging="360"/>
      </w:pPr>
    </w:lvl>
    <w:lvl w:ilvl="8" w:tplc="31C6CAF0" w:tentative="1">
      <w:start w:val="1"/>
      <w:numFmt w:val="lowerRoman"/>
      <w:lvlText w:val="%9."/>
      <w:lvlJc w:val="right"/>
      <w:pPr>
        <w:ind w:left="6480" w:hanging="180"/>
      </w:p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4FCE"/>
    <w:rsid w:val="00084936"/>
    <w:rsid w:val="000C49FF"/>
    <w:rsid w:val="000D16A1"/>
    <w:rsid w:val="000D2B0C"/>
    <w:rsid w:val="000D4B54"/>
    <w:rsid w:val="000F77DA"/>
    <w:rsid w:val="001068E8"/>
    <w:rsid w:val="001106D8"/>
    <w:rsid w:val="00117BCD"/>
    <w:rsid w:val="00141D45"/>
    <w:rsid w:val="00151873"/>
    <w:rsid w:val="00152CEC"/>
    <w:rsid w:val="001A3275"/>
    <w:rsid w:val="001D035A"/>
    <w:rsid w:val="001D3855"/>
    <w:rsid w:val="001D6F2C"/>
    <w:rsid w:val="00215204"/>
    <w:rsid w:val="00223E27"/>
    <w:rsid w:val="00233177"/>
    <w:rsid w:val="0025785B"/>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37D7D"/>
    <w:rsid w:val="00352D57"/>
    <w:rsid w:val="003568DD"/>
    <w:rsid w:val="003609F3"/>
    <w:rsid w:val="00361BAF"/>
    <w:rsid w:val="00362FCE"/>
    <w:rsid w:val="00367D1F"/>
    <w:rsid w:val="003B4FC1"/>
    <w:rsid w:val="003B6019"/>
    <w:rsid w:val="003D4208"/>
    <w:rsid w:val="003D585B"/>
    <w:rsid w:val="003E7DA6"/>
    <w:rsid w:val="003F12FF"/>
    <w:rsid w:val="00452E0B"/>
    <w:rsid w:val="004760D4"/>
    <w:rsid w:val="00482180"/>
    <w:rsid w:val="00494C46"/>
    <w:rsid w:val="004B43FF"/>
    <w:rsid w:val="004C070C"/>
    <w:rsid w:val="004C7089"/>
    <w:rsid w:val="004D1C53"/>
    <w:rsid w:val="004D7E25"/>
    <w:rsid w:val="004E35B5"/>
    <w:rsid w:val="004E653F"/>
    <w:rsid w:val="004F265B"/>
    <w:rsid w:val="00502641"/>
    <w:rsid w:val="00523D53"/>
    <w:rsid w:val="005309EA"/>
    <w:rsid w:val="00535CCB"/>
    <w:rsid w:val="0054578F"/>
    <w:rsid w:val="0056630A"/>
    <w:rsid w:val="005C6768"/>
    <w:rsid w:val="005E4871"/>
    <w:rsid w:val="00601C8A"/>
    <w:rsid w:val="00617AA2"/>
    <w:rsid w:val="006257E5"/>
    <w:rsid w:val="00634C25"/>
    <w:rsid w:val="0063542E"/>
    <w:rsid w:val="00637469"/>
    <w:rsid w:val="006416AB"/>
    <w:rsid w:val="00642EA8"/>
    <w:rsid w:val="0065373D"/>
    <w:rsid w:val="00660445"/>
    <w:rsid w:val="00664F73"/>
    <w:rsid w:val="00666974"/>
    <w:rsid w:val="006768E9"/>
    <w:rsid w:val="00687982"/>
    <w:rsid w:val="006B3EC8"/>
    <w:rsid w:val="006B72B0"/>
    <w:rsid w:val="006D102F"/>
    <w:rsid w:val="006D286E"/>
    <w:rsid w:val="006D695E"/>
    <w:rsid w:val="00725A6A"/>
    <w:rsid w:val="00765313"/>
    <w:rsid w:val="007654B2"/>
    <w:rsid w:val="007677D7"/>
    <w:rsid w:val="007706A6"/>
    <w:rsid w:val="007943F3"/>
    <w:rsid w:val="007A0583"/>
    <w:rsid w:val="007A738C"/>
    <w:rsid w:val="007B1349"/>
    <w:rsid w:val="007C1A57"/>
    <w:rsid w:val="007D45AC"/>
    <w:rsid w:val="007D4BAB"/>
    <w:rsid w:val="007D517A"/>
    <w:rsid w:val="007D5367"/>
    <w:rsid w:val="007E25BD"/>
    <w:rsid w:val="00801D68"/>
    <w:rsid w:val="00802C35"/>
    <w:rsid w:val="0082181A"/>
    <w:rsid w:val="0082457A"/>
    <w:rsid w:val="00825624"/>
    <w:rsid w:val="0083587A"/>
    <w:rsid w:val="00845F4F"/>
    <w:rsid w:val="00883CC3"/>
    <w:rsid w:val="00883F6E"/>
    <w:rsid w:val="008857CC"/>
    <w:rsid w:val="008A3758"/>
    <w:rsid w:val="008B470E"/>
    <w:rsid w:val="008B5904"/>
    <w:rsid w:val="008D1880"/>
    <w:rsid w:val="008D29BF"/>
    <w:rsid w:val="008E1211"/>
    <w:rsid w:val="008E5BBF"/>
    <w:rsid w:val="008E6968"/>
    <w:rsid w:val="008F45FE"/>
    <w:rsid w:val="0091237C"/>
    <w:rsid w:val="009211AF"/>
    <w:rsid w:val="00921742"/>
    <w:rsid w:val="009357B8"/>
    <w:rsid w:val="00976876"/>
    <w:rsid w:val="009866F6"/>
    <w:rsid w:val="009B0F4A"/>
    <w:rsid w:val="009B3139"/>
    <w:rsid w:val="009C3BDC"/>
    <w:rsid w:val="009D030D"/>
    <w:rsid w:val="009E2062"/>
    <w:rsid w:val="00A049C6"/>
    <w:rsid w:val="00A12F71"/>
    <w:rsid w:val="00A14DB9"/>
    <w:rsid w:val="00A4762A"/>
    <w:rsid w:val="00A64690"/>
    <w:rsid w:val="00A74A7E"/>
    <w:rsid w:val="00A85E24"/>
    <w:rsid w:val="00AA43F9"/>
    <w:rsid w:val="00AA69F2"/>
    <w:rsid w:val="00AD1B8A"/>
    <w:rsid w:val="00AE713F"/>
    <w:rsid w:val="00AF2305"/>
    <w:rsid w:val="00AF2821"/>
    <w:rsid w:val="00AF4494"/>
    <w:rsid w:val="00B042CE"/>
    <w:rsid w:val="00B1121C"/>
    <w:rsid w:val="00B1415F"/>
    <w:rsid w:val="00B217F6"/>
    <w:rsid w:val="00B25B65"/>
    <w:rsid w:val="00B2770A"/>
    <w:rsid w:val="00B314AD"/>
    <w:rsid w:val="00B32171"/>
    <w:rsid w:val="00B42AB3"/>
    <w:rsid w:val="00B51963"/>
    <w:rsid w:val="00B57BD3"/>
    <w:rsid w:val="00B62CCF"/>
    <w:rsid w:val="00B75BF6"/>
    <w:rsid w:val="00B7735A"/>
    <w:rsid w:val="00B77392"/>
    <w:rsid w:val="00B822E7"/>
    <w:rsid w:val="00B91DE7"/>
    <w:rsid w:val="00BA1F7B"/>
    <w:rsid w:val="00BB58AF"/>
    <w:rsid w:val="00BB5D05"/>
    <w:rsid w:val="00BE6617"/>
    <w:rsid w:val="00BE7C30"/>
    <w:rsid w:val="00BF1444"/>
    <w:rsid w:val="00C055BF"/>
    <w:rsid w:val="00C056F9"/>
    <w:rsid w:val="00C2226A"/>
    <w:rsid w:val="00C23746"/>
    <w:rsid w:val="00C248F5"/>
    <w:rsid w:val="00C4098F"/>
    <w:rsid w:val="00C74D67"/>
    <w:rsid w:val="00C80638"/>
    <w:rsid w:val="00C87496"/>
    <w:rsid w:val="00C94D92"/>
    <w:rsid w:val="00C95C2D"/>
    <w:rsid w:val="00C97340"/>
    <w:rsid w:val="00CA513F"/>
    <w:rsid w:val="00CB11A3"/>
    <w:rsid w:val="00CB3AA6"/>
    <w:rsid w:val="00CC4938"/>
    <w:rsid w:val="00CE203C"/>
    <w:rsid w:val="00CE2BC6"/>
    <w:rsid w:val="00CF05FF"/>
    <w:rsid w:val="00D10C6A"/>
    <w:rsid w:val="00D257FB"/>
    <w:rsid w:val="00D340BB"/>
    <w:rsid w:val="00D34708"/>
    <w:rsid w:val="00D505D5"/>
    <w:rsid w:val="00D613A2"/>
    <w:rsid w:val="00D662D7"/>
    <w:rsid w:val="00D6781A"/>
    <w:rsid w:val="00D75B35"/>
    <w:rsid w:val="00D76E09"/>
    <w:rsid w:val="00D9736F"/>
    <w:rsid w:val="00D9792A"/>
    <w:rsid w:val="00DA48F2"/>
    <w:rsid w:val="00DD0CD5"/>
    <w:rsid w:val="00DD377F"/>
    <w:rsid w:val="00DD5CD9"/>
    <w:rsid w:val="00DD7C38"/>
    <w:rsid w:val="00DF1E96"/>
    <w:rsid w:val="00DF28EA"/>
    <w:rsid w:val="00E106F1"/>
    <w:rsid w:val="00E25547"/>
    <w:rsid w:val="00E3287E"/>
    <w:rsid w:val="00E54D12"/>
    <w:rsid w:val="00E66197"/>
    <w:rsid w:val="00E715DB"/>
    <w:rsid w:val="00EE59D4"/>
    <w:rsid w:val="00F121A0"/>
    <w:rsid w:val="00F168B9"/>
    <w:rsid w:val="00F31093"/>
    <w:rsid w:val="00F318AC"/>
    <w:rsid w:val="00F33AB1"/>
    <w:rsid w:val="00F412AF"/>
    <w:rsid w:val="00F43667"/>
    <w:rsid w:val="00F447A7"/>
    <w:rsid w:val="00F4760B"/>
    <w:rsid w:val="00F568B2"/>
    <w:rsid w:val="00F82059"/>
    <w:rsid w:val="00FB4C59"/>
    <w:rsid w:val="00FB6521"/>
    <w:rsid w:val="00FC5284"/>
    <w:rsid w:val="00FE0572"/>
    <w:rsid w:val="00FF0BE1"/>
    <w:rsid w:val="00FF1FF3"/>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character" w:styleId="UnresolvedMention">
    <w:name w:val="Unresolved Mention"/>
    <w:basedOn w:val="DefaultParagraphFont"/>
    <w:uiPriority w:val="99"/>
    <w:semiHidden/>
    <w:unhideWhenUsed/>
    <w:rsid w:val="00C8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image" Target="media/image2.png"/><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microsoft.com/office/2007/relationships/hdphoto" Target="media/hdphoto1.wdp"/><Relationship Id="rId27" Type="http://schemas.openxmlformats.org/officeDocument/2006/relationships/header" Target="header11.xml"/><Relationship Id="rId30" Type="http://schemas.openxmlformats.org/officeDocument/2006/relationships/footer" Target="footer7.xml"/><Relationship Id="rId35" Type="http://schemas.openxmlformats.org/officeDocument/2006/relationships/header" Target="header16.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9.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9</cp:revision>
  <cp:lastPrinted>2022-02-03T03:58:00Z</cp:lastPrinted>
  <dcterms:created xsi:type="dcterms:W3CDTF">2022-02-03T03:59:00Z</dcterms:created>
  <dcterms:modified xsi:type="dcterms:W3CDTF">2022-02-23T06:21:00Z</dcterms:modified>
</cp:coreProperties>
</file>