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F97EA" w14:textId="77777777" w:rsidR="0042565D" w:rsidRPr="0042565D" w:rsidRDefault="0042565D" w:rsidP="0042565D">
      <w:pPr>
        <w:spacing w:after="0"/>
        <w:jc w:val="center"/>
        <w:rPr>
          <w:rFonts w:ascii="Times New Roman" w:hAnsi="Times New Roman"/>
          <w:bCs/>
          <w:sz w:val="28"/>
          <w:szCs w:val="28"/>
          <w:lang w:val="en-GB"/>
        </w:rPr>
      </w:pPr>
      <w:r w:rsidRPr="0042565D">
        <w:rPr>
          <w:rFonts w:ascii="Times New Roman" w:hAnsi="Times New Roman"/>
          <w:bCs/>
          <w:sz w:val="28"/>
          <w:szCs w:val="28"/>
          <w:lang w:val="en-GB"/>
        </w:rPr>
        <w:t>CYTOTOXICITY EFFECT OF NATURAL AND SYNTHETIC GIRINIMBINES AND THEIR DERIVATIVES AGAINST HUMAN LUNG CANCER CELL LINES A549</w:t>
      </w:r>
    </w:p>
    <w:p w14:paraId="28A3E0D3" w14:textId="77777777" w:rsidR="0042565D" w:rsidRPr="0042565D" w:rsidRDefault="0042565D" w:rsidP="0042565D">
      <w:pPr>
        <w:spacing w:after="0"/>
        <w:jc w:val="center"/>
        <w:rPr>
          <w:rFonts w:ascii="Times New Roman" w:hAnsi="Times New Roman"/>
          <w:sz w:val="24"/>
          <w:szCs w:val="24"/>
        </w:rPr>
      </w:pPr>
    </w:p>
    <w:p w14:paraId="146801E5" w14:textId="273D42B1" w:rsidR="0042565D" w:rsidRPr="00A80862" w:rsidRDefault="0042565D" w:rsidP="00A80862">
      <w:pPr>
        <w:spacing w:after="0"/>
        <w:jc w:val="center"/>
        <w:rPr>
          <w:rFonts w:ascii="Times New Roman" w:hAnsi="Times New Roman"/>
          <w:sz w:val="24"/>
          <w:szCs w:val="24"/>
          <w:lang w:val="ms-MY"/>
        </w:rPr>
      </w:pPr>
      <w:r w:rsidRPr="0042565D">
        <w:rPr>
          <w:rFonts w:ascii="Times New Roman" w:hAnsi="Times New Roman"/>
          <w:sz w:val="24"/>
          <w:szCs w:val="24"/>
        </w:rPr>
        <w:t>(</w:t>
      </w:r>
      <w:r w:rsidRPr="0042565D">
        <w:rPr>
          <w:rFonts w:ascii="Times New Roman" w:hAnsi="Times New Roman"/>
          <w:sz w:val="24"/>
          <w:szCs w:val="24"/>
          <w:lang w:val="ms-MY"/>
        </w:rPr>
        <w:t>Kesan Sitotoksik Girinimbin Semula Jadi dan Sintetik dan Terbitannya</w:t>
      </w:r>
      <w:r w:rsidR="00A80862">
        <w:rPr>
          <w:rFonts w:ascii="Times New Roman" w:hAnsi="Times New Roman"/>
          <w:sz w:val="24"/>
          <w:szCs w:val="24"/>
          <w:lang w:val="ms-MY"/>
        </w:rPr>
        <w:t xml:space="preserve"> </w:t>
      </w:r>
      <w:r w:rsidRPr="0042565D">
        <w:rPr>
          <w:rFonts w:ascii="Times New Roman" w:hAnsi="Times New Roman"/>
          <w:sz w:val="24"/>
          <w:szCs w:val="24"/>
          <w:lang w:val="ms-MY"/>
        </w:rPr>
        <w:t>Terhadap Sel Garis Kanser Paru-Paru Manusia</w:t>
      </w:r>
      <w:r w:rsidRPr="0042565D">
        <w:rPr>
          <w:rFonts w:ascii="Times New Roman" w:hAnsi="Times New Roman"/>
          <w:sz w:val="24"/>
          <w:szCs w:val="24"/>
        </w:rPr>
        <w:t xml:space="preserve"> A549)</w:t>
      </w:r>
    </w:p>
    <w:p w14:paraId="751D69D5" w14:textId="77777777" w:rsidR="0042565D" w:rsidRPr="0042565D" w:rsidRDefault="0042565D" w:rsidP="0042565D">
      <w:pPr>
        <w:spacing w:after="0"/>
        <w:jc w:val="center"/>
        <w:rPr>
          <w:rFonts w:ascii="Times New Roman" w:hAnsi="Times New Roman"/>
          <w:sz w:val="20"/>
          <w:szCs w:val="20"/>
        </w:rPr>
      </w:pPr>
    </w:p>
    <w:p w14:paraId="047200B3" w14:textId="77777777" w:rsidR="0042565D" w:rsidRPr="0042565D" w:rsidRDefault="0042565D" w:rsidP="0042565D">
      <w:pPr>
        <w:spacing w:after="0"/>
        <w:jc w:val="center"/>
        <w:rPr>
          <w:rFonts w:ascii="Times New Roman" w:hAnsi="Times New Roman"/>
          <w:sz w:val="20"/>
          <w:szCs w:val="20"/>
          <w:vertAlign w:val="superscript"/>
          <w:lang w:val="ms-MY"/>
        </w:rPr>
      </w:pPr>
      <w:r w:rsidRPr="0042565D">
        <w:rPr>
          <w:rFonts w:ascii="Times New Roman" w:hAnsi="Times New Roman"/>
          <w:sz w:val="20"/>
          <w:szCs w:val="20"/>
          <w:lang w:val="ms-MY"/>
        </w:rPr>
        <w:t>Fatin Nurul Atiqah Osman</w:t>
      </w:r>
      <w:r w:rsidRPr="0042565D">
        <w:rPr>
          <w:rFonts w:ascii="Times New Roman" w:hAnsi="Times New Roman"/>
          <w:sz w:val="20"/>
          <w:szCs w:val="20"/>
          <w:vertAlign w:val="superscript"/>
          <w:lang w:val="ms-MY"/>
        </w:rPr>
        <w:t>1</w:t>
      </w:r>
      <w:r w:rsidRPr="0042565D">
        <w:rPr>
          <w:rFonts w:ascii="Times New Roman" w:hAnsi="Times New Roman"/>
          <w:sz w:val="20"/>
          <w:szCs w:val="20"/>
          <w:lang w:val="ms-MY"/>
        </w:rPr>
        <w:t>, Siti Mariam Mohd Nor</w:t>
      </w:r>
      <w:r w:rsidRPr="0042565D">
        <w:rPr>
          <w:rFonts w:ascii="Times New Roman" w:hAnsi="Times New Roman"/>
          <w:sz w:val="20"/>
          <w:szCs w:val="20"/>
          <w:vertAlign w:val="superscript"/>
          <w:lang w:val="ms-MY"/>
        </w:rPr>
        <w:t>1</w:t>
      </w:r>
      <w:r w:rsidRPr="0042565D">
        <w:rPr>
          <w:rFonts w:ascii="Times New Roman" w:hAnsi="Times New Roman"/>
          <w:sz w:val="20"/>
          <w:szCs w:val="20"/>
          <w:lang w:val="ms-MY"/>
        </w:rPr>
        <w:t>*, Mohd Azlan Nafiah</w:t>
      </w:r>
      <w:r w:rsidRPr="0042565D">
        <w:rPr>
          <w:rFonts w:ascii="Times New Roman" w:hAnsi="Times New Roman"/>
          <w:sz w:val="20"/>
          <w:szCs w:val="20"/>
          <w:vertAlign w:val="superscript"/>
          <w:lang w:val="ms-MY"/>
        </w:rPr>
        <w:t>2</w:t>
      </w:r>
    </w:p>
    <w:p w14:paraId="2491914B" w14:textId="77777777" w:rsidR="0042565D" w:rsidRPr="0042565D" w:rsidRDefault="0042565D" w:rsidP="0042565D">
      <w:pPr>
        <w:spacing w:after="0"/>
        <w:jc w:val="center"/>
        <w:rPr>
          <w:rFonts w:ascii="Times New Roman" w:hAnsi="Times New Roman"/>
          <w:sz w:val="18"/>
          <w:szCs w:val="18"/>
        </w:rPr>
      </w:pPr>
    </w:p>
    <w:p w14:paraId="633EF56A" w14:textId="153F821A" w:rsidR="0042565D" w:rsidRPr="0042565D" w:rsidRDefault="0042565D" w:rsidP="00A80862">
      <w:pPr>
        <w:pStyle w:val="AUTHORAFFILIATION"/>
        <w:framePr w:w="0" w:vSpace="0" w:wrap="auto" w:yAlign="inline"/>
        <w:spacing w:line="276" w:lineRule="auto"/>
        <w:jc w:val="center"/>
        <w:rPr>
          <w:rFonts w:ascii="Times New Roman" w:hAnsi="Times New Roman"/>
          <w:sz w:val="18"/>
          <w:szCs w:val="18"/>
        </w:rPr>
      </w:pPr>
      <w:r w:rsidRPr="0042565D">
        <w:rPr>
          <w:rFonts w:ascii="Times New Roman" w:hAnsi="Times New Roman"/>
          <w:sz w:val="18"/>
          <w:szCs w:val="18"/>
          <w:vertAlign w:val="superscript"/>
        </w:rPr>
        <w:t>1</w:t>
      </w:r>
      <w:r w:rsidRPr="0042565D">
        <w:rPr>
          <w:rFonts w:ascii="Times New Roman" w:hAnsi="Times New Roman"/>
          <w:sz w:val="18"/>
          <w:szCs w:val="18"/>
        </w:rPr>
        <w:t>Department of Chemistry,</w:t>
      </w:r>
      <w:r w:rsidR="00A80862">
        <w:rPr>
          <w:rFonts w:ascii="Times New Roman" w:hAnsi="Times New Roman"/>
          <w:sz w:val="18"/>
          <w:szCs w:val="18"/>
        </w:rPr>
        <w:t xml:space="preserve"> </w:t>
      </w:r>
      <w:r w:rsidRPr="0042565D">
        <w:rPr>
          <w:rFonts w:ascii="Times New Roman" w:hAnsi="Times New Roman"/>
          <w:sz w:val="18"/>
          <w:szCs w:val="18"/>
        </w:rPr>
        <w:t>Faculty of Science,</w:t>
      </w:r>
    </w:p>
    <w:p w14:paraId="0159C166" w14:textId="77777777" w:rsidR="0042565D" w:rsidRPr="0042565D" w:rsidRDefault="0042565D" w:rsidP="0042565D">
      <w:pPr>
        <w:pStyle w:val="AUTHORAFFILIATION"/>
        <w:framePr w:w="0" w:vSpace="0" w:wrap="auto" w:yAlign="inline"/>
        <w:spacing w:line="276" w:lineRule="auto"/>
        <w:jc w:val="center"/>
        <w:rPr>
          <w:rFonts w:ascii="Times New Roman" w:hAnsi="Times New Roman"/>
          <w:sz w:val="18"/>
          <w:szCs w:val="18"/>
        </w:rPr>
      </w:pPr>
      <w:r w:rsidRPr="0042565D">
        <w:rPr>
          <w:rFonts w:ascii="Times New Roman" w:hAnsi="Times New Roman"/>
          <w:sz w:val="18"/>
          <w:szCs w:val="18"/>
        </w:rPr>
        <w:t>Universiti Putra Malaysia, 43400 Serdang, Selangor, Malaysia</w:t>
      </w:r>
    </w:p>
    <w:p w14:paraId="6B5642D9" w14:textId="76E3764D" w:rsidR="0042565D" w:rsidRPr="0042565D" w:rsidRDefault="0042565D" w:rsidP="00A80862">
      <w:pPr>
        <w:pStyle w:val="AUTHORAFFILIATION"/>
        <w:framePr w:w="0" w:vSpace="0" w:wrap="auto" w:yAlign="inline"/>
        <w:spacing w:line="276" w:lineRule="auto"/>
        <w:jc w:val="center"/>
        <w:rPr>
          <w:rFonts w:ascii="Times New Roman" w:hAnsi="Times New Roman"/>
          <w:sz w:val="18"/>
          <w:szCs w:val="18"/>
        </w:rPr>
      </w:pPr>
      <w:r w:rsidRPr="0042565D">
        <w:rPr>
          <w:rFonts w:ascii="Times New Roman" w:hAnsi="Times New Roman"/>
          <w:sz w:val="18"/>
          <w:szCs w:val="18"/>
          <w:vertAlign w:val="superscript"/>
        </w:rPr>
        <w:t>2</w:t>
      </w:r>
      <w:r w:rsidRPr="0042565D">
        <w:rPr>
          <w:rFonts w:ascii="Times New Roman" w:hAnsi="Times New Roman"/>
          <w:sz w:val="18"/>
          <w:szCs w:val="18"/>
        </w:rPr>
        <w:t>Department of Chemistry,</w:t>
      </w:r>
      <w:r w:rsidR="00A80862">
        <w:rPr>
          <w:rFonts w:ascii="Times New Roman" w:hAnsi="Times New Roman"/>
          <w:sz w:val="18"/>
          <w:szCs w:val="18"/>
        </w:rPr>
        <w:t xml:space="preserve"> </w:t>
      </w:r>
      <w:r w:rsidRPr="0042565D">
        <w:rPr>
          <w:rFonts w:ascii="Times New Roman" w:hAnsi="Times New Roman"/>
          <w:sz w:val="18"/>
          <w:szCs w:val="18"/>
        </w:rPr>
        <w:t>Faculty of Science and Mathematics,</w:t>
      </w:r>
    </w:p>
    <w:p w14:paraId="6D11AD50" w14:textId="64CB3F26" w:rsidR="0042565D" w:rsidRPr="0042565D" w:rsidRDefault="0042565D" w:rsidP="00A80862">
      <w:pPr>
        <w:pStyle w:val="AUTHORAFFILIATION"/>
        <w:framePr w:w="0" w:vSpace="0" w:wrap="auto" w:yAlign="inline"/>
        <w:spacing w:line="276" w:lineRule="auto"/>
        <w:jc w:val="center"/>
        <w:rPr>
          <w:rFonts w:ascii="Times New Roman" w:hAnsi="Times New Roman"/>
          <w:sz w:val="18"/>
          <w:szCs w:val="18"/>
        </w:rPr>
      </w:pPr>
      <w:r w:rsidRPr="0042565D">
        <w:rPr>
          <w:rFonts w:ascii="Times New Roman" w:hAnsi="Times New Roman"/>
          <w:sz w:val="18"/>
          <w:szCs w:val="18"/>
        </w:rPr>
        <w:t>Universiti Pendidikan Sultan Idris,</w:t>
      </w:r>
      <w:r w:rsidR="00A80862">
        <w:rPr>
          <w:rFonts w:ascii="Times New Roman" w:hAnsi="Times New Roman"/>
          <w:sz w:val="18"/>
          <w:szCs w:val="18"/>
        </w:rPr>
        <w:t xml:space="preserve"> </w:t>
      </w:r>
      <w:r w:rsidRPr="0042565D">
        <w:rPr>
          <w:rFonts w:ascii="Times New Roman" w:hAnsi="Times New Roman"/>
          <w:sz w:val="18"/>
          <w:szCs w:val="18"/>
        </w:rPr>
        <w:t>35900 Tanjung Malim, Perak, Malaysia</w:t>
      </w:r>
    </w:p>
    <w:p w14:paraId="5A32B645" w14:textId="77777777" w:rsidR="0042565D" w:rsidRPr="0042565D" w:rsidRDefault="0042565D" w:rsidP="0042565D">
      <w:pPr>
        <w:spacing w:after="0"/>
        <w:jc w:val="center"/>
        <w:rPr>
          <w:rFonts w:ascii="Times New Roman" w:hAnsi="Times New Roman"/>
          <w:sz w:val="18"/>
          <w:szCs w:val="18"/>
        </w:rPr>
      </w:pPr>
    </w:p>
    <w:p w14:paraId="66875798" w14:textId="7C2A2CA6" w:rsidR="0042565D" w:rsidRPr="0042565D" w:rsidRDefault="0042565D" w:rsidP="0042565D">
      <w:pPr>
        <w:spacing w:after="0"/>
        <w:jc w:val="center"/>
        <w:rPr>
          <w:rFonts w:ascii="Times New Roman" w:hAnsi="Times New Roman"/>
          <w:i/>
          <w:sz w:val="18"/>
          <w:szCs w:val="18"/>
        </w:rPr>
      </w:pPr>
      <w:r w:rsidRPr="0042565D">
        <w:rPr>
          <w:rFonts w:ascii="Times New Roman" w:hAnsi="Times New Roman"/>
          <w:i/>
          <w:sz w:val="18"/>
          <w:szCs w:val="18"/>
        </w:rPr>
        <w:t>*Corresponding author:</w:t>
      </w:r>
      <w:r>
        <w:rPr>
          <w:rFonts w:ascii="Times New Roman" w:hAnsi="Times New Roman"/>
          <w:i/>
          <w:sz w:val="18"/>
          <w:szCs w:val="18"/>
        </w:rPr>
        <w:t xml:space="preserve"> </w:t>
      </w:r>
      <w:r w:rsidRPr="0042565D">
        <w:rPr>
          <w:rFonts w:ascii="Times New Roman" w:hAnsi="Times New Roman"/>
          <w:i/>
          <w:sz w:val="18"/>
          <w:szCs w:val="18"/>
        </w:rPr>
        <w:t xml:space="preserve"> smariam@upm.edu.my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1D53E74D"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A6469F">
        <w:rPr>
          <w:rFonts w:ascii="Times New Roman" w:hAnsi="Times New Roman"/>
          <w:noProof/>
          <w:sz w:val="18"/>
          <w:szCs w:val="18"/>
          <w:lang w:bidi="ar-SA"/>
        </w:rPr>
        <w:t>8 September 2021</w:t>
      </w:r>
      <w:r w:rsidRPr="00383C16">
        <w:rPr>
          <w:rFonts w:ascii="Times New Roman" w:hAnsi="Times New Roman"/>
          <w:noProof/>
          <w:sz w:val="18"/>
          <w:szCs w:val="18"/>
          <w:lang w:bidi="ar-SA"/>
        </w:rPr>
        <w:t xml:space="preserve">; Accepted: </w:t>
      </w:r>
      <w:r w:rsidR="00A6469F">
        <w:rPr>
          <w:rFonts w:ascii="Times New Roman" w:hAnsi="Times New Roman"/>
          <w:noProof/>
          <w:sz w:val="18"/>
          <w:szCs w:val="18"/>
          <w:lang w:bidi="ar-SA"/>
        </w:rPr>
        <w:t>18 November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8C1253C" w14:textId="77777777" w:rsidR="00A80862" w:rsidRPr="00C13317" w:rsidRDefault="00A80862" w:rsidP="00A80862">
      <w:pPr>
        <w:spacing w:after="0"/>
        <w:jc w:val="both"/>
        <w:rPr>
          <w:rFonts w:ascii="Times New Roman" w:hAnsi="Times New Roman"/>
          <w:sz w:val="18"/>
          <w:szCs w:val="18"/>
          <w:lang w:val="en-GB"/>
        </w:rPr>
      </w:pPr>
      <w:r w:rsidRPr="00C13317">
        <w:rPr>
          <w:rFonts w:ascii="Times New Roman" w:hAnsi="Times New Roman"/>
          <w:sz w:val="18"/>
          <w:szCs w:val="18"/>
          <w:lang w:val="en-GB"/>
        </w:rPr>
        <w:t xml:space="preserve">The present study was designed to evaluate the anticancer properties of girinimbine and its derivatives. Two different routes for the synthesis of girinimbine involving a two-step reaction or a one-pot reaction were studied. Girinimbine was synthesised through metal-catalysed heterocoupling, indole ring closure, ether formation, and Claisen cyclisation. Girinimbine derivatives were prepared by the semi-synthesis of isolated girinimbine from </w:t>
      </w:r>
      <w:r w:rsidRPr="00C13317">
        <w:rPr>
          <w:rFonts w:ascii="Times New Roman" w:hAnsi="Times New Roman"/>
          <w:i/>
          <w:sz w:val="18"/>
          <w:szCs w:val="18"/>
          <w:lang w:val="en-GB"/>
        </w:rPr>
        <w:t>Murraya koenigii</w:t>
      </w:r>
      <w:r w:rsidRPr="00C13317">
        <w:rPr>
          <w:rFonts w:ascii="Times New Roman" w:hAnsi="Times New Roman"/>
          <w:sz w:val="18"/>
          <w:szCs w:val="18"/>
          <w:lang w:val="en-GB"/>
        </w:rPr>
        <w:t xml:space="preserve"> through alkylation or acylation reactions. Natural and synthetic girinimbines, five derivatives of </w:t>
      </w:r>
      <w:r w:rsidRPr="00C13317">
        <w:rPr>
          <w:rFonts w:ascii="Times New Roman" w:hAnsi="Times New Roman"/>
          <w:i/>
          <w:sz w:val="18"/>
          <w:szCs w:val="18"/>
          <w:lang w:val="en-GB"/>
        </w:rPr>
        <w:t>N</w:t>
      </w:r>
      <w:r w:rsidRPr="00C13317">
        <w:rPr>
          <w:rFonts w:ascii="Times New Roman" w:hAnsi="Times New Roman"/>
          <w:sz w:val="18"/>
          <w:szCs w:val="18"/>
          <w:lang w:val="en-GB"/>
        </w:rPr>
        <w:t>-substituted girinimbine, and three intermediates from the synthesis of girinimbine were evaluated for cytotoxicity activity against human lung cancer (A549) and normal lung (MRC-5) cell lines. The structures of all the synthesised compounds were confirmed by spectroscopic analysis and comparison with published data. The cytotoxicity assay showed that the natural girinimbine and nitrobiphenyl intermediate exhibited high toxicity (IC</w:t>
      </w:r>
      <w:r w:rsidRPr="00C13317">
        <w:rPr>
          <w:rFonts w:ascii="Times New Roman" w:hAnsi="Times New Roman"/>
          <w:sz w:val="18"/>
          <w:szCs w:val="18"/>
          <w:vertAlign w:val="subscript"/>
          <w:lang w:val="en-GB"/>
        </w:rPr>
        <w:t>50</w:t>
      </w:r>
      <w:r w:rsidRPr="00C13317">
        <w:rPr>
          <w:rFonts w:ascii="Times New Roman" w:hAnsi="Times New Roman"/>
          <w:sz w:val="18"/>
          <w:szCs w:val="18"/>
          <w:lang w:val="en-GB"/>
        </w:rPr>
        <w:t xml:space="preserve"> 6.2 and 17.0 μg/mL, respectively), whereas other compounds displayed moderate toxicity activity (IC</w:t>
      </w:r>
      <w:r w:rsidRPr="00C13317">
        <w:rPr>
          <w:rFonts w:ascii="Times New Roman" w:hAnsi="Times New Roman"/>
          <w:sz w:val="18"/>
          <w:szCs w:val="18"/>
          <w:vertAlign w:val="subscript"/>
          <w:lang w:val="en-GB"/>
        </w:rPr>
        <w:t>50</w:t>
      </w:r>
      <w:r w:rsidRPr="00C13317">
        <w:rPr>
          <w:rFonts w:ascii="Times New Roman" w:hAnsi="Times New Roman"/>
          <w:sz w:val="18"/>
          <w:szCs w:val="18"/>
          <w:lang w:val="en-GB"/>
        </w:rPr>
        <w:t xml:space="preserve"> 24.0–40.6 μg/mL) on A549 cells. All of the compounds demonstrated selectivity to A549 cancer cell lines with the SI values ranging from 2.70 to 4.68 (SI &gt; 2), except for two </w:t>
      </w:r>
      <w:r w:rsidRPr="00C13317">
        <w:rPr>
          <w:rFonts w:ascii="Times New Roman" w:hAnsi="Times New Roman"/>
          <w:i/>
          <w:sz w:val="18"/>
          <w:szCs w:val="18"/>
          <w:lang w:val="en-GB"/>
        </w:rPr>
        <w:t>N</w:t>
      </w:r>
      <w:r w:rsidRPr="00C13317">
        <w:rPr>
          <w:rFonts w:ascii="Times New Roman" w:hAnsi="Times New Roman"/>
          <w:sz w:val="18"/>
          <w:szCs w:val="18"/>
          <w:lang w:val="en-GB"/>
        </w:rPr>
        <w:t xml:space="preserve">-alkylated girinimbines with the SI values of 0.93 and 1.70. </w:t>
      </w:r>
    </w:p>
    <w:p w14:paraId="04BE63B0" w14:textId="77777777" w:rsidR="00A80862" w:rsidRPr="00C13317" w:rsidRDefault="00A80862" w:rsidP="00A80862">
      <w:pPr>
        <w:spacing w:after="0"/>
        <w:jc w:val="both"/>
        <w:rPr>
          <w:rFonts w:ascii="Times New Roman" w:hAnsi="Times New Roman"/>
          <w:sz w:val="18"/>
          <w:szCs w:val="18"/>
          <w:lang w:val="en-GB"/>
        </w:rPr>
      </w:pPr>
      <w:r w:rsidRPr="00C13317">
        <w:rPr>
          <w:rFonts w:ascii="Times New Roman" w:hAnsi="Times New Roman"/>
          <w:sz w:val="18"/>
          <w:szCs w:val="18"/>
          <w:lang w:val="en-GB"/>
        </w:rPr>
        <w:t xml:space="preserve"> </w:t>
      </w:r>
    </w:p>
    <w:p w14:paraId="17031834" w14:textId="3EDD9938" w:rsidR="00A80862" w:rsidRPr="00C13317" w:rsidRDefault="00A80862" w:rsidP="00A80862">
      <w:pPr>
        <w:pStyle w:val="MDPI18keywords"/>
        <w:spacing w:before="0" w:line="276" w:lineRule="auto"/>
        <w:ind w:left="0"/>
        <w:rPr>
          <w:rFonts w:ascii="Times New Roman" w:hAnsi="Times New Roman"/>
          <w:color w:val="auto"/>
          <w:sz w:val="18"/>
          <w:szCs w:val="18"/>
        </w:rPr>
      </w:pPr>
      <w:r w:rsidRPr="00C13317">
        <w:rPr>
          <w:rFonts w:ascii="Times New Roman" w:hAnsi="Times New Roman"/>
          <w:b/>
          <w:color w:val="auto"/>
          <w:sz w:val="18"/>
          <w:szCs w:val="18"/>
        </w:rPr>
        <w:t xml:space="preserve">Keywords: </w:t>
      </w:r>
      <w:r>
        <w:rPr>
          <w:rFonts w:ascii="Times New Roman" w:hAnsi="Times New Roman"/>
          <w:b/>
          <w:color w:val="auto"/>
          <w:sz w:val="18"/>
          <w:szCs w:val="18"/>
        </w:rPr>
        <w:t xml:space="preserve"> </w:t>
      </w:r>
      <w:r w:rsidRPr="00C13317">
        <w:rPr>
          <w:rFonts w:ascii="Times New Roman" w:hAnsi="Times New Roman"/>
          <w:color w:val="auto"/>
          <w:sz w:val="18"/>
          <w:szCs w:val="18"/>
        </w:rPr>
        <w:t xml:space="preserve">girinimbine, derivative, </w:t>
      </w:r>
      <w:r w:rsidRPr="00C13317">
        <w:rPr>
          <w:rFonts w:ascii="Times New Roman" w:hAnsi="Times New Roman"/>
          <w:i/>
          <w:color w:val="auto"/>
          <w:sz w:val="18"/>
          <w:szCs w:val="18"/>
        </w:rPr>
        <w:t>N</w:t>
      </w:r>
      <w:r w:rsidRPr="00C13317">
        <w:rPr>
          <w:rFonts w:ascii="Times New Roman" w:hAnsi="Times New Roman"/>
          <w:color w:val="auto"/>
          <w:sz w:val="18"/>
          <w:szCs w:val="18"/>
        </w:rPr>
        <w:t xml:space="preserve">-alkylated, </w:t>
      </w:r>
      <w:r w:rsidRPr="00C13317">
        <w:rPr>
          <w:rFonts w:ascii="Times New Roman" w:hAnsi="Times New Roman"/>
          <w:i/>
          <w:color w:val="auto"/>
          <w:sz w:val="18"/>
          <w:szCs w:val="18"/>
        </w:rPr>
        <w:t>N</w:t>
      </w:r>
      <w:r w:rsidRPr="00C13317">
        <w:rPr>
          <w:rFonts w:ascii="Times New Roman" w:hAnsi="Times New Roman"/>
          <w:color w:val="auto"/>
          <w:sz w:val="18"/>
          <w:szCs w:val="18"/>
        </w:rPr>
        <w:t>-acylated, A549</w:t>
      </w:r>
    </w:p>
    <w:p w14:paraId="6CC43E62" w14:textId="77777777" w:rsidR="00A80862" w:rsidRPr="00C13317" w:rsidRDefault="00A80862" w:rsidP="00A80862">
      <w:pPr>
        <w:spacing w:after="0"/>
        <w:jc w:val="center"/>
        <w:rPr>
          <w:rFonts w:ascii="Times New Roman" w:hAnsi="Times New Roman"/>
          <w:b/>
          <w:sz w:val="18"/>
          <w:szCs w:val="18"/>
          <w:lang w:val="en-GB"/>
        </w:rPr>
      </w:pPr>
    </w:p>
    <w:p w14:paraId="3F9A17FC" w14:textId="77777777" w:rsidR="00A80862" w:rsidRPr="00C13317" w:rsidRDefault="00A80862" w:rsidP="00A80862">
      <w:pPr>
        <w:spacing w:after="0"/>
        <w:jc w:val="center"/>
        <w:rPr>
          <w:rFonts w:ascii="Times New Roman" w:hAnsi="Times New Roman"/>
          <w:sz w:val="18"/>
          <w:szCs w:val="18"/>
          <w:lang w:val="ms-MY"/>
        </w:rPr>
      </w:pPr>
      <w:r w:rsidRPr="00C13317">
        <w:rPr>
          <w:rFonts w:ascii="Times New Roman" w:hAnsi="Times New Roman"/>
          <w:b/>
          <w:sz w:val="18"/>
          <w:szCs w:val="18"/>
          <w:lang w:val="ms-MY"/>
        </w:rPr>
        <w:t>Abstrak</w:t>
      </w:r>
    </w:p>
    <w:p w14:paraId="1596E50F" w14:textId="77777777" w:rsidR="00A80862" w:rsidRPr="00C13317" w:rsidRDefault="00A80862" w:rsidP="00A80862">
      <w:pPr>
        <w:spacing w:after="0"/>
        <w:jc w:val="both"/>
        <w:rPr>
          <w:rFonts w:ascii="Times New Roman" w:hAnsi="Times New Roman"/>
          <w:noProof/>
          <w:sz w:val="18"/>
          <w:szCs w:val="18"/>
          <w:lang w:val="ms-MY"/>
        </w:rPr>
      </w:pPr>
      <w:r w:rsidRPr="00C13317">
        <w:rPr>
          <w:rFonts w:ascii="Times New Roman" w:hAnsi="Times New Roman"/>
          <w:noProof/>
          <w:sz w:val="18"/>
          <w:szCs w:val="18"/>
          <w:lang w:val="ms-MY"/>
        </w:rPr>
        <w:t xml:space="preserve">Kajian ini telah dibentuk untuk menilai sifat antikanser girinimbin dan terbitannya. Dua laluan berbeza untuk mensintesis girinimbin melibatkan tindak balas dua-langkah atau tindak balas satu-bekas telah dikaji. Sintesis girinimbin telah dicapai melalui penggandingan hetero bermangkin logam, penutupan gelang indol, pembentukan eter dan pensiklikan Claisen. Terbitan girinimbin telah disediakan melalui sintesis-semi girinimbin terpencil daripada </w:t>
      </w:r>
      <w:r w:rsidRPr="00C13317">
        <w:rPr>
          <w:rFonts w:ascii="Times New Roman" w:hAnsi="Times New Roman"/>
          <w:i/>
          <w:noProof/>
          <w:sz w:val="18"/>
          <w:szCs w:val="18"/>
          <w:lang w:val="ms-MY"/>
        </w:rPr>
        <w:t>Murraya koenigii</w:t>
      </w:r>
      <w:r w:rsidRPr="00C13317">
        <w:rPr>
          <w:rFonts w:ascii="Times New Roman" w:hAnsi="Times New Roman"/>
          <w:noProof/>
          <w:sz w:val="18"/>
          <w:szCs w:val="18"/>
          <w:lang w:val="ms-MY"/>
        </w:rPr>
        <w:t xml:space="preserve"> melalui tindak balas pengalkilan atau pengasilan. Girinimbin semula jadi dan sintetik, lima terbitan girinimbin tertukar ganti-</w:t>
      </w:r>
      <w:r w:rsidRPr="00C13317">
        <w:rPr>
          <w:rFonts w:ascii="Times New Roman" w:hAnsi="Times New Roman"/>
          <w:i/>
          <w:noProof/>
          <w:sz w:val="18"/>
          <w:szCs w:val="18"/>
          <w:lang w:val="ms-MY"/>
        </w:rPr>
        <w:t>N</w:t>
      </w:r>
      <w:r w:rsidRPr="00C13317">
        <w:rPr>
          <w:rFonts w:ascii="Times New Roman" w:hAnsi="Times New Roman"/>
          <w:noProof/>
          <w:sz w:val="18"/>
          <w:szCs w:val="18"/>
          <w:lang w:val="ms-MY"/>
        </w:rPr>
        <w:t xml:space="preserve"> dan tiga bahan perantara daripada kerja sintesis telah dinilai untuk aktiviti sitotoksik terhadap sel garis kanser paru-paru manusia (A459) dan paru-paru normal (MRC-5). Kesemua struktur sebatian yang disintesis telah disahkan melalui analisis spektroskopik dan </w:t>
      </w:r>
      <w:r w:rsidRPr="00C13317">
        <w:rPr>
          <w:rFonts w:ascii="Times New Roman" w:hAnsi="Times New Roman"/>
          <w:noProof/>
          <w:sz w:val="18"/>
          <w:szCs w:val="18"/>
          <w:lang w:val="ms-MY"/>
        </w:rPr>
        <w:lastRenderedPageBreak/>
        <w:t>perbandingan dengan data yang telah diterbitkan. Assai kesitotoksikan menunjukkan girinimbin semula jadi dan bahan perantara bifenilnitro telah memaparkan ketoksikan tinggi (IC</w:t>
      </w:r>
      <w:r w:rsidRPr="00C13317">
        <w:rPr>
          <w:rFonts w:ascii="Times New Roman" w:hAnsi="Times New Roman"/>
          <w:noProof/>
          <w:sz w:val="18"/>
          <w:szCs w:val="18"/>
          <w:vertAlign w:val="subscript"/>
          <w:lang w:val="ms-MY"/>
        </w:rPr>
        <w:t>50</w:t>
      </w:r>
      <w:r w:rsidRPr="00C13317">
        <w:rPr>
          <w:rFonts w:ascii="Times New Roman" w:hAnsi="Times New Roman"/>
          <w:noProof/>
          <w:sz w:val="18"/>
          <w:szCs w:val="18"/>
          <w:lang w:val="ms-MY"/>
        </w:rPr>
        <w:t xml:space="preserve"> 6.2 and 17.0 μg/mL) manakala sebatian yang lain menunjukkan aktiviti ketoksikan sederhana (IC</w:t>
      </w:r>
      <w:r w:rsidRPr="00C13317">
        <w:rPr>
          <w:rFonts w:ascii="Times New Roman" w:hAnsi="Times New Roman"/>
          <w:noProof/>
          <w:sz w:val="18"/>
          <w:szCs w:val="18"/>
          <w:vertAlign w:val="subscript"/>
          <w:lang w:val="ms-MY"/>
        </w:rPr>
        <w:t>50</w:t>
      </w:r>
      <w:r w:rsidRPr="00C13317">
        <w:rPr>
          <w:rFonts w:ascii="Times New Roman" w:hAnsi="Times New Roman"/>
          <w:noProof/>
          <w:sz w:val="18"/>
          <w:szCs w:val="18"/>
          <w:lang w:val="ms-MY"/>
        </w:rPr>
        <w:t xml:space="preserve"> 24.0-40.6 μg/mL) ke atas sel A549. Kesemua sebatian menunjukkan kepilihan kepada sel garis kanser A459 dengan nilai SI dalam julat daripada 2.70-4.68 (SI &gt; 2) kecuali dua girinimbin teralkil-</w:t>
      </w:r>
      <w:r w:rsidRPr="00C13317">
        <w:rPr>
          <w:rFonts w:ascii="Times New Roman" w:hAnsi="Times New Roman"/>
          <w:i/>
          <w:noProof/>
          <w:sz w:val="18"/>
          <w:szCs w:val="18"/>
          <w:lang w:val="ms-MY"/>
        </w:rPr>
        <w:t>N</w:t>
      </w:r>
      <w:r w:rsidRPr="00C13317">
        <w:rPr>
          <w:rFonts w:ascii="Times New Roman" w:hAnsi="Times New Roman"/>
          <w:noProof/>
          <w:sz w:val="18"/>
          <w:szCs w:val="18"/>
          <w:lang w:val="ms-MY"/>
        </w:rPr>
        <w:t xml:space="preserve"> dengan nilai SI 0.93 dan 1.70.</w:t>
      </w:r>
    </w:p>
    <w:p w14:paraId="58DE2100" w14:textId="77777777" w:rsidR="00A80862" w:rsidRPr="00C13317" w:rsidRDefault="00A80862" w:rsidP="00A80862">
      <w:pPr>
        <w:spacing w:after="0"/>
        <w:jc w:val="both"/>
        <w:rPr>
          <w:rFonts w:ascii="Times New Roman" w:hAnsi="Times New Roman"/>
          <w:noProof/>
          <w:sz w:val="18"/>
          <w:szCs w:val="18"/>
          <w:highlight w:val="yellow"/>
          <w:lang w:val="ms-MY"/>
        </w:rPr>
      </w:pPr>
    </w:p>
    <w:p w14:paraId="5CA4F1D0" w14:textId="564BDF52" w:rsidR="00A80862" w:rsidRPr="00C13317" w:rsidRDefault="00A80862" w:rsidP="00A80862">
      <w:pPr>
        <w:pStyle w:val="MDPI18keywords"/>
        <w:spacing w:before="0" w:line="276" w:lineRule="auto"/>
        <w:ind w:left="0"/>
        <w:rPr>
          <w:rFonts w:ascii="Times New Roman" w:hAnsi="Times New Roman"/>
          <w:noProof/>
          <w:color w:val="auto"/>
          <w:sz w:val="18"/>
          <w:szCs w:val="18"/>
          <w:lang w:val="ms-MY"/>
        </w:rPr>
      </w:pPr>
      <w:r w:rsidRPr="00C13317">
        <w:rPr>
          <w:rFonts w:ascii="Times New Roman" w:hAnsi="Times New Roman"/>
          <w:b/>
          <w:noProof/>
          <w:color w:val="auto"/>
          <w:sz w:val="18"/>
          <w:szCs w:val="18"/>
          <w:lang w:val="ms-MY"/>
        </w:rPr>
        <w:t xml:space="preserve">Kata kunci: </w:t>
      </w:r>
      <w:r>
        <w:rPr>
          <w:rFonts w:ascii="Times New Roman" w:hAnsi="Times New Roman"/>
          <w:b/>
          <w:noProof/>
          <w:color w:val="auto"/>
          <w:sz w:val="18"/>
          <w:szCs w:val="18"/>
          <w:lang w:val="ms-MY"/>
        </w:rPr>
        <w:t xml:space="preserve"> </w:t>
      </w:r>
      <w:r w:rsidRPr="00C13317">
        <w:rPr>
          <w:rFonts w:ascii="Times New Roman" w:hAnsi="Times New Roman"/>
          <w:noProof/>
          <w:color w:val="auto"/>
          <w:sz w:val="18"/>
          <w:szCs w:val="18"/>
          <w:lang w:val="ms-MY"/>
        </w:rPr>
        <w:t>girinimbin, terbitan, teralkil-</w:t>
      </w:r>
      <w:r w:rsidRPr="00C13317">
        <w:rPr>
          <w:rFonts w:ascii="Times New Roman" w:hAnsi="Times New Roman"/>
          <w:i/>
          <w:noProof/>
          <w:color w:val="auto"/>
          <w:sz w:val="18"/>
          <w:szCs w:val="18"/>
          <w:lang w:val="ms-MY"/>
        </w:rPr>
        <w:t>N</w:t>
      </w:r>
      <w:r w:rsidRPr="00C13317">
        <w:rPr>
          <w:rFonts w:ascii="Times New Roman" w:hAnsi="Times New Roman"/>
          <w:noProof/>
          <w:color w:val="auto"/>
          <w:sz w:val="18"/>
          <w:szCs w:val="18"/>
          <w:lang w:val="ms-MY"/>
        </w:rPr>
        <w:t>, terasil-</w:t>
      </w:r>
      <w:r w:rsidRPr="00C13317">
        <w:rPr>
          <w:rFonts w:ascii="Times New Roman" w:hAnsi="Times New Roman"/>
          <w:i/>
          <w:noProof/>
          <w:color w:val="auto"/>
          <w:sz w:val="18"/>
          <w:szCs w:val="18"/>
          <w:lang w:val="ms-MY"/>
        </w:rPr>
        <w:t>N</w:t>
      </w:r>
      <w:r w:rsidRPr="00C13317">
        <w:rPr>
          <w:rFonts w:ascii="Times New Roman" w:hAnsi="Times New Roman"/>
          <w:noProof/>
          <w:color w:val="auto"/>
          <w:sz w:val="18"/>
          <w:szCs w:val="18"/>
          <w:lang w:val="ms-MY"/>
        </w:rPr>
        <w:t>, A549</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19A914E9" w14:textId="77777777" w:rsidR="00F45F70" w:rsidRDefault="00F45F70" w:rsidP="00383C16">
      <w:pPr>
        <w:spacing w:after="0"/>
        <w:jc w:val="center"/>
        <w:rPr>
          <w:rFonts w:ascii="Times New Roman" w:hAnsi="Times New Roman"/>
          <w:b/>
          <w:noProof/>
          <w:sz w:val="20"/>
          <w:szCs w:val="20"/>
          <w:lang w:bidi="ar-SA"/>
        </w:rPr>
        <w:sectPr w:rsidR="00F45F70"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11A8F419"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5AD76295" w14:textId="77777777" w:rsidR="00A80862" w:rsidRPr="00A80862" w:rsidRDefault="00A80862" w:rsidP="00A80862">
      <w:pPr>
        <w:shd w:val="clear" w:color="auto" w:fill="FFFFFF"/>
        <w:spacing w:after="0"/>
        <w:jc w:val="both"/>
        <w:rPr>
          <w:rFonts w:ascii="Times New Roman" w:hAnsi="Times New Roman"/>
          <w:sz w:val="20"/>
          <w:szCs w:val="20"/>
          <w:lang w:val="en-GB"/>
        </w:rPr>
      </w:pPr>
      <w:r w:rsidRPr="00A80862">
        <w:rPr>
          <w:rFonts w:ascii="Times New Roman" w:hAnsi="Times New Roman"/>
          <w:sz w:val="20"/>
          <w:szCs w:val="20"/>
          <w:lang w:val="en-GB"/>
        </w:rPr>
        <w:t xml:space="preserve">Cancer is one of the major diseases that cause many deaths </w:t>
      </w:r>
      <w:r w:rsidRPr="00A80862">
        <w:rPr>
          <w:rFonts w:ascii="Times New Roman" w:hAnsi="Times New Roman"/>
          <w:sz w:val="20"/>
          <w:szCs w:val="20"/>
          <w:shd w:val="clear" w:color="auto" w:fill="FFFFFF"/>
          <w:lang w:val="en-GB"/>
        </w:rPr>
        <w:t>worldwide with an estimated 19.29 million new cases and 9.96 million deaths in 2020. Lung cancer alone contributed to 11.4% of new cases and 18% of deaths [1]. L</w:t>
      </w:r>
      <w:r w:rsidRPr="00A80862">
        <w:rPr>
          <w:rFonts w:ascii="Times New Roman" w:hAnsi="Times New Roman"/>
          <w:sz w:val="20"/>
          <w:szCs w:val="20"/>
          <w:lang w:val="en-GB"/>
        </w:rPr>
        <w:t xml:space="preserve">ung cancer is the third most common cancer in Malaysia with 19.8% of deaths. Males are the largest proportion to suffer from lung cancer and 92% is attributed to the smoking habit, which is the main factor for lung cancer. </w:t>
      </w:r>
      <w:r w:rsidRPr="00A80862">
        <w:rPr>
          <w:rFonts w:ascii="Times New Roman" w:hAnsi="Times New Roman"/>
          <w:sz w:val="20"/>
          <w:szCs w:val="20"/>
          <w:shd w:val="clear" w:color="auto" w:fill="FFFFFF"/>
          <w:lang w:val="en-GB"/>
        </w:rPr>
        <w:t xml:space="preserve">The increasing incidence of cancers in the country is due to increasing ageing population, exposure to cancer risk, and unhealthy lifestyle. The </w:t>
      </w:r>
      <w:r w:rsidRPr="00A80862">
        <w:rPr>
          <w:rFonts w:ascii="Times New Roman" w:hAnsi="Times New Roman"/>
          <w:sz w:val="20"/>
          <w:szCs w:val="20"/>
          <w:lang w:val="en-GB"/>
        </w:rPr>
        <w:t>increasing trend is also due to late diagnosis and limited treatment availability. New cases of lung cancer are comparatively higher in the age group of 45 years old [2]. According to the Malaysian Study on Cancer Survival (MySCan) 2018, lung cancer recorded the lowest survival rate among all cancers due to being diagnosed at an advanced stage. Moreover, lung cancer patients also recorded the lowest survival rate compared to other types of cancers (11.0% for 1-year and 35.5% for 5-year) [3].</w:t>
      </w:r>
    </w:p>
    <w:p w14:paraId="13EDC619" w14:textId="77777777" w:rsidR="00A80862" w:rsidRPr="00A80862" w:rsidRDefault="00A80862" w:rsidP="00A80862">
      <w:pPr>
        <w:shd w:val="clear" w:color="auto" w:fill="FFFFFF"/>
        <w:spacing w:after="0"/>
        <w:jc w:val="both"/>
        <w:rPr>
          <w:rFonts w:ascii="Times New Roman" w:hAnsi="Times New Roman"/>
          <w:sz w:val="20"/>
          <w:szCs w:val="20"/>
          <w:lang w:val="en-GB"/>
        </w:rPr>
      </w:pPr>
    </w:p>
    <w:p w14:paraId="23D56A00" w14:textId="77777777" w:rsidR="00A80862" w:rsidRPr="00A80862" w:rsidRDefault="00A80862" w:rsidP="00A80862">
      <w:pPr>
        <w:shd w:val="clear" w:color="auto" w:fill="FFFFFF"/>
        <w:spacing w:after="0"/>
        <w:jc w:val="both"/>
        <w:rPr>
          <w:rFonts w:ascii="Times New Roman" w:hAnsi="Times New Roman"/>
          <w:sz w:val="20"/>
          <w:szCs w:val="20"/>
          <w:lang w:val="en-GB"/>
        </w:rPr>
      </w:pPr>
    </w:p>
    <w:p w14:paraId="4D504F53" w14:textId="77777777" w:rsidR="00A80862" w:rsidRPr="00A80862" w:rsidRDefault="00A80862" w:rsidP="00A80862">
      <w:pPr>
        <w:shd w:val="clear" w:color="auto" w:fill="FFFFFF"/>
        <w:spacing w:after="0"/>
        <w:jc w:val="both"/>
        <w:rPr>
          <w:rFonts w:ascii="Times New Roman" w:hAnsi="Times New Roman"/>
          <w:sz w:val="20"/>
          <w:szCs w:val="20"/>
          <w:lang w:val="en-GB"/>
        </w:rPr>
      </w:pPr>
      <w:r w:rsidRPr="00A80862">
        <w:rPr>
          <w:rFonts w:ascii="Times New Roman" w:hAnsi="Times New Roman"/>
          <w:sz w:val="20"/>
          <w:szCs w:val="20"/>
          <w:lang w:val="en-GB"/>
        </w:rPr>
        <w:t xml:space="preserve">This evidence shows that cancer is an urgent matter that requires much attention, especially better prevention, early detection, easy access and available treatment, and cancer care services. In terms of cancer treatment, advancements in research and drug development are a few approaches to developing a potential drug and creating a variety of anticancer drugs. A new approach of anticancer discovery has been taken over by natural products due to their structural diversity, such as varied substituent groups from simple alkyls, rings, or attachment of terpene of various complexity and length, and also the presence of various functional groups that can be further modified to enhance their activity. </w:t>
      </w:r>
    </w:p>
    <w:p w14:paraId="1D000E61" w14:textId="77777777" w:rsidR="00A80862" w:rsidRPr="00A80862" w:rsidRDefault="00A80862" w:rsidP="00A80862">
      <w:pPr>
        <w:shd w:val="clear" w:color="auto" w:fill="FFFFFF"/>
        <w:spacing w:after="0"/>
        <w:jc w:val="both"/>
        <w:rPr>
          <w:rFonts w:ascii="Times New Roman" w:hAnsi="Times New Roman"/>
          <w:sz w:val="20"/>
          <w:szCs w:val="20"/>
          <w:shd w:val="clear" w:color="auto" w:fill="FFFFFF"/>
          <w:lang w:val="en-GB"/>
        </w:rPr>
      </w:pPr>
    </w:p>
    <w:p w14:paraId="26344FF2" w14:textId="77777777" w:rsidR="00A80862" w:rsidRPr="00A80862" w:rsidRDefault="00A80862" w:rsidP="00A80862">
      <w:pPr>
        <w:shd w:val="clear" w:color="auto" w:fill="FFFFFF"/>
        <w:spacing w:after="0"/>
        <w:jc w:val="both"/>
        <w:rPr>
          <w:rFonts w:ascii="Times New Roman" w:hAnsi="Times New Roman"/>
          <w:sz w:val="20"/>
          <w:szCs w:val="20"/>
          <w:lang w:val="en-GB"/>
        </w:rPr>
      </w:pPr>
      <w:r w:rsidRPr="00A80862">
        <w:rPr>
          <w:rFonts w:ascii="Times New Roman" w:hAnsi="Times New Roman"/>
          <w:sz w:val="20"/>
          <w:szCs w:val="20"/>
          <w:shd w:val="clear" w:color="auto" w:fill="FFFFFF"/>
          <w:lang w:val="en-GB"/>
        </w:rPr>
        <w:t xml:space="preserve">In the last few decades, the medicinal role of natural and semi-synthetic carbazoles has expanded significantly. </w:t>
      </w:r>
      <w:r w:rsidRPr="00A80862">
        <w:rPr>
          <w:rFonts w:ascii="Times New Roman" w:hAnsi="Times New Roman"/>
          <w:sz w:val="20"/>
          <w:szCs w:val="20"/>
          <w:lang w:val="en-GB"/>
        </w:rPr>
        <w:t>Carbazoles, which is an attractive compound to be introduced in the pharmaceutical industry as a candidate for drug development, have a broad scope of biological actions</w:t>
      </w:r>
      <w:r w:rsidRPr="00A80862">
        <w:rPr>
          <w:rFonts w:ascii="Times New Roman" w:hAnsi="Times New Roman"/>
          <w:sz w:val="20"/>
          <w:szCs w:val="20"/>
          <w:shd w:val="clear" w:color="auto" w:fill="FFFFFF"/>
          <w:lang w:val="en-GB"/>
        </w:rPr>
        <w:t xml:space="preserve">. </w:t>
      </w:r>
      <w:r w:rsidRPr="00A80862">
        <w:rPr>
          <w:rFonts w:ascii="Times New Roman" w:hAnsi="Times New Roman"/>
          <w:sz w:val="20"/>
          <w:szCs w:val="20"/>
          <w:lang w:val="en-GB"/>
        </w:rPr>
        <w:t>Girinimbine (</w:t>
      </w:r>
      <w:r w:rsidRPr="00A80862">
        <w:rPr>
          <w:rFonts w:ascii="Times New Roman" w:hAnsi="Times New Roman"/>
          <w:b/>
          <w:sz w:val="20"/>
          <w:szCs w:val="20"/>
          <w:lang w:val="en-GB"/>
        </w:rPr>
        <w:t>8</w:t>
      </w:r>
      <w:r w:rsidRPr="00A80862">
        <w:rPr>
          <w:rFonts w:ascii="Times New Roman" w:hAnsi="Times New Roman"/>
          <w:sz w:val="20"/>
          <w:szCs w:val="20"/>
          <w:lang w:val="en-GB"/>
        </w:rPr>
        <w:t xml:space="preserve">) is a carbazole mainly found in </w:t>
      </w:r>
      <w:r w:rsidRPr="00A80862">
        <w:rPr>
          <w:rFonts w:ascii="Times New Roman" w:hAnsi="Times New Roman"/>
          <w:i/>
          <w:sz w:val="20"/>
          <w:szCs w:val="20"/>
          <w:lang w:val="en-GB"/>
        </w:rPr>
        <w:t>Murraya koenigii</w:t>
      </w:r>
      <w:r w:rsidRPr="00A80862">
        <w:rPr>
          <w:rFonts w:ascii="Times New Roman" w:hAnsi="Times New Roman"/>
          <w:sz w:val="20"/>
          <w:szCs w:val="20"/>
          <w:lang w:val="en-GB"/>
        </w:rPr>
        <w:t xml:space="preserve"> or locally known as curry tree. This plant is native to Malaysia and can be used as herbs, spices, and condiments (food and flavour), to treat illness in the traditional way (medicinal) and make soaps or insect repellents (source for materials). Girinimbine (</w:t>
      </w:r>
      <w:r w:rsidRPr="00A80862">
        <w:rPr>
          <w:rFonts w:ascii="Times New Roman" w:hAnsi="Times New Roman"/>
          <w:b/>
          <w:bCs/>
          <w:sz w:val="20"/>
          <w:szCs w:val="20"/>
          <w:lang w:val="en-GB"/>
        </w:rPr>
        <w:t>8</w:t>
      </w:r>
      <w:r w:rsidRPr="00A80862">
        <w:rPr>
          <w:rFonts w:ascii="Times New Roman" w:hAnsi="Times New Roman"/>
          <w:sz w:val="20"/>
          <w:szCs w:val="20"/>
          <w:lang w:val="en-GB"/>
        </w:rPr>
        <w:t xml:space="preserve">) has drawn the attention of researchers due to its wide range of pharmacological effects, such as anti-inflammatory [4], anticancer [5-9], antiplatelet [10], antioxidant [4,11], and exhibited strong activity against </w:t>
      </w:r>
      <w:r w:rsidRPr="00A80862">
        <w:rPr>
          <w:rFonts w:ascii="Times New Roman" w:hAnsi="Times New Roman"/>
          <w:i/>
          <w:sz w:val="20"/>
          <w:szCs w:val="20"/>
          <w:lang w:val="en-GB"/>
        </w:rPr>
        <w:t>Aedes aegypti</w:t>
      </w:r>
      <w:r w:rsidRPr="00A80862">
        <w:rPr>
          <w:rFonts w:ascii="Times New Roman" w:hAnsi="Times New Roman"/>
          <w:sz w:val="20"/>
          <w:szCs w:val="20"/>
          <w:lang w:val="en-GB"/>
        </w:rPr>
        <w:t xml:space="preserve"> [12]. Several syntheses of </w:t>
      </w:r>
      <w:r w:rsidRPr="00A80862">
        <w:rPr>
          <w:rFonts w:ascii="Times New Roman" w:hAnsi="Times New Roman"/>
          <w:bCs/>
          <w:sz w:val="20"/>
          <w:szCs w:val="20"/>
          <w:lang w:val="en-GB"/>
        </w:rPr>
        <w:t>8</w:t>
      </w:r>
      <w:r w:rsidRPr="00A80862">
        <w:rPr>
          <w:rFonts w:ascii="Times New Roman" w:hAnsi="Times New Roman"/>
          <w:sz w:val="20"/>
          <w:szCs w:val="20"/>
          <w:lang w:val="en-GB"/>
        </w:rPr>
        <w:t xml:space="preserve"> have been reported involving reaction with ylide [13], base-induced cyclisation [14], oxidative intramolecular allylation [15, 16], Buchwald-Hartwig amination [17], Ti-mediated annulation [18], decarboxylative allylation/Claisen rearrangement [19], and Grignard addition and ring-closing metathesis [20]. </w:t>
      </w:r>
    </w:p>
    <w:p w14:paraId="3FEBACF0" w14:textId="77777777" w:rsidR="00A80862" w:rsidRPr="00A80862" w:rsidRDefault="00A80862" w:rsidP="00A80862">
      <w:pPr>
        <w:autoSpaceDE w:val="0"/>
        <w:autoSpaceDN w:val="0"/>
        <w:adjustRightInd w:val="0"/>
        <w:spacing w:after="0"/>
        <w:jc w:val="both"/>
        <w:rPr>
          <w:rFonts w:ascii="Times New Roman" w:hAnsi="Times New Roman"/>
          <w:sz w:val="20"/>
          <w:szCs w:val="20"/>
          <w:lang w:val="en-GB"/>
        </w:rPr>
      </w:pPr>
    </w:p>
    <w:p w14:paraId="4F564B9A" w14:textId="77777777" w:rsidR="00A80862" w:rsidRPr="00A80862" w:rsidRDefault="00A80862" w:rsidP="00A80862">
      <w:pPr>
        <w:autoSpaceDE w:val="0"/>
        <w:autoSpaceDN w:val="0"/>
        <w:adjustRightInd w:val="0"/>
        <w:spacing w:after="0"/>
        <w:jc w:val="both"/>
        <w:rPr>
          <w:rFonts w:ascii="Times New Roman" w:hAnsi="Times New Roman"/>
          <w:sz w:val="20"/>
          <w:szCs w:val="20"/>
          <w:lang w:val="en-GB"/>
        </w:rPr>
      </w:pPr>
      <w:r w:rsidRPr="00A80862">
        <w:rPr>
          <w:rFonts w:ascii="Times New Roman" w:hAnsi="Times New Roman"/>
          <w:sz w:val="20"/>
          <w:szCs w:val="20"/>
          <w:lang w:val="en-GB"/>
        </w:rPr>
        <w:t>To further explore the potential anticancer properties of carbazole compounds, the cytotoxicity of five girinimbine derivatives (</w:t>
      </w:r>
      <w:r w:rsidRPr="00A80862">
        <w:rPr>
          <w:rFonts w:ascii="Times New Roman" w:hAnsi="Times New Roman"/>
          <w:b/>
          <w:sz w:val="20"/>
          <w:szCs w:val="20"/>
          <w:lang w:val="en-GB"/>
        </w:rPr>
        <w:t>9</w:t>
      </w:r>
      <w:r w:rsidRPr="00A80862">
        <w:rPr>
          <w:rFonts w:ascii="Times New Roman" w:hAnsi="Times New Roman"/>
          <w:sz w:val="20"/>
          <w:szCs w:val="20"/>
          <w:lang w:val="en-GB"/>
        </w:rPr>
        <w:t>-</w:t>
      </w:r>
      <w:r w:rsidRPr="00A80862">
        <w:rPr>
          <w:rFonts w:ascii="Times New Roman" w:hAnsi="Times New Roman"/>
          <w:b/>
          <w:sz w:val="20"/>
          <w:szCs w:val="20"/>
          <w:lang w:val="en-GB"/>
        </w:rPr>
        <w:t>13</w:t>
      </w:r>
      <w:r w:rsidRPr="00A80862">
        <w:rPr>
          <w:rFonts w:ascii="Times New Roman" w:hAnsi="Times New Roman"/>
          <w:sz w:val="20"/>
          <w:szCs w:val="20"/>
          <w:lang w:val="en-GB"/>
        </w:rPr>
        <w:t xml:space="preserve">) was evaluated on human lung cancer (A549) and normal lung (MRC-5) cell lines. </w:t>
      </w:r>
      <w:r w:rsidRPr="00A80862">
        <w:rPr>
          <w:rFonts w:ascii="Times New Roman" w:hAnsi="Times New Roman"/>
          <w:sz w:val="20"/>
          <w:szCs w:val="20"/>
          <w:lang w:val="en-GB" w:eastAsia="en-GB"/>
        </w:rPr>
        <w:t xml:space="preserve">All </w:t>
      </w:r>
      <w:r w:rsidRPr="00A80862">
        <w:rPr>
          <w:rFonts w:ascii="Times New Roman" w:hAnsi="Times New Roman"/>
          <w:i/>
          <w:sz w:val="20"/>
          <w:szCs w:val="20"/>
          <w:lang w:val="en-GB" w:eastAsia="en-GB"/>
        </w:rPr>
        <w:t>N</w:t>
      </w:r>
      <w:r w:rsidRPr="00A80862">
        <w:rPr>
          <w:rFonts w:ascii="Times New Roman" w:hAnsi="Times New Roman"/>
          <w:sz w:val="20"/>
          <w:szCs w:val="20"/>
          <w:lang w:val="en-GB" w:eastAsia="en-GB"/>
        </w:rPr>
        <w:t>-alkylated (</w:t>
      </w:r>
      <w:r w:rsidRPr="00A80862">
        <w:rPr>
          <w:rFonts w:ascii="Times New Roman" w:hAnsi="Times New Roman"/>
          <w:b/>
          <w:sz w:val="20"/>
          <w:szCs w:val="20"/>
          <w:lang w:val="en-GB" w:eastAsia="en-GB"/>
        </w:rPr>
        <w:t>9</w:t>
      </w:r>
      <w:r w:rsidRPr="00A80862">
        <w:rPr>
          <w:rFonts w:ascii="Times New Roman" w:hAnsi="Times New Roman"/>
          <w:sz w:val="20"/>
          <w:szCs w:val="20"/>
          <w:lang w:val="en-GB" w:eastAsia="en-GB"/>
        </w:rPr>
        <w:t>-</w:t>
      </w:r>
      <w:r w:rsidRPr="00A80862">
        <w:rPr>
          <w:rFonts w:ascii="Times New Roman" w:hAnsi="Times New Roman"/>
          <w:b/>
          <w:sz w:val="20"/>
          <w:szCs w:val="20"/>
          <w:lang w:val="en-GB" w:eastAsia="en-GB"/>
        </w:rPr>
        <w:t>11</w:t>
      </w:r>
      <w:r w:rsidRPr="00A80862">
        <w:rPr>
          <w:rFonts w:ascii="Times New Roman" w:hAnsi="Times New Roman"/>
          <w:sz w:val="20"/>
          <w:szCs w:val="20"/>
          <w:lang w:val="en-GB" w:eastAsia="en-GB"/>
        </w:rPr>
        <w:t xml:space="preserve">) and </w:t>
      </w:r>
      <w:r w:rsidRPr="00A80862">
        <w:rPr>
          <w:rFonts w:ascii="Times New Roman" w:hAnsi="Times New Roman"/>
          <w:i/>
          <w:sz w:val="20"/>
          <w:szCs w:val="20"/>
          <w:lang w:val="en-GB" w:eastAsia="en-GB"/>
        </w:rPr>
        <w:t>N</w:t>
      </w:r>
      <w:r w:rsidRPr="00A80862">
        <w:rPr>
          <w:rFonts w:ascii="Times New Roman" w:hAnsi="Times New Roman"/>
          <w:sz w:val="20"/>
          <w:szCs w:val="20"/>
          <w:lang w:val="en-GB" w:eastAsia="en-GB"/>
        </w:rPr>
        <w:t>-acylated derivatives (</w:t>
      </w:r>
      <w:r w:rsidRPr="00A80862">
        <w:rPr>
          <w:rFonts w:ascii="Times New Roman" w:hAnsi="Times New Roman"/>
          <w:b/>
          <w:sz w:val="20"/>
          <w:szCs w:val="20"/>
          <w:lang w:val="en-GB" w:eastAsia="en-GB"/>
        </w:rPr>
        <w:t>12</w:t>
      </w:r>
      <w:r w:rsidRPr="00A80862">
        <w:rPr>
          <w:rFonts w:ascii="Times New Roman" w:hAnsi="Times New Roman"/>
          <w:sz w:val="20"/>
          <w:szCs w:val="20"/>
          <w:lang w:val="en-GB" w:eastAsia="en-GB"/>
        </w:rPr>
        <w:t xml:space="preserve"> and </w:t>
      </w:r>
      <w:r w:rsidRPr="00A80862">
        <w:rPr>
          <w:rFonts w:ascii="Times New Roman" w:hAnsi="Times New Roman"/>
          <w:b/>
          <w:sz w:val="20"/>
          <w:szCs w:val="20"/>
          <w:lang w:val="en-GB" w:eastAsia="en-GB"/>
        </w:rPr>
        <w:t>13</w:t>
      </w:r>
      <w:r w:rsidRPr="00A80862">
        <w:rPr>
          <w:rFonts w:ascii="Times New Roman" w:hAnsi="Times New Roman"/>
          <w:sz w:val="20"/>
          <w:szCs w:val="20"/>
          <w:lang w:val="en-GB" w:eastAsia="en-GB"/>
        </w:rPr>
        <w:t xml:space="preserve">) were prepared </w:t>
      </w:r>
      <w:r w:rsidRPr="00A80862">
        <w:rPr>
          <w:rFonts w:ascii="Times New Roman" w:hAnsi="Times New Roman"/>
          <w:i/>
          <w:sz w:val="20"/>
          <w:szCs w:val="20"/>
          <w:lang w:val="en-GB" w:eastAsia="en-GB"/>
        </w:rPr>
        <w:t>via</w:t>
      </w:r>
      <w:r w:rsidRPr="00A80862">
        <w:rPr>
          <w:rFonts w:ascii="Times New Roman" w:hAnsi="Times New Roman"/>
          <w:sz w:val="20"/>
          <w:szCs w:val="20"/>
          <w:lang w:val="en-GB" w:eastAsia="en-GB"/>
        </w:rPr>
        <w:t xml:space="preserve"> semi-synthetic modification of girinimbine (</w:t>
      </w:r>
      <w:r w:rsidRPr="00A80862">
        <w:rPr>
          <w:rFonts w:ascii="Times New Roman" w:hAnsi="Times New Roman"/>
          <w:b/>
          <w:sz w:val="20"/>
          <w:szCs w:val="20"/>
          <w:lang w:val="en-GB" w:eastAsia="en-GB"/>
        </w:rPr>
        <w:t>8i</w:t>
      </w:r>
      <w:r w:rsidRPr="00A80862">
        <w:rPr>
          <w:rFonts w:ascii="Times New Roman" w:hAnsi="Times New Roman"/>
          <w:sz w:val="20"/>
          <w:szCs w:val="20"/>
          <w:lang w:val="en-GB" w:eastAsia="en-GB"/>
        </w:rPr>
        <w:t xml:space="preserve">) isolated </w:t>
      </w:r>
      <w:r w:rsidRPr="00A80862">
        <w:rPr>
          <w:rFonts w:ascii="Times New Roman" w:hAnsi="Times New Roman"/>
          <w:sz w:val="20"/>
          <w:szCs w:val="20"/>
          <w:lang w:val="en-GB"/>
        </w:rPr>
        <w:t>from</w:t>
      </w:r>
      <w:r w:rsidRPr="00A80862">
        <w:rPr>
          <w:rFonts w:ascii="Times New Roman" w:hAnsi="Times New Roman"/>
          <w:i/>
          <w:sz w:val="20"/>
          <w:szCs w:val="20"/>
          <w:lang w:val="en-GB"/>
        </w:rPr>
        <w:t xml:space="preserve"> M. koenigii</w:t>
      </w:r>
      <w:r w:rsidRPr="00A80862">
        <w:rPr>
          <w:rFonts w:ascii="Times New Roman" w:hAnsi="Times New Roman"/>
          <w:iCs/>
          <w:sz w:val="20"/>
          <w:szCs w:val="20"/>
          <w:lang w:val="en-GB"/>
        </w:rPr>
        <w:t>,</w:t>
      </w:r>
      <w:r w:rsidRPr="00A80862">
        <w:rPr>
          <w:rFonts w:ascii="Times New Roman" w:hAnsi="Times New Roman"/>
          <w:sz w:val="20"/>
          <w:szCs w:val="20"/>
          <w:lang w:val="en-GB" w:eastAsia="en-GB"/>
        </w:rPr>
        <w:t xml:space="preserve"> as previously reported by our group [21].</w:t>
      </w:r>
      <w:r w:rsidRPr="00A80862">
        <w:rPr>
          <w:rFonts w:ascii="Times New Roman" w:hAnsi="Times New Roman"/>
          <w:i/>
          <w:sz w:val="20"/>
          <w:szCs w:val="20"/>
          <w:lang w:val="en-GB"/>
        </w:rPr>
        <w:t xml:space="preserve"> </w:t>
      </w:r>
      <w:r w:rsidRPr="00A80862">
        <w:rPr>
          <w:rFonts w:ascii="Times New Roman" w:hAnsi="Times New Roman"/>
          <w:sz w:val="20"/>
          <w:szCs w:val="20"/>
          <w:lang w:val="en-GB"/>
        </w:rPr>
        <w:t>Currently, there is no data on the effect of all these derivatives (</w:t>
      </w:r>
      <w:r w:rsidRPr="00A80862">
        <w:rPr>
          <w:rFonts w:ascii="Times New Roman" w:hAnsi="Times New Roman"/>
          <w:b/>
          <w:sz w:val="20"/>
          <w:szCs w:val="20"/>
          <w:lang w:val="en-GB"/>
        </w:rPr>
        <w:t>9</w:t>
      </w:r>
      <w:r w:rsidRPr="00A80862">
        <w:rPr>
          <w:rFonts w:ascii="Times New Roman" w:hAnsi="Times New Roman"/>
          <w:sz w:val="20"/>
          <w:szCs w:val="20"/>
          <w:lang w:val="en-GB"/>
        </w:rPr>
        <w:t>-</w:t>
      </w:r>
      <w:r w:rsidRPr="00A80862">
        <w:rPr>
          <w:rFonts w:ascii="Times New Roman" w:hAnsi="Times New Roman"/>
          <w:b/>
          <w:sz w:val="20"/>
          <w:szCs w:val="20"/>
          <w:lang w:val="en-GB"/>
        </w:rPr>
        <w:t>13</w:t>
      </w:r>
      <w:r w:rsidRPr="00A80862">
        <w:rPr>
          <w:rFonts w:ascii="Times New Roman" w:hAnsi="Times New Roman"/>
          <w:sz w:val="20"/>
          <w:szCs w:val="20"/>
          <w:lang w:val="en-GB"/>
        </w:rPr>
        <w:t>) on A549 and MRC-5 cell lines. A comparative study between the isolated girinimbine (</w:t>
      </w:r>
      <w:r w:rsidRPr="00A80862">
        <w:rPr>
          <w:rFonts w:ascii="Times New Roman" w:hAnsi="Times New Roman"/>
          <w:b/>
          <w:bCs/>
          <w:sz w:val="20"/>
          <w:szCs w:val="20"/>
          <w:lang w:val="en-GB"/>
        </w:rPr>
        <w:t>8i)</w:t>
      </w:r>
      <w:r w:rsidRPr="00A80862">
        <w:rPr>
          <w:rFonts w:ascii="Times New Roman" w:hAnsi="Times New Roman"/>
          <w:sz w:val="20"/>
          <w:szCs w:val="20"/>
          <w:lang w:val="en-GB"/>
        </w:rPr>
        <w:t xml:space="preserve"> and synthesised girinimbine (</w:t>
      </w:r>
      <w:r w:rsidRPr="00A80862">
        <w:rPr>
          <w:rFonts w:ascii="Times New Roman" w:hAnsi="Times New Roman"/>
          <w:b/>
          <w:sz w:val="20"/>
          <w:szCs w:val="20"/>
          <w:lang w:val="en-GB"/>
        </w:rPr>
        <w:t>8s</w:t>
      </w:r>
      <w:r w:rsidRPr="00A80862">
        <w:rPr>
          <w:rFonts w:ascii="Times New Roman" w:hAnsi="Times New Roman"/>
          <w:sz w:val="20"/>
          <w:szCs w:val="20"/>
          <w:lang w:val="en-GB"/>
        </w:rPr>
        <w:t xml:space="preserve">) would also be an interesting field to explore. In this study, </w:t>
      </w:r>
      <w:r w:rsidRPr="00A80862">
        <w:rPr>
          <w:rFonts w:ascii="Times New Roman" w:hAnsi="Times New Roman"/>
          <w:b/>
          <w:sz w:val="20"/>
          <w:szCs w:val="20"/>
          <w:lang w:val="en-GB"/>
        </w:rPr>
        <w:t>8s</w:t>
      </w:r>
      <w:r w:rsidRPr="00A80862">
        <w:rPr>
          <w:rFonts w:ascii="Times New Roman" w:hAnsi="Times New Roman"/>
          <w:sz w:val="20"/>
          <w:szCs w:val="20"/>
          <w:lang w:val="en-GB"/>
        </w:rPr>
        <w:t xml:space="preserve"> was synthesised </w:t>
      </w:r>
      <w:r w:rsidRPr="00A80862">
        <w:rPr>
          <w:rFonts w:ascii="Times New Roman" w:hAnsi="Times New Roman"/>
          <w:i/>
          <w:sz w:val="20"/>
          <w:szCs w:val="20"/>
          <w:lang w:val="en-GB"/>
        </w:rPr>
        <w:t>via</w:t>
      </w:r>
      <w:r w:rsidRPr="00A80862">
        <w:rPr>
          <w:rFonts w:ascii="Times New Roman" w:hAnsi="Times New Roman"/>
          <w:sz w:val="20"/>
          <w:szCs w:val="20"/>
          <w:lang w:val="en-GB"/>
        </w:rPr>
        <w:t xml:space="preserve"> two different routes using established </w:t>
      </w:r>
      <w:r w:rsidRPr="00A80862">
        <w:rPr>
          <w:rFonts w:ascii="Times New Roman" w:hAnsi="Times New Roman"/>
          <w:sz w:val="20"/>
          <w:szCs w:val="20"/>
          <w:lang w:val="en-GB"/>
        </w:rPr>
        <w:lastRenderedPageBreak/>
        <w:t>protocols, including</w:t>
      </w:r>
      <w:r w:rsidRPr="00A80862">
        <w:rPr>
          <w:rFonts w:ascii="Times New Roman" w:hAnsi="Times New Roman"/>
          <w:sz w:val="20"/>
          <w:szCs w:val="20"/>
          <w:lang w:val="en-GB" w:eastAsia="en-GB"/>
        </w:rPr>
        <w:t xml:space="preserve"> indole ring closure, aryl coupling, and thermal cyclisation. </w:t>
      </w:r>
      <w:r w:rsidRPr="00A80862">
        <w:rPr>
          <w:rFonts w:ascii="Times New Roman" w:hAnsi="Times New Roman"/>
          <w:sz w:val="20"/>
          <w:szCs w:val="20"/>
          <w:lang w:val="en-GB"/>
        </w:rPr>
        <w:t xml:space="preserve">The cytotoxicity effects were also compared with all intermediates produced in the synthesis of girinimbine. The compounds </w:t>
      </w:r>
      <w:r w:rsidRPr="00A80862">
        <w:rPr>
          <w:rFonts w:ascii="Times New Roman" w:hAnsi="Times New Roman"/>
          <w:b/>
          <w:sz w:val="20"/>
          <w:szCs w:val="20"/>
          <w:lang w:val="en-GB"/>
        </w:rPr>
        <w:t>8i</w:t>
      </w:r>
      <w:r w:rsidRPr="00A80862">
        <w:rPr>
          <w:rFonts w:ascii="Times New Roman" w:hAnsi="Times New Roman"/>
          <w:sz w:val="20"/>
          <w:szCs w:val="20"/>
          <w:lang w:val="en-GB"/>
        </w:rPr>
        <w:t xml:space="preserve"> and </w:t>
      </w:r>
      <w:r w:rsidRPr="00A80862">
        <w:rPr>
          <w:rFonts w:ascii="Times New Roman" w:hAnsi="Times New Roman"/>
          <w:b/>
          <w:sz w:val="20"/>
          <w:szCs w:val="20"/>
          <w:lang w:val="en-GB"/>
        </w:rPr>
        <w:t>8s</w:t>
      </w:r>
      <w:r w:rsidRPr="00A80862">
        <w:rPr>
          <w:rFonts w:ascii="Times New Roman" w:hAnsi="Times New Roman"/>
          <w:sz w:val="20"/>
          <w:szCs w:val="20"/>
          <w:lang w:val="en-GB"/>
        </w:rPr>
        <w:t xml:space="preserve"> would act as the references for the cytotoxicity properties of the derivatives. </w:t>
      </w:r>
    </w:p>
    <w:p w14:paraId="3C9F39AC" w14:textId="77777777" w:rsidR="00A80862" w:rsidRPr="00A80862" w:rsidRDefault="00A80862" w:rsidP="00A80862">
      <w:pPr>
        <w:autoSpaceDE w:val="0"/>
        <w:autoSpaceDN w:val="0"/>
        <w:adjustRightInd w:val="0"/>
        <w:spacing w:after="0"/>
        <w:jc w:val="center"/>
        <w:rPr>
          <w:rFonts w:ascii="Times New Roman" w:hAnsi="Times New Roman"/>
          <w:sz w:val="20"/>
          <w:szCs w:val="20"/>
          <w:lang w:val="en-GB"/>
        </w:rPr>
      </w:pPr>
    </w:p>
    <w:p w14:paraId="43745673" w14:textId="0E8F0B99" w:rsidR="00A80862" w:rsidRPr="00A80862" w:rsidRDefault="00A80862" w:rsidP="00A80862">
      <w:pPr>
        <w:spacing w:after="0"/>
        <w:jc w:val="center"/>
        <w:rPr>
          <w:rFonts w:ascii="Times New Roman" w:hAnsi="Times New Roman"/>
          <w:b/>
          <w:sz w:val="20"/>
          <w:szCs w:val="20"/>
        </w:rPr>
      </w:pPr>
      <w:r w:rsidRPr="00A80862">
        <w:rPr>
          <w:rFonts w:ascii="Times New Roman" w:hAnsi="Times New Roman"/>
          <w:b/>
          <w:sz w:val="20"/>
          <w:szCs w:val="20"/>
          <w:lang w:val="en-GB"/>
        </w:rPr>
        <w:t>Materials and Methods</w:t>
      </w:r>
    </w:p>
    <w:p w14:paraId="612540E2" w14:textId="77777777" w:rsidR="00A80862" w:rsidRPr="00A80862" w:rsidRDefault="00A80862" w:rsidP="00A80862">
      <w:pPr>
        <w:pStyle w:val="Heading2"/>
        <w:spacing w:before="0" w:line="276" w:lineRule="auto"/>
        <w:jc w:val="both"/>
        <w:rPr>
          <w:rFonts w:ascii="Times New Roman" w:hAnsi="Times New Roman"/>
          <w:b/>
          <w:bCs/>
          <w:smallCaps w:val="0"/>
          <w:sz w:val="20"/>
          <w:szCs w:val="20"/>
          <w:lang w:val="en-GB"/>
        </w:rPr>
      </w:pPr>
      <w:r w:rsidRPr="00A80862">
        <w:rPr>
          <w:rFonts w:ascii="Times New Roman" w:hAnsi="Times New Roman"/>
          <w:b/>
          <w:bCs/>
          <w:smallCaps w:val="0"/>
          <w:sz w:val="20"/>
          <w:szCs w:val="20"/>
          <w:lang w:val="en-GB"/>
        </w:rPr>
        <w:t>General</w:t>
      </w:r>
    </w:p>
    <w:p w14:paraId="6D370666"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All chemicals and solvents used in this study are commercially available. All reactions were monitored using thin-layer chromatography (TLC) and silica gel 60 F245 (Merck KGaA) precoated aluminium-backed plates and visualised under ultraviolet light (UVP, UV Lamp UVGL-58) prior to dipping in H</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SO</w:t>
      </w:r>
      <w:r w:rsidRPr="00A80862">
        <w:rPr>
          <w:rFonts w:ascii="Times New Roman" w:hAnsi="Times New Roman"/>
          <w:sz w:val="20"/>
          <w:szCs w:val="20"/>
          <w:vertAlign w:val="subscript"/>
          <w:lang w:val="en-GB"/>
        </w:rPr>
        <w:t>4</w:t>
      </w:r>
      <w:r w:rsidRPr="00A80862">
        <w:rPr>
          <w:rFonts w:ascii="Times New Roman" w:hAnsi="Times New Roman"/>
          <w:sz w:val="20"/>
          <w:szCs w:val="20"/>
          <w:lang w:val="en-GB"/>
        </w:rPr>
        <w:t>. The solvents were removed under vacuo by an EYELA rotary evaporator N-100 or a Buchi=poiuuu9 rotavapor R-215. The organic phases were dried under Na</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SO</w:t>
      </w:r>
      <w:r w:rsidRPr="00A80862">
        <w:rPr>
          <w:rFonts w:ascii="Times New Roman" w:hAnsi="Times New Roman"/>
          <w:sz w:val="20"/>
          <w:szCs w:val="20"/>
          <w:vertAlign w:val="subscript"/>
          <w:lang w:val="en-GB"/>
        </w:rPr>
        <w:t>4</w:t>
      </w:r>
      <w:r w:rsidRPr="00A80862">
        <w:rPr>
          <w:rFonts w:ascii="Times New Roman" w:hAnsi="Times New Roman"/>
          <w:sz w:val="20"/>
          <w:szCs w:val="20"/>
          <w:lang w:val="en-GB"/>
        </w:rPr>
        <w:t>. Column chromatography was performed with 100–150 mesh of silica gel 60 (0.040–0.063 mm) as the stationary phase. The digital melting point equipment (Electrothermal IA9000 Series) was used to measure the melting point and the measurement was repeated at least three times for each compound. The IR spectra were obtained by Perkin-Elmer FT-IR Model Spectrum 100 series spectrophotometer using UATR techniques. The MS spectra were obtained from a Shimadzu model QP5050A spectrometer. 1D and 2D NMR spectra were recorded with a JEOL FT-NMR 500 MHz spectrophotometer using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The chemical shifts (δ) were recorded in ppm relative to the TMS signal described with an appropriate abbreviation for multiplicities as s (singlet), d (doublet), t (triplet), and m (multiplet), whereas the coupling constants J are given in Hz. </w:t>
      </w:r>
    </w:p>
    <w:p w14:paraId="72FD7143" w14:textId="77777777" w:rsidR="00A80862" w:rsidRPr="00A80862" w:rsidRDefault="00A80862" w:rsidP="00A80862">
      <w:pPr>
        <w:spacing w:after="0"/>
        <w:jc w:val="both"/>
        <w:rPr>
          <w:rFonts w:ascii="Times New Roman" w:hAnsi="Times New Roman"/>
          <w:sz w:val="20"/>
          <w:szCs w:val="20"/>
          <w:lang w:val="en-GB"/>
        </w:rPr>
      </w:pPr>
    </w:p>
    <w:p w14:paraId="7FEEFB11"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Isolated natural girinimbine (</w:t>
      </w:r>
      <w:r w:rsidRPr="00A80862">
        <w:rPr>
          <w:rFonts w:ascii="Times New Roman" w:hAnsi="Times New Roman"/>
          <w:b/>
          <w:sz w:val="20"/>
          <w:szCs w:val="20"/>
          <w:lang w:val="en-GB"/>
        </w:rPr>
        <w:t>8i</w:t>
      </w:r>
      <w:r w:rsidRPr="00A80862">
        <w:rPr>
          <w:rFonts w:ascii="Times New Roman" w:hAnsi="Times New Roman"/>
          <w:sz w:val="20"/>
          <w:szCs w:val="20"/>
          <w:lang w:val="en-GB"/>
        </w:rPr>
        <w:t xml:space="preserve">) from the bark of </w:t>
      </w:r>
      <w:r w:rsidRPr="00A80862">
        <w:rPr>
          <w:rFonts w:ascii="Times New Roman" w:hAnsi="Times New Roman"/>
          <w:i/>
          <w:iCs/>
          <w:sz w:val="20"/>
          <w:szCs w:val="20"/>
          <w:lang w:val="en-GB"/>
        </w:rPr>
        <w:t>M. koenigii</w:t>
      </w:r>
      <w:r w:rsidRPr="00A80862">
        <w:rPr>
          <w:rFonts w:ascii="Times New Roman" w:hAnsi="Times New Roman"/>
          <w:sz w:val="20"/>
          <w:szCs w:val="20"/>
          <w:lang w:val="en-GB"/>
        </w:rPr>
        <w:t xml:space="preserve"> was obtained from the laboratory of the co-researchers in the Department of Chemistry, Universiti Pendidikan Sultan Idris, Malaysia for data comparison and the semi-synthesis of girinimbine derivatives (</w:t>
      </w:r>
      <w:r w:rsidRPr="00A80862">
        <w:rPr>
          <w:rFonts w:ascii="Times New Roman" w:hAnsi="Times New Roman"/>
          <w:b/>
          <w:sz w:val="20"/>
          <w:szCs w:val="20"/>
          <w:lang w:val="en-GB"/>
        </w:rPr>
        <w:t>9</w:t>
      </w:r>
      <w:r w:rsidRPr="00A80862">
        <w:rPr>
          <w:rFonts w:ascii="Times New Roman" w:hAnsi="Times New Roman"/>
          <w:sz w:val="20"/>
          <w:szCs w:val="20"/>
          <w:lang w:val="en-GB"/>
        </w:rPr>
        <w:t>-</w:t>
      </w:r>
      <w:r w:rsidRPr="00A80862">
        <w:rPr>
          <w:rFonts w:ascii="Times New Roman" w:hAnsi="Times New Roman"/>
          <w:b/>
          <w:sz w:val="20"/>
          <w:szCs w:val="20"/>
          <w:lang w:val="en-GB"/>
        </w:rPr>
        <w:t>13</w:t>
      </w:r>
      <w:r w:rsidRPr="00A80862">
        <w:rPr>
          <w:rFonts w:ascii="Times New Roman" w:hAnsi="Times New Roman"/>
          <w:sz w:val="20"/>
          <w:szCs w:val="20"/>
          <w:lang w:val="en-GB"/>
        </w:rPr>
        <w:t xml:space="preserve">) </w:t>
      </w:r>
      <w:r w:rsidRPr="00A80862">
        <w:rPr>
          <w:rFonts w:ascii="Times New Roman" w:hAnsi="Times New Roman"/>
          <w:sz w:val="20"/>
          <w:szCs w:val="20"/>
          <w:lang w:val="en-GB" w:eastAsia="en-GB"/>
        </w:rPr>
        <w:t>as previously reported [21].</w:t>
      </w:r>
      <w:r w:rsidRPr="00A80862">
        <w:rPr>
          <w:rFonts w:ascii="Times New Roman" w:hAnsi="Times New Roman"/>
          <w:sz w:val="20"/>
          <w:szCs w:val="20"/>
          <w:lang w:val="en-GB"/>
        </w:rPr>
        <w:t xml:space="preserve"> </w:t>
      </w:r>
    </w:p>
    <w:p w14:paraId="0E22B264" w14:textId="0FDC894D" w:rsidR="00A80862" w:rsidRDefault="00A80862" w:rsidP="00A80862">
      <w:pPr>
        <w:pStyle w:val="Heading2"/>
        <w:spacing w:before="0" w:line="276" w:lineRule="auto"/>
        <w:jc w:val="both"/>
        <w:rPr>
          <w:rFonts w:ascii="Times New Roman" w:hAnsi="Times New Roman"/>
          <w:sz w:val="20"/>
          <w:szCs w:val="20"/>
          <w:lang w:val="en-GB"/>
        </w:rPr>
      </w:pPr>
    </w:p>
    <w:p w14:paraId="1A8BF830" w14:textId="77777777" w:rsidR="00F45F70" w:rsidRPr="00F45F70" w:rsidRDefault="00F45F70" w:rsidP="00F45F70">
      <w:pPr>
        <w:rPr>
          <w:lang w:val="en-GB" w:eastAsia="x-none"/>
        </w:rPr>
      </w:pPr>
    </w:p>
    <w:p w14:paraId="64225981" w14:textId="77777777" w:rsidR="00A80862" w:rsidRPr="00A80862" w:rsidRDefault="00A80862" w:rsidP="00A80862">
      <w:pPr>
        <w:pStyle w:val="Heading2"/>
        <w:spacing w:before="0" w:line="276" w:lineRule="auto"/>
        <w:jc w:val="both"/>
        <w:rPr>
          <w:rFonts w:ascii="Times New Roman" w:hAnsi="Times New Roman"/>
          <w:b/>
          <w:bCs/>
          <w:smallCaps w:val="0"/>
          <w:sz w:val="20"/>
          <w:szCs w:val="20"/>
          <w:lang w:val="en-GB"/>
        </w:rPr>
      </w:pPr>
      <w:r w:rsidRPr="00A80862">
        <w:rPr>
          <w:rFonts w:ascii="Times New Roman" w:hAnsi="Times New Roman"/>
          <w:b/>
          <w:bCs/>
          <w:smallCaps w:val="0"/>
          <w:sz w:val="20"/>
          <w:szCs w:val="20"/>
          <w:lang w:val="en-GB"/>
        </w:rPr>
        <w:t xml:space="preserve">Synthesis of Girinimbine (8s): </w:t>
      </w:r>
      <w:r w:rsidRPr="00A80862">
        <w:rPr>
          <w:rFonts w:ascii="Times New Roman" w:hAnsi="Times New Roman"/>
          <w:b/>
          <w:bCs/>
          <w:iCs/>
          <w:smallCaps w:val="0"/>
          <w:sz w:val="20"/>
          <w:szCs w:val="20"/>
          <w:lang w:val="en-GB"/>
        </w:rPr>
        <w:t xml:space="preserve">3-Methyl-2'-nitrobiphenyl-4-ol (3) </w:t>
      </w:r>
    </w:p>
    <w:p w14:paraId="14D08607"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A mixture of </w:t>
      </w:r>
      <w:r w:rsidRPr="00A80862">
        <w:rPr>
          <w:rFonts w:ascii="Times New Roman" w:hAnsi="Times New Roman"/>
          <w:i/>
          <w:sz w:val="20"/>
          <w:szCs w:val="20"/>
          <w:vertAlign w:val="superscript"/>
          <w:lang w:val="en-GB"/>
        </w:rPr>
        <w:t>i</w:t>
      </w:r>
      <w:r w:rsidRPr="00A80862">
        <w:rPr>
          <w:rFonts w:ascii="Times New Roman" w:hAnsi="Times New Roman"/>
          <w:sz w:val="20"/>
          <w:szCs w:val="20"/>
          <w:lang w:val="en-GB"/>
        </w:rPr>
        <w:t>Pr</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NEt (0.43 mmol), Pd(OAc)</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 xml:space="preserve"> (0.43 mmol), </w:t>
      </w:r>
      <w:r w:rsidRPr="00A80862">
        <w:rPr>
          <w:rFonts w:ascii="Times New Roman" w:hAnsi="Times New Roman"/>
          <w:i/>
          <w:sz w:val="20"/>
          <w:szCs w:val="20"/>
          <w:lang w:val="en-GB"/>
        </w:rPr>
        <w:t>n</w:t>
      </w:r>
      <w:r w:rsidRPr="00A80862">
        <w:rPr>
          <w:rFonts w:ascii="Times New Roman" w:hAnsi="Times New Roman"/>
          <w:sz w:val="20"/>
          <w:szCs w:val="20"/>
          <w:lang w:val="en-GB"/>
        </w:rPr>
        <w:t>Bu</w:t>
      </w:r>
      <w:r w:rsidRPr="00A80862">
        <w:rPr>
          <w:rFonts w:ascii="Times New Roman" w:hAnsi="Times New Roman"/>
          <w:sz w:val="20"/>
          <w:szCs w:val="20"/>
          <w:vertAlign w:val="subscript"/>
          <w:lang w:val="en-GB"/>
        </w:rPr>
        <w:t>4</w:t>
      </w:r>
      <w:r w:rsidRPr="00A80862">
        <w:rPr>
          <w:rFonts w:ascii="Times New Roman" w:hAnsi="Times New Roman"/>
          <w:sz w:val="20"/>
          <w:szCs w:val="20"/>
          <w:lang w:val="en-GB"/>
        </w:rPr>
        <w:t>NBr (0.43 mmol), 1-bromo-2-nitrobenzene (</w:t>
      </w:r>
      <w:r w:rsidRPr="00A80862">
        <w:rPr>
          <w:rFonts w:ascii="Times New Roman" w:hAnsi="Times New Roman"/>
          <w:b/>
          <w:sz w:val="20"/>
          <w:szCs w:val="20"/>
          <w:lang w:val="en-GB"/>
        </w:rPr>
        <w:t>1</w:t>
      </w:r>
      <w:r w:rsidRPr="00A80862">
        <w:rPr>
          <w:rFonts w:ascii="Times New Roman" w:hAnsi="Times New Roman"/>
          <w:sz w:val="20"/>
          <w:szCs w:val="20"/>
          <w:lang w:val="en-GB"/>
        </w:rPr>
        <w:t>) (1.71 mmol), and 4-iodo-2-methylphenol (</w:t>
      </w:r>
      <w:r w:rsidRPr="00A80862">
        <w:rPr>
          <w:rFonts w:ascii="Times New Roman" w:hAnsi="Times New Roman"/>
          <w:b/>
          <w:sz w:val="20"/>
          <w:szCs w:val="20"/>
          <w:lang w:val="en-GB"/>
        </w:rPr>
        <w:t>2</w:t>
      </w:r>
      <w:r w:rsidRPr="00A80862">
        <w:rPr>
          <w:rFonts w:ascii="Times New Roman" w:hAnsi="Times New Roman"/>
          <w:sz w:val="20"/>
          <w:szCs w:val="20"/>
          <w:lang w:val="en-GB"/>
        </w:rPr>
        <w:t xml:space="preserve">) (0.43 mmol) was refluxed in </w:t>
      </w:r>
      <w:r w:rsidRPr="00A80862">
        <w:rPr>
          <w:rFonts w:ascii="Times New Roman" w:hAnsi="Times New Roman"/>
          <w:i/>
          <w:sz w:val="20"/>
          <w:szCs w:val="20"/>
          <w:lang w:val="en-GB"/>
        </w:rPr>
        <w:t>p</w:t>
      </w:r>
      <w:r w:rsidRPr="00A80862">
        <w:rPr>
          <w:rFonts w:ascii="Times New Roman" w:hAnsi="Times New Roman"/>
          <w:sz w:val="20"/>
          <w:szCs w:val="20"/>
          <w:lang w:val="en-GB"/>
        </w:rPr>
        <w:t xml:space="preserve">-xylene (10 mL) at 130°C for 3 days. The mixture was then allowed to warm to room temperature before the addition of water (10 mL) and ether (10 mL). The separated organic phase was washed with water (10 mL), dried, and evaporated. The product was purified using column chromatography (hexane-ethyl acetate, 9:1). </w:t>
      </w:r>
    </w:p>
    <w:p w14:paraId="1EB27E0E" w14:textId="77777777" w:rsidR="00A80862" w:rsidRPr="00A80862" w:rsidRDefault="00A80862" w:rsidP="00A80862">
      <w:pPr>
        <w:spacing w:after="0"/>
        <w:jc w:val="both"/>
        <w:rPr>
          <w:rFonts w:ascii="Times New Roman" w:hAnsi="Times New Roman"/>
          <w:sz w:val="20"/>
          <w:szCs w:val="20"/>
          <w:lang w:val="en-GB"/>
        </w:rPr>
      </w:pPr>
    </w:p>
    <w:p w14:paraId="409AABD0"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Compound </w:t>
      </w:r>
      <w:r w:rsidRPr="00A80862">
        <w:rPr>
          <w:rFonts w:ascii="Times New Roman" w:hAnsi="Times New Roman"/>
          <w:b/>
          <w:sz w:val="20"/>
          <w:szCs w:val="20"/>
          <w:lang w:val="en-GB"/>
        </w:rPr>
        <w:t>3</w:t>
      </w:r>
      <w:r w:rsidRPr="00A80862">
        <w:rPr>
          <w:rFonts w:ascii="Times New Roman" w:hAnsi="Times New Roman"/>
          <w:sz w:val="20"/>
          <w:szCs w:val="20"/>
          <w:lang w:val="en-GB"/>
        </w:rPr>
        <w:t>: Yellow oil (81 mg, 83%); IR (UATR) 3479, 3063, 2928, 1609, 1518, 1354, 1275, 1211 cm</w:t>
      </w:r>
      <w:r w:rsidRPr="00A80862">
        <w:rPr>
          <w:rFonts w:ascii="Times New Roman" w:hAnsi="Times New Roman"/>
          <w:sz w:val="20"/>
          <w:szCs w:val="20"/>
          <w:vertAlign w:val="superscript"/>
          <w:lang w:val="en-GB"/>
        </w:rPr>
        <w:t>-1</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H</w:t>
      </w:r>
      <w:r w:rsidRPr="00A80862">
        <w:rPr>
          <w:rFonts w:ascii="Times New Roman" w:hAnsi="Times New Roman"/>
          <w:sz w:val="20"/>
          <w:szCs w:val="20"/>
          <w:lang w:val="en-GB"/>
        </w:rPr>
        <w:t xml:space="preserve"> (500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7.77 (1H, d, J 8.0 Hz, H-aromatic), 7.55 (1H, t, J 8.0 Hz, H-aromatic), 7.41 (1H, t, J 8.0 Hz, H-aromatic), 7.07 (1H, s, H-aromatic), 7.01 (1H, d, J 8.0 Hz, H-aromatic), 7.00 (1H, d, J 8.0 Hz, H-aromatic), 6.78 (1H, d, J 8.0 Hz, H-aromatic), 5.00 (1H, br. s, OH), 2.25 (3H, s,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C</w:t>
      </w:r>
      <w:r w:rsidRPr="00A80862">
        <w:rPr>
          <w:rFonts w:ascii="Times New Roman" w:hAnsi="Times New Roman"/>
          <w:sz w:val="20"/>
          <w:szCs w:val="20"/>
          <w:lang w:val="en-GB"/>
        </w:rPr>
        <w:t xml:space="preserve"> (125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154.3, 149.6, 136.2, 132.3, 132.1, 130.8, 129.8, 127.8, 126.9, 124.6, 124.2, 115.5, 16.0; m/z (EI) 229 (M</w:t>
      </w:r>
      <w:r w:rsidRPr="00A80862">
        <w:rPr>
          <w:rFonts w:ascii="Times New Roman" w:hAnsi="Times New Roman"/>
          <w:sz w:val="20"/>
          <w:szCs w:val="20"/>
          <w:vertAlign w:val="superscript"/>
          <w:lang w:val="en-GB"/>
        </w:rPr>
        <w:t>+</w:t>
      </w:r>
      <w:r w:rsidRPr="00A80862">
        <w:rPr>
          <w:rFonts w:ascii="Times New Roman" w:hAnsi="Times New Roman"/>
          <w:sz w:val="20"/>
          <w:szCs w:val="20"/>
          <w:lang w:val="en-GB"/>
        </w:rPr>
        <w:t>, C</w:t>
      </w:r>
      <w:r w:rsidRPr="00A80862">
        <w:rPr>
          <w:rFonts w:ascii="Times New Roman" w:hAnsi="Times New Roman"/>
          <w:sz w:val="20"/>
          <w:szCs w:val="20"/>
          <w:vertAlign w:val="subscript"/>
          <w:lang w:val="en-GB"/>
        </w:rPr>
        <w:t>13</w:t>
      </w:r>
      <w:r w:rsidRPr="00A80862">
        <w:rPr>
          <w:rFonts w:ascii="Times New Roman" w:hAnsi="Times New Roman"/>
          <w:sz w:val="20"/>
          <w:szCs w:val="20"/>
          <w:lang w:val="en-GB"/>
        </w:rPr>
        <w:t>H</w:t>
      </w:r>
      <w:r w:rsidRPr="00A80862">
        <w:rPr>
          <w:rFonts w:ascii="Times New Roman" w:hAnsi="Times New Roman"/>
          <w:sz w:val="20"/>
          <w:szCs w:val="20"/>
          <w:vertAlign w:val="subscript"/>
          <w:lang w:val="en-GB"/>
        </w:rPr>
        <w:t>11</w:t>
      </w:r>
      <w:r w:rsidRPr="00A80862">
        <w:rPr>
          <w:rFonts w:ascii="Times New Roman" w:hAnsi="Times New Roman"/>
          <w:sz w:val="20"/>
          <w:szCs w:val="20"/>
          <w:lang w:val="en-GB"/>
        </w:rPr>
        <w:t>NO</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requires 229). </w:t>
      </w:r>
    </w:p>
    <w:p w14:paraId="08BE2468" w14:textId="77777777" w:rsidR="00A80862" w:rsidRPr="00A80862" w:rsidRDefault="00A80862" w:rsidP="00A80862">
      <w:pPr>
        <w:spacing w:after="0"/>
        <w:jc w:val="both"/>
        <w:rPr>
          <w:rFonts w:ascii="Times New Roman" w:hAnsi="Times New Roman"/>
          <w:sz w:val="20"/>
          <w:szCs w:val="20"/>
          <w:lang w:val="en-GB"/>
        </w:rPr>
      </w:pPr>
    </w:p>
    <w:p w14:paraId="01875518" w14:textId="77777777" w:rsidR="00A80862" w:rsidRPr="00A80862" w:rsidRDefault="00A80862" w:rsidP="00A80862">
      <w:pPr>
        <w:spacing w:after="0"/>
        <w:jc w:val="both"/>
        <w:rPr>
          <w:rFonts w:ascii="Times New Roman" w:hAnsi="Times New Roman"/>
          <w:b/>
          <w:iCs/>
          <w:sz w:val="20"/>
          <w:szCs w:val="20"/>
          <w:lang w:val="en-GB"/>
        </w:rPr>
      </w:pPr>
      <w:r w:rsidRPr="00A80862">
        <w:rPr>
          <w:rFonts w:ascii="Times New Roman" w:hAnsi="Times New Roman"/>
          <w:b/>
          <w:iCs/>
          <w:sz w:val="20"/>
          <w:szCs w:val="20"/>
          <w:lang w:val="en-GB"/>
        </w:rPr>
        <w:t xml:space="preserve">2-Hydroxy-3-methylcarbazole (6) </w:t>
      </w:r>
    </w:p>
    <w:p w14:paraId="3FD82CBF"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Route 1: 3-Methyl-2'-nitrobiphenyl-4-ol (</w:t>
      </w:r>
      <w:r w:rsidRPr="00A80862">
        <w:rPr>
          <w:rFonts w:ascii="Times New Roman" w:hAnsi="Times New Roman"/>
          <w:b/>
          <w:sz w:val="20"/>
          <w:szCs w:val="20"/>
          <w:lang w:val="en-GB"/>
        </w:rPr>
        <w:t>3</w:t>
      </w:r>
      <w:r w:rsidRPr="00A80862">
        <w:rPr>
          <w:rFonts w:ascii="Times New Roman" w:hAnsi="Times New Roman"/>
          <w:sz w:val="20"/>
          <w:szCs w:val="20"/>
          <w:lang w:val="en-GB"/>
        </w:rPr>
        <w:t>) (0.35 mmol), SnCl</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·2H</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O (2.18 mmol), and EtOH (3 mL) were refluxed at 60°C for 6 h. The mixture was poured into cold water (10 mL) and NaHCO</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was added to reach pH 7. The precipitate was filtered and the aqueous layer was extracted with ethyl acetate (3 × 10 mL). The combined organic phase was dried and evaporated. The crude product was purified using column chromatography (chloroform-ethyl acetate, 9.5:0.5). </w:t>
      </w:r>
    </w:p>
    <w:p w14:paraId="6339699C" w14:textId="77777777" w:rsidR="00A80862" w:rsidRPr="00A80862" w:rsidRDefault="00A80862" w:rsidP="00A80862">
      <w:pPr>
        <w:spacing w:after="0"/>
        <w:jc w:val="both"/>
        <w:rPr>
          <w:rFonts w:ascii="Times New Roman" w:hAnsi="Times New Roman"/>
          <w:sz w:val="20"/>
          <w:szCs w:val="20"/>
          <w:lang w:val="en-GB"/>
        </w:rPr>
      </w:pPr>
    </w:p>
    <w:p w14:paraId="2C958341"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Route 2: 1,2-Dibromobenzene (</w:t>
      </w:r>
      <w:r w:rsidRPr="00A80862">
        <w:rPr>
          <w:rFonts w:ascii="Times New Roman" w:hAnsi="Times New Roman"/>
          <w:b/>
          <w:sz w:val="20"/>
          <w:szCs w:val="20"/>
          <w:lang w:val="en-GB"/>
        </w:rPr>
        <w:t>4</w:t>
      </w:r>
      <w:r w:rsidRPr="00A80862">
        <w:rPr>
          <w:rFonts w:ascii="Times New Roman" w:hAnsi="Times New Roman"/>
          <w:sz w:val="20"/>
          <w:szCs w:val="20"/>
          <w:lang w:val="en-GB"/>
        </w:rPr>
        <w:t>) (0.81 mmol) and 5-amino-2-methylphenol (</w:t>
      </w:r>
      <w:r w:rsidRPr="00A80862">
        <w:rPr>
          <w:rFonts w:ascii="Times New Roman" w:hAnsi="Times New Roman"/>
          <w:b/>
          <w:sz w:val="20"/>
          <w:szCs w:val="20"/>
          <w:lang w:val="en-GB"/>
        </w:rPr>
        <w:t>5</w:t>
      </w:r>
      <w:r w:rsidRPr="00A80862">
        <w:rPr>
          <w:rFonts w:ascii="Times New Roman" w:hAnsi="Times New Roman"/>
          <w:sz w:val="20"/>
          <w:szCs w:val="20"/>
          <w:lang w:val="en-GB"/>
        </w:rPr>
        <w:t>) (0.81 mmol) were added into toluene (3 mL). Then, CuBr (0.41 mmol), DMEDA (0.2 mmol), K</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CO</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(0.81 mmol), Pd(dppf)Cl</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 xml:space="preserve"> (0.41 mmol), and KOAc (1.22 mmol) were added to the solution. The reaction mixture was refluxed under a nitrogen atmosphere at 120°C for 3 days. After 3 days, the reaction mixture was cooled to room temperature </w:t>
      </w:r>
      <w:r w:rsidRPr="00A80862">
        <w:rPr>
          <w:rFonts w:ascii="Times New Roman" w:hAnsi="Times New Roman"/>
          <w:sz w:val="20"/>
          <w:szCs w:val="20"/>
          <w:lang w:val="en-GB"/>
        </w:rPr>
        <w:lastRenderedPageBreak/>
        <w:t xml:space="preserve">and washed with ethyl acetate (3 × 10 mL), dried, and filtered. The combined organic layer was concentrated using rotary evaporation and the residue was purified by column chromatography (hexane-ethyl acetate, 7:2). </w:t>
      </w:r>
    </w:p>
    <w:p w14:paraId="7ED91892" w14:textId="77777777" w:rsidR="00A80862" w:rsidRPr="00A80862" w:rsidRDefault="00A80862" w:rsidP="00A80862">
      <w:pPr>
        <w:spacing w:after="0"/>
        <w:jc w:val="both"/>
        <w:rPr>
          <w:rFonts w:ascii="Times New Roman" w:hAnsi="Times New Roman"/>
          <w:sz w:val="20"/>
          <w:szCs w:val="20"/>
          <w:lang w:val="en-GB"/>
        </w:rPr>
      </w:pPr>
    </w:p>
    <w:p w14:paraId="69908F93"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Compound </w:t>
      </w:r>
      <w:r w:rsidRPr="00A80862">
        <w:rPr>
          <w:rFonts w:ascii="Times New Roman" w:hAnsi="Times New Roman"/>
          <w:b/>
          <w:sz w:val="20"/>
          <w:szCs w:val="20"/>
          <w:lang w:val="en-GB"/>
        </w:rPr>
        <w:t>6</w:t>
      </w:r>
      <w:r w:rsidRPr="00A80862">
        <w:rPr>
          <w:rFonts w:ascii="Times New Roman" w:hAnsi="Times New Roman"/>
          <w:sz w:val="20"/>
          <w:szCs w:val="20"/>
          <w:lang w:val="en-GB"/>
        </w:rPr>
        <w:t>: Brown solid (Route 1: 62 mg, 90%; Route 2: 77 mg, 48%); mp 242–243°C (lit. 245°C) [22]; IR (UATR) 3375, 2923, 2857, 1606, 1493, 1268, 753 cm</w:t>
      </w:r>
      <w:r w:rsidRPr="00A80862">
        <w:rPr>
          <w:rFonts w:ascii="Times New Roman" w:hAnsi="Times New Roman"/>
          <w:sz w:val="20"/>
          <w:szCs w:val="20"/>
          <w:vertAlign w:val="superscript"/>
          <w:lang w:val="en-GB"/>
        </w:rPr>
        <w:t>-1</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H</w:t>
      </w:r>
      <w:r w:rsidRPr="00A80862">
        <w:rPr>
          <w:rFonts w:ascii="Times New Roman" w:hAnsi="Times New Roman"/>
          <w:sz w:val="20"/>
          <w:szCs w:val="20"/>
          <w:lang w:val="en-GB"/>
        </w:rPr>
        <w:t xml:space="preserve"> (500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6.97 (1H, br. s, NH), 6.92 (1H, t, J 9.2 Hz, H-aromatic), 6.87 (1H, d, J 9.2 Hz, H-aromatic), 6.71 (1H, s, H-aromatic), 6.69 (1H, s, H-aromatic), 6.67 (1H, d, J 8.0 Hz, H-aromatic), 6.60 (1H, d, J 8.0 Hz, H-aromatic), 2.10 (3H, s,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C</w:t>
      </w:r>
      <w:r w:rsidRPr="00A80862">
        <w:rPr>
          <w:rFonts w:ascii="Times New Roman" w:hAnsi="Times New Roman"/>
          <w:sz w:val="20"/>
          <w:szCs w:val="20"/>
          <w:lang w:val="en-GB"/>
        </w:rPr>
        <w:t xml:space="preserve"> (125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155.7, 145.1, 132.3, 131.9, 131.1, 129.6, 128.6, 128.2, 125.9, 119.5, 116.9, 115.8, 16.2; m/z (EI) 197 (M</w:t>
      </w:r>
      <w:r w:rsidRPr="00A80862">
        <w:rPr>
          <w:rFonts w:ascii="Times New Roman" w:hAnsi="Times New Roman"/>
          <w:sz w:val="20"/>
          <w:szCs w:val="20"/>
          <w:vertAlign w:val="superscript"/>
          <w:lang w:val="en-GB"/>
        </w:rPr>
        <w:t>+</w:t>
      </w:r>
      <w:r w:rsidRPr="00A80862">
        <w:rPr>
          <w:rFonts w:ascii="Times New Roman" w:hAnsi="Times New Roman"/>
          <w:sz w:val="20"/>
          <w:szCs w:val="20"/>
          <w:lang w:val="en-GB"/>
        </w:rPr>
        <w:t>, C</w:t>
      </w:r>
      <w:r w:rsidRPr="00A80862">
        <w:rPr>
          <w:rFonts w:ascii="Times New Roman" w:hAnsi="Times New Roman"/>
          <w:sz w:val="20"/>
          <w:szCs w:val="20"/>
          <w:vertAlign w:val="subscript"/>
          <w:lang w:val="en-GB"/>
        </w:rPr>
        <w:t>13</w:t>
      </w:r>
      <w:r w:rsidRPr="00A80862">
        <w:rPr>
          <w:rFonts w:ascii="Times New Roman" w:hAnsi="Times New Roman"/>
          <w:sz w:val="20"/>
          <w:szCs w:val="20"/>
          <w:lang w:val="en-GB"/>
        </w:rPr>
        <w:t>H</w:t>
      </w:r>
      <w:r w:rsidRPr="00A80862">
        <w:rPr>
          <w:rFonts w:ascii="Times New Roman" w:hAnsi="Times New Roman"/>
          <w:sz w:val="20"/>
          <w:szCs w:val="20"/>
          <w:vertAlign w:val="subscript"/>
          <w:lang w:val="en-GB"/>
        </w:rPr>
        <w:t>11</w:t>
      </w:r>
      <w:r w:rsidRPr="00A80862">
        <w:rPr>
          <w:rFonts w:ascii="Times New Roman" w:hAnsi="Times New Roman"/>
          <w:sz w:val="20"/>
          <w:szCs w:val="20"/>
          <w:lang w:val="en-GB"/>
        </w:rPr>
        <w:t xml:space="preserve">NO requires 197). </w:t>
      </w:r>
    </w:p>
    <w:p w14:paraId="69E0E207" w14:textId="77777777" w:rsidR="00A80862" w:rsidRPr="00A80862" w:rsidRDefault="00A80862" w:rsidP="00A80862">
      <w:pPr>
        <w:spacing w:after="0"/>
        <w:jc w:val="both"/>
        <w:rPr>
          <w:rFonts w:ascii="Times New Roman" w:hAnsi="Times New Roman"/>
          <w:sz w:val="20"/>
          <w:szCs w:val="20"/>
          <w:lang w:val="en-GB"/>
        </w:rPr>
      </w:pPr>
    </w:p>
    <w:p w14:paraId="734C0866" w14:textId="77777777" w:rsidR="00A80862" w:rsidRPr="00A80862" w:rsidRDefault="00A80862" w:rsidP="00A80862">
      <w:pPr>
        <w:spacing w:after="0"/>
        <w:jc w:val="both"/>
        <w:rPr>
          <w:rFonts w:ascii="Times New Roman" w:hAnsi="Times New Roman"/>
          <w:b/>
          <w:iCs/>
          <w:sz w:val="20"/>
          <w:szCs w:val="20"/>
          <w:lang w:val="en-GB"/>
        </w:rPr>
      </w:pPr>
      <w:r w:rsidRPr="00A80862">
        <w:rPr>
          <w:rFonts w:ascii="Times New Roman" w:hAnsi="Times New Roman"/>
          <w:b/>
          <w:iCs/>
          <w:sz w:val="20"/>
          <w:szCs w:val="20"/>
          <w:lang w:val="en-GB"/>
        </w:rPr>
        <w:t xml:space="preserve">3-Methyl-2-[(-methylbut-3-yn-2-yl)oxy]-9H-carbazole (7) </w:t>
      </w:r>
    </w:p>
    <w:p w14:paraId="46EB136F"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2-Hydroxy-3-methylcarbazole (</w:t>
      </w:r>
      <w:r w:rsidRPr="00A80862">
        <w:rPr>
          <w:rFonts w:ascii="Times New Roman" w:hAnsi="Times New Roman"/>
          <w:b/>
          <w:sz w:val="20"/>
          <w:szCs w:val="20"/>
          <w:lang w:val="en-GB"/>
        </w:rPr>
        <w:t>6</w:t>
      </w:r>
      <w:r w:rsidRPr="00A80862">
        <w:rPr>
          <w:rFonts w:ascii="Times New Roman" w:hAnsi="Times New Roman"/>
          <w:sz w:val="20"/>
          <w:szCs w:val="20"/>
          <w:lang w:val="en-GB"/>
        </w:rPr>
        <w:t>) (0.57 mmol) was added to anhydrous acetonitrile (4 mL) under nitrogen atmosphere and cooled at 0°C before the addition of DBU (0.74 mmol), CuCl</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·2H</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O (0.01 mmol), and 3-chloro-3-methyl-1-butyne (0.74 mmol). The reaction mixture was stirred at 0°C for 5 h. The residue was partitioned between water (10 mL) and toluene (20 mL). The organic fraction was washed with 1 N HCl (10 mL), 1 N NaOH (10 mL), 1 N NaHCO</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(10 mL), and brine (10 mL). The organic layer was dried, filtered, and concentrated. The crude product was purified by column chromatography (hexane-ethyl acetate, 9:1). </w:t>
      </w:r>
    </w:p>
    <w:p w14:paraId="43557632" w14:textId="77777777" w:rsidR="00A80862" w:rsidRPr="00A80862" w:rsidRDefault="00A80862" w:rsidP="00A80862">
      <w:pPr>
        <w:spacing w:after="0"/>
        <w:jc w:val="both"/>
        <w:rPr>
          <w:rFonts w:ascii="Times New Roman" w:hAnsi="Times New Roman"/>
          <w:sz w:val="20"/>
          <w:szCs w:val="20"/>
          <w:lang w:val="en-GB"/>
        </w:rPr>
      </w:pPr>
    </w:p>
    <w:p w14:paraId="40A43315"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Compound </w:t>
      </w:r>
      <w:r w:rsidRPr="00A80862">
        <w:rPr>
          <w:rFonts w:ascii="Times New Roman" w:hAnsi="Times New Roman"/>
          <w:b/>
          <w:sz w:val="20"/>
          <w:szCs w:val="20"/>
          <w:lang w:val="en-GB"/>
        </w:rPr>
        <w:t>7</w:t>
      </w:r>
      <w:r w:rsidRPr="00A80862">
        <w:rPr>
          <w:rFonts w:ascii="Times New Roman" w:hAnsi="Times New Roman"/>
          <w:sz w:val="20"/>
          <w:szCs w:val="20"/>
          <w:lang w:val="en-GB"/>
        </w:rPr>
        <w:t>: Brown solid (96 mg, 64%); mp 121–123°C (lit. 121–124°C) [18]; IR (UATR) 3409, 3361, 2924, 2856, 1510, 1447, 1377, 1132, 754 cm</w:t>
      </w:r>
      <w:r w:rsidRPr="00A80862">
        <w:rPr>
          <w:rFonts w:ascii="Times New Roman" w:hAnsi="Times New Roman"/>
          <w:sz w:val="20"/>
          <w:szCs w:val="20"/>
          <w:vertAlign w:val="superscript"/>
          <w:lang w:val="en-GB"/>
        </w:rPr>
        <w:t>-1</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H</w:t>
      </w:r>
      <w:r w:rsidRPr="00A80862">
        <w:rPr>
          <w:rFonts w:ascii="Times New Roman" w:hAnsi="Times New Roman"/>
          <w:sz w:val="20"/>
          <w:szCs w:val="20"/>
          <w:lang w:val="en-GB"/>
        </w:rPr>
        <w:t xml:space="preserve"> (500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7.49 (1H, d, J 8.0 Hz, H-aromatic), 7.19 (1H, br. s, NH), 7.17 (1H, s, H-aromatic), 7.15 (1H, s, H-aromatic), 7.11 (1H, t, J 8.0 Hz, H-aromatic), 6.78 (1H, t, J 8.0 Hz, H-aromatic), 6.73 (1H, d, J 8.0 Hz, H-aromatic), 3.75 (1H, s, C≡CH), 2.33 (3H, s,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1.68 (6H, s, 2 ×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C</w:t>
      </w:r>
      <w:r w:rsidRPr="00A80862">
        <w:rPr>
          <w:rFonts w:ascii="Times New Roman" w:hAnsi="Times New Roman"/>
          <w:sz w:val="20"/>
          <w:szCs w:val="20"/>
          <w:lang w:val="en-GB"/>
        </w:rPr>
        <w:t xml:space="preserve"> (125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153.7, 143.8, 133.0, 131.5, 130.6, 128.3, 126.8, 119.5, 118.8, 115.6, 97.8, 91.9, 79.9, 73.0, 30.0, 20.2, 17.2; m/z (EI) 263 (M</w:t>
      </w:r>
      <w:r w:rsidRPr="00A80862">
        <w:rPr>
          <w:rFonts w:ascii="Times New Roman" w:hAnsi="Times New Roman"/>
          <w:sz w:val="20"/>
          <w:szCs w:val="20"/>
          <w:vertAlign w:val="superscript"/>
          <w:lang w:val="en-GB"/>
        </w:rPr>
        <w:t>+</w:t>
      </w:r>
      <w:r w:rsidRPr="00A80862">
        <w:rPr>
          <w:rFonts w:ascii="Times New Roman" w:hAnsi="Times New Roman"/>
          <w:sz w:val="20"/>
          <w:szCs w:val="20"/>
          <w:lang w:val="en-GB"/>
        </w:rPr>
        <w:t>, C</w:t>
      </w:r>
      <w:r w:rsidRPr="00A80862">
        <w:rPr>
          <w:rFonts w:ascii="Times New Roman" w:hAnsi="Times New Roman"/>
          <w:sz w:val="20"/>
          <w:szCs w:val="20"/>
          <w:vertAlign w:val="subscript"/>
          <w:lang w:val="en-GB"/>
        </w:rPr>
        <w:t>18</w:t>
      </w:r>
      <w:r w:rsidRPr="00A80862">
        <w:rPr>
          <w:rFonts w:ascii="Times New Roman" w:hAnsi="Times New Roman"/>
          <w:sz w:val="20"/>
          <w:szCs w:val="20"/>
          <w:lang w:val="en-GB"/>
        </w:rPr>
        <w:t>H</w:t>
      </w:r>
      <w:r w:rsidRPr="00A80862">
        <w:rPr>
          <w:rFonts w:ascii="Times New Roman" w:hAnsi="Times New Roman"/>
          <w:sz w:val="20"/>
          <w:szCs w:val="20"/>
          <w:vertAlign w:val="subscript"/>
          <w:lang w:val="en-GB"/>
        </w:rPr>
        <w:t>17</w:t>
      </w:r>
      <w:r w:rsidRPr="00A80862">
        <w:rPr>
          <w:rFonts w:ascii="Times New Roman" w:hAnsi="Times New Roman"/>
          <w:sz w:val="20"/>
          <w:szCs w:val="20"/>
          <w:lang w:val="en-GB"/>
        </w:rPr>
        <w:t xml:space="preserve">NO requires 263). </w:t>
      </w:r>
    </w:p>
    <w:p w14:paraId="76487B13" w14:textId="77777777" w:rsidR="00A80862" w:rsidRPr="00A80862" w:rsidRDefault="00A80862" w:rsidP="00A80862">
      <w:pPr>
        <w:spacing w:after="0"/>
        <w:jc w:val="both"/>
        <w:rPr>
          <w:rFonts w:ascii="Times New Roman" w:hAnsi="Times New Roman"/>
          <w:sz w:val="20"/>
          <w:szCs w:val="20"/>
          <w:lang w:val="en-GB"/>
        </w:rPr>
      </w:pPr>
    </w:p>
    <w:p w14:paraId="55A68EEC" w14:textId="77777777" w:rsidR="00A80862" w:rsidRPr="00A80862" w:rsidRDefault="00A80862" w:rsidP="00A80862">
      <w:pPr>
        <w:spacing w:after="0"/>
        <w:jc w:val="both"/>
        <w:rPr>
          <w:rFonts w:ascii="Times New Roman" w:hAnsi="Times New Roman"/>
          <w:b/>
          <w:iCs/>
          <w:sz w:val="20"/>
          <w:szCs w:val="20"/>
          <w:lang w:val="en-GB"/>
        </w:rPr>
      </w:pPr>
      <w:r w:rsidRPr="00A80862">
        <w:rPr>
          <w:rFonts w:ascii="Times New Roman" w:hAnsi="Times New Roman"/>
          <w:b/>
          <w:iCs/>
          <w:sz w:val="20"/>
          <w:szCs w:val="20"/>
          <w:lang w:val="en-GB"/>
        </w:rPr>
        <w:t xml:space="preserve">Girinimbine (8s) </w:t>
      </w:r>
    </w:p>
    <w:p w14:paraId="71C5D9DC"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3-Methyl-2-[(-methylbut-3-yn-2-yl)oxy]-9H-carbazole (</w:t>
      </w:r>
      <w:r w:rsidRPr="00A80862">
        <w:rPr>
          <w:rFonts w:ascii="Times New Roman" w:hAnsi="Times New Roman"/>
          <w:b/>
          <w:sz w:val="20"/>
          <w:szCs w:val="20"/>
          <w:lang w:val="en-GB"/>
        </w:rPr>
        <w:t>7</w:t>
      </w:r>
      <w:r w:rsidRPr="00A80862">
        <w:rPr>
          <w:rFonts w:ascii="Times New Roman" w:hAnsi="Times New Roman"/>
          <w:sz w:val="20"/>
          <w:szCs w:val="20"/>
          <w:lang w:val="en-GB"/>
        </w:rPr>
        <w:t xml:space="preserve">) (0.76 mmol) was refluxed in toluene (2 mL) for 29 h. The reaction mixture was concentrated to dryness and purified by column chromatography (hexane-ethyl acetate, 9:1). </w:t>
      </w:r>
    </w:p>
    <w:p w14:paraId="4E43BCDD" w14:textId="77777777" w:rsidR="00A80862" w:rsidRPr="00A80862" w:rsidRDefault="00A80862" w:rsidP="00A80862">
      <w:pPr>
        <w:spacing w:after="0"/>
        <w:jc w:val="both"/>
        <w:rPr>
          <w:rFonts w:ascii="Times New Roman" w:hAnsi="Times New Roman"/>
          <w:sz w:val="20"/>
          <w:szCs w:val="20"/>
          <w:lang w:val="en-GB"/>
        </w:rPr>
      </w:pPr>
    </w:p>
    <w:p w14:paraId="17B15283"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Compound </w:t>
      </w:r>
      <w:r w:rsidRPr="00A80862">
        <w:rPr>
          <w:rFonts w:ascii="Times New Roman" w:hAnsi="Times New Roman"/>
          <w:b/>
          <w:sz w:val="20"/>
          <w:szCs w:val="20"/>
          <w:lang w:val="en-GB"/>
        </w:rPr>
        <w:t>8s</w:t>
      </w:r>
      <w:r w:rsidRPr="00A80862">
        <w:rPr>
          <w:rFonts w:ascii="Times New Roman" w:hAnsi="Times New Roman"/>
          <w:sz w:val="20"/>
          <w:szCs w:val="20"/>
          <w:lang w:val="en-GB"/>
        </w:rPr>
        <w:t>: White solid (10 mg, 50%); mp 175–176°C (lit. 175–177°C) [23]; IR (UATR) 3420, 3313, 2967, 1638, 1449, 1315, 1149, 744 cm</w:t>
      </w:r>
      <w:r w:rsidRPr="00A80862">
        <w:rPr>
          <w:rFonts w:ascii="Times New Roman" w:hAnsi="Times New Roman"/>
          <w:sz w:val="20"/>
          <w:szCs w:val="20"/>
          <w:vertAlign w:val="superscript"/>
          <w:lang w:val="en-GB"/>
        </w:rPr>
        <w:t>-1</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H</w:t>
      </w:r>
      <w:r w:rsidRPr="00A80862">
        <w:rPr>
          <w:rFonts w:ascii="Times New Roman" w:hAnsi="Times New Roman"/>
          <w:sz w:val="20"/>
          <w:szCs w:val="20"/>
          <w:lang w:val="en-GB"/>
        </w:rPr>
        <w:t xml:space="preserve"> (500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7.89 (1H, d, J 6.9 Hz, H-aromatic), 7.87 (1H, br. s, NH), 7.65 (1H, s, H-aromatic), 7.36 (1H, d, J 8.0 Hz, H-aromatic), 7.28 (1H, t, J 8.0 Hz, H-aromatic), 7.15 (1H, t, J 6.9 Hz, H-aromatic), 6.61 (1H, d, J 10.3 Hz, HC=CH), 5.68 (1H, d, J 10.3 Hz, HC=CH), 2.31 (3H, s,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1.47 (6H, s, 2 ×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C</w:t>
      </w:r>
      <w:r w:rsidRPr="00A80862">
        <w:rPr>
          <w:rFonts w:ascii="Times New Roman" w:hAnsi="Times New Roman"/>
          <w:sz w:val="20"/>
          <w:szCs w:val="20"/>
          <w:lang w:val="en-GB"/>
        </w:rPr>
        <w:t xml:space="preserve"> (125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150.0, 139.7, 135.0, 129.6, 124.5, 124.1, 121.4, 119.7, 119.5, 118.8, 117.5, 117.0, 110.6, 104.7, 76.1, 27.8, 16.3; m/z (EI) 263 (M</w:t>
      </w:r>
      <w:r w:rsidRPr="00A80862">
        <w:rPr>
          <w:rFonts w:ascii="Times New Roman" w:hAnsi="Times New Roman"/>
          <w:sz w:val="20"/>
          <w:szCs w:val="20"/>
          <w:vertAlign w:val="superscript"/>
          <w:lang w:val="en-GB"/>
        </w:rPr>
        <w:t>+</w:t>
      </w:r>
      <w:r w:rsidRPr="00A80862">
        <w:rPr>
          <w:rFonts w:ascii="Times New Roman" w:hAnsi="Times New Roman"/>
          <w:sz w:val="20"/>
          <w:szCs w:val="20"/>
          <w:lang w:val="en-GB"/>
        </w:rPr>
        <w:t>, C</w:t>
      </w:r>
      <w:r w:rsidRPr="00A80862">
        <w:rPr>
          <w:rFonts w:ascii="Times New Roman" w:hAnsi="Times New Roman"/>
          <w:sz w:val="20"/>
          <w:szCs w:val="20"/>
          <w:vertAlign w:val="subscript"/>
          <w:lang w:val="en-GB"/>
        </w:rPr>
        <w:t>18</w:t>
      </w:r>
      <w:r w:rsidRPr="00A80862">
        <w:rPr>
          <w:rFonts w:ascii="Times New Roman" w:hAnsi="Times New Roman"/>
          <w:sz w:val="20"/>
          <w:szCs w:val="20"/>
          <w:lang w:val="en-GB"/>
        </w:rPr>
        <w:t>H</w:t>
      </w:r>
      <w:r w:rsidRPr="00A80862">
        <w:rPr>
          <w:rFonts w:ascii="Times New Roman" w:hAnsi="Times New Roman"/>
          <w:sz w:val="20"/>
          <w:szCs w:val="20"/>
          <w:vertAlign w:val="subscript"/>
          <w:lang w:val="en-GB"/>
        </w:rPr>
        <w:t>17</w:t>
      </w:r>
      <w:r w:rsidRPr="00A80862">
        <w:rPr>
          <w:rFonts w:ascii="Times New Roman" w:hAnsi="Times New Roman"/>
          <w:sz w:val="20"/>
          <w:szCs w:val="20"/>
          <w:lang w:val="en-GB"/>
        </w:rPr>
        <w:t>NO requires 263).</w:t>
      </w:r>
    </w:p>
    <w:p w14:paraId="08B73878" w14:textId="77777777" w:rsidR="00A80862" w:rsidRPr="00A80862" w:rsidRDefault="00A80862" w:rsidP="00A80862">
      <w:pPr>
        <w:spacing w:after="0"/>
        <w:jc w:val="both"/>
        <w:rPr>
          <w:rFonts w:ascii="Times New Roman" w:hAnsi="Times New Roman"/>
          <w:sz w:val="20"/>
          <w:szCs w:val="20"/>
          <w:lang w:val="en-GB"/>
        </w:rPr>
      </w:pPr>
    </w:p>
    <w:p w14:paraId="77FE1501" w14:textId="77777777" w:rsidR="00A80862" w:rsidRPr="00FA17D0" w:rsidRDefault="00A80862" w:rsidP="00A80862">
      <w:pPr>
        <w:pStyle w:val="Heading2"/>
        <w:spacing w:before="0" w:line="276" w:lineRule="auto"/>
        <w:ind w:left="567" w:hanging="567"/>
        <w:jc w:val="both"/>
        <w:rPr>
          <w:rFonts w:ascii="Times New Roman" w:hAnsi="Times New Roman"/>
          <w:b/>
          <w:bCs/>
          <w:smallCaps w:val="0"/>
          <w:sz w:val="20"/>
          <w:szCs w:val="20"/>
          <w:lang w:val="en-GB"/>
        </w:rPr>
      </w:pPr>
      <w:r w:rsidRPr="00FA17D0">
        <w:rPr>
          <w:rFonts w:ascii="Times New Roman" w:hAnsi="Times New Roman"/>
          <w:b/>
          <w:bCs/>
          <w:smallCaps w:val="0"/>
          <w:sz w:val="20"/>
          <w:szCs w:val="20"/>
          <w:lang w:val="en-GB"/>
        </w:rPr>
        <w:t>Cytotoxicity: Cell culture</w:t>
      </w:r>
    </w:p>
    <w:p w14:paraId="6978B727" w14:textId="77777777" w:rsidR="00A80862" w:rsidRPr="00A80862"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t>The lung cancer (A549) and normal lung (MRC-5) cells were purchased from the American Type Culture Collection (ATCC, Manassas, VA, USA). The cell lines were cultured in RPMI 1640 media supplemented with 10% foetal calf serum (FCS) and 1% penicillin-streptomycin. The cells were maintained and incubated at 37°C in a 5% CO</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 xml:space="preserve"> atmosphere. Cell viability was determined by colorimetric assay using 3-(4,5-dimethylthiazol-2-yl)-2,5-diphenyl tetrazolium bromide (MTT) and compared with the untreated controls.</w:t>
      </w:r>
    </w:p>
    <w:p w14:paraId="571753AB" w14:textId="77777777" w:rsidR="00A80862" w:rsidRPr="00A80862" w:rsidRDefault="00A80862" w:rsidP="00A80862">
      <w:pPr>
        <w:spacing w:after="0"/>
        <w:jc w:val="both"/>
        <w:rPr>
          <w:rFonts w:ascii="Times New Roman" w:hAnsi="Times New Roman"/>
          <w:sz w:val="20"/>
          <w:szCs w:val="20"/>
          <w:lang w:val="en-GB"/>
        </w:rPr>
      </w:pPr>
    </w:p>
    <w:p w14:paraId="34F1B4AB" w14:textId="77777777" w:rsidR="00A80862" w:rsidRPr="00A80862" w:rsidRDefault="00A80862" w:rsidP="00A80862">
      <w:pPr>
        <w:spacing w:after="0"/>
        <w:jc w:val="both"/>
        <w:rPr>
          <w:rFonts w:ascii="Times New Roman" w:hAnsi="Times New Roman"/>
          <w:b/>
          <w:sz w:val="20"/>
          <w:szCs w:val="20"/>
          <w:lang w:val="en-GB"/>
        </w:rPr>
      </w:pPr>
      <w:r w:rsidRPr="00A80862">
        <w:rPr>
          <w:rFonts w:ascii="Times New Roman" w:hAnsi="Times New Roman"/>
          <w:b/>
          <w:sz w:val="20"/>
          <w:szCs w:val="20"/>
          <w:lang w:val="en-GB"/>
        </w:rPr>
        <w:t>MTT assay</w:t>
      </w:r>
    </w:p>
    <w:p w14:paraId="689CD740" w14:textId="77777777" w:rsidR="00A94268" w:rsidRDefault="00A80862" w:rsidP="00A80862">
      <w:pPr>
        <w:spacing w:after="0"/>
        <w:jc w:val="both"/>
        <w:rPr>
          <w:rFonts w:ascii="Times New Roman" w:hAnsi="Times New Roman"/>
          <w:sz w:val="20"/>
          <w:szCs w:val="20"/>
          <w:lang w:val="en-GB"/>
        </w:rPr>
        <w:sectPr w:rsidR="00A94268" w:rsidSect="00F45F70">
          <w:footerReference w:type="even" r:id="rId14"/>
          <w:footerReference w:type="default" r:id="rId15"/>
          <w:type w:val="continuous"/>
          <w:pgSz w:w="12240" w:h="15840" w:code="1"/>
          <w:pgMar w:top="1800" w:right="1469" w:bottom="1699" w:left="1440" w:header="706" w:footer="706" w:gutter="0"/>
          <w:pgNumType w:start="0"/>
          <w:cols w:num="2" w:space="403"/>
          <w:docGrid w:linePitch="360"/>
        </w:sectPr>
      </w:pPr>
      <w:r w:rsidRPr="00A80862">
        <w:rPr>
          <w:rFonts w:ascii="Times New Roman" w:hAnsi="Times New Roman"/>
          <w:sz w:val="20"/>
          <w:szCs w:val="20"/>
          <w:lang w:val="en-GB"/>
        </w:rPr>
        <w:t>A stock solution of 30 mg/mL of the compounds was prepared by dissolving the stock solution with DMSO. Subsequently, different concentrations of the compound were prepared by dissolving the stock solution with a culture medium. DMSO only (0.5%, v/v) was used as a control in a complete culture medium. Cells were seeded at 5 × 10</w:t>
      </w:r>
      <w:r w:rsidRPr="00A80862">
        <w:rPr>
          <w:rFonts w:ascii="Times New Roman" w:hAnsi="Times New Roman"/>
          <w:sz w:val="20"/>
          <w:szCs w:val="20"/>
          <w:vertAlign w:val="superscript"/>
          <w:lang w:val="en-GB"/>
        </w:rPr>
        <w:t>3</w:t>
      </w:r>
      <w:r w:rsidRPr="00A80862">
        <w:rPr>
          <w:rFonts w:ascii="Times New Roman" w:hAnsi="Times New Roman"/>
          <w:sz w:val="20"/>
          <w:szCs w:val="20"/>
          <w:lang w:val="en-GB"/>
        </w:rPr>
        <w:t xml:space="preserve"> cells/well in 96-well plates (100 µL/well). After 24 h of incubation, the cells were treated with different concentrations of the compounds (100, 50, 25, 12.5, 6.25, 3.125, and 1.56 μg/mL) and incubated for 72 h. MTT (5 mg/mL in PBS) was added to each well in the plate and incubated </w:t>
      </w:r>
    </w:p>
    <w:p w14:paraId="33601DC9" w14:textId="41475536" w:rsidR="00F45F70" w:rsidRDefault="00A80862" w:rsidP="00A80862">
      <w:pPr>
        <w:spacing w:after="0"/>
        <w:jc w:val="both"/>
        <w:rPr>
          <w:rFonts w:ascii="Times New Roman" w:hAnsi="Times New Roman"/>
          <w:sz w:val="20"/>
          <w:szCs w:val="20"/>
          <w:lang w:val="en-GB"/>
        </w:rPr>
      </w:pPr>
      <w:r w:rsidRPr="00A80862">
        <w:rPr>
          <w:rFonts w:ascii="Times New Roman" w:hAnsi="Times New Roman"/>
          <w:sz w:val="20"/>
          <w:szCs w:val="20"/>
          <w:lang w:val="en-GB"/>
        </w:rPr>
        <w:lastRenderedPageBreak/>
        <w:t>for 4 h. The supernatants were aspirated and DMSO (100 μL) was added to each well to solubilise the insoluble formazan blue crystals. The absorbance was measured at 570 nm using a Thermo Labsystems Opsys MR microplate spectrometer. All samples were presented as mean ± standard deviation for three measurements. The percentage of cell viability was calculated using the</w:t>
      </w:r>
      <w:r w:rsidR="00F45F70">
        <w:rPr>
          <w:rFonts w:ascii="Times New Roman" w:hAnsi="Times New Roman"/>
          <w:sz w:val="20"/>
          <w:szCs w:val="20"/>
          <w:lang w:val="en-GB"/>
        </w:rPr>
        <w:t xml:space="preserve"> </w:t>
      </w:r>
      <w:r w:rsidRPr="00A80862">
        <w:rPr>
          <w:rFonts w:ascii="Times New Roman" w:hAnsi="Times New Roman"/>
          <w:sz w:val="20"/>
          <w:szCs w:val="20"/>
          <w:lang w:val="en-GB"/>
        </w:rPr>
        <w:t>equation</w:t>
      </w:r>
      <w:r w:rsidR="00F45F70">
        <w:rPr>
          <w:rFonts w:ascii="Times New Roman" w:hAnsi="Times New Roman"/>
          <w:sz w:val="20"/>
          <w:szCs w:val="20"/>
          <w:lang w:val="en-GB"/>
        </w:rPr>
        <w:t xml:space="preserve"> (1).</w:t>
      </w:r>
    </w:p>
    <w:p w14:paraId="65588190" w14:textId="77777777" w:rsidR="00F45F70" w:rsidRDefault="00F45F70" w:rsidP="00A80862">
      <w:pPr>
        <w:spacing w:after="0"/>
        <w:jc w:val="both"/>
        <w:rPr>
          <w:rFonts w:ascii="Times New Roman" w:hAnsi="Times New Roman"/>
          <w:sz w:val="20"/>
          <w:szCs w:val="20"/>
          <w:lang w:val="en-GB"/>
        </w:rPr>
      </w:pPr>
    </w:p>
    <w:p w14:paraId="0F6F4C81" w14:textId="77777777" w:rsidR="00F45F70" w:rsidRPr="00A80862" w:rsidRDefault="00F45F70" w:rsidP="00F45F70">
      <w:pPr>
        <w:spacing w:after="0"/>
        <w:jc w:val="both"/>
        <w:rPr>
          <w:rFonts w:ascii="Times New Roman" w:hAnsi="Times New Roman"/>
          <w:sz w:val="20"/>
          <w:szCs w:val="20"/>
          <w:lang w:val="en-GB"/>
        </w:rPr>
      </w:pPr>
      <w:r w:rsidRPr="00A80862">
        <w:rPr>
          <w:rFonts w:ascii="Times New Roman" w:hAnsi="Times New Roman"/>
          <w:sz w:val="20"/>
          <w:szCs w:val="20"/>
          <w:lang w:val="en-GB"/>
        </w:rPr>
        <w:t>The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was obtained by plotting the cell viability (%) versus concentration (μg/mL) of each compound. The </w:t>
      </w:r>
      <w:r w:rsidRPr="00A80862">
        <w:rPr>
          <w:rFonts w:ascii="Times New Roman" w:hAnsi="Times New Roman"/>
          <w:sz w:val="20"/>
          <w:szCs w:val="20"/>
          <w:lang w:val="en-GB"/>
        </w:rPr>
        <w:t>value range of the cytotoxicity is based on the U.S. National Cancer Institute (NCI) and GERAN protocol, in which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&lt; 21 µg/mL = highly cytotoxic,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21–200 µg/mL = moderately cytotoxic,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201-500 µg/mL = weakly cytotoxic, and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&gt; 500 µg/mL = no cytotoxicity [24-27].</w:t>
      </w:r>
    </w:p>
    <w:p w14:paraId="3BD6A683" w14:textId="77777777" w:rsidR="00F45F70" w:rsidRPr="00A80862" w:rsidRDefault="00F45F70" w:rsidP="00F45F70">
      <w:pPr>
        <w:spacing w:after="0"/>
        <w:jc w:val="both"/>
        <w:rPr>
          <w:rFonts w:ascii="Times New Roman" w:hAnsi="Times New Roman"/>
          <w:sz w:val="20"/>
          <w:szCs w:val="20"/>
          <w:lang w:val="en-GB"/>
        </w:rPr>
      </w:pPr>
    </w:p>
    <w:p w14:paraId="34BECB87" w14:textId="77777777" w:rsidR="00F45F70" w:rsidRPr="00A80862" w:rsidRDefault="00F45F70" w:rsidP="00F45F70">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One-way analysis of variance (ANOVA) with Tukey's honest significance test was used to assess the significance of differences, with </w:t>
      </w:r>
      <w:r w:rsidRPr="00A80862">
        <w:rPr>
          <w:rFonts w:ascii="Times New Roman" w:hAnsi="Times New Roman"/>
          <w:i/>
          <w:iCs/>
          <w:sz w:val="20"/>
          <w:szCs w:val="20"/>
          <w:lang w:val="en-GB"/>
        </w:rPr>
        <w:t>p</w:t>
      </w:r>
      <w:r w:rsidRPr="00A80862">
        <w:rPr>
          <w:rFonts w:ascii="Times New Roman" w:hAnsi="Times New Roman"/>
          <w:sz w:val="20"/>
          <w:szCs w:val="20"/>
          <w:lang w:val="en-GB"/>
        </w:rPr>
        <w:t>-values of less than 0.05 considered statistically significant.</w:t>
      </w:r>
    </w:p>
    <w:p w14:paraId="76E2BC8E" w14:textId="4099BF9B" w:rsidR="00F45F70" w:rsidRDefault="00F45F70" w:rsidP="00A80862">
      <w:pPr>
        <w:spacing w:after="0"/>
        <w:jc w:val="both"/>
        <w:rPr>
          <w:rFonts w:ascii="Times New Roman" w:hAnsi="Times New Roman"/>
          <w:sz w:val="20"/>
          <w:szCs w:val="20"/>
          <w:lang w:val="en-GB"/>
        </w:rPr>
        <w:sectPr w:rsidR="00F45F70" w:rsidSect="00A94268">
          <w:footerReference w:type="even" r:id="rId16"/>
          <w:type w:val="evenPage"/>
          <w:pgSz w:w="12240" w:h="15840" w:code="1"/>
          <w:pgMar w:top="1800" w:right="1469" w:bottom="1699" w:left="1440" w:header="706" w:footer="706" w:gutter="0"/>
          <w:pgNumType w:start="0"/>
          <w:cols w:num="2" w:space="403"/>
          <w:docGrid w:linePitch="360"/>
        </w:sectPr>
      </w:pPr>
    </w:p>
    <w:p w14:paraId="37ACCD07" w14:textId="06940078" w:rsidR="00A80862" w:rsidRPr="00A80862" w:rsidRDefault="00A80862" w:rsidP="00A80862">
      <w:pPr>
        <w:spacing w:after="0"/>
        <w:jc w:val="both"/>
        <w:rPr>
          <w:rFonts w:ascii="Times New Roman" w:hAnsi="Times New Roman"/>
          <w:sz w:val="20"/>
          <w:szCs w:val="20"/>
          <w:lang w:val="en-GB"/>
        </w:rPr>
      </w:pPr>
    </w:p>
    <w:p w14:paraId="7B425543" w14:textId="77777777" w:rsidR="00A80862" w:rsidRPr="00A80862" w:rsidRDefault="00A80862" w:rsidP="00A80862">
      <w:pPr>
        <w:spacing w:after="0"/>
        <w:jc w:val="both"/>
        <w:rPr>
          <w:rFonts w:ascii="Times New Roman" w:hAnsi="Times New Roman"/>
          <w:sz w:val="20"/>
          <w:szCs w:val="20"/>
          <w:lang w:val="en-GB"/>
        </w:rPr>
      </w:pPr>
    </w:p>
    <w:p w14:paraId="3ACDF5BC" w14:textId="46D9B47A" w:rsidR="00A80862" w:rsidRPr="00A80862" w:rsidRDefault="00A80862" w:rsidP="00A80862">
      <w:pPr>
        <w:spacing w:after="0"/>
        <w:jc w:val="both"/>
        <w:rPr>
          <w:rFonts w:ascii="Times New Roman" w:hAnsi="Times New Roman"/>
          <w:sz w:val="20"/>
          <w:szCs w:val="20"/>
          <w:lang w:val="en-GB"/>
        </w:rPr>
      </w:pPr>
      <m:oMath>
        <m:r>
          <m:rPr>
            <m:sty m:val="p"/>
          </m:rPr>
          <w:rPr>
            <w:rFonts w:ascii="Cambria Math" w:hAnsi="Cambria Math"/>
            <w:sz w:val="20"/>
            <w:szCs w:val="20"/>
            <w:lang w:val="en-GB"/>
          </w:rPr>
          <m:t xml:space="preserve">                    Cell viability=</m:t>
        </m:r>
        <m:f>
          <m:fPr>
            <m:ctrlPr>
              <w:rPr>
                <w:rFonts w:ascii="Cambria Math" w:hAnsi="Cambria Math"/>
                <w:sz w:val="20"/>
                <w:szCs w:val="20"/>
                <w:lang w:val="en-GB"/>
              </w:rPr>
            </m:ctrlPr>
          </m:fPr>
          <m:num>
            <m:r>
              <m:rPr>
                <m:sty m:val="p"/>
              </m:rPr>
              <w:rPr>
                <w:rFonts w:ascii="Cambria Math" w:hAnsi="Cambria Math"/>
                <w:sz w:val="20"/>
                <w:szCs w:val="20"/>
                <w:lang w:val="en-GB"/>
              </w:rPr>
              <m:t>Average absorbances of triplicate treated cells</m:t>
            </m:r>
          </m:num>
          <m:den>
            <m:r>
              <m:rPr>
                <m:sty m:val="p"/>
              </m:rPr>
              <w:rPr>
                <w:rFonts w:ascii="Cambria Math" w:hAnsi="Cambria Math"/>
                <w:sz w:val="20"/>
                <w:szCs w:val="20"/>
                <w:lang w:val="en-GB"/>
              </w:rPr>
              <m:t>Average absorbances of control cells</m:t>
            </m:r>
          </m:den>
        </m:f>
        <m:r>
          <m:rPr>
            <m:sty m:val="p"/>
          </m:rPr>
          <w:rPr>
            <w:rFonts w:ascii="Cambria Math" w:hAnsi="Cambria Math"/>
            <w:sz w:val="20"/>
            <w:szCs w:val="20"/>
            <w:lang w:val="en-GB"/>
          </w:rPr>
          <m:t xml:space="preserve"> × 100%</m:t>
        </m:r>
      </m:oMath>
      <w:r w:rsidRPr="00A80862">
        <w:rPr>
          <w:rFonts w:ascii="Times New Roman" w:eastAsiaTheme="minorEastAsia" w:hAnsi="Times New Roman"/>
          <w:sz w:val="20"/>
          <w:szCs w:val="20"/>
          <w:lang w:val="en-GB"/>
        </w:rPr>
        <w:tab/>
      </w:r>
      <w:r w:rsidRPr="00A80862">
        <w:rPr>
          <w:rFonts w:ascii="Times New Roman" w:eastAsiaTheme="minorEastAsia" w:hAnsi="Times New Roman"/>
          <w:sz w:val="20"/>
          <w:szCs w:val="20"/>
          <w:lang w:val="en-GB"/>
        </w:rPr>
        <w:tab/>
      </w:r>
      <w:r w:rsidRPr="00A80862">
        <w:rPr>
          <w:rFonts w:ascii="Times New Roman" w:eastAsiaTheme="minorEastAsia" w:hAnsi="Times New Roman"/>
          <w:sz w:val="20"/>
          <w:szCs w:val="20"/>
          <w:lang w:val="en-GB"/>
        </w:rPr>
        <w:tab/>
      </w:r>
      <w:r w:rsidRPr="00A80862">
        <w:rPr>
          <w:rFonts w:ascii="Times New Roman" w:eastAsiaTheme="minorEastAsia" w:hAnsi="Times New Roman"/>
          <w:sz w:val="20"/>
          <w:szCs w:val="20"/>
          <w:lang w:val="en-GB"/>
        </w:rPr>
        <w:tab/>
        <w:t xml:space="preserve">   </w:t>
      </w:r>
      <w:r w:rsidR="00FA17D0">
        <w:rPr>
          <w:rFonts w:ascii="Times New Roman" w:eastAsiaTheme="minorEastAsia" w:hAnsi="Times New Roman"/>
          <w:sz w:val="20"/>
          <w:szCs w:val="20"/>
          <w:lang w:val="en-GB"/>
        </w:rPr>
        <w:t xml:space="preserve">      </w:t>
      </w:r>
      <w:r w:rsidRPr="00A80862">
        <w:rPr>
          <w:rFonts w:ascii="Times New Roman" w:eastAsiaTheme="minorEastAsia" w:hAnsi="Times New Roman"/>
          <w:sz w:val="20"/>
          <w:szCs w:val="20"/>
          <w:lang w:val="en-GB"/>
        </w:rPr>
        <w:t>(1)</w:t>
      </w:r>
    </w:p>
    <w:p w14:paraId="0A58F3A8" w14:textId="77777777" w:rsidR="00A80862" w:rsidRPr="00A80862" w:rsidRDefault="00A80862" w:rsidP="00A80862">
      <w:pPr>
        <w:spacing w:after="0"/>
        <w:jc w:val="both"/>
        <w:rPr>
          <w:rFonts w:ascii="Times New Roman" w:hAnsi="Times New Roman"/>
          <w:sz w:val="20"/>
          <w:szCs w:val="20"/>
          <w:lang w:val="en-GB"/>
        </w:rPr>
      </w:pPr>
    </w:p>
    <w:p w14:paraId="60D3B648" w14:textId="37A1F240" w:rsidR="006768E9" w:rsidRPr="00383C16" w:rsidRDefault="006768E9" w:rsidP="00383C16">
      <w:pPr>
        <w:spacing w:after="0"/>
        <w:jc w:val="both"/>
        <w:rPr>
          <w:rFonts w:ascii="Times New Roman" w:hAnsi="Times New Roman"/>
          <w:noProof/>
          <w:sz w:val="20"/>
          <w:szCs w:val="20"/>
          <w:lang w:bidi="ar-SA"/>
        </w:rPr>
      </w:pPr>
    </w:p>
    <w:p w14:paraId="3504E0B8" w14:textId="77777777" w:rsidR="006768E9" w:rsidRPr="00383C16" w:rsidRDefault="006768E9" w:rsidP="00383C16">
      <w:pPr>
        <w:spacing w:after="0"/>
        <w:jc w:val="center"/>
        <w:rPr>
          <w:rFonts w:ascii="Times New Roman" w:hAnsi="Times New Roman"/>
          <w:noProof/>
          <w:sz w:val="20"/>
          <w:szCs w:val="20"/>
          <w:lang w:bidi="ar-SA"/>
        </w:rPr>
      </w:pPr>
    </w:p>
    <w:p w14:paraId="191C7F2F" w14:textId="77777777" w:rsidR="00F45F70" w:rsidRDefault="00F45F70" w:rsidP="00383C16">
      <w:pPr>
        <w:spacing w:after="0"/>
        <w:jc w:val="center"/>
        <w:rPr>
          <w:rFonts w:ascii="Times New Roman" w:hAnsi="Times New Roman"/>
          <w:b/>
          <w:noProof/>
          <w:sz w:val="20"/>
          <w:szCs w:val="20"/>
          <w:lang w:bidi="ar-SA"/>
        </w:rPr>
        <w:sectPr w:rsidR="00F45F70" w:rsidSect="00F45F70">
          <w:type w:val="continuous"/>
          <w:pgSz w:w="12240" w:h="15840" w:code="1"/>
          <w:pgMar w:top="1800" w:right="1469" w:bottom="1699" w:left="1440" w:header="706" w:footer="706" w:gutter="0"/>
          <w:pgNumType w:start="0"/>
          <w:cols w:space="708"/>
          <w:docGrid w:linePitch="360"/>
        </w:sectPr>
      </w:pPr>
    </w:p>
    <w:p w14:paraId="172DB04A" w14:textId="1692CF04"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6B589FA5" w14:textId="77777777" w:rsidR="009F7CC3" w:rsidRPr="009F7CC3" w:rsidRDefault="009F7CC3" w:rsidP="009F7CC3">
      <w:pPr>
        <w:pStyle w:val="PARAGRAPHnoindent"/>
        <w:spacing w:line="276" w:lineRule="auto"/>
        <w:rPr>
          <w:rFonts w:ascii="Times New Roman" w:hAnsi="Times New Roman"/>
          <w:b/>
          <w:bCs/>
          <w:sz w:val="20"/>
          <w:lang w:val="en-GB"/>
        </w:rPr>
      </w:pPr>
      <w:r w:rsidRPr="009F7CC3">
        <w:rPr>
          <w:rFonts w:ascii="Times New Roman" w:hAnsi="Times New Roman"/>
          <w:b/>
          <w:bCs/>
          <w:sz w:val="20"/>
          <w:lang w:val="en-GB"/>
        </w:rPr>
        <w:t>Synthesis of girinimbine</w:t>
      </w:r>
    </w:p>
    <w:p w14:paraId="41F17DF8" w14:textId="7CCA9FB2" w:rsidR="009F7CC3" w:rsidRDefault="009F7CC3" w:rsidP="009F7CC3">
      <w:pPr>
        <w:spacing w:after="0"/>
        <w:jc w:val="both"/>
        <w:rPr>
          <w:rFonts w:ascii="Times New Roman" w:hAnsi="Times New Roman"/>
          <w:sz w:val="20"/>
          <w:szCs w:val="20"/>
          <w:lang w:val="en-GB"/>
        </w:rPr>
      </w:pPr>
      <w:r w:rsidRPr="009F7CC3">
        <w:rPr>
          <w:rFonts w:ascii="Times New Roman" w:hAnsi="Times New Roman"/>
          <w:sz w:val="20"/>
          <w:szCs w:val="20"/>
          <w:lang w:val="en-GB"/>
        </w:rPr>
        <w:t>2-Hydroxy-3-methylcarbazole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was synthesised either </w:t>
      </w:r>
      <w:r w:rsidRPr="009F7CC3">
        <w:rPr>
          <w:rFonts w:ascii="Times New Roman" w:hAnsi="Times New Roman"/>
          <w:i/>
          <w:sz w:val="20"/>
          <w:szCs w:val="20"/>
          <w:lang w:val="en-GB"/>
        </w:rPr>
        <w:t>via</w:t>
      </w:r>
      <w:r w:rsidRPr="009F7CC3">
        <w:rPr>
          <w:rFonts w:ascii="Times New Roman" w:hAnsi="Times New Roman"/>
          <w:sz w:val="20"/>
          <w:szCs w:val="20"/>
          <w:lang w:val="en-GB"/>
        </w:rPr>
        <w:t xml:space="preserve"> a two-step reaction (Figure 1, Route 1) or a one-pot reaction (Figure 1, Route 2). In Route 1, the synthesis approach involved a biaryl coupling reaction between </w:t>
      </w:r>
      <w:r w:rsidRPr="009F7CC3">
        <w:rPr>
          <w:rFonts w:ascii="Times New Roman" w:hAnsi="Times New Roman"/>
          <w:b/>
          <w:sz w:val="20"/>
          <w:szCs w:val="20"/>
          <w:lang w:val="en-GB"/>
        </w:rPr>
        <w:t>1</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2</w:t>
      </w:r>
      <w:r w:rsidRPr="009F7CC3">
        <w:rPr>
          <w:rFonts w:ascii="Times New Roman" w:hAnsi="Times New Roman"/>
          <w:sz w:val="20"/>
          <w:szCs w:val="20"/>
          <w:lang w:val="en-GB"/>
        </w:rPr>
        <w:t xml:space="preserve"> to produce an intermediate nitrobiphenyl </w:t>
      </w:r>
      <w:r w:rsidRPr="009F7CC3">
        <w:rPr>
          <w:rFonts w:ascii="Times New Roman" w:hAnsi="Times New Roman"/>
          <w:b/>
          <w:sz w:val="20"/>
          <w:szCs w:val="20"/>
          <w:lang w:val="en-GB"/>
        </w:rPr>
        <w:t>3</w:t>
      </w:r>
      <w:r w:rsidRPr="009F7CC3">
        <w:rPr>
          <w:rFonts w:ascii="Times New Roman" w:hAnsi="Times New Roman"/>
          <w:bCs/>
          <w:sz w:val="20"/>
          <w:szCs w:val="20"/>
          <w:lang w:val="en-GB"/>
        </w:rPr>
        <w:t>,</w:t>
      </w:r>
      <w:r w:rsidRPr="009F7CC3">
        <w:rPr>
          <w:rFonts w:ascii="Times New Roman" w:hAnsi="Times New Roman"/>
          <w:sz w:val="20"/>
          <w:szCs w:val="20"/>
          <w:lang w:val="en-GB"/>
        </w:rPr>
        <w:t xml:space="preserve"> followed by a reduction with SnCl</w:t>
      </w:r>
      <w:r w:rsidRPr="009F7CC3">
        <w:rPr>
          <w:rFonts w:ascii="Times New Roman" w:hAnsi="Times New Roman"/>
          <w:sz w:val="20"/>
          <w:szCs w:val="20"/>
          <w:vertAlign w:val="subscript"/>
          <w:lang w:val="en-GB"/>
        </w:rPr>
        <w:t>2</w:t>
      </w:r>
      <w:r w:rsidRPr="009F7CC3">
        <w:rPr>
          <w:rFonts w:ascii="Times New Roman" w:hAnsi="Times New Roman"/>
          <w:sz w:val="20"/>
          <w:szCs w:val="20"/>
          <w:lang w:val="en-GB"/>
        </w:rPr>
        <w:t>·2H</w:t>
      </w:r>
      <w:r w:rsidRPr="009F7CC3">
        <w:rPr>
          <w:rFonts w:ascii="Times New Roman" w:hAnsi="Times New Roman"/>
          <w:sz w:val="20"/>
          <w:szCs w:val="20"/>
          <w:vertAlign w:val="subscript"/>
          <w:lang w:val="en-GB"/>
        </w:rPr>
        <w:t>2</w:t>
      </w:r>
      <w:r w:rsidRPr="009F7CC3">
        <w:rPr>
          <w:rFonts w:ascii="Times New Roman" w:hAnsi="Times New Roman"/>
          <w:sz w:val="20"/>
          <w:szCs w:val="20"/>
          <w:lang w:val="en-GB"/>
        </w:rPr>
        <w:t xml:space="preserve">O to produce an indole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(90%). In Route 2, indole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was directly obtained (48%) from the coupling of 1,2-dibromobenzene (</w:t>
      </w:r>
      <w:r w:rsidRPr="009F7CC3">
        <w:rPr>
          <w:rFonts w:ascii="Times New Roman" w:hAnsi="Times New Roman"/>
          <w:b/>
          <w:sz w:val="20"/>
          <w:szCs w:val="20"/>
          <w:lang w:val="en-GB"/>
        </w:rPr>
        <w:t>4</w:t>
      </w:r>
      <w:r w:rsidRPr="009F7CC3">
        <w:rPr>
          <w:rFonts w:ascii="Times New Roman" w:hAnsi="Times New Roman"/>
          <w:sz w:val="20"/>
          <w:szCs w:val="20"/>
          <w:lang w:val="en-GB"/>
        </w:rPr>
        <w:t>) and 5-amino-2-methylphenol (</w:t>
      </w:r>
      <w:r w:rsidRPr="009F7CC3">
        <w:rPr>
          <w:rFonts w:ascii="Times New Roman" w:hAnsi="Times New Roman"/>
          <w:b/>
          <w:sz w:val="20"/>
          <w:szCs w:val="20"/>
          <w:lang w:val="en-GB"/>
        </w:rPr>
        <w:t>5</w:t>
      </w:r>
      <w:r w:rsidRPr="009F7CC3">
        <w:rPr>
          <w:rFonts w:ascii="Times New Roman" w:hAnsi="Times New Roman"/>
          <w:sz w:val="20"/>
          <w:szCs w:val="20"/>
          <w:lang w:val="en-GB"/>
        </w:rPr>
        <w:t xml:space="preserve">) </w:t>
      </w:r>
      <w:r w:rsidRPr="009F7CC3">
        <w:rPr>
          <w:rFonts w:ascii="Times New Roman" w:hAnsi="Times New Roman"/>
          <w:i/>
          <w:sz w:val="20"/>
          <w:szCs w:val="20"/>
          <w:lang w:val="en-GB"/>
        </w:rPr>
        <w:t>via</w:t>
      </w:r>
      <w:r w:rsidRPr="009F7CC3">
        <w:rPr>
          <w:rFonts w:ascii="Times New Roman" w:hAnsi="Times New Roman"/>
          <w:sz w:val="20"/>
          <w:szCs w:val="20"/>
          <w:lang w:val="en-GB"/>
        </w:rPr>
        <w:t xml:space="preserve"> the formation of a C-N bond and a C-C bond by Pd-catalysed and Cu-catalysed reactions, respectively. The IR spectra showed a broad absorption at 3479 and 3375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 indicating the OH and the overlapping of OH and NH stretching for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respectively, whereas the strong absorption of conjugated N-O in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was displayed at 1518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 The NMR spectra showed a singlet of aromatic protons for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at δ 7.07, 6.71, and 6.69 ppm, whereas quaternary carbons of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were confirmed at δ 115.5–154.3 ppm and δ 115.8–155.7 ppm.</w:t>
      </w:r>
    </w:p>
    <w:p w14:paraId="045D7D82" w14:textId="77777777" w:rsidR="00F45F70" w:rsidRDefault="00F45F70" w:rsidP="009F7CC3">
      <w:pPr>
        <w:spacing w:after="0"/>
        <w:jc w:val="both"/>
        <w:rPr>
          <w:rFonts w:ascii="Times New Roman" w:hAnsi="Times New Roman"/>
          <w:sz w:val="20"/>
          <w:szCs w:val="20"/>
          <w:lang w:val="en-GB"/>
        </w:rPr>
      </w:pPr>
    </w:p>
    <w:p w14:paraId="7F6D5C71" w14:textId="77777777" w:rsidR="00F45F70" w:rsidRPr="009F7CC3" w:rsidRDefault="00F45F70" w:rsidP="00F45F70">
      <w:pPr>
        <w:spacing w:after="0"/>
        <w:jc w:val="both"/>
        <w:rPr>
          <w:rFonts w:ascii="Times New Roman" w:hAnsi="Times New Roman"/>
          <w:sz w:val="20"/>
          <w:szCs w:val="20"/>
          <w:lang w:val="en-GB"/>
        </w:rPr>
      </w:pPr>
      <w:r w:rsidRPr="009F7CC3">
        <w:rPr>
          <w:rFonts w:ascii="Times New Roman" w:hAnsi="Times New Roman"/>
          <w:sz w:val="20"/>
          <w:szCs w:val="20"/>
          <w:lang w:val="en-GB"/>
        </w:rPr>
        <w:t xml:space="preserve">Indole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was then treated with 3-chloro-3-methyl-1-butyne using CuCl</w:t>
      </w:r>
      <w:r w:rsidRPr="009F7CC3">
        <w:rPr>
          <w:rFonts w:ascii="Times New Roman" w:hAnsi="Times New Roman"/>
          <w:sz w:val="20"/>
          <w:szCs w:val="20"/>
          <w:vertAlign w:val="subscript"/>
          <w:lang w:val="en-GB"/>
        </w:rPr>
        <w:t>2</w:t>
      </w:r>
      <w:r w:rsidRPr="009F7CC3">
        <w:rPr>
          <w:rFonts w:ascii="Times New Roman" w:hAnsi="Times New Roman"/>
          <w:sz w:val="20"/>
          <w:szCs w:val="20"/>
          <w:lang w:val="en-GB"/>
        </w:rPr>
        <w:t>·2H</w:t>
      </w:r>
      <w:r w:rsidRPr="009F7CC3">
        <w:rPr>
          <w:rFonts w:ascii="Times New Roman" w:hAnsi="Times New Roman"/>
          <w:sz w:val="20"/>
          <w:szCs w:val="20"/>
          <w:vertAlign w:val="subscript"/>
          <w:lang w:val="en-GB"/>
        </w:rPr>
        <w:t>2</w:t>
      </w:r>
      <w:r w:rsidRPr="009F7CC3">
        <w:rPr>
          <w:rFonts w:ascii="Times New Roman" w:hAnsi="Times New Roman"/>
          <w:sz w:val="20"/>
          <w:szCs w:val="20"/>
          <w:lang w:val="en-GB"/>
        </w:rPr>
        <w:t xml:space="preserve">O as a catalyst in the presence of a base, DBU, to produce ether </w:t>
      </w:r>
      <w:r w:rsidRPr="009F7CC3">
        <w:rPr>
          <w:rFonts w:ascii="Times New Roman" w:hAnsi="Times New Roman"/>
          <w:b/>
          <w:sz w:val="20"/>
          <w:szCs w:val="20"/>
          <w:lang w:val="en-GB"/>
        </w:rPr>
        <w:t>7</w:t>
      </w:r>
      <w:r w:rsidRPr="009F7CC3">
        <w:rPr>
          <w:rFonts w:ascii="Times New Roman" w:hAnsi="Times New Roman"/>
          <w:sz w:val="20"/>
          <w:szCs w:val="20"/>
          <w:lang w:val="en-GB"/>
        </w:rPr>
        <w:t>. The absorption of C-H of alkyne was shown at 3361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 According to the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H-NMR spectrum, the singlet of the alkyne proton and the methyl protons of aromatic were observed at δ </w:t>
      </w:r>
      <w:r w:rsidRPr="009F7CC3">
        <w:rPr>
          <w:rFonts w:ascii="Times New Roman" w:hAnsi="Times New Roman"/>
          <w:sz w:val="20"/>
          <w:szCs w:val="20"/>
          <w:lang w:val="en-GB"/>
        </w:rPr>
        <w:t xml:space="preserve">3.75 and 2.23 ppm, respectively. In addition, the broad peak of NH appeared at δ 7.19 ppm. The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 xml:space="preserve">C-NMR spectrum of </w:t>
      </w:r>
      <w:r w:rsidRPr="009F7CC3">
        <w:rPr>
          <w:rFonts w:ascii="Times New Roman" w:hAnsi="Times New Roman"/>
          <w:b/>
          <w:sz w:val="20"/>
          <w:szCs w:val="20"/>
          <w:lang w:val="en-GB"/>
        </w:rPr>
        <w:t>7</w:t>
      </w:r>
      <w:r w:rsidRPr="009F7CC3">
        <w:rPr>
          <w:rFonts w:ascii="Times New Roman" w:hAnsi="Times New Roman"/>
          <w:sz w:val="20"/>
          <w:szCs w:val="20"/>
          <w:lang w:val="en-GB"/>
        </w:rPr>
        <w:t xml:space="preserve"> showed seven quaternary carbons in the range of δ 153.7–73.0 ppm. The alkyne carbons were assigned to the signals at δ 30.0 and 79.9 ppm, while the signal of methyl carbons was observed at δ 20.2 and 17.2 ppm. </w:t>
      </w:r>
    </w:p>
    <w:p w14:paraId="218061B3" w14:textId="77777777" w:rsidR="00F45F70" w:rsidRPr="009F7CC3" w:rsidRDefault="00F45F70" w:rsidP="00F45F70">
      <w:pPr>
        <w:spacing w:after="0"/>
        <w:jc w:val="both"/>
        <w:rPr>
          <w:rFonts w:ascii="Times New Roman" w:hAnsi="Times New Roman"/>
          <w:sz w:val="20"/>
          <w:szCs w:val="20"/>
          <w:lang w:val="en-GB"/>
        </w:rPr>
      </w:pPr>
    </w:p>
    <w:p w14:paraId="5530D33D" w14:textId="18A4A8A7" w:rsidR="00F45F70" w:rsidRPr="009F7CC3" w:rsidRDefault="00F45F70" w:rsidP="00F45F70">
      <w:pPr>
        <w:spacing w:after="0"/>
        <w:jc w:val="both"/>
        <w:rPr>
          <w:rFonts w:ascii="Times New Roman" w:hAnsi="Times New Roman"/>
          <w:sz w:val="20"/>
          <w:szCs w:val="20"/>
          <w:lang w:val="en-GB"/>
        </w:rPr>
      </w:pPr>
      <w:r w:rsidRPr="009F7CC3">
        <w:rPr>
          <w:rFonts w:ascii="Times New Roman" w:hAnsi="Times New Roman"/>
          <w:sz w:val="20"/>
          <w:szCs w:val="20"/>
          <w:lang w:val="en-GB"/>
        </w:rPr>
        <w:t>The synthesis of girinimbine (</w:t>
      </w:r>
      <w:r w:rsidRPr="009F7CC3">
        <w:rPr>
          <w:rFonts w:ascii="Times New Roman" w:hAnsi="Times New Roman"/>
          <w:b/>
          <w:sz w:val="20"/>
          <w:szCs w:val="20"/>
          <w:lang w:val="en-GB"/>
        </w:rPr>
        <w:t>8s</w:t>
      </w:r>
      <w:r w:rsidRPr="009F7CC3">
        <w:rPr>
          <w:rFonts w:ascii="Times New Roman" w:hAnsi="Times New Roman"/>
          <w:sz w:val="20"/>
          <w:szCs w:val="20"/>
          <w:lang w:val="en-GB"/>
        </w:rPr>
        <w:t xml:space="preserve">) was then accomplished by refluxing </w:t>
      </w:r>
      <w:r w:rsidRPr="009F7CC3">
        <w:rPr>
          <w:rFonts w:ascii="Times New Roman" w:hAnsi="Times New Roman"/>
          <w:b/>
          <w:sz w:val="20"/>
          <w:szCs w:val="20"/>
          <w:lang w:val="en-GB"/>
        </w:rPr>
        <w:t>7</w:t>
      </w:r>
      <w:r w:rsidRPr="009F7CC3">
        <w:rPr>
          <w:rFonts w:ascii="Times New Roman" w:hAnsi="Times New Roman"/>
          <w:sz w:val="20"/>
          <w:szCs w:val="20"/>
          <w:lang w:val="en-GB"/>
        </w:rPr>
        <w:t xml:space="preserve"> in toluene to form a pyran ring (Figure 1). Girinimbine (</w:t>
      </w:r>
      <w:r w:rsidRPr="009F7CC3">
        <w:rPr>
          <w:rFonts w:ascii="Times New Roman" w:hAnsi="Times New Roman"/>
          <w:b/>
          <w:sz w:val="20"/>
          <w:szCs w:val="20"/>
          <w:lang w:val="en-GB"/>
        </w:rPr>
        <w:t>8s</w:t>
      </w:r>
      <w:r w:rsidRPr="009F7CC3">
        <w:rPr>
          <w:rFonts w:ascii="Times New Roman" w:hAnsi="Times New Roman"/>
          <w:sz w:val="20"/>
          <w:szCs w:val="20"/>
          <w:lang w:val="en-GB"/>
        </w:rPr>
        <w:t>) was obtained as a white solid with a melting point of 175–176</w:t>
      </w:r>
      <w:r w:rsidR="00845392">
        <w:rPr>
          <w:rFonts w:ascii="Times New Roman" w:hAnsi="Times New Roman"/>
          <w:sz w:val="20"/>
          <w:szCs w:val="20"/>
          <w:lang w:val="en-GB"/>
        </w:rPr>
        <w:t xml:space="preserve"> </w:t>
      </w:r>
      <w:r w:rsidRPr="009F7CC3">
        <w:rPr>
          <w:rFonts w:ascii="Times New Roman" w:hAnsi="Times New Roman"/>
          <w:sz w:val="20"/>
          <w:szCs w:val="20"/>
          <w:lang w:val="en-GB"/>
        </w:rPr>
        <w:t>°C (lit. 175–177</w:t>
      </w:r>
      <w:r w:rsidR="00845392">
        <w:rPr>
          <w:rFonts w:ascii="Times New Roman" w:hAnsi="Times New Roman"/>
          <w:sz w:val="20"/>
          <w:szCs w:val="20"/>
          <w:lang w:val="en-GB"/>
        </w:rPr>
        <w:t xml:space="preserve"> </w:t>
      </w:r>
      <w:r w:rsidRPr="009F7CC3">
        <w:rPr>
          <w:rFonts w:ascii="Times New Roman" w:hAnsi="Times New Roman"/>
          <w:sz w:val="20"/>
          <w:szCs w:val="20"/>
          <w:lang w:val="en-GB"/>
        </w:rPr>
        <w:t>°C) [16]. The IR spectrum showed absorption at 3420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which indicated the presence of a secondary amine. Two absorptions of aromatic C=C could be observed at 1638 and 1449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while C-O absorption appeared at 1149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It gave a molecular ion peak at m/z 263 in the MS spectrum, thus reflecting the molecular formula of C</w:t>
      </w:r>
      <w:r w:rsidRPr="009F7CC3">
        <w:rPr>
          <w:rFonts w:ascii="Times New Roman" w:hAnsi="Times New Roman"/>
          <w:sz w:val="20"/>
          <w:szCs w:val="20"/>
          <w:vertAlign w:val="subscript"/>
          <w:lang w:val="en-GB"/>
        </w:rPr>
        <w:t>18</w:t>
      </w:r>
      <w:r w:rsidRPr="009F7CC3">
        <w:rPr>
          <w:rFonts w:ascii="Times New Roman" w:hAnsi="Times New Roman"/>
          <w:sz w:val="20"/>
          <w:szCs w:val="20"/>
          <w:lang w:val="en-GB"/>
        </w:rPr>
        <w:t>H</w:t>
      </w:r>
      <w:r w:rsidRPr="009F7CC3">
        <w:rPr>
          <w:rFonts w:ascii="Times New Roman" w:hAnsi="Times New Roman"/>
          <w:sz w:val="20"/>
          <w:szCs w:val="20"/>
          <w:vertAlign w:val="subscript"/>
          <w:lang w:val="en-GB"/>
        </w:rPr>
        <w:t>17</w:t>
      </w:r>
      <w:r w:rsidRPr="009F7CC3">
        <w:rPr>
          <w:rFonts w:ascii="Times New Roman" w:hAnsi="Times New Roman"/>
          <w:sz w:val="20"/>
          <w:szCs w:val="20"/>
          <w:lang w:val="en-GB"/>
        </w:rPr>
        <w:t xml:space="preserve">NO. According to the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H-NMR spectrum,</w:t>
      </w:r>
      <w:r w:rsidR="00845392">
        <w:rPr>
          <w:rFonts w:ascii="Times New Roman" w:hAnsi="Times New Roman"/>
          <w:sz w:val="20"/>
          <w:szCs w:val="20"/>
          <w:lang w:val="en-GB"/>
        </w:rPr>
        <w:t xml:space="preserve"> </w:t>
      </w:r>
      <w:r w:rsidRPr="009F7CC3">
        <w:rPr>
          <w:rFonts w:ascii="Times New Roman" w:hAnsi="Times New Roman"/>
          <w:sz w:val="20"/>
          <w:szCs w:val="20"/>
          <w:lang w:val="en-GB"/>
        </w:rPr>
        <w:t xml:space="preserve"> a broad singlet of NH appeared at δ 7.87 ppm, whereas a singlet of aromatic proton was observed at δ 7.65 ppm. Two doublet signals of </w:t>
      </w:r>
      <w:r w:rsidRPr="009F7CC3">
        <w:rPr>
          <w:rFonts w:ascii="Times New Roman" w:hAnsi="Times New Roman"/>
          <w:i/>
          <w:sz w:val="20"/>
          <w:szCs w:val="20"/>
          <w:lang w:val="en-GB"/>
        </w:rPr>
        <w:t>cis</w:t>
      </w:r>
      <w:r w:rsidRPr="009F7CC3">
        <w:rPr>
          <w:rFonts w:ascii="Times New Roman" w:hAnsi="Times New Roman"/>
          <w:sz w:val="20"/>
          <w:szCs w:val="20"/>
          <w:lang w:val="en-GB"/>
        </w:rPr>
        <w:t xml:space="preserve"> protons of an alkene appeared at δ 6.61 and 5.68 ppm with a coupling constant of 10.3 Hz. The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 xml:space="preserve">C-NMR spectrum showed the presence of eight quaternary carbons at δ 150.0, 139.7, 135.0, 124.1, 118.8, 117.0, 104.7, and 76.1 ppm. Two signals of alkene carbon could be observed at δ 117.5 and 129.6 ppm, while the </w:t>
      </w:r>
      <w:r w:rsidRPr="009F7CC3">
        <w:rPr>
          <w:rFonts w:ascii="Times New Roman" w:hAnsi="Times New Roman"/>
          <w:sz w:val="20"/>
          <w:szCs w:val="20"/>
          <w:lang w:val="en-GB"/>
        </w:rPr>
        <w:lastRenderedPageBreak/>
        <w:t xml:space="preserve">other three signals of the methyl groups appeared in the upfield region, δ 27.8 ppm, and δ 16.3 ppm. </w:t>
      </w:r>
    </w:p>
    <w:p w14:paraId="4D24A260" w14:textId="77777777" w:rsidR="00F45F70" w:rsidRPr="009F7CC3" w:rsidRDefault="00F45F70" w:rsidP="00F45F70">
      <w:pPr>
        <w:spacing w:after="0"/>
        <w:jc w:val="both"/>
        <w:rPr>
          <w:rFonts w:ascii="Times New Roman" w:hAnsi="Times New Roman"/>
          <w:sz w:val="20"/>
          <w:szCs w:val="20"/>
          <w:lang w:val="en-GB"/>
        </w:rPr>
      </w:pPr>
    </w:p>
    <w:p w14:paraId="11762734" w14:textId="70B00546" w:rsidR="00F45F70" w:rsidRDefault="00F45F70" w:rsidP="00F45F70">
      <w:pPr>
        <w:spacing w:after="0"/>
        <w:jc w:val="both"/>
        <w:rPr>
          <w:rFonts w:ascii="Times New Roman" w:hAnsi="Times New Roman"/>
          <w:sz w:val="20"/>
          <w:szCs w:val="20"/>
          <w:lang w:val="en-GB"/>
        </w:rPr>
      </w:pPr>
      <w:r w:rsidRPr="009F7CC3">
        <w:rPr>
          <w:rFonts w:ascii="Times New Roman" w:hAnsi="Times New Roman"/>
          <w:sz w:val="20"/>
          <w:szCs w:val="20"/>
          <w:lang w:val="en-GB"/>
        </w:rPr>
        <w:t>The NMR data of the synthesised girinimbine (</w:t>
      </w:r>
      <w:r w:rsidRPr="009F7CC3">
        <w:rPr>
          <w:rFonts w:ascii="Times New Roman" w:hAnsi="Times New Roman"/>
          <w:b/>
          <w:sz w:val="20"/>
          <w:szCs w:val="20"/>
          <w:lang w:val="en-GB"/>
        </w:rPr>
        <w:t>8s</w:t>
      </w:r>
      <w:r w:rsidRPr="009F7CC3">
        <w:rPr>
          <w:rFonts w:ascii="Times New Roman" w:hAnsi="Times New Roman"/>
          <w:sz w:val="20"/>
          <w:szCs w:val="20"/>
          <w:lang w:val="en-GB"/>
        </w:rPr>
        <w:t>) is in agreement with the isolated girinimbine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and the literature (Table 1). The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H-NMR of </w:t>
      </w:r>
      <w:r w:rsidRPr="009F7CC3">
        <w:rPr>
          <w:rFonts w:ascii="Times New Roman" w:hAnsi="Times New Roman"/>
          <w:b/>
          <w:bCs/>
          <w:sz w:val="20"/>
          <w:szCs w:val="20"/>
          <w:lang w:val="en-GB"/>
        </w:rPr>
        <w:t>8s</w:t>
      </w:r>
      <w:r w:rsidRPr="009F7CC3">
        <w:rPr>
          <w:rFonts w:ascii="Times New Roman" w:hAnsi="Times New Roman"/>
          <w:sz w:val="20"/>
          <w:szCs w:val="20"/>
          <w:lang w:val="en-GB"/>
        </w:rPr>
        <w:t xml:space="preserve"> shows a signal of NH at δ 7.87 ppm, H4 at δ 7.65 ppm, and H8 at δ 7.36 ppm, which were comparable with </w:t>
      </w:r>
      <w:r w:rsidRPr="009F7CC3">
        <w:rPr>
          <w:rFonts w:ascii="Times New Roman" w:hAnsi="Times New Roman"/>
          <w:b/>
          <w:bCs/>
          <w:sz w:val="20"/>
          <w:szCs w:val="20"/>
          <w:lang w:val="en-GB"/>
        </w:rPr>
        <w:t>8i</w:t>
      </w:r>
      <w:r w:rsidRPr="009F7CC3">
        <w:rPr>
          <w:rFonts w:ascii="Times New Roman" w:hAnsi="Times New Roman"/>
          <w:sz w:val="20"/>
          <w:szCs w:val="20"/>
          <w:lang w:val="en-GB"/>
        </w:rPr>
        <w:t xml:space="preserve"> (NH at δ 7.84 ppm, H4 at δ 7.67 ppm, and H8 at δ 7.35 ppm), and Sukari's data (NH at δ 7.84 ppm, H4 at δ 7.66 ppm, and H8 at δ 7.36 ppm) [23]. Similar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C-NMR data were also observed, such as C-1a at δ 139.7 ppm (</w:t>
      </w:r>
      <w:r w:rsidRPr="009F7CC3">
        <w:rPr>
          <w:rFonts w:ascii="Times New Roman" w:hAnsi="Times New Roman"/>
          <w:b/>
          <w:bCs/>
          <w:sz w:val="20"/>
          <w:szCs w:val="20"/>
          <w:lang w:val="en-GB"/>
        </w:rPr>
        <w:t>8s</w:t>
      </w:r>
      <w:r w:rsidRPr="009F7CC3">
        <w:rPr>
          <w:rFonts w:ascii="Times New Roman" w:hAnsi="Times New Roman"/>
          <w:sz w:val="20"/>
          <w:szCs w:val="20"/>
          <w:lang w:val="en-GB"/>
        </w:rPr>
        <w:t>), δ 139.7 ppm (</w:t>
      </w:r>
      <w:r w:rsidRPr="009F7CC3">
        <w:rPr>
          <w:rFonts w:ascii="Times New Roman" w:hAnsi="Times New Roman"/>
          <w:b/>
          <w:bCs/>
          <w:sz w:val="20"/>
          <w:szCs w:val="20"/>
          <w:lang w:val="en-GB"/>
        </w:rPr>
        <w:t>8i</w:t>
      </w:r>
      <w:r w:rsidRPr="009F7CC3">
        <w:rPr>
          <w:rFonts w:ascii="Times New Roman" w:hAnsi="Times New Roman"/>
          <w:sz w:val="20"/>
          <w:szCs w:val="20"/>
          <w:lang w:val="en-GB"/>
        </w:rPr>
        <w:t xml:space="preserve">), and δ 139.6 ppm [23]. The signal for C-8a of </w:t>
      </w:r>
      <w:r w:rsidRPr="009F7CC3">
        <w:rPr>
          <w:rFonts w:ascii="Times New Roman" w:hAnsi="Times New Roman"/>
          <w:b/>
          <w:bCs/>
          <w:sz w:val="20"/>
          <w:szCs w:val="20"/>
          <w:lang w:val="en-GB"/>
        </w:rPr>
        <w:t>8s</w:t>
      </w:r>
      <w:r w:rsidRPr="009F7CC3">
        <w:rPr>
          <w:rFonts w:ascii="Times New Roman" w:hAnsi="Times New Roman"/>
          <w:sz w:val="20"/>
          <w:szCs w:val="20"/>
          <w:lang w:val="en-GB"/>
        </w:rPr>
        <w:t xml:space="preserve"> was resonance at δ 135.0 ppm, which is in the </w:t>
      </w:r>
      <w:r w:rsidR="00845392">
        <w:rPr>
          <w:rFonts w:ascii="Times New Roman" w:hAnsi="Times New Roman"/>
          <w:sz w:val="20"/>
          <w:szCs w:val="20"/>
          <w:lang w:val="en-GB"/>
        </w:rPr>
        <w:t xml:space="preserve"> </w:t>
      </w:r>
      <w:r w:rsidRPr="009F7CC3">
        <w:rPr>
          <w:rFonts w:ascii="Times New Roman" w:hAnsi="Times New Roman"/>
          <w:sz w:val="20"/>
          <w:szCs w:val="20"/>
          <w:lang w:val="en-GB"/>
        </w:rPr>
        <w:t xml:space="preserve">range of </w:t>
      </w:r>
      <w:r w:rsidRPr="009F7CC3">
        <w:rPr>
          <w:rFonts w:ascii="Times New Roman" w:hAnsi="Times New Roman"/>
          <w:b/>
          <w:bCs/>
          <w:sz w:val="20"/>
          <w:szCs w:val="20"/>
          <w:lang w:val="en-GB"/>
        </w:rPr>
        <w:t>8i</w:t>
      </w:r>
      <w:r w:rsidRPr="009F7CC3">
        <w:rPr>
          <w:rFonts w:ascii="Times New Roman" w:hAnsi="Times New Roman"/>
          <w:sz w:val="20"/>
          <w:szCs w:val="20"/>
          <w:lang w:val="en-GB"/>
        </w:rPr>
        <w:t xml:space="preserve"> </w:t>
      </w:r>
      <w:r w:rsidR="00845392">
        <w:rPr>
          <w:rFonts w:ascii="Times New Roman" w:hAnsi="Times New Roman"/>
          <w:sz w:val="20"/>
          <w:szCs w:val="20"/>
          <w:lang w:val="en-GB"/>
        </w:rPr>
        <w:t xml:space="preserve"> </w:t>
      </w:r>
      <w:r w:rsidRPr="009F7CC3">
        <w:rPr>
          <w:rFonts w:ascii="Times New Roman" w:hAnsi="Times New Roman"/>
          <w:sz w:val="20"/>
          <w:szCs w:val="20"/>
          <w:lang w:val="en-GB"/>
        </w:rPr>
        <w:t xml:space="preserve">and </w:t>
      </w:r>
      <w:r w:rsidR="00845392">
        <w:rPr>
          <w:rFonts w:ascii="Times New Roman" w:hAnsi="Times New Roman"/>
          <w:sz w:val="20"/>
          <w:szCs w:val="20"/>
          <w:lang w:val="en-GB"/>
        </w:rPr>
        <w:t xml:space="preserve"> </w:t>
      </w:r>
      <w:r w:rsidRPr="009F7CC3">
        <w:rPr>
          <w:rFonts w:ascii="Times New Roman" w:hAnsi="Times New Roman"/>
          <w:sz w:val="20"/>
          <w:szCs w:val="20"/>
          <w:lang w:val="en-GB"/>
        </w:rPr>
        <w:t xml:space="preserve">the reference </w:t>
      </w:r>
      <w:r w:rsidR="00845392">
        <w:rPr>
          <w:rFonts w:ascii="Times New Roman" w:hAnsi="Times New Roman"/>
          <w:sz w:val="20"/>
          <w:szCs w:val="20"/>
          <w:lang w:val="en-GB"/>
        </w:rPr>
        <w:t xml:space="preserve"> </w:t>
      </w:r>
      <w:r w:rsidRPr="009F7CC3">
        <w:rPr>
          <w:rFonts w:ascii="Times New Roman" w:hAnsi="Times New Roman"/>
          <w:sz w:val="20"/>
          <w:szCs w:val="20"/>
          <w:lang w:val="en-GB"/>
        </w:rPr>
        <w:t xml:space="preserve">compound </w:t>
      </w:r>
      <w:r w:rsidR="00845392">
        <w:rPr>
          <w:rFonts w:ascii="Times New Roman" w:hAnsi="Times New Roman"/>
          <w:sz w:val="20"/>
          <w:szCs w:val="20"/>
          <w:lang w:val="en-GB"/>
        </w:rPr>
        <w:t xml:space="preserve"> </w:t>
      </w:r>
      <w:r w:rsidRPr="009F7CC3">
        <w:rPr>
          <w:rFonts w:ascii="Times New Roman" w:hAnsi="Times New Roman"/>
          <w:sz w:val="20"/>
          <w:szCs w:val="20"/>
          <w:lang w:val="en-GB"/>
        </w:rPr>
        <w:t>at δ 139.4–135.0 ppm.</w:t>
      </w:r>
    </w:p>
    <w:p w14:paraId="712F5548" w14:textId="77777777" w:rsidR="00E939DC" w:rsidRDefault="00E939DC" w:rsidP="00F45F70">
      <w:pPr>
        <w:spacing w:after="0"/>
        <w:jc w:val="both"/>
        <w:rPr>
          <w:rFonts w:ascii="Times New Roman" w:hAnsi="Times New Roman"/>
          <w:sz w:val="20"/>
          <w:szCs w:val="20"/>
          <w:lang w:val="en-GB"/>
        </w:rPr>
      </w:pPr>
    </w:p>
    <w:p w14:paraId="771DD6F2" w14:textId="77777777" w:rsidR="00E939DC" w:rsidRPr="009F7CC3" w:rsidRDefault="00E939DC" w:rsidP="00E939DC">
      <w:pPr>
        <w:spacing w:after="0"/>
        <w:jc w:val="both"/>
        <w:rPr>
          <w:rFonts w:ascii="Times New Roman" w:hAnsi="Times New Roman"/>
          <w:sz w:val="20"/>
          <w:szCs w:val="20"/>
          <w:lang w:val="en-GB"/>
        </w:rPr>
      </w:pPr>
      <w:r w:rsidRPr="009F7CC3">
        <w:rPr>
          <w:rFonts w:ascii="Times New Roman" w:hAnsi="Times New Roman"/>
          <w:i/>
          <w:sz w:val="20"/>
          <w:szCs w:val="20"/>
          <w:lang w:val="en-GB"/>
        </w:rPr>
        <w:t>N</w:t>
      </w:r>
      <w:r w:rsidRPr="009F7CC3">
        <w:rPr>
          <w:rFonts w:ascii="Times New Roman" w:hAnsi="Times New Roman"/>
          <w:sz w:val="20"/>
          <w:szCs w:val="20"/>
          <w:lang w:val="en-GB"/>
        </w:rPr>
        <w:t>-substituted girinimbine derivatives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were synthesised and characterised as previously described by our group [21]. All of the intermediates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7</w:t>
      </w:r>
      <w:r w:rsidRPr="009F7CC3">
        <w:rPr>
          <w:rFonts w:ascii="Times New Roman" w:hAnsi="Times New Roman"/>
          <w:sz w:val="20"/>
          <w:szCs w:val="20"/>
          <w:lang w:val="en-GB"/>
        </w:rPr>
        <w:t>), natural and synthesised girinimbines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8s</w:t>
      </w:r>
      <w:r w:rsidRPr="009F7CC3">
        <w:rPr>
          <w:rFonts w:ascii="Times New Roman" w:hAnsi="Times New Roman"/>
          <w:sz w:val="20"/>
          <w:szCs w:val="20"/>
          <w:lang w:val="en-GB"/>
        </w:rPr>
        <w:t xml:space="preserve">), and its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-alkylated and </w:t>
      </w:r>
      <w:r w:rsidRPr="009F7CC3">
        <w:rPr>
          <w:rFonts w:ascii="Times New Roman" w:hAnsi="Times New Roman"/>
          <w:i/>
          <w:sz w:val="20"/>
          <w:szCs w:val="20"/>
          <w:lang w:val="en-GB"/>
        </w:rPr>
        <w:t>N</w:t>
      </w:r>
      <w:r w:rsidRPr="009F7CC3">
        <w:rPr>
          <w:rFonts w:ascii="Times New Roman" w:hAnsi="Times New Roman"/>
          <w:sz w:val="20"/>
          <w:szCs w:val="20"/>
          <w:lang w:val="en-GB"/>
        </w:rPr>
        <w:t>-acylated derivatives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xml:space="preserve">) were subjected to a cytotoxicity assay that was cultured with lung cancer (A549) and normal lung (MRC-5) cell lines. </w:t>
      </w:r>
    </w:p>
    <w:p w14:paraId="4ECBFA2C" w14:textId="77777777" w:rsidR="00E939DC" w:rsidRPr="009F7CC3" w:rsidRDefault="00E939DC" w:rsidP="00E939DC">
      <w:pPr>
        <w:spacing w:after="0"/>
        <w:jc w:val="both"/>
        <w:rPr>
          <w:rFonts w:ascii="Times New Roman" w:hAnsi="Times New Roman"/>
          <w:sz w:val="20"/>
          <w:szCs w:val="20"/>
          <w:lang w:val="en-GB"/>
        </w:rPr>
      </w:pPr>
    </w:p>
    <w:p w14:paraId="0249585C" w14:textId="77777777" w:rsidR="00E939DC" w:rsidRPr="009F7CC3" w:rsidRDefault="00E939DC" w:rsidP="00E939DC">
      <w:pPr>
        <w:pStyle w:val="PARAGRAPHnoindent"/>
        <w:spacing w:line="276" w:lineRule="auto"/>
        <w:rPr>
          <w:rFonts w:ascii="Times New Roman" w:hAnsi="Times New Roman"/>
          <w:b/>
          <w:bCs/>
          <w:sz w:val="20"/>
          <w:lang w:val="en-GB"/>
        </w:rPr>
      </w:pPr>
      <w:r w:rsidRPr="009F7CC3">
        <w:rPr>
          <w:rFonts w:ascii="Times New Roman" w:hAnsi="Times New Roman"/>
          <w:b/>
          <w:bCs/>
          <w:sz w:val="20"/>
          <w:lang w:val="en-GB"/>
        </w:rPr>
        <w:t>Cytotoxicity assay of girinimbine and its derivatives</w:t>
      </w:r>
    </w:p>
    <w:p w14:paraId="52CF63E3" w14:textId="414BBB85" w:rsidR="00E939DC" w:rsidRDefault="00E939DC" w:rsidP="00E939DC">
      <w:pPr>
        <w:spacing w:after="0"/>
        <w:jc w:val="both"/>
        <w:rPr>
          <w:rFonts w:ascii="Times New Roman" w:hAnsi="Times New Roman"/>
          <w:sz w:val="20"/>
          <w:szCs w:val="20"/>
          <w:lang w:val="en-GB"/>
        </w:rPr>
      </w:pPr>
      <w:r w:rsidRPr="009F7CC3">
        <w:rPr>
          <w:rFonts w:ascii="Times New Roman" w:hAnsi="Times New Roman"/>
          <w:sz w:val="20"/>
          <w:szCs w:val="20"/>
          <w:lang w:val="en-GB"/>
        </w:rPr>
        <w:t>The cytotoxicity effect of natural girinimbine (</w:t>
      </w:r>
      <w:r w:rsidRPr="009F7CC3">
        <w:rPr>
          <w:rFonts w:ascii="Times New Roman" w:hAnsi="Times New Roman"/>
          <w:b/>
          <w:sz w:val="20"/>
          <w:szCs w:val="20"/>
          <w:lang w:val="en-GB"/>
        </w:rPr>
        <w:t>8i</w:t>
      </w:r>
      <w:r w:rsidRPr="009F7CC3">
        <w:rPr>
          <w:rFonts w:ascii="Times New Roman" w:hAnsi="Times New Roman"/>
          <w:sz w:val="20"/>
          <w:szCs w:val="20"/>
          <w:lang w:val="en-GB"/>
        </w:rPr>
        <w:t>) and all of the synthesised compounds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t>
      </w:r>
      <w:r w:rsidRPr="009F7CC3">
        <w:rPr>
          <w:rFonts w:ascii="Times New Roman" w:hAnsi="Times New Roman"/>
          <w:b/>
          <w:sz w:val="20"/>
          <w:szCs w:val="20"/>
          <w:lang w:val="en-GB"/>
        </w:rPr>
        <w:t>7</w:t>
      </w:r>
      <w:r w:rsidRPr="009F7CC3">
        <w:rPr>
          <w:rFonts w:ascii="Times New Roman" w:hAnsi="Times New Roman"/>
          <w:sz w:val="20"/>
          <w:szCs w:val="20"/>
          <w:lang w:val="en-GB"/>
        </w:rPr>
        <w:t xml:space="preserve">, </w:t>
      </w:r>
      <w:r w:rsidRPr="009F7CC3">
        <w:rPr>
          <w:rFonts w:ascii="Times New Roman" w:hAnsi="Times New Roman"/>
          <w:b/>
          <w:sz w:val="20"/>
          <w:szCs w:val="20"/>
          <w:lang w:val="en-GB"/>
        </w:rPr>
        <w:t>8s</w:t>
      </w:r>
      <w:r w:rsidRPr="009F7CC3">
        <w:rPr>
          <w:rFonts w:ascii="Times New Roman" w:hAnsi="Times New Roman"/>
          <w:sz w:val="20"/>
          <w:szCs w:val="20"/>
          <w:lang w:val="en-GB"/>
        </w:rPr>
        <w:t xml:space="preserve">,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(Figures 1 and 2) was evaluated using human lung cancer cell lines (A549) and normal lung cell lines (MRC-5) using the MTT method to examine their potential as therapeutic alternatives in cancer treatment. The data for MTT assay after 72 h of exposure were plotted in the graph of the percentage of viable cells versus concentration of the compounds (μg/mL) to identify their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values (Figure 3). All compounds were found to inhibit the growth and reduce the viability of the A549 and MRC-5 cell lines in a concentration-dependent manner. In the absence of the compounds (0 μg/mL), the cells represent 100% viability. The plot demonstrates that all semi-synthesised derivatives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xml:space="preserve"> showed less inhibition compared to their parent compound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w:t>
      </w:r>
    </w:p>
    <w:p w14:paraId="1165B3B6" w14:textId="77777777" w:rsidR="005B0996" w:rsidRDefault="005B0996" w:rsidP="00E939DC">
      <w:pPr>
        <w:spacing w:after="0"/>
        <w:jc w:val="both"/>
        <w:rPr>
          <w:rFonts w:ascii="Times New Roman" w:hAnsi="Times New Roman"/>
          <w:sz w:val="20"/>
          <w:szCs w:val="20"/>
          <w:lang w:val="en-GB"/>
        </w:rPr>
      </w:pPr>
    </w:p>
    <w:p w14:paraId="33C155D5" w14:textId="77777777" w:rsidR="005B0996" w:rsidRPr="009F7CC3" w:rsidRDefault="005B0996" w:rsidP="005B0996">
      <w:pPr>
        <w:spacing w:after="0"/>
        <w:jc w:val="both"/>
        <w:rPr>
          <w:rFonts w:ascii="Times New Roman" w:eastAsia="Batang" w:hAnsi="Times New Roman"/>
          <w:sz w:val="20"/>
          <w:szCs w:val="20"/>
          <w:lang w:val="en-GB"/>
        </w:rPr>
      </w:pPr>
      <w:r w:rsidRPr="009F7CC3">
        <w:rPr>
          <w:rFonts w:ascii="Times New Roman" w:hAnsi="Times New Roman"/>
          <w:sz w:val="20"/>
          <w:szCs w:val="20"/>
          <w:lang w:val="en-GB"/>
        </w:rPr>
        <w:t>All of the synthesised compounds, including naturally isolated girinimbine (</w:t>
      </w:r>
      <w:r w:rsidRPr="009F7CC3">
        <w:rPr>
          <w:rFonts w:ascii="Times New Roman" w:hAnsi="Times New Roman"/>
          <w:b/>
          <w:sz w:val="20"/>
          <w:szCs w:val="20"/>
          <w:lang w:val="en-GB"/>
        </w:rPr>
        <w:t>8i</w:t>
      </w:r>
      <w:r w:rsidRPr="009F7CC3">
        <w:rPr>
          <w:rFonts w:ascii="Times New Roman" w:hAnsi="Times New Roman"/>
          <w:sz w:val="20"/>
          <w:szCs w:val="20"/>
          <w:lang w:val="en-GB"/>
        </w:rPr>
        <w:t>), exhibited toxic activities with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values in the range of 6.2–40.6 μg/mL against lung cancer cell lines (Table 2). Both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and the intermediate nitrobiphenyl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with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17.0 and 6.2 μg/mL showed highly cytotoxic and potent compounds. Based on these experimental data, the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values of both compounds were comparable with doxorubicin (13.1 μg/mL) and the reported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(8.33 μg/mL) [5]. The presence of the nitro group in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seemed to increase the activity of the compound against A549 cell lines [28]. It was observed that the intermediates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t>
      </w:r>
      <w:r w:rsidRPr="009F7CC3">
        <w:rPr>
          <w:rFonts w:ascii="Times New Roman" w:hAnsi="Times New Roman"/>
          <w:b/>
          <w:sz w:val="20"/>
          <w:szCs w:val="20"/>
          <w:lang w:val="en-GB"/>
        </w:rPr>
        <w:t>6</w:t>
      </w:r>
      <w:r w:rsidRPr="009F7CC3">
        <w:rPr>
          <w:rFonts w:ascii="Times New Roman" w:hAnsi="Times New Roman"/>
          <w:bCs/>
          <w:sz w:val="20"/>
          <w:szCs w:val="20"/>
          <w:lang w:val="en-GB"/>
        </w:rPr>
        <w:t>,</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7</w:t>
      </w:r>
      <w:r w:rsidRPr="009F7CC3">
        <w:rPr>
          <w:rFonts w:ascii="Times New Roman" w:hAnsi="Times New Roman"/>
          <w:sz w:val="20"/>
          <w:szCs w:val="20"/>
          <w:lang w:val="en-GB"/>
        </w:rPr>
        <w:t xml:space="preserve"> exhibited a slightly higher cytotoxic activity against A549 cells compared to the synthesised girinimbine (</w:t>
      </w:r>
      <w:r w:rsidRPr="009F7CC3">
        <w:rPr>
          <w:rFonts w:ascii="Times New Roman" w:hAnsi="Times New Roman"/>
          <w:b/>
          <w:sz w:val="20"/>
          <w:szCs w:val="20"/>
          <w:lang w:val="en-GB"/>
        </w:rPr>
        <w:t>8s</w:t>
      </w:r>
      <w:r w:rsidRPr="009F7CC3">
        <w:rPr>
          <w:rFonts w:ascii="Times New Roman" w:hAnsi="Times New Roman"/>
          <w:sz w:val="20"/>
          <w:szCs w:val="20"/>
          <w:lang w:val="en-GB"/>
        </w:rPr>
        <w:t>). However, all girinimbine derivatives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showed no significant cytotoxicity effect compared to the synthesised girinimbine (</w:t>
      </w:r>
      <w:r w:rsidRPr="009F7CC3">
        <w:rPr>
          <w:rFonts w:ascii="Times New Roman" w:hAnsi="Times New Roman"/>
          <w:b/>
          <w:sz w:val="20"/>
          <w:szCs w:val="20"/>
          <w:lang w:val="en-GB"/>
        </w:rPr>
        <w:t>8s</w:t>
      </w:r>
      <w:r w:rsidRPr="009F7CC3">
        <w:rPr>
          <w:rFonts w:ascii="Times New Roman" w:hAnsi="Times New Roman"/>
          <w:sz w:val="20"/>
          <w:szCs w:val="20"/>
          <w:lang w:val="en-GB"/>
        </w:rPr>
        <w:t>)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33.0 μg/mL) against A549 cells, except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-acylated girinimbine </w:t>
      </w:r>
      <w:r w:rsidRPr="009F7CC3">
        <w:rPr>
          <w:rFonts w:ascii="Times New Roman" w:hAnsi="Times New Roman"/>
          <w:b/>
          <w:sz w:val="20"/>
          <w:szCs w:val="20"/>
          <w:lang w:val="en-GB"/>
        </w:rPr>
        <w:t>12</w:t>
      </w:r>
      <w:r w:rsidRPr="009F7CC3">
        <w:rPr>
          <w:rFonts w:ascii="Times New Roman" w:hAnsi="Times New Roman"/>
          <w:sz w:val="20"/>
          <w:szCs w:val="20"/>
          <w:lang w:val="en-GB"/>
        </w:rPr>
        <w:t xml:space="preserve">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25.5 μg/mL).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-alkylated girinimbine </w:t>
      </w:r>
      <w:r w:rsidRPr="009F7CC3">
        <w:rPr>
          <w:rFonts w:ascii="Times New Roman" w:hAnsi="Times New Roman"/>
          <w:b/>
          <w:sz w:val="20"/>
          <w:szCs w:val="20"/>
          <w:lang w:val="en-GB"/>
        </w:rPr>
        <w:t>11</w:t>
      </w:r>
      <w:r w:rsidRPr="009F7CC3">
        <w:rPr>
          <w:rFonts w:ascii="Times New Roman" w:hAnsi="Times New Roman"/>
          <w:sz w:val="20"/>
          <w:szCs w:val="20"/>
          <w:lang w:val="en-GB"/>
        </w:rPr>
        <w:t xml:space="preserve"> and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-acylated girinimbine </w:t>
      </w:r>
      <w:r w:rsidRPr="009F7CC3">
        <w:rPr>
          <w:rFonts w:ascii="Times New Roman" w:hAnsi="Times New Roman"/>
          <w:b/>
          <w:sz w:val="20"/>
          <w:szCs w:val="20"/>
          <w:lang w:val="en-GB"/>
        </w:rPr>
        <w:t>13</w:t>
      </w:r>
      <w:r w:rsidRPr="009F7CC3">
        <w:rPr>
          <w:rFonts w:ascii="Times New Roman" w:hAnsi="Times New Roman"/>
          <w:sz w:val="20"/>
          <w:szCs w:val="20"/>
          <w:lang w:val="en-GB"/>
        </w:rPr>
        <w:t xml:space="preserve"> showed less potent activity towards A549 cell lines compared to other derivatives within the group due to the branched alkyl substituent. Alkyl and benzyl substituents have been proven to enhance cytotoxic activities, as seen in derivatives </w:t>
      </w:r>
      <w:r w:rsidRPr="009F7CC3">
        <w:rPr>
          <w:rFonts w:ascii="Times New Roman" w:hAnsi="Times New Roman"/>
          <w:b/>
          <w:sz w:val="20"/>
          <w:szCs w:val="20"/>
          <w:lang w:val="en-GB"/>
        </w:rPr>
        <w:t>9</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10</w:t>
      </w:r>
      <w:r w:rsidRPr="009F7CC3">
        <w:rPr>
          <w:rFonts w:ascii="Times New Roman" w:hAnsi="Times New Roman"/>
          <w:sz w:val="20"/>
          <w:szCs w:val="20"/>
          <w:lang w:val="en-GB"/>
        </w:rPr>
        <w:t xml:space="preserve"> [29, 30]. In comparison, derivative </w:t>
      </w:r>
      <w:r w:rsidRPr="009F7CC3">
        <w:rPr>
          <w:rFonts w:ascii="Times New Roman" w:hAnsi="Times New Roman"/>
          <w:b/>
          <w:sz w:val="20"/>
          <w:szCs w:val="20"/>
          <w:lang w:val="en-GB"/>
        </w:rPr>
        <w:t>12</w:t>
      </w:r>
      <w:r w:rsidRPr="009F7CC3">
        <w:rPr>
          <w:rFonts w:ascii="Times New Roman" w:hAnsi="Times New Roman"/>
          <w:sz w:val="20"/>
          <w:szCs w:val="20"/>
          <w:lang w:val="en-GB"/>
        </w:rPr>
        <w:t xml:space="preserve"> showed stronger cytotoxicity than derivative </w:t>
      </w:r>
      <w:r w:rsidRPr="009F7CC3">
        <w:rPr>
          <w:rFonts w:ascii="Times New Roman" w:hAnsi="Times New Roman"/>
          <w:b/>
          <w:sz w:val="20"/>
          <w:szCs w:val="20"/>
          <w:lang w:val="en-GB"/>
        </w:rPr>
        <w:t>10</w:t>
      </w:r>
      <w:r w:rsidRPr="009F7CC3">
        <w:rPr>
          <w:rFonts w:ascii="Times New Roman" w:hAnsi="Times New Roman"/>
          <w:sz w:val="20"/>
          <w:szCs w:val="20"/>
          <w:lang w:val="en-GB"/>
        </w:rPr>
        <w:t xml:space="preserve"> probably due to the presence of a carbonyl group in the structure [31, 32]. It was observed that the synthesised girinimbine (</w:t>
      </w:r>
      <w:r w:rsidRPr="009F7CC3">
        <w:rPr>
          <w:rFonts w:ascii="Times New Roman" w:hAnsi="Times New Roman"/>
          <w:b/>
          <w:sz w:val="20"/>
          <w:szCs w:val="20"/>
          <w:lang w:val="en-GB"/>
        </w:rPr>
        <w:t>8s</w:t>
      </w:r>
      <w:r w:rsidRPr="009F7CC3">
        <w:rPr>
          <w:rFonts w:ascii="Times New Roman" w:hAnsi="Times New Roman"/>
          <w:sz w:val="20"/>
          <w:szCs w:val="20"/>
          <w:lang w:val="en-GB"/>
        </w:rPr>
        <w:t>) exhibited a 5-fold higher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value and was less toxic compared to the isolated girinimbine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in A549 cells with the concentration of 33.0 and 6.2 μg/mL, respectively. Due to the limited amount of </w:t>
      </w:r>
      <w:r w:rsidRPr="009F7CC3">
        <w:rPr>
          <w:rFonts w:ascii="Times New Roman" w:hAnsi="Times New Roman"/>
          <w:b/>
          <w:sz w:val="20"/>
          <w:szCs w:val="20"/>
          <w:lang w:val="en-GB"/>
        </w:rPr>
        <w:t>8s</w:t>
      </w:r>
      <w:r w:rsidRPr="009F7CC3">
        <w:rPr>
          <w:rFonts w:ascii="Times New Roman" w:hAnsi="Times New Roman"/>
          <w:sz w:val="20"/>
          <w:szCs w:val="20"/>
          <w:lang w:val="en-GB"/>
        </w:rPr>
        <w:t>, the cytotoxicity of this compound was unrepeated. F</w:t>
      </w:r>
      <w:r w:rsidRPr="009F7CC3">
        <w:rPr>
          <w:rFonts w:ascii="Times New Roman" w:hAnsi="Times New Roman"/>
          <w:bCs/>
          <w:sz w:val="20"/>
          <w:szCs w:val="20"/>
          <w:lang w:val="en-GB"/>
        </w:rPr>
        <w:t xml:space="preserve">actors that could be considered for the lower toxicity of </w:t>
      </w:r>
      <w:r w:rsidRPr="009F7CC3">
        <w:rPr>
          <w:rFonts w:ascii="Times New Roman" w:hAnsi="Times New Roman"/>
          <w:b/>
          <w:sz w:val="20"/>
          <w:szCs w:val="20"/>
          <w:lang w:val="en-GB"/>
        </w:rPr>
        <w:t>8s</w:t>
      </w:r>
      <w:r w:rsidRPr="009F7CC3">
        <w:rPr>
          <w:rFonts w:ascii="Times New Roman" w:hAnsi="Times New Roman"/>
          <w:bCs/>
          <w:sz w:val="20"/>
          <w:szCs w:val="20"/>
          <w:lang w:val="en-GB"/>
        </w:rPr>
        <w:t xml:space="preserve"> were probably the presence of the trace of impurity from the synthesis work or the solvent used for purification.</w:t>
      </w:r>
      <w:r w:rsidRPr="009F7CC3">
        <w:rPr>
          <w:rFonts w:ascii="Times New Roman" w:hAnsi="Times New Roman"/>
          <w:sz w:val="20"/>
          <w:szCs w:val="20"/>
          <w:lang w:val="en-GB"/>
        </w:rPr>
        <w:t xml:space="preserve"> </w:t>
      </w:r>
      <w:r w:rsidRPr="009F7CC3">
        <w:rPr>
          <w:rFonts w:ascii="Times New Roman" w:hAnsi="Times New Roman"/>
          <w:bCs/>
          <w:sz w:val="20"/>
          <w:szCs w:val="20"/>
          <w:lang w:val="en-GB"/>
        </w:rPr>
        <w:t>Besides, the systematic errors in IC</w:t>
      </w:r>
      <w:r w:rsidRPr="009F7CC3">
        <w:rPr>
          <w:rFonts w:ascii="Times New Roman" w:hAnsi="Times New Roman"/>
          <w:bCs/>
          <w:sz w:val="20"/>
          <w:szCs w:val="20"/>
          <w:vertAlign w:val="subscript"/>
          <w:lang w:val="en-GB"/>
        </w:rPr>
        <w:t>50</w:t>
      </w:r>
      <w:r w:rsidRPr="009F7CC3">
        <w:rPr>
          <w:rFonts w:ascii="Times New Roman" w:hAnsi="Times New Roman"/>
          <w:bCs/>
          <w:sz w:val="20"/>
          <w:szCs w:val="20"/>
          <w:lang w:val="en-GB"/>
        </w:rPr>
        <w:t xml:space="preserve"> measurement could mislead the effects due to uneven proliferation [33].</w:t>
      </w:r>
    </w:p>
    <w:p w14:paraId="1B06ACBD" w14:textId="77777777" w:rsidR="005B0996" w:rsidRPr="009F7CC3" w:rsidRDefault="005B0996" w:rsidP="005B0996">
      <w:pPr>
        <w:spacing w:after="0"/>
        <w:jc w:val="both"/>
        <w:rPr>
          <w:rFonts w:ascii="Times New Roman" w:hAnsi="Times New Roman"/>
          <w:sz w:val="20"/>
          <w:szCs w:val="20"/>
          <w:lang w:val="en-GB"/>
        </w:rPr>
      </w:pPr>
    </w:p>
    <w:p w14:paraId="6A1D98C3" w14:textId="77777777" w:rsidR="005B0996" w:rsidRPr="009F7CC3" w:rsidRDefault="005B0996" w:rsidP="005B0996">
      <w:pPr>
        <w:spacing w:after="0"/>
        <w:jc w:val="both"/>
        <w:rPr>
          <w:rFonts w:ascii="Times New Roman" w:hAnsi="Times New Roman"/>
          <w:sz w:val="20"/>
          <w:szCs w:val="20"/>
          <w:lang w:val="en-GB"/>
        </w:rPr>
      </w:pPr>
      <w:r w:rsidRPr="009F7CC3">
        <w:rPr>
          <w:rFonts w:ascii="Times New Roman" w:hAnsi="Times New Roman"/>
          <w:sz w:val="20"/>
          <w:szCs w:val="20"/>
          <w:lang w:val="en-GB"/>
        </w:rPr>
        <w:t xml:space="preserve">The normal lung cell lines (MRC-5) were used to measure the selectivity index (SI). The SI values can be used to identify whether the compounds are specifically cytotoxic to target cancer cells without displaying toxicity or very minimal toxicity towards </w:t>
      </w:r>
      <w:r w:rsidRPr="009F7CC3">
        <w:rPr>
          <w:rFonts w:ascii="Times New Roman" w:hAnsi="Times New Roman"/>
          <w:sz w:val="20"/>
          <w:szCs w:val="20"/>
          <w:lang w:val="en-GB"/>
        </w:rPr>
        <w:lastRenderedPageBreak/>
        <w:t xml:space="preserve">normal cells. The range of the SI values are SI &lt; 2 = non-selective (toxic) and SI &gt; 2 = selective (non-toxic) [34,35]. The larger the SI values, the more toxic the compounds towards cancer cells and safer towards normal cells. From the results, the SI values of all compounds exceeded 2, indicating that the compounds were selective towards A549 cancer cells with the SI values ranging from 2.70 to 4.68, except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-alkylated girinimbines </w:t>
      </w:r>
      <w:r w:rsidRPr="009F7CC3">
        <w:rPr>
          <w:rFonts w:ascii="Times New Roman" w:hAnsi="Times New Roman"/>
          <w:b/>
          <w:sz w:val="20"/>
          <w:szCs w:val="20"/>
          <w:lang w:val="en-GB"/>
        </w:rPr>
        <w:t>9</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11</w:t>
      </w:r>
      <w:r w:rsidRPr="009F7CC3">
        <w:rPr>
          <w:rFonts w:ascii="Times New Roman" w:hAnsi="Times New Roman"/>
          <w:sz w:val="20"/>
          <w:szCs w:val="20"/>
          <w:lang w:val="en-GB"/>
        </w:rPr>
        <w:t xml:space="preserve"> (Table 2). The isolated girinimbine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and intermediate nitrobiphenyl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with the SI values of 4.68 and 4.56, respectively, are the most toxic compounds compared to other compounds. </w:t>
      </w:r>
      <w:r w:rsidRPr="009F7CC3">
        <w:rPr>
          <w:rFonts w:ascii="Times New Roman" w:hAnsi="Times New Roman"/>
          <w:sz w:val="20"/>
          <w:szCs w:val="20"/>
          <w:lang w:val="en-GB"/>
        </w:rPr>
        <w:t xml:space="preserve">This indicates that their cytotoxicity activity is selective for the lung cancer cells A549 and can act as an anticancer drug without causing excessive damage to the normal cells. These compounds can be further investigated for lead therapeutic agents. However, derivatives </w:t>
      </w:r>
      <w:r w:rsidRPr="009F7CC3">
        <w:rPr>
          <w:rFonts w:ascii="Times New Roman" w:hAnsi="Times New Roman"/>
          <w:b/>
          <w:sz w:val="20"/>
          <w:szCs w:val="20"/>
          <w:lang w:val="en-GB"/>
        </w:rPr>
        <w:t>9</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11</w:t>
      </w:r>
      <w:r w:rsidRPr="009F7CC3">
        <w:rPr>
          <w:rFonts w:ascii="Times New Roman" w:hAnsi="Times New Roman"/>
          <w:sz w:val="20"/>
          <w:szCs w:val="20"/>
          <w:lang w:val="en-GB"/>
        </w:rPr>
        <w:t xml:space="preserve"> displayed no selectivity between cancer and normal cells due to the low SI values of 1.70 and 0.93, respectively. </w:t>
      </w:r>
    </w:p>
    <w:p w14:paraId="3921C1C2" w14:textId="77777777" w:rsidR="005B0996" w:rsidRPr="009F7CC3" w:rsidRDefault="005B0996" w:rsidP="00E939DC">
      <w:pPr>
        <w:spacing w:after="0"/>
        <w:jc w:val="both"/>
        <w:rPr>
          <w:rFonts w:ascii="Times New Roman" w:hAnsi="Times New Roman"/>
          <w:sz w:val="20"/>
          <w:szCs w:val="20"/>
          <w:lang w:val="en-GB"/>
        </w:rPr>
      </w:pPr>
    </w:p>
    <w:p w14:paraId="717C7026" w14:textId="77777777" w:rsidR="00F45F70" w:rsidRPr="009F7CC3" w:rsidRDefault="00F45F70" w:rsidP="00F45F70">
      <w:pPr>
        <w:spacing w:after="0"/>
        <w:jc w:val="both"/>
        <w:rPr>
          <w:rFonts w:ascii="Times New Roman" w:hAnsi="Times New Roman"/>
          <w:sz w:val="20"/>
          <w:szCs w:val="20"/>
          <w:lang w:val="en-GB"/>
        </w:rPr>
      </w:pPr>
    </w:p>
    <w:p w14:paraId="1AAFB526" w14:textId="77777777" w:rsidR="00F45F70" w:rsidRPr="009F7CC3" w:rsidRDefault="00F45F70" w:rsidP="009F7CC3">
      <w:pPr>
        <w:spacing w:after="0"/>
        <w:jc w:val="both"/>
        <w:rPr>
          <w:rFonts w:ascii="Times New Roman" w:hAnsi="Times New Roman"/>
          <w:sz w:val="20"/>
          <w:szCs w:val="20"/>
          <w:lang w:val="en-GB"/>
        </w:rPr>
      </w:pPr>
    </w:p>
    <w:p w14:paraId="687A64D7" w14:textId="77777777" w:rsidR="009F7CC3" w:rsidRPr="009F7CC3" w:rsidRDefault="009F7CC3" w:rsidP="009F7CC3">
      <w:pPr>
        <w:spacing w:after="0"/>
        <w:jc w:val="both"/>
        <w:rPr>
          <w:rFonts w:ascii="Times New Roman" w:hAnsi="Times New Roman"/>
          <w:sz w:val="20"/>
          <w:szCs w:val="20"/>
          <w:lang w:val="en-GB"/>
        </w:rPr>
      </w:pPr>
    </w:p>
    <w:p w14:paraId="617991D5" w14:textId="77777777" w:rsidR="00F45F70" w:rsidRDefault="00F45F70" w:rsidP="009F7CC3">
      <w:pPr>
        <w:spacing w:after="120"/>
        <w:jc w:val="center"/>
        <w:rPr>
          <w:rFonts w:ascii="Times New Roman" w:hAnsi="Times New Roman"/>
        </w:rPr>
        <w:sectPr w:rsidR="00F45F70" w:rsidSect="00F45F70">
          <w:footerReference w:type="even" r:id="rId17"/>
          <w:footerReference w:type="default" r:id="rId18"/>
          <w:type w:val="continuous"/>
          <w:pgSz w:w="12240" w:h="15840" w:code="1"/>
          <w:pgMar w:top="1800" w:right="1469" w:bottom="1699" w:left="1440" w:header="706" w:footer="706" w:gutter="0"/>
          <w:pgNumType w:start="0"/>
          <w:cols w:num="2" w:space="403"/>
          <w:docGrid w:linePitch="360"/>
        </w:sectPr>
      </w:pPr>
    </w:p>
    <w:p w14:paraId="4E417C56" w14:textId="77777777" w:rsidR="005B0996" w:rsidRDefault="005B0996" w:rsidP="009F7CC3">
      <w:pPr>
        <w:spacing w:after="120"/>
        <w:jc w:val="center"/>
        <w:rPr>
          <w:rFonts w:ascii="Times New Roman" w:hAnsi="Times New Roman"/>
        </w:rPr>
      </w:pPr>
    </w:p>
    <w:p w14:paraId="2BFCDB56" w14:textId="0C7A6355" w:rsidR="009F7CC3" w:rsidRPr="009F7CC3" w:rsidRDefault="009F7CC3" w:rsidP="009F7CC3">
      <w:pPr>
        <w:spacing w:after="120"/>
        <w:jc w:val="center"/>
        <w:rPr>
          <w:rFonts w:ascii="Times New Roman" w:hAnsi="Times New Roman"/>
          <w:sz w:val="20"/>
          <w:szCs w:val="20"/>
          <w:lang w:val="en-GB"/>
        </w:rPr>
      </w:pPr>
      <w:r w:rsidRPr="009F7CC3">
        <w:rPr>
          <w:rFonts w:ascii="Times New Roman" w:hAnsi="Times New Roman"/>
        </w:rPr>
        <w:object w:dxaOrig="7818" w:dyaOrig="6597" w14:anchorId="6C3B3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52pt" o:ole="">
            <v:imagedata r:id="rId19" o:title=""/>
          </v:shape>
          <o:OLEObject Type="Embed" ProgID="ChemDraw.Document.6.0" ShapeID="_x0000_i1025" DrawAspect="Content" ObjectID="_1700317604" r:id="rId20"/>
        </w:object>
      </w:r>
    </w:p>
    <w:p w14:paraId="1E773E5F" w14:textId="37F45D6F" w:rsidR="009F7CC3" w:rsidRPr="009F7CC3" w:rsidRDefault="009F7CC3" w:rsidP="009F7CC3">
      <w:pPr>
        <w:spacing w:after="0"/>
        <w:ind w:left="851" w:hanging="851"/>
        <w:jc w:val="both"/>
        <w:rPr>
          <w:rFonts w:ascii="Times New Roman" w:hAnsi="Times New Roman"/>
          <w:sz w:val="20"/>
          <w:szCs w:val="20"/>
          <w:lang w:val="en-GB"/>
        </w:rPr>
      </w:pPr>
      <w:r w:rsidRPr="009F7CC3">
        <w:rPr>
          <w:rFonts w:ascii="Times New Roman" w:hAnsi="Times New Roman"/>
          <w:sz w:val="20"/>
          <w:szCs w:val="20"/>
          <w:lang w:val="en-GB"/>
        </w:rPr>
        <w:t xml:space="preserve">Figure 1. </w:t>
      </w:r>
      <w:r>
        <w:rPr>
          <w:rFonts w:ascii="Times New Roman" w:hAnsi="Times New Roman"/>
          <w:sz w:val="20"/>
          <w:szCs w:val="20"/>
          <w:lang w:val="en-GB"/>
        </w:rPr>
        <w:tab/>
      </w:r>
      <w:r w:rsidRPr="009F7CC3">
        <w:rPr>
          <w:rFonts w:ascii="Times New Roman" w:hAnsi="Times New Roman"/>
          <w:sz w:val="20"/>
          <w:szCs w:val="20"/>
          <w:lang w:val="en-GB"/>
        </w:rPr>
        <w:t>Synthesis of girinimbine (</w:t>
      </w:r>
      <w:r w:rsidRPr="009F7CC3">
        <w:rPr>
          <w:rFonts w:ascii="Times New Roman" w:hAnsi="Times New Roman"/>
          <w:b/>
          <w:sz w:val="20"/>
          <w:szCs w:val="20"/>
          <w:lang w:val="en-GB"/>
        </w:rPr>
        <w:t>8s</w:t>
      </w:r>
      <w:r w:rsidRPr="009F7CC3">
        <w:rPr>
          <w:rFonts w:ascii="Times New Roman" w:hAnsi="Times New Roman"/>
          <w:sz w:val="20"/>
          <w:szCs w:val="20"/>
          <w:lang w:val="en-GB"/>
        </w:rPr>
        <w:t xml:space="preserve">). Two different synthetic approaches to produce an intermediate indole </w:t>
      </w:r>
      <w:r w:rsidRPr="009F7CC3">
        <w:rPr>
          <w:rFonts w:ascii="Times New Roman" w:hAnsi="Times New Roman"/>
          <w:b/>
          <w:bCs/>
          <w:sz w:val="20"/>
          <w:szCs w:val="20"/>
          <w:lang w:val="en-GB"/>
        </w:rPr>
        <w:t xml:space="preserve">6 </w:t>
      </w:r>
      <w:r w:rsidRPr="009F7CC3">
        <w:rPr>
          <w:rFonts w:ascii="Times New Roman" w:hAnsi="Times New Roman"/>
          <w:sz w:val="20"/>
          <w:szCs w:val="20"/>
          <w:lang w:val="en-GB"/>
        </w:rPr>
        <w:t>were applied</w:t>
      </w:r>
      <w:r w:rsidRPr="009F7CC3">
        <w:rPr>
          <w:rFonts w:ascii="Times New Roman" w:hAnsi="Times New Roman"/>
          <w:b/>
          <w:bCs/>
          <w:sz w:val="20"/>
          <w:szCs w:val="20"/>
          <w:lang w:val="en-GB"/>
        </w:rPr>
        <w:t xml:space="preserve"> </w:t>
      </w:r>
      <w:r w:rsidRPr="009F7CC3">
        <w:rPr>
          <w:rFonts w:ascii="Times New Roman" w:hAnsi="Times New Roman"/>
          <w:i/>
          <w:sz w:val="20"/>
          <w:szCs w:val="20"/>
          <w:lang w:val="en-GB"/>
        </w:rPr>
        <w:t>via</w:t>
      </w:r>
      <w:r w:rsidRPr="009F7CC3">
        <w:rPr>
          <w:rFonts w:ascii="Times New Roman" w:hAnsi="Times New Roman"/>
          <w:sz w:val="20"/>
          <w:szCs w:val="20"/>
          <w:lang w:val="en-GB"/>
        </w:rPr>
        <w:t xml:space="preserve"> a two-step reaction (Route 1) or a one-pot reaction (Route 2)</w:t>
      </w:r>
    </w:p>
    <w:p w14:paraId="309AF86C" w14:textId="05AC1128" w:rsidR="009F7CC3" w:rsidRDefault="009F7CC3" w:rsidP="009F7CC3">
      <w:pPr>
        <w:spacing w:after="0"/>
        <w:jc w:val="both"/>
        <w:rPr>
          <w:rFonts w:ascii="Times New Roman" w:hAnsi="Times New Roman"/>
          <w:sz w:val="20"/>
          <w:szCs w:val="20"/>
          <w:lang w:val="en-GB"/>
        </w:rPr>
      </w:pPr>
    </w:p>
    <w:p w14:paraId="351ADC50" w14:textId="6282A60D" w:rsidR="005B0996" w:rsidRDefault="005B0996" w:rsidP="009F7CC3">
      <w:pPr>
        <w:spacing w:after="0"/>
        <w:jc w:val="both"/>
        <w:rPr>
          <w:rFonts w:ascii="Times New Roman" w:hAnsi="Times New Roman"/>
          <w:sz w:val="20"/>
          <w:szCs w:val="20"/>
          <w:lang w:val="en-GB"/>
        </w:rPr>
      </w:pPr>
    </w:p>
    <w:p w14:paraId="49293B61" w14:textId="4DD7DF57" w:rsidR="005B0996" w:rsidRDefault="005B0996" w:rsidP="009F7CC3">
      <w:pPr>
        <w:spacing w:after="0"/>
        <w:jc w:val="both"/>
        <w:rPr>
          <w:rFonts w:ascii="Times New Roman" w:hAnsi="Times New Roman"/>
          <w:sz w:val="20"/>
          <w:szCs w:val="20"/>
          <w:lang w:val="en-GB"/>
        </w:rPr>
      </w:pPr>
    </w:p>
    <w:p w14:paraId="6D9FE40B" w14:textId="29FC793A" w:rsidR="005B0996" w:rsidRDefault="005B0996" w:rsidP="009F7CC3">
      <w:pPr>
        <w:spacing w:after="0"/>
        <w:jc w:val="both"/>
        <w:rPr>
          <w:rFonts w:ascii="Times New Roman" w:hAnsi="Times New Roman"/>
          <w:sz w:val="20"/>
          <w:szCs w:val="20"/>
          <w:lang w:val="en-GB"/>
        </w:rPr>
      </w:pPr>
    </w:p>
    <w:p w14:paraId="55C36A07" w14:textId="44C78514" w:rsidR="005B0996" w:rsidRDefault="005B0996" w:rsidP="009F7CC3">
      <w:pPr>
        <w:spacing w:after="0"/>
        <w:jc w:val="both"/>
        <w:rPr>
          <w:rFonts w:ascii="Times New Roman" w:hAnsi="Times New Roman"/>
          <w:sz w:val="20"/>
          <w:szCs w:val="20"/>
          <w:lang w:val="en-GB"/>
        </w:rPr>
      </w:pPr>
    </w:p>
    <w:p w14:paraId="354937BE" w14:textId="54EC47F1" w:rsidR="005B0996" w:rsidRDefault="005B0996" w:rsidP="009F7CC3">
      <w:pPr>
        <w:spacing w:after="0"/>
        <w:jc w:val="both"/>
        <w:rPr>
          <w:rFonts w:ascii="Times New Roman" w:hAnsi="Times New Roman"/>
          <w:sz w:val="20"/>
          <w:szCs w:val="20"/>
          <w:lang w:val="en-GB"/>
        </w:rPr>
      </w:pPr>
    </w:p>
    <w:p w14:paraId="0790D32D" w14:textId="5A022B08" w:rsidR="005B0996" w:rsidRDefault="005B0996" w:rsidP="009F7CC3">
      <w:pPr>
        <w:spacing w:after="0"/>
        <w:jc w:val="both"/>
        <w:rPr>
          <w:rFonts w:ascii="Times New Roman" w:hAnsi="Times New Roman"/>
          <w:sz w:val="20"/>
          <w:szCs w:val="20"/>
          <w:lang w:val="en-GB"/>
        </w:rPr>
      </w:pPr>
    </w:p>
    <w:p w14:paraId="2039A8E6" w14:textId="5F1154F9" w:rsidR="005B0996" w:rsidRDefault="005B0996" w:rsidP="009F7CC3">
      <w:pPr>
        <w:spacing w:after="0"/>
        <w:jc w:val="both"/>
        <w:rPr>
          <w:rFonts w:ascii="Times New Roman" w:hAnsi="Times New Roman"/>
          <w:sz w:val="20"/>
          <w:szCs w:val="20"/>
          <w:lang w:val="en-GB"/>
        </w:rPr>
      </w:pPr>
    </w:p>
    <w:p w14:paraId="36F5B0FF" w14:textId="0A93E6A1" w:rsidR="005B0996" w:rsidRDefault="005B0996" w:rsidP="009F7CC3">
      <w:pPr>
        <w:spacing w:after="0"/>
        <w:jc w:val="both"/>
        <w:rPr>
          <w:rFonts w:ascii="Times New Roman" w:hAnsi="Times New Roman"/>
          <w:sz w:val="20"/>
          <w:szCs w:val="20"/>
          <w:lang w:val="en-GB"/>
        </w:rPr>
      </w:pPr>
    </w:p>
    <w:p w14:paraId="6703669C" w14:textId="08844A63" w:rsidR="005B0996" w:rsidRDefault="005B0996" w:rsidP="009F7CC3">
      <w:pPr>
        <w:spacing w:after="0"/>
        <w:jc w:val="both"/>
        <w:rPr>
          <w:rFonts w:ascii="Times New Roman" w:hAnsi="Times New Roman"/>
          <w:sz w:val="20"/>
          <w:szCs w:val="20"/>
          <w:lang w:val="en-GB"/>
        </w:rPr>
      </w:pPr>
    </w:p>
    <w:p w14:paraId="56267807" w14:textId="77777777" w:rsidR="005B0996" w:rsidRPr="009F7CC3" w:rsidRDefault="005B0996" w:rsidP="009F7CC3">
      <w:pPr>
        <w:spacing w:after="0"/>
        <w:jc w:val="both"/>
        <w:rPr>
          <w:rFonts w:ascii="Times New Roman" w:hAnsi="Times New Roman"/>
          <w:sz w:val="20"/>
          <w:szCs w:val="20"/>
          <w:lang w:val="en-GB"/>
        </w:rPr>
      </w:pPr>
    </w:p>
    <w:p w14:paraId="1F9F9BB7" w14:textId="5DAB539A" w:rsidR="009F7CC3" w:rsidRPr="009F7CC3" w:rsidRDefault="009F7CC3" w:rsidP="009F7CC3">
      <w:pPr>
        <w:spacing w:after="120"/>
        <w:jc w:val="center"/>
        <w:rPr>
          <w:rFonts w:ascii="Times New Roman" w:hAnsi="Times New Roman"/>
          <w:sz w:val="20"/>
          <w:szCs w:val="20"/>
          <w:lang w:val="en-GB"/>
        </w:rPr>
      </w:pPr>
      <w:r w:rsidRPr="009F7CC3">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9F7CC3">
        <w:rPr>
          <w:rFonts w:ascii="Times New Roman" w:hAnsi="Times New Roman"/>
          <w:sz w:val="20"/>
          <w:szCs w:val="20"/>
          <w:lang w:val="en-GB"/>
        </w:rPr>
        <w:t xml:space="preserve">Comparison of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H-NMR (500 MHz) and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C-NMR (125 MHz) data for girinimbines</w:t>
      </w:r>
    </w:p>
    <w:tbl>
      <w:tblPr>
        <w:tblStyle w:val="PlainTable2"/>
        <w:tblW w:w="8338" w:type="dxa"/>
        <w:jc w:val="center"/>
        <w:tblLayout w:type="fixed"/>
        <w:tblLook w:val="04A0" w:firstRow="1" w:lastRow="0" w:firstColumn="1" w:lastColumn="0" w:noHBand="0" w:noVBand="1"/>
      </w:tblPr>
      <w:tblGrid>
        <w:gridCol w:w="678"/>
        <w:gridCol w:w="1843"/>
        <w:gridCol w:w="1701"/>
        <w:gridCol w:w="1701"/>
        <w:gridCol w:w="807"/>
        <w:gridCol w:w="850"/>
        <w:gridCol w:w="758"/>
      </w:tblGrid>
      <w:tr w:rsidR="009F7CC3" w:rsidRPr="009F7CC3" w14:paraId="68A1DDC6" w14:textId="77777777" w:rsidTr="004C49E6">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vMerge w:val="restart"/>
            <w:tcBorders>
              <w:top w:val="single" w:sz="4" w:space="0" w:color="auto"/>
              <w:bottom w:val="nil"/>
            </w:tcBorders>
          </w:tcPr>
          <w:p w14:paraId="49256EBB" w14:textId="77777777" w:rsidR="009F7CC3" w:rsidRPr="009F7CC3" w:rsidRDefault="009F7CC3" w:rsidP="009F7CC3">
            <w:pPr>
              <w:spacing w:before="120" w:after="0"/>
              <w:rPr>
                <w:rFonts w:ascii="Times New Roman" w:hAnsi="Times New Roman" w:cs="Times New Roman"/>
                <w:b w:val="0"/>
                <w:sz w:val="20"/>
                <w:szCs w:val="20"/>
                <w:lang w:val="en-GB"/>
              </w:rPr>
            </w:pPr>
            <w:r w:rsidRPr="009F7CC3">
              <w:rPr>
                <w:rFonts w:ascii="Times New Roman" w:hAnsi="Times New Roman" w:cs="Times New Roman"/>
                <w:sz w:val="20"/>
                <w:szCs w:val="20"/>
                <w:lang w:val="en-GB"/>
              </w:rPr>
              <w:t>C/H</w:t>
            </w:r>
          </w:p>
        </w:tc>
        <w:tc>
          <w:tcPr>
            <w:tcW w:w="5245" w:type="dxa"/>
            <w:gridSpan w:val="3"/>
            <w:tcBorders>
              <w:top w:val="single" w:sz="4" w:space="0" w:color="auto"/>
              <w:bottom w:val="single" w:sz="4" w:space="0" w:color="auto"/>
            </w:tcBorders>
          </w:tcPr>
          <w:p w14:paraId="3C15DF10" w14:textId="77777777" w:rsidR="009F7CC3" w:rsidRPr="009F7CC3" w:rsidRDefault="009F7CC3" w:rsidP="009F7CC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9F7CC3">
              <w:rPr>
                <w:rFonts w:ascii="Times New Roman" w:hAnsi="Times New Roman" w:cs="Times New Roman"/>
                <w:sz w:val="20"/>
                <w:szCs w:val="20"/>
                <w:lang w:val="en-GB"/>
              </w:rPr>
              <w:sym w:font="Symbol" w:char="F064"/>
            </w:r>
            <w:r w:rsidRPr="009F7CC3">
              <w:rPr>
                <w:rFonts w:ascii="Times New Roman" w:hAnsi="Times New Roman" w:cs="Times New Roman"/>
                <w:sz w:val="20"/>
                <w:szCs w:val="20"/>
                <w:vertAlign w:val="subscript"/>
                <w:lang w:val="en-GB"/>
              </w:rPr>
              <w:t>H</w:t>
            </w:r>
            <w:r w:rsidRPr="009F7CC3">
              <w:rPr>
                <w:rFonts w:ascii="Times New Roman" w:hAnsi="Times New Roman" w:cs="Times New Roman"/>
                <w:sz w:val="20"/>
                <w:szCs w:val="20"/>
                <w:lang w:val="en-GB"/>
              </w:rPr>
              <w:t xml:space="preserve"> (CDCl</w:t>
            </w:r>
            <w:r w:rsidRPr="009F7CC3">
              <w:rPr>
                <w:rFonts w:ascii="Times New Roman" w:hAnsi="Times New Roman" w:cs="Times New Roman"/>
                <w:sz w:val="20"/>
                <w:szCs w:val="20"/>
                <w:vertAlign w:val="subscript"/>
                <w:lang w:val="en-GB"/>
              </w:rPr>
              <w:t>3</w:t>
            </w:r>
            <w:r w:rsidRPr="009F7CC3">
              <w:rPr>
                <w:rFonts w:ascii="Times New Roman" w:hAnsi="Times New Roman" w:cs="Times New Roman"/>
                <w:sz w:val="20"/>
                <w:szCs w:val="20"/>
                <w:lang w:val="en-GB"/>
              </w:rPr>
              <w:t>, ppm, J in Hz)</w:t>
            </w:r>
          </w:p>
        </w:tc>
        <w:tc>
          <w:tcPr>
            <w:tcW w:w="2415" w:type="dxa"/>
            <w:gridSpan w:val="3"/>
            <w:tcBorders>
              <w:top w:val="single" w:sz="4" w:space="0" w:color="auto"/>
              <w:bottom w:val="single" w:sz="4" w:space="0" w:color="auto"/>
            </w:tcBorders>
          </w:tcPr>
          <w:p w14:paraId="2E1B4E91" w14:textId="77777777" w:rsidR="009F7CC3" w:rsidRPr="004C49E6" w:rsidRDefault="009F7CC3" w:rsidP="004C49E6">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4C49E6">
              <w:rPr>
                <w:rFonts w:ascii="Times New Roman" w:hAnsi="Times New Roman" w:cs="Times New Roman"/>
                <w:sz w:val="20"/>
                <w:szCs w:val="20"/>
                <w:lang w:val="en-GB"/>
              </w:rPr>
              <w:sym w:font="Symbol" w:char="F064"/>
            </w:r>
            <w:r w:rsidRPr="004C49E6">
              <w:rPr>
                <w:rFonts w:ascii="Times New Roman" w:hAnsi="Times New Roman" w:cs="Times New Roman"/>
                <w:sz w:val="20"/>
                <w:szCs w:val="20"/>
                <w:vertAlign w:val="subscript"/>
                <w:lang w:val="en-GB"/>
              </w:rPr>
              <w:t>C</w:t>
            </w:r>
            <w:r w:rsidRPr="004C49E6">
              <w:rPr>
                <w:rFonts w:ascii="Times New Roman" w:hAnsi="Times New Roman" w:cs="Times New Roman"/>
                <w:sz w:val="20"/>
                <w:szCs w:val="20"/>
                <w:lang w:val="en-GB"/>
              </w:rPr>
              <w:t xml:space="preserve"> (CDCl</w:t>
            </w:r>
            <w:r w:rsidRPr="004C49E6">
              <w:rPr>
                <w:rFonts w:ascii="Times New Roman" w:hAnsi="Times New Roman" w:cs="Times New Roman"/>
                <w:sz w:val="20"/>
                <w:szCs w:val="20"/>
                <w:vertAlign w:val="subscript"/>
                <w:lang w:val="en-GB"/>
              </w:rPr>
              <w:t>3</w:t>
            </w:r>
            <w:r w:rsidRPr="004C49E6">
              <w:rPr>
                <w:rFonts w:ascii="Times New Roman" w:hAnsi="Times New Roman" w:cs="Times New Roman"/>
                <w:sz w:val="20"/>
                <w:szCs w:val="20"/>
                <w:lang w:val="en-GB"/>
              </w:rPr>
              <w:t>, ppm)</w:t>
            </w:r>
          </w:p>
        </w:tc>
      </w:tr>
      <w:tr w:rsidR="009F7CC3" w:rsidRPr="009F7CC3" w14:paraId="2FF4E7AE" w14:textId="77777777" w:rsidTr="004C49E6">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678" w:type="dxa"/>
            <w:vMerge/>
            <w:tcBorders>
              <w:top w:val="nil"/>
              <w:bottom w:val="single" w:sz="4" w:space="0" w:color="auto"/>
            </w:tcBorders>
          </w:tcPr>
          <w:p w14:paraId="24C5F19D" w14:textId="77777777" w:rsidR="009F7CC3" w:rsidRPr="009F7CC3" w:rsidRDefault="009F7CC3" w:rsidP="009F7CC3">
            <w:pPr>
              <w:spacing w:after="0"/>
              <w:rPr>
                <w:rFonts w:ascii="Times New Roman" w:hAnsi="Times New Roman" w:cs="Times New Roman"/>
                <w:b w:val="0"/>
                <w:sz w:val="20"/>
                <w:szCs w:val="20"/>
                <w:lang w:val="en-GB"/>
              </w:rPr>
            </w:pPr>
          </w:p>
        </w:tc>
        <w:tc>
          <w:tcPr>
            <w:tcW w:w="1843" w:type="dxa"/>
            <w:tcBorders>
              <w:top w:val="single" w:sz="4" w:space="0" w:color="auto"/>
              <w:bottom w:val="single" w:sz="4" w:space="0" w:color="auto"/>
            </w:tcBorders>
          </w:tcPr>
          <w:p w14:paraId="58D2D11A" w14:textId="77777777" w:rsidR="009F7CC3" w:rsidRPr="009F7CC3" w:rsidRDefault="009F7CC3" w:rsidP="009F7CC3">
            <w:pPr>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8s</w:t>
            </w:r>
          </w:p>
        </w:tc>
        <w:tc>
          <w:tcPr>
            <w:tcW w:w="1701" w:type="dxa"/>
            <w:tcBorders>
              <w:top w:val="single" w:sz="4" w:space="0" w:color="auto"/>
              <w:bottom w:val="single" w:sz="4" w:space="0" w:color="auto"/>
            </w:tcBorders>
          </w:tcPr>
          <w:p w14:paraId="2AACADB6"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8i</w:t>
            </w:r>
            <w:r w:rsidRPr="009F7CC3">
              <w:rPr>
                <w:rFonts w:ascii="Times New Roman" w:hAnsi="Times New Roman" w:cs="Times New Roman"/>
                <w:b/>
                <w:sz w:val="20"/>
                <w:szCs w:val="20"/>
                <w:vertAlign w:val="superscript"/>
                <w:lang w:val="en-GB"/>
              </w:rPr>
              <w:t>a</w:t>
            </w:r>
          </w:p>
        </w:tc>
        <w:tc>
          <w:tcPr>
            <w:tcW w:w="1701" w:type="dxa"/>
            <w:tcBorders>
              <w:top w:val="single" w:sz="4" w:space="0" w:color="auto"/>
              <w:bottom w:val="single" w:sz="4" w:space="0" w:color="auto"/>
            </w:tcBorders>
          </w:tcPr>
          <w:p w14:paraId="3D90DBBC"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Lit.</w:t>
            </w:r>
            <w:r w:rsidRPr="009F7CC3">
              <w:rPr>
                <w:rFonts w:ascii="Times New Roman" w:hAnsi="Times New Roman" w:cs="Times New Roman"/>
                <w:b/>
                <w:sz w:val="20"/>
                <w:szCs w:val="20"/>
                <w:vertAlign w:val="superscript"/>
                <w:lang w:val="en-GB"/>
              </w:rPr>
              <w:t>b</w:t>
            </w:r>
          </w:p>
        </w:tc>
        <w:tc>
          <w:tcPr>
            <w:tcW w:w="807" w:type="dxa"/>
            <w:tcBorders>
              <w:top w:val="single" w:sz="4" w:space="0" w:color="auto"/>
              <w:bottom w:val="single" w:sz="4" w:space="0" w:color="auto"/>
            </w:tcBorders>
          </w:tcPr>
          <w:p w14:paraId="794A931C"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8s</w:t>
            </w:r>
          </w:p>
        </w:tc>
        <w:tc>
          <w:tcPr>
            <w:tcW w:w="850" w:type="dxa"/>
            <w:tcBorders>
              <w:top w:val="single" w:sz="4" w:space="0" w:color="auto"/>
              <w:bottom w:val="single" w:sz="4" w:space="0" w:color="auto"/>
            </w:tcBorders>
          </w:tcPr>
          <w:p w14:paraId="3CFA94E1"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8i</w:t>
            </w:r>
            <w:r w:rsidRPr="004C49E6">
              <w:rPr>
                <w:rFonts w:ascii="Times New Roman" w:hAnsi="Times New Roman" w:cs="Times New Roman"/>
                <w:b/>
                <w:sz w:val="20"/>
                <w:szCs w:val="20"/>
                <w:vertAlign w:val="superscript"/>
                <w:lang w:val="en-GB"/>
              </w:rPr>
              <w:t>a</w:t>
            </w:r>
          </w:p>
        </w:tc>
        <w:tc>
          <w:tcPr>
            <w:tcW w:w="758" w:type="dxa"/>
            <w:tcBorders>
              <w:top w:val="single" w:sz="4" w:space="0" w:color="auto"/>
              <w:bottom w:val="single" w:sz="4" w:space="0" w:color="auto"/>
            </w:tcBorders>
          </w:tcPr>
          <w:p w14:paraId="742E5161"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Lit.</w:t>
            </w:r>
            <w:r w:rsidRPr="004C49E6">
              <w:rPr>
                <w:rFonts w:ascii="Times New Roman" w:hAnsi="Times New Roman" w:cs="Times New Roman"/>
                <w:b/>
                <w:sz w:val="20"/>
                <w:szCs w:val="20"/>
                <w:vertAlign w:val="superscript"/>
                <w:lang w:val="en-GB"/>
              </w:rPr>
              <w:t>b</w:t>
            </w:r>
          </w:p>
        </w:tc>
      </w:tr>
      <w:tr w:rsidR="009F7CC3" w:rsidRPr="009F7CC3" w14:paraId="79F49D29" w14:textId="77777777" w:rsidTr="004C49E6">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single" w:sz="4" w:space="0" w:color="auto"/>
              <w:bottom w:val="nil"/>
            </w:tcBorders>
          </w:tcPr>
          <w:p w14:paraId="6168D859" w14:textId="77777777" w:rsidR="009F7CC3" w:rsidRPr="009F7CC3" w:rsidRDefault="009F7CC3" w:rsidP="004C49E6">
            <w:pPr>
              <w:spacing w:before="60"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w:t>
            </w:r>
          </w:p>
        </w:tc>
        <w:tc>
          <w:tcPr>
            <w:tcW w:w="1843" w:type="dxa"/>
            <w:tcBorders>
              <w:top w:val="single" w:sz="4" w:space="0" w:color="auto"/>
              <w:bottom w:val="nil"/>
            </w:tcBorders>
          </w:tcPr>
          <w:p w14:paraId="0E40BBE1" w14:textId="77777777" w:rsidR="009F7CC3" w:rsidRPr="009F7CC3" w:rsidRDefault="009F7CC3" w:rsidP="004C49E6">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single" w:sz="4" w:space="0" w:color="auto"/>
              <w:bottom w:val="nil"/>
            </w:tcBorders>
          </w:tcPr>
          <w:p w14:paraId="64746FA4" w14:textId="77777777" w:rsidR="009F7CC3" w:rsidRPr="009F7CC3" w:rsidRDefault="009F7CC3" w:rsidP="004C49E6">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single" w:sz="4" w:space="0" w:color="auto"/>
              <w:bottom w:val="nil"/>
            </w:tcBorders>
          </w:tcPr>
          <w:p w14:paraId="61EBDCAA" w14:textId="77777777" w:rsidR="009F7CC3" w:rsidRPr="009F7CC3" w:rsidRDefault="009F7CC3" w:rsidP="004C49E6">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single" w:sz="4" w:space="0" w:color="auto"/>
              <w:bottom w:val="nil"/>
            </w:tcBorders>
          </w:tcPr>
          <w:p w14:paraId="307D49CA" w14:textId="77777777" w:rsidR="009F7CC3" w:rsidRPr="004C49E6" w:rsidRDefault="009F7CC3" w:rsidP="004C49E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104.7</w:t>
            </w:r>
          </w:p>
        </w:tc>
        <w:tc>
          <w:tcPr>
            <w:tcW w:w="850" w:type="dxa"/>
            <w:tcBorders>
              <w:top w:val="single" w:sz="4" w:space="0" w:color="auto"/>
              <w:bottom w:val="nil"/>
            </w:tcBorders>
          </w:tcPr>
          <w:p w14:paraId="518490AA" w14:textId="77777777" w:rsidR="009F7CC3" w:rsidRPr="004C49E6" w:rsidRDefault="009F7CC3" w:rsidP="004C49E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104.6</w:t>
            </w:r>
          </w:p>
        </w:tc>
        <w:tc>
          <w:tcPr>
            <w:tcW w:w="758" w:type="dxa"/>
            <w:tcBorders>
              <w:top w:val="single" w:sz="4" w:space="0" w:color="auto"/>
              <w:bottom w:val="nil"/>
            </w:tcBorders>
          </w:tcPr>
          <w:p w14:paraId="65AEB222" w14:textId="77777777" w:rsidR="009F7CC3" w:rsidRPr="004C49E6" w:rsidRDefault="009F7CC3" w:rsidP="004C49E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104.6</w:t>
            </w:r>
          </w:p>
        </w:tc>
      </w:tr>
      <w:tr w:rsidR="009F7CC3" w:rsidRPr="009F7CC3" w14:paraId="787FC2C4" w14:textId="77777777" w:rsidTr="00805B3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83E33CB"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1a</w:t>
            </w:r>
          </w:p>
        </w:tc>
        <w:tc>
          <w:tcPr>
            <w:tcW w:w="1843" w:type="dxa"/>
            <w:tcBorders>
              <w:top w:val="nil"/>
              <w:bottom w:val="nil"/>
            </w:tcBorders>
          </w:tcPr>
          <w:p w14:paraId="4555BD00"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05408311"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16F0E364"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3250405B"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139.7</w:t>
            </w:r>
          </w:p>
        </w:tc>
        <w:tc>
          <w:tcPr>
            <w:tcW w:w="850" w:type="dxa"/>
            <w:tcBorders>
              <w:top w:val="nil"/>
              <w:bottom w:val="nil"/>
            </w:tcBorders>
          </w:tcPr>
          <w:p w14:paraId="4BC1B268"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139.7</w:t>
            </w:r>
          </w:p>
        </w:tc>
        <w:tc>
          <w:tcPr>
            <w:tcW w:w="758" w:type="dxa"/>
            <w:tcBorders>
              <w:top w:val="nil"/>
              <w:bottom w:val="nil"/>
            </w:tcBorders>
          </w:tcPr>
          <w:p w14:paraId="60E62755"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139.6</w:t>
            </w:r>
          </w:p>
        </w:tc>
      </w:tr>
      <w:tr w:rsidR="009F7CC3" w:rsidRPr="009F7CC3" w14:paraId="08716942" w14:textId="77777777" w:rsidTr="00805B30">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585FBFB4"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2</w:t>
            </w:r>
          </w:p>
        </w:tc>
        <w:tc>
          <w:tcPr>
            <w:tcW w:w="1843" w:type="dxa"/>
            <w:tcBorders>
              <w:top w:val="nil"/>
              <w:bottom w:val="nil"/>
            </w:tcBorders>
          </w:tcPr>
          <w:p w14:paraId="6C4A48CF"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78D82708"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175E453C"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1692D4DC"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150.0</w:t>
            </w:r>
          </w:p>
        </w:tc>
        <w:tc>
          <w:tcPr>
            <w:tcW w:w="850" w:type="dxa"/>
            <w:tcBorders>
              <w:top w:val="nil"/>
              <w:bottom w:val="nil"/>
            </w:tcBorders>
          </w:tcPr>
          <w:p w14:paraId="19FCA908"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150.0</w:t>
            </w:r>
          </w:p>
        </w:tc>
        <w:tc>
          <w:tcPr>
            <w:tcW w:w="758" w:type="dxa"/>
            <w:tcBorders>
              <w:top w:val="nil"/>
              <w:bottom w:val="nil"/>
            </w:tcBorders>
          </w:tcPr>
          <w:p w14:paraId="0CED58B9"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149.8</w:t>
            </w:r>
          </w:p>
        </w:tc>
      </w:tr>
      <w:tr w:rsidR="009F7CC3" w:rsidRPr="009F7CC3" w14:paraId="5D2AC66E" w14:textId="77777777" w:rsidTr="00805B3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01DFB75C"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3</w:t>
            </w:r>
          </w:p>
        </w:tc>
        <w:tc>
          <w:tcPr>
            <w:tcW w:w="1843" w:type="dxa"/>
            <w:tcBorders>
              <w:top w:val="nil"/>
              <w:bottom w:val="nil"/>
            </w:tcBorders>
          </w:tcPr>
          <w:p w14:paraId="7E8A089A"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10790764"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0E1D5316"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1609189C"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124.1</w:t>
            </w:r>
          </w:p>
        </w:tc>
        <w:tc>
          <w:tcPr>
            <w:tcW w:w="850" w:type="dxa"/>
            <w:tcBorders>
              <w:top w:val="nil"/>
              <w:bottom w:val="nil"/>
            </w:tcBorders>
          </w:tcPr>
          <w:p w14:paraId="7601D330"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124.1</w:t>
            </w:r>
          </w:p>
        </w:tc>
        <w:tc>
          <w:tcPr>
            <w:tcW w:w="758" w:type="dxa"/>
            <w:tcBorders>
              <w:top w:val="nil"/>
              <w:bottom w:val="nil"/>
            </w:tcBorders>
          </w:tcPr>
          <w:p w14:paraId="3F0FD352"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123.9</w:t>
            </w:r>
          </w:p>
        </w:tc>
      </w:tr>
      <w:tr w:rsidR="009F7CC3" w:rsidRPr="009F7CC3" w14:paraId="40DF1734" w14:textId="77777777" w:rsidTr="00805B30">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D0B5B67"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4</w:t>
            </w:r>
          </w:p>
        </w:tc>
        <w:tc>
          <w:tcPr>
            <w:tcW w:w="1843" w:type="dxa"/>
            <w:tcBorders>
              <w:top w:val="nil"/>
              <w:bottom w:val="nil"/>
            </w:tcBorders>
          </w:tcPr>
          <w:p w14:paraId="47BE5868"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7.65 (1H, s)</w:t>
            </w:r>
          </w:p>
        </w:tc>
        <w:tc>
          <w:tcPr>
            <w:tcW w:w="1701" w:type="dxa"/>
            <w:tcBorders>
              <w:top w:val="nil"/>
              <w:bottom w:val="nil"/>
            </w:tcBorders>
          </w:tcPr>
          <w:p w14:paraId="6C526D63"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7.67 (1H, s)</w:t>
            </w:r>
          </w:p>
        </w:tc>
        <w:tc>
          <w:tcPr>
            <w:tcW w:w="1701" w:type="dxa"/>
            <w:tcBorders>
              <w:top w:val="nil"/>
              <w:bottom w:val="nil"/>
            </w:tcBorders>
          </w:tcPr>
          <w:p w14:paraId="313B667A"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7.66 (1H, s)</w:t>
            </w:r>
          </w:p>
        </w:tc>
        <w:tc>
          <w:tcPr>
            <w:tcW w:w="807" w:type="dxa"/>
            <w:tcBorders>
              <w:top w:val="nil"/>
              <w:bottom w:val="nil"/>
            </w:tcBorders>
          </w:tcPr>
          <w:p w14:paraId="4ED7255E"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121.4</w:t>
            </w:r>
          </w:p>
        </w:tc>
        <w:tc>
          <w:tcPr>
            <w:tcW w:w="850" w:type="dxa"/>
            <w:tcBorders>
              <w:top w:val="nil"/>
              <w:bottom w:val="nil"/>
            </w:tcBorders>
          </w:tcPr>
          <w:p w14:paraId="2EC17931"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121.3</w:t>
            </w:r>
          </w:p>
        </w:tc>
        <w:tc>
          <w:tcPr>
            <w:tcW w:w="758" w:type="dxa"/>
            <w:tcBorders>
              <w:top w:val="nil"/>
              <w:bottom w:val="nil"/>
            </w:tcBorders>
          </w:tcPr>
          <w:p w14:paraId="4F5311CF"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121.3</w:t>
            </w:r>
          </w:p>
        </w:tc>
      </w:tr>
      <w:tr w:rsidR="009F7CC3" w:rsidRPr="009F7CC3" w14:paraId="00058698" w14:textId="77777777" w:rsidTr="00805B3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989FA09"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4a</w:t>
            </w:r>
          </w:p>
        </w:tc>
        <w:tc>
          <w:tcPr>
            <w:tcW w:w="1843" w:type="dxa"/>
            <w:tcBorders>
              <w:top w:val="nil"/>
              <w:bottom w:val="nil"/>
            </w:tcBorders>
          </w:tcPr>
          <w:p w14:paraId="4D4A046F"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2B98F602"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262282D8"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15026353"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117.0</w:t>
            </w:r>
          </w:p>
        </w:tc>
        <w:tc>
          <w:tcPr>
            <w:tcW w:w="850" w:type="dxa"/>
            <w:tcBorders>
              <w:top w:val="nil"/>
              <w:bottom w:val="nil"/>
            </w:tcBorders>
          </w:tcPr>
          <w:p w14:paraId="17A92C3D"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116.9</w:t>
            </w:r>
          </w:p>
        </w:tc>
        <w:tc>
          <w:tcPr>
            <w:tcW w:w="758" w:type="dxa"/>
            <w:tcBorders>
              <w:top w:val="nil"/>
              <w:bottom w:val="nil"/>
            </w:tcBorders>
          </w:tcPr>
          <w:p w14:paraId="5012E5C5"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116.9</w:t>
            </w:r>
          </w:p>
        </w:tc>
      </w:tr>
      <w:tr w:rsidR="009F7CC3" w:rsidRPr="009F7CC3" w14:paraId="14069711" w14:textId="77777777" w:rsidTr="00805B30">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6F092864"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5</w:t>
            </w:r>
          </w:p>
        </w:tc>
        <w:tc>
          <w:tcPr>
            <w:tcW w:w="1843" w:type="dxa"/>
            <w:tcBorders>
              <w:top w:val="nil"/>
              <w:bottom w:val="nil"/>
            </w:tcBorders>
          </w:tcPr>
          <w:p w14:paraId="4D5F86DB"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7.89 (1H, d, J 6.9)</w:t>
            </w:r>
          </w:p>
        </w:tc>
        <w:tc>
          <w:tcPr>
            <w:tcW w:w="1701" w:type="dxa"/>
            <w:tcBorders>
              <w:top w:val="nil"/>
              <w:bottom w:val="nil"/>
            </w:tcBorders>
          </w:tcPr>
          <w:p w14:paraId="64C55101"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7.92 (1H, d, J 6.9)</w:t>
            </w:r>
          </w:p>
        </w:tc>
        <w:tc>
          <w:tcPr>
            <w:tcW w:w="1701" w:type="dxa"/>
            <w:tcBorders>
              <w:top w:val="nil"/>
              <w:bottom w:val="nil"/>
            </w:tcBorders>
          </w:tcPr>
          <w:p w14:paraId="00C17E37"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7.92 (1H, d, J 8.3)</w:t>
            </w:r>
          </w:p>
        </w:tc>
        <w:tc>
          <w:tcPr>
            <w:tcW w:w="807" w:type="dxa"/>
            <w:tcBorders>
              <w:top w:val="nil"/>
              <w:bottom w:val="nil"/>
            </w:tcBorders>
          </w:tcPr>
          <w:p w14:paraId="1A13B835"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119.5</w:t>
            </w:r>
          </w:p>
        </w:tc>
        <w:tc>
          <w:tcPr>
            <w:tcW w:w="850" w:type="dxa"/>
            <w:tcBorders>
              <w:top w:val="nil"/>
              <w:bottom w:val="nil"/>
            </w:tcBorders>
          </w:tcPr>
          <w:p w14:paraId="018E93E3"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119.5</w:t>
            </w:r>
          </w:p>
        </w:tc>
        <w:tc>
          <w:tcPr>
            <w:tcW w:w="758" w:type="dxa"/>
            <w:tcBorders>
              <w:top w:val="nil"/>
              <w:bottom w:val="nil"/>
            </w:tcBorders>
          </w:tcPr>
          <w:p w14:paraId="55CC2725"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119.4</w:t>
            </w:r>
          </w:p>
        </w:tc>
      </w:tr>
      <w:tr w:rsidR="009F7CC3" w:rsidRPr="009F7CC3" w14:paraId="5CEF5CD8" w14:textId="77777777" w:rsidTr="00805B3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5BDE1BA0"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5a</w:t>
            </w:r>
          </w:p>
        </w:tc>
        <w:tc>
          <w:tcPr>
            <w:tcW w:w="1843" w:type="dxa"/>
            <w:tcBorders>
              <w:top w:val="nil"/>
              <w:bottom w:val="nil"/>
            </w:tcBorders>
          </w:tcPr>
          <w:p w14:paraId="72D6A8A8"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30112593"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1CDB4BA6"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23F1F194"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118.8</w:t>
            </w:r>
          </w:p>
        </w:tc>
        <w:tc>
          <w:tcPr>
            <w:tcW w:w="850" w:type="dxa"/>
            <w:tcBorders>
              <w:top w:val="nil"/>
              <w:bottom w:val="nil"/>
            </w:tcBorders>
          </w:tcPr>
          <w:p w14:paraId="13CD7F2E"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118.8</w:t>
            </w:r>
          </w:p>
        </w:tc>
        <w:tc>
          <w:tcPr>
            <w:tcW w:w="758" w:type="dxa"/>
            <w:tcBorders>
              <w:top w:val="nil"/>
              <w:bottom w:val="nil"/>
            </w:tcBorders>
          </w:tcPr>
          <w:p w14:paraId="4D94B4F8"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118.6</w:t>
            </w:r>
          </w:p>
        </w:tc>
      </w:tr>
      <w:tr w:rsidR="009F7CC3" w:rsidRPr="009F7CC3" w14:paraId="52331DE7" w14:textId="77777777" w:rsidTr="00805B30">
        <w:trPr>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65C9A0A2"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6</w:t>
            </w:r>
          </w:p>
        </w:tc>
        <w:tc>
          <w:tcPr>
            <w:tcW w:w="1843" w:type="dxa"/>
            <w:tcBorders>
              <w:top w:val="nil"/>
              <w:bottom w:val="nil"/>
            </w:tcBorders>
          </w:tcPr>
          <w:p w14:paraId="032462B6"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7.15 (1H, t, J 6.9)</w:t>
            </w:r>
          </w:p>
        </w:tc>
        <w:tc>
          <w:tcPr>
            <w:tcW w:w="1701" w:type="dxa"/>
            <w:tcBorders>
              <w:top w:val="nil"/>
              <w:bottom w:val="nil"/>
            </w:tcBorders>
          </w:tcPr>
          <w:p w14:paraId="25EB9D43"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7.18 (1H, t, J 6.9)</w:t>
            </w:r>
          </w:p>
        </w:tc>
        <w:tc>
          <w:tcPr>
            <w:tcW w:w="1701" w:type="dxa"/>
            <w:tcBorders>
              <w:top w:val="nil"/>
              <w:bottom w:val="nil"/>
            </w:tcBorders>
          </w:tcPr>
          <w:p w14:paraId="5AFCCF35"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7.19 (1H, t, J 8.8)</w:t>
            </w:r>
          </w:p>
        </w:tc>
        <w:tc>
          <w:tcPr>
            <w:tcW w:w="807" w:type="dxa"/>
            <w:tcBorders>
              <w:top w:val="nil"/>
              <w:bottom w:val="nil"/>
            </w:tcBorders>
          </w:tcPr>
          <w:p w14:paraId="2FA61A1E"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119.7</w:t>
            </w:r>
          </w:p>
        </w:tc>
        <w:tc>
          <w:tcPr>
            <w:tcW w:w="850" w:type="dxa"/>
            <w:tcBorders>
              <w:top w:val="nil"/>
              <w:bottom w:val="nil"/>
            </w:tcBorders>
          </w:tcPr>
          <w:p w14:paraId="1244C007"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119.7</w:t>
            </w:r>
          </w:p>
        </w:tc>
        <w:tc>
          <w:tcPr>
            <w:tcW w:w="758" w:type="dxa"/>
            <w:tcBorders>
              <w:top w:val="nil"/>
              <w:bottom w:val="nil"/>
            </w:tcBorders>
          </w:tcPr>
          <w:p w14:paraId="728778D3"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119.6</w:t>
            </w:r>
          </w:p>
        </w:tc>
      </w:tr>
      <w:tr w:rsidR="009F7CC3" w:rsidRPr="009F7CC3" w14:paraId="78CF40D8" w14:textId="77777777" w:rsidTr="00805B30">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0E0F0C73"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7</w:t>
            </w:r>
          </w:p>
        </w:tc>
        <w:tc>
          <w:tcPr>
            <w:tcW w:w="1843" w:type="dxa"/>
            <w:tcBorders>
              <w:top w:val="nil"/>
              <w:bottom w:val="nil"/>
            </w:tcBorders>
          </w:tcPr>
          <w:p w14:paraId="725D4FF9"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7.28 (1H, t, J 8.0)</w:t>
            </w:r>
          </w:p>
        </w:tc>
        <w:tc>
          <w:tcPr>
            <w:tcW w:w="1701" w:type="dxa"/>
            <w:tcBorders>
              <w:top w:val="nil"/>
              <w:bottom w:val="nil"/>
            </w:tcBorders>
          </w:tcPr>
          <w:p w14:paraId="00D1E624"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7.31 (1H, t, J 8.0)</w:t>
            </w:r>
          </w:p>
        </w:tc>
        <w:tc>
          <w:tcPr>
            <w:tcW w:w="1701" w:type="dxa"/>
            <w:tcBorders>
              <w:top w:val="nil"/>
              <w:bottom w:val="nil"/>
            </w:tcBorders>
          </w:tcPr>
          <w:p w14:paraId="0F76AF19"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7.31 (1H, t, J 8.2)</w:t>
            </w:r>
          </w:p>
        </w:tc>
        <w:tc>
          <w:tcPr>
            <w:tcW w:w="807" w:type="dxa"/>
            <w:tcBorders>
              <w:top w:val="nil"/>
              <w:bottom w:val="nil"/>
            </w:tcBorders>
          </w:tcPr>
          <w:p w14:paraId="57281884"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124.5</w:t>
            </w:r>
          </w:p>
        </w:tc>
        <w:tc>
          <w:tcPr>
            <w:tcW w:w="850" w:type="dxa"/>
            <w:tcBorders>
              <w:top w:val="nil"/>
              <w:bottom w:val="nil"/>
            </w:tcBorders>
          </w:tcPr>
          <w:p w14:paraId="38415B67"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124.5</w:t>
            </w:r>
          </w:p>
        </w:tc>
        <w:tc>
          <w:tcPr>
            <w:tcW w:w="758" w:type="dxa"/>
            <w:tcBorders>
              <w:top w:val="nil"/>
              <w:bottom w:val="nil"/>
            </w:tcBorders>
          </w:tcPr>
          <w:p w14:paraId="3E5C5FAD"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124.4</w:t>
            </w:r>
          </w:p>
        </w:tc>
      </w:tr>
      <w:tr w:rsidR="009F7CC3" w:rsidRPr="009F7CC3" w14:paraId="01F2AFF9" w14:textId="77777777" w:rsidTr="00805B30">
        <w:trPr>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1F785DF"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8</w:t>
            </w:r>
          </w:p>
        </w:tc>
        <w:tc>
          <w:tcPr>
            <w:tcW w:w="1843" w:type="dxa"/>
            <w:tcBorders>
              <w:top w:val="nil"/>
              <w:bottom w:val="nil"/>
            </w:tcBorders>
          </w:tcPr>
          <w:p w14:paraId="4FD788F6"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7.36 (1H, d, J 8.0)</w:t>
            </w:r>
          </w:p>
        </w:tc>
        <w:tc>
          <w:tcPr>
            <w:tcW w:w="1701" w:type="dxa"/>
            <w:tcBorders>
              <w:top w:val="nil"/>
              <w:bottom w:val="nil"/>
            </w:tcBorders>
          </w:tcPr>
          <w:p w14:paraId="1AAE341D"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7.35 (1H, d, J 8.0)</w:t>
            </w:r>
          </w:p>
        </w:tc>
        <w:tc>
          <w:tcPr>
            <w:tcW w:w="1701" w:type="dxa"/>
            <w:tcBorders>
              <w:top w:val="nil"/>
              <w:bottom w:val="nil"/>
            </w:tcBorders>
          </w:tcPr>
          <w:p w14:paraId="281201D8"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7.36 (1H, d, J 8.3)</w:t>
            </w:r>
          </w:p>
        </w:tc>
        <w:tc>
          <w:tcPr>
            <w:tcW w:w="807" w:type="dxa"/>
            <w:tcBorders>
              <w:top w:val="nil"/>
              <w:bottom w:val="nil"/>
            </w:tcBorders>
          </w:tcPr>
          <w:p w14:paraId="55DD95FB"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110.6</w:t>
            </w:r>
          </w:p>
        </w:tc>
        <w:tc>
          <w:tcPr>
            <w:tcW w:w="850" w:type="dxa"/>
            <w:tcBorders>
              <w:top w:val="nil"/>
              <w:bottom w:val="nil"/>
            </w:tcBorders>
          </w:tcPr>
          <w:p w14:paraId="30CFA835"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110.6</w:t>
            </w:r>
          </w:p>
        </w:tc>
        <w:tc>
          <w:tcPr>
            <w:tcW w:w="758" w:type="dxa"/>
            <w:tcBorders>
              <w:top w:val="nil"/>
              <w:bottom w:val="nil"/>
            </w:tcBorders>
          </w:tcPr>
          <w:p w14:paraId="2974D3EB"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110.3</w:t>
            </w:r>
          </w:p>
        </w:tc>
      </w:tr>
      <w:tr w:rsidR="009F7CC3" w:rsidRPr="009F7CC3" w14:paraId="62A16CA4" w14:textId="77777777" w:rsidTr="00805B30">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56558F84"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8a</w:t>
            </w:r>
          </w:p>
        </w:tc>
        <w:tc>
          <w:tcPr>
            <w:tcW w:w="1843" w:type="dxa"/>
            <w:tcBorders>
              <w:top w:val="nil"/>
              <w:bottom w:val="nil"/>
            </w:tcBorders>
          </w:tcPr>
          <w:p w14:paraId="2B6F8D4E"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718CA55A"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3BB05A7E"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778C63B8"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135.0</w:t>
            </w:r>
          </w:p>
        </w:tc>
        <w:tc>
          <w:tcPr>
            <w:tcW w:w="850" w:type="dxa"/>
            <w:tcBorders>
              <w:top w:val="nil"/>
              <w:bottom w:val="nil"/>
            </w:tcBorders>
          </w:tcPr>
          <w:p w14:paraId="5FDA82C7"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135.0</w:t>
            </w:r>
          </w:p>
        </w:tc>
        <w:tc>
          <w:tcPr>
            <w:tcW w:w="758" w:type="dxa"/>
            <w:tcBorders>
              <w:top w:val="nil"/>
              <w:bottom w:val="nil"/>
            </w:tcBorders>
          </w:tcPr>
          <w:p w14:paraId="5CD7ECB9"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134.9</w:t>
            </w:r>
          </w:p>
        </w:tc>
      </w:tr>
      <w:tr w:rsidR="009F7CC3" w:rsidRPr="009F7CC3" w14:paraId="16B22D1E" w14:textId="77777777" w:rsidTr="00805B30">
        <w:trPr>
          <w:trHeight w:val="22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65D1BDF2"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9</w:t>
            </w:r>
          </w:p>
        </w:tc>
        <w:tc>
          <w:tcPr>
            <w:tcW w:w="1843" w:type="dxa"/>
            <w:tcBorders>
              <w:top w:val="nil"/>
              <w:bottom w:val="nil"/>
            </w:tcBorders>
          </w:tcPr>
          <w:p w14:paraId="3A70DC1C"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6.61 (1H, d, J 10.3)</w:t>
            </w:r>
          </w:p>
        </w:tc>
        <w:tc>
          <w:tcPr>
            <w:tcW w:w="1701" w:type="dxa"/>
            <w:tcBorders>
              <w:top w:val="nil"/>
              <w:bottom w:val="nil"/>
            </w:tcBorders>
          </w:tcPr>
          <w:p w14:paraId="16B8E6EE"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6.58 (1H, d, J 9.8)</w:t>
            </w:r>
          </w:p>
        </w:tc>
        <w:tc>
          <w:tcPr>
            <w:tcW w:w="1701" w:type="dxa"/>
            <w:tcBorders>
              <w:top w:val="nil"/>
              <w:bottom w:val="nil"/>
            </w:tcBorders>
          </w:tcPr>
          <w:p w14:paraId="4E7FFA3F"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6.60 (1H, d, J 9.2)</w:t>
            </w:r>
          </w:p>
        </w:tc>
        <w:tc>
          <w:tcPr>
            <w:tcW w:w="807" w:type="dxa"/>
            <w:tcBorders>
              <w:top w:val="nil"/>
              <w:bottom w:val="nil"/>
            </w:tcBorders>
          </w:tcPr>
          <w:p w14:paraId="1EB02F29"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117.5</w:t>
            </w:r>
          </w:p>
        </w:tc>
        <w:tc>
          <w:tcPr>
            <w:tcW w:w="850" w:type="dxa"/>
            <w:tcBorders>
              <w:top w:val="nil"/>
              <w:bottom w:val="nil"/>
            </w:tcBorders>
          </w:tcPr>
          <w:p w14:paraId="680DFD6D"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117.4</w:t>
            </w:r>
          </w:p>
        </w:tc>
        <w:tc>
          <w:tcPr>
            <w:tcW w:w="758" w:type="dxa"/>
            <w:tcBorders>
              <w:top w:val="nil"/>
              <w:bottom w:val="nil"/>
            </w:tcBorders>
          </w:tcPr>
          <w:p w14:paraId="7BC02E03"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117.3</w:t>
            </w:r>
          </w:p>
        </w:tc>
      </w:tr>
      <w:tr w:rsidR="009F7CC3" w:rsidRPr="009F7CC3" w14:paraId="6E42FD7F" w14:textId="77777777" w:rsidTr="00805B3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C798D79"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10</w:t>
            </w:r>
          </w:p>
        </w:tc>
        <w:tc>
          <w:tcPr>
            <w:tcW w:w="1843" w:type="dxa"/>
            <w:tcBorders>
              <w:top w:val="nil"/>
              <w:bottom w:val="nil"/>
            </w:tcBorders>
          </w:tcPr>
          <w:p w14:paraId="6E352FEC"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5.68 (1H, d, J 10.3)</w:t>
            </w:r>
          </w:p>
        </w:tc>
        <w:tc>
          <w:tcPr>
            <w:tcW w:w="1701" w:type="dxa"/>
            <w:tcBorders>
              <w:top w:val="nil"/>
              <w:bottom w:val="nil"/>
            </w:tcBorders>
          </w:tcPr>
          <w:p w14:paraId="097C7031"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5.67 (1H, d, J 9.8)</w:t>
            </w:r>
          </w:p>
        </w:tc>
        <w:tc>
          <w:tcPr>
            <w:tcW w:w="1701" w:type="dxa"/>
            <w:tcBorders>
              <w:top w:val="nil"/>
              <w:bottom w:val="nil"/>
            </w:tcBorders>
          </w:tcPr>
          <w:p w14:paraId="05E8BA3B"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5.69 (1H, d, J 9.2)</w:t>
            </w:r>
          </w:p>
        </w:tc>
        <w:tc>
          <w:tcPr>
            <w:tcW w:w="807" w:type="dxa"/>
            <w:tcBorders>
              <w:top w:val="nil"/>
              <w:bottom w:val="nil"/>
            </w:tcBorders>
          </w:tcPr>
          <w:p w14:paraId="4C3D2646"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129.6</w:t>
            </w:r>
          </w:p>
        </w:tc>
        <w:tc>
          <w:tcPr>
            <w:tcW w:w="850" w:type="dxa"/>
            <w:tcBorders>
              <w:top w:val="nil"/>
              <w:bottom w:val="nil"/>
            </w:tcBorders>
          </w:tcPr>
          <w:p w14:paraId="60F23826"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129.6</w:t>
            </w:r>
          </w:p>
        </w:tc>
        <w:tc>
          <w:tcPr>
            <w:tcW w:w="758" w:type="dxa"/>
            <w:tcBorders>
              <w:top w:val="nil"/>
              <w:bottom w:val="nil"/>
            </w:tcBorders>
          </w:tcPr>
          <w:p w14:paraId="4760F926"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129.5</w:t>
            </w:r>
          </w:p>
        </w:tc>
      </w:tr>
      <w:tr w:rsidR="009F7CC3" w:rsidRPr="009F7CC3" w14:paraId="111A5F6D" w14:textId="77777777" w:rsidTr="00805B30">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1B03D10C"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11</w:t>
            </w:r>
          </w:p>
        </w:tc>
        <w:tc>
          <w:tcPr>
            <w:tcW w:w="1843" w:type="dxa"/>
            <w:tcBorders>
              <w:top w:val="nil"/>
              <w:bottom w:val="nil"/>
            </w:tcBorders>
          </w:tcPr>
          <w:p w14:paraId="7C778003"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0F76FE4F"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6306E30E"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1A417F6F"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76.1</w:t>
            </w:r>
          </w:p>
        </w:tc>
        <w:tc>
          <w:tcPr>
            <w:tcW w:w="850" w:type="dxa"/>
            <w:tcBorders>
              <w:top w:val="nil"/>
              <w:bottom w:val="nil"/>
            </w:tcBorders>
          </w:tcPr>
          <w:p w14:paraId="5DC275A7"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76.1</w:t>
            </w:r>
          </w:p>
        </w:tc>
        <w:tc>
          <w:tcPr>
            <w:tcW w:w="758" w:type="dxa"/>
            <w:tcBorders>
              <w:top w:val="nil"/>
              <w:bottom w:val="nil"/>
            </w:tcBorders>
          </w:tcPr>
          <w:p w14:paraId="08286794"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75.6</w:t>
            </w:r>
          </w:p>
        </w:tc>
      </w:tr>
      <w:tr w:rsidR="009F7CC3" w:rsidRPr="009F7CC3" w14:paraId="405FB388" w14:textId="77777777" w:rsidTr="00805B3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BCB9717"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12</w:t>
            </w:r>
          </w:p>
        </w:tc>
        <w:tc>
          <w:tcPr>
            <w:tcW w:w="1843" w:type="dxa"/>
            <w:tcBorders>
              <w:top w:val="nil"/>
              <w:bottom w:val="nil"/>
            </w:tcBorders>
          </w:tcPr>
          <w:p w14:paraId="0C701391"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1.47 (3H, s)</w:t>
            </w:r>
          </w:p>
        </w:tc>
        <w:tc>
          <w:tcPr>
            <w:tcW w:w="1701" w:type="dxa"/>
            <w:tcBorders>
              <w:top w:val="nil"/>
              <w:bottom w:val="nil"/>
            </w:tcBorders>
          </w:tcPr>
          <w:p w14:paraId="42AB5CB8"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1.49 (3H, s)</w:t>
            </w:r>
          </w:p>
        </w:tc>
        <w:tc>
          <w:tcPr>
            <w:tcW w:w="1701" w:type="dxa"/>
            <w:tcBorders>
              <w:top w:val="nil"/>
              <w:bottom w:val="nil"/>
            </w:tcBorders>
          </w:tcPr>
          <w:p w14:paraId="4310DDC7"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1.47 (3H, s)</w:t>
            </w:r>
          </w:p>
        </w:tc>
        <w:tc>
          <w:tcPr>
            <w:tcW w:w="807" w:type="dxa"/>
            <w:tcBorders>
              <w:top w:val="nil"/>
              <w:bottom w:val="nil"/>
            </w:tcBorders>
          </w:tcPr>
          <w:p w14:paraId="7918FA73"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27.8</w:t>
            </w:r>
          </w:p>
        </w:tc>
        <w:tc>
          <w:tcPr>
            <w:tcW w:w="850" w:type="dxa"/>
            <w:tcBorders>
              <w:top w:val="nil"/>
              <w:bottom w:val="nil"/>
            </w:tcBorders>
          </w:tcPr>
          <w:p w14:paraId="4E4D01D7"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27.8</w:t>
            </w:r>
          </w:p>
        </w:tc>
        <w:tc>
          <w:tcPr>
            <w:tcW w:w="758" w:type="dxa"/>
            <w:tcBorders>
              <w:top w:val="nil"/>
              <w:bottom w:val="nil"/>
            </w:tcBorders>
          </w:tcPr>
          <w:p w14:paraId="7B4C7CE1"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27.4</w:t>
            </w:r>
          </w:p>
        </w:tc>
      </w:tr>
      <w:tr w:rsidR="009F7CC3" w:rsidRPr="009F7CC3" w14:paraId="2DE8C145" w14:textId="77777777" w:rsidTr="00805B30">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277428C"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13</w:t>
            </w:r>
          </w:p>
        </w:tc>
        <w:tc>
          <w:tcPr>
            <w:tcW w:w="1843" w:type="dxa"/>
            <w:tcBorders>
              <w:top w:val="nil"/>
              <w:bottom w:val="nil"/>
            </w:tcBorders>
          </w:tcPr>
          <w:p w14:paraId="2440BC0B"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1.47 (3H, s)</w:t>
            </w:r>
          </w:p>
        </w:tc>
        <w:tc>
          <w:tcPr>
            <w:tcW w:w="1701" w:type="dxa"/>
            <w:tcBorders>
              <w:top w:val="nil"/>
              <w:bottom w:val="nil"/>
            </w:tcBorders>
          </w:tcPr>
          <w:p w14:paraId="627ABAE6"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1.49 (3H, s)</w:t>
            </w:r>
          </w:p>
        </w:tc>
        <w:tc>
          <w:tcPr>
            <w:tcW w:w="1701" w:type="dxa"/>
            <w:tcBorders>
              <w:top w:val="nil"/>
              <w:bottom w:val="nil"/>
            </w:tcBorders>
          </w:tcPr>
          <w:p w14:paraId="1960FFA5"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1.47 (3H, s)</w:t>
            </w:r>
          </w:p>
        </w:tc>
        <w:tc>
          <w:tcPr>
            <w:tcW w:w="807" w:type="dxa"/>
            <w:tcBorders>
              <w:top w:val="nil"/>
              <w:bottom w:val="nil"/>
            </w:tcBorders>
          </w:tcPr>
          <w:p w14:paraId="393C1A9C"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27.8</w:t>
            </w:r>
          </w:p>
        </w:tc>
        <w:tc>
          <w:tcPr>
            <w:tcW w:w="850" w:type="dxa"/>
            <w:tcBorders>
              <w:top w:val="nil"/>
              <w:bottom w:val="nil"/>
            </w:tcBorders>
          </w:tcPr>
          <w:p w14:paraId="51D598F4"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27.8</w:t>
            </w:r>
          </w:p>
        </w:tc>
        <w:tc>
          <w:tcPr>
            <w:tcW w:w="758" w:type="dxa"/>
            <w:tcBorders>
              <w:top w:val="nil"/>
              <w:bottom w:val="nil"/>
            </w:tcBorders>
          </w:tcPr>
          <w:p w14:paraId="0A59B105"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27.4</w:t>
            </w:r>
          </w:p>
        </w:tc>
      </w:tr>
      <w:tr w:rsidR="009F7CC3" w:rsidRPr="009F7CC3" w14:paraId="5B75A6F6" w14:textId="77777777" w:rsidTr="004C49E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554B2D3C"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14</w:t>
            </w:r>
          </w:p>
        </w:tc>
        <w:tc>
          <w:tcPr>
            <w:tcW w:w="1843" w:type="dxa"/>
            <w:tcBorders>
              <w:top w:val="nil"/>
              <w:bottom w:val="nil"/>
            </w:tcBorders>
          </w:tcPr>
          <w:p w14:paraId="40134757"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2.31 (3H, s)</w:t>
            </w:r>
          </w:p>
        </w:tc>
        <w:tc>
          <w:tcPr>
            <w:tcW w:w="1701" w:type="dxa"/>
            <w:tcBorders>
              <w:top w:val="nil"/>
              <w:bottom w:val="nil"/>
            </w:tcBorders>
          </w:tcPr>
          <w:p w14:paraId="3EA4A7B4"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2.34 (3H, s)</w:t>
            </w:r>
          </w:p>
        </w:tc>
        <w:tc>
          <w:tcPr>
            <w:tcW w:w="1701" w:type="dxa"/>
            <w:tcBorders>
              <w:top w:val="nil"/>
              <w:bottom w:val="nil"/>
            </w:tcBorders>
          </w:tcPr>
          <w:p w14:paraId="4DC268BA"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2.33 (3H, s)</w:t>
            </w:r>
          </w:p>
        </w:tc>
        <w:tc>
          <w:tcPr>
            <w:tcW w:w="807" w:type="dxa"/>
            <w:tcBorders>
              <w:top w:val="nil"/>
              <w:bottom w:val="nil"/>
            </w:tcBorders>
          </w:tcPr>
          <w:p w14:paraId="36387439"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16.3</w:t>
            </w:r>
          </w:p>
        </w:tc>
        <w:tc>
          <w:tcPr>
            <w:tcW w:w="850" w:type="dxa"/>
            <w:tcBorders>
              <w:top w:val="nil"/>
              <w:bottom w:val="nil"/>
            </w:tcBorders>
          </w:tcPr>
          <w:p w14:paraId="2ECF8194"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16.3</w:t>
            </w:r>
          </w:p>
        </w:tc>
        <w:tc>
          <w:tcPr>
            <w:tcW w:w="758" w:type="dxa"/>
            <w:tcBorders>
              <w:top w:val="nil"/>
              <w:bottom w:val="nil"/>
            </w:tcBorders>
          </w:tcPr>
          <w:p w14:paraId="69AAE08E"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16.1</w:t>
            </w:r>
          </w:p>
        </w:tc>
      </w:tr>
      <w:tr w:rsidR="009F7CC3" w:rsidRPr="009F7CC3" w14:paraId="77D7DAAF" w14:textId="77777777" w:rsidTr="004C49E6">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single" w:sz="4" w:space="0" w:color="auto"/>
            </w:tcBorders>
          </w:tcPr>
          <w:p w14:paraId="4B93237A" w14:textId="77777777" w:rsidR="009F7CC3" w:rsidRPr="009F7CC3" w:rsidRDefault="009F7CC3" w:rsidP="004C49E6">
            <w:pPr>
              <w:spacing w:after="6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NH</w:t>
            </w:r>
          </w:p>
        </w:tc>
        <w:tc>
          <w:tcPr>
            <w:tcW w:w="1843" w:type="dxa"/>
            <w:tcBorders>
              <w:top w:val="nil"/>
              <w:bottom w:val="single" w:sz="4" w:space="0" w:color="auto"/>
            </w:tcBorders>
          </w:tcPr>
          <w:p w14:paraId="66C4DFAD" w14:textId="77777777" w:rsidR="009F7CC3" w:rsidRPr="009F7CC3" w:rsidRDefault="009F7CC3" w:rsidP="004C49E6">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7.87 (1H, br. s)</w:t>
            </w:r>
          </w:p>
        </w:tc>
        <w:tc>
          <w:tcPr>
            <w:tcW w:w="1701" w:type="dxa"/>
            <w:tcBorders>
              <w:top w:val="nil"/>
              <w:bottom w:val="single" w:sz="4" w:space="0" w:color="auto"/>
            </w:tcBorders>
          </w:tcPr>
          <w:p w14:paraId="29C5E051" w14:textId="77777777" w:rsidR="009F7CC3" w:rsidRPr="009F7CC3" w:rsidRDefault="009F7CC3" w:rsidP="004C49E6">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7.84 (1H, br. s)</w:t>
            </w:r>
          </w:p>
        </w:tc>
        <w:tc>
          <w:tcPr>
            <w:tcW w:w="1701" w:type="dxa"/>
            <w:tcBorders>
              <w:top w:val="nil"/>
              <w:bottom w:val="single" w:sz="4" w:space="0" w:color="auto"/>
            </w:tcBorders>
          </w:tcPr>
          <w:p w14:paraId="273B4F8E" w14:textId="77777777" w:rsidR="009F7CC3" w:rsidRPr="009F7CC3" w:rsidRDefault="009F7CC3" w:rsidP="004C49E6">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7.84 (1H, br. s)</w:t>
            </w:r>
          </w:p>
        </w:tc>
        <w:tc>
          <w:tcPr>
            <w:tcW w:w="807" w:type="dxa"/>
            <w:tcBorders>
              <w:top w:val="nil"/>
              <w:bottom w:val="single" w:sz="4" w:space="0" w:color="auto"/>
            </w:tcBorders>
          </w:tcPr>
          <w:p w14:paraId="2967C30B" w14:textId="77777777" w:rsidR="009F7CC3" w:rsidRPr="004C49E6" w:rsidRDefault="009F7CC3" w:rsidP="004C49E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w:t>
            </w:r>
          </w:p>
        </w:tc>
        <w:tc>
          <w:tcPr>
            <w:tcW w:w="850" w:type="dxa"/>
            <w:tcBorders>
              <w:top w:val="nil"/>
              <w:bottom w:val="single" w:sz="4" w:space="0" w:color="auto"/>
            </w:tcBorders>
          </w:tcPr>
          <w:p w14:paraId="0CB24947" w14:textId="77777777" w:rsidR="009F7CC3" w:rsidRPr="004C49E6" w:rsidRDefault="009F7CC3" w:rsidP="004C49E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w:t>
            </w:r>
          </w:p>
        </w:tc>
        <w:tc>
          <w:tcPr>
            <w:tcW w:w="758" w:type="dxa"/>
            <w:tcBorders>
              <w:top w:val="nil"/>
              <w:bottom w:val="single" w:sz="4" w:space="0" w:color="auto"/>
            </w:tcBorders>
          </w:tcPr>
          <w:p w14:paraId="2EB1D8D3" w14:textId="77777777" w:rsidR="009F7CC3" w:rsidRPr="004C49E6" w:rsidRDefault="009F7CC3" w:rsidP="004C49E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w:t>
            </w:r>
          </w:p>
        </w:tc>
      </w:tr>
    </w:tbl>
    <w:p w14:paraId="2EED6915" w14:textId="2A6BFE1E" w:rsidR="009F7CC3" w:rsidRPr="004C49E6" w:rsidRDefault="009F7CC3" w:rsidP="004C49E6">
      <w:pPr>
        <w:spacing w:before="60" w:after="0"/>
        <w:jc w:val="both"/>
        <w:rPr>
          <w:rFonts w:ascii="Times New Roman" w:hAnsi="Times New Roman"/>
          <w:sz w:val="18"/>
          <w:szCs w:val="18"/>
          <w:lang w:val="en-GB"/>
        </w:rPr>
      </w:pPr>
      <w:r w:rsidRPr="009F7CC3">
        <w:rPr>
          <w:rFonts w:ascii="Times New Roman" w:hAnsi="Times New Roman"/>
          <w:sz w:val="16"/>
          <w:szCs w:val="16"/>
          <w:vertAlign w:val="superscript"/>
          <w:lang w:val="en-GB"/>
        </w:rPr>
        <w:t xml:space="preserve">        </w:t>
      </w:r>
      <w:r w:rsidR="004C49E6">
        <w:rPr>
          <w:rFonts w:ascii="Times New Roman" w:hAnsi="Times New Roman"/>
          <w:sz w:val="16"/>
          <w:szCs w:val="16"/>
          <w:vertAlign w:val="superscript"/>
          <w:lang w:val="en-GB"/>
        </w:rPr>
        <w:t xml:space="preserve">       </w:t>
      </w:r>
      <w:r w:rsidRPr="009F7CC3">
        <w:rPr>
          <w:rFonts w:ascii="Times New Roman" w:hAnsi="Times New Roman"/>
          <w:sz w:val="16"/>
          <w:szCs w:val="16"/>
          <w:vertAlign w:val="superscript"/>
          <w:lang w:val="en-GB"/>
        </w:rPr>
        <w:t xml:space="preserve">     </w:t>
      </w:r>
      <w:r w:rsidRPr="004C49E6">
        <w:rPr>
          <w:rFonts w:ascii="Times New Roman" w:hAnsi="Times New Roman"/>
          <w:sz w:val="18"/>
          <w:szCs w:val="18"/>
          <w:vertAlign w:val="superscript"/>
          <w:lang w:val="en-GB"/>
        </w:rPr>
        <w:t xml:space="preserve">a </w:t>
      </w:r>
      <w:r w:rsidRPr="004C49E6">
        <w:rPr>
          <w:rFonts w:ascii="Times New Roman" w:hAnsi="Times New Roman"/>
          <w:sz w:val="18"/>
          <w:szCs w:val="18"/>
          <w:lang w:val="en-GB"/>
        </w:rPr>
        <w:t>Girinimbine (</w:t>
      </w:r>
      <w:r w:rsidRPr="004C49E6">
        <w:rPr>
          <w:rFonts w:ascii="Times New Roman" w:hAnsi="Times New Roman"/>
          <w:b/>
          <w:sz w:val="18"/>
          <w:szCs w:val="18"/>
          <w:lang w:val="en-GB"/>
        </w:rPr>
        <w:t>8i</w:t>
      </w:r>
      <w:r w:rsidRPr="004C49E6">
        <w:rPr>
          <w:rFonts w:ascii="Times New Roman" w:hAnsi="Times New Roman"/>
          <w:sz w:val="18"/>
          <w:szCs w:val="18"/>
          <w:lang w:val="en-GB"/>
        </w:rPr>
        <w:t xml:space="preserve">) was isolated from the bark of </w:t>
      </w:r>
      <w:r w:rsidRPr="004C49E6">
        <w:rPr>
          <w:rFonts w:ascii="Times New Roman" w:hAnsi="Times New Roman"/>
          <w:i/>
          <w:sz w:val="18"/>
          <w:szCs w:val="18"/>
          <w:lang w:val="en-GB"/>
        </w:rPr>
        <w:t>M. koenigii</w:t>
      </w:r>
      <w:r w:rsidRPr="004C49E6">
        <w:rPr>
          <w:rFonts w:ascii="Times New Roman" w:hAnsi="Times New Roman"/>
          <w:iCs/>
          <w:sz w:val="18"/>
          <w:szCs w:val="18"/>
          <w:lang w:val="en-GB"/>
        </w:rPr>
        <w:t xml:space="preserve"> for this study</w:t>
      </w:r>
    </w:p>
    <w:p w14:paraId="64E507B2" w14:textId="1C4F3592" w:rsidR="009F7CC3" w:rsidRPr="004C49E6" w:rsidRDefault="009F7CC3" w:rsidP="009F7CC3">
      <w:pPr>
        <w:spacing w:after="0"/>
        <w:jc w:val="both"/>
        <w:rPr>
          <w:rFonts w:ascii="Times New Roman" w:hAnsi="Times New Roman"/>
          <w:sz w:val="18"/>
          <w:szCs w:val="18"/>
          <w:lang w:val="en-GB"/>
        </w:rPr>
      </w:pPr>
      <w:r w:rsidRPr="004C49E6">
        <w:rPr>
          <w:rFonts w:ascii="Times New Roman" w:hAnsi="Times New Roman"/>
          <w:sz w:val="18"/>
          <w:szCs w:val="18"/>
          <w:vertAlign w:val="superscript"/>
          <w:lang w:val="en-GB"/>
        </w:rPr>
        <w:t xml:space="preserve">          </w:t>
      </w:r>
      <w:r w:rsidR="004C49E6">
        <w:rPr>
          <w:rFonts w:ascii="Times New Roman" w:hAnsi="Times New Roman"/>
          <w:sz w:val="18"/>
          <w:szCs w:val="18"/>
          <w:vertAlign w:val="superscript"/>
          <w:lang w:val="en-GB"/>
        </w:rPr>
        <w:t xml:space="preserve">   </w:t>
      </w:r>
      <w:r w:rsidRPr="004C49E6">
        <w:rPr>
          <w:rFonts w:ascii="Times New Roman" w:hAnsi="Times New Roman"/>
          <w:sz w:val="18"/>
          <w:szCs w:val="18"/>
          <w:vertAlign w:val="superscript"/>
          <w:lang w:val="en-GB"/>
        </w:rPr>
        <w:t xml:space="preserve">   b </w:t>
      </w:r>
      <w:r w:rsidRPr="004C49E6">
        <w:rPr>
          <w:rFonts w:ascii="Times New Roman" w:hAnsi="Times New Roman"/>
          <w:sz w:val="18"/>
          <w:szCs w:val="18"/>
          <w:lang w:val="en-GB"/>
        </w:rPr>
        <w:t>Sukari et al. [23]</w:t>
      </w:r>
    </w:p>
    <w:p w14:paraId="416512ED" w14:textId="25C6D418" w:rsidR="009F7CC3" w:rsidRDefault="009F7CC3" w:rsidP="009F7CC3">
      <w:pPr>
        <w:spacing w:after="0"/>
        <w:jc w:val="both"/>
        <w:rPr>
          <w:rFonts w:ascii="Times New Roman" w:hAnsi="Times New Roman"/>
          <w:iCs/>
          <w:sz w:val="20"/>
          <w:szCs w:val="20"/>
          <w:lang w:val="en-GB"/>
        </w:rPr>
      </w:pPr>
    </w:p>
    <w:p w14:paraId="57C35D15" w14:textId="7CD6C997" w:rsidR="004C49E6" w:rsidRDefault="004C49E6" w:rsidP="009F7CC3">
      <w:pPr>
        <w:spacing w:after="0"/>
        <w:jc w:val="both"/>
        <w:rPr>
          <w:rFonts w:ascii="Times New Roman" w:hAnsi="Times New Roman"/>
          <w:iCs/>
          <w:sz w:val="20"/>
          <w:szCs w:val="20"/>
          <w:lang w:val="en-GB"/>
        </w:rPr>
      </w:pPr>
    </w:p>
    <w:p w14:paraId="01BD0C02" w14:textId="77777777" w:rsidR="004C49E6" w:rsidRPr="009F7CC3" w:rsidRDefault="004C49E6" w:rsidP="009F7CC3">
      <w:pPr>
        <w:spacing w:after="0"/>
        <w:jc w:val="both"/>
        <w:rPr>
          <w:rFonts w:ascii="Times New Roman" w:hAnsi="Times New Roman"/>
          <w:sz w:val="20"/>
          <w:szCs w:val="20"/>
          <w:lang w:val="en-GB"/>
        </w:rPr>
      </w:pPr>
    </w:p>
    <w:p w14:paraId="6277A5B2" w14:textId="3E1E1F54" w:rsidR="009F7CC3" w:rsidRPr="009F7CC3" w:rsidRDefault="009F7CC3" w:rsidP="004C49E6">
      <w:pPr>
        <w:spacing w:after="120"/>
        <w:jc w:val="center"/>
        <w:rPr>
          <w:rFonts w:ascii="Times New Roman" w:hAnsi="Times New Roman"/>
          <w:sz w:val="20"/>
          <w:szCs w:val="20"/>
          <w:lang w:val="en-GB"/>
        </w:rPr>
      </w:pPr>
      <w:r w:rsidRPr="009F7CC3">
        <w:rPr>
          <w:rFonts w:ascii="Times New Roman" w:hAnsi="Times New Roman"/>
        </w:rPr>
        <w:object w:dxaOrig="7757" w:dyaOrig="3902" w14:anchorId="35DFF221">
          <v:shape id="_x0000_i1026" type="#_x0000_t75" style="width:305.6pt;height:155.2pt" o:ole="">
            <v:imagedata r:id="rId21" o:title=""/>
          </v:shape>
          <o:OLEObject Type="Embed" ProgID="ChemDraw.Document.6.0" ShapeID="_x0000_i1026" DrawAspect="Content" ObjectID="_1700317605" r:id="rId22"/>
        </w:object>
      </w:r>
    </w:p>
    <w:p w14:paraId="231C86DE" w14:textId="4C824F04" w:rsidR="009F7CC3" w:rsidRPr="009F7CC3" w:rsidRDefault="009F7CC3" w:rsidP="004C49E6">
      <w:pPr>
        <w:spacing w:after="0"/>
        <w:jc w:val="center"/>
        <w:rPr>
          <w:rFonts w:ascii="Times New Roman" w:hAnsi="Times New Roman"/>
          <w:sz w:val="20"/>
          <w:szCs w:val="20"/>
          <w:lang w:val="en-GB"/>
        </w:rPr>
      </w:pPr>
      <w:r w:rsidRPr="009F7CC3">
        <w:rPr>
          <w:rFonts w:ascii="Times New Roman" w:hAnsi="Times New Roman"/>
          <w:sz w:val="20"/>
          <w:szCs w:val="20"/>
          <w:lang w:val="en-GB"/>
        </w:rPr>
        <w:t xml:space="preserve">Figure 2. </w:t>
      </w:r>
      <w:r w:rsidR="004C49E6">
        <w:rPr>
          <w:rFonts w:ascii="Times New Roman" w:hAnsi="Times New Roman"/>
          <w:sz w:val="20"/>
          <w:szCs w:val="20"/>
          <w:lang w:val="en-GB"/>
        </w:rPr>
        <w:t xml:space="preserve"> </w:t>
      </w:r>
      <w:r w:rsidRPr="009F7CC3">
        <w:rPr>
          <w:rFonts w:ascii="Times New Roman" w:hAnsi="Times New Roman"/>
          <w:i/>
          <w:iCs/>
          <w:sz w:val="20"/>
          <w:szCs w:val="20"/>
          <w:lang w:val="en-GB"/>
        </w:rPr>
        <w:t>N</w:t>
      </w:r>
      <w:r w:rsidRPr="009F7CC3">
        <w:rPr>
          <w:rFonts w:ascii="Times New Roman" w:hAnsi="Times New Roman"/>
          <w:sz w:val="20"/>
          <w:szCs w:val="20"/>
          <w:lang w:val="en-GB"/>
        </w:rPr>
        <w:t xml:space="preserve">-Alkylated and </w:t>
      </w:r>
      <w:r w:rsidRPr="009F7CC3">
        <w:rPr>
          <w:rFonts w:ascii="Times New Roman" w:hAnsi="Times New Roman"/>
          <w:i/>
          <w:iCs/>
          <w:sz w:val="20"/>
          <w:szCs w:val="20"/>
          <w:lang w:val="en-GB"/>
        </w:rPr>
        <w:t>N</w:t>
      </w:r>
      <w:r w:rsidRPr="009F7CC3">
        <w:rPr>
          <w:rFonts w:ascii="Times New Roman" w:hAnsi="Times New Roman"/>
          <w:sz w:val="20"/>
          <w:szCs w:val="20"/>
          <w:lang w:val="en-GB"/>
        </w:rPr>
        <w:t>-acylated girinimbines for cytotoxicity assay</w:t>
      </w:r>
    </w:p>
    <w:p w14:paraId="186EA707" w14:textId="3B1A746C" w:rsidR="009F7CC3" w:rsidRDefault="009F7CC3" w:rsidP="009F7CC3">
      <w:pPr>
        <w:spacing w:after="0"/>
        <w:jc w:val="both"/>
        <w:rPr>
          <w:rFonts w:ascii="Times New Roman" w:hAnsi="Times New Roman"/>
          <w:sz w:val="20"/>
          <w:szCs w:val="20"/>
          <w:lang w:val="en-GB"/>
        </w:rPr>
      </w:pPr>
    </w:p>
    <w:p w14:paraId="00F1237D" w14:textId="3DEB1421" w:rsidR="004C49E6" w:rsidRDefault="004C49E6" w:rsidP="009F7CC3">
      <w:pPr>
        <w:spacing w:after="0"/>
        <w:jc w:val="both"/>
        <w:rPr>
          <w:rFonts w:ascii="Times New Roman" w:hAnsi="Times New Roman"/>
          <w:sz w:val="20"/>
          <w:szCs w:val="20"/>
          <w:lang w:val="en-GB"/>
        </w:rPr>
      </w:pPr>
    </w:p>
    <w:p w14:paraId="7E7005C9" w14:textId="2A9AE67C" w:rsidR="004C49E6" w:rsidRDefault="004C49E6" w:rsidP="009F7CC3">
      <w:pPr>
        <w:spacing w:after="0"/>
        <w:jc w:val="both"/>
        <w:rPr>
          <w:rFonts w:ascii="Times New Roman" w:hAnsi="Times New Roman"/>
          <w:sz w:val="20"/>
          <w:szCs w:val="20"/>
          <w:lang w:val="en-GB"/>
        </w:rPr>
      </w:pPr>
    </w:p>
    <w:p w14:paraId="19A7134F" w14:textId="399C7CA4" w:rsidR="004C49E6" w:rsidRDefault="004C49E6" w:rsidP="009F7CC3">
      <w:pPr>
        <w:spacing w:after="0"/>
        <w:jc w:val="both"/>
        <w:rPr>
          <w:rFonts w:ascii="Times New Roman" w:hAnsi="Times New Roman"/>
          <w:sz w:val="20"/>
          <w:szCs w:val="20"/>
          <w:lang w:val="en-GB"/>
        </w:rPr>
      </w:pPr>
    </w:p>
    <w:p w14:paraId="4366693C" w14:textId="77777777" w:rsidR="004C49E6" w:rsidRPr="009F7CC3" w:rsidRDefault="004C49E6" w:rsidP="009F7CC3">
      <w:pPr>
        <w:spacing w:after="0"/>
        <w:jc w:val="both"/>
        <w:rPr>
          <w:rFonts w:ascii="Times New Roman" w:hAnsi="Times New Roman"/>
          <w:sz w:val="20"/>
          <w:szCs w:val="20"/>
          <w:lang w:val="en-GB"/>
        </w:rPr>
      </w:pPr>
    </w:p>
    <w:p w14:paraId="2C566382" w14:textId="77777777" w:rsidR="009F7CC3" w:rsidRPr="009F7CC3" w:rsidRDefault="009F7CC3" w:rsidP="005B0996">
      <w:pPr>
        <w:spacing w:after="0"/>
        <w:jc w:val="center"/>
        <w:rPr>
          <w:rFonts w:ascii="Times New Roman" w:hAnsi="Times New Roman"/>
          <w:sz w:val="20"/>
          <w:szCs w:val="20"/>
          <w:lang w:val="en-GB"/>
        </w:rPr>
      </w:pPr>
      <w:r w:rsidRPr="009F7CC3">
        <w:rPr>
          <w:rFonts w:ascii="Times New Roman" w:hAnsi="Times New Roman"/>
          <w:noProof/>
          <w:lang w:val="en-MY" w:eastAsia="en-MY"/>
        </w:rPr>
        <w:drawing>
          <wp:inline distT="0" distB="0" distL="0" distR="0" wp14:anchorId="684ADE5C" wp14:editId="1B416776">
            <wp:extent cx="5641675" cy="2258879"/>
            <wp:effectExtent l="0" t="0" r="0" b="8255"/>
            <wp:docPr id="47" name="Picture 4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hart, bar ch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9068" cy="2261839"/>
                    </a:xfrm>
                    <a:prstGeom prst="rect">
                      <a:avLst/>
                    </a:prstGeom>
                    <a:noFill/>
                  </pic:spPr>
                </pic:pic>
              </a:graphicData>
            </a:graphic>
          </wp:inline>
        </w:drawing>
      </w:r>
    </w:p>
    <w:p w14:paraId="0934433A" w14:textId="77777777" w:rsidR="009F7CC3" w:rsidRPr="009F7CC3" w:rsidRDefault="009F7CC3" w:rsidP="009F7CC3">
      <w:pPr>
        <w:spacing w:after="0"/>
        <w:jc w:val="both"/>
        <w:rPr>
          <w:rFonts w:ascii="Times New Roman" w:hAnsi="Times New Roman"/>
          <w:sz w:val="20"/>
          <w:szCs w:val="20"/>
          <w:lang w:val="en-GB"/>
        </w:rPr>
      </w:pPr>
    </w:p>
    <w:p w14:paraId="6D47041F" w14:textId="1CD78A00" w:rsidR="009F7CC3" w:rsidRPr="009F7CC3" w:rsidRDefault="009F7CC3" w:rsidP="005B0996">
      <w:pPr>
        <w:spacing w:after="120"/>
        <w:jc w:val="center"/>
        <w:rPr>
          <w:rFonts w:ascii="Times New Roman" w:hAnsi="Times New Roman"/>
          <w:sz w:val="20"/>
          <w:szCs w:val="20"/>
          <w:lang w:val="en-GB"/>
        </w:rPr>
      </w:pPr>
      <w:r w:rsidRPr="009F7CC3">
        <w:rPr>
          <w:rFonts w:ascii="Times New Roman" w:hAnsi="Times New Roman"/>
          <w:noProof/>
          <w:lang w:val="en-MY" w:eastAsia="en-MY"/>
        </w:rPr>
        <w:drawing>
          <wp:inline distT="0" distB="0" distL="0" distR="0" wp14:anchorId="372ACCE5" wp14:editId="00033B6C">
            <wp:extent cx="5633049" cy="2258989"/>
            <wp:effectExtent l="0" t="0" r="6350" b="8255"/>
            <wp:docPr id="48" name="Picture 4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hart, bar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45384" cy="2263936"/>
                    </a:xfrm>
                    <a:prstGeom prst="rect">
                      <a:avLst/>
                    </a:prstGeom>
                    <a:noFill/>
                  </pic:spPr>
                </pic:pic>
              </a:graphicData>
            </a:graphic>
          </wp:inline>
        </w:drawing>
      </w:r>
    </w:p>
    <w:p w14:paraId="58760801" w14:textId="4ADFEB7A" w:rsidR="009F7CC3" w:rsidRPr="009F7CC3" w:rsidRDefault="009F7CC3" w:rsidP="009F7CC3">
      <w:pPr>
        <w:spacing w:after="0"/>
        <w:ind w:left="851" w:hanging="851"/>
        <w:jc w:val="both"/>
        <w:rPr>
          <w:rFonts w:ascii="Times New Roman" w:hAnsi="Times New Roman"/>
          <w:sz w:val="20"/>
          <w:szCs w:val="20"/>
          <w:lang w:val="en-GB"/>
        </w:rPr>
      </w:pPr>
      <w:r w:rsidRPr="009F7CC3">
        <w:rPr>
          <w:rFonts w:ascii="Times New Roman" w:hAnsi="Times New Roman"/>
          <w:sz w:val="20"/>
          <w:szCs w:val="20"/>
          <w:lang w:val="en-GB"/>
        </w:rPr>
        <w:t xml:space="preserve">Figure 3. </w:t>
      </w:r>
      <w:r w:rsidR="004C49E6">
        <w:rPr>
          <w:rFonts w:ascii="Times New Roman" w:hAnsi="Times New Roman"/>
          <w:sz w:val="20"/>
          <w:szCs w:val="20"/>
          <w:lang w:val="en-GB"/>
        </w:rPr>
        <w:tab/>
      </w:r>
      <w:r w:rsidRPr="009F7CC3">
        <w:rPr>
          <w:rFonts w:ascii="Times New Roman" w:hAnsi="Times New Roman"/>
          <w:sz w:val="20"/>
          <w:szCs w:val="20"/>
          <w:lang w:val="en-GB"/>
        </w:rPr>
        <w:t xml:space="preserve">Cytotoxicity effect of isolated and synthesised compounds against lung cancer (A549) cell lines (2a) and normal lung (MRC-5) cell lines (2b). Results are presented as mean ± SD (n = 3). * </w:t>
      </w:r>
      <w:r w:rsidRPr="009F7CC3">
        <w:rPr>
          <w:rFonts w:ascii="Times New Roman" w:hAnsi="Times New Roman"/>
          <w:i/>
          <w:iCs/>
          <w:sz w:val="20"/>
          <w:szCs w:val="20"/>
          <w:lang w:val="en-GB"/>
        </w:rPr>
        <w:t>p</w:t>
      </w:r>
      <w:r w:rsidRPr="009F7CC3">
        <w:rPr>
          <w:rFonts w:ascii="Times New Roman" w:hAnsi="Times New Roman"/>
          <w:sz w:val="20"/>
          <w:szCs w:val="20"/>
          <w:lang w:val="en-GB"/>
        </w:rPr>
        <w:t xml:space="preserve"> &lt; 0.05 compared with the non-treated sample (0 μg/mL). All treated samples with isolated and synthesised compounds at all concentrations were statistically significant</w:t>
      </w:r>
    </w:p>
    <w:p w14:paraId="041640CC" w14:textId="08602C8D" w:rsidR="004C49E6" w:rsidRDefault="004C49E6" w:rsidP="009F7CC3">
      <w:pPr>
        <w:spacing w:after="0"/>
        <w:jc w:val="both"/>
        <w:rPr>
          <w:rFonts w:ascii="Times New Roman" w:hAnsi="Times New Roman"/>
          <w:sz w:val="20"/>
          <w:szCs w:val="20"/>
          <w:lang w:val="en-GB"/>
        </w:rPr>
      </w:pPr>
    </w:p>
    <w:p w14:paraId="6C99D2F2" w14:textId="643E70D1" w:rsidR="009906FF" w:rsidRDefault="009906FF" w:rsidP="009F7CC3">
      <w:pPr>
        <w:spacing w:after="0"/>
        <w:jc w:val="both"/>
        <w:rPr>
          <w:rFonts w:ascii="Times New Roman" w:hAnsi="Times New Roman"/>
          <w:sz w:val="20"/>
          <w:szCs w:val="20"/>
          <w:lang w:val="en-GB"/>
        </w:rPr>
      </w:pPr>
    </w:p>
    <w:p w14:paraId="3B70B4EA" w14:textId="77777777" w:rsidR="0084161B" w:rsidRDefault="0084161B" w:rsidP="009F7CC3">
      <w:pPr>
        <w:spacing w:after="0"/>
        <w:jc w:val="both"/>
        <w:rPr>
          <w:rFonts w:ascii="Times New Roman" w:hAnsi="Times New Roman"/>
          <w:sz w:val="20"/>
          <w:szCs w:val="20"/>
          <w:lang w:val="en-GB"/>
        </w:rPr>
        <w:sectPr w:rsidR="0084161B" w:rsidSect="00F45F70">
          <w:footerReference w:type="even" r:id="rId25"/>
          <w:footerReference w:type="default" r:id="rId26"/>
          <w:type w:val="continuous"/>
          <w:pgSz w:w="12240" w:h="15840" w:code="1"/>
          <w:pgMar w:top="1800" w:right="1469" w:bottom="1699" w:left="1440" w:header="706" w:footer="706" w:gutter="0"/>
          <w:pgNumType w:start="0"/>
          <w:cols w:space="708"/>
          <w:docGrid w:linePitch="360"/>
        </w:sectPr>
      </w:pPr>
    </w:p>
    <w:p w14:paraId="48A3B63A" w14:textId="77777777" w:rsidR="004C49E6" w:rsidRPr="009F7CC3" w:rsidRDefault="004C49E6" w:rsidP="009F7CC3">
      <w:pPr>
        <w:spacing w:after="0"/>
        <w:jc w:val="both"/>
        <w:rPr>
          <w:rFonts w:ascii="Times New Roman" w:hAnsi="Times New Roman"/>
          <w:sz w:val="20"/>
          <w:szCs w:val="20"/>
          <w:lang w:val="en-GB"/>
        </w:rPr>
      </w:pPr>
    </w:p>
    <w:p w14:paraId="418D8776" w14:textId="1FBE19F9" w:rsidR="009F7CC3" w:rsidRPr="009F7CC3" w:rsidRDefault="009F7CC3" w:rsidP="0023661D">
      <w:pPr>
        <w:spacing w:after="120"/>
        <w:jc w:val="center"/>
        <w:rPr>
          <w:rFonts w:ascii="Times New Roman" w:hAnsi="Times New Roman"/>
          <w:sz w:val="20"/>
          <w:szCs w:val="20"/>
          <w:lang w:val="en-GB"/>
        </w:rPr>
      </w:pPr>
      <w:r w:rsidRPr="009F7CC3">
        <w:rPr>
          <w:rFonts w:ascii="Times New Roman" w:hAnsi="Times New Roman"/>
          <w:sz w:val="20"/>
          <w:szCs w:val="20"/>
          <w:lang w:val="en-GB"/>
        </w:rPr>
        <w:t xml:space="preserve">Table 2. </w:t>
      </w:r>
      <w:r w:rsidR="0023661D">
        <w:rPr>
          <w:rFonts w:ascii="Times New Roman" w:hAnsi="Times New Roman"/>
          <w:sz w:val="20"/>
          <w:szCs w:val="20"/>
          <w:lang w:val="en-GB"/>
        </w:rPr>
        <w:t xml:space="preserve"> </w:t>
      </w:r>
      <w:r w:rsidRPr="009F7CC3">
        <w:rPr>
          <w:rFonts w:ascii="Times New Roman" w:hAnsi="Times New Roman"/>
          <w:sz w:val="20"/>
          <w:szCs w:val="20"/>
          <w:lang w:val="en-GB"/>
        </w:rPr>
        <w:t>Cytotoxicity activity of the compounds against lung cancer (A549) and normal lung (MRC-5) cell lines</w:t>
      </w:r>
    </w:p>
    <w:tbl>
      <w:tblPr>
        <w:tblStyle w:val="PlainTable2"/>
        <w:tblW w:w="0" w:type="auto"/>
        <w:jc w:val="center"/>
        <w:tblLook w:val="04A0" w:firstRow="1" w:lastRow="0" w:firstColumn="1" w:lastColumn="0" w:noHBand="0" w:noVBand="1"/>
      </w:tblPr>
      <w:tblGrid>
        <w:gridCol w:w="2289"/>
        <w:gridCol w:w="708"/>
        <w:gridCol w:w="1985"/>
        <w:gridCol w:w="2210"/>
        <w:gridCol w:w="1192"/>
      </w:tblGrid>
      <w:tr w:rsidR="009F7CC3" w:rsidRPr="009F7CC3" w14:paraId="002D6A9A" w14:textId="77777777" w:rsidTr="00805B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7" w:type="dxa"/>
            <w:gridSpan w:val="2"/>
            <w:vMerge w:val="restart"/>
            <w:tcBorders>
              <w:top w:val="single" w:sz="4" w:space="0" w:color="7F7F7F" w:themeColor="text1" w:themeTint="80"/>
              <w:bottom w:val="single" w:sz="4" w:space="0" w:color="auto"/>
            </w:tcBorders>
          </w:tcPr>
          <w:p w14:paraId="6D92955A" w14:textId="77777777" w:rsidR="009F7CC3" w:rsidRPr="009F7CC3" w:rsidRDefault="009F7CC3" w:rsidP="0023661D">
            <w:pPr>
              <w:spacing w:before="120" w:after="0"/>
              <w:jc w:val="both"/>
              <w:rPr>
                <w:rFonts w:ascii="Times New Roman" w:hAnsi="Times New Roman" w:cs="Times New Roman"/>
                <w:b w:val="0"/>
                <w:sz w:val="20"/>
                <w:szCs w:val="20"/>
                <w:lang w:val="en-GB"/>
              </w:rPr>
            </w:pPr>
            <w:r w:rsidRPr="009F7CC3">
              <w:rPr>
                <w:rFonts w:ascii="Times New Roman" w:hAnsi="Times New Roman" w:cs="Times New Roman"/>
                <w:sz w:val="20"/>
                <w:szCs w:val="20"/>
                <w:lang w:val="en-GB"/>
              </w:rPr>
              <w:t>Compound</w:t>
            </w:r>
          </w:p>
        </w:tc>
        <w:tc>
          <w:tcPr>
            <w:tcW w:w="4195" w:type="dxa"/>
            <w:gridSpan w:val="2"/>
            <w:tcBorders>
              <w:top w:val="single" w:sz="4" w:space="0" w:color="7F7F7F" w:themeColor="text1" w:themeTint="80"/>
              <w:bottom w:val="single" w:sz="4" w:space="0" w:color="auto"/>
            </w:tcBorders>
          </w:tcPr>
          <w:p w14:paraId="2B789595" w14:textId="77777777" w:rsidR="009F7CC3" w:rsidRPr="009F7CC3" w:rsidRDefault="009F7CC3" w:rsidP="0023661D">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9F7CC3">
              <w:rPr>
                <w:rFonts w:ascii="Times New Roman" w:hAnsi="Times New Roman" w:cs="Times New Roman"/>
                <w:sz w:val="20"/>
                <w:szCs w:val="20"/>
                <w:lang w:val="en-GB"/>
              </w:rPr>
              <w:t>IC</w:t>
            </w:r>
            <w:r w:rsidRPr="009F7CC3">
              <w:rPr>
                <w:rFonts w:ascii="Times New Roman" w:hAnsi="Times New Roman" w:cs="Times New Roman"/>
                <w:sz w:val="20"/>
                <w:szCs w:val="20"/>
                <w:vertAlign w:val="subscript"/>
                <w:lang w:val="en-GB"/>
              </w:rPr>
              <w:t>50</w:t>
            </w:r>
            <w:r w:rsidRPr="009F7CC3">
              <w:rPr>
                <w:rFonts w:ascii="Times New Roman" w:hAnsi="Times New Roman" w:cs="Times New Roman"/>
                <w:sz w:val="20"/>
                <w:szCs w:val="20"/>
                <w:lang w:val="en-GB"/>
              </w:rPr>
              <w:t xml:space="preserve"> (μg/mL)</w:t>
            </w:r>
          </w:p>
        </w:tc>
        <w:tc>
          <w:tcPr>
            <w:tcW w:w="1192" w:type="dxa"/>
            <w:vMerge w:val="restart"/>
            <w:tcBorders>
              <w:top w:val="single" w:sz="4" w:space="0" w:color="7F7F7F" w:themeColor="text1" w:themeTint="80"/>
              <w:bottom w:val="single" w:sz="4" w:space="0" w:color="auto"/>
            </w:tcBorders>
          </w:tcPr>
          <w:p w14:paraId="4C0F4095" w14:textId="77777777" w:rsidR="009F7CC3" w:rsidRPr="009F7CC3" w:rsidRDefault="009F7CC3" w:rsidP="0023661D">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9F7CC3">
              <w:rPr>
                <w:rFonts w:ascii="Times New Roman" w:hAnsi="Times New Roman" w:cs="Times New Roman"/>
                <w:sz w:val="20"/>
                <w:szCs w:val="20"/>
                <w:lang w:val="en-GB"/>
              </w:rPr>
              <w:t>Selectivity Index (SI)</w:t>
            </w:r>
            <w:r w:rsidRPr="009F7CC3">
              <w:rPr>
                <w:rFonts w:ascii="Times New Roman" w:hAnsi="Times New Roman" w:cs="Times New Roman"/>
                <w:sz w:val="20"/>
                <w:szCs w:val="20"/>
                <w:vertAlign w:val="superscript"/>
                <w:lang w:val="en-GB"/>
              </w:rPr>
              <w:t>b</w:t>
            </w:r>
          </w:p>
        </w:tc>
      </w:tr>
      <w:tr w:rsidR="009F7CC3" w:rsidRPr="009F7CC3" w14:paraId="15928BD2" w14:textId="77777777" w:rsidTr="00805B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7" w:type="dxa"/>
            <w:gridSpan w:val="2"/>
            <w:vMerge/>
            <w:tcBorders>
              <w:top w:val="single" w:sz="4" w:space="0" w:color="auto"/>
              <w:bottom w:val="single" w:sz="4" w:space="0" w:color="auto"/>
            </w:tcBorders>
          </w:tcPr>
          <w:p w14:paraId="695F3A95" w14:textId="77777777" w:rsidR="009F7CC3" w:rsidRPr="009F7CC3" w:rsidRDefault="009F7CC3" w:rsidP="00805B30">
            <w:pPr>
              <w:spacing w:after="0"/>
              <w:jc w:val="both"/>
              <w:rPr>
                <w:rFonts w:ascii="Times New Roman" w:hAnsi="Times New Roman" w:cs="Times New Roman"/>
                <w:sz w:val="20"/>
                <w:szCs w:val="20"/>
                <w:lang w:val="en-GB"/>
              </w:rPr>
            </w:pPr>
          </w:p>
        </w:tc>
        <w:tc>
          <w:tcPr>
            <w:tcW w:w="1985" w:type="dxa"/>
            <w:tcBorders>
              <w:top w:val="single" w:sz="4" w:space="0" w:color="auto"/>
              <w:bottom w:val="single" w:sz="4" w:space="0" w:color="auto"/>
            </w:tcBorders>
          </w:tcPr>
          <w:p w14:paraId="05575F85"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Lung Cancer (A549)</w:t>
            </w:r>
          </w:p>
        </w:tc>
        <w:tc>
          <w:tcPr>
            <w:tcW w:w="2210" w:type="dxa"/>
            <w:tcBorders>
              <w:top w:val="single" w:sz="4" w:space="0" w:color="auto"/>
              <w:bottom w:val="single" w:sz="4" w:space="0" w:color="auto"/>
            </w:tcBorders>
          </w:tcPr>
          <w:p w14:paraId="03F816B6" w14:textId="77777777" w:rsidR="009F7CC3" w:rsidRPr="009F7CC3" w:rsidRDefault="009F7CC3" w:rsidP="0023661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Normal Lung (MRC-5)</w:t>
            </w:r>
          </w:p>
        </w:tc>
        <w:tc>
          <w:tcPr>
            <w:tcW w:w="1192" w:type="dxa"/>
            <w:vMerge/>
            <w:tcBorders>
              <w:top w:val="single" w:sz="4" w:space="0" w:color="auto"/>
              <w:bottom w:val="single" w:sz="4" w:space="0" w:color="auto"/>
            </w:tcBorders>
          </w:tcPr>
          <w:p w14:paraId="5F8BE9BB"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9F7CC3" w:rsidRPr="009F7CC3" w14:paraId="477F6E1A" w14:textId="77777777" w:rsidTr="00805B30">
        <w:trPr>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single" w:sz="4" w:space="0" w:color="auto"/>
              <w:bottom w:val="nil"/>
            </w:tcBorders>
          </w:tcPr>
          <w:p w14:paraId="320AA572" w14:textId="77777777" w:rsidR="009F7CC3" w:rsidRPr="009F7CC3" w:rsidRDefault="009F7CC3" w:rsidP="0023661D">
            <w:pPr>
              <w:spacing w:before="60" w:after="0"/>
              <w:jc w:val="both"/>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 xml:space="preserve">Synthesised Intermediates </w:t>
            </w:r>
          </w:p>
        </w:tc>
        <w:tc>
          <w:tcPr>
            <w:tcW w:w="708" w:type="dxa"/>
            <w:tcBorders>
              <w:top w:val="single" w:sz="4" w:space="0" w:color="auto"/>
              <w:bottom w:val="nil"/>
            </w:tcBorders>
          </w:tcPr>
          <w:p w14:paraId="5D79DC0E" w14:textId="77777777" w:rsidR="009F7CC3" w:rsidRPr="009F7CC3" w:rsidRDefault="009F7CC3" w:rsidP="0023661D">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3</w:t>
            </w:r>
          </w:p>
        </w:tc>
        <w:tc>
          <w:tcPr>
            <w:tcW w:w="1985" w:type="dxa"/>
            <w:tcBorders>
              <w:top w:val="single" w:sz="4" w:space="0" w:color="auto"/>
              <w:bottom w:val="nil"/>
            </w:tcBorders>
          </w:tcPr>
          <w:p w14:paraId="26FBF687" w14:textId="77777777" w:rsidR="009F7CC3" w:rsidRPr="009F7CC3" w:rsidRDefault="009F7CC3" w:rsidP="0023661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17.0 </w:t>
            </w:r>
            <w:r w:rsidRPr="009F7CC3">
              <w:rPr>
                <w:rFonts w:ascii="Times New Roman" w:hAnsi="Times New Roman" w:cs="Times New Roman"/>
                <w:sz w:val="20"/>
                <w:szCs w:val="20"/>
                <w:vertAlign w:val="superscript"/>
                <w:lang w:val="en-GB"/>
              </w:rPr>
              <w:t>*</w:t>
            </w:r>
          </w:p>
        </w:tc>
        <w:tc>
          <w:tcPr>
            <w:tcW w:w="2210" w:type="dxa"/>
            <w:tcBorders>
              <w:top w:val="single" w:sz="4" w:space="0" w:color="auto"/>
              <w:bottom w:val="nil"/>
            </w:tcBorders>
          </w:tcPr>
          <w:p w14:paraId="2B2D7309" w14:textId="77777777" w:rsidR="009F7CC3" w:rsidRPr="009F7CC3" w:rsidRDefault="009F7CC3" w:rsidP="0023661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77.6</w:t>
            </w:r>
          </w:p>
        </w:tc>
        <w:tc>
          <w:tcPr>
            <w:tcW w:w="1192" w:type="dxa"/>
            <w:tcBorders>
              <w:top w:val="single" w:sz="4" w:space="0" w:color="auto"/>
              <w:bottom w:val="nil"/>
            </w:tcBorders>
          </w:tcPr>
          <w:p w14:paraId="09A2D985" w14:textId="77777777" w:rsidR="009F7CC3" w:rsidRPr="009F7CC3" w:rsidRDefault="009F7CC3" w:rsidP="0023661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4.56</w:t>
            </w:r>
          </w:p>
        </w:tc>
      </w:tr>
      <w:tr w:rsidR="009F7CC3" w:rsidRPr="009F7CC3" w14:paraId="7126D05A" w14:textId="77777777" w:rsidTr="00805B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7EAFAA6B" w14:textId="77777777" w:rsidR="009F7CC3" w:rsidRPr="009F7CC3" w:rsidRDefault="009F7CC3" w:rsidP="00805B30">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3429B5F2"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w:t>
            </w:r>
          </w:p>
        </w:tc>
        <w:tc>
          <w:tcPr>
            <w:tcW w:w="1985" w:type="dxa"/>
            <w:tcBorders>
              <w:top w:val="nil"/>
              <w:bottom w:val="nil"/>
            </w:tcBorders>
          </w:tcPr>
          <w:p w14:paraId="3F35CE1F"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24.0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0E314080"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71.0</w:t>
            </w:r>
          </w:p>
        </w:tc>
        <w:tc>
          <w:tcPr>
            <w:tcW w:w="1192" w:type="dxa"/>
            <w:tcBorders>
              <w:top w:val="nil"/>
              <w:bottom w:val="nil"/>
            </w:tcBorders>
          </w:tcPr>
          <w:p w14:paraId="12841BAF"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2.96</w:t>
            </w:r>
          </w:p>
        </w:tc>
      </w:tr>
      <w:tr w:rsidR="009F7CC3" w:rsidRPr="009F7CC3" w14:paraId="150B86F3" w14:textId="77777777" w:rsidTr="00805B30">
        <w:trPr>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79140D58" w14:textId="77777777" w:rsidR="009F7CC3" w:rsidRPr="009F7CC3" w:rsidRDefault="009F7CC3" w:rsidP="00805B30">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1150E487"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w:t>
            </w:r>
          </w:p>
        </w:tc>
        <w:tc>
          <w:tcPr>
            <w:tcW w:w="1985" w:type="dxa"/>
            <w:tcBorders>
              <w:top w:val="nil"/>
              <w:bottom w:val="nil"/>
            </w:tcBorders>
          </w:tcPr>
          <w:p w14:paraId="675BD6BF"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31.8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494A5712"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86.0</w:t>
            </w:r>
          </w:p>
        </w:tc>
        <w:tc>
          <w:tcPr>
            <w:tcW w:w="1192" w:type="dxa"/>
            <w:tcBorders>
              <w:top w:val="nil"/>
              <w:bottom w:val="nil"/>
            </w:tcBorders>
          </w:tcPr>
          <w:p w14:paraId="43FB26C7"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2.70</w:t>
            </w:r>
          </w:p>
        </w:tc>
      </w:tr>
      <w:tr w:rsidR="009F7CC3" w:rsidRPr="009F7CC3" w14:paraId="4FB3EFFA" w14:textId="77777777" w:rsidTr="00805B3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7644C5E8" w14:textId="77777777" w:rsidR="009F7CC3" w:rsidRPr="009F7CC3" w:rsidRDefault="009F7CC3" w:rsidP="00805B30">
            <w:pPr>
              <w:spacing w:after="0"/>
              <w:jc w:val="both"/>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Girinimbines</w:t>
            </w:r>
          </w:p>
        </w:tc>
        <w:tc>
          <w:tcPr>
            <w:tcW w:w="708" w:type="dxa"/>
            <w:tcBorders>
              <w:top w:val="nil"/>
              <w:bottom w:val="nil"/>
            </w:tcBorders>
          </w:tcPr>
          <w:p w14:paraId="476946DF"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8s </w:t>
            </w:r>
          </w:p>
        </w:tc>
        <w:tc>
          <w:tcPr>
            <w:tcW w:w="1985" w:type="dxa"/>
            <w:tcBorders>
              <w:top w:val="nil"/>
              <w:bottom w:val="nil"/>
            </w:tcBorders>
          </w:tcPr>
          <w:p w14:paraId="2CD0C0F0"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33.0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5F868E8D"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&gt; 100</w:t>
            </w:r>
          </w:p>
        </w:tc>
        <w:tc>
          <w:tcPr>
            <w:tcW w:w="1192" w:type="dxa"/>
            <w:tcBorders>
              <w:top w:val="nil"/>
              <w:bottom w:val="nil"/>
            </w:tcBorders>
          </w:tcPr>
          <w:p w14:paraId="4817AF7B"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&gt; 3.03</w:t>
            </w:r>
          </w:p>
        </w:tc>
      </w:tr>
      <w:tr w:rsidR="009F7CC3" w:rsidRPr="009F7CC3" w14:paraId="2C7F4280" w14:textId="77777777" w:rsidTr="00805B30">
        <w:trPr>
          <w:trHeight w:val="225"/>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450A320C" w14:textId="77777777" w:rsidR="009F7CC3" w:rsidRPr="009F7CC3" w:rsidRDefault="009F7CC3" w:rsidP="00805B30">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332EC33D"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8i</w:t>
            </w:r>
            <w:r w:rsidRPr="009F7CC3">
              <w:rPr>
                <w:rFonts w:ascii="Times New Roman" w:hAnsi="Times New Roman" w:cs="Times New Roman"/>
                <w:sz w:val="20"/>
                <w:szCs w:val="20"/>
                <w:vertAlign w:val="superscript"/>
                <w:lang w:val="en-GB"/>
              </w:rPr>
              <w:t>a</w:t>
            </w:r>
          </w:p>
        </w:tc>
        <w:tc>
          <w:tcPr>
            <w:tcW w:w="1985" w:type="dxa"/>
            <w:tcBorders>
              <w:top w:val="nil"/>
              <w:bottom w:val="nil"/>
            </w:tcBorders>
          </w:tcPr>
          <w:p w14:paraId="2404BC93"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6.2</w:t>
            </w:r>
          </w:p>
        </w:tc>
        <w:tc>
          <w:tcPr>
            <w:tcW w:w="2210" w:type="dxa"/>
            <w:tcBorders>
              <w:top w:val="nil"/>
              <w:bottom w:val="nil"/>
            </w:tcBorders>
          </w:tcPr>
          <w:p w14:paraId="64C31CD5"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29.0</w:t>
            </w:r>
          </w:p>
        </w:tc>
        <w:tc>
          <w:tcPr>
            <w:tcW w:w="1192" w:type="dxa"/>
            <w:tcBorders>
              <w:top w:val="nil"/>
              <w:bottom w:val="nil"/>
            </w:tcBorders>
          </w:tcPr>
          <w:p w14:paraId="2C35F185"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4.68</w:t>
            </w:r>
          </w:p>
        </w:tc>
      </w:tr>
      <w:tr w:rsidR="009F7CC3" w:rsidRPr="009F7CC3" w14:paraId="600BF2B1" w14:textId="77777777" w:rsidTr="00805B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2926F168" w14:textId="77777777" w:rsidR="009F7CC3" w:rsidRPr="009F7CC3" w:rsidRDefault="009F7CC3" w:rsidP="00805B30">
            <w:pPr>
              <w:spacing w:after="0"/>
              <w:jc w:val="both"/>
              <w:rPr>
                <w:rFonts w:ascii="Times New Roman" w:hAnsi="Times New Roman" w:cs="Times New Roman"/>
                <w:b w:val="0"/>
                <w:bCs w:val="0"/>
                <w:sz w:val="20"/>
                <w:szCs w:val="20"/>
                <w:lang w:val="en-GB"/>
              </w:rPr>
            </w:pPr>
            <w:r w:rsidRPr="009F7CC3">
              <w:rPr>
                <w:rFonts w:ascii="Times New Roman" w:hAnsi="Times New Roman" w:cs="Times New Roman"/>
                <w:b w:val="0"/>
                <w:bCs w:val="0"/>
                <w:i/>
                <w:sz w:val="20"/>
                <w:szCs w:val="20"/>
                <w:lang w:val="en-GB"/>
              </w:rPr>
              <w:t>N</w:t>
            </w:r>
            <w:r w:rsidRPr="009F7CC3">
              <w:rPr>
                <w:rFonts w:ascii="Times New Roman" w:hAnsi="Times New Roman" w:cs="Times New Roman"/>
                <w:b w:val="0"/>
                <w:bCs w:val="0"/>
                <w:sz w:val="20"/>
                <w:szCs w:val="20"/>
                <w:lang w:val="en-GB"/>
              </w:rPr>
              <w:t>-Alkylated Girinimbines</w:t>
            </w:r>
          </w:p>
        </w:tc>
        <w:tc>
          <w:tcPr>
            <w:tcW w:w="708" w:type="dxa"/>
            <w:tcBorders>
              <w:top w:val="nil"/>
              <w:bottom w:val="nil"/>
            </w:tcBorders>
          </w:tcPr>
          <w:p w14:paraId="5607F281"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9</w:t>
            </w:r>
          </w:p>
        </w:tc>
        <w:tc>
          <w:tcPr>
            <w:tcW w:w="1985" w:type="dxa"/>
            <w:tcBorders>
              <w:top w:val="nil"/>
              <w:bottom w:val="nil"/>
            </w:tcBorders>
          </w:tcPr>
          <w:p w14:paraId="09EF22E5"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31.0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361A717A"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52.7</w:t>
            </w:r>
          </w:p>
        </w:tc>
        <w:tc>
          <w:tcPr>
            <w:tcW w:w="1192" w:type="dxa"/>
            <w:tcBorders>
              <w:top w:val="nil"/>
              <w:bottom w:val="nil"/>
            </w:tcBorders>
          </w:tcPr>
          <w:p w14:paraId="2F801755"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1.70</w:t>
            </w:r>
          </w:p>
        </w:tc>
      </w:tr>
      <w:tr w:rsidR="009F7CC3" w:rsidRPr="009F7CC3" w14:paraId="3608E539" w14:textId="77777777" w:rsidTr="00805B30">
        <w:trPr>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456A4FD6" w14:textId="77777777" w:rsidR="009F7CC3" w:rsidRPr="009F7CC3" w:rsidRDefault="009F7CC3" w:rsidP="00805B30">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1A858EEC"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10</w:t>
            </w:r>
          </w:p>
        </w:tc>
        <w:tc>
          <w:tcPr>
            <w:tcW w:w="1985" w:type="dxa"/>
            <w:tcBorders>
              <w:top w:val="nil"/>
              <w:bottom w:val="nil"/>
            </w:tcBorders>
          </w:tcPr>
          <w:p w14:paraId="10C8C6D5"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31.2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01809DB8"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96.1</w:t>
            </w:r>
          </w:p>
        </w:tc>
        <w:tc>
          <w:tcPr>
            <w:tcW w:w="1192" w:type="dxa"/>
            <w:tcBorders>
              <w:top w:val="nil"/>
              <w:bottom w:val="nil"/>
            </w:tcBorders>
          </w:tcPr>
          <w:p w14:paraId="3E2F4222"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3.08</w:t>
            </w:r>
          </w:p>
        </w:tc>
      </w:tr>
      <w:tr w:rsidR="009F7CC3" w:rsidRPr="009F7CC3" w14:paraId="02A3175B" w14:textId="77777777" w:rsidTr="00805B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0E4E9CF8" w14:textId="77777777" w:rsidR="009F7CC3" w:rsidRPr="009F7CC3" w:rsidRDefault="009F7CC3" w:rsidP="00805B30">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78E880BA"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11</w:t>
            </w:r>
          </w:p>
        </w:tc>
        <w:tc>
          <w:tcPr>
            <w:tcW w:w="1985" w:type="dxa"/>
            <w:tcBorders>
              <w:top w:val="nil"/>
              <w:bottom w:val="nil"/>
            </w:tcBorders>
          </w:tcPr>
          <w:p w14:paraId="0A9F46FA"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40.6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1B728B69"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37.7</w:t>
            </w:r>
          </w:p>
        </w:tc>
        <w:tc>
          <w:tcPr>
            <w:tcW w:w="1192" w:type="dxa"/>
            <w:tcBorders>
              <w:top w:val="nil"/>
              <w:bottom w:val="nil"/>
            </w:tcBorders>
          </w:tcPr>
          <w:p w14:paraId="145B0387"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0.93</w:t>
            </w:r>
          </w:p>
        </w:tc>
      </w:tr>
      <w:tr w:rsidR="009F7CC3" w:rsidRPr="009F7CC3" w14:paraId="0C68DF23" w14:textId="77777777" w:rsidTr="00805B30">
        <w:trPr>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45C3B235" w14:textId="77777777" w:rsidR="009F7CC3" w:rsidRPr="009F7CC3" w:rsidRDefault="009F7CC3" w:rsidP="00805B30">
            <w:pPr>
              <w:spacing w:after="0"/>
              <w:jc w:val="both"/>
              <w:rPr>
                <w:rFonts w:ascii="Times New Roman" w:hAnsi="Times New Roman" w:cs="Times New Roman"/>
                <w:b w:val="0"/>
                <w:bCs w:val="0"/>
                <w:sz w:val="20"/>
                <w:szCs w:val="20"/>
                <w:lang w:val="en-GB"/>
              </w:rPr>
            </w:pPr>
            <w:r w:rsidRPr="009F7CC3">
              <w:rPr>
                <w:rFonts w:ascii="Times New Roman" w:hAnsi="Times New Roman" w:cs="Times New Roman"/>
                <w:b w:val="0"/>
                <w:bCs w:val="0"/>
                <w:i/>
                <w:sz w:val="20"/>
                <w:szCs w:val="20"/>
                <w:lang w:val="en-GB"/>
              </w:rPr>
              <w:t>N</w:t>
            </w:r>
            <w:r w:rsidRPr="009F7CC3">
              <w:rPr>
                <w:rFonts w:ascii="Times New Roman" w:hAnsi="Times New Roman" w:cs="Times New Roman"/>
                <w:b w:val="0"/>
                <w:bCs w:val="0"/>
                <w:sz w:val="20"/>
                <w:szCs w:val="20"/>
                <w:lang w:val="en-GB"/>
              </w:rPr>
              <w:t>-Acylated Girinimbines</w:t>
            </w:r>
          </w:p>
        </w:tc>
        <w:tc>
          <w:tcPr>
            <w:tcW w:w="708" w:type="dxa"/>
            <w:tcBorders>
              <w:top w:val="nil"/>
              <w:bottom w:val="nil"/>
            </w:tcBorders>
          </w:tcPr>
          <w:p w14:paraId="7F988547"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12</w:t>
            </w:r>
          </w:p>
        </w:tc>
        <w:tc>
          <w:tcPr>
            <w:tcW w:w="1985" w:type="dxa"/>
            <w:tcBorders>
              <w:top w:val="nil"/>
              <w:bottom w:val="nil"/>
            </w:tcBorders>
          </w:tcPr>
          <w:p w14:paraId="193DE676"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25.5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76BF0578"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77.3</w:t>
            </w:r>
          </w:p>
        </w:tc>
        <w:tc>
          <w:tcPr>
            <w:tcW w:w="1192" w:type="dxa"/>
            <w:tcBorders>
              <w:top w:val="nil"/>
              <w:bottom w:val="nil"/>
            </w:tcBorders>
          </w:tcPr>
          <w:p w14:paraId="1941CD2C" w14:textId="77777777" w:rsidR="009F7CC3" w:rsidRPr="009F7CC3" w:rsidRDefault="009F7CC3" w:rsidP="0023661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3.03</w:t>
            </w:r>
          </w:p>
        </w:tc>
      </w:tr>
      <w:tr w:rsidR="009F7CC3" w:rsidRPr="009F7CC3" w14:paraId="43DA2EB4" w14:textId="77777777" w:rsidTr="002366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2E450680" w14:textId="77777777" w:rsidR="009F7CC3" w:rsidRPr="009F7CC3" w:rsidRDefault="009F7CC3" w:rsidP="00805B30">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29172C9A"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13</w:t>
            </w:r>
          </w:p>
        </w:tc>
        <w:tc>
          <w:tcPr>
            <w:tcW w:w="1985" w:type="dxa"/>
            <w:tcBorders>
              <w:top w:val="nil"/>
              <w:bottom w:val="nil"/>
            </w:tcBorders>
          </w:tcPr>
          <w:p w14:paraId="7916CA16"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35.7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7A53AC65"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&gt; 100</w:t>
            </w:r>
          </w:p>
        </w:tc>
        <w:tc>
          <w:tcPr>
            <w:tcW w:w="1192" w:type="dxa"/>
            <w:tcBorders>
              <w:top w:val="nil"/>
              <w:bottom w:val="nil"/>
            </w:tcBorders>
          </w:tcPr>
          <w:p w14:paraId="77098903" w14:textId="77777777" w:rsidR="009F7CC3" w:rsidRPr="009F7CC3" w:rsidRDefault="009F7CC3" w:rsidP="002366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&gt; 2.80</w:t>
            </w:r>
          </w:p>
        </w:tc>
      </w:tr>
      <w:tr w:rsidR="009F7CC3" w:rsidRPr="009F7CC3" w14:paraId="5ADCA6B4" w14:textId="77777777" w:rsidTr="0023661D">
        <w:trPr>
          <w:jc w:val="center"/>
        </w:trPr>
        <w:tc>
          <w:tcPr>
            <w:cnfStyle w:val="001000000000" w:firstRow="0" w:lastRow="0" w:firstColumn="1" w:lastColumn="0" w:oddVBand="0" w:evenVBand="0" w:oddHBand="0" w:evenHBand="0" w:firstRowFirstColumn="0" w:firstRowLastColumn="0" w:lastRowFirstColumn="0" w:lastRowLastColumn="0"/>
            <w:tcW w:w="2289" w:type="dxa"/>
            <w:tcBorders>
              <w:top w:val="nil"/>
              <w:bottom w:val="single" w:sz="4" w:space="0" w:color="auto"/>
            </w:tcBorders>
          </w:tcPr>
          <w:p w14:paraId="243E778C" w14:textId="77777777" w:rsidR="009F7CC3" w:rsidRPr="009F7CC3" w:rsidRDefault="009F7CC3" w:rsidP="0023661D">
            <w:pPr>
              <w:spacing w:after="60"/>
              <w:jc w:val="both"/>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Doxorubicin</w:t>
            </w:r>
          </w:p>
        </w:tc>
        <w:tc>
          <w:tcPr>
            <w:tcW w:w="708" w:type="dxa"/>
            <w:tcBorders>
              <w:top w:val="nil"/>
              <w:bottom w:val="single" w:sz="4" w:space="0" w:color="auto"/>
            </w:tcBorders>
          </w:tcPr>
          <w:p w14:paraId="0B7D0CA1" w14:textId="77777777" w:rsidR="009F7CC3" w:rsidRPr="009F7CC3" w:rsidRDefault="009F7CC3" w:rsidP="0023661D">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985" w:type="dxa"/>
            <w:tcBorders>
              <w:top w:val="nil"/>
              <w:bottom w:val="single" w:sz="4" w:space="0" w:color="auto"/>
            </w:tcBorders>
          </w:tcPr>
          <w:p w14:paraId="575A3D00" w14:textId="77777777" w:rsidR="009F7CC3" w:rsidRPr="009F7CC3" w:rsidRDefault="009F7CC3" w:rsidP="0023661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13.1</w:t>
            </w:r>
          </w:p>
        </w:tc>
        <w:tc>
          <w:tcPr>
            <w:tcW w:w="2210" w:type="dxa"/>
            <w:tcBorders>
              <w:top w:val="nil"/>
              <w:bottom w:val="single" w:sz="4" w:space="0" w:color="auto"/>
            </w:tcBorders>
          </w:tcPr>
          <w:p w14:paraId="3BE311E6" w14:textId="77777777" w:rsidR="009F7CC3" w:rsidRPr="009F7CC3" w:rsidRDefault="009F7CC3" w:rsidP="0023661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en-GB"/>
              </w:rPr>
            </w:pPr>
            <w:r w:rsidRPr="009F7CC3">
              <w:rPr>
                <w:rFonts w:ascii="Times New Roman" w:hAnsi="Times New Roman" w:cs="Times New Roman"/>
                <w:sz w:val="20"/>
                <w:szCs w:val="20"/>
                <w:lang w:val="en-GB"/>
              </w:rPr>
              <w:t>Not Tested</w:t>
            </w:r>
            <w:r w:rsidRPr="009F7CC3">
              <w:rPr>
                <w:rFonts w:ascii="Times New Roman" w:hAnsi="Times New Roman" w:cs="Times New Roman"/>
                <w:sz w:val="20"/>
                <w:szCs w:val="20"/>
                <w:vertAlign w:val="superscript"/>
                <w:lang w:val="en-GB"/>
              </w:rPr>
              <w:t>c</w:t>
            </w:r>
          </w:p>
        </w:tc>
        <w:tc>
          <w:tcPr>
            <w:tcW w:w="1192" w:type="dxa"/>
            <w:tcBorders>
              <w:top w:val="nil"/>
              <w:bottom w:val="single" w:sz="4" w:space="0" w:color="auto"/>
            </w:tcBorders>
          </w:tcPr>
          <w:p w14:paraId="113289C9" w14:textId="77777777" w:rsidR="009F7CC3" w:rsidRPr="009F7CC3" w:rsidRDefault="009F7CC3" w:rsidP="0023661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r>
    </w:tbl>
    <w:p w14:paraId="5DF43A8E" w14:textId="52BFD03B" w:rsidR="009F7CC3" w:rsidRPr="0023661D" w:rsidRDefault="009F7CC3" w:rsidP="00F73E21">
      <w:pPr>
        <w:spacing w:before="60" w:after="0"/>
        <w:ind w:right="511"/>
        <w:jc w:val="both"/>
        <w:rPr>
          <w:rFonts w:ascii="Times New Roman" w:hAnsi="Times New Roman"/>
          <w:sz w:val="18"/>
          <w:szCs w:val="18"/>
          <w:lang w:val="en-GB"/>
        </w:rPr>
      </w:pPr>
      <w:r w:rsidRPr="0023661D">
        <w:rPr>
          <w:rFonts w:ascii="Times New Roman" w:hAnsi="Times New Roman"/>
          <w:sz w:val="18"/>
          <w:szCs w:val="18"/>
          <w:vertAlign w:val="superscript"/>
          <w:lang w:val="en-GB"/>
        </w:rPr>
        <w:t xml:space="preserve">           </w:t>
      </w:r>
      <w:r w:rsidR="0023661D">
        <w:rPr>
          <w:rFonts w:ascii="Times New Roman" w:hAnsi="Times New Roman"/>
          <w:sz w:val="18"/>
          <w:szCs w:val="18"/>
          <w:vertAlign w:val="superscript"/>
          <w:lang w:val="en-GB"/>
        </w:rPr>
        <w:t xml:space="preserve">      </w:t>
      </w:r>
      <w:r w:rsidRPr="0023661D">
        <w:rPr>
          <w:rFonts w:ascii="Times New Roman" w:hAnsi="Times New Roman"/>
          <w:sz w:val="18"/>
          <w:szCs w:val="18"/>
          <w:vertAlign w:val="superscript"/>
          <w:lang w:val="en-GB"/>
        </w:rPr>
        <w:t xml:space="preserve"> a </w:t>
      </w:r>
      <w:r w:rsidRPr="0023661D">
        <w:rPr>
          <w:rFonts w:ascii="Times New Roman" w:hAnsi="Times New Roman"/>
          <w:sz w:val="18"/>
          <w:szCs w:val="18"/>
          <w:lang w:val="en-GB"/>
        </w:rPr>
        <w:t>Girinimbine (</w:t>
      </w:r>
      <w:r w:rsidRPr="0023661D">
        <w:rPr>
          <w:rFonts w:ascii="Times New Roman" w:hAnsi="Times New Roman"/>
          <w:b/>
          <w:sz w:val="18"/>
          <w:szCs w:val="18"/>
          <w:lang w:val="en-GB"/>
        </w:rPr>
        <w:t>8i</w:t>
      </w:r>
      <w:r w:rsidRPr="0023661D">
        <w:rPr>
          <w:rFonts w:ascii="Times New Roman" w:hAnsi="Times New Roman"/>
          <w:sz w:val="18"/>
          <w:szCs w:val="18"/>
          <w:lang w:val="en-GB"/>
        </w:rPr>
        <w:t xml:space="preserve">) was isolated from the bark of </w:t>
      </w:r>
      <w:r w:rsidRPr="0023661D">
        <w:rPr>
          <w:rFonts w:ascii="Times New Roman" w:hAnsi="Times New Roman"/>
          <w:i/>
          <w:sz w:val="18"/>
          <w:szCs w:val="18"/>
          <w:lang w:val="en-GB"/>
        </w:rPr>
        <w:t>M. koenigii</w:t>
      </w:r>
      <w:r w:rsidRPr="0023661D">
        <w:rPr>
          <w:rFonts w:ascii="Times New Roman" w:hAnsi="Times New Roman"/>
          <w:iCs/>
          <w:sz w:val="18"/>
          <w:szCs w:val="18"/>
          <w:lang w:val="en-GB"/>
        </w:rPr>
        <w:t xml:space="preserve"> for this study</w:t>
      </w:r>
    </w:p>
    <w:p w14:paraId="7D773A64" w14:textId="34E6F497" w:rsidR="009F7CC3" w:rsidRPr="0023661D" w:rsidRDefault="009F7CC3" w:rsidP="00F73E21">
      <w:pPr>
        <w:spacing w:after="0"/>
        <w:ind w:left="540" w:right="511" w:hanging="540"/>
        <w:rPr>
          <w:rFonts w:ascii="Times New Roman" w:hAnsi="Times New Roman"/>
          <w:sz w:val="18"/>
          <w:szCs w:val="18"/>
          <w:lang w:val="en-GB"/>
        </w:rPr>
      </w:pPr>
      <w:r w:rsidRPr="0023661D">
        <w:rPr>
          <w:rFonts w:ascii="Times New Roman" w:hAnsi="Times New Roman"/>
          <w:sz w:val="18"/>
          <w:szCs w:val="18"/>
          <w:vertAlign w:val="superscript"/>
          <w:lang w:val="en-GB"/>
        </w:rPr>
        <w:t xml:space="preserve">           </w:t>
      </w:r>
      <w:r w:rsidR="0023661D">
        <w:rPr>
          <w:rFonts w:ascii="Times New Roman" w:hAnsi="Times New Roman"/>
          <w:sz w:val="18"/>
          <w:szCs w:val="18"/>
          <w:vertAlign w:val="superscript"/>
          <w:lang w:val="en-GB"/>
        </w:rPr>
        <w:t xml:space="preserve">      </w:t>
      </w:r>
      <w:r w:rsidRPr="0023661D">
        <w:rPr>
          <w:rFonts w:ascii="Times New Roman" w:hAnsi="Times New Roman"/>
          <w:sz w:val="18"/>
          <w:szCs w:val="18"/>
          <w:vertAlign w:val="superscript"/>
          <w:lang w:val="en-GB"/>
        </w:rPr>
        <w:t xml:space="preserve"> b</w:t>
      </w:r>
      <w:r w:rsidR="00F73E21">
        <w:rPr>
          <w:rFonts w:ascii="Times New Roman" w:hAnsi="Times New Roman"/>
          <w:sz w:val="18"/>
          <w:szCs w:val="18"/>
          <w:vertAlign w:val="superscript"/>
          <w:lang w:val="en-GB"/>
        </w:rPr>
        <w:t xml:space="preserve"> </w:t>
      </w:r>
      <w:r w:rsidRPr="0023661D">
        <w:rPr>
          <w:rFonts w:ascii="Times New Roman" w:hAnsi="Times New Roman"/>
          <w:sz w:val="18"/>
          <w:szCs w:val="18"/>
          <w:lang w:val="en-GB"/>
        </w:rPr>
        <w:t>SI = IC</w:t>
      </w:r>
      <w:r w:rsidRPr="0023661D">
        <w:rPr>
          <w:rFonts w:ascii="Times New Roman" w:hAnsi="Times New Roman"/>
          <w:sz w:val="18"/>
          <w:szCs w:val="18"/>
          <w:vertAlign w:val="subscript"/>
          <w:lang w:val="en-GB"/>
        </w:rPr>
        <w:t>50</w:t>
      </w:r>
      <w:r w:rsidRPr="0023661D">
        <w:rPr>
          <w:rFonts w:ascii="Times New Roman" w:hAnsi="Times New Roman"/>
          <w:sz w:val="18"/>
          <w:szCs w:val="18"/>
          <w:lang w:val="en-GB"/>
        </w:rPr>
        <w:t xml:space="preserve"> value for MRC-5/ IC</w:t>
      </w:r>
      <w:r w:rsidRPr="0023661D">
        <w:rPr>
          <w:rFonts w:ascii="Times New Roman" w:hAnsi="Times New Roman"/>
          <w:sz w:val="18"/>
          <w:szCs w:val="18"/>
          <w:vertAlign w:val="subscript"/>
          <w:lang w:val="en-GB"/>
        </w:rPr>
        <w:t>50</w:t>
      </w:r>
      <w:r w:rsidRPr="0023661D">
        <w:rPr>
          <w:rFonts w:ascii="Times New Roman" w:hAnsi="Times New Roman"/>
          <w:sz w:val="18"/>
          <w:szCs w:val="18"/>
          <w:lang w:val="en-GB"/>
        </w:rPr>
        <w:t xml:space="preserve"> value for A549. * Significant difference between structurally modified/synthesised and parent compound 8</w:t>
      </w:r>
      <w:r w:rsidRPr="0023661D">
        <w:rPr>
          <w:rFonts w:ascii="Times New Roman" w:hAnsi="Times New Roman"/>
          <w:b/>
          <w:bCs/>
          <w:sz w:val="18"/>
          <w:szCs w:val="18"/>
          <w:lang w:val="en-GB"/>
        </w:rPr>
        <w:t>i</w:t>
      </w:r>
      <w:r w:rsidRPr="0023661D">
        <w:rPr>
          <w:rFonts w:ascii="Times New Roman" w:hAnsi="Times New Roman"/>
          <w:sz w:val="18"/>
          <w:szCs w:val="18"/>
          <w:lang w:val="en-GB"/>
        </w:rPr>
        <w:t xml:space="preserve"> (</w:t>
      </w:r>
      <w:r w:rsidRPr="0023661D">
        <w:rPr>
          <w:rFonts w:ascii="Times New Roman" w:hAnsi="Times New Roman"/>
          <w:i/>
          <w:iCs/>
          <w:sz w:val="18"/>
          <w:szCs w:val="18"/>
          <w:lang w:val="en-GB"/>
        </w:rPr>
        <w:t>p</w:t>
      </w:r>
      <w:r w:rsidRPr="0023661D">
        <w:rPr>
          <w:rFonts w:ascii="Times New Roman" w:hAnsi="Times New Roman"/>
          <w:sz w:val="18"/>
          <w:szCs w:val="18"/>
          <w:lang w:val="en-GB"/>
        </w:rPr>
        <w:t xml:space="preserve"> &lt; 0.05)</w:t>
      </w:r>
    </w:p>
    <w:p w14:paraId="6208023E" w14:textId="0179B2B5" w:rsidR="009F7CC3" w:rsidRPr="0023661D" w:rsidRDefault="009F7CC3" w:rsidP="00F73E21">
      <w:pPr>
        <w:spacing w:after="0"/>
        <w:ind w:left="630" w:right="511" w:hanging="630"/>
        <w:jc w:val="both"/>
        <w:rPr>
          <w:rFonts w:ascii="Times New Roman" w:hAnsi="Times New Roman"/>
          <w:bCs/>
          <w:sz w:val="18"/>
          <w:szCs w:val="18"/>
          <w:lang w:val="en-GB"/>
        </w:rPr>
      </w:pPr>
      <w:r w:rsidRPr="0023661D">
        <w:rPr>
          <w:rFonts w:ascii="Times New Roman" w:hAnsi="Times New Roman"/>
          <w:sz w:val="18"/>
          <w:szCs w:val="18"/>
          <w:lang w:val="en-GB"/>
        </w:rPr>
        <w:t xml:space="preserve">        </w:t>
      </w:r>
      <w:r w:rsidR="00F73E21">
        <w:rPr>
          <w:rFonts w:ascii="Times New Roman" w:hAnsi="Times New Roman"/>
          <w:sz w:val="18"/>
          <w:szCs w:val="18"/>
          <w:lang w:val="en-GB"/>
        </w:rPr>
        <w:t xml:space="preserve">    </w:t>
      </w:r>
      <w:r w:rsidRPr="0023661D">
        <w:rPr>
          <w:rFonts w:ascii="Times New Roman" w:hAnsi="Times New Roman"/>
          <w:sz w:val="18"/>
          <w:szCs w:val="18"/>
          <w:vertAlign w:val="superscript"/>
          <w:lang w:val="en-GB"/>
        </w:rPr>
        <w:t xml:space="preserve">c </w:t>
      </w:r>
      <w:r w:rsidRPr="0023661D">
        <w:rPr>
          <w:rFonts w:ascii="Times New Roman" w:hAnsi="Times New Roman"/>
          <w:sz w:val="18"/>
          <w:szCs w:val="18"/>
          <w:lang w:val="en-GB"/>
        </w:rPr>
        <w:t xml:space="preserve">There were </w:t>
      </w:r>
      <w:r w:rsidRPr="0023661D">
        <w:rPr>
          <w:rFonts w:ascii="Times New Roman" w:hAnsi="Times New Roman"/>
          <w:bCs/>
          <w:sz w:val="18"/>
          <w:szCs w:val="18"/>
          <w:lang w:val="en-GB"/>
        </w:rPr>
        <w:t>several issues regarding the purchasing of doxorubicin during the COVID-19 pandemic, where the test was done without the normal cells</w:t>
      </w:r>
    </w:p>
    <w:p w14:paraId="3839B0B7" w14:textId="2AFAEBA8" w:rsidR="006768E9" w:rsidRDefault="006768E9" w:rsidP="00383C16">
      <w:pPr>
        <w:spacing w:after="0"/>
        <w:jc w:val="center"/>
        <w:rPr>
          <w:rFonts w:ascii="Times New Roman" w:hAnsi="Times New Roman"/>
          <w:noProof/>
          <w:sz w:val="20"/>
          <w:szCs w:val="20"/>
          <w:lang w:bidi="ar-SA"/>
        </w:rPr>
      </w:pPr>
    </w:p>
    <w:p w14:paraId="772F5A41" w14:textId="77777777" w:rsidR="00F73E21" w:rsidRPr="00383C16" w:rsidRDefault="00F73E21" w:rsidP="00383C16">
      <w:pPr>
        <w:spacing w:after="0"/>
        <w:jc w:val="center"/>
        <w:rPr>
          <w:rFonts w:ascii="Times New Roman" w:hAnsi="Times New Roman"/>
          <w:noProof/>
          <w:sz w:val="20"/>
          <w:szCs w:val="20"/>
          <w:lang w:bidi="ar-SA"/>
        </w:rPr>
      </w:pPr>
    </w:p>
    <w:p w14:paraId="328D4463" w14:textId="77777777" w:rsidR="00F73E21" w:rsidRDefault="00F73E21" w:rsidP="00383C16">
      <w:pPr>
        <w:spacing w:after="0"/>
        <w:jc w:val="center"/>
        <w:rPr>
          <w:rFonts w:ascii="Times New Roman" w:hAnsi="Times New Roman"/>
          <w:b/>
          <w:noProof/>
          <w:sz w:val="20"/>
          <w:szCs w:val="20"/>
          <w:lang w:bidi="ar-SA"/>
        </w:rPr>
        <w:sectPr w:rsidR="00F73E21" w:rsidSect="0084161B">
          <w:footerReference w:type="default" r:id="rId27"/>
          <w:type w:val="oddPage"/>
          <w:pgSz w:w="12240" w:h="15840" w:code="1"/>
          <w:pgMar w:top="1800" w:right="1469" w:bottom="1699" w:left="1440" w:header="706" w:footer="706" w:gutter="0"/>
          <w:pgNumType w:start="0"/>
          <w:cols w:space="708"/>
          <w:docGrid w:linePitch="360"/>
        </w:sectPr>
      </w:pPr>
    </w:p>
    <w:p w14:paraId="183D362C" w14:textId="182A871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41E36694" w14:textId="77777777" w:rsidR="00F73E21" w:rsidRPr="00C13317" w:rsidRDefault="00F73E21" w:rsidP="00F73E21">
      <w:pPr>
        <w:spacing w:after="0"/>
        <w:jc w:val="both"/>
        <w:rPr>
          <w:rFonts w:ascii="Times New Roman" w:hAnsi="Times New Roman"/>
          <w:sz w:val="20"/>
          <w:szCs w:val="20"/>
          <w:lang w:val="en-GB"/>
        </w:rPr>
      </w:pPr>
      <w:r w:rsidRPr="00C13317">
        <w:rPr>
          <w:rFonts w:ascii="Times New Roman" w:hAnsi="Times New Roman"/>
          <w:sz w:val="20"/>
          <w:szCs w:val="20"/>
          <w:lang w:val="en-GB"/>
        </w:rPr>
        <w:t>Girinimbine (</w:t>
      </w:r>
      <w:r w:rsidRPr="00C13317">
        <w:rPr>
          <w:rFonts w:ascii="Times New Roman" w:hAnsi="Times New Roman"/>
          <w:b/>
          <w:sz w:val="20"/>
          <w:szCs w:val="20"/>
          <w:lang w:val="en-GB"/>
        </w:rPr>
        <w:t>8s</w:t>
      </w:r>
      <w:r w:rsidRPr="00C13317">
        <w:rPr>
          <w:rFonts w:ascii="Times New Roman" w:hAnsi="Times New Roman"/>
          <w:sz w:val="20"/>
          <w:szCs w:val="20"/>
          <w:lang w:val="en-GB"/>
        </w:rPr>
        <w:t xml:space="preserve">) was successfully synthesised </w:t>
      </w:r>
      <w:r w:rsidRPr="00C13317">
        <w:rPr>
          <w:rFonts w:ascii="Times New Roman" w:hAnsi="Times New Roman"/>
          <w:i/>
          <w:sz w:val="20"/>
          <w:szCs w:val="20"/>
          <w:lang w:val="en-GB"/>
        </w:rPr>
        <w:t>via</w:t>
      </w:r>
      <w:r w:rsidRPr="00C13317">
        <w:rPr>
          <w:rFonts w:ascii="Times New Roman" w:hAnsi="Times New Roman"/>
          <w:sz w:val="20"/>
          <w:szCs w:val="20"/>
          <w:lang w:val="en-GB"/>
        </w:rPr>
        <w:t xml:space="preserve"> two different routes and characterised. All of the synthesised intermediates (</w:t>
      </w:r>
      <w:r w:rsidRPr="00C13317">
        <w:rPr>
          <w:rFonts w:ascii="Times New Roman" w:hAnsi="Times New Roman"/>
          <w:b/>
          <w:sz w:val="20"/>
          <w:szCs w:val="20"/>
          <w:lang w:val="en-GB"/>
        </w:rPr>
        <w:t>3</w:t>
      </w:r>
      <w:r w:rsidRPr="00C13317">
        <w:rPr>
          <w:rFonts w:ascii="Times New Roman" w:hAnsi="Times New Roman"/>
          <w:sz w:val="20"/>
          <w:szCs w:val="20"/>
          <w:lang w:val="en-GB"/>
        </w:rPr>
        <w:t xml:space="preserve">, </w:t>
      </w:r>
      <w:r w:rsidRPr="00C13317">
        <w:rPr>
          <w:rFonts w:ascii="Times New Roman" w:hAnsi="Times New Roman"/>
          <w:b/>
          <w:sz w:val="20"/>
          <w:szCs w:val="20"/>
          <w:lang w:val="en-GB"/>
        </w:rPr>
        <w:t>6</w:t>
      </w:r>
      <w:r w:rsidRPr="00C13317">
        <w:rPr>
          <w:rFonts w:ascii="Times New Roman" w:hAnsi="Times New Roman"/>
          <w:bCs/>
          <w:sz w:val="20"/>
          <w:szCs w:val="20"/>
          <w:lang w:val="en-GB"/>
        </w:rPr>
        <w:t>,</w:t>
      </w:r>
      <w:r w:rsidRPr="00C13317">
        <w:rPr>
          <w:rFonts w:ascii="Times New Roman" w:hAnsi="Times New Roman"/>
          <w:b/>
          <w:sz w:val="20"/>
          <w:szCs w:val="20"/>
          <w:lang w:val="en-GB"/>
        </w:rPr>
        <w:t xml:space="preserve"> </w:t>
      </w:r>
      <w:r w:rsidRPr="00C13317">
        <w:rPr>
          <w:rFonts w:ascii="Times New Roman" w:hAnsi="Times New Roman"/>
          <w:sz w:val="20"/>
          <w:szCs w:val="20"/>
          <w:lang w:val="en-GB"/>
        </w:rPr>
        <w:t>and</w:t>
      </w:r>
      <w:r w:rsidRPr="00C13317">
        <w:rPr>
          <w:rFonts w:ascii="Times New Roman" w:hAnsi="Times New Roman"/>
          <w:b/>
          <w:sz w:val="20"/>
          <w:szCs w:val="20"/>
          <w:lang w:val="en-GB"/>
        </w:rPr>
        <w:t xml:space="preserve"> 7</w:t>
      </w:r>
      <w:r w:rsidRPr="00C13317">
        <w:rPr>
          <w:rFonts w:ascii="Times New Roman" w:hAnsi="Times New Roman"/>
          <w:sz w:val="20"/>
          <w:szCs w:val="20"/>
          <w:lang w:val="en-GB"/>
        </w:rPr>
        <w:t>), synthesised and natural girinimbines (</w:t>
      </w:r>
      <w:r w:rsidRPr="00C13317">
        <w:rPr>
          <w:rFonts w:ascii="Times New Roman" w:hAnsi="Times New Roman"/>
          <w:b/>
          <w:sz w:val="20"/>
          <w:szCs w:val="20"/>
          <w:lang w:val="en-GB"/>
        </w:rPr>
        <w:t>8i</w:t>
      </w:r>
      <w:r w:rsidRPr="00C13317">
        <w:rPr>
          <w:rFonts w:ascii="Times New Roman" w:hAnsi="Times New Roman"/>
          <w:sz w:val="20"/>
          <w:szCs w:val="20"/>
          <w:lang w:val="en-GB"/>
        </w:rPr>
        <w:t xml:space="preserve"> and </w:t>
      </w:r>
      <w:r w:rsidRPr="00C13317">
        <w:rPr>
          <w:rFonts w:ascii="Times New Roman" w:hAnsi="Times New Roman"/>
          <w:b/>
          <w:sz w:val="20"/>
          <w:szCs w:val="20"/>
          <w:lang w:val="en-GB"/>
        </w:rPr>
        <w:t>8s</w:t>
      </w:r>
      <w:r w:rsidRPr="00C13317">
        <w:rPr>
          <w:rFonts w:ascii="Times New Roman" w:hAnsi="Times New Roman"/>
          <w:sz w:val="20"/>
          <w:szCs w:val="20"/>
          <w:lang w:val="en-GB"/>
        </w:rPr>
        <w:t xml:space="preserve">), </w:t>
      </w:r>
      <w:r w:rsidRPr="00C13317">
        <w:rPr>
          <w:rFonts w:ascii="Times New Roman" w:hAnsi="Times New Roman"/>
          <w:i/>
          <w:sz w:val="20"/>
          <w:szCs w:val="20"/>
          <w:lang w:val="en-GB"/>
        </w:rPr>
        <w:t>N</w:t>
      </w:r>
      <w:r w:rsidRPr="00C13317">
        <w:rPr>
          <w:rFonts w:ascii="Times New Roman" w:hAnsi="Times New Roman"/>
          <w:sz w:val="20"/>
          <w:szCs w:val="20"/>
          <w:lang w:val="en-GB"/>
        </w:rPr>
        <w:t>-alkylated girinimbines (</w:t>
      </w:r>
      <w:r w:rsidRPr="00C13317">
        <w:rPr>
          <w:rFonts w:ascii="Times New Roman" w:hAnsi="Times New Roman"/>
          <w:b/>
          <w:sz w:val="20"/>
          <w:szCs w:val="20"/>
          <w:lang w:val="en-GB"/>
        </w:rPr>
        <w:t>9</w:t>
      </w:r>
      <w:r w:rsidRPr="00C13317">
        <w:rPr>
          <w:rFonts w:ascii="Times New Roman" w:hAnsi="Times New Roman"/>
          <w:sz w:val="20"/>
          <w:szCs w:val="20"/>
          <w:lang w:val="en-GB"/>
        </w:rPr>
        <w:t>-</w:t>
      </w:r>
      <w:r w:rsidRPr="00C13317">
        <w:rPr>
          <w:rFonts w:ascii="Times New Roman" w:hAnsi="Times New Roman"/>
          <w:b/>
          <w:sz w:val="20"/>
          <w:szCs w:val="20"/>
          <w:lang w:val="en-GB"/>
        </w:rPr>
        <w:t>11</w:t>
      </w:r>
      <w:r w:rsidRPr="00C13317">
        <w:rPr>
          <w:rFonts w:ascii="Times New Roman" w:hAnsi="Times New Roman"/>
          <w:sz w:val="20"/>
          <w:szCs w:val="20"/>
          <w:lang w:val="en-GB"/>
        </w:rPr>
        <w:t xml:space="preserve">), and </w:t>
      </w:r>
      <w:r w:rsidRPr="00C13317">
        <w:rPr>
          <w:rFonts w:ascii="Times New Roman" w:hAnsi="Times New Roman"/>
          <w:i/>
          <w:sz w:val="20"/>
          <w:szCs w:val="20"/>
          <w:lang w:val="en-GB"/>
        </w:rPr>
        <w:t>N</w:t>
      </w:r>
      <w:r w:rsidRPr="00C13317">
        <w:rPr>
          <w:rFonts w:ascii="Times New Roman" w:hAnsi="Times New Roman"/>
          <w:sz w:val="20"/>
          <w:szCs w:val="20"/>
          <w:lang w:val="en-GB"/>
        </w:rPr>
        <w:t>-acylated girinimbines (</w:t>
      </w:r>
      <w:r w:rsidRPr="00C13317">
        <w:rPr>
          <w:rFonts w:ascii="Times New Roman" w:hAnsi="Times New Roman"/>
          <w:b/>
          <w:sz w:val="20"/>
          <w:szCs w:val="20"/>
          <w:lang w:val="en-GB"/>
        </w:rPr>
        <w:t xml:space="preserve">12 </w:t>
      </w:r>
      <w:r w:rsidRPr="00C13317">
        <w:rPr>
          <w:rFonts w:ascii="Times New Roman" w:hAnsi="Times New Roman"/>
          <w:sz w:val="20"/>
          <w:szCs w:val="20"/>
          <w:lang w:val="en-GB"/>
        </w:rPr>
        <w:t xml:space="preserve">and </w:t>
      </w:r>
      <w:r w:rsidRPr="00C13317">
        <w:rPr>
          <w:rFonts w:ascii="Times New Roman" w:hAnsi="Times New Roman"/>
          <w:b/>
          <w:sz w:val="20"/>
          <w:szCs w:val="20"/>
          <w:lang w:val="en-GB"/>
        </w:rPr>
        <w:t>13</w:t>
      </w:r>
      <w:r w:rsidRPr="00C13317">
        <w:rPr>
          <w:rFonts w:ascii="Times New Roman" w:hAnsi="Times New Roman"/>
          <w:sz w:val="20"/>
          <w:szCs w:val="20"/>
          <w:lang w:val="en-GB"/>
        </w:rPr>
        <w:t xml:space="preserve">) were evaluated for cytotoxicity assay against lung cancer (A549) and normal lung (MRC-5) cell lines. All of the compounds reduced the viability of A549 and MRC-5 cells in a dose-dependent manner. All compounds exhibited moderate to high toxicity against A549 cells. The intermediate nitrobiphenyl </w:t>
      </w:r>
      <w:r w:rsidRPr="00C13317">
        <w:rPr>
          <w:rFonts w:ascii="Times New Roman" w:hAnsi="Times New Roman"/>
          <w:b/>
          <w:sz w:val="20"/>
          <w:szCs w:val="20"/>
          <w:lang w:val="en-GB"/>
        </w:rPr>
        <w:t>3</w:t>
      </w:r>
      <w:r w:rsidRPr="00C13317">
        <w:rPr>
          <w:rFonts w:ascii="Times New Roman" w:hAnsi="Times New Roman"/>
          <w:sz w:val="20"/>
          <w:szCs w:val="20"/>
          <w:lang w:val="en-GB"/>
        </w:rPr>
        <w:t xml:space="preserve"> and natural girinimbine (</w:t>
      </w:r>
      <w:r w:rsidRPr="00C13317">
        <w:rPr>
          <w:rFonts w:ascii="Times New Roman" w:hAnsi="Times New Roman"/>
          <w:b/>
          <w:sz w:val="20"/>
          <w:szCs w:val="20"/>
          <w:lang w:val="en-GB"/>
        </w:rPr>
        <w:t>8i</w:t>
      </w:r>
      <w:r w:rsidRPr="00C13317">
        <w:rPr>
          <w:rFonts w:ascii="Times New Roman" w:hAnsi="Times New Roman"/>
          <w:sz w:val="20"/>
          <w:szCs w:val="20"/>
          <w:lang w:val="en-GB"/>
        </w:rPr>
        <w:t>) displayed the highest toxicity and were comparable with doxorubicin. All compounds showed selectivity against A549 cells with SI &gt; 2, with isolated girinimbine (</w:t>
      </w:r>
      <w:r w:rsidRPr="00C13317">
        <w:rPr>
          <w:rFonts w:ascii="Times New Roman" w:hAnsi="Times New Roman"/>
          <w:b/>
          <w:sz w:val="20"/>
          <w:szCs w:val="20"/>
          <w:lang w:val="en-GB"/>
        </w:rPr>
        <w:t>8i</w:t>
      </w:r>
      <w:r w:rsidRPr="00C13317">
        <w:rPr>
          <w:rFonts w:ascii="Times New Roman" w:hAnsi="Times New Roman"/>
          <w:sz w:val="20"/>
          <w:szCs w:val="20"/>
          <w:lang w:val="en-GB"/>
        </w:rPr>
        <w:t xml:space="preserve">) and intermediate </w:t>
      </w:r>
      <w:r w:rsidRPr="00C13317">
        <w:rPr>
          <w:rFonts w:ascii="Times New Roman" w:hAnsi="Times New Roman"/>
          <w:b/>
          <w:sz w:val="20"/>
          <w:szCs w:val="20"/>
          <w:lang w:val="en-GB"/>
        </w:rPr>
        <w:t>3</w:t>
      </w:r>
      <w:r w:rsidRPr="00C13317">
        <w:rPr>
          <w:rFonts w:ascii="Times New Roman" w:hAnsi="Times New Roman"/>
          <w:sz w:val="20"/>
          <w:szCs w:val="20"/>
          <w:lang w:val="en-GB"/>
        </w:rPr>
        <w:t xml:space="preserve"> as the most toxic compounds (SI values of 4.68 and 4.56, respectively). However, </w:t>
      </w:r>
      <w:r w:rsidRPr="00C13317">
        <w:rPr>
          <w:rFonts w:ascii="Times New Roman" w:hAnsi="Times New Roman"/>
          <w:i/>
          <w:sz w:val="20"/>
          <w:szCs w:val="20"/>
          <w:lang w:val="en-GB"/>
        </w:rPr>
        <w:t>N</w:t>
      </w:r>
      <w:r w:rsidRPr="00C13317">
        <w:rPr>
          <w:rFonts w:ascii="Times New Roman" w:hAnsi="Times New Roman"/>
          <w:sz w:val="20"/>
          <w:szCs w:val="20"/>
          <w:lang w:val="en-GB"/>
        </w:rPr>
        <w:t xml:space="preserve">-alkylated girinimbines </w:t>
      </w:r>
      <w:r w:rsidRPr="00C13317">
        <w:rPr>
          <w:rFonts w:ascii="Times New Roman" w:hAnsi="Times New Roman"/>
          <w:b/>
          <w:sz w:val="20"/>
          <w:szCs w:val="20"/>
          <w:lang w:val="en-GB"/>
        </w:rPr>
        <w:t>9</w:t>
      </w:r>
      <w:r w:rsidRPr="00C13317">
        <w:rPr>
          <w:rFonts w:ascii="Times New Roman" w:hAnsi="Times New Roman"/>
          <w:sz w:val="20"/>
          <w:szCs w:val="20"/>
          <w:lang w:val="en-GB"/>
        </w:rPr>
        <w:t xml:space="preserve"> and </w:t>
      </w:r>
      <w:r w:rsidRPr="00C13317">
        <w:rPr>
          <w:rFonts w:ascii="Times New Roman" w:hAnsi="Times New Roman"/>
          <w:b/>
          <w:sz w:val="20"/>
          <w:szCs w:val="20"/>
          <w:lang w:val="en-GB"/>
        </w:rPr>
        <w:t>11</w:t>
      </w:r>
      <w:r w:rsidRPr="00C13317">
        <w:rPr>
          <w:rFonts w:ascii="Times New Roman" w:hAnsi="Times New Roman"/>
          <w:sz w:val="20"/>
          <w:szCs w:val="20"/>
          <w:lang w:val="en-GB"/>
        </w:rPr>
        <w:t xml:space="preserve"> exhibited no selectivity towards A549 cells. </w:t>
      </w:r>
    </w:p>
    <w:p w14:paraId="4BE301AC" w14:textId="77777777" w:rsidR="00F73E21" w:rsidRPr="00C13317" w:rsidRDefault="00F73E21" w:rsidP="00F73E21">
      <w:pPr>
        <w:spacing w:after="0"/>
        <w:jc w:val="center"/>
        <w:rPr>
          <w:rFonts w:ascii="Times New Roman" w:hAnsi="Times New Roman"/>
          <w:sz w:val="20"/>
          <w:szCs w:val="20"/>
        </w:rPr>
      </w:pPr>
    </w:p>
    <w:p w14:paraId="5EC40F61" w14:textId="77777777" w:rsidR="00F73E21" w:rsidRPr="00C13317" w:rsidRDefault="00F73E21" w:rsidP="00F73E21">
      <w:pPr>
        <w:spacing w:after="0"/>
        <w:jc w:val="center"/>
        <w:rPr>
          <w:rFonts w:ascii="Times New Roman" w:hAnsi="Times New Roman"/>
          <w:b/>
          <w:sz w:val="20"/>
          <w:szCs w:val="20"/>
        </w:rPr>
      </w:pPr>
      <w:r w:rsidRPr="00C13317">
        <w:rPr>
          <w:rFonts w:ascii="Times New Roman" w:hAnsi="Times New Roman"/>
          <w:b/>
          <w:sz w:val="20"/>
          <w:szCs w:val="20"/>
        </w:rPr>
        <w:t>Acknowledgement</w:t>
      </w:r>
    </w:p>
    <w:p w14:paraId="228EEBA9" w14:textId="39725CD5" w:rsidR="00F73E21" w:rsidRDefault="00F73E21" w:rsidP="00F73E21">
      <w:pPr>
        <w:pStyle w:val="MDPI62Acknowledgments"/>
        <w:spacing w:before="0" w:line="276" w:lineRule="auto"/>
        <w:rPr>
          <w:rFonts w:ascii="Times New Roman" w:hAnsi="Times New Roman"/>
          <w:color w:val="auto"/>
          <w:sz w:val="20"/>
        </w:rPr>
      </w:pPr>
      <w:r w:rsidRPr="00C13317">
        <w:rPr>
          <w:rFonts w:ascii="Times New Roman" w:hAnsi="Times New Roman"/>
          <w:color w:val="auto"/>
          <w:sz w:val="20"/>
        </w:rPr>
        <w:t xml:space="preserve">The authors sincerely thank the financial support provided by Universiti Putra Malaysia (Geran GP-IPS: </w:t>
      </w:r>
      <w:r w:rsidRPr="00C13317">
        <w:rPr>
          <w:rFonts w:ascii="Times New Roman" w:hAnsi="Times New Roman"/>
          <w:color w:val="auto"/>
          <w:sz w:val="20"/>
        </w:rPr>
        <w:t>9436717). The authors also thank Dr. Mohd Azlan Nafiah and the late Dr. Kartini Ahmad for providing the isolated girinimbine for the NMR data comparison and for the semi-synthesis of girinimbine derivatives.</w:t>
      </w:r>
    </w:p>
    <w:p w14:paraId="19B721C8" w14:textId="77777777" w:rsidR="000A64F6" w:rsidRPr="00C13317" w:rsidRDefault="000A64F6" w:rsidP="00F73E21">
      <w:pPr>
        <w:pStyle w:val="MDPI62Acknowledgments"/>
        <w:spacing w:before="0" w:line="276" w:lineRule="auto"/>
        <w:rPr>
          <w:rFonts w:ascii="Times New Roman" w:hAnsi="Times New Roman"/>
          <w:color w:val="auto"/>
          <w:sz w:val="20"/>
        </w:rPr>
      </w:pPr>
    </w:p>
    <w:p w14:paraId="0F6EF82A" w14:textId="77777777" w:rsidR="000A64F6" w:rsidRPr="00383C16" w:rsidRDefault="000A64F6" w:rsidP="000A64F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2F331CF4" w14:textId="77777777" w:rsidR="000A64F6" w:rsidRPr="002F78E0" w:rsidRDefault="000A64F6" w:rsidP="000A64F6">
      <w:pPr>
        <w:pStyle w:val="ListParagraph"/>
        <w:widowControl w:val="0"/>
        <w:numPr>
          <w:ilvl w:val="0"/>
          <w:numId w:val="4"/>
        </w:numPr>
        <w:spacing w:after="0" w:line="240" w:lineRule="auto"/>
        <w:ind w:left="360"/>
        <w:contextualSpacing w:val="0"/>
        <w:jc w:val="both"/>
        <w:rPr>
          <w:rFonts w:ascii="Times New Roman" w:hAnsi="Times New Roman"/>
          <w:sz w:val="20"/>
          <w:szCs w:val="20"/>
        </w:rPr>
      </w:pPr>
      <w:bookmarkStart w:id="0" w:name="_Hlk34747161"/>
      <w:r w:rsidRPr="002F78E0">
        <w:rPr>
          <w:rFonts w:ascii="Times New Roman" w:hAnsi="Times New Roman"/>
          <w:sz w:val="20"/>
          <w:szCs w:val="20"/>
        </w:rPr>
        <w:t xml:space="preserve">International Agency for Research on Cancer (2020). The global cancer observatory (Globocan 2020). Access from </w:t>
      </w:r>
      <w:r w:rsidRPr="00C85970">
        <w:rPr>
          <w:rFonts w:ascii="Times New Roman" w:hAnsi="Times New Roman"/>
          <w:sz w:val="20"/>
          <w:szCs w:val="20"/>
        </w:rPr>
        <w:t>https://gco.iarc.fr/today/home</w:t>
      </w:r>
      <w:r w:rsidRPr="00C85970">
        <w:rPr>
          <w:rStyle w:val="Hyperlink"/>
          <w:rFonts w:ascii="Times New Roman" w:hAnsi="Times New Roman"/>
          <w:sz w:val="20"/>
          <w:szCs w:val="20"/>
          <w:u w:val="none"/>
        </w:rPr>
        <w:t xml:space="preserve">. </w:t>
      </w:r>
      <w:r w:rsidRPr="00C85970">
        <w:rPr>
          <w:rFonts w:ascii="Times New Roman" w:hAnsi="Times New Roman"/>
          <w:sz w:val="20"/>
          <w:szCs w:val="20"/>
        </w:rPr>
        <w:t>[</w:t>
      </w:r>
      <w:r w:rsidRPr="002F78E0">
        <w:rPr>
          <w:rFonts w:ascii="Times New Roman" w:hAnsi="Times New Roman"/>
          <w:sz w:val="20"/>
          <w:szCs w:val="20"/>
        </w:rPr>
        <w:t>Access online 15 February 2021].</w:t>
      </w:r>
    </w:p>
    <w:p w14:paraId="56EA913C" w14:textId="77777777" w:rsidR="000A64F6" w:rsidRPr="002F78E0"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2F78E0">
        <w:rPr>
          <w:rFonts w:ascii="Times New Roman" w:hAnsi="Times New Roman"/>
          <w:sz w:val="20"/>
          <w:szCs w:val="20"/>
        </w:rPr>
        <w:t xml:space="preserve">Ministry of Health Malaysia (2017). National Strategic Plan for Cancer Control Programme 2016-2020. Access from </w:t>
      </w:r>
      <w:r w:rsidRPr="002D073D">
        <w:rPr>
          <w:rFonts w:ascii="Times New Roman" w:hAnsi="Times New Roman"/>
          <w:sz w:val="20"/>
          <w:szCs w:val="20"/>
        </w:rPr>
        <w:t>https://www.moh.gov.my/index.php/dl/554756755a584a6961585268626938794d 4445334c314a31616e567259573476546d46306157397559577866553352795958526c5a326c6a5831427359573566516d39766131396d61573568624541794e564e46554651794d4445334c6e426b5a673d3d</w:t>
      </w:r>
      <w:r w:rsidRPr="00C85970">
        <w:rPr>
          <w:rStyle w:val="Hyperlink"/>
          <w:rFonts w:ascii="Times New Roman" w:hAnsi="Times New Roman"/>
          <w:sz w:val="20"/>
          <w:szCs w:val="20"/>
          <w:u w:val="none"/>
        </w:rPr>
        <w:t xml:space="preserve">. </w:t>
      </w:r>
      <w:r w:rsidRPr="002F78E0">
        <w:rPr>
          <w:rFonts w:ascii="Times New Roman" w:hAnsi="Times New Roman"/>
          <w:sz w:val="20"/>
          <w:szCs w:val="20"/>
        </w:rPr>
        <w:t>[Access online 23 January 2021].</w:t>
      </w:r>
    </w:p>
    <w:p w14:paraId="7FD28768" w14:textId="5F444C35" w:rsidR="000A64F6"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2F78E0">
        <w:rPr>
          <w:rFonts w:ascii="Times New Roman" w:hAnsi="Times New Roman"/>
          <w:sz w:val="20"/>
          <w:szCs w:val="20"/>
        </w:rPr>
        <w:t xml:space="preserve">Ministry of Health Malaysia (2018). Malaysian study on cancer survival (MyScan). Access from </w:t>
      </w:r>
      <w:r w:rsidRPr="002D073D">
        <w:rPr>
          <w:rFonts w:ascii="Times New Roman" w:hAnsi="Times New Roman"/>
          <w:sz w:val="20"/>
          <w:szCs w:val="20"/>
        </w:rPr>
        <w:t>https://www.moh.gov.my/moh/resources/Penerbitan/Laporan/Umum/Malaysian_Study_on_Cancer_Survival_MySCan_2018.pdf</w:t>
      </w:r>
      <w:r w:rsidRPr="002F78E0">
        <w:rPr>
          <w:rStyle w:val="Hyperlink"/>
          <w:rFonts w:ascii="Times New Roman" w:hAnsi="Times New Roman"/>
          <w:sz w:val="20"/>
          <w:szCs w:val="20"/>
        </w:rPr>
        <w:t xml:space="preserve">. </w:t>
      </w:r>
      <w:r w:rsidRPr="002F78E0">
        <w:rPr>
          <w:rFonts w:ascii="Times New Roman" w:hAnsi="Times New Roman"/>
          <w:sz w:val="20"/>
          <w:szCs w:val="20"/>
        </w:rPr>
        <w:t>[Access online 23 January 2021].</w:t>
      </w:r>
    </w:p>
    <w:p w14:paraId="4AA18E1A" w14:textId="0DB9C767" w:rsidR="000A64F6" w:rsidRPr="00D54391" w:rsidRDefault="000A64F6" w:rsidP="00D54391">
      <w:pPr>
        <w:pStyle w:val="ListParagraph"/>
        <w:widowControl w:val="0"/>
        <w:numPr>
          <w:ilvl w:val="0"/>
          <w:numId w:val="4"/>
        </w:numPr>
        <w:spacing w:after="0" w:line="240" w:lineRule="auto"/>
        <w:ind w:left="360"/>
        <w:jc w:val="both"/>
        <w:rPr>
          <w:rFonts w:ascii="Times New Roman" w:hAnsi="Times New Roman"/>
          <w:sz w:val="20"/>
          <w:szCs w:val="20"/>
        </w:rPr>
      </w:pPr>
      <w:r w:rsidRPr="00D54391">
        <w:rPr>
          <w:rFonts w:ascii="Times New Roman" w:hAnsi="Times New Roman"/>
          <w:sz w:val="20"/>
          <w:szCs w:val="20"/>
        </w:rPr>
        <w:lastRenderedPageBreak/>
        <w:t xml:space="preserve">Shah, A. S., Wakade, A. S. and Juvekar, A. R. (2008). Immunomodulatory activity of methanolic extract of </w:t>
      </w:r>
      <w:r w:rsidRPr="00D54391">
        <w:rPr>
          <w:rFonts w:ascii="Times New Roman" w:hAnsi="Times New Roman"/>
          <w:i/>
          <w:iCs/>
          <w:sz w:val="20"/>
          <w:szCs w:val="20"/>
        </w:rPr>
        <w:t>Murraya koenigii</w:t>
      </w:r>
      <w:r w:rsidRPr="00D54391">
        <w:rPr>
          <w:rFonts w:ascii="Times New Roman" w:hAnsi="Times New Roman"/>
          <w:sz w:val="20"/>
          <w:szCs w:val="20"/>
        </w:rPr>
        <w:t xml:space="preserve"> (L) Spreng leaves. </w:t>
      </w:r>
      <w:r w:rsidRPr="00D54391">
        <w:rPr>
          <w:rFonts w:ascii="Times New Roman" w:hAnsi="Times New Roman"/>
          <w:i/>
          <w:iCs/>
          <w:sz w:val="20"/>
          <w:szCs w:val="20"/>
          <w:shd w:val="clear" w:color="auto" w:fill="FFFFFF"/>
        </w:rPr>
        <w:t>Indian Journal of Experimental Biology</w:t>
      </w:r>
      <w:r w:rsidRPr="00D54391">
        <w:rPr>
          <w:rFonts w:ascii="Times New Roman" w:hAnsi="Times New Roman"/>
          <w:sz w:val="20"/>
          <w:szCs w:val="20"/>
        </w:rPr>
        <w:t>, 46(7): 505-509.</w:t>
      </w:r>
    </w:p>
    <w:p w14:paraId="32D555E3" w14:textId="77777777" w:rsidR="000A64F6" w:rsidRPr="002F78E0" w:rsidRDefault="000A64F6" w:rsidP="000A64F6">
      <w:pPr>
        <w:pStyle w:val="ListParagraph"/>
        <w:numPr>
          <w:ilvl w:val="0"/>
          <w:numId w:val="4"/>
        </w:numPr>
        <w:spacing w:after="0" w:line="240" w:lineRule="auto"/>
        <w:ind w:left="360"/>
        <w:jc w:val="both"/>
        <w:rPr>
          <w:rFonts w:ascii="Times New Roman" w:hAnsi="Times New Roman"/>
          <w:sz w:val="20"/>
          <w:szCs w:val="20"/>
        </w:rPr>
      </w:pPr>
      <w:r w:rsidRPr="002F78E0">
        <w:rPr>
          <w:rFonts w:ascii="Times New Roman" w:hAnsi="Times New Roman"/>
          <w:sz w:val="20"/>
          <w:szCs w:val="20"/>
        </w:rPr>
        <w:t xml:space="preserve">Mohan, S., Abdelwahab, S. I., Cheah, S. C., Sukari, M. A., Syam, S., Shamsuddin, N. and Rais Mustafa, M. (2013). Apoptosis effect of girinimbine isolated from </w:t>
      </w:r>
      <w:r w:rsidRPr="002F78E0">
        <w:rPr>
          <w:rFonts w:ascii="Times New Roman" w:hAnsi="Times New Roman"/>
          <w:i/>
          <w:sz w:val="20"/>
          <w:szCs w:val="20"/>
        </w:rPr>
        <w:t>Murraya koenigii</w:t>
      </w:r>
      <w:r w:rsidRPr="002F78E0">
        <w:rPr>
          <w:rFonts w:ascii="Times New Roman" w:hAnsi="Times New Roman"/>
          <w:sz w:val="20"/>
          <w:szCs w:val="20"/>
        </w:rPr>
        <w:t xml:space="preserve"> on lung cancer cells </w:t>
      </w:r>
      <w:r w:rsidRPr="002F78E0">
        <w:rPr>
          <w:rFonts w:ascii="Times New Roman" w:hAnsi="Times New Roman"/>
          <w:i/>
          <w:sz w:val="20"/>
          <w:szCs w:val="20"/>
        </w:rPr>
        <w:t>in vitro</w:t>
      </w:r>
      <w:r w:rsidRPr="002F78E0">
        <w:rPr>
          <w:rFonts w:ascii="Times New Roman" w:hAnsi="Times New Roman"/>
          <w:sz w:val="20"/>
          <w:szCs w:val="20"/>
        </w:rPr>
        <w:t xml:space="preserve">. </w:t>
      </w:r>
      <w:r w:rsidRPr="002F78E0">
        <w:rPr>
          <w:rFonts w:ascii="Times New Roman" w:hAnsi="Times New Roman"/>
          <w:i/>
          <w:sz w:val="20"/>
          <w:szCs w:val="20"/>
          <w:shd w:val="clear" w:color="auto" w:fill="FFFFFF"/>
        </w:rPr>
        <w:t>Evidence-Based Complementary and Alternative Medicine: eCAM</w:t>
      </w:r>
      <w:r w:rsidRPr="002F78E0">
        <w:rPr>
          <w:rFonts w:ascii="Times New Roman" w:hAnsi="Times New Roman"/>
          <w:sz w:val="20"/>
          <w:szCs w:val="20"/>
          <w:shd w:val="clear" w:color="auto" w:fill="FFFFFF"/>
        </w:rPr>
        <w:t xml:space="preserve">, 2013: 689865. </w:t>
      </w:r>
    </w:p>
    <w:p w14:paraId="3D4CA228" w14:textId="77777777" w:rsidR="000A64F6" w:rsidRPr="002F78E0"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2F78E0">
        <w:rPr>
          <w:rFonts w:ascii="Times New Roman" w:hAnsi="Times New Roman"/>
          <w:sz w:val="20"/>
          <w:szCs w:val="20"/>
        </w:rPr>
        <w:t xml:space="preserve">Iman, V., Mohan, S., Abdelwahab, S. I., Karimian, H., Nordin, N., Fadaeinasab, M., Noordin, M. I. and Noor, S. M. (2016). Anticancer and anti-inflammatory activities of girinimbine isolated from </w:t>
      </w:r>
      <w:r w:rsidRPr="002F78E0">
        <w:rPr>
          <w:rFonts w:ascii="Times New Roman" w:hAnsi="Times New Roman"/>
          <w:i/>
          <w:sz w:val="20"/>
          <w:szCs w:val="20"/>
        </w:rPr>
        <w:t>Murraya koenigii</w:t>
      </w:r>
      <w:r w:rsidRPr="002F78E0">
        <w:rPr>
          <w:rFonts w:ascii="Times New Roman" w:hAnsi="Times New Roman"/>
          <w:sz w:val="20"/>
          <w:szCs w:val="20"/>
        </w:rPr>
        <w:t xml:space="preserve">. </w:t>
      </w:r>
      <w:r w:rsidRPr="002F78E0">
        <w:rPr>
          <w:rFonts w:ascii="Times New Roman" w:hAnsi="Times New Roman"/>
          <w:i/>
          <w:sz w:val="20"/>
          <w:szCs w:val="20"/>
        </w:rPr>
        <w:t>Drug Design, Development and Therapy</w:t>
      </w:r>
      <w:r w:rsidRPr="002F78E0">
        <w:rPr>
          <w:rFonts w:ascii="Times New Roman" w:hAnsi="Times New Roman"/>
          <w:sz w:val="20"/>
          <w:szCs w:val="20"/>
        </w:rPr>
        <w:t xml:space="preserve">, 11: 103-121. </w:t>
      </w:r>
    </w:p>
    <w:p w14:paraId="3FF5B751" w14:textId="77777777" w:rsidR="000A64F6" w:rsidRPr="002F78E0" w:rsidRDefault="000A64F6" w:rsidP="000A64F6">
      <w:pPr>
        <w:pStyle w:val="ListParagraph"/>
        <w:numPr>
          <w:ilvl w:val="0"/>
          <w:numId w:val="4"/>
        </w:numPr>
        <w:shd w:val="clear" w:color="auto" w:fill="FFFFFF"/>
        <w:spacing w:after="0" w:line="240" w:lineRule="auto"/>
        <w:ind w:left="360"/>
        <w:contextualSpacing w:val="0"/>
        <w:jc w:val="both"/>
        <w:rPr>
          <w:rFonts w:ascii="Times New Roman" w:hAnsi="Times New Roman"/>
          <w:sz w:val="20"/>
          <w:szCs w:val="20"/>
          <w:lang w:val="en-MY" w:eastAsia="en-MY"/>
        </w:rPr>
      </w:pPr>
      <w:r w:rsidRPr="002F78E0">
        <w:rPr>
          <w:rFonts w:ascii="Times New Roman" w:hAnsi="Times New Roman"/>
          <w:sz w:val="20"/>
          <w:szCs w:val="20"/>
          <w:lang w:val="en-MY" w:eastAsia="en-MY"/>
        </w:rPr>
        <w:t>Syam S., Abdul, A. B., Sukari, M. A., Mohan, S., Abdelwahab, S. I. and Wah, T. S. (2011). The growth suppressing effects of girinimbine on Hepg2 involve induction of apoptosis and cell cycle arrest. </w:t>
      </w:r>
      <w:r w:rsidRPr="002F78E0">
        <w:rPr>
          <w:rFonts w:ascii="Times New Roman" w:hAnsi="Times New Roman"/>
          <w:i/>
          <w:iCs/>
          <w:sz w:val="20"/>
          <w:szCs w:val="20"/>
          <w:lang w:val="en-MY" w:eastAsia="en-MY"/>
        </w:rPr>
        <w:t>Molecules</w:t>
      </w:r>
      <w:r w:rsidRPr="002F78E0">
        <w:rPr>
          <w:rFonts w:ascii="Times New Roman" w:hAnsi="Times New Roman"/>
          <w:iCs/>
          <w:sz w:val="20"/>
          <w:szCs w:val="20"/>
          <w:lang w:val="en-MY" w:eastAsia="en-MY"/>
        </w:rPr>
        <w:t xml:space="preserve">, </w:t>
      </w:r>
      <w:r w:rsidRPr="002F78E0">
        <w:rPr>
          <w:rFonts w:ascii="Times New Roman" w:hAnsi="Times New Roman"/>
          <w:sz w:val="20"/>
          <w:szCs w:val="20"/>
          <w:lang w:val="en-MY" w:eastAsia="en-MY"/>
        </w:rPr>
        <w:t>16(8): 7155-7170.</w:t>
      </w:r>
    </w:p>
    <w:p w14:paraId="50866FA6" w14:textId="77777777" w:rsidR="000A64F6" w:rsidRPr="002F78E0"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2D073D">
        <w:rPr>
          <w:rStyle w:val="Hyperlink"/>
          <w:rFonts w:ascii="Times New Roman" w:eastAsiaTheme="majorEastAsia" w:hAnsi="Times New Roman"/>
          <w:color w:val="000000" w:themeColor="text1"/>
          <w:sz w:val="20"/>
          <w:szCs w:val="20"/>
          <w:u w:val="none"/>
        </w:rPr>
        <w:t>Mahamadhanif, S. S.,</w:t>
      </w:r>
      <w:r w:rsidRPr="002F78E0">
        <w:rPr>
          <w:rFonts w:ascii="Times New Roman" w:hAnsi="Times New Roman"/>
          <w:sz w:val="20"/>
          <w:szCs w:val="20"/>
        </w:rPr>
        <w:t> </w:t>
      </w:r>
      <w:r w:rsidRPr="002F78E0">
        <w:rPr>
          <w:rFonts w:ascii="Times New Roman" w:eastAsiaTheme="majorEastAsia" w:hAnsi="Times New Roman"/>
          <w:sz w:val="20"/>
          <w:szCs w:val="20"/>
        </w:rPr>
        <w:t>Neeta,</w:t>
      </w:r>
      <w:r w:rsidRPr="002F78E0">
        <w:rPr>
          <w:rFonts w:ascii="Times New Roman" w:hAnsi="Times New Roman"/>
          <w:sz w:val="20"/>
          <w:szCs w:val="20"/>
        </w:rPr>
        <w:t xml:space="preserve"> T., Rajshekhar, K., </w:t>
      </w:r>
      <w:r w:rsidRPr="002F78E0">
        <w:rPr>
          <w:rFonts w:ascii="Times New Roman" w:eastAsiaTheme="majorEastAsia" w:hAnsi="Times New Roman"/>
          <w:sz w:val="20"/>
          <w:szCs w:val="20"/>
        </w:rPr>
        <w:t>Rajesh</w:t>
      </w:r>
      <w:r w:rsidRPr="002D073D">
        <w:rPr>
          <w:rFonts w:ascii="Times New Roman" w:eastAsiaTheme="majorEastAsia" w:hAnsi="Times New Roman"/>
          <w:color w:val="000000" w:themeColor="text1"/>
          <w:sz w:val="20"/>
          <w:szCs w:val="20"/>
        </w:rPr>
        <w:t>,</w:t>
      </w:r>
      <w:r w:rsidRPr="002D073D">
        <w:rPr>
          <w:rStyle w:val="Hyperlink"/>
          <w:rFonts w:ascii="Times New Roman" w:eastAsiaTheme="majorEastAsia" w:hAnsi="Times New Roman"/>
          <w:color w:val="000000" w:themeColor="text1"/>
          <w:sz w:val="20"/>
          <w:szCs w:val="20"/>
          <w:u w:val="none"/>
        </w:rPr>
        <w:t xml:space="preserve"> A. R.,</w:t>
      </w:r>
      <w:r w:rsidRPr="002D073D">
        <w:rPr>
          <w:rFonts w:ascii="Times New Roman" w:hAnsi="Times New Roman"/>
          <w:color w:val="000000" w:themeColor="text1"/>
          <w:sz w:val="20"/>
          <w:szCs w:val="20"/>
        </w:rPr>
        <w:t> </w:t>
      </w:r>
      <w:r w:rsidRPr="002F78E0">
        <w:rPr>
          <w:rFonts w:ascii="Times New Roman" w:eastAsiaTheme="majorEastAsia" w:hAnsi="Times New Roman"/>
          <w:sz w:val="20"/>
          <w:szCs w:val="20"/>
        </w:rPr>
        <w:t>Mahes</w:t>
      </w:r>
      <w:r w:rsidRPr="002D073D">
        <w:rPr>
          <w:rFonts w:ascii="Times New Roman" w:eastAsiaTheme="majorEastAsia" w:hAnsi="Times New Roman"/>
          <w:color w:val="000000" w:themeColor="text1"/>
          <w:sz w:val="20"/>
          <w:szCs w:val="20"/>
        </w:rPr>
        <w:t>,</w:t>
      </w:r>
      <w:r w:rsidRPr="002D073D">
        <w:rPr>
          <w:rStyle w:val="Hyperlink"/>
          <w:rFonts w:ascii="Times New Roman" w:eastAsiaTheme="majorEastAsia" w:hAnsi="Times New Roman"/>
          <w:color w:val="000000" w:themeColor="text1"/>
          <w:sz w:val="20"/>
          <w:szCs w:val="20"/>
          <w:u w:val="none"/>
        </w:rPr>
        <w:t xml:space="preserve"> B. P.</w:t>
      </w:r>
      <w:r w:rsidRPr="002F78E0">
        <w:rPr>
          <w:rStyle w:val="Hyperlink"/>
          <w:rFonts w:ascii="Times New Roman" w:eastAsiaTheme="majorEastAsia" w:hAnsi="Times New Roman"/>
          <w:sz w:val="20"/>
          <w:szCs w:val="20"/>
        </w:rPr>
        <w:t>,</w:t>
      </w:r>
      <w:r w:rsidRPr="002F78E0">
        <w:rPr>
          <w:rFonts w:ascii="Times New Roman" w:hAnsi="Times New Roman"/>
          <w:sz w:val="20"/>
          <w:szCs w:val="20"/>
        </w:rPr>
        <w:t> </w:t>
      </w:r>
      <w:r w:rsidRPr="002F78E0">
        <w:rPr>
          <w:rFonts w:ascii="Times New Roman" w:eastAsiaTheme="majorEastAsia" w:hAnsi="Times New Roman"/>
          <w:sz w:val="20"/>
          <w:szCs w:val="20"/>
        </w:rPr>
        <w:t>Faya, A. M.</w:t>
      </w:r>
      <w:r w:rsidRPr="002F78E0">
        <w:rPr>
          <w:rFonts w:ascii="Times New Roman" w:hAnsi="Times New Roman"/>
          <w:sz w:val="20"/>
          <w:szCs w:val="20"/>
        </w:rPr>
        <w:t xml:space="preserve">, </w:t>
      </w:r>
      <w:r w:rsidRPr="002F78E0">
        <w:rPr>
          <w:rFonts w:ascii="Times New Roman" w:eastAsiaTheme="majorEastAsia" w:hAnsi="Times New Roman"/>
          <w:sz w:val="20"/>
          <w:szCs w:val="20"/>
        </w:rPr>
        <w:t>Harun, M. P.,</w:t>
      </w:r>
      <w:r w:rsidRPr="002F78E0">
        <w:rPr>
          <w:rFonts w:ascii="Times New Roman" w:hAnsi="Times New Roman"/>
          <w:sz w:val="20"/>
          <w:szCs w:val="20"/>
        </w:rPr>
        <w:t> </w:t>
      </w:r>
      <w:r w:rsidRPr="002F78E0">
        <w:rPr>
          <w:rFonts w:ascii="Times New Roman" w:eastAsiaTheme="majorEastAsia" w:hAnsi="Times New Roman"/>
          <w:sz w:val="20"/>
          <w:szCs w:val="20"/>
        </w:rPr>
        <w:t>Wesam, S. A.,</w:t>
      </w:r>
      <w:r w:rsidRPr="002F78E0">
        <w:rPr>
          <w:rFonts w:ascii="Times New Roman" w:hAnsi="Times New Roman"/>
          <w:sz w:val="20"/>
          <w:szCs w:val="20"/>
        </w:rPr>
        <w:t> </w:t>
      </w:r>
      <w:r w:rsidRPr="002F78E0">
        <w:rPr>
          <w:rFonts w:ascii="Times New Roman" w:eastAsiaTheme="majorEastAsia" w:hAnsi="Times New Roman"/>
          <w:sz w:val="20"/>
          <w:szCs w:val="20"/>
        </w:rPr>
        <w:t xml:space="preserve">Kavita, J. and Girish, A. H. (2015). </w:t>
      </w:r>
      <w:r w:rsidRPr="002D073D">
        <w:rPr>
          <w:rStyle w:val="Hyperlink"/>
          <w:rFonts w:ascii="Times New Roman" w:eastAsiaTheme="majorEastAsia" w:hAnsi="Times New Roman"/>
          <w:color w:val="000000" w:themeColor="text1"/>
          <w:sz w:val="20"/>
          <w:szCs w:val="20"/>
          <w:u w:val="none"/>
        </w:rPr>
        <w:t>Current perspective of natural alkaloid carbazole and its derivatives as antitumor agents.</w:t>
      </w:r>
      <w:r w:rsidRPr="002D073D">
        <w:rPr>
          <w:rStyle w:val="Hyperlink"/>
          <w:rFonts w:ascii="Times New Roman" w:eastAsiaTheme="majorEastAsia" w:hAnsi="Times New Roman"/>
          <w:color w:val="000000" w:themeColor="text1"/>
          <w:sz w:val="20"/>
          <w:szCs w:val="20"/>
        </w:rPr>
        <w:t xml:space="preserve"> </w:t>
      </w:r>
      <w:r w:rsidRPr="002F78E0">
        <w:rPr>
          <w:rFonts w:ascii="Times New Roman" w:eastAsiaTheme="majorEastAsia" w:hAnsi="Times New Roman"/>
          <w:i/>
          <w:sz w:val="20"/>
          <w:szCs w:val="20"/>
        </w:rPr>
        <w:t>Anti-Cancer Agents in Medicinal Chemistry</w:t>
      </w:r>
      <w:r w:rsidRPr="002F78E0">
        <w:rPr>
          <w:rFonts w:ascii="Times New Roman" w:eastAsiaTheme="majorEastAsia" w:hAnsi="Times New Roman"/>
          <w:sz w:val="20"/>
          <w:szCs w:val="20"/>
        </w:rPr>
        <w:t xml:space="preserve">, </w:t>
      </w:r>
      <w:r w:rsidRPr="002F78E0">
        <w:rPr>
          <w:rFonts w:ascii="Times New Roman" w:hAnsi="Times New Roman"/>
          <w:sz w:val="20"/>
          <w:szCs w:val="20"/>
        </w:rPr>
        <w:t xml:space="preserve">15(8): </w:t>
      </w:r>
      <w:r w:rsidRPr="002F78E0">
        <w:rPr>
          <w:rStyle w:val="pagesnum"/>
          <w:rFonts w:ascii="Times New Roman" w:hAnsi="Times New Roman"/>
          <w:sz w:val="20"/>
          <w:szCs w:val="20"/>
        </w:rPr>
        <w:t>1049-1065.</w:t>
      </w:r>
    </w:p>
    <w:p w14:paraId="5076093F"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Wang, S. L., Cai, B., Cui, C. B., Yan, S. Y. and Wu, C. F. (2007). </w:t>
      </w:r>
      <w:r w:rsidRPr="00CD6B45">
        <w:rPr>
          <w:rFonts w:ascii="Times New Roman" w:hAnsi="Times New Roman"/>
          <w:sz w:val="20"/>
          <w:szCs w:val="20"/>
          <w:shd w:val="clear" w:color="auto" w:fill="FFFFFF"/>
        </w:rPr>
        <w:t>Induction of apoptosis by girinimbine in K562 cell.</w:t>
      </w:r>
      <w:r w:rsidRPr="00CD6B45">
        <w:rPr>
          <w:rFonts w:ascii="Times New Roman" w:hAnsi="Times New Roman"/>
          <w:sz w:val="20"/>
          <w:szCs w:val="20"/>
        </w:rPr>
        <w:t xml:space="preserve"> </w:t>
      </w:r>
      <w:r w:rsidRPr="002D073D">
        <w:rPr>
          <w:rStyle w:val="Emphasis"/>
          <w:rFonts w:ascii="Times New Roman" w:hAnsi="Times New Roman"/>
          <w:b w:val="0"/>
          <w:bCs w:val="0"/>
          <w:sz w:val="20"/>
          <w:szCs w:val="20"/>
          <w:shd w:val="clear" w:color="auto" w:fill="FFFFFF"/>
        </w:rPr>
        <w:t>Chinese Traditional and Herbal Drugs</w:t>
      </w:r>
      <w:r w:rsidRPr="002D073D">
        <w:rPr>
          <w:rStyle w:val="Emphasis"/>
          <w:rFonts w:ascii="Times New Roman" w:hAnsi="Times New Roman"/>
          <w:b w:val="0"/>
          <w:bCs w:val="0"/>
          <w:shd w:val="clear" w:color="auto" w:fill="FFFFFF"/>
        </w:rPr>
        <w:t>,</w:t>
      </w:r>
      <w:r w:rsidRPr="00CD6B45">
        <w:rPr>
          <w:rStyle w:val="Emphasis"/>
          <w:rFonts w:ascii="Times New Roman" w:hAnsi="Times New Roman"/>
          <w:shd w:val="clear" w:color="auto" w:fill="FFFFFF"/>
        </w:rPr>
        <w:t xml:space="preserve"> </w:t>
      </w:r>
      <w:r w:rsidRPr="00CD6B45">
        <w:rPr>
          <w:rStyle w:val="ref-vol"/>
          <w:rFonts w:ascii="Times New Roman" w:hAnsi="Times New Roman"/>
          <w:sz w:val="20"/>
          <w:szCs w:val="20"/>
          <w:shd w:val="clear" w:color="auto" w:fill="FFFFFF"/>
        </w:rPr>
        <w:t xml:space="preserve">38(11): </w:t>
      </w:r>
      <w:r w:rsidRPr="00CD6B45">
        <w:rPr>
          <w:rFonts w:ascii="Times New Roman" w:hAnsi="Times New Roman"/>
          <w:sz w:val="20"/>
          <w:szCs w:val="20"/>
          <w:shd w:val="clear" w:color="auto" w:fill="FFFFFF"/>
        </w:rPr>
        <w:t>1677-1681.</w:t>
      </w:r>
    </w:p>
    <w:p w14:paraId="5B4D9CD6"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shd w:val="clear" w:color="auto" w:fill="FFFFFF"/>
        </w:rPr>
        <w:t xml:space="preserve">Ko, F. N., Lee, Y. S., Wu, T. S. and Teng, C. M. (1994). </w:t>
      </w:r>
      <w:r w:rsidRPr="00CD6B45">
        <w:rPr>
          <w:rFonts w:ascii="Times New Roman" w:hAnsi="Times New Roman"/>
          <w:sz w:val="20"/>
          <w:szCs w:val="20"/>
        </w:rPr>
        <w:t xml:space="preserve">Inhibition of cyclooxygenase activity and increase in platelet cyclic AMP by girinimbine, isolated from </w:t>
      </w:r>
      <w:r w:rsidRPr="00CD6B45">
        <w:rPr>
          <w:rFonts w:ascii="Times New Roman" w:hAnsi="Times New Roman"/>
          <w:i/>
          <w:sz w:val="20"/>
          <w:szCs w:val="20"/>
        </w:rPr>
        <w:t>Murraya euchrestifolia</w:t>
      </w:r>
      <w:r w:rsidRPr="00CD6B45">
        <w:rPr>
          <w:rFonts w:ascii="Times New Roman" w:hAnsi="Times New Roman"/>
          <w:sz w:val="20"/>
          <w:szCs w:val="20"/>
        </w:rPr>
        <w:t>.</w:t>
      </w:r>
      <w:r w:rsidRPr="00CD6B45">
        <w:rPr>
          <w:rFonts w:ascii="Times New Roman" w:hAnsi="Times New Roman"/>
          <w:i/>
          <w:sz w:val="20"/>
          <w:szCs w:val="20"/>
          <w:shd w:val="clear" w:color="auto" w:fill="FFFFFF"/>
        </w:rPr>
        <w:t xml:space="preserve"> Biochemical Pharmacology</w:t>
      </w:r>
      <w:r w:rsidRPr="00CD6B45">
        <w:rPr>
          <w:rFonts w:ascii="Times New Roman" w:hAnsi="Times New Roman"/>
          <w:sz w:val="20"/>
          <w:szCs w:val="20"/>
          <w:shd w:val="clear" w:color="auto" w:fill="FFFFFF"/>
        </w:rPr>
        <w:t>, 48(2): 353-360.</w:t>
      </w:r>
    </w:p>
    <w:p w14:paraId="4B86AD9C"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Kok, Y. Y., Mooi, L. Y., Ahmad, K., Sukari, M. A., Mat, N., Rahmani, M. and Ali, A. M. (2012). </w:t>
      </w:r>
      <w:r w:rsidRPr="00CD6B45">
        <w:rPr>
          <w:rFonts w:ascii="Times New Roman" w:hAnsi="Times New Roman"/>
          <w:bCs/>
          <w:sz w:val="20"/>
          <w:szCs w:val="20"/>
          <w:shd w:val="clear" w:color="auto" w:fill="FFFFFF"/>
        </w:rPr>
        <w:t>Anti-tumour promoting activity and antioxidant properties of girinimbine isolated from the stem bark of </w:t>
      </w:r>
      <w:r w:rsidRPr="00CD6B45">
        <w:rPr>
          <w:rStyle w:val="html-italic"/>
          <w:rFonts w:ascii="Times New Roman" w:hAnsi="Times New Roman"/>
          <w:i/>
          <w:iCs/>
          <w:sz w:val="20"/>
          <w:szCs w:val="20"/>
          <w:shd w:val="clear" w:color="auto" w:fill="FFFFFF"/>
        </w:rPr>
        <w:t>Murraya koenigii </w:t>
      </w:r>
      <w:r w:rsidRPr="00CD6B45">
        <w:rPr>
          <w:rFonts w:ascii="Times New Roman" w:hAnsi="Times New Roman"/>
          <w:bCs/>
          <w:sz w:val="20"/>
          <w:szCs w:val="20"/>
          <w:shd w:val="clear" w:color="auto" w:fill="FFFFFF"/>
        </w:rPr>
        <w:t>S.</w:t>
      </w:r>
      <w:r w:rsidRPr="00CD6B45">
        <w:rPr>
          <w:rFonts w:ascii="Times New Roman" w:hAnsi="Times New Roman"/>
          <w:sz w:val="20"/>
          <w:szCs w:val="20"/>
        </w:rPr>
        <w:t xml:space="preserve"> </w:t>
      </w:r>
      <w:r w:rsidRPr="00CD6B45">
        <w:rPr>
          <w:rFonts w:ascii="Times New Roman" w:hAnsi="Times New Roman"/>
          <w:i/>
          <w:sz w:val="20"/>
          <w:szCs w:val="20"/>
        </w:rPr>
        <w:t>Molecules</w:t>
      </w:r>
      <w:r w:rsidRPr="00CD6B45">
        <w:rPr>
          <w:rFonts w:ascii="Times New Roman" w:hAnsi="Times New Roman"/>
          <w:sz w:val="20"/>
          <w:szCs w:val="20"/>
        </w:rPr>
        <w:t xml:space="preserve">, 17(4): 4651-4660.  </w:t>
      </w:r>
    </w:p>
    <w:p w14:paraId="08BF1AC8"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Sukari, M. A., Noor, H. M., Bakar, N. A., Ismail, I. S., Rahmani, M. and Abdul, A. B. (2013). </w:t>
      </w:r>
      <w:r w:rsidRPr="00CD6B45">
        <w:rPr>
          <w:rFonts w:ascii="Times New Roman" w:hAnsi="Times New Roman"/>
          <w:sz w:val="20"/>
          <w:szCs w:val="20"/>
          <w:shd w:val="clear" w:color="auto" w:fill="FFFFFF"/>
        </w:rPr>
        <w:t>Larvicidal carbazole alkaloids from </w:t>
      </w:r>
      <w:r w:rsidRPr="00CD6B45">
        <w:rPr>
          <w:rFonts w:ascii="Times New Roman" w:hAnsi="Times New Roman"/>
          <w:i/>
          <w:iCs/>
          <w:sz w:val="20"/>
          <w:szCs w:val="20"/>
          <w:shd w:val="clear" w:color="auto" w:fill="FFFFFF"/>
        </w:rPr>
        <w:t>Murraya koenigii</w:t>
      </w:r>
      <w:r w:rsidRPr="00CD6B45">
        <w:rPr>
          <w:rFonts w:ascii="Times New Roman" w:hAnsi="Times New Roman"/>
          <w:sz w:val="20"/>
          <w:szCs w:val="20"/>
          <w:shd w:val="clear" w:color="auto" w:fill="FFFFFF"/>
        </w:rPr>
        <w:t> against dengue fever mosquito </w:t>
      </w:r>
      <w:r w:rsidRPr="00CD6B45">
        <w:rPr>
          <w:rFonts w:ascii="Times New Roman" w:hAnsi="Times New Roman"/>
          <w:i/>
          <w:iCs/>
          <w:sz w:val="20"/>
          <w:szCs w:val="20"/>
          <w:shd w:val="clear" w:color="auto" w:fill="FFFFFF"/>
        </w:rPr>
        <w:t xml:space="preserve">Aedes aegypti </w:t>
      </w:r>
      <w:r w:rsidRPr="00CD6B45">
        <w:rPr>
          <w:rFonts w:ascii="Times New Roman" w:hAnsi="Times New Roman"/>
          <w:sz w:val="20"/>
          <w:szCs w:val="20"/>
          <w:shd w:val="clear" w:color="auto" w:fill="FFFFFF"/>
        </w:rPr>
        <w:t>Linnaeus.</w:t>
      </w:r>
      <w:r w:rsidRPr="00CD6B45">
        <w:rPr>
          <w:rFonts w:ascii="Times New Roman" w:hAnsi="Times New Roman"/>
          <w:sz w:val="20"/>
          <w:szCs w:val="20"/>
        </w:rPr>
        <w:t xml:space="preserve"> </w:t>
      </w:r>
      <w:r w:rsidRPr="00CD6B45">
        <w:rPr>
          <w:rFonts w:ascii="Times New Roman" w:hAnsi="Times New Roman"/>
          <w:i/>
          <w:sz w:val="20"/>
          <w:szCs w:val="20"/>
        </w:rPr>
        <w:t xml:space="preserve">Asian Journal of Chemistry, </w:t>
      </w:r>
      <w:r w:rsidRPr="00CD6B45">
        <w:rPr>
          <w:rFonts w:ascii="Times New Roman" w:hAnsi="Times New Roman"/>
          <w:sz w:val="20"/>
          <w:szCs w:val="20"/>
        </w:rPr>
        <w:t>25(14): 7719-7721.</w:t>
      </w:r>
    </w:p>
    <w:p w14:paraId="26732DB8" w14:textId="77777777" w:rsidR="000A64F6" w:rsidRPr="00CD6B45" w:rsidRDefault="000A64F6" w:rsidP="000A64F6">
      <w:pPr>
        <w:pStyle w:val="ListParagraph"/>
        <w:widowControl w:val="0"/>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Joshi, B. S., Kamat, V. N. and Gawad, D. H. (1970). On the structures of girinimbine, </w:t>
      </w:r>
      <w:r w:rsidRPr="00CD6B45">
        <w:rPr>
          <w:rFonts w:ascii="Times New Roman" w:hAnsi="Times New Roman"/>
          <w:sz w:val="20"/>
          <w:szCs w:val="20"/>
        </w:rPr>
        <w:t xml:space="preserve">mahanimbine, isomahanimbine, koenimbidine and murrayacine. </w:t>
      </w:r>
      <w:r w:rsidRPr="00CD6B45">
        <w:rPr>
          <w:rFonts w:ascii="Times New Roman" w:hAnsi="Times New Roman"/>
          <w:i/>
          <w:sz w:val="20"/>
          <w:szCs w:val="20"/>
        </w:rPr>
        <w:t>Tetrahedron</w:t>
      </w:r>
      <w:r w:rsidRPr="00CD6B45">
        <w:rPr>
          <w:rFonts w:ascii="Times New Roman" w:hAnsi="Times New Roman"/>
          <w:sz w:val="20"/>
          <w:szCs w:val="20"/>
        </w:rPr>
        <w:t xml:space="preserve">, 26(5): 1475-1482. </w:t>
      </w:r>
    </w:p>
    <w:p w14:paraId="2BADB520" w14:textId="77777777" w:rsidR="000A64F6" w:rsidRPr="00CD6B45" w:rsidRDefault="000A64F6" w:rsidP="000A64F6">
      <w:pPr>
        <w:pStyle w:val="ListParagraph"/>
        <w:widowControl w:val="0"/>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Bergman, J. and Carlss, R. (1978). Conversion of diindolyl methanes to 3-vinylindoles. A simple synthesis of the indole alkaloid olivacine. </w:t>
      </w:r>
      <w:r w:rsidRPr="00CD6B45">
        <w:rPr>
          <w:rFonts w:ascii="Times New Roman" w:hAnsi="Times New Roman"/>
          <w:i/>
          <w:sz w:val="20"/>
          <w:szCs w:val="20"/>
        </w:rPr>
        <w:t>Tetrahedron Letters</w:t>
      </w:r>
      <w:r w:rsidRPr="00CD6B45">
        <w:rPr>
          <w:rFonts w:ascii="Times New Roman" w:hAnsi="Times New Roman"/>
          <w:sz w:val="20"/>
          <w:szCs w:val="20"/>
        </w:rPr>
        <w:t>, 19(42): 4055-4058.</w:t>
      </w:r>
    </w:p>
    <w:p w14:paraId="420A58D4"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Knölker, H. J. and Hofmann, C. (1996). T</w:t>
      </w:r>
      <w:r w:rsidRPr="00CD6B45">
        <w:rPr>
          <w:rFonts w:ascii="Times New Roman" w:hAnsi="Times New Roman"/>
          <w:bCs/>
          <w:sz w:val="20"/>
          <w:szCs w:val="20"/>
          <w:shd w:val="clear" w:color="auto" w:fill="FFFFFF"/>
        </w:rPr>
        <w:t>ransition-metal complexes in organic-synthesis. 33. Molybdenum-mediated total synthesis of girinimbine, murrayacine and dihydroxygirinimbine.</w:t>
      </w:r>
      <w:r w:rsidRPr="00CD6B45">
        <w:rPr>
          <w:rFonts w:ascii="Times New Roman" w:hAnsi="Times New Roman"/>
          <w:sz w:val="20"/>
          <w:szCs w:val="20"/>
        </w:rPr>
        <w:t xml:space="preserve"> </w:t>
      </w:r>
      <w:r w:rsidRPr="00CD6B45">
        <w:rPr>
          <w:rFonts w:ascii="Times New Roman" w:hAnsi="Times New Roman"/>
          <w:i/>
          <w:sz w:val="20"/>
          <w:szCs w:val="20"/>
        </w:rPr>
        <w:t>Tetrahedron Letters</w:t>
      </w:r>
      <w:r w:rsidRPr="00CD6B45">
        <w:rPr>
          <w:rFonts w:ascii="Times New Roman" w:hAnsi="Times New Roman"/>
          <w:sz w:val="20"/>
          <w:szCs w:val="20"/>
        </w:rPr>
        <w:t>, 37(44): 7947-7950.</w:t>
      </w:r>
    </w:p>
    <w:p w14:paraId="21FE8C71" w14:textId="77777777" w:rsidR="000A64F6" w:rsidRPr="00CD6B45" w:rsidRDefault="000A64F6" w:rsidP="000A64F6">
      <w:pPr>
        <w:pStyle w:val="Heading2"/>
        <w:numPr>
          <w:ilvl w:val="0"/>
          <w:numId w:val="4"/>
        </w:numPr>
        <w:shd w:val="clear" w:color="auto" w:fill="FFFFFF"/>
        <w:spacing w:before="0" w:line="240" w:lineRule="auto"/>
        <w:ind w:left="360"/>
        <w:jc w:val="both"/>
        <w:rPr>
          <w:rFonts w:ascii="Times New Roman" w:hAnsi="Times New Roman"/>
          <w:b/>
          <w:bCs/>
          <w:sz w:val="20"/>
          <w:szCs w:val="20"/>
        </w:rPr>
      </w:pPr>
      <w:r w:rsidRPr="00C85970">
        <w:rPr>
          <w:rFonts w:ascii="Times New Roman" w:hAnsi="Times New Roman"/>
          <w:smallCaps w:val="0"/>
          <w:sz w:val="20"/>
          <w:szCs w:val="20"/>
        </w:rPr>
        <w:t xml:space="preserve">Gruner, K. K., Hopfmann, T., Natsumoto, K., Jager, A., Katsuki, T. and Knölker, H. J. (2011). </w:t>
      </w:r>
      <w:r w:rsidRPr="00C85970">
        <w:rPr>
          <w:rFonts w:ascii="Times New Roman" w:hAnsi="Times New Roman"/>
          <w:smallCaps w:val="0"/>
          <w:spacing w:val="-5"/>
          <w:sz w:val="20"/>
          <w:szCs w:val="20"/>
        </w:rPr>
        <w:t>Efficient iron-mediated approach to pyrano[3,2-</w:t>
      </w:r>
      <w:r w:rsidRPr="00C85970">
        <w:rPr>
          <w:rStyle w:val="Emphasis"/>
          <w:rFonts w:ascii="Times New Roman" w:hAnsi="Times New Roman"/>
          <w:b w:val="0"/>
          <w:bCs w:val="0"/>
          <w:smallCaps w:val="0"/>
          <w:spacing w:val="-5"/>
        </w:rPr>
        <w:t>a</w:t>
      </w:r>
      <w:r w:rsidRPr="00C85970">
        <w:rPr>
          <w:rFonts w:ascii="Times New Roman" w:hAnsi="Times New Roman"/>
          <w:smallCaps w:val="0"/>
          <w:spacing w:val="-5"/>
          <w:sz w:val="20"/>
          <w:szCs w:val="20"/>
        </w:rPr>
        <w:t>]carbazole alkaloids - first total syntheses of </w:t>
      </w:r>
      <w:r w:rsidRPr="00C85970">
        <w:rPr>
          <w:rStyle w:val="Emphasis"/>
          <w:rFonts w:ascii="Times New Roman" w:hAnsi="Times New Roman"/>
          <w:b w:val="0"/>
          <w:bCs w:val="0"/>
          <w:smallCaps w:val="0"/>
          <w:spacing w:val="-5"/>
        </w:rPr>
        <w:t>O</w:t>
      </w:r>
      <w:r w:rsidRPr="00C85970">
        <w:rPr>
          <w:rFonts w:ascii="Times New Roman" w:hAnsi="Times New Roman"/>
          <w:smallCaps w:val="0"/>
          <w:spacing w:val="-5"/>
          <w:sz w:val="20"/>
          <w:szCs w:val="20"/>
        </w:rPr>
        <w:t>-methylmurrayamine A and 7-methoxymurrayacine, first asymmetric synthesis and assignment of the absolute configuration of (-)-</w:t>
      </w:r>
      <w:r w:rsidRPr="00C85970">
        <w:rPr>
          <w:rStyle w:val="Emphasis"/>
          <w:rFonts w:ascii="Times New Roman" w:hAnsi="Times New Roman"/>
          <w:b w:val="0"/>
          <w:bCs w:val="0"/>
          <w:smallCaps w:val="0"/>
          <w:spacing w:val="-5"/>
        </w:rPr>
        <w:t>trans</w:t>
      </w:r>
      <w:r w:rsidRPr="00C85970">
        <w:rPr>
          <w:rFonts w:ascii="Times New Roman" w:hAnsi="Times New Roman"/>
          <w:smallCaps w:val="0"/>
          <w:spacing w:val="-5"/>
          <w:sz w:val="20"/>
          <w:szCs w:val="20"/>
        </w:rPr>
        <w:t xml:space="preserve">-dihydroxygirinimbine. </w:t>
      </w:r>
      <w:r w:rsidRPr="00C85970">
        <w:rPr>
          <w:rFonts w:ascii="Times New Roman" w:hAnsi="Times New Roman"/>
          <w:i/>
          <w:smallCaps w:val="0"/>
          <w:sz w:val="20"/>
          <w:szCs w:val="20"/>
        </w:rPr>
        <w:t>Organic and Biomolecular Chemistry</w:t>
      </w:r>
      <w:r w:rsidRPr="00CD6B45">
        <w:rPr>
          <w:rFonts w:ascii="Times New Roman" w:hAnsi="Times New Roman"/>
          <w:sz w:val="20"/>
          <w:szCs w:val="20"/>
        </w:rPr>
        <w:t>, 9(7): 2057-2061.</w:t>
      </w:r>
    </w:p>
    <w:p w14:paraId="72BA6420" w14:textId="5A814916" w:rsidR="000A64F6" w:rsidRPr="009906FF"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Knölker, H. J. (2009). </w:t>
      </w:r>
      <w:r w:rsidRPr="00CD6B45">
        <w:rPr>
          <w:rFonts w:ascii="Times New Roman" w:hAnsi="Times New Roman"/>
          <w:sz w:val="20"/>
          <w:szCs w:val="20"/>
          <w:shd w:val="clear" w:color="auto" w:fill="FFFFFF"/>
        </w:rPr>
        <w:t>Synthesis of biologically active carbazole alkaloids using selective transition-metal-catalyzed coupling reactions.</w:t>
      </w:r>
      <w:r w:rsidRPr="00CD6B45">
        <w:rPr>
          <w:rFonts w:ascii="Times New Roman" w:hAnsi="Times New Roman"/>
          <w:sz w:val="20"/>
          <w:szCs w:val="20"/>
        </w:rPr>
        <w:t xml:space="preserve"> </w:t>
      </w:r>
      <w:r w:rsidRPr="00CD6B45">
        <w:rPr>
          <w:rFonts w:ascii="Times New Roman" w:hAnsi="Times New Roman"/>
          <w:i/>
          <w:sz w:val="20"/>
          <w:szCs w:val="20"/>
        </w:rPr>
        <w:t>Chemistry Letters</w:t>
      </w:r>
      <w:r w:rsidRPr="00CD6B45">
        <w:rPr>
          <w:rFonts w:ascii="Times New Roman" w:hAnsi="Times New Roman"/>
          <w:sz w:val="20"/>
          <w:szCs w:val="20"/>
        </w:rPr>
        <w:t>, 38(1): 8-13.</w:t>
      </w:r>
    </w:p>
    <w:p w14:paraId="70422F05" w14:textId="77777777" w:rsidR="000A64F6" w:rsidRPr="00CD6B45" w:rsidRDefault="000A64F6" w:rsidP="000A64F6">
      <w:pPr>
        <w:pStyle w:val="Heading2"/>
        <w:numPr>
          <w:ilvl w:val="0"/>
          <w:numId w:val="4"/>
        </w:numPr>
        <w:shd w:val="clear" w:color="auto" w:fill="FFFFFF"/>
        <w:spacing w:before="0" w:line="240" w:lineRule="auto"/>
        <w:ind w:left="360"/>
        <w:jc w:val="both"/>
        <w:rPr>
          <w:rFonts w:ascii="Times New Roman" w:hAnsi="Times New Roman"/>
          <w:b/>
          <w:bCs/>
          <w:sz w:val="20"/>
          <w:szCs w:val="20"/>
        </w:rPr>
      </w:pPr>
      <w:r w:rsidRPr="00C85970">
        <w:rPr>
          <w:rFonts w:ascii="Times New Roman" w:hAnsi="Times New Roman"/>
          <w:smallCaps w:val="0"/>
          <w:sz w:val="20"/>
          <w:szCs w:val="20"/>
        </w:rPr>
        <w:t>Hesse, R., Gruner, K. K., Kataeva, O., Schmidt, A. W. and Knölker, H. J. (2013). Efficient construction of pyrano[3,2</w:t>
      </w:r>
      <w:r w:rsidRPr="00C85970">
        <w:rPr>
          <w:rFonts w:ascii="Cambria Math" w:hAnsi="Cambria Math" w:cs="Cambria Math"/>
          <w:smallCaps w:val="0"/>
          <w:sz w:val="20"/>
          <w:szCs w:val="20"/>
        </w:rPr>
        <w:t>‐</w:t>
      </w:r>
      <w:r w:rsidRPr="00C85970">
        <w:rPr>
          <w:rFonts w:ascii="Times New Roman" w:hAnsi="Times New Roman"/>
          <w:i/>
          <w:iCs/>
          <w:smallCaps w:val="0"/>
          <w:sz w:val="20"/>
          <w:szCs w:val="20"/>
        </w:rPr>
        <w:t>a</w:t>
      </w:r>
      <w:r w:rsidRPr="00C85970">
        <w:rPr>
          <w:rFonts w:ascii="Times New Roman" w:hAnsi="Times New Roman"/>
          <w:smallCaps w:val="0"/>
          <w:sz w:val="20"/>
          <w:szCs w:val="20"/>
        </w:rPr>
        <w:t>]carbazoles: application to a biomimetic total synthesis of cyclized monoterpenoid pyrano[3,2</w:t>
      </w:r>
      <w:r w:rsidRPr="00C85970">
        <w:rPr>
          <w:rFonts w:ascii="Cambria Math" w:hAnsi="Cambria Math" w:cs="Cambria Math"/>
          <w:smallCaps w:val="0"/>
          <w:sz w:val="20"/>
          <w:szCs w:val="20"/>
        </w:rPr>
        <w:t>‐</w:t>
      </w:r>
      <w:r w:rsidRPr="00C85970">
        <w:rPr>
          <w:rFonts w:ascii="Times New Roman" w:hAnsi="Times New Roman"/>
          <w:i/>
          <w:iCs/>
          <w:smallCaps w:val="0"/>
          <w:sz w:val="20"/>
          <w:szCs w:val="20"/>
        </w:rPr>
        <w:t>a</w:t>
      </w:r>
      <w:r w:rsidRPr="00C85970">
        <w:rPr>
          <w:rFonts w:ascii="Times New Roman" w:hAnsi="Times New Roman"/>
          <w:smallCaps w:val="0"/>
          <w:sz w:val="20"/>
          <w:szCs w:val="20"/>
        </w:rPr>
        <w:t>]carbazole alkaloids.</w:t>
      </w:r>
      <w:r w:rsidRPr="00CD6B45">
        <w:rPr>
          <w:rFonts w:ascii="Times New Roman" w:hAnsi="Times New Roman"/>
          <w:sz w:val="20"/>
          <w:szCs w:val="20"/>
        </w:rPr>
        <w:t xml:space="preserve"> </w:t>
      </w:r>
      <w:r w:rsidRPr="00C85970">
        <w:rPr>
          <w:rFonts w:ascii="Times New Roman" w:hAnsi="Times New Roman"/>
          <w:i/>
          <w:iCs/>
          <w:smallCaps w:val="0"/>
          <w:sz w:val="20"/>
          <w:szCs w:val="20"/>
          <w:shd w:val="clear" w:color="auto" w:fill="FFFFFF"/>
        </w:rPr>
        <w:t>Chemistry (Weinheim an der Bergstrasse, Germany)</w:t>
      </w:r>
      <w:r w:rsidRPr="00CD6B45">
        <w:rPr>
          <w:rFonts w:ascii="Times New Roman" w:hAnsi="Times New Roman"/>
          <w:sz w:val="20"/>
          <w:szCs w:val="20"/>
        </w:rPr>
        <w:t>, 19(42): 14098-14111.</w:t>
      </w:r>
    </w:p>
    <w:p w14:paraId="3612B9B2"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Dai, J., Ma, D., Fu, C. and Ma, S. (2015). Gram scale total synthesis of 2-hydroxy-3-methylcarbazole, pyrano[3,2-a]carbazole and prenylcarbazole alkaloids.</w:t>
      </w:r>
      <w:r w:rsidRPr="00CD6B45">
        <w:rPr>
          <w:rFonts w:ascii="Times New Roman" w:hAnsi="Times New Roman"/>
          <w:i/>
          <w:sz w:val="20"/>
          <w:szCs w:val="20"/>
        </w:rPr>
        <w:t xml:space="preserve"> European Journal of Organic Chemistry</w:t>
      </w:r>
      <w:r w:rsidRPr="00CD6B45">
        <w:rPr>
          <w:rFonts w:ascii="Times New Roman" w:hAnsi="Times New Roman"/>
          <w:sz w:val="20"/>
          <w:szCs w:val="20"/>
        </w:rPr>
        <w:t>, 2015 (25): 5655-5662.</w:t>
      </w:r>
    </w:p>
    <w:p w14:paraId="076AA447"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Mandal, T., Chakraborti, G., Karmakar, S. and Dash, J. (2018). Divergent and orthogonal approach to carbazoles and pyridoindoles from oxindoles </w:t>
      </w:r>
      <w:r w:rsidRPr="00CD6B45">
        <w:rPr>
          <w:rFonts w:ascii="Times New Roman" w:hAnsi="Times New Roman"/>
          <w:i/>
          <w:sz w:val="20"/>
          <w:szCs w:val="20"/>
        </w:rPr>
        <w:t>via</w:t>
      </w:r>
      <w:r w:rsidRPr="00CD6B45">
        <w:rPr>
          <w:rFonts w:ascii="Times New Roman" w:hAnsi="Times New Roman"/>
          <w:sz w:val="20"/>
          <w:szCs w:val="20"/>
        </w:rPr>
        <w:t xml:space="preserve"> indole intermediates. </w:t>
      </w:r>
      <w:r w:rsidRPr="00CD6B45">
        <w:rPr>
          <w:rFonts w:ascii="Times New Roman" w:hAnsi="Times New Roman"/>
          <w:i/>
          <w:sz w:val="20"/>
          <w:szCs w:val="20"/>
        </w:rPr>
        <w:t>Organic Letters</w:t>
      </w:r>
      <w:r w:rsidRPr="00CD6B45">
        <w:rPr>
          <w:rFonts w:ascii="Times New Roman" w:hAnsi="Times New Roman"/>
          <w:sz w:val="20"/>
          <w:szCs w:val="20"/>
        </w:rPr>
        <w:t xml:space="preserve">, 20(16): 4759-4763. </w:t>
      </w:r>
    </w:p>
    <w:p w14:paraId="212CFDA1"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i/>
          <w:sz w:val="20"/>
          <w:szCs w:val="20"/>
        </w:rPr>
      </w:pPr>
      <w:r w:rsidRPr="00CD6B45">
        <w:rPr>
          <w:rFonts w:ascii="Times New Roman" w:hAnsi="Times New Roman"/>
          <w:sz w:val="20"/>
          <w:szCs w:val="20"/>
        </w:rPr>
        <w:t xml:space="preserve">Nor, S. M. M., Osman, F. N. A., Ahmad, K. and Nafiah, M. A. (2017). </w:t>
      </w:r>
      <w:r w:rsidRPr="00C85970">
        <w:rPr>
          <w:rStyle w:val="Emphasis"/>
          <w:rFonts w:ascii="Times New Roman" w:hAnsi="Times New Roman"/>
          <w:b w:val="0"/>
          <w:bCs w:val="0"/>
          <w:shd w:val="clear" w:color="auto" w:fill="FFFFFF"/>
        </w:rPr>
        <w:t>Synthesis of N-alkylated and N-acylated derivatives of girinimbine.</w:t>
      </w:r>
      <w:r w:rsidRPr="00CD6B45">
        <w:rPr>
          <w:rFonts w:ascii="Times New Roman" w:hAnsi="Times New Roman"/>
          <w:i/>
          <w:sz w:val="20"/>
          <w:szCs w:val="20"/>
        </w:rPr>
        <w:t xml:space="preserve"> Asian Journal of Chemistry</w:t>
      </w:r>
      <w:r w:rsidRPr="00CD6B45">
        <w:rPr>
          <w:rFonts w:ascii="Times New Roman" w:hAnsi="Times New Roman"/>
          <w:sz w:val="20"/>
          <w:szCs w:val="20"/>
        </w:rPr>
        <w:t>, 29 (4): 801-804.</w:t>
      </w:r>
    </w:p>
    <w:p w14:paraId="560AC80D"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Bhattacharyya, P., Jash, S. S. and Chowdhury, B. K. (1986). A biogenetically important carbazole alkaloid from </w:t>
      </w:r>
      <w:r w:rsidRPr="00CD6B45">
        <w:rPr>
          <w:rFonts w:ascii="Times New Roman" w:hAnsi="Times New Roman"/>
          <w:i/>
          <w:sz w:val="20"/>
          <w:szCs w:val="20"/>
        </w:rPr>
        <w:t>Murraya koenigii</w:t>
      </w:r>
      <w:r w:rsidRPr="00CD6B45">
        <w:rPr>
          <w:rFonts w:ascii="Times New Roman" w:hAnsi="Times New Roman"/>
          <w:sz w:val="20"/>
          <w:szCs w:val="20"/>
        </w:rPr>
        <w:t xml:space="preserve"> Spreng. </w:t>
      </w:r>
      <w:r w:rsidRPr="00CD6B45">
        <w:rPr>
          <w:rFonts w:ascii="Times New Roman" w:hAnsi="Times New Roman"/>
          <w:i/>
          <w:sz w:val="20"/>
          <w:szCs w:val="20"/>
        </w:rPr>
        <w:t>Chemistry and Industry</w:t>
      </w:r>
      <w:r w:rsidRPr="00CD6B45">
        <w:rPr>
          <w:rFonts w:ascii="Times New Roman" w:hAnsi="Times New Roman"/>
          <w:sz w:val="20"/>
          <w:szCs w:val="20"/>
        </w:rPr>
        <w:t>, 7: 246.</w:t>
      </w:r>
    </w:p>
    <w:p w14:paraId="76A98E42"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shd w:val="clear" w:color="auto" w:fill="FFFFFF"/>
        </w:rPr>
        <w:lastRenderedPageBreak/>
        <w:t xml:space="preserve">Abu Bakar, N. H., Sukari, M. A., Rahmani, M., Md. Sharif, A., Khalid, K. and Yusuf, U. K. (2007). </w:t>
      </w:r>
      <w:r w:rsidRPr="00CD6B45">
        <w:rPr>
          <w:rFonts w:ascii="Times New Roman" w:hAnsi="Times New Roman"/>
          <w:sz w:val="20"/>
          <w:szCs w:val="20"/>
        </w:rPr>
        <w:t xml:space="preserve">Chemical constituents from stem barks and roots of </w:t>
      </w:r>
      <w:r w:rsidRPr="00CD6B45">
        <w:rPr>
          <w:rFonts w:ascii="Times New Roman" w:hAnsi="Times New Roman"/>
          <w:i/>
          <w:sz w:val="20"/>
          <w:szCs w:val="20"/>
        </w:rPr>
        <w:t>Murraya koenigii</w:t>
      </w:r>
      <w:r w:rsidRPr="00CD6B45">
        <w:rPr>
          <w:rFonts w:ascii="Times New Roman" w:hAnsi="Times New Roman"/>
          <w:sz w:val="20"/>
          <w:szCs w:val="20"/>
        </w:rPr>
        <w:t xml:space="preserve"> (Rutaceae).</w:t>
      </w:r>
      <w:r w:rsidRPr="00CD6B45">
        <w:rPr>
          <w:rFonts w:ascii="Times New Roman" w:hAnsi="Times New Roman"/>
          <w:sz w:val="20"/>
          <w:szCs w:val="20"/>
          <w:shd w:val="clear" w:color="auto" w:fill="FFFFFF"/>
        </w:rPr>
        <w:t xml:space="preserve"> </w:t>
      </w:r>
      <w:r w:rsidRPr="00C85970">
        <w:rPr>
          <w:rStyle w:val="Emphasis"/>
          <w:rFonts w:ascii="Times New Roman" w:hAnsi="Times New Roman"/>
          <w:b w:val="0"/>
          <w:bCs w:val="0"/>
          <w:shd w:val="clear" w:color="auto" w:fill="FFFFFF"/>
        </w:rPr>
        <w:t>Malaysian Journal of Analytical Sciences,</w:t>
      </w:r>
      <w:r w:rsidRPr="00CD6B45">
        <w:rPr>
          <w:rStyle w:val="Emphasis"/>
          <w:rFonts w:ascii="Times New Roman" w:hAnsi="Times New Roman"/>
          <w:shd w:val="clear" w:color="auto" w:fill="FFFFFF"/>
        </w:rPr>
        <w:t xml:space="preserve"> </w:t>
      </w:r>
      <w:r w:rsidRPr="00CD6B45">
        <w:rPr>
          <w:rStyle w:val="ref-vol"/>
          <w:rFonts w:ascii="Times New Roman" w:hAnsi="Times New Roman"/>
          <w:sz w:val="20"/>
          <w:szCs w:val="20"/>
          <w:shd w:val="clear" w:color="auto" w:fill="FFFFFF"/>
        </w:rPr>
        <w:t xml:space="preserve">11(1): </w:t>
      </w:r>
      <w:r w:rsidRPr="00CD6B45">
        <w:rPr>
          <w:rFonts w:ascii="Times New Roman" w:hAnsi="Times New Roman"/>
          <w:sz w:val="20"/>
          <w:szCs w:val="20"/>
          <w:shd w:val="clear" w:color="auto" w:fill="FFFFFF"/>
        </w:rPr>
        <w:t>173-176.</w:t>
      </w:r>
    </w:p>
    <w:p w14:paraId="61C37DA0"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i/>
          <w:iCs/>
          <w:sz w:val="20"/>
          <w:szCs w:val="20"/>
          <w:lang w:val="en-MY" w:eastAsia="en-MY"/>
        </w:rPr>
      </w:pPr>
      <w:r w:rsidRPr="00CD6B45">
        <w:rPr>
          <w:rFonts w:ascii="Times New Roman" w:hAnsi="Times New Roman"/>
          <w:sz w:val="20"/>
          <w:szCs w:val="20"/>
          <w:shd w:val="clear" w:color="auto" w:fill="FFFFFF"/>
        </w:rPr>
        <w:t>Nguyen, N. H., Ta, Q. T. H., Pham, Q. T., Luong, T. N. H., Phung, V. T., Duong, T. H. and Vo, V. G. (2020). Anticancer activity of novel plant extracts and compounds from </w:t>
      </w:r>
      <w:r w:rsidRPr="00CD6B45">
        <w:rPr>
          <w:rFonts w:ascii="Times New Roman" w:hAnsi="Times New Roman"/>
          <w:i/>
          <w:iCs/>
          <w:sz w:val="20"/>
          <w:szCs w:val="20"/>
          <w:shd w:val="clear" w:color="auto" w:fill="FFFFFF"/>
        </w:rPr>
        <w:t>Adenosma bracteosum</w:t>
      </w:r>
      <w:r w:rsidRPr="00CD6B45">
        <w:rPr>
          <w:rFonts w:ascii="Times New Roman" w:hAnsi="Times New Roman"/>
          <w:sz w:val="20"/>
          <w:szCs w:val="20"/>
          <w:shd w:val="clear" w:color="auto" w:fill="FFFFFF"/>
        </w:rPr>
        <w:t> (Bonati) in human lung and liver cancer cells. </w:t>
      </w:r>
      <w:r w:rsidRPr="00C85970">
        <w:rPr>
          <w:rStyle w:val="Emphasis"/>
          <w:rFonts w:ascii="Times New Roman" w:hAnsi="Times New Roman"/>
          <w:b w:val="0"/>
          <w:bCs w:val="0"/>
          <w:shd w:val="clear" w:color="auto" w:fill="FFFFFF"/>
        </w:rPr>
        <w:t>Molecules, 25 (12):</w:t>
      </w:r>
      <w:r w:rsidRPr="00CD6B45">
        <w:rPr>
          <w:rStyle w:val="Emphasis"/>
          <w:rFonts w:ascii="Times New Roman" w:hAnsi="Times New Roman"/>
          <w:shd w:val="clear" w:color="auto" w:fill="FFFFFF"/>
        </w:rPr>
        <w:t xml:space="preserve"> </w:t>
      </w:r>
      <w:r w:rsidRPr="00CD6B45">
        <w:rPr>
          <w:rFonts w:ascii="Times New Roman" w:hAnsi="Times New Roman"/>
          <w:sz w:val="20"/>
          <w:szCs w:val="20"/>
          <w:shd w:val="clear" w:color="auto" w:fill="FFFFFF"/>
        </w:rPr>
        <w:t>2912-2928.</w:t>
      </w:r>
      <w:r w:rsidRPr="00CD6B45">
        <w:rPr>
          <w:rFonts w:ascii="Times New Roman" w:hAnsi="Times New Roman"/>
          <w:i/>
          <w:iCs/>
          <w:sz w:val="20"/>
          <w:szCs w:val="20"/>
          <w:lang w:val="en-MY" w:eastAsia="en-MY"/>
        </w:rPr>
        <w:t xml:space="preserve"> </w:t>
      </w:r>
    </w:p>
    <w:p w14:paraId="23B74283"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i/>
          <w:iCs/>
          <w:sz w:val="20"/>
          <w:szCs w:val="20"/>
          <w:lang w:val="en-MY" w:eastAsia="en-MY"/>
        </w:rPr>
      </w:pPr>
      <w:r w:rsidRPr="00CD6B45">
        <w:rPr>
          <w:rFonts w:ascii="Times New Roman" w:hAnsi="Times New Roman"/>
          <w:iCs/>
          <w:sz w:val="20"/>
          <w:szCs w:val="20"/>
          <w:lang w:val="en-MY" w:eastAsia="en-MY"/>
        </w:rPr>
        <w:t>Kuete, V., Ango, P. Y., Yeboah, S. O., Mbaveng, A. T., Mapitse, R., Kapche, G. D., Ngadjui, B. T. and Efferth, T. (2014).</w:t>
      </w:r>
      <w:r w:rsidRPr="00CD6B45">
        <w:rPr>
          <w:rFonts w:cs="Arial"/>
          <w:i/>
          <w:iCs/>
          <w:lang w:val="en-MY" w:eastAsia="en-MY"/>
        </w:rPr>
        <w:t xml:space="preserve"> </w:t>
      </w:r>
      <w:r w:rsidRPr="00CD6B45">
        <w:rPr>
          <w:rFonts w:ascii="Times New Roman" w:hAnsi="Times New Roman"/>
          <w:sz w:val="20"/>
          <w:szCs w:val="20"/>
          <w:shd w:val="clear" w:color="auto" w:fill="FFFFFF"/>
          <w:lang w:val="en-MY" w:eastAsia="en-MY"/>
        </w:rPr>
        <w:t>Cytotoxicity of four Aframomum species (</w:t>
      </w:r>
      <w:r w:rsidRPr="00CD6B45">
        <w:rPr>
          <w:rFonts w:ascii="Times New Roman" w:hAnsi="Times New Roman"/>
          <w:i/>
          <w:sz w:val="20"/>
          <w:szCs w:val="20"/>
          <w:shd w:val="clear" w:color="auto" w:fill="FFFFFF"/>
          <w:lang w:val="en-MY" w:eastAsia="en-MY"/>
        </w:rPr>
        <w:t>A. arundinaceum</w:t>
      </w:r>
      <w:r w:rsidRPr="00CD6B45">
        <w:rPr>
          <w:rFonts w:ascii="Times New Roman" w:hAnsi="Times New Roman"/>
          <w:sz w:val="20"/>
          <w:szCs w:val="20"/>
          <w:shd w:val="clear" w:color="auto" w:fill="FFFFFF"/>
          <w:lang w:val="en-MY" w:eastAsia="en-MY"/>
        </w:rPr>
        <w:t xml:space="preserve">, </w:t>
      </w:r>
      <w:r w:rsidRPr="00CD6B45">
        <w:rPr>
          <w:rFonts w:ascii="Times New Roman" w:hAnsi="Times New Roman"/>
          <w:i/>
          <w:sz w:val="20"/>
          <w:szCs w:val="20"/>
          <w:shd w:val="clear" w:color="auto" w:fill="FFFFFF"/>
          <w:lang w:val="en-MY" w:eastAsia="en-MY"/>
        </w:rPr>
        <w:t>A. alboviolaceum</w:t>
      </w:r>
      <w:r w:rsidRPr="00CD6B45">
        <w:rPr>
          <w:rFonts w:ascii="Times New Roman" w:hAnsi="Times New Roman"/>
          <w:sz w:val="20"/>
          <w:szCs w:val="20"/>
          <w:shd w:val="clear" w:color="auto" w:fill="FFFFFF"/>
          <w:lang w:val="en-MY" w:eastAsia="en-MY"/>
        </w:rPr>
        <w:t xml:space="preserve">, </w:t>
      </w:r>
      <w:r w:rsidRPr="00CD6B45">
        <w:rPr>
          <w:rFonts w:ascii="Times New Roman" w:hAnsi="Times New Roman"/>
          <w:i/>
          <w:sz w:val="20"/>
          <w:szCs w:val="20"/>
          <w:shd w:val="clear" w:color="auto" w:fill="FFFFFF"/>
          <w:lang w:val="en-MY" w:eastAsia="en-MY"/>
        </w:rPr>
        <w:t>A. kayserianum</w:t>
      </w:r>
      <w:r w:rsidRPr="00CD6B45">
        <w:rPr>
          <w:rFonts w:ascii="Times New Roman" w:hAnsi="Times New Roman"/>
          <w:sz w:val="20"/>
          <w:szCs w:val="20"/>
          <w:shd w:val="clear" w:color="auto" w:fill="FFFFFF"/>
          <w:lang w:val="en-MY" w:eastAsia="en-MY"/>
        </w:rPr>
        <w:t xml:space="preserve"> and </w:t>
      </w:r>
      <w:r w:rsidRPr="00CD6B45">
        <w:rPr>
          <w:rFonts w:ascii="Times New Roman" w:hAnsi="Times New Roman"/>
          <w:i/>
          <w:sz w:val="20"/>
          <w:szCs w:val="20"/>
          <w:shd w:val="clear" w:color="auto" w:fill="FFFFFF"/>
          <w:lang w:val="en-MY" w:eastAsia="en-MY"/>
        </w:rPr>
        <w:t>A. polyanthum</w:t>
      </w:r>
      <w:r w:rsidRPr="00CD6B45">
        <w:rPr>
          <w:rFonts w:ascii="Times New Roman" w:hAnsi="Times New Roman"/>
          <w:sz w:val="20"/>
          <w:szCs w:val="20"/>
          <w:shd w:val="clear" w:color="auto" w:fill="FFFFFF"/>
          <w:lang w:val="en-MY" w:eastAsia="en-MY"/>
        </w:rPr>
        <w:t xml:space="preserve">) towards multi-factorial drug resistant cancer cell lines. </w:t>
      </w:r>
      <w:r w:rsidRPr="00CD6B45">
        <w:rPr>
          <w:rFonts w:ascii="Times New Roman" w:hAnsi="Times New Roman"/>
          <w:i/>
          <w:iCs/>
          <w:sz w:val="20"/>
          <w:szCs w:val="20"/>
          <w:lang w:val="en-MY" w:eastAsia="en-MY"/>
        </w:rPr>
        <w:t>BMC Complementary and Alternative Medicine</w:t>
      </w:r>
      <w:r w:rsidRPr="00CD6B45">
        <w:rPr>
          <w:rFonts w:ascii="Times New Roman" w:hAnsi="Times New Roman"/>
          <w:iCs/>
          <w:sz w:val="20"/>
          <w:szCs w:val="20"/>
          <w:lang w:val="en-MY" w:eastAsia="en-MY"/>
        </w:rPr>
        <w:t xml:space="preserve">, 14: 340. </w:t>
      </w:r>
    </w:p>
    <w:p w14:paraId="487F57D5" w14:textId="77777777" w:rsidR="000A64F6" w:rsidRPr="00CD6B45"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Goldin, A., Venditti, J. M., Macdonald, J. S., Muggia, F. M., Henney, J. E. and Devita Jr, V. T. (1981). Current results of the screening program at the Division of Cancer Treatment, National Cancer Institute. </w:t>
      </w:r>
      <w:r w:rsidRPr="00CD6B45">
        <w:rPr>
          <w:rFonts w:ascii="Times New Roman" w:hAnsi="Times New Roman"/>
          <w:i/>
          <w:sz w:val="20"/>
          <w:szCs w:val="20"/>
        </w:rPr>
        <w:t>European Journal of Cancer</w:t>
      </w:r>
      <w:r w:rsidRPr="00CD6B45">
        <w:rPr>
          <w:rFonts w:ascii="Times New Roman" w:hAnsi="Times New Roman"/>
          <w:sz w:val="20"/>
          <w:szCs w:val="20"/>
        </w:rPr>
        <w:t xml:space="preserve">, 17 (2): 129-142.   </w:t>
      </w:r>
    </w:p>
    <w:p w14:paraId="585961B7" w14:textId="77777777" w:rsidR="000A64F6" w:rsidRPr="00CD6B45" w:rsidRDefault="000A64F6" w:rsidP="000A64F6">
      <w:pPr>
        <w:pStyle w:val="ListParagraph"/>
        <w:numPr>
          <w:ilvl w:val="0"/>
          <w:numId w:val="4"/>
        </w:numPr>
        <w:spacing w:after="0" w:line="240" w:lineRule="auto"/>
        <w:ind w:left="360"/>
        <w:jc w:val="both"/>
        <w:rPr>
          <w:rFonts w:ascii="Times New Roman" w:hAnsi="Times New Roman"/>
          <w:sz w:val="20"/>
          <w:szCs w:val="20"/>
          <w:lang w:val="en-GB"/>
        </w:rPr>
      </w:pPr>
      <w:r w:rsidRPr="00CD6B45">
        <w:rPr>
          <w:rFonts w:ascii="Times New Roman" w:hAnsi="Times New Roman"/>
          <w:sz w:val="20"/>
          <w:szCs w:val="20"/>
        </w:rPr>
        <w:t xml:space="preserve">Geran, R. I., Greenberg, N. H., Macdonald, M. M., Shumacher, A. M. and Abbott, B. J. (1972). Protocols for screening chemical agents and natural products against animal tumors and other biological systems. </w:t>
      </w:r>
      <w:r w:rsidRPr="00CD6B45">
        <w:rPr>
          <w:rFonts w:ascii="Times New Roman" w:hAnsi="Times New Roman"/>
          <w:i/>
          <w:iCs/>
          <w:sz w:val="20"/>
          <w:szCs w:val="20"/>
        </w:rPr>
        <w:t>Cancer Chemotherapy Reports, Part III</w:t>
      </w:r>
      <w:r w:rsidRPr="00CD6B45">
        <w:rPr>
          <w:rFonts w:ascii="Times New Roman" w:hAnsi="Times New Roman"/>
          <w:sz w:val="20"/>
          <w:szCs w:val="20"/>
        </w:rPr>
        <w:t>, 3: 1-103.</w:t>
      </w:r>
    </w:p>
    <w:p w14:paraId="7806936D" w14:textId="77777777" w:rsidR="000A64F6" w:rsidRPr="00CD6B45" w:rsidRDefault="000A64F6" w:rsidP="000A64F6">
      <w:pPr>
        <w:pStyle w:val="ListParagraph"/>
        <w:numPr>
          <w:ilvl w:val="0"/>
          <w:numId w:val="4"/>
        </w:numPr>
        <w:shd w:val="clear" w:color="auto" w:fill="FFFFFF"/>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shd w:val="clear" w:color="auto" w:fill="FFFFFF"/>
        </w:rPr>
        <w:t>Nepali, K., Lee, H. Y. and Liou, J. P. (2019). Nitro-group-containing drugs. </w:t>
      </w:r>
      <w:r w:rsidRPr="00CD6B45">
        <w:rPr>
          <w:rFonts w:ascii="Times New Roman" w:hAnsi="Times New Roman"/>
          <w:i/>
          <w:iCs/>
          <w:sz w:val="20"/>
          <w:szCs w:val="20"/>
          <w:shd w:val="clear" w:color="auto" w:fill="FFFFFF"/>
        </w:rPr>
        <w:t>J</w:t>
      </w:r>
      <w:r>
        <w:rPr>
          <w:rFonts w:ascii="Times New Roman" w:hAnsi="Times New Roman"/>
          <w:i/>
          <w:iCs/>
          <w:sz w:val="20"/>
          <w:szCs w:val="20"/>
          <w:shd w:val="clear" w:color="auto" w:fill="FFFFFF"/>
        </w:rPr>
        <w:t xml:space="preserve">ournal </w:t>
      </w:r>
      <w:r w:rsidRPr="00CD6B45">
        <w:rPr>
          <w:rFonts w:ascii="Times New Roman" w:hAnsi="Times New Roman"/>
          <w:i/>
          <w:iCs/>
          <w:sz w:val="20"/>
          <w:szCs w:val="20"/>
          <w:shd w:val="clear" w:color="auto" w:fill="FFFFFF"/>
        </w:rPr>
        <w:t>Med</w:t>
      </w:r>
      <w:r>
        <w:rPr>
          <w:rFonts w:ascii="Times New Roman" w:hAnsi="Times New Roman"/>
          <w:i/>
          <w:iCs/>
          <w:sz w:val="20"/>
          <w:szCs w:val="20"/>
          <w:shd w:val="clear" w:color="auto" w:fill="FFFFFF"/>
        </w:rPr>
        <w:t>icine</w:t>
      </w:r>
      <w:r w:rsidRPr="00CD6B45">
        <w:rPr>
          <w:rFonts w:ascii="Times New Roman" w:hAnsi="Times New Roman"/>
          <w:i/>
          <w:iCs/>
          <w:sz w:val="20"/>
          <w:szCs w:val="20"/>
          <w:shd w:val="clear" w:color="auto" w:fill="FFFFFF"/>
        </w:rPr>
        <w:t xml:space="preserve"> Chem</w:t>
      </w:r>
      <w:r>
        <w:rPr>
          <w:rFonts w:ascii="Times New Roman" w:hAnsi="Times New Roman"/>
          <w:i/>
          <w:iCs/>
          <w:sz w:val="20"/>
          <w:szCs w:val="20"/>
          <w:shd w:val="clear" w:color="auto" w:fill="FFFFFF"/>
        </w:rPr>
        <w:t>istry</w:t>
      </w:r>
      <w:r w:rsidRPr="00CD6B45">
        <w:rPr>
          <w:rFonts w:ascii="Times New Roman" w:hAnsi="Times New Roman"/>
          <w:sz w:val="20"/>
          <w:szCs w:val="20"/>
          <w:shd w:val="clear" w:color="auto" w:fill="FFFFFF"/>
        </w:rPr>
        <w:t xml:space="preserve">, </w:t>
      </w:r>
      <w:r w:rsidRPr="00CD6B45">
        <w:rPr>
          <w:rFonts w:ascii="Times New Roman" w:hAnsi="Times New Roman"/>
          <w:bCs/>
          <w:sz w:val="20"/>
          <w:szCs w:val="20"/>
          <w:shd w:val="clear" w:color="auto" w:fill="FFFFFF"/>
        </w:rPr>
        <w:t>62:</w:t>
      </w:r>
      <w:r>
        <w:rPr>
          <w:rFonts w:ascii="Times New Roman" w:hAnsi="Times New Roman"/>
          <w:bCs/>
          <w:sz w:val="20"/>
          <w:szCs w:val="20"/>
          <w:shd w:val="clear" w:color="auto" w:fill="FFFFFF"/>
        </w:rPr>
        <w:t xml:space="preserve"> </w:t>
      </w:r>
      <w:r w:rsidRPr="00CD6B45">
        <w:rPr>
          <w:rFonts w:ascii="Times New Roman" w:hAnsi="Times New Roman"/>
          <w:sz w:val="20"/>
          <w:szCs w:val="20"/>
          <w:shd w:val="clear" w:color="auto" w:fill="FFFFFF"/>
        </w:rPr>
        <w:t>2851-</w:t>
      </w:r>
      <w:r>
        <w:rPr>
          <w:rFonts w:ascii="Times New Roman" w:hAnsi="Times New Roman"/>
          <w:sz w:val="20"/>
          <w:szCs w:val="20"/>
          <w:shd w:val="clear" w:color="auto" w:fill="FFFFFF"/>
        </w:rPr>
        <w:t>28</w:t>
      </w:r>
      <w:r w:rsidRPr="00CD6B45">
        <w:rPr>
          <w:rFonts w:ascii="Times New Roman" w:hAnsi="Times New Roman"/>
          <w:sz w:val="20"/>
          <w:szCs w:val="20"/>
          <w:shd w:val="clear" w:color="auto" w:fill="FFFFFF"/>
        </w:rPr>
        <w:t>93.</w:t>
      </w:r>
    </w:p>
    <w:p w14:paraId="2F52B6A8" w14:textId="77777777" w:rsidR="000A64F6" w:rsidRPr="00CD6B45" w:rsidRDefault="000A64F6" w:rsidP="000A64F6">
      <w:pPr>
        <w:pStyle w:val="ListParagraph"/>
        <w:numPr>
          <w:ilvl w:val="0"/>
          <w:numId w:val="4"/>
        </w:numPr>
        <w:shd w:val="clear" w:color="auto" w:fill="FFFFFF"/>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Bashir, M., Bano, A., Ijaz, A. S. and Chaudhary, B. A. (2015). Recent developments and biological activities of N-substituted carbazole derivatives: a review. </w:t>
      </w:r>
      <w:r w:rsidRPr="00CD6B45">
        <w:rPr>
          <w:rFonts w:ascii="Times New Roman" w:hAnsi="Times New Roman"/>
          <w:i/>
          <w:sz w:val="20"/>
          <w:szCs w:val="20"/>
        </w:rPr>
        <w:t>Molecules</w:t>
      </w:r>
      <w:r w:rsidRPr="00CD6B45">
        <w:rPr>
          <w:rFonts w:ascii="Times New Roman" w:hAnsi="Times New Roman"/>
          <w:sz w:val="20"/>
          <w:szCs w:val="20"/>
        </w:rPr>
        <w:t>, 20 (8): 13496-13517.</w:t>
      </w:r>
    </w:p>
    <w:p w14:paraId="133620D4" w14:textId="77777777" w:rsidR="000A64F6" w:rsidRPr="00CD6B45" w:rsidRDefault="000A64F6" w:rsidP="000A64F6">
      <w:pPr>
        <w:pStyle w:val="ListParagraph"/>
        <w:numPr>
          <w:ilvl w:val="0"/>
          <w:numId w:val="4"/>
        </w:numPr>
        <w:shd w:val="clear" w:color="auto" w:fill="FFFFFF"/>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Liu, K., Zang, Y., Shen, C., Li, C., Ma, J., Yang, J., Sun, X., Chen, X., Wang, N. and Zhang, D. (2021). Synthesis and biological evaluation of pyranocarbazole derivatives as anti-tumor agents. </w:t>
      </w:r>
      <w:r w:rsidRPr="00CD6B45">
        <w:rPr>
          <w:rFonts w:ascii="Times New Roman" w:hAnsi="Times New Roman"/>
          <w:i/>
          <w:sz w:val="20"/>
          <w:szCs w:val="20"/>
        </w:rPr>
        <w:t>Bioorganic and Medicinal Chemistry Letters</w:t>
      </w:r>
      <w:r w:rsidRPr="00CD6B45">
        <w:rPr>
          <w:rFonts w:ascii="Times New Roman" w:hAnsi="Times New Roman"/>
          <w:sz w:val="20"/>
          <w:szCs w:val="20"/>
        </w:rPr>
        <w:t xml:space="preserve">, 33: 127739. </w:t>
      </w:r>
    </w:p>
    <w:p w14:paraId="1E9617AB" w14:textId="77777777" w:rsidR="000A64F6" w:rsidRPr="00CD6B45" w:rsidRDefault="000A64F6" w:rsidP="000A64F6">
      <w:pPr>
        <w:pStyle w:val="ListParagraph"/>
        <w:numPr>
          <w:ilvl w:val="0"/>
          <w:numId w:val="4"/>
        </w:numPr>
        <w:shd w:val="clear" w:color="auto" w:fill="FFFFFF"/>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Kolli, S. K., Prasad, B., Babu, P. V., Ashfaq, M. A., Ehtesham, N. Z., Raju, R. R. and Pal, M. (2014). TFAA/H</w:t>
      </w:r>
      <w:r w:rsidRPr="00CD6B45">
        <w:rPr>
          <w:rFonts w:ascii="Times New Roman" w:hAnsi="Times New Roman"/>
          <w:sz w:val="20"/>
          <w:szCs w:val="20"/>
          <w:vertAlign w:val="subscript"/>
        </w:rPr>
        <w:t>3</w:t>
      </w:r>
      <w:r w:rsidRPr="00CD6B45">
        <w:rPr>
          <w:rFonts w:ascii="Times New Roman" w:hAnsi="Times New Roman"/>
          <w:sz w:val="20"/>
          <w:szCs w:val="20"/>
        </w:rPr>
        <w:t>PO</w:t>
      </w:r>
      <w:r w:rsidRPr="00CD6B45">
        <w:rPr>
          <w:rFonts w:ascii="Times New Roman" w:hAnsi="Times New Roman"/>
          <w:sz w:val="20"/>
          <w:szCs w:val="20"/>
          <w:vertAlign w:val="subscript"/>
        </w:rPr>
        <w:t>4</w:t>
      </w:r>
      <w:r w:rsidRPr="00CD6B45">
        <w:rPr>
          <w:rFonts w:ascii="Times New Roman" w:hAnsi="Times New Roman"/>
          <w:sz w:val="20"/>
          <w:szCs w:val="20"/>
        </w:rPr>
        <w:t xml:space="preserve"> mediated unprecedented </w:t>
      </w:r>
      <w:r w:rsidRPr="00CD6B45">
        <w:rPr>
          <w:rFonts w:ascii="Times New Roman" w:hAnsi="Times New Roman"/>
          <w:i/>
          <w:sz w:val="20"/>
          <w:szCs w:val="20"/>
        </w:rPr>
        <w:t>N</w:t>
      </w:r>
      <w:r w:rsidRPr="00CD6B45">
        <w:rPr>
          <w:rFonts w:ascii="Times New Roman" w:hAnsi="Times New Roman"/>
          <w:sz w:val="20"/>
          <w:szCs w:val="20"/>
        </w:rPr>
        <w:t xml:space="preserve">-acylation of carbazoles leading to small molecules possessing anti-proliferative activities against cancer cells. </w:t>
      </w:r>
      <w:r w:rsidRPr="00CD6B45">
        <w:rPr>
          <w:rFonts w:ascii="Times New Roman" w:hAnsi="Times New Roman"/>
          <w:i/>
          <w:sz w:val="20"/>
          <w:szCs w:val="20"/>
        </w:rPr>
        <w:t>Organic and Bimolecular Chemistry</w:t>
      </w:r>
      <w:r w:rsidRPr="00CD6B45">
        <w:rPr>
          <w:rFonts w:ascii="Times New Roman" w:hAnsi="Times New Roman"/>
          <w:sz w:val="20"/>
          <w:szCs w:val="20"/>
        </w:rPr>
        <w:t>, 12 (32): 6080-6084.</w:t>
      </w:r>
    </w:p>
    <w:p w14:paraId="7F16CCDD" w14:textId="77777777" w:rsidR="000A64F6" w:rsidRPr="00CD6B45" w:rsidRDefault="000A64F6" w:rsidP="000A64F6">
      <w:pPr>
        <w:pStyle w:val="ListParagraph"/>
        <w:numPr>
          <w:ilvl w:val="0"/>
          <w:numId w:val="4"/>
        </w:numPr>
        <w:shd w:val="clear" w:color="auto" w:fill="FFFFFF"/>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Kaushik, K., Kumar, N. and Pathak, D. (2012). Synthesis of some newer carbazole derivatives and evaluation for their pharmacological activity. </w:t>
      </w:r>
      <w:r w:rsidRPr="00CD6B45">
        <w:rPr>
          <w:rFonts w:ascii="Times New Roman" w:hAnsi="Times New Roman"/>
          <w:i/>
          <w:sz w:val="20"/>
          <w:szCs w:val="20"/>
        </w:rPr>
        <w:t>Der Pharmacia Sinica</w:t>
      </w:r>
      <w:r w:rsidRPr="00CD6B45">
        <w:rPr>
          <w:rFonts w:ascii="Times New Roman" w:hAnsi="Times New Roman"/>
          <w:sz w:val="20"/>
          <w:szCs w:val="20"/>
        </w:rPr>
        <w:t>, 3(4): 470-478.</w:t>
      </w:r>
      <w:bookmarkEnd w:id="0"/>
    </w:p>
    <w:p w14:paraId="28BE4102" w14:textId="77777777" w:rsidR="000A64F6" w:rsidRPr="00CD6B45" w:rsidRDefault="000A64F6" w:rsidP="000A64F6">
      <w:pPr>
        <w:pStyle w:val="ListParagraph"/>
        <w:numPr>
          <w:ilvl w:val="0"/>
          <w:numId w:val="4"/>
        </w:numPr>
        <w:spacing w:after="0" w:line="240" w:lineRule="auto"/>
        <w:ind w:left="360"/>
        <w:jc w:val="both"/>
        <w:rPr>
          <w:rFonts w:ascii="Times New Roman" w:hAnsi="Times New Roman"/>
          <w:sz w:val="18"/>
          <w:szCs w:val="18"/>
        </w:rPr>
      </w:pPr>
      <w:r w:rsidRPr="00CD6B45">
        <w:rPr>
          <w:rFonts w:ascii="Times New Roman" w:hAnsi="Times New Roman"/>
          <w:sz w:val="20"/>
          <w:szCs w:val="20"/>
        </w:rPr>
        <w:t xml:space="preserve">He, </w:t>
      </w:r>
      <w:r w:rsidRPr="00CD6B45">
        <w:rPr>
          <w:rFonts w:ascii="Times New Roman" w:hAnsi="Times New Roman"/>
          <w:sz w:val="20"/>
          <w:szCs w:val="20"/>
          <w:shd w:val="clear" w:color="auto" w:fill="FFFFFF"/>
        </w:rPr>
        <w:t>Y., Zhu, Q., Chen, M., Huang, Q., Wang, W., Li, Q., Huang, Y. and Di, W. (2016). The changing 50% inhibitory concentration (IC</w:t>
      </w:r>
      <w:r w:rsidRPr="00CD6B45">
        <w:rPr>
          <w:rFonts w:ascii="Times New Roman" w:hAnsi="Times New Roman"/>
          <w:sz w:val="20"/>
          <w:szCs w:val="20"/>
          <w:shd w:val="clear" w:color="auto" w:fill="FFFFFF"/>
          <w:vertAlign w:val="subscript"/>
        </w:rPr>
        <w:t>50</w:t>
      </w:r>
      <w:r w:rsidRPr="00CD6B45">
        <w:rPr>
          <w:rFonts w:ascii="Times New Roman" w:hAnsi="Times New Roman"/>
          <w:sz w:val="20"/>
          <w:szCs w:val="20"/>
          <w:shd w:val="clear" w:color="auto" w:fill="FFFFFF"/>
        </w:rPr>
        <w:t>) of cisplatin: a pilot study on the artifacts of the MTT assay and the precise measurement of density-dependent chemoresistance in ovarian cancer. </w:t>
      </w:r>
      <w:r w:rsidRPr="00CD6B45">
        <w:rPr>
          <w:rFonts w:ascii="Times New Roman" w:hAnsi="Times New Roman"/>
          <w:i/>
          <w:iCs/>
          <w:sz w:val="20"/>
          <w:szCs w:val="20"/>
          <w:shd w:val="clear" w:color="auto" w:fill="FFFFFF"/>
        </w:rPr>
        <w:t>Oncotarget</w:t>
      </w:r>
      <w:r w:rsidRPr="00CD6B45">
        <w:rPr>
          <w:rFonts w:ascii="Times New Roman" w:hAnsi="Times New Roman"/>
          <w:sz w:val="20"/>
          <w:szCs w:val="20"/>
          <w:shd w:val="clear" w:color="auto" w:fill="FFFFFF"/>
        </w:rPr>
        <w:t>, 7(43): 70803-70821.</w:t>
      </w:r>
    </w:p>
    <w:p w14:paraId="25D0B3FC" w14:textId="77777777" w:rsidR="000A64F6" w:rsidRPr="00CD6B45" w:rsidRDefault="000A64F6" w:rsidP="000A64F6">
      <w:pPr>
        <w:pStyle w:val="ListParagraph"/>
        <w:numPr>
          <w:ilvl w:val="0"/>
          <w:numId w:val="4"/>
        </w:numPr>
        <w:shd w:val="clear" w:color="auto" w:fill="FFFFFF"/>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Badisa, R. B., Darling-reed, S. F., Joseph, P., Cooperwood, J. S., Latinwo, L. M. and Goodman, C. B. (2009). Selective cytotoxic activities of two novel synthetic drugs on human breast carcinoma MCF-7 Cells. </w:t>
      </w:r>
      <w:r w:rsidRPr="00CD6B45">
        <w:rPr>
          <w:rFonts w:ascii="Times New Roman" w:hAnsi="Times New Roman"/>
          <w:i/>
          <w:sz w:val="20"/>
          <w:szCs w:val="20"/>
        </w:rPr>
        <w:t>Anticancer Research</w:t>
      </w:r>
      <w:r w:rsidRPr="00CD6B45">
        <w:rPr>
          <w:rFonts w:ascii="Times New Roman" w:hAnsi="Times New Roman"/>
          <w:sz w:val="20"/>
          <w:szCs w:val="20"/>
        </w:rPr>
        <w:t>, 29(8): 2993-2996.</w:t>
      </w:r>
    </w:p>
    <w:p w14:paraId="7AE4B76A" w14:textId="77777777" w:rsidR="00F73E21"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pPr>
      <w:r w:rsidRPr="00CD6B45">
        <w:rPr>
          <w:rFonts w:ascii="Times New Roman" w:hAnsi="Times New Roman"/>
          <w:sz w:val="20"/>
          <w:szCs w:val="20"/>
        </w:rPr>
        <w:t xml:space="preserve">Chipoline, I. C., da Fonseca, A.C.C., da Costa, G. R. M., de Souza, M. P., Rabelo, V. W. H., de Queiroz, L. N., de Souza, T. L. F., de Almeida, E. C. P., Abreu, P. A., Pontes, B., Ferreira, V. F., de Carvalho da Silva, F. and Robbs, B. K. (2020). Molecular mechanism of action of new 1,4-naphthoquinones tethered to 1,2,3-1H-triazoles with cytotoxic and selective effect against oral squamous cell carcinoma. </w:t>
      </w:r>
      <w:r w:rsidRPr="00CD6B45">
        <w:rPr>
          <w:rFonts w:ascii="Times New Roman" w:hAnsi="Times New Roman"/>
          <w:i/>
          <w:sz w:val="20"/>
          <w:szCs w:val="20"/>
        </w:rPr>
        <w:t>Bioorganic Chemistry</w:t>
      </w:r>
      <w:r>
        <w:rPr>
          <w:rFonts w:ascii="Times New Roman" w:hAnsi="Times New Roman"/>
          <w:sz w:val="20"/>
          <w:szCs w:val="20"/>
        </w:rPr>
        <w:t xml:space="preserve">, </w:t>
      </w:r>
      <w:r w:rsidRPr="00CD6B45">
        <w:rPr>
          <w:rFonts w:ascii="Times New Roman" w:hAnsi="Times New Roman"/>
          <w:sz w:val="20"/>
          <w:szCs w:val="20"/>
        </w:rPr>
        <w:t xml:space="preserve">101: 103984. </w:t>
      </w:r>
    </w:p>
    <w:p w14:paraId="49721A93" w14:textId="2D3C3C5E" w:rsidR="000A64F6" w:rsidRPr="000A64F6"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sectPr w:rsidR="000A64F6" w:rsidRPr="000A64F6" w:rsidSect="00F73E21">
          <w:footerReference w:type="even" r:id="rId28"/>
          <w:footerReference w:type="default" r:id="rId29"/>
          <w:type w:val="continuous"/>
          <w:pgSz w:w="12240" w:h="15840" w:code="1"/>
          <w:pgMar w:top="1800" w:right="1469" w:bottom="1699" w:left="1440" w:header="706" w:footer="706" w:gutter="0"/>
          <w:pgNumType w:start="0"/>
          <w:cols w:num="2" w:space="403"/>
          <w:docGrid w:linePitch="360"/>
        </w:sectPr>
      </w:pPr>
    </w:p>
    <w:p w14:paraId="4D8A8F86" w14:textId="77777777" w:rsidR="00A74A7E" w:rsidRPr="00383C16" w:rsidRDefault="00A74A7E" w:rsidP="000A64F6">
      <w:pPr>
        <w:spacing w:after="0"/>
        <w:jc w:val="both"/>
        <w:rPr>
          <w:rFonts w:ascii="Times New Roman" w:hAnsi="Times New Roman"/>
          <w:noProof/>
          <w:lang w:bidi="ar-SA"/>
        </w:rPr>
      </w:pPr>
    </w:p>
    <w:sectPr w:rsidR="00A74A7E" w:rsidRPr="00383C16" w:rsidSect="00F73E21">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C8C2" w14:textId="689A6D66" w:rsidR="0084161B" w:rsidRPr="004B43FF" w:rsidRDefault="0084161B">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50CA" w14:textId="2C498D08" w:rsidR="0084161B" w:rsidRDefault="0084161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52E4" w14:textId="02694B6A" w:rsidR="0084161B" w:rsidRPr="004B43FF" w:rsidRDefault="0084161B">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0264" w14:textId="0295E305" w:rsidR="00C70953" w:rsidRDefault="00C7095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F6A5" w14:textId="447CEFD4" w:rsidR="00C70953" w:rsidRPr="004B43FF" w:rsidRDefault="00C70953">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0422" w14:textId="07CDC44C" w:rsidR="002B4A5E" w:rsidRDefault="002B4A5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6605" w14:textId="544E56D2" w:rsidR="002B4A5E" w:rsidRDefault="002B4A5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BAAB" w14:textId="26ACCB11" w:rsidR="002B4A5E" w:rsidRPr="004B43FF" w:rsidRDefault="002B4A5E">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8F31" w14:textId="04AB50D9" w:rsidR="002B4A5E" w:rsidRDefault="002B4A5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9ABA" w14:textId="22DF7E34" w:rsidR="002B4A5E" w:rsidRPr="004B43FF" w:rsidRDefault="002B4A5E">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71C8E14" w:rsidR="002B3BD8" w:rsidRDefault="00C70953" w:rsidP="008E6968">
    <w:pPr>
      <w:pStyle w:val="Header"/>
      <w:jc w:val="right"/>
      <w:rPr>
        <w:rFonts w:ascii="Times New Roman" w:hAnsi="Times New Roman"/>
        <w:i/>
        <w:lang w:val="en-US"/>
      </w:rPr>
    </w:pPr>
    <w:r>
      <w:rPr>
        <w:noProof/>
      </w:rPr>
      <w:pict w14:anchorId="70617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657" o:spid="_x0000_s44034"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788A" w14:textId="39D6148E" w:rsidR="00FA17D0" w:rsidRPr="00FA17D0" w:rsidRDefault="00C70953" w:rsidP="00FA17D0">
    <w:pPr>
      <w:spacing w:after="0"/>
      <w:ind w:left="2070" w:hanging="2070"/>
      <w:rPr>
        <w:rFonts w:ascii="Times New Roman" w:hAnsi="Times New Roman"/>
        <w:bCs/>
        <w:sz w:val="20"/>
        <w:szCs w:val="20"/>
        <w:lang w:val="en-GB"/>
      </w:rPr>
    </w:pPr>
    <w:r>
      <w:rPr>
        <w:noProof/>
      </w:rPr>
      <w:pict w14:anchorId="01D09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658" o:spid="_x0000_s44035"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FA17D0">
      <w:rPr>
        <w:rFonts w:ascii="Times New Roman" w:hAnsi="Times New Roman"/>
        <w:sz w:val="20"/>
        <w:szCs w:val="20"/>
      </w:rPr>
      <w:t>Fatin Nurul Atiqah et al</w:t>
    </w:r>
    <w:r w:rsidR="008E6968" w:rsidRPr="00FA17D0">
      <w:rPr>
        <w:rFonts w:ascii="Times New Roman" w:hAnsi="Times New Roman"/>
        <w:sz w:val="20"/>
        <w:szCs w:val="20"/>
      </w:rPr>
      <w:t xml:space="preserve">:  </w:t>
    </w:r>
    <w:r w:rsidR="00FA17D0">
      <w:rPr>
        <w:rFonts w:ascii="Times New Roman" w:hAnsi="Times New Roman"/>
        <w:sz w:val="20"/>
        <w:szCs w:val="20"/>
      </w:rPr>
      <w:tab/>
    </w:r>
    <w:r w:rsidR="00FA17D0" w:rsidRPr="00FA17D0">
      <w:rPr>
        <w:rFonts w:ascii="Times New Roman" w:hAnsi="Times New Roman"/>
        <w:bCs/>
        <w:sz w:val="20"/>
        <w:szCs w:val="20"/>
        <w:lang w:val="en-GB"/>
      </w:rPr>
      <w:t>CYTOTOXICITY EFFECT OF NATURAL AND SYNTHETIC GIRINIMBINES AND THEIR DERIVATIVES AGAINST HUMAN LUNG CANCER CELL LINES A549</w:t>
    </w:r>
  </w:p>
  <w:p w14:paraId="652E6EB3" w14:textId="38E141C4"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E225" w14:textId="7708F752" w:rsidR="00C70953" w:rsidRDefault="00C70953">
    <w:pPr>
      <w:pStyle w:val="Header"/>
    </w:pPr>
    <w:r>
      <w:rPr>
        <w:noProof/>
      </w:rPr>
      <w:pict w14:anchorId="05931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656" o:spid="_x0000_s44033"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CA20F5"/>
    <w:multiLevelType w:val="hybridMultilevel"/>
    <w:tmpl w:val="9DDC7624"/>
    <w:lvl w:ilvl="0" w:tplc="AF3E6134">
      <w:start w:val="3"/>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lvlText w:val=""/>
        <w:legacy w:legacy="1" w:legacySpace="0" w:legacyIndent="160"/>
        <w:lvlJc w:val="left"/>
        <w:pPr>
          <w:ind w:left="160" w:hanging="160"/>
        </w:pPr>
        <w:rPr>
          <w:rFonts w:ascii="Symbol" w:hAnsi="Symbol"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44036"/>
    <o:shapelayout v:ext="edit">
      <o:idmap v:ext="edit" data="4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A64F6"/>
    <w:rsid w:val="000C49FF"/>
    <w:rsid w:val="000C5261"/>
    <w:rsid w:val="000E5AF1"/>
    <w:rsid w:val="000F77DA"/>
    <w:rsid w:val="001068E8"/>
    <w:rsid w:val="00117BCD"/>
    <w:rsid w:val="00183FAE"/>
    <w:rsid w:val="001B0F9D"/>
    <w:rsid w:val="001D035A"/>
    <w:rsid w:val="001D3855"/>
    <w:rsid w:val="001D6F2C"/>
    <w:rsid w:val="001F72B9"/>
    <w:rsid w:val="002004F5"/>
    <w:rsid w:val="00221D39"/>
    <w:rsid w:val="0023661D"/>
    <w:rsid w:val="002752F0"/>
    <w:rsid w:val="002867F0"/>
    <w:rsid w:val="0029079C"/>
    <w:rsid w:val="002B188F"/>
    <w:rsid w:val="002B3BD8"/>
    <w:rsid w:val="002B4A5E"/>
    <w:rsid w:val="002D073D"/>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12E33"/>
    <w:rsid w:val="00420074"/>
    <w:rsid w:val="0042565D"/>
    <w:rsid w:val="004760D4"/>
    <w:rsid w:val="00494C46"/>
    <w:rsid w:val="004A1191"/>
    <w:rsid w:val="004A12DD"/>
    <w:rsid w:val="004B43FF"/>
    <w:rsid w:val="004C49E6"/>
    <w:rsid w:val="00502641"/>
    <w:rsid w:val="00510BA6"/>
    <w:rsid w:val="00534441"/>
    <w:rsid w:val="00542CFC"/>
    <w:rsid w:val="00545363"/>
    <w:rsid w:val="00567D9E"/>
    <w:rsid w:val="00583C85"/>
    <w:rsid w:val="00584156"/>
    <w:rsid w:val="005B0996"/>
    <w:rsid w:val="005C6768"/>
    <w:rsid w:val="005D3BF9"/>
    <w:rsid w:val="005E53EA"/>
    <w:rsid w:val="00624C7C"/>
    <w:rsid w:val="0063144D"/>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4161B"/>
    <w:rsid w:val="00845392"/>
    <w:rsid w:val="0086622B"/>
    <w:rsid w:val="008B02C7"/>
    <w:rsid w:val="008B470E"/>
    <w:rsid w:val="008C14D6"/>
    <w:rsid w:val="008E1211"/>
    <w:rsid w:val="008E5BBF"/>
    <w:rsid w:val="008E6968"/>
    <w:rsid w:val="008F2DC2"/>
    <w:rsid w:val="009110FB"/>
    <w:rsid w:val="00917637"/>
    <w:rsid w:val="009906FF"/>
    <w:rsid w:val="00992776"/>
    <w:rsid w:val="009F7CC3"/>
    <w:rsid w:val="00A14DB9"/>
    <w:rsid w:val="00A4762A"/>
    <w:rsid w:val="00A6469F"/>
    <w:rsid w:val="00A74A7E"/>
    <w:rsid w:val="00A80862"/>
    <w:rsid w:val="00A87399"/>
    <w:rsid w:val="00A94268"/>
    <w:rsid w:val="00AD1B8A"/>
    <w:rsid w:val="00AD76AF"/>
    <w:rsid w:val="00AE6F0F"/>
    <w:rsid w:val="00AE713F"/>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2226A"/>
    <w:rsid w:val="00C70953"/>
    <w:rsid w:val="00C80273"/>
    <w:rsid w:val="00C85970"/>
    <w:rsid w:val="00C943DD"/>
    <w:rsid w:val="00C94D92"/>
    <w:rsid w:val="00C97340"/>
    <w:rsid w:val="00CA513F"/>
    <w:rsid w:val="00CC6D67"/>
    <w:rsid w:val="00CD41CA"/>
    <w:rsid w:val="00CF05FF"/>
    <w:rsid w:val="00D33D1A"/>
    <w:rsid w:val="00D340BB"/>
    <w:rsid w:val="00D505D5"/>
    <w:rsid w:val="00D54391"/>
    <w:rsid w:val="00D63C28"/>
    <w:rsid w:val="00D75B35"/>
    <w:rsid w:val="00D76E09"/>
    <w:rsid w:val="00D9736F"/>
    <w:rsid w:val="00D97773"/>
    <w:rsid w:val="00D9792A"/>
    <w:rsid w:val="00DC0CC7"/>
    <w:rsid w:val="00DD377F"/>
    <w:rsid w:val="00E17493"/>
    <w:rsid w:val="00E229C4"/>
    <w:rsid w:val="00E25547"/>
    <w:rsid w:val="00E2773B"/>
    <w:rsid w:val="00E3287E"/>
    <w:rsid w:val="00E66197"/>
    <w:rsid w:val="00E939DC"/>
    <w:rsid w:val="00EB5BA5"/>
    <w:rsid w:val="00EF4195"/>
    <w:rsid w:val="00F202C3"/>
    <w:rsid w:val="00F23D94"/>
    <w:rsid w:val="00F307D5"/>
    <w:rsid w:val="00F31093"/>
    <w:rsid w:val="00F412AF"/>
    <w:rsid w:val="00F43667"/>
    <w:rsid w:val="00F447A7"/>
    <w:rsid w:val="00F45F70"/>
    <w:rsid w:val="00F467A2"/>
    <w:rsid w:val="00F567E6"/>
    <w:rsid w:val="00F73E21"/>
    <w:rsid w:val="00F743E1"/>
    <w:rsid w:val="00FA17D0"/>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36"/>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LineNumber">
    <w:name w:val="line number"/>
    <w:basedOn w:val="DefaultParagraphFont"/>
    <w:uiPriority w:val="99"/>
    <w:semiHidden/>
    <w:unhideWhenUsed/>
    <w:rsid w:val="00A6469F"/>
  </w:style>
  <w:style w:type="paragraph" w:customStyle="1" w:styleId="AUTHORAFFILIATION">
    <w:name w:val="AUTHOR AFFILIATION"/>
    <w:basedOn w:val="Normal"/>
    <w:rsid w:val="00A6469F"/>
    <w:pPr>
      <w:framePr w:w="5040" w:vSpace="200" w:wrap="auto" w:hAnchor="text" w:yAlign="bottom"/>
      <w:widowControl w:val="0"/>
      <w:spacing w:after="0" w:line="180" w:lineRule="exact"/>
      <w:jc w:val="both"/>
    </w:pPr>
    <w:rPr>
      <w:rFonts w:ascii="Palatino" w:hAnsi="Palatino"/>
      <w:i/>
      <w:kern w:val="16"/>
      <w:sz w:val="16"/>
      <w:szCs w:val="20"/>
      <w:lang w:bidi="ar-SA"/>
    </w:rPr>
  </w:style>
  <w:style w:type="paragraph" w:customStyle="1" w:styleId="MDPI18keywords">
    <w:name w:val="MDPI_1.8_keywords"/>
    <w:basedOn w:val="Normal"/>
    <w:next w:val="Normal"/>
    <w:qFormat/>
    <w:rsid w:val="00A6469F"/>
    <w:pPr>
      <w:adjustRightInd w:val="0"/>
      <w:snapToGrid w:val="0"/>
      <w:spacing w:before="240" w:after="0" w:line="260" w:lineRule="atLeast"/>
      <w:ind w:left="113"/>
      <w:jc w:val="both"/>
    </w:pPr>
    <w:rPr>
      <w:rFonts w:ascii="Palatino Linotype" w:hAnsi="Palatino Linotype"/>
      <w:snapToGrid w:val="0"/>
      <w:color w:val="000000"/>
      <w:sz w:val="20"/>
      <w:lang w:eastAsia="de-DE"/>
    </w:rPr>
  </w:style>
  <w:style w:type="paragraph" w:customStyle="1" w:styleId="Default">
    <w:name w:val="Default"/>
    <w:rsid w:val="00A6469F"/>
    <w:pPr>
      <w:autoSpaceDE w:val="0"/>
      <w:autoSpaceDN w:val="0"/>
      <w:adjustRightInd w:val="0"/>
    </w:pPr>
    <w:rPr>
      <w:rFonts w:ascii="Times New Roman" w:eastAsiaTheme="minorHAnsi" w:hAnsi="Times New Roman"/>
      <w:color w:val="000000"/>
      <w:sz w:val="24"/>
      <w:szCs w:val="24"/>
      <w:lang w:val="en-US" w:eastAsia="en-US"/>
    </w:rPr>
  </w:style>
  <w:style w:type="paragraph" w:customStyle="1" w:styleId="PARAGRAPHnoindent">
    <w:name w:val="PARAGRAPH (no indent)"/>
    <w:basedOn w:val="Normal"/>
    <w:next w:val="Normal"/>
    <w:rsid w:val="00A6469F"/>
    <w:pPr>
      <w:widowControl w:val="0"/>
      <w:spacing w:after="0" w:line="230" w:lineRule="exact"/>
      <w:jc w:val="both"/>
    </w:pPr>
    <w:rPr>
      <w:rFonts w:ascii="Palatino" w:hAnsi="Palatino"/>
      <w:kern w:val="16"/>
      <w:sz w:val="19"/>
      <w:szCs w:val="20"/>
      <w:lang w:bidi="ar-SA"/>
    </w:rPr>
  </w:style>
  <w:style w:type="paragraph" w:customStyle="1" w:styleId="MDPI62Acknowledgments">
    <w:name w:val="MDPI_6.2_Acknowledgments"/>
    <w:qFormat/>
    <w:rsid w:val="00A6469F"/>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character" w:customStyle="1" w:styleId="ref-journal">
    <w:name w:val="ref-journal"/>
    <w:rsid w:val="00A6469F"/>
  </w:style>
  <w:style w:type="character" w:customStyle="1" w:styleId="ref-vol">
    <w:name w:val="ref-vol"/>
    <w:rsid w:val="00A6469F"/>
  </w:style>
  <w:style w:type="character" w:customStyle="1" w:styleId="html-italic">
    <w:name w:val="html-italic"/>
    <w:rsid w:val="00A6469F"/>
  </w:style>
  <w:style w:type="character" w:styleId="Hyperlink">
    <w:name w:val="Hyperlink"/>
    <w:basedOn w:val="DefaultParagraphFont"/>
    <w:uiPriority w:val="99"/>
    <w:unhideWhenUsed/>
    <w:rsid w:val="00A6469F"/>
    <w:rPr>
      <w:color w:val="0000FF" w:themeColor="hyperlink"/>
      <w:u w:val="single"/>
    </w:rPr>
  </w:style>
  <w:style w:type="character" w:customStyle="1" w:styleId="pagesnum">
    <w:name w:val="pagesnum"/>
    <w:basedOn w:val="DefaultParagraphFont"/>
    <w:rsid w:val="00A6469F"/>
  </w:style>
  <w:style w:type="character" w:styleId="FollowedHyperlink">
    <w:name w:val="FollowedHyperlink"/>
    <w:basedOn w:val="DefaultParagraphFont"/>
    <w:uiPriority w:val="99"/>
    <w:semiHidden/>
    <w:unhideWhenUsed/>
    <w:rsid w:val="00A6469F"/>
    <w:rPr>
      <w:color w:val="800080" w:themeColor="followedHyperlink"/>
      <w:u w:val="single"/>
    </w:rPr>
  </w:style>
  <w:style w:type="table" w:styleId="PlainTable2">
    <w:name w:val="Plain Table 2"/>
    <w:basedOn w:val="TableNormal"/>
    <w:uiPriority w:val="42"/>
    <w:rsid w:val="00A6469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6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5583</Words>
  <Characters>31828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9</cp:revision>
  <dcterms:created xsi:type="dcterms:W3CDTF">2021-12-06T09:05:00Z</dcterms:created>
  <dcterms:modified xsi:type="dcterms:W3CDTF">2021-12-06T09:40:00Z</dcterms:modified>
</cp:coreProperties>
</file>