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5680" behindDoc="0" locked="0" layoutInCell="1" allowOverlap="1" wp14:anchorId="57B0F4A0" wp14:editId="315583E6">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D750A" w14:textId="1BDA5E13" w:rsidR="00F56ED3" w:rsidRPr="00F56ED3" w:rsidRDefault="00F56ED3" w:rsidP="00F56ED3">
      <w:pPr>
        <w:spacing w:after="0"/>
        <w:jc w:val="center"/>
        <w:rPr>
          <w:rFonts w:ascii="Times New Roman" w:hAnsi="Times New Roman"/>
          <w:sz w:val="28"/>
          <w:szCs w:val="28"/>
        </w:rPr>
      </w:pPr>
      <w:r w:rsidRPr="00F56ED3">
        <w:rPr>
          <w:rFonts w:ascii="Times New Roman" w:hAnsi="Times New Roman"/>
          <w:sz w:val="28"/>
          <w:szCs w:val="28"/>
        </w:rPr>
        <w:t>ANALYTICAL COMPARATIVE STUDIES OF ADSORPTION EFFICIENCY OF MCM-41 AND SBA-15 ON REMOVAL OF ANIONIC-AZO AND</w:t>
      </w:r>
      <w:r>
        <w:rPr>
          <w:rFonts w:ascii="Times New Roman" w:hAnsi="Times New Roman"/>
          <w:sz w:val="28"/>
          <w:szCs w:val="28"/>
        </w:rPr>
        <w:t xml:space="preserve"> </w:t>
      </w:r>
      <w:r w:rsidRPr="00F56ED3">
        <w:rPr>
          <w:rFonts w:ascii="Times New Roman" w:hAnsi="Times New Roman"/>
          <w:sz w:val="28"/>
          <w:szCs w:val="28"/>
        </w:rPr>
        <w:t>CATIONIC DYES FROM AQUEOUS SAMPLE</w:t>
      </w:r>
    </w:p>
    <w:p w14:paraId="552FE21D" w14:textId="77777777" w:rsidR="00F56ED3" w:rsidRPr="00F56ED3" w:rsidRDefault="00F56ED3" w:rsidP="00F56ED3">
      <w:pPr>
        <w:spacing w:after="0"/>
        <w:jc w:val="center"/>
        <w:rPr>
          <w:rFonts w:ascii="Times New Roman" w:hAnsi="Times New Roman"/>
          <w:sz w:val="24"/>
          <w:szCs w:val="24"/>
        </w:rPr>
      </w:pPr>
    </w:p>
    <w:p w14:paraId="29025884" w14:textId="7812BD1F" w:rsidR="00F56ED3" w:rsidRPr="00F56ED3" w:rsidRDefault="00F56ED3" w:rsidP="00F56ED3">
      <w:pPr>
        <w:spacing w:after="0"/>
        <w:jc w:val="center"/>
        <w:rPr>
          <w:rFonts w:ascii="Times New Roman" w:hAnsi="Times New Roman"/>
          <w:sz w:val="24"/>
          <w:szCs w:val="24"/>
        </w:rPr>
      </w:pPr>
      <w:r w:rsidRPr="00F56ED3">
        <w:rPr>
          <w:rFonts w:ascii="Times New Roman" w:hAnsi="Times New Roman"/>
          <w:sz w:val="24"/>
          <w:szCs w:val="24"/>
        </w:rPr>
        <w:t>(Kajian Perbandingan Analisis Keberkesanan Penjerapan MCM-41 dan SBA-15 untuk</w:t>
      </w:r>
      <w:r>
        <w:rPr>
          <w:rFonts w:ascii="Times New Roman" w:hAnsi="Times New Roman"/>
          <w:sz w:val="24"/>
          <w:szCs w:val="24"/>
        </w:rPr>
        <w:t xml:space="preserve"> </w:t>
      </w:r>
      <w:r w:rsidRPr="00F56ED3">
        <w:rPr>
          <w:rFonts w:ascii="Times New Roman" w:hAnsi="Times New Roman"/>
          <w:sz w:val="24"/>
          <w:szCs w:val="24"/>
        </w:rPr>
        <w:t>Penyingkiran Pewarna Anionik-Azo dan Kationik Dari Sampel Akueus)</w:t>
      </w:r>
    </w:p>
    <w:p w14:paraId="5A0A7B98" w14:textId="77777777" w:rsidR="00F56ED3" w:rsidRPr="00F56ED3" w:rsidRDefault="00F56ED3" w:rsidP="00F56ED3">
      <w:pPr>
        <w:spacing w:after="0"/>
        <w:jc w:val="center"/>
        <w:rPr>
          <w:rFonts w:ascii="Times New Roman" w:hAnsi="Times New Roman"/>
          <w:sz w:val="20"/>
          <w:szCs w:val="20"/>
        </w:rPr>
      </w:pPr>
    </w:p>
    <w:p w14:paraId="5F346689" w14:textId="77777777" w:rsidR="00F56ED3" w:rsidRPr="00F56ED3" w:rsidRDefault="00F56ED3" w:rsidP="00F56ED3">
      <w:pPr>
        <w:spacing w:after="0"/>
        <w:jc w:val="center"/>
        <w:rPr>
          <w:rFonts w:ascii="Times New Roman" w:hAnsi="Times New Roman"/>
          <w:sz w:val="20"/>
          <w:szCs w:val="20"/>
        </w:rPr>
      </w:pPr>
      <w:r w:rsidRPr="00F56ED3">
        <w:rPr>
          <w:rFonts w:ascii="Times New Roman" w:hAnsi="Times New Roman"/>
          <w:sz w:val="20"/>
          <w:szCs w:val="20"/>
        </w:rPr>
        <w:t>Nur Zabirah Zabi</w:t>
      </w:r>
      <w:r w:rsidRPr="00F56ED3">
        <w:rPr>
          <w:rFonts w:ascii="Times New Roman" w:hAnsi="Times New Roman"/>
          <w:sz w:val="20"/>
          <w:szCs w:val="20"/>
          <w:vertAlign w:val="superscript"/>
        </w:rPr>
        <w:t>1</w:t>
      </w:r>
      <w:r w:rsidRPr="00F56ED3">
        <w:rPr>
          <w:rFonts w:ascii="Times New Roman" w:hAnsi="Times New Roman"/>
          <w:sz w:val="20"/>
          <w:szCs w:val="20"/>
        </w:rPr>
        <w:t>, Wan Nazihah Wan Ibrahim</w:t>
      </w:r>
      <w:r w:rsidRPr="00F56ED3">
        <w:rPr>
          <w:rFonts w:ascii="Times New Roman" w:hAnsi="Times New Roman"/>
          <w:sz w:val="20"/>
          <w:szCs w:val="20"/>
          <w:vertAlign w:val="superscript"/>
        </w:rPr>
        <w:t>1</w:t>
      </w:r>
      <w:r w:rsidRPr="00F56ED3">
        <w:rPr>
          <w:rFonts w:ascii="Times New Roman" w:hAnsi="Times New Roman"/>
          <w:sz w:val="20"/>
          <w:szCs w:val="20"/>
        </w:rPr>
        <w:t>*,</w:t>
      </w:r>
      <w:r w:rsidRPr="00F56ED3">
        <w:rPr>
          <w:rFonts w:ascii="Times New Roman" w:hAnsi="Times New Roman"/>
          <w:sz w:val="20"/>
          <w:szCs w:val="20"/>
          <w:vertAlign w:val="superscript"/>
        </w:rPr>
        <w:t xml:space="preserve"> </w:t>
      </w:r>
      <w:r w:rsidRPr="00F56ED3">
        <w:rPr>
          <w:rFonts w:ascii="Times New Roman" w:hAnsi="Times New Roman"/>
          <w:sz w:val="20"/>
          <w:szCs w:val="20"/>
        </w:rPr>
        <w:t>Nur Husna Zainal Abidin</w:t>
      </w:r>
      <w:r w:rsidRPr="00F56ED3">
        <w:rPr>
          <w:rFonts w:ascii="Times New Roman" w:hAnsi="Times New Roman"/>
          <w:sz w:val="20"/>
          <w:szCs w:val="20"/>
          <w:vertAlign w:val="superscript"/>
        </w:rPr>
        <w:t>1</w:t>
      </w:r>
      <w:r w:rsidRPr="00F56ED3">
        <w:rPr>
          <w:rFonts w:ascii="Times New Roman" w:hAnsi="Times New Roman"/>
          <w:sz w:val="20"/>
          <w:szCs w:val="20"/>
        </w:rPr>
        <w:t>, Siti Syairah Mat Salleh</w:t>
      </w:r>
      <w:r w:rsidRPr="00F56ED3">
        <w:rPr>
          <w:rFonts w:ascii="Times New Roman" w:hAnsi="Times New Roman"/>
          <w:sz w:val="20"/>
          <w:szCs w:val="20"/>
          <w:vertAlign w:val="superscript"/>
        </w:rPr>
        <w:t>1</w:t>
      </w:r>
      <w:r w:rsidRPr="00F56ED3">
        <w:rPr>
          <w:rFonts w:ascii="Times New Roman" w:hAnsi="Times New Roman"/>
          <w:sz w:val="20"/>
          <w:szCs w:val="20"/>
        </w:rPr>
        <w:t xml:space="preserve">, </w:t>
      </w:r>
    </w:p>
    <w:p w14:paraId="224864D4" w14:textId="77777777" w:rsidR="00F56ED3" w:rsidRDefault="00F56ED3" w:rsidP="00F56ED3">
      <w:pPr>
        <w:spacing w:after="0"/>
        <w:jc w:val="center"/>
        <w:rPr>
          <w:rFonts w:ascii="Times New Roman" w:hAnsi="Times New Roman"/>
          <w:sz w:val="20"/>
          <w:szCs w:val="20"/>
        </w:rPr>
      </w:pPr>
      <w:r w:rsidRPr="00F56ED3">
        <w:rPr>
          <w:rFonts w:ascii="Times New Roman" w:hAnsi="Times New Roman"/>
          <w:sz w:val="20"/>
          <w:szCs w:val="20"/>
        </w:rPr>
        <w:t>Farah Amira Shahrul Effendi</w:t>
      </w:r>
      <w:r w:rsidRPr="00F56ED3">
        <w:rPr>
          <w:rFonts w:ascii="Times New Roman" w:hAnsi="Times New Roman"/>
          <w:sz w:val="20"/>
          <w:szCs w:val="20"/>
          <w:vertAlign w:val="superscript"/>
        </w:rPr>
        <w:t>1</w:t>
      </w:r>
      <w:r w:rsidRPr="00F56ED3">
        <w:rPr>
          <w:rFonts w:ascii="Times New Roman" w:hAnsi="Times New Roman"/>
          <w:sz w:val="20"/>
          <w:szCs w:val="20"/>
        </w:rPr>
        <w:t>, Isna Fazliana Mohamed Idrus</w:t>
      </w:r>
      <w:r w:rsidRPr="00F56ED3">
        <w:rPr>
          <w:rFonts w:ascii="Times New Roman" w:hAnsi="Times New Roman"/>
          <w:sz w:val="20"/>
          <w:szCs w:val="20"/>
          <w:vertAlign w:val="superscript"/>
        </w:rPr>
        <w:t>1</w:t>
      </w:r>
      <w:r w:rsidRPr="00F56ED3">
        <w:rPr>
          <w:rFonts w:ascii="Times New Roman" w:hAnsi="Times New Roman"/>
          <w:sz w:val="20"/>
          <w:szCs w:val="20"/>
        </w:rPr>
        <w:t>, Hamizah Md Rasid</w:t>
      </w:r>
      <w:r w:rsidRPr="00F56ED3">
        <w:rPr>
          <w:rFonts w:ascii="Times New Roman" w:hAnsi="Times New Roman"/>
          <w:sz w:val="20"/>
          <w:szCs w:val="20"/>
          <w:vertAlign w:val="superscript"/>
        </w:rPr>
        <w:t>1</w:t>
      </w:r>
      <w:r w:rsidRPr="00F56ED3">
        <w:rPr>
          <w:rFonts w:ascii="Times New Roman" w:hAnsi="Times New Roman"/>
          <w:sz w:val="20"/>
          <w:szCs w:val="20"/>
        </w:rPr>
        <w:t>, Nursyamsyila Mat Hadzir</w:t>
      </w:r>
      <w:r w:rsidRPr="00F56ED3">
        <w:rPr>
          <w:rFonts w:ascii="Times New Roman" w:hAnsi="Times New Roman"/>
          <w:sz w:val="20"/>
          <w:szCs w:val="20"/>
          <w:vertAlign w:val="superscript"/>
        </w:rPr>
        <w:t>1</w:t>
      </w:r>
      <w:r w:rsidRPr="00F56ED3">
        <w:rPr>
          <w:rFonts w:ascii="Times New Roman" w:hAnsi="Times New Roman"/>
          <w:sz w:val="20"/>
          <w:szCs w:val="20"/>
        </w:rPr>
        <w:t xml:space="preserve">, </w:t>
      </w:r>
    </w:p>
    <w:p w14:paraId="75B792D9" w14:textId="3DA29C06" w:rsidR="00F56ED3" w:rsidRPr="00F56ED3" w:rsidRDefault="00F56ED3" w:rsidP="00F56ED3">
      <w:pPr>
        <w:spacing w:after="0"/>
        <w:jc w:val="center"/>
        <w:rPr>
          <w:rFonts w:ascii="Times New Roman" w:hAnsi="Times New Roman"/>
          <w:sz w:val="20"/>
          <w:szCs w:val="20"/>
        </w:rPr>
      </w:pPr>
      <w:r w:rsidRPr="00F56ED3">
        <w:rPr>
          <w:rFonts w:ascii="Times New Roman" w:hAnsi="Times New Roman"/>
          <w:sz w:val="20"/>
          <w:szCs w:val="20"/>
        </w:rPr>
        <w:t>Nor Suhaila Mohamad Hanapi</w:t>
      </w:r>
      <w:r w:rsidRPr="00F56ED3">
        <w:rPr>
          <w:rFonts w:ascii="Times New Roman" w:hAnsi="Times New Roman"/>
          <w:sz w:val="20"/>
          <w:szCs w:val="20"/>
          <w:vertAlign w:val="superscript"/>
        </w:rPr>
        <w:t>1</w:t>
      </w:r>
      <w:r w:rsidRPr="00F56ED3">
        <w:rPr>
          <w:rFonts w:ascii="Times New Roman" w:hAnsi="Times New Roman"/>
          <w:sz w:val="20"/>
          <w:szCs w:val="20"/>
        </w:rPr>
        <w:t>, Mazhani Muhammad</w:t>
      </w:r>
      <w:r w:rsidRPr="00F56ED3">
        <w:rPr>
          <w:rFonts w:ascii="Times New Roman" w:hAnsi="Times New Roman"/>
          <w:sz w:val="20"/>
          <w:szCs w:val="20"/>
          <w:vertAlign w:val="superscript"/>
        </w:rPr>
        <w:t>2</w:t>
      </w:r>
    </w:p>
    <w:p w14:paraId="1E8980CD" w14:textId="77777777" w:rsidR="00F56ED3" w:rsidRPr="00F56ED3" w:rsidRDefault="00F56ED3" w:rsidP="00F56ED3">
      <w:pPr>
        <w:spacing w:after="0"/>
        <w:jc w:val="center"/>
        <w:rPr>
          <w:rFonts w:ascii="Times New Roman" w:hAnsi="Times New Roman"/>
          <w:sz w:val="18"/>
          <w:szCs w:val="18"/>
          <w:vertAlign w:val="superscript"/>
        </w:rPr>
      </w:pPr>
    </w:p>
    <w:p w14:paraId="6AE6C895" w14:textId="4E50D9E7" w:rsidR="00F56ED3" w:rsidRPr="00F56ED3" w:rsidRDefault="00F56ED3" w:rsidP="00F56ED3">
      <w:pPr>
        <w:spacing w:after="0"/>
        <w:jc w:val="center"/>
        <w:rPr>
          <w:rFonts w:ascii="Times New Roman" w:hAnsi="Times New Roman"/>
          <w:i/>
          <w:iCs/>
          <w:sz w:val="18"/>
          <w:szCs w:val="18"/>
        </w:rPr>
      </w:pPr>
      <w:r w:rsidRPr="00F56ED3">
        <w:rPr>
          <w:rFonts w:ascii="Times New Roman" w:hAnsi="Times New Roman"/>
          <w:i/>
          <w:iCs/>
          <w:sz w:val="18"/>
          <w:szCs w:val="18"/>
          <w:vertAlign w:val="superscript"/>
        </w:rPr>
        <w:t xml:space="preserve">1 </w:t>
      </w:r>
      <w:r w:rsidRPr="00F56ED3">
        <w:rPr>
          <w:rFonts w:ascii="Times New Roman" w:hAnsi="Times New Roman"/>
          <w:i/>
          <w:iCs/>
          <w:sz w:val="18"/>
          <w:szCs w:val="18"/>
        </w:rPr>
        <w:t>School of Chemistry and Environment, Faculty of Applied Sciences,</w:t>
      </w:r>
    </w:p>
    <w:p w14:paraId="32A9F224" w14:textId="77777777" w:rsidR="00F56ED3" w:rsidRPr="00F56ED3" w:rsidRDefault="00F56ED3" w:rsidP="00F56ED3">
      <w:pPr>
        <w:spacing w:after="0"/>
        <w:jc w:val="center"/>
        <w:rPr>
          <w:rFonts w:ascii="Times New Roman" w:hAnsi="Times New Roman"/>
          <w:i/>
          <w:iCs/>
          <w:sz w:val="18"/>
          <w:szCs w:val="18"/>
        </w:rPr>
      </w:pPr>
      <w:r w:rsidRPr="00F56ED3">
        <w:rPr>
          <w:rFonts w:ascii="Times New Roman" w:hAnsi="Times New Roman"/>
          <w:i/>
          <w:iCs/>
          <w:sz w:val="18"/>
          <w:szCs w:val="18"/>
        </w:rPr>
        <w:t>Universiti Teknologi MARA, 40450 Shah Alam, Selangor, Malaysia</w:t>
      </w:r>
    </w:p>
    <w:p w14:paraId="3CBB2C37" w14:textId="77777777" w:rsidR="00F56ED3" w:rsidRPr="00F56ED3" w:rsidRDefault="00F56ED3" w:rsidP="00F56ED3">
      <w:pPr>
        <w:spacing w:after="0"/>
        <w:jc w:val="center"/>
        <w:rPr>
          <w:rFonts w:ascii="Times New Roman" w:hAnsi="Times New Roman"/>
          <w:i/>
          <w:iCs/>
          <w:sz w:val="18"/>
          <w:szCs w:val="18"/>
        </w:rPr>
      </w:pPr>
      <w:bookmarkStart w:id="0" w:name="_Hlk65673782"/>
      <w:r w:rsidRPr="00F56ED3">
        <w:rPr>
          <w:rFonts w:ascii="Times New Roman" w:hAnsi="Times New Roman"/>
          <w:i/>
          <w:iCs/>
          <w:sz w:val="18"/>
          <w:szCs w:val="18"/>
          <w:vertAlign w:val="superscript"/>
        </w:rPr>
        <w:t>2</w:t>
      </w:r>
      <w:r w:rsidRPr="00F56ED3">
        <w:rPr>
          <w:rFonts w:ascii="Times New Roman" w:hAnsi="Times New Roman"/>
          <w:i/>
          <w:iCs/>
          <w:sz w:val="18"/>
          <w:szCs w:val="18"/>
        </w:rPr>
        <w:t xml:space="preserve">Centre of Foundation Studies (CFS), </w:t>
      </w:r>
    </w:p>
    <w:p w14:paraId="739C0B5A" w14:textId="77777777" w:rsidR="00F56ED3" w:rsidRPr="00F56ED3" w:rsidRDefault="00F56ED3" w:rsidP="00F56ED3">
      <w:pPr>
        <w:spacing w:after="0"/>
        <w:jc w:val="center"/>
        <w:rPr>
          <w:rFonts w:ascii="Times New Roman" w:hAnsi="Times New Roman"/>
          <w:i/>
          <w:iCs/>
          <w:sz w:val="18"/>
          <w:szCs w:val="18"/>
        </w:rPr>
      </w:pPr>
      <w:r w:rsidRPr="00F56ED3">
        <w:rPr>
          <w:rFonts w:ascii="Times New Roman" w:hAnsi="Times New Roman"/>
          <w:i/>
          <w:iCs/>
          <w:sz w:val="18"/>
          <w:szCs w:val="18"/>
        </w:rPr>
        <w:t>Universiti Teknologi MARA, 438000 Dengkil Campus, Selangor, Malaysia</w:t>
      </w:r>
    </w:p>
    <w:p w14:paraId="446C5F93" w14:textId="77777777" w:rsidR="00F56ED3" w:rsidRPr="00F56ED3" w:rsidRDefault="00F56ED3" w:rsidP="00F56ED3">
      <w:pPr>
        <w:spacing w:after="0"/>
        <w:jc w:val="center"/>
        <w:rPr>
          <w:rFonts w:ascii="Times New Roman" w:hAnsi="Times New Roman"/>
          <w:i/>
          <w:iCs/>
          <w:sz w:val="18"/>
          <w:szCs w:val="18"/>
        </w:rPr>
      </w:pPr>
    </w:p>
    <w:bookmarkEnd w:id="0"/>
    <w:p w14:paraId="0C9B6931" w14:textId="0EC4584D" w:rsidR="00F56ED3" w:rsidRPr="00F56ED3" w:rsidRDefault="00F56ED3" w:rsidP="00F56ED3">
      <w:pPr>
        <w:spacing w:after="0"/>
        <w:jc w:val="center"/>
        <w:rPr>
          <w:rFonts w:ascii="Times New Roman" w:hAnsi="Times New Roman"/>
          <w:i/>
          <w:iCs/>
          <w:sz w:val="18"/>
          <w:szCs w:val="18"/>
        </w:rPr>
      </w:pPr>
      <w:r w:rsidRPr="00F56ED3">
        <w:rPr>
          <w:rFonts w:ascii="Times New Roman" w:hAnsi="Times New Roman"/>
          <w:i/>
          <w:iCs/>
          <w:sz w:val="18"/>
          <w:szCs w:val="18"/>
        </w:rPr>
        <w:t>*Corresponding author:</w:t>
      </w:r>
      <w:r>
        <w:rPr>
          <w:rFonts w:ascii="Times New Roman" w:hAnsi="Times New Roman"/>
          <w:i/>
          <w:iCs/>
          <w:sz w:val="18"/>
          <w:szCs w:val="18"/>
        </w:rPr>
        <w:t xml:space="preserve"> </w:t>
      </w:r>
      <w:r w:rsidRPr="00F56ED3">
        <w:rPr>
          <w:rFonts w:ascii="Times New Roman" w:hAnsi="Times New Roman"/>
          <w:i/>
          <w:iCs/>
          <w:sz w:val="18"/>
          <w:szCs w:val="18"/>
        </w:rPr>
        <w:t xml:space="preserve"> wannazihah@uitm.edu.my</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11BAB241"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75110A">
        <w:rPr>
          <w:rFonts w:ascii="Times New Roman" w:hAnsi="Times New Roman"/>
          <w:noProof/>
          <w:sz w:val="18"/>
          <w:szCs w:val="18"/>
          <w:lang w:bidi="ar-SA"/>
        </w:rPr>
        <w:t>29 June 2021</w:t>
      </w:r>
      <w:r w:rsidRPr="00383C16">
        <w:rPr>
          <w:rFonts w:ascii="Times New Roman" w:hAnsi="Times New Roman"/>
          <w:noProof/>
          <w:sz w:val="18"/>
          <w:szCs w:val="18"/>
          <w:lang w:bidi="ar-SA"/>
        </w:rPr>
        <w:t xml:space="preserve">; Accepted: </w:t>
      </w:r>
      <w:r w:rsidR="0075110A">
        <w:rPr>
          <w:rFonts w:ascii="Times New Roman" w:hAnsi="Times New Roman"/>
          <w:noProof/>
          <w:sz w:val="18"/>
          <w:szCs w:val="18"/>
          <w:lang w:bidi="ar-SA"/>
        </w:rPr>
        <w:t>15 August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743E1">
        <w:rPr>
          <w:rFonts w:ascii="Times New Roman" w:hAnsi="Times New Roman"/>
          <w:noProof/>
          <w:sz w:val="18"/>
          <w:szCs w:val="18"/>
          <w:lang w:bidi="ar-SA"/>
        </w:rPr>
        <w:t>October</w:t>
      </w:r>
      <w:r w:rsidR="00383C16" w:rsidRPr="00383C16">
        <w:rPr>
          <w:rFonts w:ascii="Times New Roman" w:hAnsi="Times New Roman"/>
          <w:noProof/>
          <w:sz w:val="18"/>
          <w:szCs w:val="18"/>
          <w:lang w:bidi="ar-SA"/>
        </w:rPr>
        <w:t xml:space="preserve">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76ED9C3F" w14:textId="77777777" w:rsidR="00F56ED3" w:rsidRDefault="00F56ED3" w:rsidP="00F56ED3">
      <w:pPr>
        <w:spacing w:after="0"/>
        <w:jc w:val="both"/>
        <w:rPr>
          <w:rFonts w:ascii="Times New Roman" w:hAnsi="Times New Roman"/>
          <w:sz w:val="18"/>
          <w:szCs w:val="18"/>
        </w:rPr>
      </w:pPr>
      <w:bookmarkStart w:id="1" w:name="_Hlk65673596"/>
      <w:r w:rsidRPr="002F1747">
        <w:rPr>
          <w:rFonts w:ascii="Times New Roman" w:hAnsi="Times New Roman"/>
          <w:sz w:val="18"/>
          <w:szCs w:val="18"/>
        </w:rPr>
        <w:t xml:space="preserve">Mobil Composition of Matter No. 41 (MCM-41) and Santa Barbara Amorphous (SBA-15), a type of mesoporous adsorbents,  were successfully prepared via mixed cationic-neutral templating route and sol-gel method, respectively. Analytically, the prepared materials were compared to remove anionic azo (methyl orange) and cationic dyes (methylene blue) from highly colored solutions. Both adsorbents were characterized using Fourier transform infrared (FTIR), field emission scanning electron microscopy (FESEM), and </w:t>
      </w:r>
      <w:r>
        <w:rPr>
          <w:rFonts w:ascii="Times New Roman" w:hAnsi="Times New Roman"/>
          <w:sz w:val="18"/>
          <w:szCs w:val="18"/>
        </w:rPr>
        <w:t>n</w:t>
      </w:r>
      <w:r w:rsidRPr="002F1747">
        <w:rPr>
          <w:rFonts w:ascii="Times New Roman" w:hAnsi="Times New Roman"/>
          <w:sz w:val="18"/>
          <w:szCs w:val="18"/>
        </w:rPr>
        <w:t>itrogen adsorption/desorption to enhance the understanding of structure and surface properties. To assess the efficiency of the prepared adsorbents, the pH of the sample, the initial concentration of the dyes, and contact time were studied. At optimum conditions, maximum adsorption capacities for methyl orange (MO) and methylene blue (MB) using MCM-41 were 4.757 mg/g and 16.00 mg/g and for SBA-15 the maximum adsorption capacities were 20.212 mg/g and 10.45 mg/g, respectively. Furthermore, Langmuir and Freundlich isotherm models were selected to describe the adsorption process while pseudo-first-order and pseudo-second-order kinetics equations were applied to determine the adsorption kinetics. The obtained results showed that SBA-15 can remove both dyes 38.53% better than MCM-41 due to higher surface area, which was 507 m</w:t>
      </w:r>
      <w:r w:rsidRPr="002F1747">
        <w:rPr>
          <w:rFonts w:ascii="Times New Roman" w:hAnsi="Times New Roman"/>
          <w:sz w:val="18"/>
          <w:szCs w:val="18"/>
          <w:vertAlign w:val="superscript"/>
        </w:rPr>
        <w:t>2</w:t>
      </w:r>
      <w:r w:rsidRPr="002F1747">
        <w:rPr>
          <w:rFonts w:ascii="Times New Roman" w:hAnsi="Times New Roman"/>
          <w:sz w:val="18"/>
          <w:szCs w:val="18"/>
        </w:rPr>
        <w:t>/g compared to 436 m</w:t>
      </w:r>
      <w:r w:rsidRPr="002F1747">
        <w:rPr>
          <w:rFonts w:ascii="Times New Roman" w:hAnsi="Times New Roman"/>
          <w:sz w:val="18"/>
          <w:szCs w:val="18"/>
          <w:vertAlign w:val="superscript"/>
        </w:rPr>
        <w:t>2</w:t>
      </w:r>
      <w:r w:rsidRPr="002F1747">
        <w:rPr>
          <w:rFonts w:ascii="Times New Roman" w:hAnsi="Times New Roman"/>
          <w:sz w:val="18"/>
          <w:szCs w:val="18"/>
        </w:rPr>
        <w:t xml:space="preserve">/g for MCM-41.  </w:t>
      </w:r>
      <w:bookmarkEnd w:id="1"/>
    </w:p>
    <w:p w14:paraId="149013F3" w14:textId="77777777" w:rsidR="00F56ED3" w:rsidRPr="002F1747" w:rsidRDefault="00F56ED3" w:rsidP="00F56ED3">
      <w:pPr>
        <w:spacing w:after="0"/>
        <w:jc w:val="both"/>
        <w:rPr>
          <w:rFonts w:ascii="Times New Roman" w:hAnsi="Times New Roman"/>
          <w:sz w:val="18"/>
          <w:szCs w:val="18"/>
        </w:rPr>
      </w:pPr>
    </w:p>
    <w:p w14:paraId="765A1CE1" w14:textId="76255107" w:rsidR="00F56ED3" w:rsidRPr="002F1747" w:rsidRDefault="00F56ED3" w:rsidP="00F56ED3">
      <w:pPr>
        <w:spacing w:after="0"/>
        <w:jc w:val="both"/>
        <w:rPr>
          <w:rFonts w:ascii="Times New Roman" w:hAnsi="Times New Roman"/>
          <w:sz w:val="18"/>
          <w:szCs w:val="18"/>
        </w:rPr>
      </w:pPr>
      <w:r w:rsidRPr="002F1747">
        <w:rPr>
          <w:rFonts w:ascii="Times New Roman" w:hAnsi="Times New Roman"/>
          <w:b/>
          <w:bCs/>
          <w:sz w:val="18"/>
          <w:szCs w:val="18"/>
        </w:rPr>
        <w:t>Keywords:</w:t>
      </w:r>
      <w:r w:rsidRPr="002F1747">
        <w:rPr>
          <w:rFonts w:ascii="Times New Roman" w:hAnsi="Times New Roman"/>
          <w:sz w:val="18"/>
          <w:szCs w:val="18"/>
        </w:rPr>
        <w:t xml:space="preserve"> </w:t>
      </w:r>
      <w:r>
        <w:rPr>
          <w:rFonts w:ascii="Times New Roman" w:hAnsi="Times New Roman"/>
          <w:sz w:val="18"/>
          <w:szCs w:val="18"/>
        </w:rPr>
        <w:t xml:space="preserve"> </w:t>
      </w:r>
      <w:r w:rsidRPr="002F1747">
        <w:rPr>
          <w:rFonts w:ascii="Times New Roman" w:hAnsi="Times New Roman"/>
          <w:sz w:val="18"/>
          <w:szCs w:val="18"/>
        </w:rPr>
        <w:t>cationic dyes, anionic dyes, adsorption, mesoporous silica</w:t>
      </w:r>
    </w:p>
    <w:p w14:paraId="4544A972" w14:textId="77777777" w:rsidR="00F56ED3" w:rsidRDefault="00F56ED3" w:rsidP="00F56ED3">
      <w:pPr>
        <w:spacing w:after="0"/>
        <w:jc w:val="center"/>
        <w:rPr>
          <w:rFonts w:ascii="Times New Roman" w:hAnsi="Times New Roman"/>
          <w:b/>
          <w:bCs/>
          <w:sz w:val="18"/>
          <w:szCs w:val="18"/>
        </w:rPr>
      </w:pPr>
    </w:p>
    <w:p w14:paraId="7A12C824" w14:textId="5EAD9BF3" w:rsidR="00F56ED3" w:rsidRPr="002F1747" w:rsidRDefault="00F56ED3" w:rsidP="00F56ED3">
      <w:pPr>
        <w:spacing w:after="0"/>
        <w:jc w:val="center"/>
        <w:rPr>
          <w:rFonts w:ascii="Times New Roman" w:hAnsi="Times New Roman"/>
          <w:b/>
          <w:bCs/>
          <w:sz w:val="18"/>
          <w:szCs w:val="18"/>
        </w:rPr>
      </w:pPr>
      <w:r w:rsidRPr="002F1747">
        <w:rPr>
          <w:rFonts w:ascii="Times New Roman" w:hAnsi="Times New Roman"/>
          <w:b/>
          <w:bCs/>
          <w:sz w:val="18"/>
          <w:szCs w:val="18"/>
        </w:rPr>
        <w:t>Abstrak</w:t>
      </w:r>
    </w:p>
    <w:p w14:paraId="3D94F634" w14:textId="10A278D9" w:rsidR="00F56ED3" w:rsidRDefault="00F56ED3" w:rsidP="00F56ED3">
      <w:pPr>
        <w:spacing w:after="0"/>
        <w:jc w:val="both"/>
        <w:rPr>
          <w:rFonts w:ascii="Times New Roman" w:hAnsi="Times New Roman"/>
          <w:sz w:val="18"/>
          <w:szCs w:val="18"/>
        </w:rPr>
      </w:pPr>
      <w:r w:rsidRPr="002F1747">
        <w:rPr>
          <w:rFonts w:ascii="Times New Roman" w:hAnsi="Times New Roman"/>
          <w:sz w:val="18"/>
          <w:szCs w:val="18"/>
        </w:rPr>
        <w:t xml:space="preserve">Komposisi Mobil Perkara 41 (MCM-41) dan Santa Barbara Amorfous (SBA-15) jenis penjerap mesopori berjaya disediakan melalui kaedah templat neutral kationik-neutral dan kaedah sol-gel. Bahan yang disediakan dibandingkan secara analitikal untuk mengeluarkan pewarna azo anionik (oren metil) dan pewarna kationik (biru metilena) dari larutan yang sangat berwarna. Kedua-dua penjerap dicirikan menggunakan inframerah jelmaan Fourier (FTIR), mikroskopi elektron pengimbasan pelepasan </w:t>
      </w:r>
      <w:r>
        <w:rPr>
          <w:rFonts w:ascii="Times New Roman" w:hAnsi="Times New Roman"/>
          <w:sz w:val="18"/>
          <w:szCs w:val="18"/>
        </w:rPr>
        <w:t>m</w:t>
      </w:r>
      <w:r w:rsidRPr="002F1747">
        <w:rPr>
          <w:rFonts w:ascii="Times New Roman" w:hAnsi="Times New Roman"/>
          <w:sz w:val="18"/>
          <w:szCs w:val="18"/>
        </w:rPr>
        <w:t xml:space="preserve">edan </w:t>
      </w:r>
      <w:r w:rsidRPr="002F1747">
        <w:rPr>
          <w:rFonts w:ascii="Times New Roman" w:hAnsi="Times New Roman"/>
          <w:sz w:val="18"/>
          <w:szCs w:val="18"/>
        </w:rPr>
        <w:lastRenderedPageBreak/>
        <w:t xml:space="preserve">(FESEM) dan penjerapan/penyahjerapan </w:t>
      </w:r>
      <w:r>
        <w:rPr>
          <w:rFonts w:ascii="Times New Roman" w:hAnsi="Times New Roman"/>
          <w:sz w:val="18"/>
          <w:szCs w:val="18"/>
        </w:rPr>
        <w:t>n</w:t>
      </w:r>
      <w:r w:rsidRPr="002F1747">
        <w:rPr>
          <w:rFonts w:ascii="Times New Roman" w:hAnsi="Times New Roman"/>
          <w:sz w:val="18"/>
          <w:szCs w:val="18"/>
        </w:rPr>
        <w:t>itrogen untuk meningkatkan pemahaman mengenai sifat struktur dan permukaan. Untuk menilai kecekapan penjerap yang telah disediakan, tiga parameter telah dikaji iaitu pH sampel, kepekatan awal pewarna dan masa penyentuhan. Pada keadaan optimum, kapasiti penjerapan maksimum untuk metil oren (MO) dan metilena biru (MB) menggunakan MCM-41 ialah 4.757 mg/g dan 16.00 mg/g dan untuk SBA-15 kapasiti penjerapan maksimum ialah 20.212 mg/g dan 10.45 mg/g masing-masing. Selanjutnya, model isoterm Langmuir dan Freundlich dipilih untuk menggambarkan proses penjerapan sementara persamaan kinetik turutan-pseudo-pertama dan turutan-pseudo-kedua digunakan untuk menentukan kinetik penjerapan. Hasil perolehan menunjukkan bahawa SBA-15 dapat menyerap kedua-dua pewarna 38.53% lebih baik daripada MCM-41 kerana luas permukaannya yang lebih tinggi iaitu 507 m</w:t>
      </w:r>
      <w:r w:rsidRPr="002F1747">
        <w:rPr>
          <w:rFonts w:ascii="Times New Roman" w:hAnsi="Times New Roman"/>
          <w:sz w:val="18"/>
          <w:szCs w:val="18"/>
          <w:vertAlign w:val="superscript"/>
        </w:rPr>
        <w:t>2</w:t>
      </w:r>
      <w:r w:rsidRPr="002F1747">
        <w:rPr>
          <w:rFonts w:ascii="Times New Roman" w:hAnsi="Times New Roman"/>
          <w:sz w:val="18"/>
          <w:szCs w:val="18"/>
        </w:rPr>
        <w:t>/g berbanding dengan 436 m</w:t>
      </w:r>
      <w:r w:rsidRPr="002F1747">
        <w:rPr>
          <w:rFonts w:ascii="Times New Roman" w:hAnsi="Times New Roman"/>
          <w:sz w:val="18"/>
          <w:szCs w:val="18"/>
          <w:vertAlign w:val="superscript"/>
        </w:rPr>
        <w:t>2</w:t>
      </w:r>
      <w:r w:rsidRPr="002F1747">
        <w:rPr>
          <w:rFonts w:ascii="Times New Roman" w:hAnsi="Times New Roman"/>
          <w:sz w:val="18"/>
          <w:szCs w:val="18"/>
        </w:rPr>
        <w:t>/g untuk MCM-41.</w:t>
      </w:r>
    </w:p>
    <w:p w14:paraId="4402E7AF" w14:textId="77777777" w:rsidR="00F56ED3" w:rsidRDefault="00F56ED3" w:rsidP="00F56ED3">
      <w:pPr>
        <w:spacing w:after="0"/>
        <w:jc w:val="both"/>
        <w:rPr>
          <w:rFonts w:ascii="Times New Roman" w:hAnsi="Times New Roman"/>
          <w:sz w:val="18"/>
          <w:szCs w:val="18"/>
        </w:rPr>
      </w:pPr>
    </w:p>
    <w:p w14:paraId="16B5FCBD" w14:textId="3E7F1006" w:rsidR="00F56ED3" w:rsidRPr="002F1747" w:rsidRDefault="00F56ED3" w:rsidP="00F56ED3">
      <w:pPr>
        <w:spacing w:after="0"/>
        <w:jc w:val="both"/>
        <w:rPr>
          <w:rFonts w:ascii="Times New Roman" w:hAnsi="Times New Roman"/>
          <w:sz w:val="18"/>
          <w:szCs w:val="18"/>
        </w:rPr>
      </w:pPr>
      <w:r w:rsidRPr="002F1747">
        <w:rPr>
          <w:rFonts w:ascii="Times New Roman" w:hAnsi="Times New Roman"/>
          <w:b/>
          <w:bCs/>
          <w:sz w:val="18"/>
          <w:szCs w:val="18"/>
        </w:rPr>
        <w:t>K</w:t>
      </w:r>
      <w:r>
        <w:rPr>
          <w:rFonts w:ascii="Times New Roman" w:hAnsi="Times New Roman"/>
          <w:b/>
          <w:bCs/>
          <w:sz w:val="18"/>
          <w:szCs w:val="18"/>
        </w:rPr>
        <w:t>ata kunci</w:t>
      </w:r>
      <w:r w:rsidRPr="002F1747">
        <w:rPr>
          <w:rFonts w:ascii="Times New Roman" w:hAnsi="Times New Roman"/>
          <w:b/>
          <w:bCs/>
          <w:sz w:val="18"/>
          <w:szCs w:val="18"/>
        </w:rPr>
        <w:t>:</w:t>
      </w:r>
      <w:r w:rsidRPr="002F1747">
        <w:rPr>
          <w:rFonts w:ascii="Times New Roman" w:hAnsi="Times New Roman"/>
          <w:sz w:val="18"/>
          <w:szCs w:val="18"/>
        </w:rPr>
        <w:t xml:space="preserve"> </w:t>
      </w:r>
      <w:r>
        <w:rPr>
          <w:rFonts w:ascii="Times New Roman" w:hAnsi="Times New Roman"/>
          <w:sz w:val="18"/>
          <w:szCs w:val="18"/>
        </w:rPr>
        <w:t xml:space="preserve"> pewarna kation</w:t>
      </w:r>
      <w:r w:rsidRPr="002F1747">
        <w:rPr>
          <w:rFonts w:ascii="Times New Roman" w:hAnsi="Times New Roman"/>
          <w:sz w:val="18"/>
          <w:szCs w:val="18"/>
        </w:rPr>
        <w:t xml:space="preserve">, </w:t>
      </w:r>
      <w:r>
        <w:rPr>
          <w:rFonts w:ascii="Times New Roman" w:hAnsi="Times New Roman"/>
          <w:sz w:val="18"/>
          <w:szCs w:val="18"/>
        </w:rPr>
        <w:t>pewarna anion</w:t>
      </w:r>
      <w:r w:rsidRPr="002F1747">
        <w:rPr>
          <w:rFonts w:ascii="Times New Roman" w:hAnsi="Times New Roman"/>
          <w:sz w:val="18"/>
          <w:szCs w:val="18"/>
        </w:rPr>
        <w:t xml:space="preserve">, </w:t>
      </w:r>
      <w:r>
        <w:rPr>
          <w:rFonts w:ascii="Times New Roman" w:hAnsi="Times New Roman"/>
          <w:sz w:val="18"/>
          <w:szCs w:val="18"/>
        </w:rPr>
        <w:t>penjerapan</w:t>
      </w:r>
      <w:r w:rsidRPr="002F1747">
        <w:rPr>
          <w:rFonts w:ascii="Times New Roman" w:hAnsi="Times New Roman"/>
          <w:sz w:val="18"/>
          <w:szCs w:val="18"/>
        </w:rPr>
        <w:t xml:space="preserve">, </w:t>
      </w:r>
      <w:r>
        <w:rPr>
          <w:rFonts w:ascii="Times New Roman" w:hAnsi="Times New Roman"/>
          <w:sz w:val="18"/>
          <w:szCs w:val="18"/>
        </w:rPr>
        <w:t>silika mesopori</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48A5DA90" w14:textId="77777777" w:rsidR="00B71E50" w:rsidRDefault="00B71E50" w:rsidP="00383C16">
      <w:pPr>
        <w:spacing w:after="0"/>
        <w:jc w:val="center"/>
        <w:rPr>
          <w:rFonts w:ascii="Times New Roman" w:hAnsi="Times New Roman"/>
          <w:b/>
          <w:noProof/>
          <w:sz w:val="20"/>
          <w:szCs w:val="20"/>
          <w:lang w:bidi="ar-SA"/>
        </w:rPr>
        <w:sectPr w:rsidR="00B71E50"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46D3DBD8"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45B32BB6" w14:textId="239C6B37" w:rsidR="00F56ED3" w:rsidRDefault="00F56ED3" w:rsidP="00F56ED3">
      <w:pPr>
        <w:spacing w:after="0"/>
        <w:jc w:val="both"/>
        <w:rPr>
          <w:rFonts w:ascii="Times New Roman" w:hAnsi="Times New Roman"/>
          <w:sz w:val="20"/>
          <w:szCs w:val="20"/>
        </w:rPr>
      </w:pPr>
      <w:r w:rsidRPr="00F56ED3">
        <w:rPr>
          <w:rFonts w:ascii="Times New Roman" w:hAnsi="Times New Roman"/>
          <w:sz w:val="20"/>
          <w:szCs w:val="20"/>
        </w:rPr>
        <w:t>Dye molecules contain chromophore and auxochrome structures. Chromophore group contains a double bond that oscillates to absorb light and causes a dye to have a visible colour [1]. Natural dyes gave dull colors and were commonly used in the European textile industry before synthetic dyes were produced in 1856 [2]. Dyes are widely used in foods, medicines, and clothes resulting in an increase in dye production [3]. Acid dyes, basic dyes, direct dyes, disperse dyes, reactive dyes and vat dyes are commonly used in textile industrial products [4]. MO is an example of acid or anionic dye that belongs to azo dye which consists of one or more azo groups (-N=N-) between the carbons [5, 6]. Azo dyes are also commonly used in food and could cause bladder cancer when consumed, due to the presence of benzidine, a known carcinogenic agent [7, 8] MB is a basic or cationic dye with a structure of heterocyclic aromatic chemical compound [9]. MB can cause a burning sensation leading to permament injury when in contact with the eyes [10]. In addition to the health effect, the environment could also be affected by the pollution of dyes as this water-soluble compound cannot be easily removed through a filtration method. As a result, it can affect the symbiotic process due to the prevention of light penetration, which leads to low photosynthetic activity in the water [11]. Besides that, a large number of synthetic dyes are released into wastewater during coloration process due to illegal and improper waste management [3].</w:t>
      </w:r>
    </w:p>
    <w:p w14:paraId="42C9D9BF" w14:textId="77777777" w:rsidR="00F56ED3" w:rsidRPr="00F56ED3" w:rsidRDefault="00F56ED3" w:rsidP="00F56ED3">
      <w:pPr>
        <w:spacing w:after="0"/>
        <w:jc w:val="both"/>
        <w:rPr>
          <w:rFonts w:ascii="Times New Roman" w:hAnsi="Times New Roman"/>
          <w:sz w:val="20"/>
          <w:szCs w:val="20"/>
        </w:rPr>
      </w:pPr>
    </w:p>
    <w:p w14:paraId="05A0B405" w14:textId="345F8F08" w:rsidR="00F56ED3" w:rsidRDefault="00F56ED3" w:rsidP="00F56ED3">
      <w:pPr>
        <w:spacing w:after="0"/>
        <w:jc w:val="both"/>
        <w:rPr>
          <w:rFonts w:ascii="Times New Roman" w:hAnsi="Times New Roman"/>
          <w:sz w:val="20"/>
          <w:szCs w:val="20"/>
        </w:rPr>
      </w:pPr>
      <w:r w:rsidRPr="00F56ED3">
        <w:rPr>
          <w:rFonts w:ascii="Times New Roman" w:hAnsi="Times New Roman"/>
          <w:sz w:val="20"/>
          <w:szCs w:val="20"/>
        </w:rPr>
        <w:t xml:space="preserve">Various techniques have been developed to remove dye from water including nanofiltration [12], electrochemical coagulation [13], reverse osmosis [14], photochemical degradation [15], ion exchange [16] and </w:t>
      </w:r>
      <w:r w:rsidRPr="00F56ED3">
        <w:rPr>
          <w:rFonts w:ascii="Times New Roman" w:hAnsi="Times New Roman"/>
          <w:sz w:val="20"/>
          <w:szCs w:val="20"/>
        </w:rPr>
        <w:t>adsorption. However, adsorption is more beneficial compared to other techniques due to the simplicity of design, case of operation, initial cost, and insensitivity to toxic substances [17]. The efficiency of the adsorption technique is based on the adsorbent properties, which are high adsorption capacity and selectivity, good mechanical stability, resource abundance, and environmental friendly [18]. Therefore, scientists have developed various kinds of adsorbent from coffee wastes [5], banana plant-derived sorbents [19], calcined and uncalcined Mg/Al layered double hydroxide [20], cellulose-based porous adsorbents [21], activated carbons [22, 23], magnetic lignin-based adsorbent [24], anionic clay-layered double hydroxide [25], amino-cross linked hypromellose [26], and layered double hydroxide/polyacrylamide nanocomposite hydrogels [27] to increase the efficiency of removing a dye. Nonetheless, these types of adsorbents may have their drawbacks such as, expensive to synthesize, difficult to dispose, low adsorption efficiency or difficult, and costly to regenerate [28, 29]. The discovery of mesoporous silica has garnered a lot of attention from researchers since it has high surface areas and well-defined pore structures [30]. The first mesoporous material was created through hydrothermal reaction using aluminisilicate gel with the presence of surfactants [31]</w:t>
      </w:r>
      <w:r>
        <w:rPr>
          <w:rFonts w:ascii="Times New Roman" w:hAnsi="Times New Roman"/>
          <w:sz w:val="20"/>
          <w:szCs w:val="20"/>
        </w:rPr>
        <w:t>.</w:t>
      </w:r>
    </w:p>
    <w:p w14:paraId="7F95E42D" w14:textId="77777777" w:rsidR="00F56ED3" w:rsidRPr="00F56ED3" w:rsidRDefault="00F56ED3" w:rsidP="00F56ED3">
      <w:pPr>
        <w:spacing w:after="0"/>
        <w:jc w:val="both"/>
        <w:rPr>
          <w:rFonts w:ascii="Times New Roman" w:hAnsi="Times New Roman"/>
          <w:sz w:val="20"/>
          <w:szCs w:val="20"/>
        </w:rPr>
      </w:pPr>
    </w:p>
    <w:p w14:paraId="0126E190" w14:textId="50FEE2F9" w:rsidR="00F56ED3" w:rsidRDefault="00F56ED3" w:rsidP="00F56ED3">
      <w:pPr>
        <w:spacing w:after="0"/>
        <w:jc w:val="both"/>
        <w:rPr>
          <w:rFonts w:ascii="Times New Roman" w:hAnsi="Times New Roman"/>
          <w:sz w:val="20"/>
          <w:szCs w:val="20"/>
          <w:lang w:val="en-GB"/>
        </w:rPr>
      </w:pPr>
      <w:bookmarkStart w:id="2" w:name="_Hlk65580194"/>
      <w:r w:rsidRPr="00F56ED3">
        <w:rPr>
          <w:rFonts w:ascii="Times New Roman" w:hAnsi="Times New Roman"/>
          <w:sz w:val="20"/>
          <w:szCs w:val="20"/>
        </w:rPr>
        <w:t xml:space="preserve">Mobil Composition of Matter No. 41 (MCM-41) and Santa Barbara Amorphous (SBA-15) are a member of the mesoporous family and are suitable </w:t>
      </w:r>
      <w:bookmarkEnd w:id="2"/>
      <w:r w:rsidRPr="00F56ED3">
        <w:rPr>
          <w:rFonts w:ascii="Times New Roman" w:hAnsi="Times New Roman"/>
          <w:sz w:val="20"/>
          <w:szCs w:val="20"/>
        </w:rPr>
        <w:t>for dye removal due to their high specific surface area ranging from 500 to 1000 m</w:t>
      </w:r>
      <w:r w:rsidRPr="00F56ED3">
        <w:rPr>
          <w:rFonts w:ascii="Times New Roman" w:hAnsi="Times New Roman"/>
          <w:sz w:val="20"/>
          <w:szCs w:val="20"/>
          <w:vertAlign w:val="superscript"/>
        </w:rPr>
        <w:t>2</w:t>
      </w:r>
      <w:r w:rsidRPr="00F56ED3">
        <w:rPr>
          <w:rFonts w:ascii="Times New Roman" w:hAnsi="Times New Roman"/>
          <w:sz w:val="20"/>
          <w:szCs w:val="20"/>
        </w:rPr>
        <w:t xml:space="preserve">/g [32]. The pore sizes of SBA-15 and MCM-41 are in the range of 60 to 110 Å and 15 to 100 Å, respectively [33, 34]. Furthermore, the hydroxyl </w:t>
      </w:r>
      <w:r w:rsidRPr="00F56ED3">
        <w:rPr>
          <w:rFonts w:ascii="Times New Roman" w:hAnsi="Times New Roman"/>
          <w:sz w:val="20"/>
          <w:szCs w:val="20"/>
        </w:rPr>
        <w:lastRenderedPageBreak/>
        <w:t xml:space="preserve">group (-OH) on their surface area offer ease functionalization to enhance their selectivity [33, 35, 36]. These two adsorbents are preferable compared to other adsorbents because the surface and pores of these materials can be altered to target specific analytes, regenerated, and reused with high capacity at low cost [29]. The objectives of this study are to prepare and characterize mesoporous silica MCM-41 via </w:t>
      </w:r>
      <w:r w:rsidRPr="00F56ED3">
        <w:rPr>
          <w:rFonts w:ascii="Times New Roman" w:hAnsi="Times New Roman"/>
          <w:sz w:val="20"/>
          <w:szCs w:val="20"/>
          <w:lang w:val="en-GB"/>
        </w:rPr>
        <w:t>mixed cationic-neutral templating route using cationic cetyl trimethylammonium bromide</w:t>
      </w:r>
      <w:r w:rsidRPr="00F56ED3">
        <w:rPr>
          <w:rFonts w:ascii="Times New Roman" w:hAnsi="Times New Roman"/>
          <w:sz w:val="20"/>
          <w:szCs w:val="20"/>
        </w:rPr>
        <w:t xml:space="preserve"> and SBA-15 via sol-gel method. This is performed; to assess the performance of prepared adsorbent for removal of anionic MO and cationic MB dyes using </w:t>
      </w:r>
      <w:r w:rsidRPr="00F56ED3">
        <w:rPr>
          <w:rFonts w:ascii="Times New Roman" w:hAnsi="Times New Roman"/>
          <w:sz w:val="20"/>
          <w:szCs w:val="20"/>
          <w:lang w:val="en-GB"/>
        </w:rPr>
        <w:t xml:space="preserve">ultraviolet -visible spectroscopy. </w:t>
      </w:r>
    </w:p>
    <w:p w14:paraId="05D396A9" w14:textId="77777777" w:rsidR="00B71E50" w:rsidRDefault="00B71E50" w:rsidP="00B71E50">
      <w:pPr>
        <w:spacing w:after="0"/>
        <w:rPr>
          <w:rFonts w:ascii="Times New Roman" w:hAnsi="Times New Roman"/>
          <w:sz w:val="20"/>
          <w:szCs w:val="20"/>
        </w:rPr>
      </w:pPr>
    </w:p>
    <w:p w14:paraId="61E89ED9" w14:textId="77777777" w:rsidR="00B71E50" w:rsidRPr="00F56ED3" w:rsidRDefault="00B71E50" w:rsidP="00B71E50">
      <w:pPr>
        <w:spacing w:after="0"/>
        <w:jc w:val="center"/>
        <w:rPr>
          <w:rFonts w:ascii="Times New Roman" w:hAnsi="Times New Roman"/>
          <w:b/>
          <w:bCs/>
          <w:sz w:val="20"/>
          <w:szCs w:val="20"/>
          <w:lang w:val="en-GB"/>
        </w:rPr>
      </w:pPr>
      <w:r w:rsidRPr="00F56ED3">
        <w:rPr>
          <w:rFonts w:ascii="Times New Roman" w:hAnsi="Times New Roman"/>
          <w:b/>
          <w:bCs/>
          <w:sz w:val="20"/>
          <w:szCs w:val="20"/>
          <w:lang w:val="en-GB"/>
        </w:rPr>
        <w:t>Materials and methods</w:t>
      </w:r>
    </w:p>
    <w:p w14:paraId="3422DFA5" w14:textId="77777777" w:rsidR="00B71E50" w:rsidRPr="00F56ED3" w:rsidRDefault="00B71E50" w:rsidP="00B71E50">
      <w:pPr>
        <w:spacing w:after="0"/>
        <w:jc w:val="both"/>
        <w:rPr>
          <w:rFonts w:ascii="Times New Roman" w:hAnsi="Times New Roman"/>
          <w:b/>
          <w:bCs/>
          <w:sz w:val="20"/>
          <w:szCs w:val="20"/>
          <w:lang w:val="en-GB"/>
        </w:rPr>
      </w:pPr>
      <w:r w:rsidRPr="00F56ED3">
        <w:rPr>
          <w:rFonts w:ascii="Times New Roman" w:hAnsi="Times New Roman"/>
          <w:b/>
          <w:bCs/>
          <w:sz w:val="20"/>
          <w:szCs w:val="20"/>
          <w:lang w:val="en-GB"/>
        </w:rPr>
        <w:t>Chemicals and reagents</w:t>
      </w:r>
    </w:p>
    <w:p w14:paraId="38EA9D9A" w14:textId="77777777" w:rsidR="00B71E50" w:rsidRDefault="00B71E50" w:rsidP="00B71E50">
      <w:pPr>
        <w:spacing w:after="0"/>
        <w:jc w:val="both"/>
        <w:rPr>
          <w:rFonts w:ascii="Times New Roman" w:hAnsi="Times New Roman"/>
          <w:sz w:val="20"/>
          <w:szCs w:val="20"/>
          <w:lang w:val="en-GB"/>
        </w:rPr>
      </w:pPr>
      <w:r w:rsidRPr="00F56ED3">
        <w:rPr>
          <w:rFonts w:ascii="Times New Roman" w:hAnsi="Times New Roman"/>
          <w:sz w:val="20"/>
          <w:szCs w:val="20"/>
          <w:lang w:val="en-GB"/>
        </w:rPr>
        <w:t>The chemicals that were used in this study are cetyltrimethylammonium bromide (CTABr, 99%, Sigma-Aldrich), 1.0 M aqueous hydroxide (NaOH, Sigma-Aldrich) and Ludox colloidal silica (SiO</w:t>
      </w:r>
      <w:r w:rsidRPr="00F56ED3">
        <w:rPr>
          <w:rFonts w:ascii="Times New Roman" w:hAnsi="Times New Roman"/>
          <w:sz w:val="20"/>
          <w:szCs w:val="20"/>
          <w:vertAlign w:val="subscript"/>
          <w:lang w:val="en-GB"/>
        </w:rPr>
        <w:t>2</w:t>
      </w:r>
      <w:r w:rsidRPr="00F56ED3">
        <w:rPr>
          <w:rFonts w:ascii="Times New Roman" w:hAnsi="Times New Roman"/>
          <w:sz w:val="20"/>
          <w:szCs w:val="20"/>
          <w:lang w:val="en-GB"/>
        </w:rPr>
        <w:t>, 30%, Sigma-Aldrich),  ammonium hydroxide (NH</w:t>
      </w:r>
      <w:r w:rsidRPr="00F56ED3">
        <w:rPr>
          <w:rFonts w:ascii="Times New Roman" w:hAnsi="Times New Roman"/>
          <w:sz w:val="20"/>
          <w:szCs w:val="20"/>
          <w:vertAlign w:val="subscript"/>
          <w:lang w:val="en-GB"/>
        </w:rPr>
        <w:t>4</w:t>
      </w:r>
      <w:r w:rsidRPr="00F56ED3">
        <w:rPr>
          <w:rFonts w:ascii="Times New Roman" w:hAnsi="Times New Roman"/>
          <w:sz w:val="20"/>
          <w:szCs w:val="20"/>
          <w:lang w:val="en-GB"/>
        </w:rPr>
        <w:t>OH, 25%), MB (C</w:t>
      </w:r>
      <w:r w:rsidRPr="00F56ED3">
        <w:rPr>
          <w:rFonts w:ascii="Times New Roman" w:hAnsi="Times New Roman"/>
          <w:sz w:val="20"/>
          <w:szCs w:val="20"/>
          <w:vertAlign w:val="subscript"/>
          <w:lang w:val="en-GB"/>
        </w:rPr>
        <w:t>16</w:t>
      </w:r>
      <w:r w:rsidRPr="00F56ED3">
        <w:rPr>
          <w:rFonts w:ascii="Times New Roman" w:hAnsi="Times New Roman"/>
          <w:sz w:val="20"/>
          <w:szCs w:val="20"/>
          <w:lang w:val="en-GB"/>
        </w:rPr>
        <w:t>H</w:t>
      </w:r>
      <w:r w:rsidRPr="00F56ED3">
        <w:rPr>
          <w:rFonts w:ascii="Times New Roman" w:hAnsi="Times New Roman"/>
          <w:sz w:val="20"/>
          <w:szCs w:val="20"/>
          <w:vertAlign w:val="subscript"/>
          <w:lang w:val="en-GB"/>
        </w:rPr>
        <w:t>18</w:t>
      </w:r>
      <w:r w:rsidRPr="00F56ED3">
        <w:rPr>
          <w:rFonts w:ascii="Times New Roman" w:hAnsi="Times New Roman"/>
          <w:sz w:val="20"/>
          <w:szCs w:val="20"/>
          <w:lang w:val="en-GB"/>
        </w:rPr>
        <w:t>C</w:t>
      </w:r>
      <w:r w:rsidRPr="00F56ED3">
        <w:rPr>
          <w:rFonts w:ascii="Times New Roman" w:hAnsi="Times New Roman"/>
          <w:sz w:val="20"/>
          <w:szCs w:val="20"/>
          <w:vertAlign w:val="subscript"/>
          <w:lang w:val="en-GB"/>
        </w:rPr>
        <w:t>1</w:t>
      </w:r>
      <w:r w:rsidRPr="00F56ED3">
        <w:rPr>
          <w:rFonts w:ascii="Times New Roman" w:hAnsi="Times New Roman"/>
          <w:sz w:val="20"/>
          <w:szCs w:val="20"/>
          <w:lang w:val="en-GB"/>
        </w:rPr>
        <w:t>N</w:t>
      </w:r>
      <w:r w:rsidRPr="00F56ED3">
        <w:rPr>
          <w:rFonts w:ascii="Times New Roman" w:hAnsi="Times New Roman"/>
          <w:sz w:val="20"/>
          <w:szCs w:val="20"/>
          <w:vertAlign w:val="subscript"/>
          <w:lang w:val="en-GB"/>
        </w:rPr>
        <w:t>3</w:t>
      </w:r>
      <w:r w:rsidRPr="00F56ED3">
        <w:rPr>
          <w:rFonts w:ascii="Times New Roman" w:hAnsi="Times New Roman"/>
          <w:sz w:val="20"/>
          <w:szCs w:val="20"/>
          <w:lang w:val="en-GB"/>
        </w:rPr>
        <w:t>S, 90%, Sigma-Aldrich), MO (C</w:t>
      </w:r>
      <w:r w:rsidRPr="00F56ED3">
        <w:rPr>
          <w:rFonts w:ascii="Times New Roman" w:hAnsi="Times New Roman"/>
          <w:sz w:val="20"/>
          <w:szCs w:val="20"/>
          <w:vertAlign w:val="subscript"/>
          <w:lang w:val="en-GB"/>
        </w:rPr>
        <w:t>14</w:t>
      </w:r>
      <w:r w:rsidRPr="00F56ED3">
        <w:rPr>
          <w:rFonts w:ascii="Times New Roman" w:hAnsi="Times New Roman"/>
          <w:sz w:val="20"/>
          <w:szCs w:val="20"/>
          <w:lang w:val="en-GB"/>
        </w:rPr>
        <w:t>H</w:t>
      </w:r>
      <w:r w:rsidRPr="00F56ED3">
        <w:rPr>
          <w:rFonts w:ascii="Times New Roman" w:hAnsi="Times New Roman"/>
          <w:sz w:val="20"/>
          <w:szCs w:val="20"/>
          <w:vertAlign w:val="subscript"/>
          <w:lang w:val="en-GB"/>
        </w:rPr>
        <w:t>14</w:t>
      </w:r>
      <w:r w:rsidRPr="00F56ED3">
        <w:rPr>
          <w:rFonts w:ascii="Times New Roman" w:hAnsi="Times New Roman"/>
          <w:sz w:val="20"/>
          <w:szCs w:val="20"/>
          <w:lang w:val="en-GB"/>
        </w:rPr>
        <w:t>N</w:t>
      </w:r>
      <w:r w:rsidRPr="00F56ED3">
        <w:rPr>
          <w:rFonts w:ascii="Times New Roman" w:hAnsi="Times New Roman"/>
          <w:sz w:val="20"/>
          <w:szCs w:val="20"/>
          <w:vertAlign w:val="subscript"/>
          <w:lang w:val="en-GB"/>
        </w:rPr>
        <w:t>3</w:t>
      </w:r>
      <w:r w:rsidRPr="00F56ED3">
        <w:rPr>
          <w:rFonts w:ascii="Times New Roman" w:hAnsi="Times New Roman"/>
          <w:sz w:val="20"/>
          <w:szCs w:val="20"/>
          <w:lang w:val="en-GB"/>
        </w:rPr>
        <w:t>NaO</w:t>
      </w:r>
      <w:r w:rsidRPr="00F56ED3">
        <w:rPr>
          <w:rFonts w:ascii="Times New Roman" w:hAnsi="Times New Roman"/>
          <w:sz w:val="20"/>
          <w:szCs w:val="20"/>
          <w:vertAlign w:val="subscript"/>
          <w:lang w:val="en-GB"/>
        </w:rPr>
        <w:t>3</w:t>
      </w:r>
      <w:r w:rsidRPr="00F56ED3">
        <w:rPr>
          <w:rFonts w:ascii="Times New Roman" w:hAnsi="Times New Roman"/>
          <w:sz w:val="20"/>
          <w:szCs w:val="20"/>
          <w:lang w:val="en-GB"/>
        </w:rPr>
        <w:t>S, 90%, Sigma-Aldrich), and distilled water.</w:t>
      </w:r>
    </w:p>
    <w:p w14:paraId="1BACDC90" w14:textId="77777777" w:rsidR="00B71E50" w:rsidRPr="00F56ED3" w:rsidRDefault="00B71E50" w:rsidP="00B71E50">
      <w:pPr>
        <w:spacing w:after="0"/>
        <w:jc w:val="both"/>
        <w:rPr>
          <w:rFonts w:ascii="Times New Roman" w:hAnsi="Times New Roman"/>
          <w:sz w:val="20"/>
          <w:szCs w:val="20"/>
          <w:lang w:val="en-GB"/>
        </w:rPr>
      </w:pPr>
    </w:p>
    <w:p w14:paraId="51963BF4" w14:textId="77777777" w:rsidR="00B71E50" w:rsidRPr="00F56ED3" w:rsidRDefault="00B71E50" w:rsidP="00B71E50">
      <w:pPr>
        <w:spacing w:after="0"/>
        <w:jc w:val="both"/>
        <w:rPr>
          <w:rFonts w:ascii="Times New Roman" w:hAnsi="Times New Roman"/>
          <w:sz w:val="20"/>
          <w:szCs w:val="20"/>
          <w:lang w:val="en-GB"/>
        </w:rPr>
      </w:pPr>
      <w:r w:rsidRPr="00F56ED3">
        <w:rPr>
          <w:rFonts w:ascii="Times New Roman" w:hAnsi="Times New Roman"/>
          <w:b/>
          <w:bCs/>
          <w:sz w:val="20"/>
          <w:szCs w:val="20"/>
          <w:lang w:val="en-GB"/>
        </w:rPr>
        <w:t>Preparation of MCM-41 and SBA-15</w:t>
      </w:r>
    </w:p>
    <w:p w14:paraId="0B86EFF6" w14:textId="77777777" w:rsidR="00B71E50" w:rsidRPr="00F56ED3" w:rsidRDefault="00B71E50" w:rsidP="00B71E50">
      <w:pPr>
        <w:spacing w:after="0"/>
        <w:jc w:val="both"/>
        <w:rPr>
          <w:rFonts w:ascii="Times New Roman" w:hAnsi="Times New Roman"/>
          <w:sz w:val="20"/>
          <w:szCs w:val="20"/>
          <w:lang w:val="en-GB"/>
        </w:rPr>
      </w:pPr>
      <w:r w:rsidRPr="00F56ED3">
        <w:rPr>
          <w:rFonts w:ascii="Times New Roman" w:hAnsi="Times New Roman"/>
          <w:sz w:val="20"/>
          <w:szCs w:val="20"/>
          <w:lang w:val="en-GB"/>
        </w:rPr>
        <w:t xml:space="preserve">The method used to synthesize MCM-41 was adapted with slight modification from a previous study </w:t>
      </w:r>
      <w:r w:rsidRPr="00F56ED3">
        <w:rPr>
          <w:rFonts w:ascii="Times New Roman" w:hAnsi="Times New Roman"/>
          <w:sz w:val="20"/>
          <w:szCs w:val="20"/>
        </w:rPr>
        <w:t>[37].</w:t>
      </w:r>
      <w:r w:rsidRPr="00F56ED3">
        <w:rPr>
          <w:rFonts w:ascii="Times New Roman" w:hAnsi="Times New Roman"/>
          <w:sz w:val="20"/>
          <w:szCs w:val="20"/>
          <w:lang w:val="en-GB"/>
        </w:rPr>
        <w:t xml:space="preserve"> Sodium silicate (solution A) was firstly prepared by mixing 33.80 mL of Ludox (30%) with 3.03 g of sodium hydroxide (NaOH) in 37.5 mL double distilled water at 80 ℃ with 2 hours stirring at a medium speed using magnetic stirrer. Then, another solution (solution B) was separately prepared by mixing 9.60 g of cetyltrimethylammonium bromide (CTABr) and 0.50 g of ammonium hydroxide (NH</w:t>
      </w:r>
      <w:r w:rsidRPr="00F56ED3">
        <w:rPr>
          <w:rFonts w:ascii="Times New Roman" w:hAnsi="Times New Roman"/>
          <w:sz w:val="20"/>
          <w:szCs w:val="20"/>
          <w:vertAlign w:val="subscript"/>
          <w:lang w:val="en-GB"/>
        </w:rPr>
        <w:t>4</w:t>
      </w:r>
      <w:r w:rsidRPr="00F56ED3">
        <w:rPr>
          <w:rFonts w:ascii="Times New Roman" w:hAnsi="Times New Roman"/>
          <w:sz w:val="20"/>
          <w:szCs w:val="20"/>
          <w:lang w:val="en-GB"/>
        </w:rPr>
        <w:t>OH) in 75.0 mL of distilled water with stirring at 80 ℃ until a clear solution was obtained. Both A and B solutions were mixed in a polypropylene bottle to give a gel with a composition of 6 SiO</w:t>
      </w:r>
      <w:r w:rsidRPr="00F56ED3">
        <w:rPr>
          <w:rFonts w:ascii="Times New Roman" w:hAnsi="Times New Roman"/>
          <w:sz w:val="20"/>
          <w:szCs w:val="20"/>
          <w:vertAlign w:val="subscript"/>
          <w:lang w:val="en-GB"/>
        </w:rPr>
        <w:t>2</w:t>
      </w:r>
      <w:r w:rsidRPr="00F56ED3">
        <w:rPr>
          <w:rFonts w:ascii="Times New Roman" w:hAnsi="Times New Roman"/>
          <w:sz w:val="20"/>
          <w:szCs w:val="20"/>
          <w:lang w:val="en-GB"/>
        </w:rPr>
        <w:t>: CTABr: 1.5 Na</w:t>
      </w:r>
      <w:r w:rsidRPr="00F56ED3">
        <w:rPr>
          <w:rFonts w:ascii="Times New Roman" w:hAnsi="Times New Roman"/>
          <w:sz w:val="20"/>
          <w:szCs w:val="20"/>
          <w:vertAlign w:val="subscript"/>
          <w:lang w:val="en-GB"/>
        </w:rPr>
        <w:t>2</w:t>
      </w:r>
      <w:r w:rsidRPr="00F56ED3">
        <w:rPr>
          <w:rFonts w:ascii="Times New Roman" w:hAnsi="Times New Roman"/>
          <w:sz w:val="20"/>
          <w:szCs w:val="20"/>
          <w:lang w:val="en-GB"/>
        </w:rPr>
        <w:t>O: 0.15 (NH</w:t>
      </w:r>
      <w:r w:rsidRPr="00F56ED3">
        <w:rPr>
          <w:rFonts w:ascii="Times New Roman" w:hAnsi="Times New Roman"/>
          <w:sz w:val="20"/>
          <w:szCs w:val="20"/>
          <w:vertAlign w:val="subscript"/>
          <w:lang w:val="en-GB"/>
        </w:rPr>
        <w:t>4</w:t>
      </w:r>
      <w:r w:rsidRPr="00F56ED3">
        <w:rPr>
          <w:rFonts w:ascii="Times New Roman" w:hAnsi="Times New Roman"/>
          <w:sz w:val="20"/>
          <w:szCs w:val="20"/>
          <w:lang w:val="en-GB"/>
        </w:rPr>
        <w:t>)</w:t>
      </w:r>
      <w:r w:rsidRPr="00F56ED3">
        <w:rPr>
          <w:rFonts w:ascii="Times New Roman" w:hAnsi="Times New Roman"/>
          <w:sz w:val="20"/>
          <w:szCs w:val="20"/>
          <w:vertAlign w:val="subscript"/>
          <w:lang w:val="en-GB"/>
        </w:rPr>
        <w:t>2</w:t>
      </w:r>
      <w:r w:rsidRPr="00F56ED3">
        <w:rPr>
          <w:rFonts w:ascii="Times New Roman" w:hAnsi="Times New Roman"/>
          <w:sz w:val="20"/>
          <w:szCs w:val="20"/>
          <w:lang w:val="en-GB"/>
        </w:rPr>
        <w:t>O: 250H</w:t>
      </w:r>
      <w:r w:rsidRPr="00F56ED3">
        <w:rPr>
          <w:rFonts w:ascii="Times New Roman" w:hAnsi="Times New Roman"/>
          <w:sz w:val="20"/>
          <w:szCs w:val="20"/>
          <w:vertAlign w:val="subscript"/>
          <w:lang w:val="en-GB"/>
        </w:rPr>
        <w:t>2</w:t>
      </w:r>
      <w:r w:rsidRPr="00F56ED3">
        <w:rPr>
          <w:rFonts w:ascii="Times New Roman" w:hAnsi="Times New Roman"/>
          <w:sz w:val="20"/>
          <w:szCs w:val="20"/>
          <w:lang w:val="en-GB"/>
        </w:rPr>
        <w:t xml:space="preserve">O followed with vigorous stirring. The resulting gel was then kept in an oven for crystallization at 100 ℃ for 24 hours. The following day, the gel was then cooled to room temperature for 3 hours, and the pH was adjusted to 10.2 by adding 25 </w:t>
      </w:r>
      <w:r w:rsidRPr="00F56ED3">
        <w:rPr>
          <w:rFonts w:ascii="Times New Roman" w:hAnsi="Times New Roman"/>
          <w:sz w:val="20"/>
          <w:szCs w:val="20"/>
          <w:lang w:val="en-GB"/>
        </w:rPr>
        <w:t>wt.% of acetic acid. The heating and pH adjustments were repeated twice in order to complete the polymerization process of silica monomers. The white conducts were filtered, washed, neutralized, and dried overnight at 100 ℃ in an electrical oven. Finally, the solid product went through a calcination process at 550 ℃ in a furnace for 10 hours to remove the organic template.</w:t>
      </w:r>
    </w:p>
    <w:p w14:paraId="52B06E8F" w14:textId="77777777" w:rsidR="00B71E50" w:rsidRPr="00F56ED3" w:rsidRDefault="00B71E50" w:rsidP="00B71E50">
      <w:pPr>
        <w:spacing w:after="0"/>
        <w:jc w:val="both"/>
        <w:rPr>
          <w:rFonts w:ascii="Times New Roman" w:hAnsi="Times New Roman"/>
          <w:sz w:val="20"/>
          <w:szCs w:val="20"/>
          <w:lang w:val="en-GB"/>
        </w:rPr>
      </w:pPr>
      <w:r w:rsidRPr="00F56ED3">
        <w:rPr>
          <w:rFonts w:ascii="Times New Roman" w:hAnsi="Times New Roman"/>
          <w:sz w:val="20"/>
          <w:szCs w:val="20"/>
          <w:lang w:val="en-GB"/>
        </w:rPr>
        <w:t xml:space="preserve"> </w:t>
      </w:r>
    </w:p>
    <w:p w14:paraId="558E34A5" w14:textId="77777777" w:rsidR="00B71E50" w:rsidRPr="00F56ED3" w:rsidRDefault="00B71E50" w:rsidP="00B71E50">
      <w:pPr>
        <w:pStyle w:val="NormalUiTMParagraph1"/>
        <w:spacing w:line="276" w:lineRule="auto"/>
        <w:ind w:left="0"/>
        <w:rPr>
          <w:sz w:val="20"/>
          <w:szCs w:val="20"/>
          <w:lang w:val="en-GB"/>
        </w:rPr>
      </w:pPr>
      <w:r w:rsidRPr="00F56ED3">
        <w:rPr>
          <w:sz w:val="20"/>
          <w:szCs w:val="20"/>
          <w:lang w:val="en-MY"/>
        </w:rPr>
        <w:t>The preparation of SBA-15 was referred to previous study with minor modifications</w:t>
      </w:r>
      <w:r w:rsidRPr="00F56ED3">
        <w:rPr>
          <w:sz w:val="20"/>
          <w:szCs w:val="20"/>
        </w:rPr>
        <w:t xml:space="preserve"> [38]. Firstly, distillate water (30 mL), 2.0 M HCl (120 mL), and Pluronic P123 (4.0 g) were dissolved by stirring at 35 </w:t>
      </w:r>
      <w:r w:rsidRPr="00F56ED3">
        <w:rPr>
          <w:sz w:val="20"/>
          <w:szCs w:val="20"/>
          <w:lang w:val="en-GB"/>
        </w:rPr>
        <w:t>℃ for 20 hours. Then, 8.5 g of tetraethyl-orthosilicate (TEOS) was added dropwise under constant vigorous stirring for 15 minutes. The mixture was kept under static conditions at 35 ℃ for 20 hours. The milky mixture was then placed in an oven at 90 ℃ for 24 hours. The solid product was filtered, washed, and dried at 45 ℃ for 72 hours. Lastly, the product was calcined for 6 hours at 500 ℃ and stored in a proper container.</w:t>
      </w:r>
    </w:p>
    <w:p w14:paraId="4B868FD5" w14:textId="77777777" w:rsidR="00B71E50" w:rsidRPr="00F56ED3" w:rsidRDefault="00B71E50" w:rsidP="00B71E50">
      <w:pPr>
        <w:pStyle w:val="NormalUiTMParagraph1"/>
        <w:spacing w:line="276" w:lineRule="auto"/>
        <w:ind w:left="0"/>
        <w:rPr>
          <w:sz w:val="20"/>
          <w:szCs w:val="20"/>
          <w:lang w:val="en-GB"/>
        </w:rPr>
      </w:pPr>
    </w:p>
    <w:p w14:paraId="0448BBD2" w14:textId="77777777" w:rsidR="00B71E50" w:rsidRPr="00F56ED3" w:rsidRDefault="00B71E50" w:rsidP="00B71E50">
      <w:pPr>
        <w:pStyle w:val="NormalUiTMParagraph1"/>
        <w:spacing w:line="276" w:lineRule="auto"/>
        <w:ind w:left="0"/>
        <w:rPr>
          <w:b/>
          <w:bCs/>
          <w:sz w:val="20"/>
          <w:szCs w:val="20"/>
          <w:lang w:val="en-GB"/>
        </w:rPr>
      </w:pPr>
      <w:r w:rsidRPr="00F56ED3">
        <w:rPr>
          <w:b/>
          <w:bCs/>
          <w:sz w:val="20"/>
          <w:szCs w:val="20"/>
          <w:lang w:val="en-GB"/>
        </w:rPr>
        <w:t>Characterization of MCM-41 and SBA-15</w:t>
      </w:r>
    </w:p>
    <w:p w14:paraId="755A07CE" w14:textId="77777777" w:rsidR="00B71E50" w:rsidRPr="00F56ED3" w:rsidRDefault="00B71E50" w:rsidP="00B71E50">
      <w:pPr>
        <w:pStyle w:val="NormalUiTMParagraph1"/>
        <w:spacing w:line="276" w:lineRule="auto"/>
        <w:ind w:left="0"/>
        <w:rPr>
          <w:sz w:val="20"/>
          <w:szCs w:val="20"/>
          <w:lang w:val="en-GB"/>
        </w:rPr>
      </w:pPr>
      <w:r w:rsidRPr="00F56ED3">
        <w:rPr>
          <w:sz w:val="20"/>
          <w:szCs w:val="20"/>
          <w:lang w:val="en-GB"/>
        </w:rPr>
        <w:t>The functional groups that are present in both adsorbents were determined using FTIR (Perkin Elmer 8300, Massachusetts, USA). Each adsorbent was ground with KBr powder to turn it into a pellet before obtaining the FTIR spectrum. The surface morphology of both adsorbents was identified using FESEM (JEOL JEM-2300, Tokyo, Japan) after it was coated with gold film at 20kV voltage. In addition, the specific surface area and averaged pore size were analyzed using Brunauer-Emmett-Teller (BET) surface analyser (Belsorp-mini II, Japan). The samples were displaced at 300 ℃ with nitrogen flow for 6 hours. The surface area of each adsorbent was discovered from the linear BET method with rapid nitrogen uptake, P/P</w:t>
      </w:r>
      <w:r w:rsidRPr="00F56ED3">
        <w:rPr>
          <w:sz w:val="20"/>
          <w:szCs w:val="20"/>
          <w:vertAlign w:val="subscript"/>
          <w:lang w:val="en-GB"/>
        </w:rPr>
        <w:t>O</w:t>
      </w:r>
      <w:r w:rsidRPr="00F56ED3">
        <w:rPr>
          <w:sz w:val="20"/>
          <w:szCs w:val="20"/>
          <w:lang w:val="en-GB"/>
        </w:rPr>
        <w:t xml:space="preserve"> = (0.4-1.0).</w:t>
      </w:r>
    </w:p>
    <w:p w14:paraId="19EA6399" w14:textId="77777777" w:rsidR="00B71E50" w:rsidRPr="00F56ED3" w:rsidRDefault="00B71E50" w:rsidP="00B71E50">
      <w:pPr>
        <w:pStyle w:val="NormalUiTMParagraph1"/>
        <w:spacing w:line="276" w:lineRule="auto"/>
        <w:ind w:left="0"/>
        <w:rPr>
          <w:sz w:val="20"/>
          <w:szCs w:val="20"/>
          <w:lang w:val="en-GB"/>
        </w:rPr>
      </w:pPr>
    </w:p>
    <w:p w14:paraId="4FFB9E80" w14:textId="77777777" w:rsidR="00B71E50" w:rsidRPr="00F56ED3" w:rsidRDefault="00B71E50" w:rsidP="00B71E50">
      <w:pPr>
        <w:pStyle w:val="NormalUiTMParagraph1"/>
        <w:spacing w:line="276" w:lineRule="auto"/>
        <w:ind w:left="0"/>
        <w:rPr>
          <w:b/>
          <w:bCs/>
          <w:sz w:val="20"/>
          <w:szCs w:val="20"/>
          <w:lang w:val="en-GB"/>
        </w:rPr>
      </w:pPr>
      <w:r w:rsidRPr="00F56ED3">
        <w:rPr>
          <w:b/>
          <w:bCs/>
          <w:sz w:val="20"/>
          <w:szCs w:val="20"/>
          <w:lang w:val="en-GB"/>
        </w:rPr>
        <w:t>Batch studies on MO and MB removal</w:t>
      </w:r>
    </w:p>
    <w:p w14:paraId="02FC7E01" w14:textId="2B7A9640" w:rsidR="00B71E50" w:rsidRDefault="00B71E50" w:rsidP="00B71E50">
      <w:pPr>
        <w:pStyle w:val="NormalUiTMParagraph1"/>
        <w:spacing w:line="276" w:lineRule="auto"/>
        <w:ind w:left="0"/>
        <w:rPr>
          <w:rFonts w:eastAsia="Yu Mincho"/>
          <w:sz w:val="20"/>
          <w:szCs w:val="20"/>
          <w:lang w:val="en-GB"/>
        </w:rPr>
      </w:pPr>
      <w:r w:rsidRPr="00F56ED3">
        <w:rPr>
          <w:sz w:val="20"/>
          <w:szCs w:val="20"/>
          <w:lang w:val="en-GB"/>
        </w:rPr>
        <w:t xml:space="preserve">The batch studies were carried out to investigate the adsorption reaction of MO and MB onto MCM-41 and SBA-15 by varying the pH values of the sample, the initial concentration of both dyes, and contact time. </w:t>
      </w:r>
      <w:r w:rsidRPr="00F56ED3">
        <w:rPr>
          <w:sz w:val="20"/>
          <w:szCs w:val="20"/>
        </w:rPr>
        <w:t xml:space="preserve">Each parameter gave an effect on the adsorption capacity of the dyes using MCM-41 and SBA-15 as the </w:t>
      </w:r>
      <w:r w:rsidRPr="00F56ED3">
        <w:rPr>
          <w:sz w:val="20"/>
          <w:szCs w:val="20"/>
        </w:rPr>
        <w:lastRenderedPageBreak/>
        <w:t>adsorbent. The adsorbent dosage was kept constant at 0.05 g. The removal process was obtained by placing a conical flask containing dye solution (10 mL) and 0.05 g adsorbent onto a shaker with a constant speed at 160 rpm. The adsorbent was separated from the dye solution through centrifugation. The residual MO and MB concentrations were then determined by collecting aliquots from the supernatant and measuring them with a UV-Vis spectrophotometer</w:t>
      </w:r>
      <w:r w:rsidRPr="00F56ED3">
        <w:rPr>
          <w:sz w:val="20"/>
          <w:szCs w:val="20"/>
          <w:lang w:val="en-GB"/>
        </w:rPr>
        <w:t xml:space="preserve"> </w:t>
      </w:r>
      <w:r w:rsidRPr="00F56ED3">
        <w:rPr>
          <w:rFonts w:eastAsia="Yu Mincho"/>
          <w:sz w:val="20"/>
          <w:szCs w:val="20"/>
          <w:lang w:val="en-GB"/>
        </w:rPr>
        <w:t>(Lambda 35-Perkin Elmer) at a wavelength of 463 nm for MO and 660 nm for MB [39].</w:t>
      </w:r>
    </w:p>
    <w:p w14:paraId="18E2DD56" w14:textId="77777777" w:rsidR="00B71E50" w:rsidRPr="00F56ED3" w:rsidRDefault="00B71E50" w:rsidP="00B71E50">
      <w:pPr>
        <w:pStyle w:val="NormalUiTMParagraph1"/>
        <w:spacing w:line="276" w:lineRule="auto"/>
        <w:ind w:left="0"/>
        <w:rPr>
          <w:sz w:val="20"/>
          <w:szCs w:val="20"/>
          <w:lang w:val="en-GB"/>
        </w:rPr>
      </w:pPr>
    </w:p>
    <w:p w14:paraId="6F957B66" w14:textId="77777777" w:rsidR="00B71E50" w:rsidRPr="00F56ED3" w:rsidRDefault="00B71E50" w:rsidP="00B71E50">
      <w:pPr>
        <w:pStyle w:val="NormalUiTMParagraph1"/>
        <w:spacing w:line="276" w:lineRule="auto"/>
        <w:ind w:left="0"/>
        <w:rPr>
          <w:b/>
          <w:bCs/>
          <w:sz w:val="20"/>
          <w:szCs w:val="20"/>
          <w:lang w:val="en-GB"/>
        </w:rPr>
      </w:pPr>
      <w:r w:rsidRPr="00F56ED3">
        <w:rPr>
          <w:b/>
          <w:bCs/>
          <w:sz w:val="20"/>
          <w:szCs w:val="20"/>
          <w:lang w:val="en-GB"/>
        </w:rPr>
        <w:t>Adsorption isotherm</w:t>
      </w:r>
    </w:p>
    <w:p w14:paraId="54ABD989" w14:textId="77777777" w:rsidR="00B71E50" w:rsidRDefault="00B71E50" w:rsidP="00B71E50">
      <w:pPr>
        <w:pStyle w:val="NormalUiTMParagraph1"/>
        <w:spacing w:line="276" w:lineRule="auto"/>
        <w:ind w:left="0"/>
        <w:rPr>
          <w:sz w:val="20"/>
          <w:szCs w:val="20"/>
        </w:rPr>
      </w:pPr>
      <w:r w:rsidRPr="00F56ED3">
        <w:rPr>
          <w:sz w:val="20"/>
          <w:szCs w:val="20"/>
        </w:rPr>
        <w:t xml:space="preserve">Adsorption equilibrium provides the fundamental physicochemical data to evaluate the applicability of the adsorption process [40]. The adsorption data of the experiment were fitted according to the two isotherm models, which were Langmuir and Freundlich models. Langmuir model predicts that each adsorbate molecule is located at a single site of identical energy onto the surface of the adsorbent that leads to a formation of a monolayer [41]. The equation for this model is presented in Equation (1). </w:t>
      </w:r>
    </w:p>
    <w:p w14:paraId="5FC542BF" w14:textId="77777777" w:rsidR="00B71E50" w:rsidRDefault="00B71E50" w:rsidP="00B71E50">
      <w:pPr>
        <w:pStyle w:val="NormalUiTMParagraph1"/>
        <w:spacing w:line="276" w:lineRule="auto"/>
        <w:ind w:left="0"/>
        <w:rPr>
          <w:sz w:val="20"/>
          <w:szCs w:val="20"/>
        </w:rPr>
      </w:pPr>
    </w:p>
    <w:p w14:paraId="2D9E7B65" w14:textId="25322B74" w:rsidR="00B71E50" w:rsidRPr="0017745A" w:rsidRDefault="002C4044" w:rsidP="00B71E50">
      <w:pPr>
        <w:spacing w:after="0"/>
        <w:ind w:left="720"/>
        <w:jc w:val="both"/>
        <w:rPr>
          <w:rFonts w:ascii="Times New Roman" w:hAnsi="Times New Roman"/>
          <w:sz w:val="20"/>
          <w:szCs w:val="20"/>
        </w:rPr>
      </w:pPr>
      <m:oMath>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e</m:t>
                </m:r>
              </m:sub>
            </m:sSub>
          </m:num>
          <m:den>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e</m:t>
                </m:r>
              </m:sub>
            </m:sSub>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m</m:t>
                </m:r>
              </m:sub>
            </m:sSub>
            <m:r>
              <w:rPr>
                <w:rFonts w:ascii="Cambria Math" w:hAnsi="Cambria Math"/>
                <w:sz w:val="20"/>
                <w:szCs w:val="20"/>
              </w:rPr>
              <m:t>b</m:t>
            </m:r>
          </m:den>
        </m:f>
        <m:r>
          <w:rPr>
            <w:rFonts w:ascii="Cambria Math" w:hAnsi="Cambria Math"/>
            <w:sz w:val="20"/>
            <w:szCs w:val="20"/>
          </w:rPr>
          <m:t xml:space="preserve">+ </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e</m:t>
                </m:r>
              </m:sub>
            </m:sSub>
          </m:num>
          <m:den>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m</m:t>
                </m:r>
              </m:sub>
            </m:sSub>
          </m:den>
        </m:f>
      </m:oMath>
      <w:r w:rsidR="00B71E50">
        <w:rPr>
          <w:rFonts w:ascii="Times New Roman" w:hAnsi="Times New Roman"/>
          <w:sz w:val="20"/>
          <w:szCs w:val="20"/>
        </w:rPr>
        <w:t xml:space="preserve">                                             (1)</w:t>
      </w:r>
    </w:p>
    <w:p w14:paraId="33F09BA6" w14:textId="77777777" w:rsidR="00B71E50" w:rsidRDefault="00B71E50" w:rsidP="00B71E50">
      <w:pPr>
        <w:spacing w:after="0"/>
        <w:jc w:val="both"/>
        <w:rPr>
          <w:rFonts w:ascii="Times New Roman" w:hAnsi="Times New Roman"/>
          <w:sz w:val="20"/>
          <w:szCs w:val="20"/>
        </w:rPr>
      </w:pPr>
    </w:p>
    <w:p w14:paraId="2CB85907" w14:textId="264ED936" w:rsidR="00B71E50" w:rsidRDefault="00B71E50" w:rsidP="00B71E50">
      <w:pPr>
        <w:spacing w:after="0"/>
        <w:jc w:val="both"/>
        <w:rPr>
          <w:rFonts w:ascii="Times New Roman" w:hAnsi="Times New Roman"/>
          <w:sz w:val="20"/>
          <w:szCs w:val="20"/>
        </w:rPr>
      </w:pPr>
      <w:r w:rsidRPr="00593C23">
        <w:rPr>
          <w:rFonts w:ascii="Times New Roman" w:hAnsi="Times New Roman"/>
          <w:sz w:val="20"/>
          <w:szCs w:val="20"/>
        </w:rPr>
        <w:t>where C</w:t>
      </w:r>
      <w:r w:rsidRPr="00593C23">
        <w:rPr>
          <w:rFonts w:ascii="Times New Roman" w:hAnsi="Times New Roman"/>
          <w:sz w:val="20"/>
          <w:szCs w:val="20"/>
          <w:vertAlign w:val="subscript"/>
        </w:rPr>
        <w:t>e</w:t>
      </w:r>
      <w:r w:rsidRPr="00593C23">
        <w:rPr>
          <w:rFonts w:ascii="Times New Roman" w:hAnsi="Times New Roman"/>
          <w:sz w:val="20"/>
          <w:szCs w:val="20"/>
        </w:rPr>
        <w:t xml:space="preserve"> is equilibrium concentration of adsorbate, q</w:t>
      </w:r>
      <w:r w:rsidRPr="00593C23">
        <w:rPr>
          <w:rFonts w:ascii="Times New Roman" w:hAnsi="Times New Roman"/>
          <w:sz w:val="20"/>
          <w:szCs w:val="20"/>
          <w:vertAlign w:val="subscript"/>
        </w:rPr>
        <w:t>e</w:t>
      </w:r>
      <w:r w:rsidRPr="00593C23">
        <w:rPr>
          <w:rFonts w:ascii="Times New Roman" w:hAnsi="Times New Roman"/>
          <w:sz w:val="20"/>
          <w:szCs w:val="20"/>
        </w:rPr>
        <w:t xml:space="preserve"> is </w:t>
      </w:r>
      <w:r>
        <w:rPr>
          <w:rFonts w:ascii="Times New Roman" w:hAnsi="Times New Roman"/>
          <w:sz w:val="20"/>
          <w:szCs w:val="20"/>
        </w:rPr>
        <w:t xml:space="preserve"> </w:t>
      </w:r>
      <w:r w:rsidRPr="00593C23">
        <w:rPr>
          <w:rFonts w:ascii="Times New Roman" w:hAnsi="Times New Roman"/>
          <w:sz w:val="20"/>
          <w:szCs w:val="20"/>
        </w:rPr>
        <w:t xml:space="preserve">amount </w:t>
      </w:r>
      <w:r>
        <w:rPr>
          <w:rFonts w:ascii="Times New Roman" w:hAnsi="Times New Roman"/>
          <w:sz w:val="20"/>
          <w:szCs w:val="20"/>
        </w:rPr>
        <w:t xml:space="preserve"> </w:t>
      </w:r>
      <w:r w:rsidRPr="00593C23">
        <w:rPr>
          <w:rFonts w:ascii="Times New Roman" w:hAnsi="Times New Roman"/>
          <w:sz w:val="20"/>
          <w:szCs w:val="20"/>
        </w:rPr>
        <w:t xml:space="preserve">of </w:t>
      </w:r>
      <w:r>
        <w:rPr>
          <w:rFonts w:ascii="Times New Roman" w:hAnsi="Times New Roman"/>
          <w:sz w:val="20"/>
          <w:szCs w:val="20"/>
        </w:rPr>
        <w:t xml:space="preserve"> </w:t>
      </w:r>
      <w:r w:rsidRPr="00593C23">
        <w:rPr>
          <w:rFonts w:ascii="Times New Roman" w:hAnsi="Times New Roman"/>
          <w:sz w:val="20"/>
          <w:szCs w:val="20"/>
        </w:rPr>
        <w:t xml:space="preserve">dye </w:t>
      </w:r>
      <w:r>
        <w:rPr>
          <w:rFonts w:ascii="Times New Roman" w:hAnsi="Times New Roman"/>
          <w:sz w:val="20"/>
          <w:szCs w:val="20"/>
        </w:rPr>
        <w:t xml:space="preserve"> </w:t>
      </w:r>
      <w:r w:rsidRPr="00593C23">
        <w:rPr>
          <w:rFonts w:ascii="Times New Roman" w:hAnsi="Times New Roman"/>
          <w:sz w:val="20"/>
          <w:szCs w:val="20"/>
        </w:rPr>
        <w:t xml:space="preserve">adsorbed (mg/g), </w:t>
      </w:r>
      <w:r>
        <w:rPr>
          <w:rFonts w:ascii="Times New Roman" w:hAnsi="Times New Roman"/>
          <w:sz w:val="20"/>
          <w:szCs w:val="20"/>
        </w:rPr>
        <w:t xml:space="preserve">  </w:t>
      </w:r>
      <w:r w:rsidRPr="00593C23">
        <w:rPr>
          <w:rFonts w:ascii="Times New Roman" w:hAnsi="Times New Roman"/>
          <w:sz w:val="20"/>
          <w:szCs w:val="20"/>
        </w:rPr>
        <w:t>Q</w:t>
      </w:r>
      <w:r w:rsidRPr="00593C23">
        <w:rPr>
          <w:rFonts w:ascii="Times New Roman" w:hAnsi="Times New Roman"/>
          <w:sz w:val="20"/>
          <w:szCs w:val="20"/>
          <w:vertAlign w:val="subscript"/>
        </w:rPr>
        <w:t>m</w:t>
      </w:r>
      <w:r w:rsidRPr="00593C23">
        <w:rPr>
          <w:rFonts w:ascii="Times New Roman" w:hAnsi="Times New Roman"/>
          <w:sz w:val="20"/>
          <w:szCs w:val="20"/>
        </w:rPr>
        <w:t xml:space="preserve"> = adsorption</w:t>
      </w:r>
    </w:p>
    <w:p w14:paraId="3CE85BD5" w14:textId="77777777" w:rsidR="00B71E50" w:rsidRDefault="00B71E50" w:rsidP="00B71E50">
      <w:pPr>
        <w:spacing w:after="0"/>
        <w:jc w:val="both"/>
        <w:rPr>
          <w:rFonts w:ascii="Times New Roman" w:hAnsi="Times New Roman"/>
          <w:sz w:val="20"/>
          <w:szCs w:val="20"/>
        </w:rPr>
      </w:pPr>
      <w:r w:rsidRPr="00593C23">
        <w:rPr>
          <w:rFonts w:ascii="Times New Roman" w:hAnsi="Times New Roman"/>
          <w:sz w:val="20"/>
          <w:szCs w:val="20"/>
        </w:rPr>
        <w:t xml:space="preserve">capacity (mg/g), </w:t>
      </w:r>
      <w:r>
        <w:rPr>
          <w:rFonts w:ascii="Times New Roman" w:hAnsi="Times New Roman"/>
          <w:sz w:val="20"/>
          <w:szCs w:val="20"/>
        </w:rPr>
        <w:t xml:space="preserve"> </w:t>
      </w:r>
      <w:r w:rsidRPr="00593C23">
        <w:rPr>
          <w:rFonts w:ascii="Times New Roman" w:hAnsi="Times New Roman"/>
          <w:sz w:val="20"/>
          <w:szCs w:val="20"/>
        </w:rPr>
        <w:t xml:space="preserve">and </w:t>
      </w:r>
      <w:r>
        <w:rPr>
          <w:rFonts w:ascii="Times New Roman" w:hAnsi="Times New Roman"/>
          <w:sz w:val="20"/>
          <w:szCs w:val="20"/>
        </w:rPr>
        <w:t xml:space="preserve"> </w:t>
      </w:r>
      <w:r w:rsidRPr="00593C23">
        <w:rPr>
          <w:rFonts w:ascii="Times New Roman" w:hAnsi="Times New Roman"/>
          <w:sz w:val="20"/>
          <w:szCs w:val="20"/>
        </w:rPr>
        <w:t xml:space="preserve">b is Langmuir </w:t>
      </w:r>
      <w:r>
        <w:rPr>
          <w:rFonts w:ascii="Times New Roman" w:hAnsi="Times New Roman"/>
          <w:sz w:val="20"/>
          <w:szCs w:val="20"/>
        </w:rPr>
        <w:t xml:space="preserve"> </w:t>
      </w:r>
      <w:r w:rsidRPr="00593C23">
        <w:rPr>
          <w:rFonts w:ascii="Times New Roman" w:hAnsi="Times New Roman"/>
          <w:sz w:val="20"/>
          <w:szCs w:val="20"/>
        </w:rPr>
        <w:t xml:space="preserve">constant (L/mg) which were determined through intercept value from </w:t>
      </w:r>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den>
        </m:f>
      </m:oMath>
      <w:r w:rsidRPr="00593C23">
        <w:rPr>
          <w:rFonts w:ascii="Times New Roman" w:hAnsi="Times New Roman"/>
          <w:sz w:val="20"/>
          <w:szCs w:val="20"/>
        </w:rPr>
        <w:t xml:space="preserve"> against C</w:t>
      </w:r>
      <w:r w:rsidRPr="00593C23">
        <w:rPr>
          <w:rFonts w:ascii="Times New Roman" w:hAnsi="Times New Roman"/>
          <w:sz w:val="20"/>
          <w:szCs w:val="20"/>
          <w:vertAlign w:val="subscript"/>
        </w:rPr>
        <w:t>e</w:t>
      </w:r>
      <w:r w:rsidRPr="00593C23">
        <w:rPr>
          <w:rFonts w:ascii="Times New Roman" w:hAnsi="Times New Roman"/>
          <w:sz w:val="20"/>
          <w:szCs w:val="20"/>
        </w:rPr>
        <w:t xml:space="preserve"> graph.</w:t>
      </w:r>
    </w:p>
    <w:p w14:paraId="6406E510" w14:textId="77777777" w:rsidR="00B71E50" w:rsidRDefault="00B71E50" w:rsidP="00B71E50">
      <w:pPr>
        <w:spacing w:after="0"/>
        <w:jc w:val="both"/>
        <w:rPr>
          <w:rFonts w:ascii="Times New Roman" w:hAnsi="Times New Roman"/>
          <w:sz w:val="20"/>
          <w:szCs w:val="20"/>
        </w:rPr>
      </w:pPr>
    </w:p>
    <w:p w14:paraId="5916F0ED" w14:textId="77777777" w:rsidR="00F27F0F" w:rsidRDefault="00F27F0F" w:rsidP="00F27F0F">
      <w:pPr>
        <w:spacing w:after="0"/>
        <w:jc w:val="both"/>
        <w:rPr>
          <w:rFonts w:ascii="Times New Roman" w:hAnsi="Times New Roman"/>
          <w:sz w:val="20"/>
          <w:szCs w:val="20"/>
        </w:rPr>
      </w:pPr>
      <w:r w:rsidRPr="00593C23">
        <w:rPr>
          <w:rFonts w:ascii="Times New Roman" w:hAnsi="Times New Roman"/>
          <w:sz w:val="20"/>
          <w:szCs w:val="20"/>
        </w:rPr>
        <w:t xml:space="preserve">Freundlich model is an empirical equation utilized to define equilibrium on heterogenous surfaces and hence does not assume monolayer capacity [42]. The equation used to represent this model is stated in Equation (2). </w:t>
      </w:r>
    </w:p>
    <w:p w14:paraId="6025AADC" w14:textId="77777777" w:rsidR="00F27F0F" w:rsidRDefault="00F27F0F" w:rsidP="00F27F0F">
      <w:pPr>
        <w:spacing w:after="0"/>
        <w:jc w:val="both"/>
        <w:rPr>
          <w:rFonts w:ascii="Times New Roman" w:hAnsi="Times New Roman"/>
          <w:sz w:val="20"/>
          <w:szCs w:val="20"/>
        </w:rPr>
      </w:pPr>
    </w:p>
    <w:p w14:paraId="20189DCE" w14:textId="5B30EA92" w:rsidR="00F27F0F" w:rsidRDefault="00F27F0F" w:rsidP="00F27F0F">
      <w:pPr>
        <w:spacing w:after="0"/>
        <w:ind w:firstLine="720"/>
        <w:jc w:val="both"/>
        <w:rPr>
          <w:rFonts w:ascii="Times New Roman" w:hAnsi="Times New Roman"/>
          <w:sz w:val="20"/>
          <w:szCs w:val="20"/>
        </w:rPr>
      </w:pPr>
      <w:r w:rsidRPr="002F1747">
        <w:rPr>
          <w:sz w:val="20"/>
          <w:szCs w:val="20"/>
        </w:rPr>
        <w:t xml:space="preserve">log </w:t>
      </w: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logK</m:t>
            </m:r>
          </m:e>
          <m:sub>
            <m:r>
              <w:rPr>
                <w:rFonts w:ascii="Cambria Math" w:hAnsi="Cambria Math"/>
                <w:sz w:val="20"/>
                <w:szCs w:val="20"/>
              </w:rPr>
              <m:t>f</m:t>
            </m:r>
          </m:sub>
        </m:sSub>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n</m:t>
            </m:r>
          </m:den>
        </m:f>
        <m:r>
          <w:rPr>
            <w:rFonts w:ascii="Cambria Math" w:hAnsi="Cambria Math"/>
            <w:sz w:val="20"/>
            <w:szCs w:val="20"/>
          </w:rPr>
          <m:t>log</m:t>
        </m:r>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e</m:t>
            </m:r>
          </m:sub>
        </m:sSub>
      </m:oMath>
      <w:r>
        <w:rPr>
          <w:sz w:val="20"/>
          <w:szCs w:val="20"/>
        </w:rPr>
        <w:t xml:space="preserve">                               </w:t>
      </w:r>
      <w:r w:rsidRPr="0017745A">
        <w:rPr>
          <w:rFonts w:ascii="Times New Roman" w:hAnsi="Times New Roman"/>
          <w:sz w:val="20"/>
          <w:szCs w:val="20"/>
        </w:rPr>
        <w:t>(2)</w:t>
      </w:r>
    </w:p>
    <w:p w14:paraId="6B6AA02E" w14:textId="77777777" w:rsidR="00F27F0F" w:rsidRDefault="00F27F0F" w:rsidP="00F27F0F">
      <w:pPr>
        <w:spacing w:after="0"/>
        <w:jc w:val="both"/>
        <w:rPr>
          <w:rFonts w:ascii="Times New Roman" w:hAnsi="Times New Roman"/>
          <w:sz w:val="20"/>
          <w:szCs w:val="20"/>
        </w:rPr>
      </w:pPr>
    </w:p>
    <w:p w14:paraId="748FF553" w14:textId="77777777" w:rsidR="00F27F0F" w:rsidRDefault="00F27F0F" w:rsidP="00F27F0F">
      <w:pPr>
        <w:spacing w:line="240" w:lineRule="auto"/>
        <w:jc w:val="both"/>
        <w:rPr>
          <w:rFonts w:ascii="Times New Roman" w:hAnsi="Times New Roman"/>
          <w:sz w:val="20"/>
          <w:szCs w:val="20"/>
        </w:rPr>
      </w:pPr>
      <w:r>
        <w:rPr>
          <w:rFonts w:ascii="Times New Roman" w:hAnsi="Times New Roman"/>
          <w:sz w:val="20"/>
          <w:szCs w:val="20"/>
        </w:rPr>
        <w:t>w</w:t>
      </w:r>
      <w:r w:rsidRPr="002F1747">
        <w:rPr>
          <w:rFonts w:ascii="Times New Roman" w:hAnsi="Times New Roman"/>
          <w:sz w:val="20"/>
          <w:szCs w:val="20"/>
        </w:rPr>
        <w:t>here</w:t>
      </w:r>
      <w:r>
        <w:rPr>
          <w:rFonts w:ascii="Times New Roman" w:hAnsi="Times New Roman"/>
          <w:sz w:val="20"/>
          <w:szCs w:val="20"/>
        </w:rPr>
        <w:t xml:space="preserve"> </w:t>
      </w:r>
      <w:r w:rsidRPr="002F1747">
        <w:rPr>
          <w:rFonts w:ascii="Times New Roman" w:hAnsi="Times New Roman"/>
          <w:sz w:val="20"/>
          <w:szCs w:val="20"/>
        </w:rPr>
        <w:t>k</w:t>
      </w:r>
      <w:r w:rsidRPr="002F1747">
        <w:rPr>
          <w:rFonts w:ascii="Times New Roman" w:hAnsi="Times New Roman"/>
          <w:sz w:val="20"/>
          <w:szCs w:val="20"/>
          <w:vertAlign w:val="subscript"/>
        </w:rPr>
        <w:t>f</w:t>
      </w:r>
      <w:r w:rsidRPr="002F1747">
        <w:rPr>
          <w:rFonts w:ascii="Times New Roman" w:hAnsi="Times New Roman"/>
          <w:sz w:val="20"/>
          <w:szCs w:val="20"/>
        </w:rPr>
        <w:t xml:space="preserve"> </w:t>
      </w:r>
      <w:r>
        <w:rPr>
          <w:rFonts w:ascii="Times New Roman" w:hAnsi="Times New Roman"/>
          <w:sz w:val="20"/>
          <w:szCs w:val="20"/>
        </w:rPr>
        <w:t xml:space="preserve">is </w:t>
      </w:r>
      <w:r w:rsidRPr="002F1747">
        <w:rPr>
          <w:rFonts w:ascii="Times New Roman" w:hAnsi="Times New Roman"/>
          <w:sz w:val="20"/>
          <w:szCs w:val="20"/>
        </w:rPr>
        <w:t>adsorption capacity</w:t>
      </w:r>
      <w:r>
        <w:rPr>
          <w:rFonts w:ascii="Times New Roman" w:hAnsi="Times New Roman"/>
          <w:sz w:val="20"/>
          <w:szCs w:val="20"/>
        </w:rPr>
        <w:t xml:space="preserve">, </w:t>
      </w:r>
      <w:r w:rsidRPr="002F1747">
        <w:rPr>
          <w:rFonts w:ascii="Times New Roman" w:hAnsi="Times New Roman"/>
          <w:sz w:val="20"/>
          <w:szCs w:val="20"/>
        </w:rPr>
        <w:t>n</w:t>
      </w:r>
      <w:r>
        <w:rPr>
          <w:rFonts w:ascii="Times New Roman" w:hAnsi="Times New Roman"/>
          <w:sz w:val="20"/>
          <w:szCs w:val="20"/>
        </w:rPr>
        <w:t xml:space="preserve"> is </w:t>
      </w:r>
      <w:r w:rsidRPr="002F1747">
        <w:rPr>
          <w:rFonts w:ascii="Times New Roman" w:hAnsi="Times New Roman"/>
          <w:sz w:val="20"/>
          <w:szCs w:val="20"/>
        </w:rPr>
        <w:t>Freundlich constant</w:t>
      </w:r>
      <w:r>
        <w:rPr>
          <w:rFonts w:ascii="Times New Roman" w:hAnsi="Times New Roman"/>
          <w:sz w:val="20"/>
          <w:szCs w:val="20"/>
        </w:rPr>
        <w:t xml:space="preserve">, </w:t>
      </w:r>
      <w:r w:rsidRPr="002F1747">
        <w:rPr>
          <w:rFonts w:ascii="Times New Roman" w:hAnsi="Times New Roman"/>
          <w:sz w:val="20"/>
          <w:szCs w:val="20"/>
        </w:rPr>
        <w:t>C</w:t>
      </w:r>
      <w:r w:rsidRPr="002F1747">
        <w:rPr>
          <w:rFonts w:ascii="Times New Roman" w:hAnsi="Times New Roman"/>
          <w:sz w:val="20"/>
          <w:szCs w:val="20"/>
          <w:vertAlign w:val="subscript"/>
        </w:rPr>
        <w:t>e</w:t>
      </w:r>
      <w:r w:rsidRPr="002F1747">
        <w:rPr>
          <w:rFonts w:ascii="Times New Roman" w:hAnsi="Times New Roman"/>
          <w:sz w:val="20"/>
          <w:szCs w:val="20"/>
        </w:rPr>
        <w:t xml:space="preserve"> </w:t>
      </w:r>
      <w:r>
        <w:rPr>
          <w:rFonts w:ascii="Times New Roman" w:hAnsi="Times New Roman"/>
          <w:sz w:val="20"/>
          <w:szCs w:val="20"/>
        </w:rPr>
        <w:t xml:space="preserve">is </w:t>
      </w:r>
      <w:r w:rsidRPr="002F1747">
        <w:rPr>
          <w:rFonts w:ascii="Times New Roman" w:hAnsi="Times New Roman"/>
          <w:sz w:val="20"/>
          <w:szCs w:val="20"/>
        </w:rPr>
        <w:t>equilibrium concentration of adsorbate</w:t>
      </w:r>
      <w:r>
        <w:rPr>
          <w:rFonts w:ascii="Times New Roman" w:hAnsi="Times New Roman"/>
          <w:sz w:val="20"/>
          <w:szCs w:val="20"/>
        </w:rPr>
        <w:t xml:space="preserve">, </w:t>
      </w:r>
      <w:r w:rsidRPr="002F1747">
        <w:rPr>
          <w:rFonts w:ascii="Times New Roman" w:hAnsi="Times New Roman"/>
          <w:sz w:val="20"/>
          <w:szCs w:val="20"/>
        </w:rPr>
        <w:t>q</w:t>
      </w:r>
      <w:r w:rsidRPr="002F1747">
        <w:rPr>
          <w:rFonts w:ascii="Times New Roman" w:hAnsi="Times New Roman"/>
          <w:sz w:val="20"/>
          <w:szCs w:val="20"/>
          <w:vertAlign w:val="subscript"/>
        </w:rPr>
        <w:t>e</w:t>
      </w:r>
      <w:r w:rsidRPr="002F1747">
        <w:rPr>
          <w:rFonts w:ascii="Times New Roman" w:hAnsi="Times New Roman"/>
          <w:sz w:val="20"/>
          <w:szCs w:val="20"/>
        </w:rPr>
        <w:t xml:space="preserve"> </w:t>
      </w:r>
      <w:r>
        <w:rPr>
          <w:rFonts w:ascii="Times New Roman" w:hAnsi="Times New Roman"/>
          <w:sz w:val="20"/>
          <w:szCs w:val="20"/>
        </w:rPr>
        <w:t>is</w:t>
      </w:r>
      <w:r w:rsidRPr="002F1747">
        <w:rPr>
          <w:rFonts w:ascii="Times New Roman" w:hAnsi="Times New Roman"/>
          <w:sz w:val="20"/>
          <w:szCs w:val="20"/>
        </w:rPr>
        <w:t xml:space="preserve"> capacity of equilibrium adsorption</w:t>
      </w:r>
      <w:r>
        <w:rPr>
          <w:rFonts w:ascii="Times New Roman" w:hAnsi="Times New Roman"/>
          <w:sz w:val="20"/>
          <w:szCs w:val="20"/>
        </w:rPr>
        <w:t xml:space="preserve"> and </w:t>
      </w:r>
      <w:r w:rsidRPr="002F1747">
        <w:rPr>
          <w:rFonts w:ascii="Times New Roman" w:hAnsi="Times New Roman"/>
          <w:sz w:val="20"/>
          <w:szCs w:val="20"/>
        </w:rPr>
        <w:t>n were determined from the intercept and slope of graph ln(q</w:t>
      </w:r>
      <w:r w:rsidRPr="002F1747">
        <w:rPr>
          <w:rFonts w:ascii="Times New Roman" w:hAnsi="Times New Roman"/>
          <w:sz w:val="20"/>
          <w:szCs w:val="20"/>
          <w:vertAlign w:val="subscript"/>
        </w:rPr>
        <w:t>e</w:t>
      </w:r>
      <w:r w:rsidRPr="002F1747">
        <w:rPr>
          <w:rFonts w:ascii="Times New Roman" w:hAnsi="Times New Roman"/>
          <w:sz w:val="20"/>
          <w:szCs w:val="20"/>
        </w:rPr>
        <w:t>) against ln(C</w:t>
      </w:r>
      <w:r w:rsidRPr="002F1747">
        <w:rPr>
          <w:rFonts w:ascii="Times New Roman" w:hAnsi="Times New Roman"/>
          <w:sz w:val="20"/>
          <w:szCs w:val="20"/>
          <w:vertAlign w:val="subscript"/>
        </w:rPr>
        <w:t>e</w:t>
      </w:r>
      <w:r w:rsidRPr="002F1747">
        <w:rPr>
          <w:rFonts w:ascii="Times New Roman" w:hAnsi="Times New Roman"/>
          <w:sz w:val="20"/>
          <w:szCs w:val="20"/>
        </w:rPr>
        <w:t>)</w:t>
      </w:r>
      <w:r>
        <w:rPr>
          <w:rFonts w:ascii="Times New Roman" w:hAnsi="Times New Roman"/>
          <w:sz w:val="20"/>
          <w:szCs w:val="20"/>
        </w:rPr>
        <w:t>.</w:t>
      </w:r>
    </w:p>
    <w:p w14:paraId="51C371A7" w14:textId="77777777" w:rsidR="00F27F0F" w:rsidRPr="002F1747" w:rsidRDefault="00F27F0F" w:rsidP="00F27F0F">
      <w:pPr>
        <w:spacing w:after="0"/>
        <w:jc w:val="both"/>
        <w:rPr>
          <w:rFonts w:ascii="Times New Roman" w:hAnsi="Times New Roman"/>
          <w:b/>
          <w:bCs/>
          <w:sz w:val="20"/>
          <w:szCs w:val="20"/>
        </w:rPr>
      </w:pPr>
      <w:r w:rsidRPr="002F1747">
        <w:rPr>
          <w:rFonts w:ascii="Times New Roman" w:hAnsi="Times New Roman"/>
          <w:b/>
          <w:bCs/>
          <w:sz w:val="20"/>
          <w:szCs w:val="20"/>
        </w:rPr>
        <w:t>Adsorption kinetics</w:t>
      </w:r>
    </w:p>
    <w:p w14:paraId="51EC014A" w14:textId="77777777" w:rsidR="00F27F0F" w:rsidRDefault="00F27F0F" w:rsidP="00F27F0F">
      <w:pPr>
        <w:spacing w:after="0"/>
        <w:jc w:val="both"/>
        <w:rPr>
          <w:rFonts w:ascii="Times New Roman" w:hAnsi="Times New Roman"/>
          <w:sz w:val="20"/>
          <w:szCs w:val="20"/>
        </w:rPr>
      </w:pPr>
      <w:r w:rsidRPr="002F1747">
        <w:rPr>
          <w:rFonts w:ascii="Times New Roman" w:hAnsi="Times New Roman"/>
          <w:sz w:val="20"/>
          <w:szCs w:val="20"/>
        </w:rPr>
        <w:t>The experimental data were fitted by implementing pseudo-first-order and pseudo-second-order kinetic models [41]. The equation for pseudo-first-order and pseudo-second-order is stated in Equation (3) and (4), respectively</w:t>
      </w:r>
      <w:r>
        <w:rPr>
          <w:rFonts w:ascii="Times New Roman" w:hAnsi="Times New Roman"/>
          <w:sz w:val="20"/>
          <w:szCs w:val="20"/>
        </w:rPr>
        <w:t>.</w:t>
      </w:r>
    </w:p>
    <w:p w14:paraId="65FA43C1" w14:textId="77777777" w:rsidR="00F27F0F" w:rsidRDefault="00F27F0F" w:rsidP="00F27F0F">
      <w:pPr>
        <w:spacing w:after="0"/>
        <w:jc w:val="both"/>
        <w:rPr>
          <w:rFonts w:ascii="Times New Roman" w:hAnsi="Times New Roman"/>
          <w:sz w:val="20"/>
          <w:szCs w:val="20"/>
        </w:rPr>
      </w:pPr>
    </w:p>
    <w:p w14:paraId="4D063514" w14:textId="71F62835" w:rsidR="00F27F0F" w:rsidRDefault="002C4044" w:rsidP="00F27F0F">
      <w:pPr>
        <w:spacing w:after="0"/>
        <w:rPr>
          <w:rFonts w:ascii="Times New Roman" w:hAnsi="Times New Roman"/>
          <w:sz w:val="20"/>
          <w:szCs w:val="20"/>
        </w:rPr>
      </w:pPr>
      <m:oMath>
        <m:sSub>
          <m:sSubPr>
            <m:ctrlPr>
              <w:rPr>
                <w:rFonts w:ascii="Cambria Math" w:hAnsi="Cambria Math"/>
                <w:sz w:val="20"/>
                <w:szCs w:val="20"/>
              </w:rPr>
            </m:ctrlPr>
          </m:sSubPr>
          <m:e>
            <m:r>
              <m:rPr>
                <m:nor/>
              </m:rPr>
              <w:rPr>
                <w:rFonts w:ascii="Times New Roman" w:hAnsi="Times New Roman"/>
                <w:sz w:val="20"/>
                <w:szCs w:val="20"/>
              </w:rPr>
              <m:t xml:space="preserve">            log</m:t>
            </m:r>
          </m:e>
          <m:sub>
            <m:r>
              <w:rPr>
                <w:rFonts w:ascii="Cambria Math" w:hAnsi="Cambria Math"/>
                <w:sz w:val="20"/>
                <w:szCs w:val="20"/>
              </w:rPr>
              <m:t>10</m:t>
            </m:r>
          </m:sub>
        </m:sSub>
        <m:d>
          <m:dPr>
            <m:ctrlPr>
              <w:rPr>
                <w:rFonts w:ascii="Cambria Math" w:hAnsi="Cambria Math"/>
                <w:sz w:val="20"/>
                <w:szCs w:val="20"/>
              </w:rPr>
            </m:ctrlPr>
          </m:dPr>
          <m:e>
            <m:sSub>
              <m:sSubPr>
                <m:ctrlPr>
                  <w:rPr>
                    <w:rFonts w:ascii="Cambria Math" w:hAnsi="Cambria Math"/>
                    <w:sz w:val="20"/>
                    <w:szCs w:val="20"/>
                  </w:rPr>
                </m:ctrlPr>
              </m:sSubPr>
              <m:e>
                <m:r>
                  <m:rPr>
                    <m:nor/>
                  </m:rPr>
                  <w:rPr>
                    <w:rFonts w:ascii="Times New Roman" w:hAnsi="Times New Roman"/>
                    <w:sz w:val="20"/>
                    <w:szCs w:val="20"/>
                  </w:rPr>
                  <m:t>q</m:t>
                </m:r>
              </m:e>
              <m:sub>
                <m:r>
                  <m:rPr>
                    <m:nor/>
                  </m:rPr>
                  <w:rPr>
                    <w:rFonts w:ascii="Times New Roman" w:hAnsi="Times New Roman"/>
                    <w:sz w:val="20"/>
                    <w:szCs w:val="20"/>
                  </w:rPr>
                  <m:t>e</m:t>
                </m:r>
              </m:sub>
            </m:sSub>
            <m:r>
              <w:rPr>
                <w:rFonts w:ascii="Cambria Math" w:hAnsi="Cambria Math"/>
                <w:sz w:val="20"/>
                <w:szCs w:val="20"/>
              </w:rPr>
              <m:t>-</m:t>
            </m:r>
            <m:sSub>
              <m:sSubPr>
                <m:ctrlPr>
                  <w:rPr>
                    <w:rFonts w:ascii="Cambria Math" w:hAnsi="Cambria Math"/>
                    <w:sz w:val="20"/>
                    <w:szCs w:val="20"/>
                  </w:rPr>
                </m:ctrlPr>
              </m:sSubPr>
              <m:e>
                <m:r>
                  <m:rPr>
                    <m:nor/>
                  </m:rPr>
                  <w:rPr>
                    <w:rFonts w:ascii="Times New Roman" w:hAnsi="Times New Roman"/>
                    <w:sz w:val="20"/>
                    <w:szCs w:val="20"/>
                  </w:rPr>
                  <m:t>q</m:t>
                </m:r>
              </m:e>
              <m:sub>
                <m:r>
                  <m:rPr>
                    <m:nor/>
                  </m:rPr>
                  <w:rPr>
                    <w:rFonts w:ascii="Times New Roman" w:hAnsi="Times New Roman"/>
                    <w:sz w:val="20"/>
                    <w:szCs w:val="20"/>
                  </w:rPr>
                  <m:t>t</m:t>
                </m:r>
              </m:sub>
            </m:sSub>
          </m:e>
        </m:d>
        <m:r>
          <w:rPr>
            <w:rFonts w:ascii="Cambria Math" w:hAnsi="Cambria Math"/>
            <w:sz w:val="20"/>
            <w:szCs w:val="20"/>
          </w:rPr>
          <m:t>=</m:t>
        </m:r>
        <m:sSub>
          <m:sSubPr>
            <m:ctrlPr>
              <w:rPr>
                <w:rFonts w:ascii="Cambria Math" w:hAnsi="Cambria Math"/>
                <w:sz w:val="20"/>
                <w:szCs w:val="20"/>
              </w:rPr>
            </m:ctrlPr>
          </m:sSubPr>
          <m:e>
            <m:r>
              <m:rPr>
                <m:nor/>
              </m:rPr>
              <w:rPr>
                <w:rFonts w:ascii="Times New Roman" w:hAnsi="Times New Roman"/>
                <w:sz w:val="20"/>
                <w:szCs w:val="20"/>
              </w:rPr>
              <m:t>log</m:t>
            </m:r>
          </m:e>
          <m:sub>
            <m:r>
              <w:rPr>
                <w:rFonts w:ascii="Cambria Math" w:hAnsi="Cambria Math"/>
                <w:sz w:val="20"/>
                <w:szCs w:val="20"/>
              </w:rPr>
              <m:t>10</m:t>
            </m:r>
          </m:sub>
        </m:sSub>
        <m:d>
          <m:dPr>
            <m:ctrlPr>
              <w:rPr>
                <w:rFonts w:ascii="Cambria Math" w:hAnsi="Cambria Math"/>
                <w:sz w:val="20"/>
                <w:szCs w:val="20"/>
              </w:rPr>
            </m:ctrlPr>
          </m:dPr>
          <m:e>
            <m:sSub>
              <m:sSubPr>
                <m:ctrlPr>
                  <w:rPr>
                    <w:rFonts w:ascii="Cambria Math" w:hAnsi="Cambria Math"/>
                    <w:sz w:val="20"/>
                    <w:szCs w:val="20"/>
                  </w:rPr>
                </m:ctrlPr>
              </m:sSubPr>
              <m:e>
                <m:r>
                  <m:rPr>
                    <m:nor/>
                  </m:rPr>
                  <w:rPr>
                    <w:rFonts w:ascii="Times New Roman" w:hAnsi="Times New Roman"/>
                    <w:sz w:val="20"/>
                    <w:szCs w:val="20"/>
                  </w:rPr>
                  <m:t>q</m:t>
                </m:r>
              </m:e>
              <m:sub>
                <m:r>
                  <m:rPr>
                    <m:nor/>
                  </m:rPr>
                  <w:rPr>
                    <w:rFonts w:ascii="Times New Roman" w:hAnsi="Times New Roman"/>
                    <w:sz w:val="20"/>
                    <w:szCs w:val="20"/>
                  </w:rPr>
                  <m:t>e</m:t>
                </m:r>
              </m:sub>
            </m:sSub>
          </m:e>
        </m:d>
        <m: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m:rPr>
                    <m:nor/>
                  </m:rPr>
                  <w:rPr>
                    <w:rFonts w:ascii="Times New Roman" w:hAnsi="Times New Roman"/>
                    <w:sz w:val="20"/>
                    <w:szCs w:val="20"/>
                  </w:rPr>
                  <m:t>k</m:t>
                </m:r>
              </m:e>
              <m:sub>
                <m:r>
                  <w:rPr>
                    <w:rFonts w:ascii="Cambria Math" w:hAnsi="Cambria Math"/>
                    <w:sz w:val="20"/>
                    <w:szCs w:val="20"/>
                  </w:rPr>
                  <m:t>1</m:t>
                </m:r>
              </m:sub>
            </m:sSub>
          </m:num>
          <m:den>
            <m:r>
              <w:rPr>
                <w:rFonts w:ascii="Cambria Math" w:hAnsi="Cambria Math"/>
                <w:sz w:val="20"/>
                <w:szCs w:val="20"/>
              </w:rPr>
              <m:t>2.303</m:t>
            </m:r>
          </m:den>
        </m:f>
      </m:oMath>
      <w:r w:rsidR="00F27F0F" w:rsidRPr="00CB2A8B">
        <w:rPr>
          <w:rFonts w:ascii="Times New Roman" w:hAnsi="Times New Roman"/>
          <w:sz w:val="20"/>
          <w:szCs w:val="20"/>
        </w:rPr>
        <w:t xml:space="preserve">              </w:t>
      </w:r>
      <w:r w:rsidR="00F27F0F">
        <w:rPr>
          <w:rFonts w:ascii="Times New Roman" w:hAnsi="Times New Roman"/>
          <w:sz w:val="20"/>
          <w:szCs w:val="20"/>
        </w:rPr>
        <w:t xml:space="preserve">   </w:t>
      </w:r>
      <w:r w:rsidR="00F27F0F" w:rsidRPr="00CB2A8B">
        <w:rPr>
          <w:rFonts w:ascii="Times New Roman" w:hAnsi="Times New Roman"/>
          <w:sz w:val="20"/>
          <w:szCs w:val="20"/>
        </w:rPr>
        <w:t>(3)</w:t>
      </w:r>
    </w:p>
    <w:p w14:paraId="022F24AC" w14:textId="77777777" w:rsidR="00F27F0F" w:rsidRPr="00CB2A8B" w:rsidRDefault="00F27F0F" w:rsidP="00F27F0F">
      <w:pPr>
        <w:spacing w:after="0"/>
        <w:rPr>
          <w:rFonts w:ascii="Times New Roman" w:hAnsi="Times New Roman"/>
        </w:rPr>
      </w:pPr>
    </w:p>
    <w:p w14:paraId="659E9D3E" w14:textId="77777777" w:rsidR="00F27F0F" w:rsidRDefault="00F27F0F" w:rsidP="00F27F0F">
      <w:pPr>
        <w:jc w:val="both"/>
        <w:rPr>
          <w:rFonts w:ascii="Times New Roman" w:hAnsi="Times New Roman"/>
          <w:sz w:val="20"/>
          <w:szCs w:val="20"/>
        </w:rPr>
      </w:pPr>
      <w:r w:rsidRPr="00593C23">
        <w:rPr>
          <w:rFonts w:ascii="Times New Roman" w:hAnsi="Times New Roman"/>
          <w:sz w:val="20"/>
          <w:szCs w:val="20"/>
        </w:rPr>
        <w:t>where q</w:t>
      </w:r>
      <w:r w:rsidRPr="00593C23">
        <w:rPr>
          <w:rFonts w:ascii="Times New Roman" w:hAnsi="Times New Roman"/>
          <w:sz w:val="20"/>
          <w:szCs w:val="20"/>
          <w:vertAlign w:val="subscript"/>
        </w:rPr>
        <w:t>t</w:t>
      </w:r>
      <w:r w:rsidRPr="00593C23">
        <w:rPr>
          <w:rFonts w:ascii="Times New Roman" w:hAnsi="Times New Roman"/>
          <w:sz w:val="20"/>
          <w:szCs w:val="20"/>
        </w:rPr>
        <w:t xml:space="preserve"> is amount of dye </w:t>
      </w:r>
      <w:r>
        <w:rPr>
          <w:rFonts w:ascii="Times New Roman" w:hAnsi="Times New Roman"/>
          <w:sz w:val="20"/>
          <w:szCs w:val="20"/>
        </w:rPr>
        <w:t xml:space="preserve"> </w:t>
      </w:r>
      <w:r w:rsidRPr="00593C23">
        <w:rPr>
          <w:rFonts w:ascii="Times New Roman" w:hAnsi="Times New Roman"/>
          <w:sz w:val="20"/>
          <w:szCs w:val="20"/>
        </w:rPr>
        <w:t xml:space="preserve">adsorbs </w:t>
      </w:r>
      <w:r>
        <w:rPr>
          <w:rFonts w:ascii="Times New Roman" w:hAnsi="Times New Roman"/>
          <w:sz w:val="20"/>
          <w:szCs w:val="20"/>
        </w:rPr>
        <w:t xml:space="preserve"> </w:t>
      </w:r>
      <w:r w:rsidRPr="00593C23">
        <w:rPr>
          <w:rFonts w:ascii="Times New Roman" w:hAnsi="Times New Roman"/>
          <w:sz w:val="20"/>
          <w:szCs w:val="20"/>
        </w:rPr>
        <w:t xml:space="preserve">at </w:t>
      </w:r>
      <w:r>
        <w:rPr>
          <w:rFonts w:ascii="Times New Roman" w:hAnsi="Times New Roman"/>
          <w:sz w:val="20"/>
          <w:szCs w:val="20"/>
        </w:rPr>
        <w:t xml:space="preserve"> </w:t>
      </w:r>
      <w:r w:rsidRPr="00593C23">
        <w:rPr>
          <w:rFonts w:ascii="Times New Roman" w:hAnsi="Times New Roman"/>
          <w:sz w:val="20"/>
          <w:szCs w:val="20"/>
        </w:rPr>
        <w:t xml:space="preserve">certain </w:t>
      </w:r>
      <w:r>
        <w:rPr>
          <w:rFonts w:ascii="Times New Roman" w:hAnsi="Times New Roman"/>
          <w:sz w:val="20"/>
          <w:szCs w:val="20"/>
        </w:rPr>
        <w:t xml:space="preserve"> </w:t>
      </w:r>
      <w:r w:rsidRPr="00593C23">
        <w:rPr>
          <w:rFonts w:ascii="Times New Roman" w:hAnsi="Times New Roman"/>
          <w:sz w:val="20"/>
          <w:szCs w:val="20"/>
        </w:rPr>
        <w:t xml:space="preserve">time </w:t>
      </w:r>
      <w:r>
        <w:rPr>
          <w:rFonts w:ascii="Times New Roman" w:hAnsi="Times New Roman"/>
          <w:sz w:val="20"/>
          <w:szCs w:val="20"/>
        </w:rPr>
        <w:t xml:space="preserve"> </w:t>
      </w:r>
      <w:r w:rsidRPr="00593C23">
        <w:rPr>
          <w:rFonts w:ascii="Times New Roman" w:hAnsi="Times New Roman"/>
          <w:sz w:val="20"/>
          <w:szCs w:val="20"/>
        </w:rPr>
        <w:t xml:space="preserve">equilibrium, </w:t>
      </w:r>
      <w:r>
        <w:rPr>
          <w:rFonts w:ascii="Times New Roman" w:hAnsi="Times New Roman"/>
          <w:sz w:val="20"/>
          <w:szCs w:val="20"/>
        </w:rPr>
        <w:t xml:space="preserve"> </w:t>
      </w:r>
      <w:r w:rsidRPr="00593C23">
        <w:rPr>
          <w:rFonts w:ascii="Times New Roman" w:hAnsi="Times New Roman"/>
          <w:sz w:val="20"/>
          <w:szCs w:val="20"/>
        </w:rPr>
        <w:t>k</w:t>
      </w:r>
      <w:r w:rsidRPr="00593C23">
        <w:rPr>
          <w:rFonts w:ascii="Times New Roman" w:hAnsi="Times New Roman"/>
          <w:sz w:val="20"/>
          <w:szCs w:val="20"/>
          <w:vertAlign w:val="subscript"/>
        </w:rPr>
        <w:t>1</w:t>
      </w:r>
      <w:r w:rsidRPr="00593C23">
        <w:rPr>
          <w:rFonts w:ascii="Times New Roman" w:hAnsi="Times New Roman"/>
          <w:sz w:val="20"/>
          <w:szCs w:val="20"/>
        </w:rPr>
        <w:t xml:space="preserve"> is </w:t>
      </w:r>
      <w:r>
        <w:rPr>
          <w:rFonts w:ascii="Times New Roman" w:hAnsi="Times New Roman"/>
          <w:sz w:val="20"/>
          <w:szCs w:val="20"/>
        </w:rPr>
        <w:t xml:space="preserve"> </w:t>
      </w:r>
      <w:r w:rsidRPr="00593C23">
        <w:rPr>
          <w:rFonts w:ascii="Times New Roman" w:hAnsi="Times New Roman"/>
          <w:sz w:val="20"/>
          <w:szCs w:val="20"/>
        </w:rPr>
        <w:t>equilibrium rate constant of pseudo-first</w:t>
      </w:r>
      <w:r>
        <w:rPr>
          <w:rFonts w:ascii="Times New Roman" w:hAnsi="Times New Roman"/>
          <w:sz w:val="20"/>
          <w:szCs w:val="20"/>
        </w:rPr>
        <w:t xml:space="preserve"> </w:t>
      </w:r>
      <w:r w:rsidRPr="00593C23">
        <w:rPr>
          <w:rFonts w:ascii="Times New Roman" w:hAnsi="Times New Roman"/>
          <w:sz w:val="20"/>
          <w:szCs w:val="20"/>
        </w:rPr>
        <w:t>constant and t = time (min).</w:t>
      </w:r>
    </w:p>
    <w:p w14:paraId="11034DA9" w14:textId="1B87B542" w:rsidR="00F27F0F" w:rsidRPr="00CB2A8B" w:rsidRDefault="002C4044" w:rsidP="00F27F0F">
      <w:pPr>
        <w:spacing w:after="0"/>
        <w:ind w:left="634"/>
        <w:rPr>
          <w:rFonts w:ascii="Times New Roman" w:hAnsi="Times New Roman"/>
        </w:rPr>
      </w:pPr>
      <m:oMath>
        <m:f>
          <m:fPr>
            <m:ctrlPr>
              <w:rPr>
                <w:rFonts w:ascii="Cambria Math" w:hAnsi="Cambria Math"/>
                <w:sz w:val="20"/>
                <w:szCs w:val="20"/>
              </w:rPr>
            </m:ctrlPr>
          </m:fPr>
          <m:num>
            <m:r>
              <m:rPr>
                <m:nor/>
              </m:rPr>
              <w:rPr>
                <w:rFonts w:ascii="Times New Roman" w:hAnsi="Times New Roman"/>
                <w:sz w:val="20"/>
                <w:szCs w:val="20"/>
              </w:rPr>
              <m:t>t</m:t>
            </m:r>
          </m:num>
          <m:den>
            <m:sSub>
              <m:sSubPr>
                <m:ctrlPr>
                  <w:rPr>
                    <w:rFonts w:ascii="Cambria Math" w:hAnsi="Cambria Math"/>
                    <w:sz w:val="20"/>
                    <w:szCs w:val="20"/>
                  </w:rPr>
                </m:ctrlPr>
              </m:sSubPr>
              <m:e>
                <m:r>
                  <m:rPr>
                    <m:nor/>
                  </m:rPr>
                  <w:rPr>
                    <w:rFonts w:ascii="Times New Roman" w:hAnsi="Times New Roman"/>
                    <w:sz w:val="20"/>
                    <w:szCs w:val="20"/>
                  </w:rPr>
                  <m:t>q</m:t>
                </m:r>
              </m:e>
              <m:sub>
                <m:r>
                  <m:rPr>
                    <m:nor/>
                  </m:rPr>
                  <w:rPr>
                    <w:rFonts w:ascii="Times New Roman" w:hAnsi="Times New Roman"/>
                    <w:sz w:val="20"/>
                    <w:szCs w:val="20"/>
                  </w:rPr>
                  <m:t>t</m:t>
                </m:r>
              </m:sub>
            </m:sSub>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sSub>
              <m:sSubPr>
                <m:ctrlPr>
                  <w:rPr>
                    <w:rFonts w:ascii="Cambria Math" w:hAnsi="Cambria Math"/>
                    <w:sz w:val="20"/>
                    <w:szCs w:val="20"/>
                  </w:rPr>
                </m:ctrlPr>
              </m:sSubPr>
              <m:e>
                <m:r>
                  <m:rPr>
                    <m:nor/>
                  </m:rPr>
                  <w:rPr>
                    <w:rFonts w:ascii="Times New Roman" w:hAnsi="Times New Roman"/>
                    <w:sz w:val="20"/>
                    <w:szCs w:val="20"/>
                  </w:rPr>
                  <m:t>k</m:t>
                </m:r>
              </m:e>
              <m:sub>
                <m:r>
                  <w:rPr>
                    <w:rFonts w:ascii="Cambria Math" w:hAnsi="Cambria Math"/>
                    <w:sz w:val="20"/>
                    <w:szCs w:val="20"/>
                  </w:rPr>
                  <m:t>2</m:t>
                </m:r>
              </m:sub>
            </m:sSub>
            <m:sSubSup>
              <m:sSubSupPr>
                <m:ctrlPr>
                  <w:rPr>
                    <w:rFonts w:ascii="Cambria Math" w:hAnsi="Cambria Math"/>
                    <w:sz w:val="20"/>
                    <w:szCs w:val="20"/>
                  </w:rPr>
                </m:ctrlPr>
              </m:sSubSupPr>
              <m:e>
                <m:r>
                  <m:rPr>
                    <m:nor/>
                  </m:rPr>
                  <w:rPr>
                    <w:rFonts w:ascii="Times New Roman" w:hAnsi="Times New Roman"/>
                    <w:sz w:val="20"/>
                    <w:szCs w:val="20"/>
                  </w:rPr>
                  <m:t>q</m:t>
                </m:r>
              </m:e>
              <m:sub>
                <m:r>
                  <m:rPr>
                    <m:nor/>
                  </m:rPr>
                  <w:rPr>
                    <w:rFonts w:ascii="Times New Roman" w:hAnsi="Times New Roman"/>
                    <w:sz w:val="20"/>
                    <w:szCs w:val="20"/>
                  </w:rPr>
                  <m:t>e</m:t>
                </m:r>
              </m:sub>
              <m:sup>
                <m:r>
                  <w:rPr>
                    <w:rFonts w:ascii="Cambria Math" w:hAnsi="Cambria Math"/>
                    <w:sz w:val="20"/>
                    <w:szCs w:val="20"/>
                  </w:rPr>
                  <m:t>2</m:t>
                </m:r>
              </m:sup>
            </m:sSubSup>
          </m:den>
        </m:f>
        <m:r>
          <w:rPr>
            <w:rFonts w:ascii="Cambria Math" w:hAnsi="Cambria Math"/>
            <w:sz w:val="20"/>
            <w:szCs w:val="20"/>
          </w:rPr>
          <m:t>+</m:t>
        </m:r>
        <m:f>
          <m:fPr>
            <m:ctrlPr>
              <w:rPr>
                <w:rFonts w:ascii="Cambria Math" w:hAnsi="Cambria Math"/>
                <w:sz w:val="20"/>
                <w:szCs w:val="20"/>
              </w:rPr>
            </m:ctrlPr>
          </m:fPr>
          <m:num>
            <m:r>
              <m:rPr>
                <m:nor/>
              </m:rPr>
              <w:rPr>
                <w:rFonts w:ascii="Times New Roman" w:hAnsi="Times New Roman"/>
                <w:sz w:val="20"/>
                <w:szCs w:val="20"/>
              </w:rPr>
              <m:t>t</m:t>
            </m:r>
          </m:num>
          <m:den>
            <m:sSub>
              <m:sSubPr>
                <m:ctrlPr>
                  <w:rPr>
                    <w:rFonts w:ascii="Cambria Math" w:hAnsi="Cambria Math"/>
                    <w:sz w:val="20"/>
                    <w:szCs w:val="20"/>
                  </w:rPr>
                </m:ctrlPr>
              </m:sSubPr>
              <m:e>
                <m:r>
                  <m:rPr>
                    <m:nor/>
                  </m:rPr>
                  <w:rPr>
                    <w:rFonts w:ascii="Times New Roman" w:hAnsi="Times New Roman"/>
                    <w:sz w:val="20"/>
                    <w:szCs w:val="20"/>
                  </w:rPr>
                  <m:t>q</m:t>
                </m:r>
              </m:e>
              <m:sub>
                <m:r>
                  <m:rPr>
                    <m:nor/>
                  </m:rPr>
                  <w:rPr>
                    <w:rFonts w:ascii="Times New Roman" w:hAnsi="Times New Roman"/>
                    <w:sz w:val="20"/>
                    <w:szCs w:val="20"/>
                  </w:rPr>
                  <m:t>e</m:t>
                </m:r>
              </m:sub>
            </m:sSub>
          </m:den>
        </m:f>
      </m:oMath>
      <w:r w:rsidR="00F27F0F">
        <w:rPr>
          <w:sz w:val="20"/>
          <w:szCs w:val="20"/>
        </w:rPr>
        <w:t xml:space="preserve">                                                          </w:t>
      </w:r>
      <w:r w:rsidR="00F27F0F" w:rsidRPr="00CB2A8B">
        <w:rPr>
          <w:rFonts w:ascii="Times New Roman" w:hAnsi="Times New Roman"/>
          <w:sz w:val="20"/>
          <w:szCs w:val="20"/>
        </w:rPr>
        <w:t>(4)</w:t>
      </w:r>
    </w:p>
    <w:p w14:paraId="46C719B8" w14:textId="77777777" w:rsidR="00F27F0F" w:rsidRPr="00F56ED3" w:rsidRDefault="00F27F0F" w:rsidP="00F27F0F">
      <w:pPr>
        <w:spacing w:after="0"/>
        <w:jc w:val="both"/>
        <w:rPr>
          <w:rFonts w:ascii="Times New Roman" w:hAnsi="Times New Roman"/>
          <w:sz w:val="20"/>
          <w:szCs w:val="20"/>
        </w:rPr>
      </w:pPr>
    </w:p>
    <w:p w14:paraId="5F329311" w14:textId="77777777" w:rsidR="00F27F0F" w:rsidRPr="00593C23" w:rsidRDefault="00F27F0F" w:rsidP="00F27F0F">
      <w:pPr>
        <w:spacing w:after="0"/>
        <w:jc w:val="both"/>
        <w:rPr>
          <w:rFonts w:ascii="Times New Roman" w:hAnsi="Times New Roman"/>
          <w:b/>
          <w:bCs/>
          <w:sz w:val="20"/>
          <w:szCs w:val="20"/>
          <w:lang w:val="en-GB"/>
        </w:rPr>
      </w:pPr>
      <w:r>
        <w:rPr>
          <w:rFonts w:ascii="Times New Roman" w:hAnsi="Times New Roman"/>
          <w:sz w:val="20"/>
          <w:szCs w:val="20"/>
        </w:rPr>
        <w:t>w</w:t>
      </w:r>
      <w:r w:rsidRPr="00593C23">
        <w:rPr>
          <w:rFonts w:ascii="Times New Roman" w:hAnsi="Times New Roman"/>
          <w:sz w:val="20"/>
          <w:szCs w:val="20"/>
        </w:rPr>
        <w:t>here K</w:t>
      </w:r>
      <w:r w:rsidRPr="00593C23">
        <w:rPr>
          <w:rFonts w:ascii="Times New Roman" w:hAnsi="Times New Roman"/>
          <w:sz w:val="20"/>
          <w:szCs w:val="20"/>
          <w:vertAlign w:val="subscript"/>
        </w:rPr>
        <w:t>2</w:t>
      </w:r>
      <w:r w:rsidRPr="00593C23">
        <w:rPr>
          <w:rFonts w:ascii="Times New Roman" w:hAnsi="Times New Roman"/>
          <w:sz w:val="20"/>
          <w:szCs w:val="20"/>
        </w:rPr>
        <w:t xml:space="preserve"> is pseudo-second-order rate constant, q</w:t>
      </w:r>
      <w:r w:rsidRPr="00593C23">
        <w:rPr>
          <w:rFonts w:ascii="Times New Roman" w:hAnsi="Times New Roman"/>
          <w:sz w:val="20"/>
          <w:szCs w:val="20"/>
          <w:vertAlign w:val="subscript"/>
        </w:rPr>
        <w:t xml:space="preserve">e </w:t>
      </w:r>
      <w:r w:rsidRPr="00593C23">
        <w:rPr>
          <w:rFonts w:ascii="Times New Roman" w:hAnsi="Times New Roman"/>
          <w:sz w:val="20"/>
          <w:szCs w:val="20"/>
        </w:rPr>
        <w:t>is</w:t>
      </w:r>
      <w:r w:rsidRPr="00593C23">
        <w:rPr>
          <w:rFonts w:ascii="Times New Roman" w:hAnsi="Times New Roman"/>
          <w:sz w:val="20"/>
          <w:szCs w:val="20"/>
          <w:vertAlign w:val="subscript"/>
        </w:rPr>
        <w:t xml:space="preserve"> </w:t>
      </w:r>
      <w:r w:rsidRPr="00593C23">
        <w:rPr>
          <w:rFonts w:ascii="Times New Roman" w:hAnsi="Times New Roman"/>
          <w:sz w:val="20"/>
          <w:szCs w:val="20"/>
        </w:rPr>
        <w:t>capacity of equilibrium adsorption, q</w:t>
      </w:r>
      <w:r w:rsidRPr="00593C23">
        <w:rPr>
          <w:rFonts w:ascii="Times New Roman" w:hAnsi="Times New Roman"/>
          <w:sz w:val="20"/>
          <w:szCs w:val="20"/>
          <w:vertAlign w:val="subscript"/>
        </w:rPr>
        <w:t>t</w:t>
      </w:r>
      <w:r w:rsidRPr="00593C23">
        <w:rPr>
          <w:rFonts w:ascii="Times New Roman" w:hAnsi="Times New Roman"/>
          <w:sz w:val="20"/>
          <w:szCs w:val="20"/>
        </w:rPr>
        <w:t xml:space="preserve"> is adsorption amount of dye at certain time equilibrium, t is contact time (min), q</w:t>
      </w:r>
      <w:r w:rsidRPr="00593C23">
        <w:rPr>
          <w:rFonts w:ascii="Times New Roman" w:hAnsi="Times New Roman"/>
          <w:sz w:val="20"/>
          <w:szCs w:val="20"/>
          <w:vertAlign w:val="subscript"/>
        </w:rPr>
        <w:t>e</w:t>
      </w:r>
      <w:r w:rsidRPr="00593C23">
        <w:rPr>
          <w:rFonts w:ascii="Times New Roman" w:hAnsi="Times New Roman"/>
          <w:sz w:val="20"/>
          <w:szCs w:val="20"/>
        </w:rPr>
        <w:t xml:space="preserve"> and K</w:t>
      </w:r>
      <w:r w:rsidRPr="00593C23">
        <w:rPr>
          <w:rFonts w:ascii="Times New Roman" w:hAnsi="Times New Roman"/>
          <w:sz w:val="20"/>
          <w:szCs w:val="20"/>
          <w:vertAlign w:val="subscript"/>
        </w:rPr>
        <w:t>2</w:t>
      </w:r>
      <w:r w:rsidRPr="00593C23">
        <w:rPr>
          <w:rFonts w:ascii="Times New Roman" w:hAnsi="Times New Roman"/>
          <w:sz w:val="20"/>
          <w:szCs w:val="20"/>
        </w:rPr>
        <w:t xml:space="preserve"> were calculated using </w:t>
      </w:r>
      <m:oMath>
        <m:f>
          <m:fPr>
            <m:ctrlPr>
              <w:rPr>
                <w:rFonts w:ascii="Cambria Math" w:hAnsi="Cambria Math"/>
                <w:i/>
                <w:sz w:val="20"/>
                <w:szCs w:val="20"/>
              </w:rPr>
            </m:ctrlPr>
          </m:fPr>
          <m:num>
            <m:r>
              <w:rPr>
                <w:rFonts w:ascii="Cambria Math" w:hAnsi="Cambria Math"/>
                <w:sz w:val="20"/>
                <w:szCs w:val="20"/>
              </w:rPr>
              <m:t>t</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t</m:t>
                </m:r>
              </m:sub>
            </m:sSub>
          </m:den>
        </m:f>
      </m:oMath>
      <w:r w:rsidRPr="00593C23">
        <w:rPr>
          <w:rFonts w:ascii="Times New Roman" w:hAnsi="Times New Roman"/>
          <w:sz w:val="20"/>
          <w:szCs w:val="20"/>
        </w:rPr>
        <w:t xml:space="preserve"> against t graph.</w:t>
      </w:r>
    </w:p>
    <w:p w14:paraId="698AD722" w14:textId="77777777" w:rsidR="00B71E50" w:rsidRDefault="00B71E50" w:rsidP="00B71E50">
      <w:pPr>
        <w:spacing w:after="0"/>
        <w:jc w:val="both"/>
        <w:rPr>
          <w:rFonts w:ascii="Times New Roman" w:hAnsi="Times New Roman"/>
          <w:sz w:val="20"/>
          <w:szCs w:val="20"/>
        </w:rPr>
      </w:pPr>
    </w:p>
    <w:p w14:paraId="0E6C2CF7" w14:textId="77777777" w:rsidR="00F27F0F" w:rsidRPr="00383C16" w:rsidRDefault="00F27F0F" w:rsidP="00F27F0F">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705ABA3" w14:textId="77777777" w:rsidR="00F27F0F" w:rsidRPr="00C1265D" w:rsidRDefault="00F27F0F" w:rsidP="00F27F0F">
      <w:pPr>
        <w:spacing w:after="0"/>
        <w:jc w:val="both"/>
        <w:rPr>
          <w:rFonts w:ascii="Times New Roman" w:hAnsi="Times New Roman"/>
          <w:b/>
          <w:bCs/>
          <w:sz w:val="20"/>
          <w:szCs w:val="20"/>
          <w:lang w:val="en-GB"/>
        </w:rPr>
      </w:pPr>
      <w:r w:rsidRPr="00C1265D">
        <w:rPr>
          <w:rFonts w:ascii="Times New Roman" w:hAnsi="Times New Roman"/>
          <w:b/>
          <w:bCs/>
          <w:sz w:val="20"/>
          <w:szCs w:val="20"/>
          <w:lang w:val="en-GB"/>
        </w:rPr>
        <w:t>Characterization of MCM-41 and SBA-15</w:t>
      </w:r>
    </w:p>
    <w:p w14:paraId="5F9676FC" w14:textId="77777777" w:rsidR="00F27F0F" w:rsidRDefault="00F27F0F" w:rsidP="00F27F0F">
      <w:pPr>
        <w:spacing w:after="0"/>
        <w:jc w:val="both"/>
        <w:rPr>
          <w:rFonts w:ascii="Times New Roman" w:hAnsi="Times New Roman"/>
          <w:sz w:val="20"/>
          <w:szCs w:val="20"/>
          <w:lang w:val="en-GB"/>
        </w:rPr>
      </w:pPr>
      <w:r w:rsidRPr="00C1265D">
        <w:rPr>
          <w:rFonts w:ascii="Times New Roman" w:hAnsi="Times New Roman"/>
          <w:sz w:val="20"/>
          <w:szCs w:val="20"/>
          <w:lang w:val="en-GB"/>
        </w:rPr>
        <w:t>FTIR-ATR spectra of MCM-41 and SBA-15 are shown in Figure 1. The broad peak around 3500 and 1639 cm</w:t>
      </w:r>
      <w:r w:rsidRPr="00C1265D">
        <w:rPr>
          <w:rFonts w:ascii="Times New Roman" w:hAnsi="Times New Roman"/>
          <w:sz w:val="20"/>
          <w:szCs w:val="20"/>
          <w:vertAlign w:val="superscript"/>
          <w:lang w:val="en-GB"/>
        </w:rPr>
        <w:t>-1</w:t>
      </w:r>
      <w:r w:rsidRPr="00C1265D">
        <w:rPr>
          <w:rFonts w:ascii="Times New Roman" w:hAnsi="Times New Roman"/>
          <w:sz w:val="20"/>
          <w:szCs w:val="20"/>
          <w:lang w:val="en-GB"/>
        </w:rPr>
        <w:t xml:space="preserve"> in both spectra are mainly due to the bending vibration of the adsorbed water. The bands present around 1030 – 1080 and 450 - 464 cm</w:t>
      </w:r>
      <w:r w:rsidRPr="00C1265D">
        <w:rPr>
          <w:rFonts w:ascii="Times New Roman" w:hAnsi="Times New Roman"/>
          <w:sz w:val="20"/>
          <w:szCs w:val="20"/>
          <w:vertAlign w:val="superscript"/>
          <w:lang w:val="en-GB"/>
        </w:rPr>
        <w:t>-1</w:t>
      </w:r>
      <w:r w:rsidRPr="00C1265D">
        <w:rPr>
          <w:rFonts w:ascii="Times New Roman" w:hAnsi="Times New Roman"/>
          <w:sz w:val="20"/>
          <w:szCs w:val="20"/>
          <w:lang w:val="en-GB"/>
        </w:rPr>
        <w:t xml:space="preserve"> indicate siloxane bond (Si-O-Si) and Si-O bond in both samples, respectively. The peaks representing silanol group (Si-OH) in MCM-41 and SBA-15 are present around 800 - 970 cm</w:t>
      </w:r>
      <w:r w:rsidRPr="00C1265D">
        <w:rPr>
          <w:rFonts w:ascii="Times New Roman" w:hAnsi="Times New Roman"/>
          <w:sz w:val="20"/>
          <w:szCs w:val="20"/>
          <w:vertAlign w:val="superscript"/>
          <w:lang w:val="en-GB"/>
        </w:rPr>
        <w:t xml:space="preserve">-1 </w:t>
      </w:r>
      <w:r w:rsidRPr="00C1265D">
        <w:rPr>
          <w:rFonts w:ascii="Times New Roman" w:hAnsi="Times New Roman"/>
          <w:sz w:val="20"/>
          <w:szCs w:val="20"/>
          <w:lang w:val="en-GB"/>
        </w:rPr>
        <w:t>[43, 44, 45, 47, 48]. These four bonds confirm the silica framework of MCM-41 and SBA-15 [45]. However, SBA-15 contains two extra bonds, which are stretching vibration of C=O (the peak is present at 1701 cm</w:t>
      </w:r>
      <w:r w:rsidRPr="00C1265D">
        <w:rPr>
          <w:rFonts w:ascii="Times New Roman" w:hAnsi="Times New Roman"/>
          <w:sz w:val="20"/>
          <w:szCs w:val="20"/>
          <w:vertAlign w:val="superscript"/>
          <w:lang w:val="en-GB"/>
        </w:rPr>
        <w:t>-1</w:t>
      </w:r>
      <w:r w:rsidRPr="00C1265D">
        <w:rPr>
          <w:rFonts w:ascii="Times New Roman" w:hAnsi="Times New Roman"/>
          <w:sz w:val="20"/>
          <w:szCs w:val="20"/>
          <w:lang w:val="en-GB"/>
        </w:rPr>
        <w:t>)</w:t>
      </w:r>
      <w:r w:rsidRPr="00C1265D">
        <w:rPr>
          <w:rFonts w:ascii="Times New Roman" w:hAnsi="Times New Roman"/>
          <w:sz w:val="20"/>
          <w:szCs w:val="20"/>
          <w:vertAlign w:val="superscript"/>
          <w:lang w:val="en-GB"/>
        </w:rPr>
        <w:t xml:space="preserve"> </w:t>
      </w:r>
      <w:r w:rsidRPr="00C1265D">
        <w:rPr>
          <w:rFonts w:ascii="Times New Roman" w:hAnsi="Times New Roman"/>
          <w:sz w:val="20"/>
          <w:szCs w:val="20"/>
          <w:lang w:val="en-GB"/>
        </w:rPr>
        <w:t>and C-H bending (the peak is present at 1370 cm</w:t>
      </w:r>
      <w:r w:rsidRPr="00C1265D">
        <w:rPr>
          <w:rFonts w:ascii="Times New Roman" w:hAnsi="Times New Roman"/>
          <w:sz w:val="20"/>
          <w:szCs w:val="20"/>
          <w:vertAlign w:val="superscript"/>
          <w:lang w:val="en-GB"/>
        </w:rPr>
        <w:t>-1</w:t>
      </w:r>
      <w:r w:rsidRPr="00C1265D">
        <w:rPr>
          <w:rFonts w:ascii="Times New Roman" w:hAnsi="Times New Roman"/>
          <w:sz w:val="20"/>
          <w:szCs w:val="20"/>
          <w:lang w:val="en-GB"/>
        </w:rPr>
        <w:t>) [45, 46]. Both adsorbents have similar bonds but there are slight differences in their wavenumbers.</w:t>
      </w:r>
    </w:p>
    <w:p w14:paraId="2A5F9B88" w14:textId="77777777" w:rsidR="00F27F0F" w:rsidRPr="00C1265D" w:rsidRDefault="00F27F0F" w:rsidP="00F27F0F">
      <w:pPr>
        <w:spacing w:after="0"/>
        <w:jc w:val="both"/>
        <w:rPr>
          <w:rFonts w:ascii="Times New Roman" w:hAnsi="Times New Roman"/>
          <w:sz w:val="20"/>
          <w:szCs w:val="20"/>
          <w:lang w:val="en-GB"/>
        </w:rPr>
      </w:pPr>
    </w:p>
    <w:p w14:paraId="0AED2ED6" w14:textId="77777777" w:rsidR="006E1A18" w:rsidRDefault="00F27F0F" w:rsidP="00F27F0F">
      <w:pPr>
        <w:spacing w:after="0"/>
        <w:jc w:val="both"/>
        <w:rPr>
          <w:rFonts w:ascii="Times New Roman" w:hAnsi="Times New Roman"/>
          <w:sz w:val="20"/>
          <w:szCs w:val="20"/>
          <w:lang w:val="en-GB"/>
        </w:rPr>
        <w:sectPr w:rsidR="006E1A18" w:rsidSect="00B71E50">
          <w:footerReference w:type="even" r:id="rId15"/>
          <w:footerReference w:type="default" r:id="rId16"/>
          <w:type w:val="continuous"/>
          <w:pgSz w:w="12240" w:h="15840" w:code="1"/>
          <w:pgMar w:top="1800" w:right="1469" w:bottom="1699" w:left="1440" w:header="706" w:footer="706" w:gutter="0"/>
          <w:pgNumType w:start="0"/>
          <w:cols w:num="2" w:space="403"/>
          <w:docGrid w:linePitch="360"/>
        </w:sectPr>
      </w:pPr>
      <w:r w:rsidRPr="00C1265D">
        <w:rPr>
          <w:rFonts w:ascii="Times New Roman" w:hAnsi="Times New Roman"/>
          <w:sz w:val="20"/>
          <w:szCs w:val="20"/>
          <w:lang w:val="en-GB"/>
        </w:rPr>
        <w:t>FESEM micrographs of both adsorbents are shown in Figure 2. The morphology of each adsorbent is different. On the surface of MCM-41, the presence of pores could be observed after the removal of the CTABr template and the shape appeared as small</w:t>
      </w:r>
    </w:p>
    <w:p w14:paraId="30DE7F28" w14:textId="482A6FFA" w:rsidR="00F27F0F" w:rsidRDefault="00F27F0F" w:rsidP="00F27F0F">
      <w:pPr>
        <w:spacing w:after="0"/>
        <w:jc w:val="both"/>
        <w:rPr>
          <w:rFonts w:ascii="Times New Roman" w:hAnsi="Times New Roman"/>
          <w:sz w:val="20"/>
          <w:szCs w:val="20"/>
          <w:lang w:val="en-GB"/>
        </w:rPr>
      </w:pPr>
      <w:r w:rsidRPr="00C1265D">
        <w:rPr>
          <w:rFonts w:ascii="Times New Roman" w:hAnsi="Times New Roman"/>
          <w:sz w:val="20"/>
          <w:szCs w:val="20"/>
          <w:lang w:val="en-GB"/>
        </w:rPr>
        <w:lastRenderedPageBreak/>
        <w:t xml:space="preserve">agglomerated spheres and small rods [49]. SBA-15 shows a perfect sphere due to the removal of triblock copolymer surfactant [50]. </w:t>
      </w:r>
    </w:p>
    <w:p w14:paraId="62C0F7B2" w14:textId="77777777" w:rsidR="00F27F0F" w:rsidRPr="00C1265D" w:rsidRDefault="00F27F0F" w:rsidP="00F27F0F">
      <w:pPr>
        <w:spacing w:after="0"/>
        <w:jc w:val="both"/>
        <w:rPr>
          <w:rFonts w:ascii="Times New Roman" w:hAnsi="Times New Roman"/>
          <w:sz w:val="20"/>
          <w:szCs w:val="20"/>
          <w:lang w:val="en-GB"/>
        </w:rPr>
      </w:pPr>
    </w:p>
    <w:p w14:paraId="1FEB6386" w14:textId="2455C8D3" w:rsidR="00F27F0F" w:rsidRDefault="00F27F0F" w:rsidP="00F27F0F">
      <w:pPr>
        <w:spacing w:after="0"/>
        <w:jc w:val="both"/>
        <w:rPr>
          <w:rFonts w:ascii="Times New Roman" w:hAnsi="Times New Roman"/>
          <w:sz w:val="20"/>
          <w:szCs w:val="20"/>
          <w:lang w:val="en-GB"/>
        </w:rPr>
      </w:pPr>
      <w:r w:rsidRPr="00C1265D">
        <w:rPr>
          <w:rFonts w:ascii="Times New Roman" w:hAnsi="Times New Roman"/>
          <w:sz w:val="20"/>
          <w:szCs w:val="20"/>
          <w:lang w:val="en-GB"/>
        </w:rPr>
        <w:t>The specific surface area, pore volume and pore diameter parameters of the synthesized materials were calculated using the BET method based on the N</w:t>
      </w:r>
      <w:r w:rsidRPr="00C1265D">
        <w:rPr>
          <w:rFonts w:ascii="Times New Roman" w:hAnsi="Times New Roman"/>
          <w:sz w:val="20"/>
          <w:szCs w:val="20"/>
          <w:vertAlign w:val="subscript"/>
          <w:lang w:val="en-GB"/>
        </w:rPr>
        <w:t>2</w:t>
      </w:r>
      <w:r w:rsidRPr="00C1265D">
        <w:rPr>
          <w:rFonts w:ascii="Times New Roman" w:hAnsi="Times New Roman"/>
          <w:sz w:val="20"/>
          <w:szCs w:val="20"/>
          <w:lang w:val="en-GB"/>
        </w:rPr>
        <w:t xml:space="preserve"> adsorption and desorption isotherms. N</w:t>
      </w:r>
      <w:r w:rsidRPr="00C1265D">
        <w:rPr>
          <w:rFonts w:ascii="Times New Roman" w:hAnsi="Times New Roman"/>
          <w:sz w:val="20"/>
          <w:szCs w:val="20"/>
          <w:vertAlign w:val="subscript"/>
          <w:lang w:val="en-GB"/>
        </w:rPr>
        <w:t>2</w:t>
      </w:r>
      <w:r w:rsidRPr="00C1265D">
        <w:rPr>
          <w:rFonts w:ascii="Times New Roman" w:hAnsi="Times New Roman"/>
          <w:sz w:val="20"/>
          <w:szCs w:val="20"/>
          <w:lang w:val="en-GB"/>
        </w:rPr>
        <w:t xml:space="preserve"> adsorption/desorption isotherms of MCM-41 and SBA-15 are shown in Figure 3. According to the International Union of Pure and Applied Chemistry (IUPAC), the isotherms of both MCM-41 and SBA-15 </w:t>
      </w:r>
      <w:r w:rsidRPr="00C1265D">
        <w:rPr>
          <w:rFonts w:ascii="Times New Roman" w:hAnsi="Times New Roman"/>
          <w:sz w:val="20"/>
          <w:szCs w:val="20"/>
          <w:lang w:val="en-GB"/>
        </w:rPr>
        <w:t>exhibit typical type IV physisorption curves thus, confirming that both adsorbents are mesoporous and the adsorption process can either be monolayer or multilayer [51]. As for the type of hysteresis loop, both adsorbents show type H1 that often relate to porous materials with well-defined cylindrical-like pore channels or agglomerates of approximately uniform spheres [34]. The specific surface area, pore volume, and pore diameter for MCM-41 are 436 m</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/g, 0.533 cm</w:t>
      </w:r>
      <w:r w:rsidRPr="00C1265D">
        <w:rPr>
          <w:rFonts w:ascii="Times New Roman" w:hAnsi="Times New Roman"/>
          <w:sz w:val="20"/>
          <w:szCs w:val="20"/>
          <w:vertAlign w:val="superscript"/>
          <w:lang w:val="en-GB"/>
        </w:rPr>
        <w:t>3</w:t>
      </w:r>
      <w:r w:rsidRPr="00C1265D">
        <w:rPr>
          <w:rFonts w:ascii="Times New Roman" w:hAnsi="Times New Roman"/>
          <w:sz w:val="20"/>
          <w:szCs w:val="20"/>
          <w:lang w:val="en-GB"/>
        </w:rPr>
        <w:t>/g and 11.27 nm while for SBA-15 are 507 m</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/g, 0.688 cm</w:t>
      </w:r>
      <w:r w:rsidRPr="00C1265D">
        <w:rPr>
          <w:rFonts w:ascii="Times New Roman" w:hAnsi="Times New Roman"/>
          <w:sz w:val="20"/>
          <w:szCs w:val="20"/>
          <w:vertAlign w:val="superscript"/>
          <w:lang w:val="en-GB"/>
        </w:rPr>
        <w:t>3</w:t>
      </w:r>
      <w:r w:rsidRPr="00C1265D">
        <w:rPr>
          <w:rFonts w:ascii="Times New Roman" w:hAnsi="Times New Roman"/>
          <w:sz w:val="20"/>
          <w:szCs w:val="20"/>
          <w:lang w:val="en-GB"/>
        </w:rPr>
        <w:t xml:space="preserve">/g and 7.2 nm, respectively. </w:t>
      </w:r>
    </w:p>
    <w:p w14:paraId="0A060286" w14:textId="77777777" w:rsidR="00F27F0F" w:rsidRDefault="00F27F0F" w:rsidP="00F27F0F">
      <w:pPr>
        <w:spacing w:after="0"/>
        <w:jc w:val="both"/>
        <w:rPr>
          <w:rFonts w:ascii="Times New Roman" w:hAnsi="Times New Roman"/>
          <w:sz w:val="20"/>
          <w:szCs w:val="20"/>
          <w:lang w:val="en-GB"/>
        </w:rPr>
      </w:pPr>
    </w:p>
    <w:p w14:paraId="37C4AACD" w14:textId="087AC958" w:rsidR="00F27F0F" w:rsidRDefault="00F27F0F" w:rsidP="00B71E50">
      <w:pPr>
        <w:spacing w:after="0"/>
        <w:jc w:val="both"/>
        <w:rPr>
          <w:rFonts w:ascii="Times New Roman" w:hAnsi="Times New Roman"/>
          <w:sz w:val="20"/>
          <w:szCs w:val="20"/>
        </w:rPr>
        <w:sectPr w:rsidR="00F27F0F" w:rsidSect="006E1A18">
          <w:footerReference w:type="even" r:id="rId17"/>
          <w:type w:val="evenPage"/>
          <w:pgSz w:w="12240" w:h="15840" w:code="1"/>
          <w:pgMar w:top="1800" w:right="1469" w:bottom="1699" w:left="1440" w:header="706" w:footer="706" w:gutter="0"/>
          <w:pgNumType w:start="0"/>
          <w:cols w:num="2" w:space="403"/>
          <w:docGrid w:linePitch="360"/>
        </w:sectPr>
      </w:pPr>
    </w:p>
    <w:p w14:paraId="5D5645B8" w14:textId="1DBEB223" w:rsidR="00F56ED3" w:rsidRPr="00F56ED3" w:rsidRDefault="00F56ED3" w:rsidP="00F56ED3">
      <w:pPr>
        <w:spacing w:after="0"/>
        <w:jc w:val="center"/>
        <w:rPr>
          <w:rFonts w:ascii="Times New Roman" w:hAnsi="Times New Roman"/>
          <w:sz w:val="20"/>
          <w:szCs w:val="20"/>
        </w:rPr>
      </w:pPr>
    </w:p>
    <w:p w14:paraId="172DB27E" w14:textId="77777777" w:rsidR="00C1265D" w:rsidRPr="00C1265D" w:rsidRDefault="00C1265D" w:rsidP="00C1265D">
      <w:pPr>
        <w:spacing w:after="0"/>
        <w:jc w:val="both"/>
        <w:rPr>
          <w:rFonts w:ascii="Times New Roman" w:hAnsi="Times New Roman"/>
          <w:sz w:val="20"/>
          <w:szCs w:val="20"/>
          <w:lang w:val="en-GB"/>
        </w:rPr>
      </w:pPr>
    </w:p>
    <w:p w14:paraId="1D67F1FA" w14:textId="77777777" w:rsidR="00C1265D" w:rsidRPr="00C1265D" w:rsidRDefault="00C1265D" w:rsidP="00C1265D">
      <w:pPr>
        <w:spacing w:after="120"/>
        <w:jc w:val="center"/>
        <w:rPr>
          <w:rFonts w:ascii="Times New Roman" w:hAnsi="Times New Roman"/>
          <w:sz w:val="20"/>
          <w:szCs w:val="20"/>
          <w:lang w:val="en-GB"/>
        </w:rPr>
      </w:pPr>
      <w:r w:rsidRPr="00C1265D">
        <w:rPr>
          <w:rFonts w:ascii="Times New Roman" w:hAnsi="Times New Roman"/>
          <w:noProof/>
          <w:sz w:val="20"/>
          <w:szCs w:val="20"/>
          <w:lang w:val="en-GB"/>
        </w:rPr>
        <w:drawing>
          <wp:inline distT="0" distB="0" distL="0" distR="0" wp14:anchorId="3866B4A4" wp14:editId="38B1CC26">
            <wp:extent cx="5453404" cy="1866900"/>
            <wp:effectExtent l="19050" t="19050" r="1397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5" t="2740" r="133" b="1370"/>
                    <a:stretch/>
                  </pic:blipFill>
                  <pic:spPr bwMode="auto">
                    <a:xfrm>
                      <a:off x="0" y="0"/>
                      <a:ext cx="5456830" cy="18680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7BAD38B" w14:textId="239B872D" w:rsidR="00C1265D" w:rsidRDefault="00C1265D" w:rsidP="00C1265D">
      <w:pPr>
        <w:spacing w:after="0"/>
        <w:jc w:val="center"/>
        <w:rPr>
          <w:rFonts w:ascii="Times New Roman" w:hAnsi="Times New Roman"/>
          <w:sz w:val="20"/>
          <w:szCs w:val="20"/>
          <w:lang w:val="en-GB"/>
        </w:rPr>
      </w:pPr>
      <w:r w:rsidRPr="00C1265D">
        <w:rPr>
          <w:rFonts w:ascii="Times New Roman" w:hAnsi="Times New Roman"/>
          <w:sz w:val="20"/>
          <w:szCs w:val="20"/>
          <w:lang w:val="en-GB"/>
        </w:rPr>
        <w:t xml:space="preserve">Figure 1. </w:t>
      </w:r>
      <w:r>
        <w:rPr>
          <w:rFonts w:ascii="Times New Roman" w:hAnsi="Times New Roman"/>
          <w:sz w:val="20"/>
          <w:szCs w:val="20"/>
          <w:lang w:val="en-GB"/>
        </w:rPr>
        <w:t xml:space="preserve"> </w:t>
      </w:r>
      <w:r w:rsidRPr="00C1265D">
        <w:rPr>
          <w:rFonts w:ascii="Times New Roman" w:hAnsi="Times New Roman"/>
          <w:sz w:val="20"/>
          <w:szCs w:val="20"/>
          <w:lang w:val="en-GB"/>
        </w:rPr>
        <w:t>FTIR spectra of (a) MCM-41 and (b) SBA-15</w:t>
      </w:r>
    </w:p>
    <w:p w14:paraId="209DA18A" w14:textId="5A4AFCF4" w:rsidR="00F27F0F" w:rsidRDefault="00F27F0F" w:rsidP="00C1265D">
      <w:pPr>
        <w:spacing w:after="0"/>
        <w:jc w:val="center"/>
        <w:rPr>
          <w:rFonts w:ascii="Times New Roman" w:hAnsi="Times New Roman"/>
          <w:sz w:val="20"/>
          <w:szCs w:val="20"/>
          <w:lang w:val="en-GB"/>
        </w:rPr>
      </w:pPr>
    </w:p>
    <w:p w14:paraId="09D703F8" w14:textId="77777777" w:rsidR="00F27F0F" w:rsidRPr="00C1265D" w:rsidRDefault="00F27F0F" w:rsidP="00C1265D">
      <w:pPr>
        <w:spacing w:after="0"/>
        <w:jc w:val="center"/>
        <w:rPr>
          <w:rFonts w:ascii="Times New Roman" w:hAnsi="Times New Roman"/>
          <w:sz w:val="20"/>
          <w:szCs w:val="20"/>
          <w:lang w:val="en-GB"/>
        </w:rPr>
      </w:pPr>
    </w:p>
    <w:p w14:paraId="15525F87" w14:textId="77777777" w:rsidR="00C1265D" w:rsidRPr="00C1265D" w:rsidRDefault="00C1265D" w:rsidP="00C1265D">
      <w:pPr>
        <w:spacing w:after="120"/>
        <w:jc w:val="center"/>
        <w:rPr>
          <w:rFonts w:ascii="Times New Roman" w:hAnsi="Times New Roman"/>
          <w:sz w:val="20"/>
          <w:szCs w:val="20"/>
          <w:lang w:val="en-GB"/>
        </w:rPr>
      </w:pPr>
      <w:r w:rsidRPr="00C1265D">
        <w:rPr>
          <w:rFonts w:ascii="Times New Roman" w:hAnsi="Times New Roman"/>
          <w:noProof/>
          <w:sz w:val="20"/>
          <w:szCs w:val="20"/>
          <w:lang w:val="en-GB"/>
        </w:rPr>
        <w:drawing>
          <wp:inline distT="0" distB="0" distL="0" distR="0" wp14:anchorId="6A48CB9F" wp14:editId="17F18D1F">
            <wp:extent cx="5378210" cy="2110740"/>
            <wp:effectExtent l="19050" t="19050" r="1333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5" t="2430" r="1595" b="1387"/>
                    <a:stretch/>
                  </pic:blipFill>
                  <pic:spPr bwMode="auto">
                    <a:xfrm>
                      <a:off x="0" y="0"/>
                      <a:ext cx="5385106" cy="21134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4278454" w14:textId="76855E4F" w:rsidR="00C1265D" w:rsidRDefault="00C1265D" w:rsidP="00C1265D">
      <w:pPr>
        <w:spacing w:after="0"/>
        <w:jc w:val="center"/>
        <w:rPr>
          <w:rFonts w:ascii="Times New Roman" w:hAnsi="Times New Roman"/>
          <w:sz w:val="20"/>
          <w:szCs w:val="20"/>
          <w:lang w:val="en-GB"/>
        </w:rPr>
      </w:pPr>
      <w:r w:rsidRPr="00C1265D">
        <w:rPr>
          <w:rFonts w:ascii="Times New Roman" w:hAnsi="Times New Roman"/>
          <w:sz w:val="20"/>
          <w:szCs w:val="20"/>
          <w:lang w:val="en-GB"/>
        </w:rPr>
        <w:t xml:space="preserve">Figure 2. </w:t>
      </w:r>
      <w:r>
        <w:rPr>
          <w:rFonts w:ascii="Times New Roman" w:hAnsi="Times New Roman"/>
          <w:sz w:val="20"/>
          <w:szCs w:val="20"/>
          <w:lang w:val="en-GB"/>
        </w:rPr>
        <w:t xml:space="preserve"> </w:t>
      </w:r>
      <w:r w:rsidRPr="00C1265D">
        <w:rPr>
          <w:rFonts w:ascii="Times New Roman" w:hAnsi="Times New Roman"/>
          <w:sz w:val="20"/>
          <w:szCs w:val="20"/>
          <w:lang w:val="en-GB"/>
        </w:rPr>
        <w:t>FESEM micrographs of (a) MCM-41 and (b) SBA-15</w:t>
      </w:r>
    </w:p>
    <w:p w14:paraId="1877DC96" w14:textId="150088B5" w:rsidR="00C1265D" w:rsidRDefault="00C1265D" w:rsidP="00C1265D">
      <w:pPr>
        <w:spacing w:after="0"/>
        <w:jc w:val="both"/>
        <w:rPr>
          <w:rFonts w:ascii="Times New Roman" w:hAnsi="Times New Roman"/>
          <w:sz w:val="20"/>
          <w:szCs w:val="20"/>
          <w:lang w:val="en-GB"/>
        </w:rPr>
      </w:pPr>
    </w:p>
    <w:p w14:paraId="50894665" w14:textId="77777777" w:rsidR="00C1265D" w:rsidRPr="00C1265D" w:rsidRDefault="00C1265D" w:rsidP="00C1265D">
      <w:pPr>
        <w:spacing w:after="0"/>
        <w:jc w:val="both"/>
        <w:rPr>
          <w:rFonts w:ascii="Times New Roman" w:hAnsi="Times New Roman"/>
          <w:sz w:val="20"/>
          <w:szCs w:val="20"/>
          <w:lang w:val="en-GB"/>
        </w:rPr>
      </w:pPr>
    </w:p>
    <w:p w14:paraId="4B0C4C87" w14:textId="77777777" w:rsidR="00C1265D" w:rsidRPr="00C1265D" w:rsidRDefault="00C1265D" w:rsidP="00C1265D">
      <w:pPr>
        <w:spacing w:after="120"/>
        <w:jc w:val="center"/>
        <w:rPr>
          <w:rFonts w:ascii="Times New Roman" w:hAnsi="Times New Roman"/>
          <w:sz w:val="20"/>
          <w:szCs w:val="20"/>
          <w:lang w:val="en-GB"/>
        </w:rPr>
      </w:pPr>
      <w:r w:rsidRPr="00C1265D">
        <w:rPr>
          <w:rFonts w:ascii="Times New Roman" w:hAnsi="Times New Roman"/>
          <w:noProof/>
          <w:sz w:val="20"/>
          <w:szCs w:val="20"/>
          <w:lang w:val="en-GB"/>
        </w:rPr>
        <w:lastRenderedPageBreak/>
        <w:drawing>
          <wp:inline distT="0" distB="0" distL="0" distR="0" wp14:anchorId="14AE821F" wp14:editId="28BFA465">
            <wp:extent cx="5346581" cy="2318385"/>
            <wp:effectExtent l="19050" t="19050" r="2603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9" t="1803" r="676"/>
                    <a:stretch/>
                  </pic:blipFill>
                  <pic:spPr bwMode="auto">
                    <a:xfrm>
                      <a:off x="0" y="0"/>
                      <a:ext cx="5365293" cy="23264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E0B1DB" w14:textId="609D1212" w:rsidR="00C1265D" w:rsidRPr="00C1265D" w:rsidRDefault="00C1265D" w:rsidP="00C1265D">
      <w:pPr>
        <w:spacing w:after="0"/>
        <w:jc w:val="center"/>
        <w:rPr>
          <w:rFonts w:ascii="Times New Roman" w:hAnsi="Times New Roman"/>
          <w:sz w:val="20"/>
          <w:szCs w:val="20"/>
          <w:lang w:val="en-GB"/>
        </w:rPr>
      </w:pPr>
      <w:r w:rsidRPr="00C1265D">
        <w:rPr>
          <w:rFonts w:ascii="Times New Roman" w:hAnsi="Times New Roman"/>
          <w:sz w:val="20"/>
          <w:szCs w:val="20"/>
          <w:lang w:val="en-GB"/>
        </w:rPr>
        <w:t xml:space="preserve">Figure 3. </w:t>
      </w:r>
      <w:r>
        <w:rPr>
          <w:rFonts w:ascii="Times New Roman" w:hAnsi="Times New Roman"/>
          <w:sz w:val="20"/>
          <w:szCs w:val="20"/>
          <w:lang w:val="en-GB"/>
        </w:rPr>
        <w:t xml:space="preserve"> </w:t>
      </w:r>
      <w:r w:rsidRPr="00C1265D">
        <w:rPr>
          <w:rFonts w:ascii="Times New Roman" w:hAnsi="Times New Roman"/>
          <w:sz w:val="20"/>
          <w:szCs w:val="20"/>
          <w:lang w:val="en-GB"/>
        </w:rPr>
        <w:t>N</w:t>
      </w:r>
      <w:r w:rsidRPr="00C1265D">
        <w:rPr>
          <w:rFonts w:ascii="Times New Roman" w:hAnsi="Times New Roman"/>
          <w:sz w:val="20"/>
          <w:szCs w:val="20"/>
          <w:vertAlign w:val="subscript"/>
          <w:lang w:val="en-GB"/>
        </w:rPr>
        <w:t>2</w:t>
      </w:r>
      <w:r w:rsidRPr="00C1265D">
        <w:rPr>
          <w:rFonts w:ascii="Times New Roman" w:hAnsi="Times New Roman"/>
          <w:sz w:val="20"/>
          <w:szCs w:val="20"/>
          <w:lang w:val="en-GB"/>
        </w:rPr>
        <w:t xml:space="preserve"> Adsorption-Desorption Isotherms of MCM-41 and SBA-15</w:t>
      </w:r>
    </w:p>
    <w:p w14:paraId="01A170D3" w14:textId="2971F624" w:rsidR="00C1265D" w:rsidRDefault="00C1265D" w:rsidP="00C1265D">
      <w:pPr>
        <w:spacing w:after="0"/>
        <w:jc w:val="both"/>
        <w:rPr>
          <w:rFonts w:ascii="Times New Roman" w:hAnsi="Times New Roman"/>
          <w:sz w:val="20"/>
          <w:szCs w:val="20"/>
          <w:lang w:val="en-GB"/>
        </w:rPr>
      </w:pPr>
    </w:p>
    <w:p w14:paraId="433CFFB7" w14:textId="3D5E64D6" w:rsidR="00C1265D" w:rsidRDefault="00C1265D" w:rsidP="00C1265D">
      <w:pPr>
        <w:spacing w:after="0"/>
        <w:jc w:val="both"/>
        <w:rPr>
          <w:rFonts w:ascii="Times New Roman" w:hAnsi="Times New Roman"/>
          <w:sz w:val="20"/>
          <w:szCs w:val="20"/>
          <w:lang w:val="en-GB"/>
        </w:rPr>
      </w:pPr>
    </w:p>
    <w:p w14:paraId="694F3EE8" w14:textId="77777777" w:rsidR="00C1265D" w:rsidRPr="00C1265D" w:rsidRDefault="00C1265D" w:rsidP="00C1265D">
      <w:pPr>
        <w:spacing w:after="0"/>
        <w:jc w:val="both"/>
        <w:rPr>
          <w:rFonts w:ascii="Times New Roman" w:hAnsi="Times New Roman"/>
          <w:sz w:val="20"/>
          <w:szCs w:val="20"/>
          <w:lang w:val="en-GB"/>
        </w:rPr>
      </w:pPr>
    </w:p>
    <w:p w14:paraId="19DC56C5" w14:textId="77777777" w:rsidR="00F27F0F" w:rsidRDefault="00F27F0F" w:rsidP="00C1265D">
      <w:pPr>
        <w:spacing w:after="0"/>
        <w:jc w:val="both"/>
        <w:rPr>
          <w:rFonts w:ascii="Times New Roman" w:hAnsi="Times New Roman"/>
          <w:b/>
          <w:bCs/>
          <w:sz w:val="20"/>
          <w:szCs w:val="20"/>
          <w:lang w:val="en-GB"/>
        </w:rPr>
        <w:sectPr w:rsidR="00F27F0F" w:rsidSect="00B71E50">
          <w:footerReference w:type="default" r:id="rId21"/>
          <w:type w:val="continuous"/>
          <w:pgSz w:w="12240" w:h="15840" w:code="1"/>
          <w:pgMar w:top="1800" w:right="1469" w:bottom="1699" w:left="1440" w:header="706" w:footer="706" w:gutter="0"/>
          <w:pgNumType w:start="0"/>
          <w:cols w:space="708"/>
          <w:docGrid w:linePitch="360"/>
        </w:sectPr>
      </w:pPr>
    </w:p>
    <w:p w14:paraId="41FC22A6" w14:textId="77777777" w:rsidR="003A0B88" w:rsidRDefault="00C1265D" w:rsidP="00C1265D">
      <w:pPr>
        <w:spacing w:after="0"/>
        <w:jc w:val="both"/>
        <w:rPr>
          <w:rFonts w:ascii="Times New Roman" w:hAnsi="Times New Roman"/>
          <w:b/>
          <w:bCs/>
          <w:sz w:val="20"/>
          <w:szCs w:val="20"/>
          <w:lang w:val="en-GB"/>
        </w:rPr>
      </w:pPr>
      <w:r w:rsidRPr="00C1265D">
        <w:rPr>
          <w:rFonts w:ascii="Times New Roman" w:hAnsi="Times New Roman"/>
          <w:b/>
          <w:bCs/>
          <w:sz w:val="20"/>
          <w:szCs w:val="20"/>
          <w:lang w:val="en-GB"/>
        </w:rPr>
        <w:t>Batch adsorption studies of MO and MB using calcined MCM-41 and SBA-15</w:t>
      </w:r>
    </w:p>
    <w:p w14:paraId="1413FE18" w14:textId="1B4505CC" w:rsidR="00C1265D" w:rsidRPr="003A0B88" w:rsidRDefault="00C1265D" w:rsidP="00C1265D">
      <w:pPr>
        <w:spacing w:after="0"/>
        <w:jc w:val="both"/>
        <w:rPr>
          <w:rFonts w:ascii="Times New Roman" w:hAnsi="Times New Roman"/>
          <w:b/>
          <w:bCs/>
          <w:i/>
          <w:iCs/>
          <w:sz w:val="20"/>
          <w:szCs w:val="20"/>
          <w:lang w:val="en-GB"/>
        </w:rPr>
      </w:pPr>
      <w:r w:rsidRPr="003A0B88">
        <w:rPr>
          <w:rFonts w:ascii="Times New Roman" w:hAnsi="Times New Roman"/>
          <w:b/>
          <w:bCs/>
          <w:i/>
          <w:iCs/>
          <w:sz w:val="20"/>
          <w:szCs w:val="20"/>
          <w:lang w:val="en-GB"/>
        </w:rPr>
        <w:t>Effect of sample pH</w:t>
      </w:r>
    </w:p>
    <w:p w14:paraId="5E07A8E5" w14:textId="77777777" w:rsidR="00C1265D" w:rsidRPr="00C1265D" w:rsidRDefault="00C1265D" w:rsidP="00C1265D">
      <w:pPr>
        <w:spacing w:after="0"/>
        <w:jc w:val="both"/>
        <w:rPr>
          <w:rFonts w:ascii="Times New Roman" w:hAnsi="Times New Roman"/>
          <w:sz w:val="20"/>
          <w:szCs w:val="20"/>
        </w:rPr>
      </w:pPr>
      <w:r w:rsidRPr="00C1265D">
        <w:rPr>
          <w:rFonts w:ascii="Times New Roman" w:hAnsi="Times New Roman"/>
          <w:sz w:val="20"/>
          <w:szCs w:val="20"/>
          <w:lang w:val="en-GB"/>
        </w:rPr>
        <w:t xml:space="preserve">The pH of the sample affects every adsorption process especially for dyes since pH controls the magnitude of electrostatic charges on the surface of the adsorbent. When optimized pH is obtained, the adsorbent can adsorb more dye molecules since the surface of the adsorbent have the suitable electrostatic charge to interact with the anionic and cationic dye molecules that have negative and positive charge once the dyes dissolved and  partially ionized in water [52]. To study the effect of pH (3, 5, 7, 9, and 11), the pH of the dye solution was adjusted in a beaker before being transferred to a conical flask. In this experiment, </w:t>
      </w:r>
      <w:r w:rsidRPr="00C1265D">
        <w:rPr>
          <w:rFonts w:ascii="Times New Roman" w:hAnsi="Times New Roman"/>
          <w:sz w:val="20"/>
          <w:szCs w:val="20"/>
        </w:rPr>
        <w:t>0.01 M NaOH, 0.1 M NaOH, 0.01 M HCl, and 0.1 M HCl was used to adjust the pH systematically. The other variables were set at constant values including sample volume (10 mL), the mass of adsorbent (0.05 g), shaker speed (160 rpm), dye concentration (80 ppm), and contact time (30 mins).</w:t>
      </w:r>
    </w:p>
    <w:p w14:paraId="6693260F" w14:textId="77777777" w:rsidR="00F27F0F" w:rsidRDefault="00F27F0F" w:rsidP="00C1265D">
      <w:pPr>
        <w:spacing w:after="0"/>
        <w:jc w:val="both"/>
        <w:rPr>
          <w:rFonts w:ascii="Times New Roman" w:hAnsi="Times New Roman"/>
          <w:sz w:val="20"/>
          <w:szCs w:val="20"/>
        </w:rPr>
      </w:pPr>
    </w:p>
    <w:p w14:paraId="35482EDB" w14:textId="77777777" w:rsidR="00F27F0F" w:rsidRDefault="00F27F0F" w:rsidP="00F27F0F">
      <w:pPr>
        <w:spacing w:after="0"/>
        <w:jc w:val="both"/>
        <w:rPr>
          <w:rFonts w:ascii="Times New Roman" w:hAnsi="Times New Roman"/>
          <w:sz w:val="20"/>
          <w:szCs w:val="20"/>
        </w:rPr>
      </w:pPr>
      <w:r w:rsidRPr="00C1265D">
        <w:rPr>
          <w:rFonts w:ascii="Times New Roman" w:hAnsi="Times New Roman"/>
          <w:sz w:val="20"/>
          <w:szCs w:val="20"/>
          <w:lang w:val="en-GB"/>
        </w:rPr>
        <w:t>Figure 4, shows that the optimum pH for removal of MO using MCM-41 is pH 3 while SBA-15 is pH 5 with a percentage removal of 58% (MCM-41) and 55.17% (SBA-15). Under an acidic condition, there is a high concentration of H</w:t>
      </w:r>
      <w:r w:rsidRPr="00C1265D">
        <w:rPr>
          <w:rFonts w:ascii="Times New Roman" w:hAnsi="Times New Roman"/>
          <w:sz w:val="20"/>
          <w:szCs w:val="20"/>
          <w:vertAlign w:val="superscript"/>
          <w:lang w:val="en-GB"/>
        </w:rPr>
        <w:t>+</w:t>
      </w:r>
      <w:r w:rsidRPr="00C1265D">
        <w:rPr>
          <w:rFonts w:ascii="Times New Roman" w:hAnsi="Times New Roman"/>
          <w:sz w:val="20"/>
          <w:szCs w:val="20"/>
          <w:lang w:val="en-GB"/>
        </w:rPr>
        <w:t xml:space="preserve"> that will change the surface of the adsorbents to be slightly positively charged and </w:t>
      </w:r>
      <w:r w:rsidRPr="00C1265D">
        <w:rPr>
          <w:rFonts w:ascii="Times New Roman" w:hAnsi="Times New Roman"/>
          <w:sz w:val="20"/>
          <w:szCs w:val="20"/>
          <w:lang w:val="en-GB"/>
        </w:rPr>
        <w:t xml:space="preserve">increase its ability to adsorb MO that has a negative charge once it dissolves in water [53]. For removal of MB, the optimum pH using MCM-41 and SBA-15 are pH 7 and pH 11, respectively with a percentage removal of 100.24% (MCM-41) and 99.95% (SBA-15). Cationic dyes such as MB gives positively charged ions when dissolved in water and due to this acidic medium (pH&lt;7), the surface of the adsorbent becomes positively charged and tends to oppose the adsorption of the MB molecules. At higher pH </w:t>
      </w:r>
      <w:r w:rsidRPr="00C1265D">
        <w:rPr>
          <w:rFonts w:ascii="Times New Roman" w:hAnsi="Times New Roman"/>
          <w:sz w:val="20"/>
          <w:szCs w:val="20"/>
        </w:rPr>
        <w:t>(pH ≥ 7), the electrostatic repulsion between the positively charged MB and the surface of the adsorbent was lowered since there were less H</w:t>
      </w:r>
      <w:r w:rsidRPr="00C1265D">
        <w:rPr>
          <w:rFonts w:ascii="Times New Roman" w:hAnsi="Times New Roman"/>
          <w:sz w:val="20"/>
          <w:szCs w:val="20"/>
          <w:vertAlign w:val="superscript"/>
        </w:rPr>
        <w:t>+</w:t>
      </w:r>
      <w:r w:rsidRPr="00C1265D">
        <w:rPr>
          <w:rFonts w:ascii="Times New Roman" w:hAnsi="Times New Roman"/>
          <w:sz w:val="20"/>
          <w:szCs w:val="20"/>
        </w:rPr>
        <w:t xml:space="preserve"> ions to compete with cation groups on dye for adsorption sites hence, increasing the removal efficiency of the dye molecules  [54-56]. Another study, stated that increasing the pH of the sample will increase the number of hydroxyl (OH</w:t>
      </w:r>
      <w:r w:rsidRPr="00C1265D">
        <w:rPr>
          <w:rFonts w:ascii="Times New Roman" w:hAnsi="Times New Roman"/>
          <w:sz w:val="20"/>
          <w:szCs w:val="20"/>
          <w:vertAlign w:val="superscript"/>
        </w:rPr>
        <w:t>-</w:t>
      </w:r>
      <w:r w:rsidRPr="00C1265D">
        <w:rPr>
          <w:rFonts w:ascii="Times New Roman" w:hAnsi="Times New Roman"/>
          <w:sz w:val="20"/>
          <w:szCs w:val="20"/>
        </w:rPr>
        <w:t xml:space="preserve">) ions thus, increasing the number of negatively charged sites on the surface of the adsorbent and enlarges the attraction between MB and adsorbent surface [57] Based on the percentage removal, both MCM-41 and SBA-15 adsorbed more MB compared to MO. This might be due to the presence of silanol groups that have acidic character and are able to form hydrogen bonds with MB molecules compared to MO molecules [30]. It was also found that there is a slight difference in percentage removal of MB between these two adsorbents. However, both adsorbents are still </w:t>
      </w:r>
      <w:r w:rsidRPr="00C1265D">
        <w:rPr>
          <w:rFonts w:ascii="Times New Roman" w:hAnsi="Times New Roman"/>
          <w:sz w:val="20"/>
          <w:szCs w:val="20"/>
        </w:rPr>
        <w:lastRenderedPageBreak/>
        <w:t>considered efficient adsorbents [39]. Figure 5 shows the adsorption mechanism under basic and acidic conditions. Based on Figure 5, it shows that the silanol group on the surface of the adsorbents  interacts with the dye molecules. In an acidic condition, the silanol groups become slightly positive when it reacts with H</w:t>
      </w:r>
      <w:r w:rsidRPr="00C1265D">
        <w:rPr>
          <w:rFonts w:ascii="Times New Roman" w:hAnsi="Times New Roman"/>
          <w:sz w:val="20"/>
          <w:szCs w:val="20"/>
          <w:vertAlign w:val="superscript"/>
        </w:rPr>
        <w:t xml:space="preserve">+ </w:t>
      </w:r>
      <w:r w:rsidRPr="00C1265D">
        <w:rPr>
          <w:rFonts w:ascii="Times New Roman" w:hAnsi="Times New Roman"/>
          <w:sz w:val="20"/>
          <w:szCs w:val="20"/>
        </w:rPr>
        <w:t>ions and become Si-OH</w:t>
      </w:r>
      <w:r w:rsidRPr="00C1265D">
        <w:rPr>
          <w:rFonts w:ascii="Times New Roman" w:hAnsi="Times New Roman"/>
          <w:sz w:val="20"/>
          <w:szCs w:val="20"/>
          <w:vertAlign w:val="subscript"/>
        </w:rPr>
        <w:t>2</w:t>
      </w:r>
      <w:r w:rsidRPr="00C1265D">
        <w:rPr>
          <w:rFonts w:ascii="Times New Roman" w:hAnsi="Times New Roman"/>
          <w:sz w:val="20"/>
          <w:szCs w:val="20"/>
          <w:vertAlign w:val="superscript"/>
        </w:rPr>
        <w:t>+</w:t>
      </w:r>
      <w:r w:rsidRPr="00C1265D">
        <w:rPr>
          <w:rFonts w:ascii="Times New Roman" w:hAnsi="Times New Roman"/>
          <w:sz w:val="20"/>
          <w:szCs w:val="20"/>
        </w:rPr>
        <w:t xml:space="preserve"> that enable the adsorbents to adsorb the MO molecules and in basic condition, the silanol groups become slightly negative when OH</w:t>
      </w:r>
      <w:r w:rsidRPr="00C1265D">
        <w:rPr>
          <w:rFonts w:ascii="Times New Roman" w:hAnsi="Times New Roman"/>
          <w:sz w:val="20"/>
          <w:szCs w:val="20"/>
          <w:vertAlign w:val="superscript"/>
        </w:rPr>
        <w:t>-</w:t>
      </w:r>
      <w:r w:rsidRPr="00C1265D">
        <w:rPr>
          <w:rFonts w:ascii="Times New Roman" w:hAnsi="Times New Roman"/>
          <w:sz w:val="20"/>
          <w:szCs w:val="20"/>
        </w:rPr>
        <w:t xml:space="preserve"> ions react with the group and become Si-O</w:t>
      </w:r>
      <w:r w:rsidRPr="00C1265D">
        <w:rPr>
          <w:rFonts w:ascii="Times New Roman" w:hAnsi="Times New Roman"/>
          <w:sz w:val="20"/>
          <w:szCs w:val="20"/>
          <w:vertAlign w:val="superscript"/>
        </w:rPr>
        <w:t>-</w:t>
      </w:r>
      <w:r w:rsidRPr="00C1265D">
        <w:rPr>
          <w:rFonts w:ascii="Times New Roman" w:hAnsi="Times New Roman"/>
          <w:sz w:val="20"/>
          <w:szCs w:val="20"/>
        </w:rPr>
        <w:t xml:space="preserve"> and enable the adsorbents to adsorb MB molecules [53].</w:t>
      </w:r>
    </w:p>
    <w:p w14:paraId="2FFD02AA" w14:textId="77777777" w:rsidR="00F27F0F" w:rsidRDefault="00F27F0F" w:rsidP="00C1265D">
      <w:pPr>
        <w:spacing w:after="0"/>
        <w:jc w:val="both"/>
        <w:rPr>
          <w:rFonts w:ascii="Times New Roman" w:hAnsi="Times New Roman"/>
          <w:sz w:val="20"/>
          <w:szCs w:val="20"/>
        </w:rPr>
      </w:pPr>
    </w:p>
    <w:p w14:paraId="63F67488" w14:textId="2D3A4886" w:rsidR="00F27F0F" w:rsidRDefault="00F27F0F" w:rsidP="00C1265D">
      <w:pPr>
        <w:spacing w:after="0"/>
        <w:jc w:val="both"/>
        <w:rPr>
          <w:rFonts w:ascii="Times New Roman" w:hAnsi="Times New Roman"/>
          <w:sz w:val="20"/>
          <w:szCs w:val="20"/>
        </w:rPr>
        <w:sectPr w:rsidR="00F27F0F" w:rsidSect="00F27F0F">
          <w:footerReference w:type="even" r:id="rId22"/>
          <w:type w:val="continuous"/>
          <w:pgSz w:w="12240" w:h="15840" w:code="1"/>
          <w:pgMar w:top="1800" w:right="1469" w:bottom="1699" w:left="1440" w:header="706" w:footer="706" w:gutter="0"/>
          <w:pgNumType w:start="0"/>
          <w:cols w:num="2" w:space="403"/>
          <w:docGrid w:linePitch="360"/>
        </w:sectPr>
      </w:pPr>
    </w:p>
    <w:p w14:paraId="535A9500" w14:textId="11E45497" w:rsidR="00C1265D" w:rsidRDefault="00F27F0F" w:rsidP="00C1265D">
      <w:pPr>
        <w:spacing w:after="0"/>
        <w:jc w:val="both"/>
        <w:rPr>
          <w:rFonts w:ascii="Times New Roman" w:hAnsi="Times New Roman"/>
          <w:sz w:val="20"/>
          <w:szCs w:val="20"/>
        </w:rPr>
      </w:pPr>
      <w:r w:rsidRPr="002F1747">
        <w:rPr>
          <w:rFonts w:ascii="Times New Roman" w:hAnsi="Times New Roman"/>
          <w:noProof/>
          <w:sz w:val="20"/>
          <w:szCs w:val="20"/>
          <w:lang w:val="en-GB"/>
        </w:rPr>
        <w:drawing>
          <wp:anchor distT="0" distB="0" distL="114300" distR="114300" simplePos="0" relativeHeight="251662336" behindDoc="0" locked="0" layoutInCell="1" allowOverlap="1" wp14:anchorId="02C3E013" wp14:editId="5B129121">
            <wp:simplePos x="0" y="0"/>
            <wp:positionH relativeFrom="margin">
              <wp:posOffset>716280</wp:posOffset>
            </wp:positionH>
            <wp:positionV relativeFrom="margin">
              <wp:posOffset>1240155</wp:posOffset>
            </wp:positionV>
            <wp:extent cx="4484370" cy="2586990"/>
            <wp:effectExtent l="19050" t="19050" r="11430" b="2286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08" t="16328" r="3320" b="4265"/>
                    <a:stretch/>
                  </pic:blipFill>
                  <pic:spPr bwMode="auto">
                    <a:xfrm>
                      <a:off x="0" y="0"/>
                      <a:ext cx="4484370" cy="25869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762AF" w14:textId="77777777" w:rsidR="00F27F0F" w:rsidRPr="00C1265D" w:rsidRDefault="00F27F0F" w:rsidP="00F27F0F">
      <w:pPr>
        <w:spacing w:before="120" w:after="0"/>
        <w:jc w:val="center"/>
        <w:rPr>
          <w:rFonts w:ascii="Times New Roman" w:hAnsi="Times New Roman"/>
          <w:sz w:val="20"/>
          <w:szCs w:val="20"/>
          <w:lang w:val="en-GB"/>
        </w:rPr>
      </w:pPr>
      <w:r w:rsidRPr="00C1265D">
        <w:rPr>
          <w:rFonts w:ascii="Times New Roman" w:hAnsi="Times New Roman"/>
          <w:sz w:val="20"/>
          <w:szCs w:val="20"/>
          <w:lang w:val="en-GB"/>
        </w:rPr>
        <w:t xml:space="preserve">Figure 4. </w:t>
      </w:r>
      <w:r>
        <w:rPr>
          <w:rFonts w:ascii="Times New Roman" w:hAnsi="Times New Roman"/>
          <w:sz w:val="20"/>
          <w:szCs w:val="20"/>
          <w:lang w:val="en-GB"/>
        </w:rPr>
        <w:t xml:space="preserve"> </w:t>
      </w:r>
      <w:r w:rsidRPr="00C1265D">
        <w:rPr>
          <w:rFonts w:ascii="Times New Roman" w:hAnsi="Times New Roman"/>
          <w:sz w:val="20"/>
          <w:szCs w:val="20"/>
          <w:lang w:val="en-GB"/>
        </w:rPr>
        <w:t>Percentage removal of MO and MB using MCM-41 and SBA-15 at a different range of pH</w:t>
      </w:r>
    </w:p>
    <w:p w14:paraId="43B8B929" w14:textId="6DC75258" w:rsidR="009B49A0" w:rsidRDefault="009B49A0" w:rsidP="00C1265D">
      <w:pPr>
        <w:spacing w:after="0"/>
        <w:jc w:val="both"/>
        <w:rPr>
          <w:rFonts w:ascii="Times New Roman" w:hAnsi="Times New Roman"/>
          <w:sz w:val="20"/>
          <w:szCs w:val="20"/>
        </w:rPr>
      </w:pPr>
      <w:r w:rsidRPr="00C1265D">
        <w:rPr>
          <w:rFonts w:ascii="Times New Roman" w:hAnsi="Times New Roman"/>
          <w:noProof/>
          <w:sz w:val="20"/>
          <w:szCs w:val="20"/>
          <w:lang w:val="en-GB"/>
        </w:rPr>
        <w:drawing>
          <wp:anchor distT="0" distB="0" distL="114300" distR="114300" simplePos="0" relativeHeight="251657216" behindDoc="0" locked="0" layoutInCell="1" allowOverlap="1" wp14:anchorId="2DA3D9AF" wp14:editId="35520EAF">
            <wp:simplePos x="0" y="0"/>
            <wp:positionH relativeFrom="margin">
              <wp:posOffset>861060</wp:posOffset>
            </wp:positionH>
            <wp:positionV relativeFrom="margin">
              <wp:posOffset>4391660</wp:posOffset>
            </wp:positionV>
            <wp:extent cx="4213860" cy="2362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3860" cy="2362200"/>
                    </a:xfrm>
                    <a:prstGeom prst="rect">
                      <a:avLst/>
                    </a:prstGeom>
                  </pic:spPr>
                </pic:pic>
              </a:graphicData>
            </a:graphic>
            <wp14:sizeRelH relativeFrom="margin">
              <wp14:pctWidth>0</wp14:pctWidth>
            </wp14:sizeRelH>
            <wp14:sizeRelV relativeFrom="margin">
              <wp14:pctHeight>0</wp14:pctHeight>
            </wp14:sizeRelV>
          </wp:anchor>
        </w:drawing>
      </w:r>
    </w:p>
    <w:p w14:paraId="5D644BD0" w14:textId="13066EC2" w:rsidR="00F27F0F" w:rsidRPr="00C1265D" w:rsidRDefault="00F27F0F" w:rsidP="00F27F0F">
      <w:pPr>
        <w:spacing w:before="120" w:after="0"/>
        <w:jc w:val="center"/>
        <w:rPr>
          <w:rFonts w:ascii="Times New Roman" w:hAnsi="Times New Roman"/>
          <w:sz w:val="20"/>
          <w:szCs w:val="20"/>
        </w:rPr>
      </w:pPr>
      <w:r w:rsidRPr="00C1265D">
        <w:rPr>
          <w:rFonts w:ascii="Times New Roman" w:hAnsi="Times New Roman"/>
          <w:sz w:val="20"/>
          <w:szCs w:val="20"/>
        </w:rPr>
        <w:t xml:space="preserve">Figure 5. </w:t>
      </w:r>
      <w:r>
        <w:rPr>
          <w:rFonts w:ascii="Times New Roman" w:hAnsi="Times New Roman"/>
          <w:sz w:val="20"/>
          <w:szCs w:val="20"/>
        </w:rPr>
        <w:t xml:space="preserve"> </w:t>
      </w:r>
      <w:r w:rsidRPr="00C1265D">
        <w:rPr>
          <w:rFonts w:ascii="Times New Roman" w:hAnsi="Times New Roman"/>
          <w:sz w:val="20"/>
          <w:szCs w:val="20"/>
        </w:rPr>
        <w:t>Adsorption mechanism under basic and acidic conditions</w:t>
      </w:r>
    </w:p>
    <w:p w14:paraId="78CDE16C" w14:textId="77777777" w:rsidR="00640505" w:rsidRDefault="00640505" w:rsidP="00C1265D">
      <w:pPr>
        <w:spacing w:after="0"/>
        <w:jc w:val="both"/>
        <w:rPr>
          <w:rFonts w:ascii="Times New Roman" w:hAnsi="Times New Roman"/>
          <w:sz w:val="20"/>
          <w:szCs w:val="20"/>
        </w:rPr>
        <w:sectPr w:rsidR="00640505" w:rsidSect="00B71E50">
          <w:type w:val="continuous"/>
          <w:pgSz w:w="12240" w:h="15840" w:code="1"/>
          <w:pgMar w:top="1800" w:right="1469" w:bottom="1699" w:left="1440" w:header="706" w:footer="706" w:gutter="0"/>
          <w:pgNumType w:start="0"/>
          <w:cols w:space="708"/>
          <w:docGrid w:linePitch="360"/>
        </w:sectPr>
      </w:pPr>
    </w:p>
    <w:p w14:paraId="5E4945A5" w14:textId="40A0EDC1" w:rsidR="00F27F0F" w:rsidRDefault="00F27F0F" w:rsidP="00C1265D">
      <w:pPr>
        <w:spacing w:after="0"/>
        <w:jc w:val="both"/>
        <w:rPr>
          <w:rFonts w:ascii="Times New Roman" w:hAnsi="Times New Roman"/>
          <w:sz w:val="20"/>
          <w:szCs w:val="20"/>
        </w:rPr>
      </w:pPr>
    </w:p>
    <w:p w14:paraId="4B5B2890" w14:textId="77777777" w:rsidR="00F27F0F" w:rsidRDefault="00F27F0F" w:rsidP="00F27F0F">
      <w:pPr>
        <w:spacing w:after="0"/>
        <w:jc w:val="both"/>
        <w:rPr>
          <w:rFonts w:ascii="Times New Roman" w:hAnsi="Times New Roman"/>
          <w:b/>
          <w:bCs/>
          <w:sz w:val="20"/>
          <w:szCs w:val="20"/>
        </w:rPr>
        <w:sectPr w:rsidR="00F27F0F" w:rsidSect="00640505">
          <w:footerReference w:type="default" r:id="rId25"/>
          <w:type w:val="oddPage"/>
          <w:pgSz w:w="12240" w:h="15840" w:code="1"/>
          <w:pgMar w:top="1800" w:right="1469" w:bottom="1699" w:left="1440" w:header="706" w:footer="706" w:gutter="0"/>
          <w:pgNumType w:start="0"/>
          <w:cols w:space="708"/>
          <w:docGrid w:linePitch="360"/>
        </w:sectPr>
      </w:pPr>
    </w:p>
    <w:p w14:paraId="5B25C761" w14:textId="046254C8" w:rsidR="00F27F0F" w:rsidRPr="003A0B88" w:rsidRDefault="00F27F0F" w:rsidP="00F27F0F">
      <w:pPr>
        <w:spacing w:after="0"/>
        <w:jc w:val="both"/>
        <w:rPr>
          <w:rFonts w:ascii="Times New Roman" w:hAnsi="Times New Roman"/>
          <w:b/>
          <w:bCs/>
          <w:i/>
          <w:iCs/>
          <w:sz w:val="20"/>
          <w:szCs w:val="20"/>
        </w:rPr>
      </w:pPr>
      <w:r w:rsidRPr="003A0B88">
        <w:rPr>
          <w:rFonts w:ascii="Times New Roman" w:hAnsi="Times New Roman"/>
          <w:b/>
          <w:bCs/>
          <w:i/>
          <w:iCs/>
          <w:sz w:val="20"/>
          <w:szCs w:val="20"/>
        </w:rPr>
        <w:t>Effect of initial concentration</w:t>
      </w:r>
    </w:p>
    <w:p w14:paraId="535EAF0D" w14:textId="3104E109" w:rsidR="00F27F0F" w:rsidRPr="00C1265D" w:rsidRDefault="00F27F0F" w:rsidP="00F27F0F">
      <w:pPr>
        <w:spacing w:after="0"/>
        <w:jc w:val="both"/>
        <w:rPr>
          <w:rFonts w:ascii="Times New Roman" w:hAnsi="Times New Roman"/>
          <w:sz w:val="20"/>
          <w:szCs w:val="20"/>
          <w:lang w:val="en-GB"/>
        </w:rPr>
      </w:pPr>
      <w:r w:rsidRPr="00C1265D">
        <w:rPr>
          <w:rFonts w:ascii="Times New Roman" w:hAnsi="Times New Roman"/>
          <w:sz w:val="20"/>
          <w:szCs w:val="20"/>
        </w:rPr>
        <w:t>T</w:t>
      </w:r>
      <w:r w:rsidRPr="00C1265D">
        <w:rPr>
          <w:rFonts w:ascii="Times New Roman" w:hAnsi="Times New Roman"/>
          <w:sz w:val="20"/>
          <w:szCs w:val="20"/>
          <w:lang w:val="en-GB"/>
        </w:rPr>
        <w:t xml:space="preserve">he study on the initial concentration of MO and MB was carried out to determine the adsorption capacity of each adsorbent. The initial concentration used was 60 ppm, 80 ppm, 100 ppm, 120 ppm, and 140 ppm with an adsorbent dosage of 0.05 g. For MCM-41, the pH value of MO solution was set to 3 with a contact time of 30 minutes while for MB, the pH was set to pH </w:t>
      </w:r>
      <w:r w:rsidR="00C97B0A">
        <w:rPr>
          <w:rFonts w:ascii="Times New Roman" w:hAnsi="Times New Roman"/>
          <w:sz w:val="20"/>
          <w:szCs w:val="20"/>
          <w:lang w:val="en-GB"/>
        </w:rPr>
        <w:t>7</w:t>
      </w:r>
      <w:r w:rsidRPr="00C1265D">
        <w:rPr>
          <w:rFonts w:ascii="Times New Roman" w:hAnsi="Times New Roman"/>
          <w:sz w:val="20"/>
          <w:szCs w:val="20"/>
          <w:lang w:val="en-GB"/>
        </w:rPr>
        <w:t xml:space="preserve"> with the same contact time. As for SBA-15, the pH value of the MO solution was set to pH 5 with a contact time of 30 minutes while for MB, the pH was set to pH </w:t>
      </w:r>
      <w:r w:rsidR="00C97B0A">
        <w:rPr>
          <w:rFonts w:ascii="Times New Roman" w:hAnsi="Times New Roman"/>
          <w:sz w:val="20"/>
          <w:szCs w:val="20"/>
          <w:lang w:val="en-GB"/>
        </w:rPr>
        <w:t>11</w:t>
      </w:r>
      <w:r w:rsidRPr="00C1265D">
        <w:rPr>
          <w:rFonts w:ascii="Times New Roman" w:hAnsi="Times New Roman"/>
          <w:sz w:val="20"/>
          <w:szCs w:val="20"/>
          <w:lang w:val="en-GB"/>
        </w:rPr>
        <w:t xml:space="preserve"> with the same contact time. </w:t>
      </w:r>
      <w:r w:rsidRPr="00C1265D">
        <w:rPr>
          <w:rFonts w:ascii="Times New Roman" w:hAnsi="Times New Roman"/>
          <w:sz w:val="20"/>
          <w:szCs w:val="20"/>
        </w:rPr>
        <w:t xml:space="preserve">The initial concentration of the dye will affect the amount of adsorption for dye removal. The amount of dye adsorbed </w:t>
      </w:r>
      <w:r w:rsidRPr="00C1265D">
        <w:rPr>
          <w:rFonts w:ascii="Times New Roman" w:hAnsi="Times New Roman"/>
          <w:sz w:val="20"/>
          <w:szCs w:val="20"/>
          <w:lang w:val="en-GB"/>
        </w:rPr>
        <w:t xml:space="preserve">onto the adsorbent is highly dependant on the available sites of the adsorbent surface. As seen in </w:t>
      </w:r>
      <w:r w:rsidRPr="00EC4EE2">
        <w:rPr>
          <w:rFonts w:ascii="Times New Roman" w:hAnsi="Times New Roman"/>
          <w:sz w:val="20"/>
          <w:szCs w:val="20"/>
          <w:lang w:val="en-GB"/>
        </w:rPr>
        <w:t>Figure 6</w:t>
      </w:r>
      <w:r w:rsidRPr="00C1265D">
        <w:rPr>
          <w:rFonts w:ascii="Times New Roman" w:hAnsi="Times New Roman"/>
          <w:sz w:val="20"/>
          <w:szCs w:val="20"/>
          <w:lang w:val="en-GB"/>
        </w:rPr>
        <w:t xml:space="preserve">, the optimum initial concentration for removal of MO using MCM-41 and SBA-15 is 60 ppm and 140 ppm respectively with a percentage removal of 100% (MCM-41) and 72.54% (SBA-15). As for the removal of MB, the optimum initial concentration using MCM-41 and SBA-15 are 80 ppm (99.98%) and 100 ppm (99.77%), respectively. </w:t>
      </w:r>
    </w:p>
    <w:p w14:paraId="726E6541" w14:textId="77777777" w:rsidR="00F27F0F" w:rsidRPr="00C1265D" w:rsidRDefault="00F27F0F" w:rsidP="00F27F0F">
      <w:pPr>
        <w:spacing w:after="0"/>
        <w:jc w:val="both"/>
        <w:rPr>
          <w:rFonts w:ascii="Times New Roman" w:hAnsi="Times New Roman"/>
          <w:sz w:val="20"/>
          <w:szCs w:val="20"/>
          <w:lang w:val="en-GB"/>
        </w:rPr>
      </w:pPr>
    </w:p>
    <w:p w14:paraId="102F5F29" w14:textId="77777777" w:rsidR="00F27F0F" w:rsidRPr="00C1265D" w:rsidRDefault="00F27F0F" w:rsidP="00F27F0F">
      <w:pPr>
        <w:spacing w:after="0"/>
        <w:jc w:val="both"/>
        <w:rPr>
          <w:rFonts w:ascii="Times New Roman" w:hAnsi="Times New Roman"/>
          <w:sz w:val="20"/>
          <w:szCs w:val="20"/>
          <w:lang w:val="en-GB"/>
        </w:rPr>
      </w:pPr>
      <w:r w:rsidRPr="00C1265D">
        <w:rPr>
          <w:rFonts w:ascii="Times New Roman" w:hAnsi="Times New Roman"/>
          <w:sz w:val="20"/>
          <w:szCs w:val="20"/>
          <w:lang w:val="en-GB"/>
        </w:rPr>
        <w:t xml:space="preserve">As the concentration increases, the percentage removal of dye will decrease because the adsorption site is already concentrated with the dye [58]. This is because, at low concentrations, the ratio of the initial amount of dye molecules to the unoccupied adsorption sites was low and this causes more adsorption sites  to be available hence, increasing the percentage removal. At higher concentrations, the ratio of the initial amount of dye to the unoccupied adsorption sites is high, therefore, there are less adsorption sites available hence, decreasing the percentage removal [59]. However, the removal percentage for SBA-15 increases with an increase of initial MO concentration. The adsorption capacity may increase due to the high driving force for mass transfer at a high initial dye concentration [58]. </w:t>
      </w:r>
    </w:p>
    <w:p w14:paraId="7DEF6730" w14:textId="77777777" w:rsidR="00F27F0F" w:rsidRDefault="00F27F0F" w:rsidP="00C1265D">
      <w:pPr>
        <w:spacing w:after="0"/>
        <w:jc w:val="both"/>
        <w:rPr>
          <w:rFonts w:ascii="Times New Roman" w:hAnsi="Times New Roman"/>
          <w:sz w:val="20"/>
          <w:szCs w:val="20"/>
        </w:rPr>
      </w:pPr>
    </w:p>
    <w:p w14:paraId="4ECF63FE" w14:textId="77777777" w:rsidR="006F7849" w:rsidRPr="003A0B88" w:rsidRDefault="006F7849" w:rsidP="006F7849">
      <w:pPr>
        <w:spacing w:after="0"/>
        <w:jc w:val="both"/>
        <w:rPr>
          <w:rFonts w:ascii="Times New Roman" w:hAnsi="Times New Roman"/>
          <w:b/>
          <w:bCs/>
          <w:i/>
          <w:iCs/>
          <w:sz w:val="20"/>
          <w:szCs w:val="20"/>
          <w:lang w:val="en-GB"/>
        </w:rPr>
      </w:pPr>
      <w:r w:rsidRPr="003A0B88">
        <w:rPr>
          <w:rFonts w:ascii="Times New Roman" w:hAnsi="Times New Roman"/>
          <w:b/>
          <w:bCs/>
          <w:i/>
          <w:iCs/>
          <w:sz w:val="20"/>
          <w:szCs w:val="20"/>
          <w:lang w:val="en-GB"/>
        </w:rPr>
        <w:t>Effect of contact time</w:t>
      </w:r>
    </w:p>
    <w:p w14:paraId="053BF5B9" w14:textId="3E02FC43" w:rsidR="006F7849" w:rsidRDefault="006F7849" w:rsidP="006F7849">
      <w:pPr>
        <w:spacing w:after="0"/>
        <w:jc w:val="both"/>
        <w:rPr>
          <w:rFonts w:ascii="Times New Roman" w:hAnsi="Times New Roman"/>
          <w:sz w:val="20"/>
          <w:szCs w:val="20"/>
          <w:lang w:val="en-GB"/>
        </w:rPr>
      </w:pPr>
      <w:r w:rsidRPr="00C1265D">
        <w:rPr>
          <w:rFonts w:ascii="Times New Roman" w:hAnsi="Times New Roman"/>
          <w:sz w:val="20"/>
          <w:szCs w:val="20"/>
          <w:lang w:val="en-GB"/>
        </w:rPr>
        <w:t xml:space="preserve">An optimum contact time can predict the mechanism of the removal process and the efficiency of the adsorbent to remove the dyes [60]. In the early stage, it is more </w:t>
      </w:r>
      <w:r w:rsidRPr="00C1265D">
        <w:rPr>
          <w:rFonts w:ascii="Times New Roman" w:hAnsi="Times New Roman"/>
          <w:sz w:val="20"/>
          <w:szCs w:val="20"/>
          <w:lang w:val="en-GB"/>
        </w:rPr>
        <w:t>towards the displacement of dye molecules from the bulk solution to the outer surface of the adsorbent. Consequently, at a longer contact time, the adsorption process occurs due to the interaction between the dye molecules and the adsorption sites in the inner surface of the adsorbent.  Finally, the diffusion and interpenetration of the dye molecules will take place in the pores of the adsorbent [61].  In this batch of study, 0.05 g of adsorbent was used and the controlled parameters are pH and initial concentration. For MCM-41(MO), the pH and initial concentration that was chosen are pH 3 and 60 ppm. As for MCM-41 (MB), pH 7 and 80 ppm was chosen as the optimum value and for SBA-15 (MO), pH 5 was chosen with an initial concentration of 140 ppm. Lastly, for SBA-15 (MB), pH 9 and 100 ppm was chosen as the optimum values.</w:t>
      </w:r>
    </w:p>
    <w:p w14:paraId="1394620F" w14:textId="77777777" w:rsidR="00C97B0A" w:rsidRDefault="00C97B0A" w:rsidP="006F7849">
      <w:pPr>
        <w:spacing w:after="0"/>
        <w:jc w:val="both"/>
        <w:rPr>
          <w:rFonts w:ascii="Times New Roman" w:hAnsi="Times New Roman"/>
          <w:sz w:val="20"/>
          <w:szCs w:val="20"/>
          <w:lang w:val="en-GB"/>
        </w:rPr>
      </w:pPr>
    </w:p>
    <w:p w14:paraId="5073293E" w14:textId="6D020145" w:rsidR="00C97B0A" w:rsidRDefault="00C97B0A" w:rsidP="006F7849">
      <w:pPr>
        <w:spacing w:after="0"/>
        <w:jc w:val="both"/>
        <w:rPr>
          <w:rFonts w:ascii="Times New Roman" w:hAnsi="Times New Roman"/>
          <w:sz w:val="20"/>
          <w:szCs w:val="20"/>
          <w:lang w:val="en-GB"/>
        </w:rPr>
      </w:pPr>
      <w:r w:rsidRPr="00EC4EE2">
        <w:rPr>
          <w:rFonts w:ascii="Times New Roman" w:hAnsi="Times New Roman"/>
          <w:sz w:val="20"/>
          <w:szCs w:val="20"/>
          <w:lang w:val="en-GB"/>
        </w:rPr>
        <w:t>Figure 7</w:t>
      </w:r>
      <w:r w:rsidRPr="002F1747">
        <w:rPr>
          <w:rFonts w:ascii="Times New Roman" w:hAnsi="Times New Roman"/>
          <w:sz w:val="20"/>
          <w:szCs w:val="20"/>
          <w:lang w:val="en-GB"/>
        </w:rPr>
        <w:t xml:space="preserve"> shows the optimum contact time on the removal of MO using MCM-41 and SBA-15, which is 30 min and 40 min, respectively with a percentage removal of 53% (MCM-41) and 56.39% (SBA-15). The removal of MB using MCM-41 and SBA-15 is 10 min and 30 min, respectively with percentage removal of 99.94% (MCM-41) and 92.66% (SBA-15). The efficiency of removing dye increases to a certain extent along with increasing the contact time but further increase in contact time does not increase the adsorption rate between adsorbent and dye molecules. This is due to the decrease of unoccupied surface sites</w:t>
      </w:r>
    </w:p>
    <w:p w14:paraId="22517594" w14:textId="77777777" w:rsidR="00F27F0F" w:rsidRDefault="00F27F0F" w:rsidP="00C1265D">
      <w:pPr>
        <w:spacing w:after="0"/>
        <w:jc w:val="both"/>
        <w:rPr>
          <w:rFonts w:ascii="Times New Roman" w:hAnsi="Times New Roman"/>
          <w:sz w:val="20"/>
          <w:szCs w:val="20"/>
        </w:rPr>
      </w:pPr>
    </w:p>
    <w:p w14:paraId="4DC2F91E" w14:textId="77777777" w:rsidR="006F7849" w:rsidRPr="00C1265D" w:rsidRDefault="006F7849" w:rsidP="006F7849">
      <w:pPr>
        <w:spacing w:after="0"/>
        <w:jc w:val="both"/>
        <w:rPr>
          <w:rFonts w:ascii="Times New Roman" w:hAnsi="Times New Roman"/>
          <w:b/>
          <w:bCs/>
          <w:sz w:val="20"/>
          <w:szCs w:val="20"/>
        </w:rPr>
      </w:pPr>
      <w:r w:rsidRPr="00C1265D">
        <w:rPr>
          <w:rFonts w:ascii="Times New Roman" w:hAnsi="Times New Roman"/>
          <w:b/>
          <w:bCs/>
          <w:sz w:val="20"/>
          <w:szCs w:val="20"/>
        </w:rPr>
        <w:t>Adsorption isotherm</w:t>
      </w:r>
    </w:p>
    <w:p w14:paraId="4BDBCA11" w14:textId="38E2FB07" w:rsidR="006F7849" w:rsidRDefault="006F7849" w:rsidP="006F7849">
      <w:pPr>
        <w:spacing w:after="0"/>
        <w:jc w:val="both"/>
        <w:rPr>
          <w:rFonts w:ascii="Times New Roman" w:hAnsi="Times New Roman"/>
          <w:sz w:val="20"/>
          <w:szCs w:val="20"/>
          <w:lang w:val="en-GB"/>
        </w:rPr>
      </w:pPr>
      <w:r w:rsidRPr="00C1265D">
        <w:rPr>
          <w:rFonts w:ascii="Times New Roman" w:hAnsi="Times New Roman"/>
          <w:sz w:val="20"/>
          <w:szCs w:val="20"/>
          <w:lang w:val="en-GB"/>
        </w:rPr>
        <w:t>Adsorption isotherm determines whether the adsorption reaction occurs in monolayer or multilayer. It determines how the dye molecules cover the surface and internal surface of the adsorbent after the adsorption process reach equilibrium [63]. Graphs for each isotherm model are plotted to obtain linear regression correlation coefficient (R</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 value that is used to define which model is suitable to explain the behavior of the adsorption occuring throughout the adsorption process. R</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 xml:space="preserve"> value that is close to 1 is chosen. </w:t>
      </w:r>
      <w:r w:rsidRPr="00EC4EE2">
        <w:rPr>
          <w:rFonts w:ascii="Times New Roman" w:hAnsi="Times New Roman"/>
          <w:sz w:val="20"/>
          <w:szCs w:val="20"/>
          <w:lang w:val="en-GB"/>
        </w:rPr>
        <w:t xml:space="preserve">Figures 8 and 9 </w:t>
      </w:r>
      <w:r w:rsidRPr="00C1265D">
        <w:rPr>
          <w:rFonts w:ascii="Times New Roman" w:hAnsi="Times New Roman"/>
          <w:sz w:val="20"/>
          <w:szCs w:val="20"/>
          <w:lang w:val="en-GB"/>
        </w:rPr>
        <w:t xml:space="preserve">show the graph on the Langmuir and Freundlich isotherm model on the removal of MO and MB using MCM-41 and SBA-15, respectively. Based on the graph, the adsorption </w:t>
      </w:r>
      <w:r w:rsidRPr="00C1265D">
        <w:rPr>
          <w:rFonts w:ascii="Times New Roman" w:hAnsi="Times New Roman"/>
          <w:sz w:val="20"/>
          <w:szCs w:val="20"/>
          <w:lang w:val="en-GB"/>
        </w:rPr>
        <w:lastRenderedPageBreak/>
        <w:t>process for removal of MO (R</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 0.9742) and MB (R</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 0.9933) for MCM-41 is described as monolayer adsorption whereby the Langmuir model is best fitted for both studies [64, 65]. As for SBA-15, adsorption of MO (R</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 0.7214) is best described as the Freundlich model. Based on the previous study [66], the Langmuir model better fitting on adsorption of acidic dye, however, the result in this study does not come to an agreement. This is because the adsorbent surface during the adsorption process was heterogenous and the adsorption sites have different adsorption energy hence, causes multilayer adsorption [41]. The adsorption data on removal of MB (R</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 0.9787) using SBA-15 fits the Langmuir model [67]. Figures 8 and 9 show the graphs on the Langmuir and Freundlich isotherm model on the removal of MO and MB using MCM-41 and SBA-15, respectively.</w:t>
      </w:r>
    </w:p>
    <w:p w14:paraId="76C51B13" w14:textId="77777777" w:rsidR="006F7849" w:rsidRDefault="006F7849" w:rsidP="006F7849">
      <w:pPr>
        <w:spacing w:after="0"/>
        <w:jc w:val="both"/>
        <w:rPr>
          <w:rFonts w:ascii="Times New Roman" w:hAnsi="Times New Roman"/>
          <w:sz w:val="20"/>
          <w:szCs w:val="20"/>
          <w:lang w:val="en-GB"/>
        </w:rPr>
      </w:pPr>
    </w:p>
    <w:p w14:paraId="1D482339" w14:textId="77777777" w:rsidR="00C746FC" w:rsidRDefault="00C746FC" w:rsidP="006F7849">
      <w:pPr>
        <w:spacing w:after="0"/>
        <w:jc w:val="both"/>
        <w:rPr>
          <w:rFonts w:ascii="Times New Roman" w:hAnsi="Times New Roman"/>
          <w:b/>
          <w:bCs/>
          <w:sz w:val="20"/>
          <w:szCs w:val="20"/>
          <w:lang w:val="en-GB"/>
        </w:rPr>
      </w:pPr>
    </w:p>
    <w:p w14:paraId="79E8DB31" w14:textId="614B3D38" w:rsidR="006F7849" w:rsidRPr="00C1265D" w:rsidRDefault="006F7849" w:rsidP="006F7849">
      <w:pPr>
        <w:spacing w:after="0"/>
        <w:jc w:val="both"/>
        <w:rPr>
          <w:rFonts w:ascii="Times New Roman" w:hAnsi="Times New Roman"/>
          <w:b/>
          <w:bCs/>
          <w:sz w:val="20"/>
          <w:szCs w:val="20"/>
          <w:lang w:val="en-GB"/>
        </w:rPr>
      </w:pPr>
      <w:r w:rsidRPr="00C1265D">
        <w:rPr>
          <w:rFonts w:ascii="Times New Roman" w:hAnsi="Times New Roman"/>
          <w:b/>
          <w:bCs/>
          <w:sz w:val="20"/>
          <w:szCs w:val="20"/>
          <w:lang w:val="en-GB"/>
        </w:rPr>
        <w:t>Adsorption kinetic</w:t>
      </w:r>
    </w:p>
    <w:p w14:paraId="752DD3D2" w14:textId="4572B112" w:rsidR="006F7849" w:rsidRDefault="006F7849" w:rsidP="006F7849">
      <w:pPr>
        <w:spacing w:after="0"/>
        <w:jc w:val="both"/>
        <w:rPr>
          <w:rFonts w:ascii="Times New Roman" w:hAnsi="Times New Roman"/>
          <w:sz w:val="20"/>
          <w:szCs w:val="20"/>
        </w:rPr>
      </w:pPr>
      <w:r w:rsidRPr="00C1265D">
        <w:rPr>
          <w:rFonts w:ascii="Times New Roman" w:hAnsi="Times New Roman"/>
          <w:sz w:val="20"/>
          <w:szCs w:val="20"/>
          <w:lang w:val="en-GB"/>
        </w:rPr>
        <w:t>There are two common kinetic models used in the kinetic study, which are pseudo-first-order or pseudo-second-order. These two kinetic models were used to investigate the mechanism of adsorption and the rate of adsorption that occurred during the adsorption process. The determination of types of kinetic model is based on the linear regression correlation coefficient, R</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 xml:space="preserve"> value that is obtained from graphs. The R</w:t>
      </w:r>
      <w:r w:rsidRPr="00C1265D">
        <w:rPr>
          <w:rFonts w:ascii="Times New Roman" w:hAnsi="Times New Roman"/>
          <w:sz w:val="20"/>
          <w:szCs w:val="20"/>
          <w:vertAlign w:val="superscript"/>
          <w:lang w:val="en-GB"/>
        </w:rPr>
        <w:t>2</w:t>
      </w:r>
      <w:r w:rsidRPr="00C1265D">
        <w:rPr>
          <w:rFonts w:ascii="Times New Roman" w:hAnsi="Times New Roman"/>
          <w:sz w:val="20"/>
          <w:szCs w:val="20"/>
          <w:lang w:val="en-GB"/>
        </w:rPr>
        <w:t xml:space="preserve"> value close to 1 determines the kinetic model of the adsorption process. The adsorption studies in removing MO and MB using MCM-41 and SBA-15 fit better with pseudo-second-order. This shows that the preferable mechanism of the reaction is chemisorption instead of physisorption [65, 66, 67, 68]. The graphs for </w:t>
      </w:r>
      <w:r w:rsidRPr="00C1265D">
        <w:rPr>
          <w:rFonts w:ascii="Times New Roman" w:hAnsi="Times New Roman"/>
          <w:sz w:val="20"/>
          <w:szCs w:val="20"/>
        </w:rPr>
        <w:t>t/q</w:t>
      </w:r>
      <w:r w:rsidRPr="00C1265D">
        <w:rPr>
          <w:rFonts w:ascii="Times New Roman" w:hAnsi="Times New Roman"/>
          <w:sz w:val="20"/>
          <w:szCs w:val="20"/>
          <w:vertAlign w:val="subscript"/>
        </w:rPr>
        <w:t>t</w:t>
      </w:r>
      <w:r w:rsidRPr="00C1265D">
        <w:rPr>
          <w:rFonts w:ascii="Times New Roman" w:hAnsi="Times New Roman"/>
          <w:sz w:val="20"/>
          <w:szCs w:val="20"/>
        </w:rPr>
        <w:t xml:space="preserve"> against contact time for MCM-41 and SBA-15 are shown in </w:t>
      </w:r>
      <w:r w:rsidRPr="00EC4EE2">
        <w:rPr>
          <w:rFonts w:ascii="Times New Roman" w:hAnsi="Times New Roman"/>
          <w:sz w:val="20"/>
          <w:szCs w:val="20"/>
        </w:rPr>
        <w:t>Figure 10 and 11</w:t>
      </w:r>
      <w:r w:rsidRPr="00C1265D">
        <w:rPr>
          <w:rFonts w:ascii="Times New Roman" w:hAnsi="Times New Roman"/>
          <w:sz w:val="20"/>
          <w:szCs w:val="20"/>
        </w:rPr>
        <w:t>, respectively.</w:t>
      </w:r>
    </w:p>
    <w:p w14:paraId="704A9FFF" w14:textId="77777777" w:rsidR="006F7849" w:rsidRPr="00C1265D" w:rsidRDefault="006F7849" w:rsidP="006F7849">
      <w:pPr>
        <w:spacing w:after="0"/>
        <w:jc w:val="both"/>
        <w:rPr>
          <w:rFonts w:ascii="Times New Roman" w:hAnsi="Times New Roman"/>
          <w:sz w:val="20"/>
          <w:szCs w:val="20"/>
          <w:lang w:val="en-GB"/>
        </w:rPr>
      </w:pPr>
    </w:p>
    <w:p w14:paraId="77D6E264" w14:textId="77777777" w:rsidR="006F7849" w:rsidRDefault="006F7849" w:rsidP="00C1265D">
      <w:pPr>
        <w:spacing w:after="0"/>
        <w:jc w:val="both"/>
        <w:rPr>
          <w:rFonts w:ascii="Times New Roman" w:hAnsi="Times New Roman"/>
          <w:sz w:val="20"/>
          <w:szCs w:val="20"/>
        </w:rPr>
      </w:pPr>
    </w:p>
    <w:p w14:paraId="648CAA9C" w14:textId="1A277C43" w:rsidR="006F7849" w:rsidRDefault="006F7849" w:rsidP="00C1265D">
      <w:pPr>
        <w:spacing w:after="0"/>
        <w:jc w:val="both"/>
        <w:rPr>
          <w:rFonts w:ascii="Times New Roman" w:hAnsi="Times New Roman"/>
          <w:sz w:val="20"/>
          <w:szCs w:val="20"/>
        </w:rPr>
        <w:sectPr w:rsidR="006F7849" w:rsidSect="00F27F0F">
          <w:footerReference w:type="even" r:id="rId26"/>
          <w:type w:val="continuous"/>
          <w:pgSz w:w="12240" w:h="15840" w:code="1"/>
          <w:pgMar w:top="1800" w:right="1469" w:bottom="1699" w:left="1440" w:header="706" w:footer="706" w:gutter="0"/>
          <w:pgNumType w:start="0"/>
          <w:cols w:num="2" w:space="403"/>
          <w:docGrid w:linePitch="360"/>
        </w:sectPr>
      </w:pPr>
    </w:p>
    <w:p w14:paraId="322B8C05" w14:textId="0C4C258D" w:rsidR="00C746FC" w:rsidRPr="00C746FC" w:rsidRDefault="002511DC" w:rsidP="00C746FC">
      <w:pPr>
        <w:spacing w:after="0"/>
        <w:jc w:val="center"/>
        <w:rPr>
          <w:rFonts w:ascii="Times New Roman" w:hAnsi="Times New Roman"/>
          <w:sz w:val="20"/>
          <w:szCs w:val="20"/>
        </w:rPr>
      </w:pPr>
      <w:r w:rsidRPr="00C1265D">
        <w:rPr>
          <w:rFonts w:ascii="Times New Roman" w:hAnsi="Times New Roman"/>
          <w:noProof/>
          <w:sz w:val="20"/>
          <w:szCs w:val="20"/>
          <w:lang w:val="en-GB"/>
        </w:rPr>
        <w:drawing>
          <wp:inline distT="0" distB="0" distL="0" distR="0" wp14:anchorId="1F98ECE0" wp14:editId="0447C56D">
            <wp:extent cx="4023360" cy="2295144"/>
            <wp:effectExtent l="19050" t="19050" r="1524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5960" t="15581" r="2303" b="3758"/>
                    <a:stretch/>
                  </pic:blipFill>
                  <pic:spPr bwMode="auto">
                    <a:xfrm>
                      <a:off x="0" y="0"/>
                      <a:ext cx="4023360" cy="229514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6120A9" w14:textId="4BA7725C" w:rsidR="006F7849" w:rsidRPr="00C1265D" w:rsidRDefault="006F7849" w:rsidP="006F7849">
      <w:pPr>
        <w:spacing w:before="120" w:after="0"/>
        <w:ind w:left="900" w:hanging="900"/>
        <w:jc w:val="both"/>
        <w:rPr>
          <w:rFonts w:ascii="Times New Roman" w:hAnsi="Times New Roman"/>
          <w:sz w:val="20"/>
          <w:szCs w:val="20"/>
          <w:lang w:val="en-GB"/>
        </w:rPr>
      </w:pPr>
      <w:r w:rsidRPr="00C1265D">
        <w:rPr>
          <w:rFonts w:ascii="Times New Roman" w:hAnsi="Times New Roman"/>
          <w:sz w:val="20"/>
          <w:szCs w:val="20"/>
          <w:lang w:val="en-GB"/>
        </w:rPr>
        <w:t>Figure 6. Percentage removal of MO and MB using MCM-41 and SBA-15 at a different range of initial concentration</w:t>
      </w:r>
    </w:p>
    <w:p w14:paraId="3CC903D4" w14:textId="00CA1559" w:rsidR="006F7849" w:rsidRDefault="006F7849" w:rsidP="00C1265D">
      <w:pPr>
        <w:spacing w:after="0"/>
        <w:jc w:val="both"/>
        <w:rPr>
          <w:rFonts w:ascii="Times New Roman" w:hAnsi="Times New Roman"/>
          <w:sz w:val="20"/>
          <w:szCs w:val="20"/>
        </w:rPr>
      </w:pPr>
    </w:p>
    <w:p w14:paraId="63A19F0B" w14:textId="77777777" w:rsidR="003A0B88" w:rsidRDefault="003A0B88" w:rsidP="00C1265D">
      <w:pPr>
        <w:spacing w:after="0"/>
        <w:jc w:val="both"/>
        <w:rPr>
          <w:rFonts w:ascii="Times New Roman" w:hAnsi="Times New Roman"/>
          <w:noProof/>
          <w:sz w:val="20"/>
          <w:szCs w:val="20"/>
          <w:lang w:val="en-GB"/>
        </w:rPr>
      </w:pPr>
    </w:p>
    <w:p w14:paraId="58B55248" w14:textId="4636D5A3" w:rsidR="00734E46" w:rsidRDefault="00734E46" w:rsidP="00C1265D">
      <w:pPr>
        <w:spacing w:after="0"/>
        <w:jc w:val="both"/>
        <w:rPr>
          <w:rFonts w:ascii="Times New Roman" w:hAnsi="Times New Roman"/>
          <w:sz w:val="20"/>
          <w:szCs w:val="20"/>
        </w:rPr>
      </w:pPr>
    </w:p>
    <w:p w14:paraId="78AD7B0C" w14:textId="4987B1DA" w:rsidR="006F7849" w:rsidRDefault="006F7849" w:rsidP="00C1265D">
      <w:pPr>
        <w:spacing w:after="0"/>
        <w:jc w:val="both"/>
        <w:rPr>
          <w:rFonts w:ascii="Times New Roman" w:hAnsi="Times New Roman"/>
          <w:sz w:val="20"/>
          <w:szCs w:val="20"/>
        </w:rPr>
      </w:pPr>
    </w:p>
    <w:p w14:paraId="37231F46" w14:textId="0C93A0B7" w:rsidR="006F7849" w:rsidRDefault="006F7849" w:rsidP="00C1265D">
      <w:pPr>
        <w:spacing w:after="0"/>
        <w:jc w:val="both"/>
        <w:rPr>
          <w:rFonts w:ascii="Times New Roman" w:hAnsi="Times New Roman"/>
          <w:sz w:val="20"/>
          <w:szCs w:val="20"/>
        </w:rPr>
      </w:pPr>
    </w:p>
    <w:p w14:paraId="439BB31C" w14:textId="0FACE817" w:rsidR="006F7849" w:rsidRDefault="006F7849" w:rsidP="00C1265D">
      <w:pPr>
        <w:spacing w:after="0"/>
        <w:jc w:val="both"/>
        <w:rPr>
          <w:rFonts w:ascii="Times New Roman" w:hAnsi="Times New Roman"/>
          <w:sz w:val="20"/>
          <w:szCs w:val="20"/>
        </w:rPr>
      </w:pPr>
    </w:p>
    <w:p w14:paraId="0B6AA2EA" w14:textId="773D3B4E" w:rsidR="006F7849" w:rsidRDefault="006F7849" w:rsidP="00C1265D">
      <w:pPr>
        <w:spacing w:after="0"/>
        <w:jc w:val="both"/>
        <w:rPr>
          <w:rFonts w:ascii="Times New Roman" w:hAnsi="Times New Roman"/>
          <w:sz w:val="20"/>
          <w:szCs w:val="20"/>
        </w:rPr>
      </w:pPr>
    </w:p>
    <w:p w14:paraId="2223DE5E" w14:textId="35924A4C" w:rsidR="006F7849" w:rsidRDefault="006F7849" w:rsidP="00C1265D">
      <w:pPr>
        <w:spacing w:after="0"/>
        <w:jc w:val="both"/>
        <w:rPr>
          <w:rFonts w:ascii="Times New Roman" w:hAnsi="Times New Roman"/>
          <w:sz w:val="20"/>
          <w:szCs w:val="20"/>
        </w:rPr>
      </w:pPr>
    </w:p>
    <w:p w14:paraId="5923FA87" w14:textId="73EBF815" w:rsidR="006F7849" w:rsidRDefault="006F7849" w:rsidP="00C1265D">
      <w:pPr>
        <w:spacing w:after="0"/>
        <w:jc w:val="both"/>
        <w:rPr>
          <w:rFonts w:ascii="Times New Roman" w:hAnsi="Times New Roman"/>
          <w:sz w:val="20"/>
          <w:szCs w:val="20"/>
        </w:rPr>
      </w:pPr>
    </w:p>
    <w:p w14:paraId="7488C06A" w14:textId="14CD67AF" w:rsidR="006F7849" w:rsidRDefault="006F7849" w:rsidP="00C1265D">
      <w:pPr>
        <w:spacing w:after="0"/>
        <w:jc w:val="both"/>
        <w:rPr>
          <w:rFonts w:ascii="Times New Roman" w:hAnsi="Times New Roman"/>
          <w:sz w:val="20"/>
          <w:szCs w:val="20"/>
        </w:rPr>
      </w:pPr>
    </w:p>
    <w:p w14:paraId="71096C0A" w14:textId="4B59483B" w:rsidR="006F7849" w:rsidRDefault="006F7849" w:rsidP="00C1265D">
      <w:pPr>
        <w:spacing w:after="0"/>
        <w:jc w:val="both"/>
        <w:rPr>
          <w:rFonts w:ascii="Times New Roman" w:hAnsi="Times New Roman"/>
          <w:sz w:val="20"/>
          <w:szCs w:val="20"/>
        </w:rPr>
      </w:pPr>
    </w:p>
    <w:p w14:paraId="7217DA6D" w14:textId="293E5C3E" w:rsidR="002511DC" w:rsidRPr="00C746FC" w:rsidRDefault="00C746FC" w:rsidP="00C746FC">
      <w:pPr>
        <w:spacing w:after="0"/>
        <w:jc w:val="both"/>
        <w:rPr>
          <w:rFonts w:ascii="Times New Roman" w:hAnsi="Times New Roman"/>
          <w:sz w:val="20"/>
          <w:szCs w:val="20"/>
        </w:rPr>
      </w:pPr>
      <w:r>
        <w:rPr>
          <w:rFonts w:ascii="Times New Roman" w:hAnsi="Times New Roman"/>
          <w:sz w:val="20"/>
          <w:szCs w:val="20"/>
        </w:rPr>
        <w:lastRenderedPageBreak/>
        <w:t xml:space="preserve">                     </w:t>
      </w:r>
      <w:r w:rsidR="00C35F94">
        <w:rPr>
          <w:rFonts w:ascii="Times New Roman" w:hAnsi="Times New Roman"/>
          <w:sz w:val="20"/>
          <w:szCs w:val="20"/>
        </w:rPr>
        <w:t xml:space="preserve">     </w:t>
      </w:r>
      <w:r>
        <w:rPr>
          <w:rFonts w:ascii="Times New Roman" w:hAnsi="Times New Roman"/>
          <w:sz w:val="20"/>
          <w:szCs w:val="20"/>
        </w:rPr>
        <w:t xml:space="preserve">    </w:t>
      </w:r>
      <w:r w:rsidR="00C97B0A" w:rsidRPr="002F1747">
        <w:rPr>
          <w:rFonts w:ascii="Times New Roman" w:hAnsi="Times New Roman"/>
          <w:noProof/>
          <w:sz w:val="20"/>
          <w:szCs w:val="20"/>
          <w:lang w:val="en-GB"/>
        </w:rPr>
        <w:drawing>
          <wp:inline distT="0" distB="0" distL="0" distR="0" wp14:anchorId="1DAF28A0" wp14:editId="0C9F0D82">
            <wp:extent cx="3858768" cy="2304288"/>
            <wp:effectExtent l="19050" t="19050" r="2794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7009" t="15625" r="4806" b="6563"/>
                    <a:stretch/>
                  </pic:blipFill>
                  <pic:spPr bwMode="auto">
                    <a:xfrm>
                      <a:off x="0" y="0"/>
                      <a:ext cx="3858768" cy="230428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4125EC" w14:textId="737BF089" w:rsidR="00217100" w:rsidRDefault="002511DC" w:rsidP="00C677E8">
      <w:pPr>
        <w:spacing w:before="120" w:after="0"/>
        <w:jc w:val="center"/>
        <w:rPr>
          <w:rFonts w:ascii="Times New Roman" w:hAnsi="Times New Roman"/>
          <w:sz w:val="20"/>
          <w:szCs w:val="20"/>
          <w:lang w:val="en-GB"/>
        </w:rPr>
      </w:pPr>
      <w:r w:rsidRPr="00C1265D">
        <w:rPr>
          <w:rFonts w:ascii="Times New Roman" w:hAnsi="Times New Roman"/>
          <w:sz w:val="20"/>
          <w:szCs w:val="20"/>
          <w:lang w:val="en-GB"/>
        </w:rPr>
        <w:t xml:space="preserve">Figure 7. </w:t>
      </w:r>
      <w:r>
        <w:rPr>
          <w:rFonts w:ascii="Times New Roman" w:hAnsi="Times New Roman"/>
          <w:sz w:val="20"/>
          <w:szCs w:val="20"/>
          <w:lang w:val="en-GB"/>
        </w:rPr>
        <w:t xml:space="preserve"> </w:t>
      </w:r>
      <w:r w:rsidRPr="00C1265D">
        <w:rPr>
          <w:rFonts w:ascii="Times New Roman" w:hAnsi="Times New Roman"/>
          <w:sz w:val="20"/>
          <w:szCs w:val="20"/>
          <w:lang w:val="en-GB"/>
        </w:rPr>
        <w:t>Percentage removal of MO and MB using MCM-41 and SBA-15 at a different range of contact time</w:t>
      </w:r>
    </w:p>
    <w:p w14:paraId="74C7A5C3" w14:textId="77777777" w:rsidR="00C746FC" w:rsidRDefault="00C746FC" w:rsidP="00C677E8">
      <w:pPr>
        <w:spacing w:before="120" w:after="0"/>
        <w:jc w:val="center"/>
        <w:rPr>
          <w:rFonts w:ascii="Times New Roman" w:hAnsi="Times New Roman"/>
          <w:sz w:val="20"/>
          <w:szCs w:val="20"/>
          <w:lang w:val="en-GB"/>
        </w:rPr>
      </w:pPr>
    </w:p>
    <w:p w14:paraId="71FACAD5" w14:textId="69030EBA" w:rsidR="00B31B86" w:rsidRDefault="00B31B86" w:rsidP="00B31B86">
      <w:pPr>
        <w:spacing w:before="120" w:after="0"/>
        <w:jc w:val="center"/>
        <w:rPr>
          <w:rFonts w:ascii="Times New Roman" w:hAnsi="Times New Roman"/>
          <w:sz w:val="20"/>
          <w:szCs w:val="20"/>
          <w:lang w:val="en-GB"/>
        </w:rPr>
      </w:pPr>
      <w:r w:rsidRPr="00C1265D">
        <w:rPr>
          <w:rFonts w:ascii="Times New Roman" w:hAnsi="Times New Roman"/>
          <w:b/>
          <w:bCs/>
          <w:noProof/>
          <w:sz w:val="20"/>
          <w:szCs w:val="20"/>
          <w:lang w:val="en-GB"/>
        </w:rPr>
        <w:drawing>
          <wp:inline distT="0" distB="0" distL="0" distR="0" wp14:anchorId="2233780F" wp14:editId="407F26DF">
            <wp:extent cx="5730240" cy="176530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52" t="1460" r="1029" b="2649"/>
                    <a:stretch/>
                  </pic:blipFill>
                  <pic:spPr bwMode="auto">
                    <a:xfrm>
                      <a:off x="0" y="0"/>
                      <a:ext cx="5730240" cy="1765300"/>
                    </a:xfrm>
                    <a:prstGeom prst="rect">
                      <a:avLst/>
                    </a:prstGeom>
                    <a:noFill/>
                    <a:ln>
                      <a:noFill/>
                    </a:ln>
                    <a:extLst>
                      <a:ext uri="{53640926-AAD7-44D8-BBD7-CCE9431645EC}">
                        <a14:shadowObscured xmlns:a14="http://schemas.microsoft.com/office/drawing/2010/main"/>
                      </a:ext>
                    </a:extLst>
                  </pic:spPr>
                </pic:pic>
              </a:graphicData>
            </a:graphic>
          </wp:inline>
        </w:drawing>
      </w:r>
    </w:p>
    <w:p w14:paraId="45CEA78D" w14:textId="10BE5CCC" w:rsidR="00C677E8" w:rsidRPr="00C1265D" w:rsidRDefault="00C677E8" w:rsidP="00C677E8">
      <w:pPr>
        <w:spacing w:before="120" w:after="0"/>
        <w:jc w:val="center"/>
        <w:rPr>
          <w:rFonts w:ascii="Times New Roman" w:hAnsi="Times New Roman"/>
          <w:sz w:val="20"/>
          <w:szCs w:val="20"/>
          <w:lang w:val="en-GB"/>
        </w:rPr>
      </w:pPr>
      <w:r w:rsidRPr="00C1265D">
        <w:rPr>
          <w:rFonts w:ascii="Times New Roman" w:hAnsi="Times New Roman"/>
          <w:sz w:val="20"/>
          <w:szCs w:val="20"/>
          <w:lang w:val="en-GB"/>
        </w:rPr>
        <w:t xml:space="preserve">Figure 8. </w:t>
      </w:r>
      <w:r>
        <w:rPr>
          <w:rFonts w:ascii="Times New Roman" w:hAnsi="Times New Roman"/>
          <w:sz w:val="20"/>
          <w:szCs w:val="20"/>
          <w:lang w:val="en-GB"/>
        </w:rPr>
        <w:t xml:space="preserve"> </w:t>
      </w:r>
      <w:r w:rsidRPr="00C1265D">
        <w:rPr>
          <w:rFonts w:ascii="Times New Roman" w:hAnsi="Times New Roman"/>
          <w:sz w:val="20"/>
          <w:szCs w:val="20"/>
          <w:lang w:val="en-GB"/>
        </w:rPr>
        <w:t>Langmuir adsorption isotherm on the removal of (a) MO and (b) MB using MCM-41</w:t>
      </w:r>
    </w:p>
    <w:p w14:paraId="5B305F94" w14:textId="77A6BBA6" w:rsidR="00217100" w:rsidRPr="00217100" w:rsidRDefault="00217100" w:rsidP="00C1265D">
      <w:pPr>
        <w:spacing w:after="0"/>
        <w:jc w:val="both"/>
        <w:rPr>
          <w:rFonts w:ascii="Times New Roman" w:hAnsi="Times New Roman"/>
          <w:sz w:val="20"/>
          <w:szCs w:val="20"/>
          <w:lang w:val="en-GB"/>
        </w:rPr>
      </w:pPr>
    </w:p>
    <w:p w14:paraId="5E85A0AF" w14:textId="26B747E7" w:rsidR="00844EFE" w:rsidRPr="00C1265D" w:rsidRDefault="00844EFE" w:rsidP="00C1265D">
      <w:pPr>
        <w:spacing w:after="0"/>
        <w:jc w:val="both"/>
        <w:rPr>
          <w:rFonts w:ascii="Times New Roman" w:hAnsi="Times New Roman"/>
          <w:sz w:val="20"/>
          <w:szCs w:val="20"/>
          <w:lang w:val="en-GB"/>
        </w:rPr>
      </w:pPr>
    </w:p>
    <w:p w14:paraId="42F5D310" w14:textId="5782C389" w:rsidR="005B27B1" w:rsidRDefault="00B31B86" w:rsidP="00C1265D">
      <w:pPr>
        <w:spacing w:after="0"/>
        <w:jc w:val="both"/>
        <w:rPr>
          <w:rFonts w:ascii="Times New Roman" w:hAnsi="Times New Roman"/>
          <w:sz w:val="20"/>
          <w:szCs w:val="20"/>
          <w:lang w:val="en-GB"/>
        </w:rPr>
      </w:pPr>
      <w:r>
        <w:rPr>
          <w:rFonts w:ascii="Times New Roman" w:hAnsi="Times New Roman"/>
          <w:sz w:val="20"/>
          <w:szCs w:val="20"/>
          <w:lang w:val="en-GB"/>
        </w:rPr>
        <w:t xml:space="preserve">   </w:t>
      </w:r>
      <w:r w:rsidRPr="00C1265D">
        <w:rPr>
          <w:rFonts w:ascii="Times New Roman" w:hAnsi="Times New Roman"/>
          <w:noProof/>
          <w:sz w:val="20"/>
          <w:szCs w:val="20"/>
          <w:lang w:val="en-GB"/>
        </w:rPr>
        <w:drawing>
          <wp:inline distT="0" distB="0" distL="0" distR="0" wp14:anchorId="407939FF" wp14:editId="0FDBE632">
            <wp:extent cx="5722620" cy="1946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592" t="2118" r="507" b="424"/>
                    <a:stretch/>
                  </pic:blipFill>
                  <pic:spPr bwMode="auto">
                    <a:xfrm>
                      <a:off x="0" y="0"/>
                      <a:ext cx="5722620" cy="1946910"/>
                    </a:xfrm>
                    <a:prstGeom prst="rect">
                      <a:avLst/>
                    </a:prstGeom>
                    <a:noFill/>
                    <a:ln>
                      <a:noFill/>
                    </a:ln>
                    <a:extLst>
                      <a:ext uri="{53640926-AAD7-44D8-BBD7-CCE9431645EC}">
                        <a14:shadowObscured xmlns:a14="http://schemas.microsoft.com/office/drawing/2010/main"/>
                      </a:ext>
                    </a:extLst>
                  </pic:spPr>
                </pic:pic>
              </a:graphicData>
            </a:graphic>
          </wp:inline>
        </w:drawing>
      </w:r>
    </w:p>
    <w:p w14:paraId="5A31BCBF" w14:textId="77777777" w:rsidR="00B31B86" w:rsidRPr="00C1265D" w:rsidRDefault="00B31B86" w:rsidP="00B31B86">
      <w:pPr>
        <w:spacing w:before="120" w:after="0"/>
        <w:ind w:left="806" w:hanging="806"/>
        <w:jc w:val="both"/>
        <w:rPr>
          <w:rFonts w:ascii="Times New Roman" w:hAnsi="Times New Roman"/>
          <w:sz w:val="20"/>
          <w:szCs w:val="20"/>
          <w:lang w:val="en-GB"/>
        </w:rPr>
      </w:pPr>
      <w:r w:rsidRPr="00C1265D">
        <w:rPr>
          <w:rFonts w:ascii="Times New Roman" w:hAnsi="Times New Roman"/>
          <w:sz w:val="20"/>
          <w:szCs w:val="20"/>
          <w:lang w:val="en-GB"/>
        </w:rPr>
        <w:t xml:space="preserve">Figure 9. </w:t>
      </w:r>
      <w:r>
        <w:rPr>
          <w:rFonts w:ascii="Times New Roman" w:hAnsi="Times New Roman"/>
          <w:sz w:val="20"/>
          <w:szCs w:val="20"/>
          <w:lang w:val="en-GB"/>
        </w:rPr>
        <w:tab/>
      </w:r>
      <w:r w:rsidRPr="00C1265D">
        <w:rPr>
          <w:rFonts w:ascii="Times New Roman" w:hAnsi="Times New Roman"/>
          <w:sz w:val="20"/>
          <w:szCs w:val="20"/>
          <w:lang w:val="en-GB"/>
        </w:rPr>
        <w:t>Freundlich adsorption isotherm on the removal of (a) MO and Langmuir isotherm on the removal of (b) MB using SBA-15</w:t>
      </w:r>
    </w:p>
    <w:p w14:paraId="3051E0A7" w14:textId="2CE99CB0" w:rsidR="005B27B1" w:rsidRDefault="005B27B1" w:rsidP="00C1265D">
      <w:pPr>
        <w:spacing w:after="0"/>
        <w:jc w:val="both"/>
        <w:rPr>
          <w:rFonts w:ascii="Times New Roman" w:hAnsi="Times New Roman"/>
          <w:sz w:val="20"/>
          <w:szCs w:val="20"/>
          <w:lang w:val="en-GB"/>
        </w:rPr>
      </w:pPr>
    </w:p>
    <w:p w14:paraId="1592BD87" w14:textId="70360019" w:rsidR="005B27B1" w:rsidRDefault="005B27B1" w:rsidP="00C1265D">
      <w:pPr>
        <w:spacing w:after="0"/>
        <w:jc w:val="both"/>
        <w:rPr>
          <w:rFonts w:ascii="Times New Roman" w:hAnsi="Times New Roman"/>
          <w:sz w:val="20"/>
          <w:szCs w:val="20"/>
          <w:lang w:val="en-GB"/>
        </w:rPr>
      </w:pPr>
    </w:p>
    <w:p w14:paraId="245841E7" w14:textId="602D8A7D" w:rsidR="005B27B1" w:rsidRDefault="00B31B86" w:rsidP="00C1265D">
      <w:pPr>
        <w:spacing w:after="0"/>
        <w:jc w:val="both"/>
        <w:rPr>
          <w:rFonts w:ascii="Times New Roman" w:hAnsi="Times New Roman"/>
          <w:sz w:val="20"/>
          <w:szCs w:val="20"/>
          <w:lang w:val="en-GB"/>
        </w:rPr>
      </w:pPr>
      <w:r w:rsidRPr="00C1265D">
        <w:rPr>
          <w:rFonts w:ascii="Times New Roman" w:hAnsi="Times New Roman"/>
          <w:noProof/>
          <w:sz w:val="20"/>
          <w:szCs w:val="20"/>
          <w:lang w:val="en-GB"/>
        </w:rPr>
        <w:drawing>
          <wp:inline distT="0" distB="0" distL="0" distR="0" wp14:anchorId="4E26D106" wp14:editId="3CB08312">
            <wp:extent cx="5692140" cy="169862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332" t="1285" r="281" b="1328"/>
                    <a:stretch/>
                  </pic:blipFill>
                  <pic:spPr bwMode="auto">
                    <a:xfrm>
                      <a:off x="0" y="0"/>
                      <a:ext cx="5692140" cy="1698625"/>
                    </a:xfrm>
                    <a:prstGeom prst="rect">
                      <a:avLst/>
                    </a:prstGeom>
                    <a:noFill/>
                    <a:ln>
                      <a:noFill/>
                    </a:ln>
                    <a:extLst>
                      <a:ext uri="{53640926-AAD7-44D8-BBD7-CCE9431645EC}">
                        <a14:shadowObscured xmlns:a14="http://schemas.microsoft.com/office/drawing/2010/main"/>
                      </a:ext>
                    </a:extLst>
                  </pic:spPr>
                </pic:pic>
              </a:graphicData>
            </a:graphic>
          </wp:inline>
        </w:drawing>
      </w:r>
    </w:p>
    <w:p w14:paraId="4DA3A1E8" w14:textId="77777777" w:rsidR="00B31B86" w:rsidRPr="00C1265D" w:rsidRDefault="00B31B86" w:rsidP="00B31B86">
      <w:pPr>
        <w:spacing w:before="120" w:after="0"/>
        <w:jc w:val="center"/>
        <w:rPr>
          <w:rFonts w:ascii="Times New Roman" w:hAnsi="Times New Roman"/>
          <w:sz w:val="20"/>
          <w:szCs w:val="20"/>
          <w:lang w:val="en-GB"/>
        </w:rPr>
      </w:pPr>
      <w:r w:rsidRPr="00C1265D">
        <w:rPr>
          <w:rFonts w:ascii="Times New Roman" w:hAnsi="Times New Roman"/>
          <w:sz w:val="20"/>
          <w:szCs w:val="20"/>
          <w:lang w:val="en-GB"/>
        </w:rPr>
        <w:t xml:space="preserve">Figure 10. </w:t>
      </w:r>
      <w:r>
        <w:rPr>
          <w:rFonts w:ascii="Times New Roman" w:hAnsi="Times New Roman"/>
          <w:sz w:val="20"/>
          <w:szCs w:val="20"/>
          <w:lang w:val="en-GB"/>
        </w:rPr>
        <w:t xml:space="preserve"> </w:t>
      </w:r>
      <w:r w:rsidRPr="00C1265D">
        <w:rPr>
          <w:rFonts w:ascii="Times New Roman" w:hAnsi="Times New Roman"/>
          <w:sz w:val="20"/>
          <w:szCs w:val="20"/>
          <w:lang w:val="en-GB"/>
        </w:rPr>
        <w:t>Pseudo-second-order for MCM-41 on removal of (a) MO and (b) MB</w:t>
      </w:r>
    </w:p>
    <w:p w14:paraId="027F775F" w14:textId="7618C7E1" w:rsidR="00844EFE" w:rsidRDefault="00844EFE" w:rsidP="00C1265D">
      <w:pPr>
        <w:spacing w:after="0"/>
        <w:jc w:val="both"/>
        <w:rPr>
          <w:rFonts w:ascii="Times New Roman" w:hAnsi="Times New Roman"/>
          <w:sz w:val="20"/>
          <w:szCs w:val="20"/>
          <w:lang w:val="en-GB"/>
        </w:rPr>
      </w:pPr>
    </w:p>
    <w:p w14:paraId="4A7F5EF3" w14:textId="55E2DC7E" w:rsidR="00844EFE" w:rsidRDefault="00844EFE" w:rsidP="00C1265D">
      <w:pPr>
        <w:spacing w:after="0"/>
        <w:jc w:val="both"/>
        <w:rPr>
          <w:rFonts w:ascii="Times New Roman" w:hAnsi="Times New Roman"/>
          <w:sz w:val="20"/>
          <w:szCs w:val="20"/>
          <w:lang w:val="en-GB"/>
        </w:rPr>
      </w:pPr>
    </w:p>
    <w:p w14:paraId="67FB8D48" w14:textId="154FE919" w:rsidR="00844EFE" w:rsidRPr="00B31B86" w:rsidRDefault="00B31B86" w:rsidP="00C1265D">
      <w:pPr>
        <w:spacing w:after="0"/>
        <w:jc w:val="both"/>
        <w:rPr>
          <w:rFonts w:ascii="Times New Roman" w:hAnsi="Times New Roman"/>
          <w:sz w:val="20"/>
          <w:szCs w:val="20"/>
          <w:lang w:val="en-GB"/>
        </w:rPr>
      </w:pPr>
      <w:r>
        <w:rPr>
          <w:rFonts w:ascii="Times New Roman" w:hAnsi="Times New Roman"/>
          <w:sz w:val="20"/>
          <w:szCs w:val="20"/>
          <w:lang w:val="en-GB"/>
        </w:rPr>
        <w:t xml:space="preserve">  </w:t>
      </w:r>
      <w:r w:rsidRPr="00C1265D">
        <w:rPr>
          <w:rFonts w:ascii="Times New Roman" w:hAnsi="Times New Roman"/>
          <w:noProof/>
          <w:sz w:val="20"/>
          <w:szCs w:val="20"/>
          <w:lang w:val="en-GB"/>
        </w:rPr>
        <w:drawing>
          <wp:inline distT="0" distB="0" distL="0" distR="0" wp14:anchorId="0E7877CB" wp14:editId="0E745F8F">
            <wp:extent cx="5730240" cy="173863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784" t="1755" r="861" b="965"/>
                    <a:stretch/>
                  </pic:blipFill>
                  <pic:spPr bwMode="auto">
                    <a:xfrm>
                      <a:off x="0" y="0"/>
                      <a:ext cx="5730240" cy="1738630"/>
                    </a:xfrm>
                    <a:prstGeom prst="rect">
                      <a:avLst/>
                    </a:prstGeom>
                    <a:noFill/>
                    <a:ln>
                      <a:noFill/>
                    </a:ln>
                    <a:extLst>
                      <a:ext uri="{53640926-AAD7-44D8-BBD7-CCE9431645EC}">
                        <a14:shadowObscured xmlns:a14="http://schemas.microsoft.com/office/drawing/2010/main"/>
                      </a:ext>
                    </a:extLst>
                  </pic:spPr>
                </pic:pic>
              </a:graphicData>
            </a:graphic>
          </wp:inline>
        </w:drawing>
      </w:r>
    </w:p>
    <w:p w14:paraId="02B07E10" w14:textId="46906A9E" w:rsidR="00C1265D" w:rsidRPr="00537C8B" w:rsidRDefault="00C1265D" w:rsidP="00537C8B">
      <w:pPr>
        <w:spacing w:before="120" w:after="0"/>
        <w:jc w:val="center"/>
        <w:rPr>
          <w:rFonts w:ascii="Times New Roman" w:hAnsi="Times New Roman"/>
          <w:sz w:val="20"/>
          <w:szCs w:val="20"/>
        </w:rPr>
      </w:pPr>
      <w:r w:rsidRPr="00C1265D">
        <w:rPr>
          <w:rFonts w:ascii="Times New Roman" w:hAnsi="Times New Roman"/>
          <w:sz w:val="20"/>
          <w:szCs w:val="20"/>
          <w:lang w:val="en-GB"/>
        </w:rPr>
        <w:t xml:space="preserve">Figure 11. </w:t>
      </w:r>
      <w:r w:rsidR="00537C8B">
        <w:rPr>
          <w:rFonts w:ascii="Times New Roman" w:hAnsi="Times New Roman"/>
          <w:sz w:val="20"/>
          <w:szCs w:val="20"/>
          <w:lang w:val="en-GB"/>
        </w:rPr>
        <w:t xml:space="preserve"> </w:t>
      </w:r>
      <w:r w:rsidRPr="00C1265D">
        <w:rPr>
          <w:rFonts w:ascii="Times New Roman" w:hAnsi="Times New Roman"/>
          <w:sz w:val="20"/>
          <w:szCs w:val="20"/>
          <w:lang w:val="en-GB"/>
        </w:rPr>
        <w:t>Pseudo-second-order for SBA-15 on removal of (a) MO and (b) MB</w:t>
      </w:r>
    </w:p>
    <w:p w14:paraId="47E0CC68" w14:textId="56A8BADB" w:rsidR="00C1265D" w:rsidRDefault="00C1265D" w:rsidP="00C1265D">
      <w:pPr>
        <w:spacing w:after="0"/>
        <w:jc w:val="both"/>
        <w:rPr>
          <w:rFonts w:ascii="Times New Roman" w:hAnsi="Times New Roman"/>
          <w:b/>
          <w:bCs/>
          <w:sz w:val="20"/>
          <w:szCs w:val="20"/>
          <w:lang w:val="en-GB"/>
        </w:rPr>
      </w:pPr>
    </w:p>
    <w:p w14:paraId="4B2D9E5A" w14:textId="77777777" w:rsidR="00537C8B" w:rsidRPr="00C1265D" w:rsidRDefault="00537C8B" w:rsidP="00C1265D">
      <w:pPr>
        <w:spacing w:after="0"/>
        <w:jc w:val="both"/>
        <w:rPr>
          <w:rFonts w:ascii="Times New Roman" w:hAnsi="Times New Roman"/>
          <w:b/>
          <w:bCs/>
          <w:sz w:val="20"/>
          <w:szCs w:val="20"/>
          <w:lang w:val="en-GB"/>
        </w:rPr>
      </w:pPr>
    </w:p>
    <w:p w14:paraId="0B2E70E5" w14:textId="77777777" w:rsidR="00F17B79" w:rsidRDefault="00F17B79" w:rsidP="00C1265D">
      <w:pPr>
        <w:spacing w:after="0"/>
        <w:jc w:val="both"/>
        <w:rPr>
          <w:rFonts w:ascii="Times New Roman" w:hAnsi="Times New Roman"/>
          <w:b/>
          <w:bCs/>
          <w:sz w:val="20"/>
          <w:szCs w:val="20"/>
          <w:lang w:val="en-GB"/>
        </w:rPr>
        <w:sectPr w:rsidR="00F17B79" w:rsidSect="00B71E50">
          <w:footerReference w:type="even" r:id="rId33"/>
          <w:footerReference w:type="default" r:id="rId34"/>
          <w:type w:val="continuous"/>
          <w:pgSz w:w="12240" w:h="15840" w:code="1"/>
          <w:pgMar w:top="1800" w:right="1469" w:bottom="1699" w:left="1440" w:header="706" w:footer="706" w:gutter="0"/>
          <w:pgNumType w:start="0"/>
          <w:cols w:space="708"/>
          <w:docGrid w:linePitch="360"/>
        </w:sectPr>
      </w:pPr>
    </w:p>
    <w:p w14:paraId="160E8C26" w14:textId="789BC701" w:rsidR="00C1265D" w:rsidRPr="00C1265D" w:rsidRDefault="00C1265D" w:rsidP="00C1265D">
      <w:pPr>
        <w:spacing w:after="0"/>
        <w:jc w:val="both"/>
        <w:rPr>
          <w:rFonts w:ascii="Times New Roman" w:hAnsi="Times New Roman"/>
          <w:b/>
          <w:bCs/>
          <w:sz w:val="20"/>
          <w:szCs w:val="20"/>
          <w:lang w:val="en-GB"/>
        </w:rPr>
      </w:pPr>
      <w:r w:rsidRPr="00C1265D">
        <w:rPr>
          <w:rFonts w:ascii="Times New Roman" w:hAnsi="Times New Roman"/>
          <w:b/>
          <w:bCs/>
          <w:sz w:val="20"/>
          <w:szCs w:val="20"/>
          <w:lang w:val="en-GB"/>
        </w:rPr>
        <w:t>Comparison of dye removal efficiency</w:t>
      </w:r>
    </w:p>
    <w:p w14:paraId="47235A88" w14:textId="40EB7070" w:rsidR="00C1265D" w:rsidRDefault="00C1265D" w:rsidP="00C1265D">
      <w:pPr>
        <w:spacing w:after="0"/>
        <w:jc w:val="both"/>
        <w:rPr>
          <w:rFonts w:ascii="Times New Roman" w:hAnsi="Times New Roman"/>
          <w:sz w:val="20"/>
          <w:szCs w:val="20"/>
          <w:lang w:val="en-GB"/>
        </w:rPr>
      </w:pPr>
      <w:r w:rsidRPr="00C1265D">
        <w:rPr>
          <w:rFonts w:ascii="Times New Roman" w:hAnsi="Times New Roman"/>
          <w:sz w:val="20"/>
          <w:szCs w:val="20"/>
          <w:lang w:val="en-GB"/>
        </w:rPr>
        <w:t xml:space="preserve">The removal efficiencies of MCM-41 and SBA-15 were compared with other types of adsorbents for removal of the MO and MB from an aqueous solution. The maximum adsorption capacity of MO and MB </w:t>
      </w:r>
      <w:r w:rsidRPr="00C1265D">
        <w:rPr>
          <w:rFonts w:ascii="Times New Roman" w:hAnsi="Times New Roman"/>
          <w:sz w:val="20"/>
          <w:szCs w:val="20"/>
          <w:lang w:val="en-GB"/>
        </w:rPr>
        <w:t xml:space="preserve">dyes </w:t>
      </w:r>
      <w:r w:rsidR="00EC4EE2">
        <w:rPr>
          <w:rFonts w:ascii="Times New Roman" w:hAnsi="Times New Roman"/>
          <w:sz w:val="20"/>
          <w:szCs w:val="20"/>
          <w:lang w:val="en-GB"/>
        </w:rPr>
        <w:t xml:space="preserve"> </w:t>
      </w:r>
      <w:r w:rsidRPr="00C1265D">
        <w:rPr>
          <w:rFonts w:ascii="Times New Roman" w:hAnsi="Times New Roman"/>
          <w:sz w:val="20"/>
          <w:szCs w:val="20"/>
          <w:lang w:val="en-GB"/>
        </w:rPr>
        <w:t xml:space="preserve">on </w:t>
      </w:r>
      <w:r w:rsidR="00EC4EE2">
        <w:rPr>
          <w:rFonts w:ascii="Times New Roman" w:hAnsi="Times New Roman"/>
          <w:sz w:val="20"/>
          <w:szCs w:val="20"/>
          <w:lang w:val="en-GB"/>
        </w:rPr>
        <w:t xml:space="preserve"> </w:t>
      </w:r>
      <w:r w:rsidRPr="00C1265D">
        <w:rPr>
          <w:rFonts w:ascii="Times New Roman" w:hAnsi="Times New Roman"/>
          <w:sz w:val="20"/>
          <w:szCs w:val="20"/>
          <w:lang w:val="en-GB"/>
        </w:rPr>
        <w:t>different</w:t>
      </w:r>
      <w:r w:rsidR="00EC4EE2">
        <w:rPr>
          <w:rFonts w:ascii="Times New Roman" w:hAnsi="Times New Roman"/>
          <w:sz w:val="20"/>
          <w:szCs w:val="20"/>
          <w:lang w:val="en-GB"/>
        </w:rPr>
        <w:t xml:space="preserve"> </w:t>
      </w:r>
      <w:r w:rsidRPr="00C1265D">
        <w:rPr>
          <w:rFonts w:ascii="Times New Roman" w:hAnsi="Times New Roman"/>
          <w:sz w:val="20"/>
          <w:szCs w:val="20"/>
          <w:lang w:val="en-GB"/>
        </w:rPr>
        <w:t xml:space="preserve"> types of adsorbent are listed in </w:t>
      </w:r>
      <w:r w:rsidRPr="00C35F94">
        <w:rPr>
          <w:rFonts w:ascii="Times New Roman" w:hAnsi="Times New Roman"/>
          <w:sz w:val="20"/>
          <w:szCs w:val="20"/>
          <w:lang w:val="en-GB"/>
        </w:rPr>
        <w:t>Table 1</w:t>
      </w:r>
      <w:r w:rsidRPr="00C1265D">
        <w:rPr>
          <w:rFonts w:ascii="Times New Roman" w:hAnsi="Times New Roman"/>
          <w:sz w:val="20"/>
          <w:szCs w:val="20"/>
          <w:lang w:val="en-GB"/>
        </w:rPr>
        <w:t>. According to the table, this study showed the highest adsorption capacity for both dyes.</w:t>
      </w:r>
    </w:p>
    <w:p w14:paraId="4E816B29" w14:textId="77777777" w:rsidR="00F17B79" w:rsidRDefault="00F17B79" w:rsidP="00C1265D">
      <w:pPr>
        <w:spacing w:after="0"/>
        <w:jc w:val="both"/>
        <w:rPr>
          <w:rFonts w:ascii="Times New Roman" w:hAnsi="Times New Roman"/>
          <w:sz w:val="20"/>
          <w:szCs w:val="20"/>
          <w:lang w:val="en-GB"/>
        </w:rPr>
      </w:pPr>
    </w:p>
    <w:p w14:paraId="758E472D" w14:textId="6E4D83DA" w:rsidR="00537C8B" w:rsidRDefault="00537C8B" w:rsidP="00C1265D">
      <w:pPr>
        <w:spacing w:after="0"/>
        <w:jc w:val="both"/>
        <w:rPr>
          <w:rFonts w:ascii="Times New Roman" w:hAnsi="Times New Roman"/>
          <w:sz w:val="20"/>
          <w:szCs w:val="20"/>
          <w:lang w:val="en-GB"/>
        </w:rPr>
      </w:pPr>
    </w:p>
    <w:p w14:paraId="16DECB73" w14:textId="77777777" w:rsidR="00F17B79" w:rsidRDefault="00F17B79" w:rsidP="00C1265D">
      <w:pPr>
        <w:spacing w:after="0"/>
        <w:jc w:val="both"/>
        <w:rPr>
          <w:rFonts w:ascii="Times New Roman" w:hAnsi="Times New Roman"/>
          <w:sz w:val="20"/>
          <w:szCs w:val="20"/>
          <w:lang w:val="en-GB"/>
        </w:rPr>
        <w:sectPr w:rsidR="00F17B79" w:rsidSect="00F17B79">
          <w:type w:val="continuous"/>
          <w:pgSz w:w="12240" w:h="15840" w:code="1"/>
          <w:pgMar w:top="1800" w:right="1469" w:bottom="1699" w:left="1440" w:header="706" w:footer="706" w:gutter="0"/>
          <w:pgNumType w:start="0"/>
          <w:cols w:num="2" w:space="403"/>
          <w:docGrid w:linePitch="360"/>
        </w:sectPr>
      </w:pPr>
    </w:p>
    <w:p w14:paraId="2EC841CD" w14:textId="0FADBAAA" w:rsidR="00537C8B" w:rsidRDefault="00537C8B" w:rsidP="00C1265D">
      <w:pPr>
        <w:spacing w:after="0"/>
        <w:jc w:val="both"/>
        <w:rPr>
          <w:rFonts w:ascii="Times New Roman" w:hAnsi="Times New Roman"/>
          <w:sz w:val="20"/>
          <w:szCs w:val="20"/>
          <w:lang w:val="en-GB"/>
        </w:rPr>
      </w:pPr>
    </w:p>
    <w:p w14:paraId="7FFF8DB4" w14:textId="77777777" w:rsidR="00537C8B" w:rsidRPr="00C1265D" w:rsidRDefault="00537C8B" w:rsidP="00C1265D">
      <w:pPr>
        <w:spacing w:after="0"/>
        <w:jc w:val="both"/>
        <w:rPr>
          <w:rFonts w:ascii="Times New Roman" w:hAnsi="Times New Roman"/>
          <w:sz w:val="20"/>
          <w:szCs w:val="20"/>
          <w:lang w:val="en-GB"/>
        </w:rPr>
      </w:pPr>
    </w:p>
    <w:p w14:paraId="3254ED3F" w14:textId="09EC1FDD" w:rsidR="00C1265D" w:rsidRPr="00C1265D" w:rsidRDefault="00C1265D" w:rsidP="00537C8B">
      <w:pPr>
        <w:spacing w:after="120"/>
        <w:jc w:val="center"/>
        <w:rPr>
          <w:rFonts w:ascii="Times New Roman" w:hAnsi="Times New Roman"/>
          <w:sz w:val="20"/>
          <w:szCs w:val="20"/>
          <w:lang w:val="en-GB"/>
        </w:rPr>
      </w:pPr>
      <w:r w:rsidRPr="00C1265D">
        <w:rPr>
          <w:rFonts w:ascii="Times New Roman" w:hAnsi="Times New Roman"/>
          <w:sz w:val="20"/>
          <w:szCs w:val="20"/>
          <w:lang w:val="en-GB"/>
        </w:rPr>
        <w:t xml:space="preserve">Table 1. </w:t>
      </w:r>
      <w:r w:rsidR="00537C8B">
        <w:rPr>
          <w:rFonts w:ascii="Times New Roman" w:hAnsi="Times New Roman"/>
          <w:sz w:val="20"/>
          <w:szCs w:val="20"/>
          <w:lang w:val="en-GB"/>
        </w:rPr>
        <w:t xml:space="preserve"> </w:t>
      </w:r>
      <w:r w:rsidRPr="00C1265D">
        <w:rPr>
          <w:rFonts w:ascii="Times New Roman" w:hAnsi="Times New Roman"/>
          <w:sz w:val="20"/>
          <w:szCs w:val="20"/>
          <w:lang w:val="en-GB"/>
        </w:rPr>
        <w:t>Maximum adsorption capacity of MO and MB using other types of adsorbents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1086"/>
        <w:gridCol w:w="992"/>
        <w:gridCol w:w="2514"/>
        <w:gridCol w:w="1976"/>
      </w:tblGrid>
      <w:tr w:rsidR="00C1265D" w:rsidRPr="00C1265D" w14:paraId="0FE8B39B" w14:textId="77777777" w:rsidTr="00537C8B">
        <w:trPr>
          <w:jc w:val="center"/>
        </w:trPr>
        <w:tc>
          <w:tcPr>
            <w:tcW w:w="2458" w:type="dxa"/>
            <w:tcBorders>
              <w:top w:val="single" w:sz="4" w:space="0" w:color="auto"/>
              <w:bottom w:val="single" w:sz="4" w:space="0" w:color="auto"/>
            </w:tcBorders>
          </w:tcPr>
          <w:p w14:paraId="7F1E5B8E" w14:textId="77777777" w:rsidR="00C1265D" w:rsidRPr="00C1265D" w:rsidRDefault="00C1265D" w:rsidP="00537C8B">
            <w:pPr>
              <w:spacing w:after="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Mesoporous Silica Adsorbent</w:t>
            </w:r>
          </w:p>
        </w:tc>
        <w:tc>
          <w:tcPr>
            <w:tcW w:w="1086" w:type="dxa"/>
            <w:tcBorders>
              <w:top w:val="single" w:sz="4" w:space="0" w:color="auto"/>
              <w:bottom w:val="single" w:sz="4" w:space="0" w:color="auto"/>
            </w:tcBorders>
          </w:tcPr>
          <w:p w14:paraId="4AAB5657" w14:textId="77777777" w:rsidR="00C1265D" w:rsidRPr="00C1265D" w:rsidRDefault="00C1265D" w:rsidP="00537C8B">
            <w:pPr>
              <w:spacing w:before="60" w:after="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Dyes</w:t>
            </w:r>
          </w:p>
        </w:tc>
        <w:tc>
          <w:tcPr>
            <w:tcW w:w="992" w:type="dxa"/>
            <w:tcBorders>
              <w:top w:val="single" w:sz="4" w:space="0" w:color="auto"/>
              <w:bottom w:val="single" w:sz="4" w:space="0" w:color="auto"/>
            </w:tcBorders>
          </w:tcPr>
          <w:p w14:paraId="2A1C15E8" w14:textId="77777777" w:rsidR="00C1265D" w:rsidRPr="00C1265D" w:rsidRDefault="00C1265D" w:rsidP="00537C8B">
            <w:pPr>
              <w:spacing w:before="60" w:after="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pH</w:t>
            </w:r>
          </w:p>
        </w:tc>
        <w:tc>
          <w:tcPr>
            <w:tcW w:w="2514" w:type="dxa"/>
            <w:tcBorders>
              <w:top w:val="single" w:sz="4" w:space="0" w:color="auto"/>
              <w:bottom w:val="single" w:sz="4" w:space="0" w:color="auto"/>
            </w:tcBorders>
          </w:tcPr>
          <w:p w14:paraId="12813801" w14:textId="77777777" w:rsidR="00C1265D" w:rsidRPr="00C1265D" w:rsidRDefault="00C1265D" w:rsidP="00537C8B">
            <w:pPr>
              <w:spacing w:before="60" w:after="60"/>
              <w:jc w:val="center"/>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Maximum Adsorption Capacities, (mg/g)</w:t>
            </w:r>
          </w:p>
        </w:tc>
        <w:tc>
          <w:tcPr>
            <w:tcW w:w="1976" w:type="dxa"/>
            <w:tcBorders>
              <w:top w:val="single" w:sz="4" w:space="0" w:color="auto"/>
              <w:bottom w:val="single" w:sz="4" w:space="0" w:color="auto"/>
            </w:tcBorders>
          </w:tcPr>
          <w:p w14:paraId="024E4639" w14:textId="77777777" w:rsidR="00C1265D" w:rsidRPr="00C1265D" w:rsidRDefault="00C1265D" w:rsidP="00537C8B">
            <w:pPr>
              <w:spacing w:before="60" w:after="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References</w:t>
            </w:r>
          </w:p>
        </w:tc>
      </w:tr>
      <w:tr w:rsidR="00C1265D" w:rsidRPr="00C1265D" w14:paraId="3D11EE9D" w14:textId="77777777" w:rsidTr="00207934">
        <w:trPr>
          <w:jc w:val="center"/>
        </w:trPr>
        <w:tc>
          <w:tcPr>
            <w:tcW w:w="2458" w:type="dxa"/>
            <w:tcBorders>
              <w:top w:val="single" w:sz="4" w:space="0" w:color="auto"/>
            </w:tcBorders>
          </w:tcPr>
          <w:p w14:paraId="6D3EEBF1" w14:textId="77777777" w:rsidR="00C1265D" w:rsidRPr="00C1265D" w:rsidRDefault="00C1265D" w:rsidP="00537C8B">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Mesopore silica composite from rice husk with activated carbon from coconut shell</w:t>
            </w:r>
          </w:p>
        </w:tc>
        <w:tc>
          <w:tcPr>
            <w:tcW w:w="1086" w:type="dxa"/>
            <w:tcBorders>
              <w:top w:val="single" w:sz="4" w:space="0" w:color="auto"/>
            </w:tcBorders>
          </w:tcPr>
          <w:p w14:paraId="21EE7AF5" w14:textId="77777777" w:rsidR="00C1265D" w:rsidRPr="00C1265D" w:rsidRDefault="00C1265D" w:rsidP="00537C8B">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MO</w:t>
            </w:r>
          </w:p>
        </w:tc>
        <w:tc>
          <w:tcPr>
            <w:tcW w:w="992" w:type="dxa"/>
            <w:tcBorders>
              <w:top w:val="single" w:sz="4" w:space="0" w:color="auto"/>
            </w:tcBorders>
          </w:tcPr>
          <w:p w14:paraId="54EFCCF7" w14:textId="2FB162FC" w:rsidR="00C1265D" w:rsidRPr="00C1265D" w:rsidRDefault="00C1265D" w:rsidP="00537C8B">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2</w:t>
            </w:r>
            <w:r w:rsidR="00CC4911">
              <w:rPr>
                <w:rFonts w:ascii="Times New Roman" w:hAnsi="Times New Roman" w:cs="Times New Roman"/>
                <w:sz w:val="20"/>
                <w:szCs w:val="20"/>
                <w:lang w:val="en-GB"/>
              </w:rPr>
              <w:t>.0</w:t>
            </w:r>
          </w:p>
        </w:tc>
        <w:tc>
          <w:tcPr>
            <w:tcW w:w="2514" w:type="dxa"/>
            <w:tcBorders>
              <w:top w:val="single" w:sz="4" w:space="0" w:color="auto"/>
            </w:tcBorders>
          </w:tcPr>
          <w:p w14:paraId="0E96EFE8" w14:textId="77777777" w:rsidR="00C1265D" w:rsidRPr="00C1265D" w:rsidRDefault="00C1265D" w:rsidP="00537C8B">
            <w:pPr>
              <w:spacing w:before="60"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0.470</w:t>
            </w:r>
          </w:p>
        </w:tc>
        <w:tc>
          <w:tcPr>
            <w:tcW w:w="1976" w:type="dxa"/>
            <w:tcBorders>
              <w:top w:val="single" w:sz="4" w:space="0" w:color="auto"/>
            </w:tcBorders>
          </w:tcPr>
          <w:p w14:paraId="4F7E5865" w14:textId="77777777" w:rsidR="00C1265D" w:rsidRPr="00C1265D" w:rsidRDefault="00C1265D" w:rsidP="00537C8B">
            <w:pPr>
              <w:spacing w:before="60" w:after="0"/>
              <w:rPr>
                <w:rFonts w:ascii="Times New Roman" w:hAnsi="Times New Roman" w:cs="Times New Roman"/>
                <w:b/>
                <w:bCs/>
                <w:sz w:val="20"/>
                <w:szCs w:val="20"/>
                <w:lang w:val="en-GB"/>
              </w:rPr>
            </w:pPr>
            <w:r w:rsidRPr="00C1265D">
              <w:rPr>
                <w:rFonts w:ascii="Times New Roman" w:hAnsi="Times New Roman" w:cs="Times New Roman"/>
                <w:sz w:val="20"/>
                <w:szCs w:val="20"/>
                <w:lang w:val="en-GB"/>
              </w:rPr>
              <w:t>[69]</w:t>
            </w:r>
          </w:p>
        </w:tc>
      </w:tr>
      <w:tr w:rsidR="00C1265D" w:rsidRPr="00C1265D" w14:paraId="2F217D79" w14:textId="77777777" w:rsidTr="00207934">
        <w:trPr>
          <w:jc w:val="center"/>
        </w:trPr>
        <w:tc>
          <w:tcPr>
            <w:tcW w:w="2458" w:type="dxa"/>
            <w:tcBorders>
              <w:bottom w:val="single" w:sz="4" w:space="0" w:color="auto"/>
            </w:tcBorders>
          </w:tcPr>
          <w:p w14:paraId="73FBC14B" w14:textId="77777777" w:rsidR="00C1265D" w:rsidRPr="00C1265D" w:rsidRDefault="00C1265D" w:rsidP="00207934">
            <w:pPr>
              <w:spacing w:before="60" w:after="60"/>
              <w:rPr>
                <w:rFonts w:ascii="Times New Roman" w:hAnsi="Times New Roman" w:cs="Times New Roman"/>
                <w:sz w:val="20"/>
                <w:szCs w:val="20"/>
                <w:lang w:val="en-GB"/>
              </w:rPr>
            </w:pPr>
            <w:r w:rsidRPr="00C1265D">
              <w:rPr>
                <w:rFonts w:ascii="Times New Roman" w:hAnsi="Times New Roman" w:cs="Times New Roman"/>
                <w:sz w:val="20"/>
                <w:szCs w:val="20"/>
                <w:lang w:val="en-GB"/>
              </w:rPr>
              <w:t>Non-porous silica</w:t>
            </w:r>
          </w:p>
        </w:tc>
        <w:tc>
          <w:tcPr>
            <w:tcW w:w="1086" w:type="dxa"/>
            <w:tcBorders>
              <w:bottom w:val="single" w:sz="4" w:space="0" w:color="auto"/>
            </w:tcBorders>
          </w:tcPr>
          <w:p w14:paraId="1C33464C" w14:textId="77777777" w:rsidR="00C1265D" w:rsidRPr="00C1265D" w:rsidRDefault="00C1265D" w:rsidP="00207934">
            <w:pPr>
              <w:spacing w:before="60" w:after="60"/>
              <w:rPr>
                <w:rFonts w:ascii="Times New Roman" w:hAnsi="Times New Roman" w:cs="Times New Roman"/>
                <w:sz w:val="20"/>
                <w:szCs w:val="20"/>
                <w:lang w:val="en-GB"/>
              </w:rPr>
            </w:pPr>
            <w:r w:rsidRPr="00C1265D">
              <w:rPr>
                <w:rFonts w:ascii="Times New Roman" w:hAnsi="Times New Roman" w:cs="Times New Roman"/>
                <w:sz w:val="20"/>
                <w:szCs w:val="20"/>
                <w:lang w:val="en-GB"/>
              </w:rPr>
              <w:t>MB</w:t>
            </w:r>
          </w:p>
        </w:tc>
        <w:tc>
          <w:tcPr>
            <w:tcW w:w="992" w:type="dxa"/>
            <w:tcBorders>
              <w:bottom w:val="single" w:sz="4" w:space="0" w:color="auto"/>
            </w:tcBorders>
          </w:tcPr>
          <w:p w14:paraId="761C8262" w14:textId="77777777" w:rsidR="00C1265D" w:rsidRPr="00C1265D" w:rsidRDefault="00C1265D" w:rsidP="00207934">
            <w:pPr>
              <w:spacing w:before="60" w:after="60"/>
              <w:rPr>
                <w:rFonts w:ascii="Times New Roman" w:hAnsi="Times New Roman" w:cs="Times New Roman"/>
                <w:sz w:val="20"/>
                <w:szCs w:val="20"/>
                <w:lang w:val="en-GB"/>
              </w:rPr>
            </w:pPr>
            <w:r w:rsidRPr="00C1265D">
              <w:rPr>
                <w:rFonts w:ascii="Times New Roman" w:hAnsi="Times New Roman" w:cs="Times New Roman"/>
                <w:sz w:val="20"/>
                <w:szCs w:val="20"/>
                <w:lang w:val="en-GB"/>
              </w:rPr>
              <w:t>-</w:t>
            </w:r>
          </w:p>
        </w:tc>
        <w:tc>
          <w:tcPr>
            <w:tcW w:w="2514" w:type="dxa"/>
            <w:tcBorders>
              <w:bottom w:val="single" w:sz="4" w:space="0" w:color="auto"/>
            </w:tcBorders>
          </w:tcPr>
          <w:p w14:paraId="3EC2F352" w14:textId="5041EC7B" w:rsidR="00C1265D" w:rsidRPr="00C1265D" w:rsidRDefault="00C1265D" w:rsidP="00207934">
            <w:pPr>
              <w:spacing w:before="60" w:after="6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9.5</w:t>
            </w:r>
          </w:p>
        </w:tc>
        <w:tc>
          <w:tcPr>
            <w:tcW w:w="1976" w:type="dxa"/>
            <w:tcBorders>
              <w:bottom w:val="single" w:sz="4" w:space="0" w:color="auto"/>
            </w:tcBorders>
          </w:tcPr>
          <w:p w14:paraId="57FD653B" w14:textId="77777777" w:rsidR="00C1265D" w:rsidRPr="00C1265D" w:rsidRDefault="00C1265D" w:rsidP="00207934">
            <w:pPr>
              <w:spacing w:before="60" w:after="60"/>
              <w:rPr>
                <w:rFonts w:ascii="Times New Roman" w:hAnsi="Times New Roman" w:cs="Times New Roman"/>
                <w:sz w:val="20"/>
                <w:szCs w:val="20"/>
                <w:lang w:val="en-GB"/>
              </w:rPr>
            </w:pPr>
            <w:r w:rsidRPr="00C1265D">
              <w:rPr>
                <w:rFonts w:ascii="Times New Roman" w:hAnsi="Times New Roman" w:cs="Times New Roman"/>
                <w:sz w:val="20"/>
                <w:szCs w:val="20"/>
                <w:lang w:val="en-GB"/>
              </w:rPr>
              <w:t>[70]</w:t>
            </w:r>
          </w:p>
        </w:tc>
      </w:tr>
    </w:tbl>
    <w:p w14:paraId="41641AD8" w14:textId="77777777" w:rsidR="00C1265D" w:rsidRPr="00C1265D" w:rsidRDefault="00C1265D" w:rsidP="00C1265D">
      <w:pPr>
        <w:spacing w:after="0"/>
        <w:jc w:val="both"/>
        <w:rPr>
          <w:rFonts w:ascii="Times New Roman" w:hAnsi="Times New Roman"/>
          <w:sz w:val="20"/>
          <w:szCs w:val="20"/>
          <w:lang w:val="en-GB"/>
        </w:rPr>
      </w:pPr>
      <w:r w:rsidRPr="00C1265D">
        <w:rPr>
          <w:rFonts w:ascii="Times New Roman" w:hAnsi="Times New Roman"/>
          <w:sz w:val="20"/>
          <w:szCs w:val="20"/>
          <w:lang w:val="en-GB"/>
        </w:rPr>
        <w:t xml:space="preserve"> </w:t>
      </w:r>
    </w:p>
    <w:p w14:paraId="3C5E86C6" w14:textId="6284E20E" w:rsidR="00207934" w:rsidRPr="00C1265D" w:rsidRDefault="00207934" w:rsidP="00207934">
      <w:pPr>
        <w:spacing w:after="120"/>
        <w:jc w:val="center"/>
        <w:rPr>
          <w:rFonts w:ascii="Times New Roman" w:hAnsi="Times New Roman"/>
          <w:sz w:val="20"/>
          <w:szCs w:val="20"/>
          <w:lang w:val="en-GB"/>
        </w:rPr>
      </w:pPr>
      <w:r w:rsidRPr="00C1265D">
        <w:rPr>
          <w:rFonts w:ascii="Times New Roman" w:hAnsi="Times New Roman"/>
          <w:sz w:val="20"/>
          <w:szCs w:val="20"/>
          <w:lang w:val="en-GB"/>
        </w:rPr>
        <w:lastRenderedPageBreak/>
        <w:t>Table 1</w:t>
      </w:r>
      <w:r>
        <w:rPr>
          <w:rFonts w:ascii="Times New Roman" w:hAnsi="Times New Roman"/>
          <w:sz w:val="20"/>
          <w:szCs w:val="20"/>
          <w:lang w:val="en-GB"/>
        </w:rPr>
        <w:t xml:space="preserve"> (cont’d)</w:t>
      </w:r>
      <w:r w:rsidRPr="00C1265D">
        <w:rPr>
          <w:rFonts w:ascii="Times New Roman" w:hAnsi="Times New Roman"/>
          <w:sz w:val="20"/>
          <w:szCs w:val="20"/>
          <w:lang w:val="en-GB"/>
        </w:rPr>
        <w:t xml:space="preserve">. </w:t>
      </w:r>
      <w:r>
        <w:rPr>
          <w:rFonts w:ascii="Times New Roman" w:hAnsi="Times New Roman"/>
          <w:sz w:val="20"/>
          <w:szCs w:val="20"/>
          <w:lang w:val="en-GB"/>
        </w:rPr>
        <w:t xml:space="preserve"> </w:t>
      </w:r>
      <w:r w:rsidRPr="00C1265D">
        <w:rPr>
          <w:rFonts w:ascii="Times New Roman" w:hAnsi="Times New Roman"/>
          <w:sz w:val="20"/>
          <w:szCs w:val="20"/>
          <w:lang w:val="en-GB"/>
        </w:rPr>
        <w:t>Maximum adsorption capacity of MO and MB using other types of adsorbents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1086"/>
        <w:gridCol w:w="992"/>
        <w:gridCol w:w="2514"/>
        <w:gridCol w:w="1976"/>
      </w:tblGrid>
      <w:tr w:rsidR="00207934" w:rsidRPr="00C1265D" w14:paraId="683AFA54" w14:textId="77777777" w:rsidTr="005514FE">
        <w:trPr>
          <w:jc w:val="center"/>
        </w:trPr>
        <w:tc>
          <w:tcPr>
            <w:tcW w:w="2458" w:type="dxa"/>
            <w:tcBorders>
              <w:top w:val="single" w:sz="4" w:space="0" w:color="auto"/>
              <w:bottom w:val="single" w:sz="4" w:space="0" w:color="auto"/>
            </w:tcBorders>
          </w:tcPr>
          <w:p w14:paraId="11652B01" w14:textId="77777777" w:rsidR="00207934" w:rsidRPr="00C1265D" w:rsidRDefault="00207934" w:rsidP="005514FE">
            <w:pPr>
              <w:spacing w:after="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Mesoporous Silica Adsorbent</w:t>
            </w:r>
          </w:p>
        </w:tc>
        <w:tc>
          <w:tcPr>
            <w:tcW w:w="1086" w:type="dxa"/>
            <w:tcBorders>
              <w:top w:val="single" w:sz="4" w:space="0" w:color="auto"/>
              <w:bottom w:val="single" w:sz="4" w:space="0" w:color="auto"/>
            </w:tcBorders>
          </w:tcPr>
          <w:p w14:paraId="712F8D5E" w14:textId="77777777" w:rsidR="00207934" w:rsidRPr="00C1265D" w:rsidRDefault="00207934" w:rsidP="005514FE">
            <w:pPr>
              <w:spacing w:before="60" w:after="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Dyes</w:t>
            </w:r>
          </w:p>
        </w:tc>
        <w:tc>
          <w:tcPr>
            <w:tcW w:w="992" w:type="dxa"/>
            <w:tcBorders>
              <w:top w:val="single" w:sz="4" w:space="0" w:color="auto"/>
              <w:bottom w:val="single" w:sz="4" w:space="0" w:color="auto"/>
            </w:tcBorders>
          </w:tcPr>
          <w:p w14:paraId="484F3E58" w14:textId="77777777" w:rsidR="00207934" w:rsidRPr="00C1265D" w:rsidRDefault="00207934" w:rsidP="005514FE">
            <w:pPr>
              <w:spacing w:before="60" w:after="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pH</w:t>
            </w:r>
          </w:p>
        </w:tc>
        <w:tc>
          <w:tcPr>
            <w:tcW w:w="2514" w:type="dxa"/>
            <w:tcBorders>
              <w:top w:val="single" w:sz="4" w:space="0" w:color="auto"/>
              <w:bottom w:val="single" w:sz="4" w:space="0" w:color="auto"/>
            </w:tcBorders>
          </w:tcPr>
          <w:p w14:paraId="23177EBA" w14:textId="77777777" w:rsidR="00207934" w:rsidRPr="00C1265D" w:rsidRDefault="00207934" w:rsidP="005514FE">
            <w:pPr>
              <w:spacing w:before="60" w:after="60"/>
              <w:jc w:val="center"/>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Maximum Adsorption Capacities, (mg/g)</w:t>
            </w:r>
          </w:p>
        </w:tc>
        <w:tc>
          <w:tcPr>
            <w:tcW w:w="1976" w:type="dxa"/>
            <w:tcBorders>
              <w:top w:val="single" w:sz="4" w:space="0" w:color="auto"/>
              <w:bottom w:val="single" w:sz="4" w:space="0" w:color="auto"/>
            </w:tcBorders>
          </w:tcPr>
          <w:p w14:paraId="5765675B" w14:textId="77777777" w:rsidR="00207934" w:rsidRPr="00C1265D" w:rsidRDefault="00207934" w:rsidP="005514FE">
            <w:pPr>
              <w:spacing w:before="60" w:after="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References</w:t>
            </w:r>
          </w:p>
        </w:tc>
      </w:tr>
      <w:tr w:rsidR="00207934" w:rsidRPr="00C1265D" w14:paraId="578417C5" w14:textId="77777777" w:rsidTr="005514FE">
        <w:trPr>
          <w:jc w:val="center"/>
        </w:trPr>
        <w:tc>
          <w:tcPr>
            <w:tcW w:w="2458" w:type="dxa"/>
          </w:tcPr>
          <w:p w14:paraId="624798AE"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Green iron oxides/MCM-41</w:t>
            </w:r>
          </w:p>
        </w:tc>
        <w:tc>
          <w:tcPr>
            <w:tcW w:w="1086" w:type="dxa"/>
          </w:tcPr>
          <w:p w14:paraId="6FB93874"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MO</w:t>
            </w:r>
          </w:p>
        </w:tc>
        <w:tc>
          <w:tcPr>
            <w:tcW w:w="992" w:type="dxa"/>
          </w:tcPr>
          <w:p w14:paraId="2FB7B3E7"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4.5</w:t>
            </w:r>
          </w:p>
        </w:tc>
        <w:tc>
          <w:tcPr>
            <w:tcW w:w="2514" w:type="dxa"/>
          </w:tcPr>
          <w:p w14:paraId="357D5ED7" w14:textId="77777777" w:rsidR="00207934" w:rsidRPr="00C1265D" w:rsidRDefault="00207934" w:rsidP="005514FE">
            <w:pPr>
              <w:spacing w:before="60"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1.9</w:t>
            </w:r>
          </w:p>
        </w:tc>
        <w:tc>
          <w:tcPr>
            <w:tcW w:w="1976" w:type="dxa"/>
          </w:tcPr>
          <w:p w14:paraId="25AC213E"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[71]</w:t>
            </w:r>
          </w:p>
        </w:tc>
      </w:tr>
      <w:tr w:rsidR="00207934" w:rsidRPr="00C1265D" w14:paraId="190394A8" w14:textId="77777777" w:rsidTr="005514FE">
        <w:trPr>
          <w:trHeight w:val="108"/>
          <w:jc w:val="center"/>
        </w:trPr>
        <w:tc>
          <w:tcPr>
            <w:tcW w:w="2458" w:type="dxa"/>
            <w:vMerge w:val="restart"/>
          </w:tcPr>
          <w:p w14:paraId="0190CF04"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Calcined magnesite</w:t>
            </w:r>
          </w:p>
        </w:tc>
        <w:tc>
          <w:tcPr>
            <w:tcW w:w="1086" w:type="dxa"/>
          </w:tcPr>
          <w:p w14:paraId="2B6275E4"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MB</w:t>
            </w:r>
          </w:p>
        </w:tc>
        <w:tc>
          <w:tcPr>
            <w:tcW w:w="992" w:type="dxa"/>
          </w:tcPr>
          <w:p w14:paraId="7B517076"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w:t>
            </w:r>
          </w:p>
        </w:tc>
        <w:tc>
          <w:tcPr>
            <w:tcW w:w="2514" w:type="dxa"/>
          </w:tcPr>
          <w:p w14:paraId="7E5452E4" w14:textId="77777777" w:rsidR="00207934" w:rsidRPr="00C1265D" w:rsidRDefault="00207934" w:rsidP="005514FE">
            <w:pPr>
              <w:spacing w:before="60"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0.39</w:t>
            </w:r>
          </w:p>
        </w:tc>
        <w:tc>
          <w:tcPr>
            <w:tcW w:w="1976" w:type="dxa"/>
            <w:vMerge w:val="restart"/>
          </w:tcPr>
          <w:p w14:paraId="03FCEC58"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[72]</w:t>
            </w:r>
          </w:p>
        </w:tc>
      </w:tr>
      <w:tr w:rsidR="00207934" w:rsidRPr="00C1265D" w14:paraId="01482424" w14:textId="77777777" w:rsidTr="005514FE">
        <w:trPr>
          <w:trHeight w:val="120"/>
          <w:jc w:val="center"/>
        </w:trPr>
        <w:tc>
          <w:tcPr>
            <w:tcW w:w="2458" w:type="dxa"/>
            <w:vMerge/>
          </w:tcPr>
          <w:p w14:paraId="396ABCB6" w14:textId="77777777" w:rsidR="00207934" w:rsidRPr="00C1265D" w:rsidRDefault="00207934" w:rsidP="005514FE">
            <w:pPr>
              <w:spacing w:after="0"/>
              <w:rPr>
                <w:rFonts w:ascii="Times New Roman" w:hAnsi="Times New Roman" w:cs="Times New Roman"/>
                <w:sz w:val="20"/>
                <w:szCs w:val="20"/>
                <w:lang w:val="en-GB"/>
              </w:rPr>
            </w:pPr>
          </w:p>
        </w:tc>
        <w:tc>
          <w:tcPr>
            <w:tcW w:w="1086" w:type="dxa"/>
          </w:tcPr>
          <w:p w14:paraId="4ED65720" w14:textId="77777777" w:rsidR="00207934" w:rsidRPr="00C1265D" w:rsidRDefault="00207934" w:rsidP="005514FE">
            <w:pPr>
              <w:spacing w:after="0"/>
              <w:rPr>
                <w:rFonts w:ascii="Times New Roman" w:hAnsi="Times New Roman" w:cs="Times New Roman"/>
                <w:sz w:val="20"/>
                <w:szCs w:val="20"/>
                <w:lang w:val="en-GB"/>
              </w:rPr>
            </w:pPr>
            <w:r w:rsidRPr="00C1265D">
              <w:rPr>
                <w:rFonts w:ascii="Times New Roman" w:hAnsi="Times New Roman" w:cs="Times New Roman"/>
                <w:sz w:val="20"/>
                <w:szCs w:val="20"/>
                <w:lang w:val="en-GB"/>
              </w:rPr>
              <w:t>MO</w:t>
            </w:r>
          </w:p>
        </w:tc>
        <w:tc>
          <w:tcPr>
            <w:tcW w:w="992" w:type="dxa"/>
          </w:tcPr>
          <w:p w14:paraId="0FD94BA2" w14:textId="77777777" w:rsidR="00207934" w:rsidRPr="00C1265D" w:rsidRDefault="00207934" w:rsidP="005514FE">
            <w:pPr>
              <w:spacing w:after="0"/>
              <w:rPr>
                <w:rFonts w:ascii="Times New Roman" w:hAnsi="Times New Roman" w:cs="Times New Roman"/>
                <w:sz w:val="20"/>
                <w:szCs w:val="20"/>
                <w:lang w:val="en-GB"/>
              </w:rPr>
            </w:pPr>
            <w:r w:rsidRPr="00C1265D">
              <w:rPr>
                <w:rFonts w:ascii="Times New Roman" w:hAnsi="Times New Roman" w:cs="Times New Roman"/>
                <w:sz w:val="20"/>
                <w:szCs w:val="20"/>
                <w:lang w:val="en-GB"/>
              </w:rPr>
              <w:t>-</w:t>
            </w:r>
          </w:p>
        </w:tc>
        <w:tc>
          <w:tcPr>
            <w:tcW w:w="2514" w:type="dxa"/>
          </w:tcPr>
          <w:p w14:paraId="1E3733A3" w14:textId="77777777" w:rsidR="00207934" w:rsidRPr="00C1265D" w:rsidRDefault="00207934" w:rsidP="005514FE">
            <w:pPr>
              <w:spacing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0.64</w:t>
            </w:r>
          </w:p>
        </w:tc>
        <w:tc>
          <w:tcPr>
            <w:tcW w:w="1976" w:type="dxa"/>
            <w:vMerge/>
          </w:tcPr>
          <w:p w14:paraId="46C4A704" w14:textId="77777777" w:rsidR="00207934" w:rsidRPr="00C1265D" w:rsidRDefault="00207934" w:rsidP="005514FE">
            <w:pPr>
              <w:spacing w:after="0"/>
              <w:rPr>
                <w:rFonts w:ascii="Times New Roman" w:hAnsi="Times New Roman" w:cs="Times New Roman"/>
                <w:sz w:val="20"/>
                <w:szCs w:val="20"/>
                <w:lang w:val="en-GB"/>
              </w:rPr>
            </w:pPr>
          </w:p>
        </w:tc>
      </w:tr>
      <w:tr w:rsidR="00207934" w:rsidRPr="00C1265D" w14:paraId="5E6068A4" w14:textId="77777777" w:rsidTr="005514FE">
        <w:trPr>
          <w:jc w:val="center"/>
        </w:trPr>
        <w:tc>
          <w:tcPr>
            <w:tcW w:w="2458" w:type="dxa"/>
          </w:tcPr>
          <w:p w14:paraId="479F2AD5"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Zinc metal organic frameworks</w:t>
            </w:r>
          </w:p>
        </w:tc>
        <w:tc>
          <w:tcPr>
            <w:tcW w:w="1086" w:type="dxa"/>
          </w:tcPr>
          <w:p w14:paraId="403AF83C"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MB</w:t>
            </w:r>
          </w:p>
        </w:tc>
        <w:tc>
          <w:tcPr>
            <w:tcW w:w="992" w:type="dxa"/>
          </w:tcPr>
          <w:p w14:paraId="3151E659"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w:t>
            </w:r>
          </w:p>
        </w:tc>
        <w:tc>
          <w:tcPr>
            <w:tcW w:w="2514" w:type="dxa"/>
          </w:tcPr>
          <w:p w14:paraId="2DFEA1ED" w14:textId="77777777" w:rsidR="00207934" w:rsidRPr="00C1265D" w:rsidRDefault="00207934" w:rsidP="005514FE">
            <w:pPr>
              <w:spacing w:before="60"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0.75</w:t>
            </w:r>
          </w:p>
        </w:tc>
        <w:tc>
          <w:tcPr>
            <w:tcW w:w="1976" w:type="dxa"/>
          </w:tcPr>
          <w:p w14:paraId="1C96C06A"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[73]</w:t>
            </w:r>
          </w:p>
        </w:tc>
      </w:tr>
      <w:tr w:rsidR="00207934" w:rsidRPr="00C1265D" w14:paraId="5C331450" w14:textId="77777777" w:rsidTr="005514FE">
        <w:trPr>
          <w:jc w:val="center"/>
        </w:trPr>
        <w:tc>
          <w:tcPr>
            <w:tcW w:w="2458" w:type="dxa"/>
          </w:tcPr>
          <w:p w14:paraId="339B3605"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Brazil nut shells</w:t>
            </w:r>
          </w:p>
        </w:tc>
        <w:tc>
          <w:tcPr>
            <w:tcW w:w="1086" w:type="dxa"/>
          </w:tcPr>
          <w:p w14:paraId="64741A82"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MB</w:t>
            </w:r>
          </w:p>
        </w:tc>
        <w:tc>
          <w:tcPr>
            <w:tcW w:w="992" w:type="dxa"/>
          </w:tcPr>
          <w:p w14:paraId="5529CC03"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7.0 -10.0</w:t>
            </w:r>
          </w:p>
        </w:tc>
        <w:tc>
          <w:tcPr>
            <w:tcW w:w="2514" w:type="dxa"/>
          </w:tcPr>
          <w:p w14:paraId="3F846050" w14:textId="77777777" w:rsidR="00207934" w:rsidRPr="00C1265D" w:rsidRDefault="00207934" w:rsidP="005514FE">
            <w:pPr>
              <w:spacing w:before="60"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7.81</w:t>
            </w:r>
          </w:p>
        </w:tc>
        <w:tc>
          <w:tcPr>
            <w:tcW w:w="1976" w:type="dxa"/>
          </w:tcPr>
          <w:p w14:paraId="546FB301"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[74]</w:t>
            </w:r>
          </w:p>
        </w:tc>
      </w:tr>
      <w:tr w:rsidR="00207934" w:rsidRPr="00C1265D" w14:paraId="73DC575A" w14:textId="77777777" w:rsidTr="005514FE">
        <w:trPr>
          <w:jc w:val="center"/>
        </w:trPr>
        <w:tc>
          <w:tcPr>
            <w:tcW w:w="2458" w:type="dxa"/>
          </w:tcPr>
          <w:p w14:paraId="2E9F30EF"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MCM-41</w:t>
            </w:r>
          </w:p>
        </w:tc>
        <w:tc>
          <w:tcPr>
            <w:tcW w:w="1086" w:type="dxa"/>
          </w:tcPr>
          <w:p w14:paraId="2C24FB92"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MO</w:t>
            </w:r>
          </w:p>
        </w:tc>
        <w:tc>
          <w:tcPr>
            <w:tcW w:w="992" w:type="dxa"/>
          </w:tcPr>
          <w:p w14:paraId="21D3D31A"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3.0</w:t>
            </w:r>
          </w:p>
        </w:tc>
        <w:tc>
          <w:tcPr>
            <w:tcW w:w="2514" w:type="dxa"/>
          </w:tcPr>
          <w:p w14:paraId="565655B9" w14:textId="77777777" w:rsidR="00207934" w:rsidRPr="00C1265D" w:rsidRDefault="00207934" w:rsidP="005514FE">
            <w:pPr>
              <w:spacing w:before="60"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4.757</w:t>
            </w:r>
          </w:p>
        </w:tc>
        <w:tc>
          <w:tcPr>
            <w:tcW w:w="1976" w:type="dxa"/>
          </w:tcPr>
          <w:p w14:paraId="49238CC6"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b/>
                <w:bCs/>
                <w:sz w:val="20"/>
                <w:szCs w:val="20"/>
                <w:lang w:val="en-GB"/>
              </w:rPr>
              <w:t>This study</w:t>
            </w:r>
          </w:p>
        </w:tc>
      </w:tr>
      <w:tr w:rsidR="00207934" w:rsidRPr="00C1265D" w14:paraId="620AFA2A" w14:textId="77777777" w:rsidTr="005514FE">
        <w:trPr>
          <w:jc w:val="center"/>
        </w:trPr>
        <w:tc>
          <w:tcPr>
            <w:tcW w:w="2458" w:type="dxa"/>
          </w:tcPr>
          <w:p w14:paraId="67100636"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SBA-15</w:t>
            </w:r>
          </w:p>
        </w:tc>
        <w:tc>
          <w:tcPr>
            <w:tcW w:w="1086" w:type="dxa"/>
          </w:tcPr>
          <w:p w14:paraId="6CCB42D2"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MO</w:t>
            </w:r>
          </w:p>
        </w:tc>
        <w:tc>
          <w:tcPr>
            <w:tcW w:w="992" w:type="dxa"/>
          </w:tcPr>
          <w:p w14:paraId="4CCF6022"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5.0</w:t>
            </w:r>
          </w:p>
        </w:tc>
        <w:tc>
          <w:tcPr>
            <w:tcW w:w="2514" w:type="dxa"/>
          </w:tcPr>
          <w:p w14:paraId="4AA7DD48" w14:textId="77777777" w:rsidR="00207934" w:rsidRPr="00C1265D" w:rsidRDefault="00207934" w:rsidP="005514FE">
            <w:pPr>
              <w:spacing w:before="60"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20.212</w:t>
            </w:r>
          </w:p>
        </w:tc>
        <w:tc>
          <w:tcPr>
            <w:tcW w:w="1976" w:type="dxa"/>
          </w:tcPr>
          <w:p w14:paraId="24E0E056"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b/>
                <w:bCs/>
                <w:sz w:val="20"/>
                <w:szCs w:val="20"/>
                <w:lang w:val="en-GB"/>
              </w:rPr>
              <w:t>This study</w:t>
            </w:r>
          </w:p>
        </w:tc>
      </w:tr>
      <w:tr w:rsidR="00207934" w:rsidRPr="00C1265D" w14:paraId="12AD2753" w14:textId="77777777" w:rsidTr="005514FE">
        <w:trPr>
          <w:jc w:val="center"/>
        </w:trPr>
        <w:tc>
          <w:tcPr>
            <w:tcW w:w="2458" w:type="dxa"/>
          </w:tcPr>
          <w:p w14:paraId="5A2BFC91"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MCM-41</w:t>
            </w:r>
          </w:p>
        </w:tc>
        <w:tc>
          <w:tcPr>
            <w:tcW w:w="1086" w:type="dxa"/>
          </w:tcPr>
          <w:p w14:paraId="64852250"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MB</w:t>
            </w:r>
          </w:p>
        </w:tc>
        <w:tc>
          <w:tcPr>
            <w:tcW w:w="992" w:type="dxa"/>
          </w:tcPr>
          <w:p w14:paraId="62823685"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sz w:val="20"/>
                <w:szCs w:val="20"/>
                <w:lang w:val="en-GB"/>
              </w:rPr>
              <w:t>7.0</w:t>
            </w:r>
          </w:p>
        </w:tc>
        <w:tc>
          <w:tcPr>
            <w:tcW w:w="2514" w:type="dxa"/>
          </w:tcPr>
          <w:p w14:paraId="387275E4" w14:textId="77777777" w:rsidR="00207934" w:rsidRPr="00C1265D" w:rsidRDefault="00207934" w:rsidP="005514FE">
            <w:pPr>
              <w:spacing w:before="60" w:after="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16.00</w:t>
            </w:r>
          </w:p>
        </w:tc>
        <w:tc>
          <w:tcPr>
            <w:tcW w:w="1976" w:type="dxa"/>
          </w:tcPr>
          <w:p w14:paraId="1A21830C" w14:textId="77777777" w:rsidR="00207934" w:rsidRPr="00C1265D" w:rsidRDefault="00207934" w:rsidP="005514FE">
            <w:pPr>
              <w:spacing w:before="60" w:after="0"/>
              <w:rPr>
                <w:rFonts w:ascii="Times New Roman" w:hAnsi="Times New Roman" w:cs="Times New Roman"/>
                <w:sz w:val="20"/>
                <w:szCs w:val="20"/>
                <w:lang w:val="en-GB"/>
              </w:rPr>
            </w:pPr>
            <w:r w:rsidRPr="00C1265D">
              <w:rPr>
                <w:rFonts w:ascii="Times New Roman" w:hAnsi="Times New Roman" w:cs="Times New Roman"/>
                <w:b/>
                <w:bCs/>
                <w:sz w:val="20"/>
                <w:szCs w:val="20"/>
                <w:lang w:val="en-GB"/>
              </w:rPr>
              <w:t>This study</w:t>
            </w:r>
          </w:p>
        </w:tc>
      </w:tr>
      <w:tr w:rsidR="00207934" w:rsidRPr="00C1265D" w14:paraId="4C4B4520" w14:textId="77777777" w:rsidTr="005514FE">
        <w:trPr>
          <w:jc w:val="center"/>
        </w:trPr>
        <w:tc>
          <w:tcPr>
            <w:tcW w:w="2458" w:type="dxa"/>
            <w:tcBorders>
              <w:bottom w:val="single" w:sz="4" w:space="0" w:color="auto"/>
            </w:tcBorders>
          </w:tcPr>
          <w:p w14:paraId="17CA44F7" w14:textId="77777777" w:rsidR="00207934" w:rsidRPr="00C1265D" w:rsidRDefault="00207934" w:rsidP="005514FE">
            <w:pPr>
              <w:spacing w:before="60" w:after="60"/>
              <w:rPr>
                <w:rFonts w:ascii="Times New Roman" w:hAnsi="Times New Roman" w:cs="Times New Roman"/>
                <w:sz w:val="20"/>
                <w:szCs w:val="20"/>
                <w:lang w:val="en-GB"/>
              </w:rPr>
            </w:pPr>
            <w:r w:rsidRPr="00C1265D">
              <w:rPr>
                <w:rFonts w:ascii="Times New Roman" w:hAnsi="Times New Roman" w:cs="Times New Roman"/>
                <w:sz w:val="20"/>
                <w:szCs w:val="20"/>
                <w:lang w:val="en-GB"/>
              </w:rPr>
              <w:t>SBA-15</w:t>
            </w:r>
          </w:p>
        </w:tc>
        <w:tc>
          <w:tcPr>
            <w:tcW w:w="1086" w:type="dxa"/>
            <w:tcBorders>
              <w:bottom w:val="single" w:sz="4" w:space="0" w:color="auto"/>
            </w:tcBorders>
          </w:tcPr>
          <w:p w14:paraId="45C478D8" w14:textId="77777777" w:rsidR="00207934" w:rsidRPr="00C1265D" w:rsidRDefault="00207934" w:rsidP="005514FE">
            <w:pPr>
              <w:spacing w:before="60" w:after="60"/>
              <w:rPr>
                <w:rFonts w:ascii="Times New Roman" w:hAnsi="Times New Roman" w:cs="Times New Roman"/>
                <w:sz w:val="20"/>
                <w:szCs w:val="20"/>
                <w:lang w:val="en-GB"/>
              </w:rPr>
            </w:pPr>
            <w:r w:rsidRPr="00C1265D">
              <w:rPr>
                <w:rFonts w:ascii="Times New Roman" w:hAnsi="Times New Roman" w:cs="Times New Roman"/>
                <w:sz w:val="20"/>
                <w:szCs w:val="20"/>
                <w:lang w:val="en-GB"/>
              </w:rPr>
              <w:t>MB</w:t>
            </w:r>
          </w:p>
        </w:tc>
        <w:tc>
          <w:tcPr>
            <w:tcW w:w="992" w:type="dxa"/>
            <w:tcBorders>
              <w:bottom w:val="single" w:sz="4" w:space="0" w:color="auto"/>
            </w:tcBorders>
          </w:tcPr>
          <w:p w14:paraId="1D5CCA64" w14:textId="77777777" w:rsidR="00207934" w:rsidRPr="00C1265D" w:rsidRDefault="00207934" w:rsidP="005514FE">
            <w:pPr>
              <w:spacing w:before="60" w:after="60"/>
              <w:rPr>
                <w:rFonts w:ascii="Times New Roman" w:hAnsi="Times New Roman" w:cs="Times New Roman"/>
                <w:sz w:val="20"/>
                <w:szCs w:val="20"/>
                <w:lang w:val="en-GB"/>
              </w:rPr>
            </w:pPr>
            <w:r w:rsidRPr="00C1265D">
              <w:rPr>
                <w:rFonts w:ascii="Times New Roman" w:hAnsi="Times New Roman" w:cs="Times New Roman"/>
                <w:sz w:val="20"/>
                <w:szCs w:val="20"/>
                <w:lang w:val="en-GB"/>
              </w:rPr>
              <w:t>11</w:t>
            </w:r>
            <w:r>
              <w:rPr>
                <w:rFonts w:ascii="Times New Roman" w:hAnsi="Times New Roman" w:cs="Times New Roman"/>
                <w:sz w:val="20"/>
                <w:szCs w:val="20"/>
                <w:lang w:val="en-GB"/>
              </w:rPr>
              <w:t>.0</w:t>
            </w:r>
          </w:p>
        </w:tc>
        <w:tc>
          <w:tcPr>
            <w:tcW w:w="2514" w:type="dxa"/>
            <w:tcBorders>
              <w:bottom w:val="single" w:sz="4" w:space="0" w:color="auto"/>
            </w:tcBorders>
          </w:tcPr>
          <w:p w14:paraId="0BCD2297" w14:textId="77777777" w:rsidR="00207934" w:rsidRPr="00C1265D" w:rsidRDefault="00207934" w:rsidP="005514FE">
            <w:pPr>
              <w:spacing w:before="60" w:after="60"/>
              <w:jc w:val="center"/>
              <w:rPr>
                <w:rFonts w:ascii="Times New Roman" w:hAnsi="Times New Roman" w:cs="Times New Roman"/>
                <w:sz w:val="20"/>
                <w:szCs w:val="20"/>
                <w:lang w:val="en-GB"/>
              </w:rPr>
            </w:pPr>
            <w:r w:rsidRPr="00C1265D">
              <w:rPr>
                <w:rFonts w:ascii="Times New Roman" w:hAnsi="Times New Roman" w:cs="Times New Roman"/>
                <w:sz w:val="20"/>
                <w:szCs w:val="20"/>
                <w:lang w:val="en-GB"/>
              </w:rPr>
              <w:t>10.45</w:t>
            </w:r>
          </w:p>
        </w:tc>
        <w:tc>
          <w:tcPr>
            <w:tcW w:w="1976" w:type="dxa"/>
            <w:tcBorders>
              <w:bottom w:val="single" w:sz="4" w:space="0" w:color="auto"/>
            </w:tcBorders>
          </w:tcPr>
          <w:p w14:paraId="57B4C08A" w14:textId="77777777" w:rsidR="00207934" w:rsidRPr="00C1265D" w:rsidRDefault="00207934" w:rsidP="005514FE">
            <w:pPr>
              <w:spacing w:before="60" w:after="60"/>
              <w:rPr>
                <w:rFonts w:ascii="Times New Roman" w:hAnsi="Times New Roman" w:cs="Times New Roman"/>
                <w:b/>
                <w:bCs/>
                <w:sz w:val="20"/>
                <w:szCs w:val="20"/>
                <w:lang w:val="en-GB"/>
              </w:rPr>
            </w:pPr>
            <w:r w:rsidRPr="00C1265D">
              <w:rPr>
                <w:rFonts w:ascii="Times New Roman" w:hAnsi="Times New Roman" w:cs="Times New Roman"/>
                <w:b/>
                <w:bCs/>
                <w:sz w:val="20"/>
                <w:szCs w:val="20"/>
                <w:lang w:val="en-GB"/>
              </w:rPr>
              <w:t>This study</w:t>
            </w:r>
          </w:p>
        </w:tc>
      </w:tr>
    </w:tbl>
    <w:p w14:paraId="3839B0B7" w14:textId="55F8E8D2" w:rsidR="006768E9" w:rsidRDefault="006768E9" w:rsidP="00383C16">
      <w:pPr>
        <w:spacing w:after="0"/>
        <w:jc w:val="center"/>
        <w:rPr>
          <w:rFonts w:ascii="Times New Roman" w:hAnsi="Times New Roman"/>
          <w:noProof/>
          <w:sz w:val="20"/>
          <w:szCs w:val="20"/>
          <w:lang w:bidi="ar-SA"/>
        </w:rPr>
      </w:pPr>
    </w:p>
    <w:p w14:paraId="4908B3D4" w14:textId="77777777" w:rsidR="00F17B79" w:rsidRPr="00383C16" w:rsidRDefault="00F17B79" w:rsidP="00383C16">
      <w:pPr>
        <w:spacing w:after="0"/>
        <w:jc w:val="center"/>
        <w:rPr>
          <w:rFonts w:ascii="Times New Roman" w:hAnsi="Times New Roman"/>
          <w:noProof/>
          <w:sz w:val="20"/>
          <w:szCs w:val="20"/>
          <w:lang w:bidi="ar-SA"/>
        </w:rPr>
      </w:pPr>
    </w:p>
    <w:p w14:paraId="6B56CE47" w14:textId="77777777" w:rsidR="00F17B79" w:rsidRDefault="00F17B79" w:rsidP="00383C16">
      <w:pPr>
        <w:spacing w:after="0"/>
        <w:jc w:val="center"/>
        <w:rPr>
          <w:rFonts w:ascii="Times New Roman" w:hAnsi="Times New Roman"/>
          <w:b/>
          <w:noProof/>
          <w:sz w:val="20"/>
          <w:szCs w:val="20"/>
          <w:lang w:bidi="ar-SA"/>
        </w:rPr>
        <w:sectPr w:rsidR="00F17B79" w:rsidSect="00B71E50">
          <w:footerReference w:type="default" r:id="rId35"/>
          <w:type w:val="continuous"/>
          <w:pgSz w:w="12240" w:h="15840" w:code="1"/>
          <w:pgMar w:top="1800" w:right="1469" w:bottom="1699" w:left="1440" w:header="706" w:footer="706" w:gutter="0"/>
          <w:pgNumType w:start="0"/>
          <w:cols w:space="708"/>
          <w:docGrid w:linePitch="360"/>
        </w:sectPr>
      </w:pPr>
    </w:p>
    <w:p w14:paraId="183D362C" w14:textId="6DE7A94D"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6CCEB1E4" w14:textId="77777777" w:rsidR="00537C8B" w:rsidRPr="002F1747" w:rsidRDefault="00537C8B" w:rsidP="00537C8B">
      <w:pPr>
        <w:spacing w:after="0"/>
        <w:jc w:val="both"/>
        <w:rPr>
          <w:rFonts w:ascii="Times New Roman" w:hAnsi="Times New Roman"/>
          <w:sz w:val="20"/>
          <w:szCs w:val="20"/>
          <w:lang w:val="en-GB"/>
        </w:rPr>
      </w:pPr>
      <w:r w:rsidRPr="002F1747">
        <w:rPr>
          <w:rFonts w:ascii="Times New Roman" w:hAnsi="Times New Roman"/>
          <w:sz w:val="20"/>
          <w:szCs w:val="20"/>
          <w:lang w:val="en-GB"/>
        </w:rPr>
        <w:t>Mesoporous silica MCM-41 and SBA-15 with a specific surface area of 436 m</w:t>
      </w:r>
      <w:r w:rsidRPr="002F1747">
        <w:rPr>
          <w:rFonts w:ascii="Times New Roman" w:hAnsi="Times New Roman"/>
          <w:sz w:val="20"/>
          <w:szCs w:val="20"/>
          <w:vertAlign w:val="superscript"/>
          <w:lang w:val="en-GB"/>
        </w:rPr>
        <w:t>2</w:t>
      </w:r>
      <w:r w:rsidRPr="002F1747">
        <w:rPr>
          <w:rFonts w:ascii="Times New Roman" w:hAnsi="Times New Roman"/>
          <w:sz w:val="20"/>
          <w:szCs w:val="20"/>
          <w:lang w:val="en-GB"/>
        </w:rPr>
        <w:t>/g and 507 m</w:t>
      </w:r>
      <w:r w:rsidRPr="002F1747">
        <w:rPr>
          <w:rFonts w:ascii="Times New Roman" w:hAnsi="Times New Roman"/>
          <w:sz w:val="20"/>
          <w:szCs w:val="20"/>
          <w:vertAlign w:val="superscript"/>
          <w:lang w:val="en-GB"/>
        </w:rPr>
        <w:t>2</w:t>
      </w:r>
      <w:r w:rsidRPr="002F1747">
        <w:rPr>
          <w:rFonts w:ascii="Times New Roman" w:hAnsi="Times New Roman"/>
          <w:sz w:val="20"/>
          <w:szCs w:val="20"/>
          <w:lang w:val="en-GB"/>
        </w:rPr>
        <w:t xml:space="preserve">/g were applied for removal of anionic and cationic dye from an aqueous solution. At optimum conditions, the maximum adsorption capacities of MO using MCM-41 (pH = 3, initial concentration = 60 ppm, contact time = 30 minutes) and SBA-15 (pH = 5, initial concentration = 140 ppm, contact time = 40 minutes) are 4.757 mg/g and 20.212 mg/g respectively. As for the removal of MB, the maximum adsorption capacities obtained by MCM-41 (pH = 7, initial concentration = 80 ppm, contact time = 10 minutes) and SBA-15 (pH = 11, initial concentration = 100 ppm, contact time = 30 minutes) are 16.00 mg/g and 10.45 mg/g respectively. This study showed that the proposed mesoporous silicates removed a considerable amount of MB cationic dye compared to the MO anionic dye. Since cationic dyes contain positive sites, they can interact with the silanol groups and form strong hydrogen bonds for longer retention on the surface of the adsorbents. Besides that, SBA-15 removes MO better compared to MCM-41, which is due to the higher surface area and pore size. The adsorption data for the removal of MO using MCM-41 and SBA-15 fits Langmuir and Freundlich models respectively, while for the removal of MB, both adsorbents fit the </w:t>
      </w:r>
      <w:r w:rsidRPr="002F1747">
        <w:rPr>
          <w:rFonts w:ascii="Times New Roman" w:hAnsi="Times New Roman"/>
          <w:sz w:val="20"/>
          <w:szCs w:val="20"/>
          <w:lang w:val="en-GB"/>
        </w:rPr>
        <w:t>Langmuir model. The adsorption kinetics of MO and MB onto MCM-41 and SBA-15 is best described as pseudo-second-order showing that the adsorption mechanism of MO and MB is chemisorption. It is concluded that MCM-41 and SBA-15 can also be used as adsorbents to efficiently remove the anionic MO and cationic MB from water.</w:t>
      </w:r>
    </w:p>
    <w:p w14:paraId="5B050CCA" w14:textId="77777777" w:rsidR="00537C8B" w:rsidRDefault="00537C8B" w:rsidP="00537C8B">
      <w:pPr>
        <w:spacing w:after="0"/>
        <w:jc w:val="center"/>
        <w:rPr>
          <w:rFonts w:ascii="Times New Roman" w:hAnsi="Times New Roman"/>
          <w:b/>
          <w:bCs/>
          <w:sz w:val="20"/>
          <w:szCs w:val="20"/>
          <w:lang w:val="en-GB"/>
        </w:rPr>
      </w:pPr>
    </w:p>
    <w:p w14:paraId="508B740F" w14:textId="6C5D86B0" w:rsidR="00537C8B" w:rsidRPr="002F1747" w:rsidRDefault="00537C8B" w:rsidP="00537C8B">
      <w:pPr>
        <w:spacing w:after="0"/>
        <w:jc w:val="center"/>
        <w:rPr>
          <w:rFonts w:ascii="Times New Roman" w:hAnsi="Times New Roman"/>
          <w:b/>
          <w:bCs/>
          <w:sz w:val="20"/>
          <w:szCs w:val="20"/>
          <w:lang w:val="en-GB"/>
        </w:rPr>
      </w:pPr>
      <w:r w:rsidRPr="002F1747">
        <w:rPr>
          <w:rFonts w:ascii="Times New Roman" w:hAnsi="Times New Roman"/>
          <w:b/>
          <w:bCs/>
          <w:sz w:val="20"/>
          <w:szCs w:val="20"/>
          <w:lang w:val="en-GB"/>
        </w:rPr>
        <w:t>Acknowledgement</w:t>
      </w:r>
    </w:p>
    <w:p w14:paraId="5D215AFF" w14:textId="6BC88F27" w:rsidR="006768E9" w:rsidRPr="00537C8B" w:rsidRDefault="00537C8B" w:rsidP="00537C8B">
      <w:pPr>
        <w:spacing w:after="0"/>
        <w:jc w:val="both"/>
        <w:rPr>
          <w:rFonts w:ascii="Times New Roman" w:hAnsi="Times New Roman"/>
          <w:sz w:val="20"/>
          <w:szCs w:val="20"/>
          <w:lang w:val="en-GB"/>
        </w:rPr>
      </w:pPr>
      <w:r w:rsidRPr="002F1747">
        <w:rPr>
          <w:rFonts w:ascii="Times New Roman" w:hAnsi="Times New Roman"/>
          <w:sz w:val="20"/>
          <w:szCs w:val="20"/>
          <w:lang w:val="en-GB"/>
        </w:rPr>
        <w:t>The authors would like to thank Universiti Teknologi MARA for the facilities provided and the Technical Secretariat of the Organization for the Prohibition Chemical Weapons (OPCW) for financial aid through the research grant: 100-TNCPI/INT 16/6/2 (022/2021).</w:t>
      </w: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2754FD2F" w14:textId="77777777" w:rsidR="0075110A" w:rsidRPr="00537C8B" w:rsidRDefault="0075110A" w:rsidP="009E3C55">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Liang, C. Z., Sun, S. P., Li, F. Y., Ong, Y. K. and Chung, T. S. (2014). Treatment of highly concentrated wastewater containing multiple synthetic dyes by a combined process of coagulation/flocculation and nanofiltration. </w:t>
      </w:r>
      <w:r w:rsidRPr="00537C8B">
        <w:rPr>
          <w:rFonts w:ascii="Times New Roman" w:hAnsi="Times New Roman"/>
          <w:i/>
          <w:iCs/>
          <w:sz w:val="20"/>
          <w:szCs w:val="20"/>
        </w:rPr>
        <w:t>Journal of Membrane Science,</w:t>
      </w:r>
      <w:r w:rsidRPr="00537C8B">
        <w:rPr>
          <w:rFonts w:ascii="Times New Roman" w:hAnsi="Times New Roman"/>
          <w:sz w:val="20"/>
          <w:szCs w:val="20"/>
        </w:rPr>
        <w:t xml:space="preserve"> 469: 306-315.</w:t>
      </w:r>
    </w:p>
    <w:p w14:paraId="0281BB56" w14:textId="77777777" w:rsidR="0075110A" w:rsidRPr="00537C8B"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Forster, S. V. and Christie, R. M. (2013). The sifnificance of the introduction of synthetic dyes in the mid 19th century on the democratisation of western fashion. </w:t>
      </w:r>
      <w:r w:rsidRPr="00537C8B">
        <w:rPr>
          <w:rFonts w:ascii="Times New Roman" w:hAnsi="Times New Roman"/>
          <w:i/>
          <w:iCs/>
          <w:sz w:val="20"/>
          <w:szCs w:val="20"/>
        </w:rPr>
        <w:t xml:space="preserve">Journal of the International Colour Association, </w:t>
      </w:r>
      <w:r w:rsidRPr="00537C8B">
        <w:rPr>
          <w:rFonts w:ascii="Times New Roman" w:hAnsi="Times New Roman"/>
          <w:sz w:val="20"/>
          <w:szCs w:val="20"/>
        </w:rPr>
        <w:t xml:space="preserve">11: 1-17. </w:t>
      </w:r>
    </w:p>
    <w:p w14:paraId="45FC7BC1"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lastRenderedPageBreak/>
        <w:t xml:space="preserve">Ratna nd Padhi, B. S. (2012). Pollution due to synthetic dyes toxicity and carcinogenecity studies and remediation. </w:t>
      </w:r>
      <w:r w:rsidRPr="00537C8B">
        <w:rPr>
          <w:rFonts w:ascii="Times New Roman" w:hAnsi="Times New Roman"/>
          <w:i/>
          <w:iCs/>
          <w:sz w:val="20"/>
          <w:szCs w:val="20"/>
        </w:rPr>
        <w:t xml:space="preserve">International Journal of Environmental Sciences, </w:t>
      </w:r>
      <w:r w:rsidRPr="00537C8B">
        <w:rPr>
          <w:rFonts w:ascii="Times New Roman" w:hAnsi="Times New Roman"/>
          <w:sz w:val="20"/>
          <w:szCs w:val="20"/>
        </w:rPr>
        <w:t xml:space="preserve">3(3): 940-947. </w:t>
      </w:r>
    </w:p>
    <w:p w14:paraId="022466B9" w14:textId="77777777" w:rsidR="0075110A" w:rsidRPr="00537C8B"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Kausar, A., Iqbal, M., Javed, A., Aftab, K., Nazli, Z.-i.-H., Bhatti, H. N. and Nouren, S. (2018). Dyes adsorption using clay and modified clay: A review. </w:t>
      </w:r>
      <w:r w:rsidRPr="00537C8B">
        <w:rPr>
          <w:rFonts w:ascii="Times New Roman" w:hAnsi="Times New Roman"/>
          <w:i/>
          <w:iCs/>
          <w:sz w:val="20"/>
          <w:szCs w:val="20"/>
        </w:rPr>
        <w:t xml:space="preserve">Journal of Molecular Liquids, </w:t>
      </w:r>
      <w:r w:rsidRPr="00537C8B">
        <w:rPr>
          <w:rFonts w:ascii="Times New Roman" w:hAnsi="Times New Roman"/>
          <w:sz w:val="20"/>
          <w:szCs w:val="20"/>
        </w:rPr>
        <w:t xml:space="preserve">256: 395-407. </w:t>
      </w:r>
    </w:p>
    <w:p w14:paraId="498575E3" w14:textId="77777777" w:rsidR="0075110A" w:rsidRPr="00537C8B"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Lafi, R. and Hafiane, A. (2016). Removal of methyl orange (MO) from aqueous solution using cationic surfactants modified coffee waste (MCWs). </w:t>
      </w:r>
      <w:r w:rsidRPr="00537C8B">
        <w:rPr>
          <w:rFonts w:ascii="Times New Roman" w:hAnsi="Times New Roman"/>
          <w:i/>
          <w:iCs/>
          <w:sz w:val="20"/>
          <w:szCs w:val="20"/>
        </w:rPr>
        <w:t xml:space="preserve">Journal of the Taiwan Institute of Chemical Engineers, </w:t>
      </w:r>
      <w:r w:rsidRPr="00537C8B">
        <w:rPr>
          <w:rFonts w:ascii="Times New Roman" w:hAnsi="Times New Roman"/>
          <w:sz w:val="20"/>
          <w:szCs w:val="20"/>
        </w:rPr>
        <w:t xml:space="preserve">58: 424-433. </w:t>
      </w:r>
    </w:p>
    <w:p w14:paraId="20086587" w14:textId="77777777" w:rsidR="0075110A" w:rsidRPr="00537C8B"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Elbanna, K., Sarhan, O. M., Khider, M., Elmogy, M., Abulreesh, H. H. and Shaaban, M. R. (2017). Microbiological, histological, and biochemical evidence for the adverse effects of food azo dyes on rats. </w:t>
      </w:r>
      <w:r w:rsidRPr="00537C8B">
        <w:rPr>
          <w:rFonts w:ascii="Times New Roman" w:hAnsi="Times New Roman"/>
          <w:i/>
          <w:iCs/>
          <w:sz w:val="20"/>
          <w:szCs w:val="20"/>
        </w:rPr>
        <w:t xml:space="preserve">Journal of Food and Drug Analysis, </w:t>
      </w:r>
      <w:r w:rsidRPr="00537C8B">
        <w:rPr>
          <w:rFonts w:ascii="Times New Roman" w:hAnsi="Times New Roman"/>
          <w:sz w:val="20"/>
          <w:szCs w:val="20"/>
        </w:rPr>
        <w:t xml:space="preserve">25(3): 667-680. </w:t>
      </w:r>
    </w:p>
    <w:p w14:paraId="7D2BB146" w14:textId="77777777" w:rsidR="0075110A" w:rsidRPr="00537C8B"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Weglarz-Tomczak, E. and Gorecki, L. (2012). Azo dyes-biological activity and synthetic strategy. </w:t>
      </w:r>
      <w:r w:rsidRPr="00537C8B">
        <w:rPr>
          <w:rFonts w:ascii="Times New Roman" w:hAnsi="Times New Roman"/>
          <w:i/>
          <w:iCs/>
          <w:sz w:val="20"/>
          <w:szCs w:val="20"/>
        </w:rPr>
        <w:t xml:space="preserve">Chemik Science-Technique-Market, </w:t>
      </w:r>
      <w:r w:rsidRPr="00537C8B">
        <w:rPr>
          <w:rFonts w:ascii="Times New Roman" w:hAnsi="Times New Roman"/>
          <w:sz w:val="20"/>
          <w:szCs w:val="20"/>
        </w:rPr>
        <w:t xml:space="preserve">66(12): 1298-1307. </w:t>
      </w:r>
    </w:p>
    <w:p w14:paraId="103CC457" w14:textId="77777777" w:rsidR="0075110A" w:rsidRPr="00537C8B"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Percy, A. J., Moore, N. and Chipman, J. K. (1989). Formation of nuclear anomalies in rat intestine by benzidine and its biliary metabolites. </w:t>
      </w:r>
      <w:r w:rsidRPr="00537C8B">
        <w:rPr>
          <w:rFonts w:ascii="Times New Roman" w:hAnsi="Times New Roman"/>
          <w:i/>
          <w:iCs/>
          <w:sz w:val="20"/>
          <w:szCs w:val="20"/>
        </w:rPr>
        <w:t xml:space="preserve">Toxicology, </w:t>
      </w:r>
      <w:r w:rsidRPr="00537C8B">
        <w:rPr>
          <w:rFonts w:ascii="Times New Roman" w:hAnsi="Times New Roman"/>
          <w:sz w:val="20"/>
          <w:szCs w:val="20"/>
        </w:rPr>
        <w:t xml:space="preserve">57: 217-233. </w:t>
      </w:r>
    </w:p>
    <w:p w14:paraId="06450577"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Nasuha, N., Hameed, B. H. and Din, A. T. (2010). Rejected tea as a potential low-cost adsorbent for the removal of methylene blue. </w:t>
      </w:r>
      <w:r w:rsidRPr="00537C8B">
        <w:rPr>
          <w:rFonts w:ascii="Times New Roman" w:hAnsi="Times New Roman"/>
          <w:i/>
          <w:iCs/>
          <w:sz w:val="20"/>
          <w:szCs w:val="20"/>
        </w:rPr>
        <w:t xml:space="preserve">Journal of Hazardous Materials, </w:t>
      </w:r>
      <w:r w:rsidRPr="00537C8B">
        <w:rPr>
          <w:rFonts w:ascii="Times New Roman" w:hAnsi="Times New Roman"/>
          <w:sz w:val="20"/>
          <w:szCs w:val="20"/>
        </w:rPr>
        <w:t xml:space="preserve">175(1-3): 126-132. </w:t>
      </w:r>
    </w:p>
    <w:p w14:paraId="20EF6120" w14:textId="3B131F60" w:rsidR="0075110A"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Rafatullah, M., Sulaiman, O., Hashim, R. and Ahmad, A. (2010). Adsorption of methylene blue on low-cost adsorbents: a review. </w:t>
      </w:r>
      <w:r w:rsidRPr="00537C8B">
        <w:rPr>
          <w:rFonts w:ascii="Times New Roman" w:hAnsi="Times New Roman"/>
          <w:i/>
          <w:iCs/>
          <w:sz w:val="20"/>
          <w:szCs w:val="20"/>
        </w:rPr>
        <w:t>Journal of Hazardous Materials,</w:t>
      </w:r>
      <w:r w:rsidRPr="00537C8B">
        <w:rPr>
          <w:rFonts w:ascii="Times New Roman" w:hAnsi="Times New Roman"/>
          <w:sz w:val="20"/>
          <w:szCs w:val="20"/>
        </w:rPr>
        <w:t xml:space="preserve"> 177(1-3): 70-80. </w:t>
      </w:r>
    </w:p>
    <w:p w14:paraId="67A78628" w14:textId="69FEBE66" w:rsidR="00476162" w:rsidRDefault="00476162" w:rsidP="00476162">
      <w:pPr>
        <w:autoSpaceDE w:val="0"/>
        <w:autoSpaceDN w:val="0"/>
        <w:adjustRightInd w:val="0"/>
        <w:spacing w:after="0"/>
        <w:jc w:val="both"/>
        <w:rPr>
          <w:rFonts w:ascii="Times New Roman" w:hAnsi="Times New Roman"/>
          <w:sz w:val="20"/>
          <w:szCs w:val="20"/>
        </w:rPr>
      </w:pPr>
    </w:p>
    <w:p w14:paraId="1A6DD9A0" w14:textId="282D8ED0" w:rsidR="0075110A" w:rsidRPr="00A07A69" w:rsidRDefault="0075110A" w:rsidP="00A07A69">
      <w:pPr>
        <w:pStyle w:val="ListParagraph"/>
        <w:numPr>
          <w:ilvl w:val="0"/>
          <w:numId w:val="2"/>
        </w:numPr>
        <w:autoSpaceDE w:val="0"/>
        <w:autoSpaceDN w:val="0"/>
        <w:adjustRightInd w:val="0"/>
        <w:spacing w:after="0"/>
        <w:ind w:left="360"/>
        <w:jc w:val="both"/>
        <w:rPr>
          <w:rFonts w:ascii="Times New Roman" w:hAnsi="Times New Roman"/>
          <w:sz w:val="20"/>
          <w:szCs w:val="20"/>
        </w:rPr>
      </w:pPr>
      <w:bookmarkStart w:id="3" w:name="_Hlk64272179"/>
      <w:r w:rsidRPr="00A07A69">
        <w:rPr>
          <w:rFonts w:ascii="Times New Roman" w:hAnsi="Times New Roman"/>
          <w:sz w:val="20"/>
          <w:szCs w:val="20"/>
        </w:rPr>
        <w:t xml:space="preserve">Nidheesh, P. V., Zhou, M. and Oturan, M. A. (2018). An overview on the removal of synthetic dyes from water by electrochemical advanced oxidation processes. </w:t>
      </w:r>
      <w:r w:rsidRPr="00A07A69">
        <w:rPr>
          <w:rFonts w:ascii="Times New Roman" w:hAnsi="Times New Roman"/>
          <w:i/>
          <w:iCs/>
          <w:sz w:val="20"/>
          <w:szCs w:val="20"/>
        </w:rPr>
        <w:t xml:space="preserve">Chemosphere, </w:t>
      </w:r>
      <w:r w:rsidRPr="00A07A69">
        <w:rPr>
          <w:rFonts w:ascii="Times New Roman" w:hAnsi="Times New Roman"/>
          <w:sz w:val="20"/>
          <w:szCs w:val="20"/>
        </w:rPr>
        <w:t xml:space="preserve">197: 210-227. </w:t>
      </w:r>
    </w:p>
    <w:bookmarkEnd w:id="3"/>
    <w:p w14:paraId="0342902B"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Moradi, G., Zinadini, S. and Rajabi, L. (2020). Development of high flux nanofiltration membrane using para-amino benzoate ferroxane nanoparticle for enhanced antifouling behavior and dye removal. </w:t>
      </w:r>
      <w:r w:rsidRPr="00537C8B">
        <w:rPr>
          <w:rFonts w:ascii="Times New Roman" w:hAnsi="Times New Roman"/>
          <w:i/>
          <w:iCs/>
          <w:color w:val="000000"/>
          <w:sz w:val="20"/>
          <w:szCs w:val="20"/>
        </w:rPr>
        <w:t>Process Safety and Environmental Protection</w:t>
      </w:r>
      <w:r w:rsidRPr="00537C8B">
        <w:rPr>
          <w:rFonts w:ascii="Times New Roman" w:hAnsi="Times New Roman"/>
          <w:color w:val="000000"/>
          <w:sz w:val="20"/>
          <w:szCs w:val="20"/>
        </w:rPr>
        <w:t>, 144: 65-78.</w:t>
      </w:r>
    </w:p>
    <w:p w14:paraId="2BA16836"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Hussein, T. K. and Jasim, N. A. (2021). A comparison study between chemical coagulation and electro-coagulation processes for the treatment of wastewater containing reactive blue dye. </w:t>
      </w:r>
      <w:r w:rsidRPr="00537C8B">
        <w:rPr>
          <w:rFonts w:ascii="Times New Roman" w:hAnsi="Times New Roman"/>
          <w:i/>
          <w:iCs/>
          <w:color w:val="000000"/>
          <w:sz w:val="20"/>
          <w:szCs w:val="20"/>
        </w:rPr>
        <w:t xml:space="preserve">Materials Today: Proceedings, </w:t>
      </w:r>
      <w:r w:rsidRPr="00537C8B">
        <w:rPr>
          <w:rFonts w:ascii="Times New Roman" w:hAnsi="Times New Roman"/>
          <w:color w:val="000000"/>
          <w:sz w:val="20"/>
          <w:szCs w:val="20"/>
        </w:rPr>
        <w:t>42(5): 1946-1950.</w:t>
      </w:r>
    </w:p>
    <w:p w14:paraId="6A27A7FF"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Abid, M. F., Zablouk, M. A. and Abid-Alameer, A. M. (2012). Experimental study of dye removal from industrial wastewater by membrane technologies of reverse osmosis and nanofiltration. </w:t>
      </w:r>
      <w:r w:rsidRPr="00537C8B">
        <w:rPr>
          <w:rFonts w:ascii="Times New Roman" w:hAnsi="Times New Roman"/>
          <w:i/>
          <w:iCs/>
          <w:color w:val="000000"/>
          <w:sz w:val="20"/>
          <w:szCs w:val="20"/>
        </w:rPr>
        <w:t>Iranian Journal of Environmental Health Science &amp; Engineering</w:t>
      </w:r>
      <w:r w:rsidRPr="00537C8B">
        <w:rPr>
          <w:rFonts w:ascii="Times New Roman" w:hAnsi="Times New Roman"/>
          <w:color w:val="000000"/>
          <w:sz w:val="20"/>
          <w:szCs w:val="20"/>
        </w:rPr>
        <w:t>, 9(1): 17.</w:t>
      </w:r>
    </w:p>
    <w:p w14:paraId="0E64E451"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Chen, W., Sun, F., Zhu, Z., Min, Z. and Li, W. (2014). Nanoporous SnO2 prepared by a photochemical strategy: Controlling of specific surface area and photocatalytic activity in degradation of dye pollutants. </w:t>
      </w:r>
      <w:r w:rsidRPr="00537C8B">
        <w:rPr>
          <w:rFonts w:ascii="Times New Roman" w:hAnsi="Times New Roman"/>
          <w:i/>
          <w:iCs/>
          <w:color w:val="000000"/>
          <w:sz w:val="20"/>
          <w:szCs w:val="20"/>
        </w:rPr>
        <w:t>Microporous and Mesoporous Materials</w:t>
      </w:r>
      <w:r w:rsidRPr="00537C8B">
        <w:rPr>
          <w:rFonts w:ascii="Times New Roman" w:hAnsi="Times New Roman"/>
          <w:color w:val="000000"/>
          <w:sz w:val="20"/>
          <w:szCs w:val="20"/>
        </w:rPr>
        <w:t>, 186: 65-72.</w:t>
      </w:r>
    </w:p>
    <w:p w14:paraId="4F97A282"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Yang, Z., Asoh, T. A. and Uyama, H. (2019). Removal of cationic or anionic dyes from water using ion exchange cellulose monoliths as adsorbents. </w:t>
      </w:r>
      <w:r w:rsidRPr="00537C8B">
        <w:rPr>
          <w:rFonts w:ascii="Times New Roman" w:hAnsi="Times New Roman"/>
          <w:i/>
          <w:iCs/>
          <w:color w:val="000000"/>
          <w:sz w:val="20"/>
          <w:szCs w:val="20"/>
        </w:rPr>
        <w:t>Bulletin of the Chemical Society of Japan</w:t>
      </w:r>
      <w:r w:rsidRPr="00537C8B">
        <w:rPr>
          <w:rFonts w:ascii="Times New Roman" w:hAnsi="Times New Roman"/>
          <w:color w:val="000000"/>
          <w:sz w:val="20"/>
          <w:szCs w:val="20"/>
        </w:rPr>
        <w:t xml:space="preserve">, 92(9): 1453-1461. </w:t>
      </w:r>
    </w:p>
    <w:p w14:paraId="07424014"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Pathania, D., Sharma, S. and Singh, P. (2013). Removal of methylene blue by adsorption onto activated carbon developed from </w:t>
      </w:r>
      <w:r w:rsidRPr="00537C8B">
        <w:rPr>
          <w:rFonts w:ascii="Times New Roman" w:hAnsi="Times New Roman"/>
          <w:i/>
          <w:iCs/>
          <w:sz w:val="20"/>
          <w:szCs w:val="20"/>
        </w:rPr>
        <w:t>Ficus carica</w:t>
      </w:r>
      <w:r w:rsidRPr="00537C8B">
        <w:rPr>
          <w:rFonts w:ascii="Times New Roman" w:hAnsi="Times New Roman"/>
          <w:sz w:val="20"/>
          <w:szCs w:val="20"/>
        </w:rPr>
        <w:t xml:space="preserve"> bast. </w:t>
      </w:r>
      <w:r w:rsidRPr="00537C8B">
        <w:rPr>
          <w:rFonts w:ascii="Times New Roman" w:hAnsi="Times New Roman"/>
          <w:i/>
          <w:iCs/>
          <w:sz w:val="20"/>
          <w:szCs w:val="20"/>
        </w:rPr>
        <w:t>Arabian Journal of Chemistry,</w:t>
      </w:r>
      <w:r w:rsidRPr="00537C8B">
        <w:rPr>
          <w:rFonts w:ascii="Times New Roman" w:hAnsi="Times New Roman"/>
          <w:sz w:val="20"/>
          <w:szCs w:val="20"/>
        </w:rPr>
        <w:t xml:space="preserve"> 10: S1445-S1451.</w:t>
      </w:r>
    </w:p>
    <w:p w14:paraId="13A0F37E"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Wang, J. and Zhuang, S. (2017). Removal of various pollutants from water and wastewater by modified chitosan adsorbents. </w:t>
      </w:r>
      <w:r w:rsidRPr="00537C8B">
        <w:rPr>
          <w:rFonts w:ascii="Times New Roman" w:hAnsi="Times New Roman"/>
          <w:i/>
          <w:iCs/>
          <w:color w:val="000000"/>
          <w:sz w:val="20"/>
          <w:szCs w:val="20"/>
        </w:rPr>
        <w:t>Critical Reviews in Environmental Science and Technology</w:t>
      </w:r>
      <w:r w:rsidRPr="00537C8B">
        <w:rPr>
          <w:rFonts w:ascii="Times New Roman" w:hAnsi="Times New Roman"/>
          <w:color w:val="000000"/>
          <w:sz w:val="20"/>
          <w:szCs w:val="20"/>
        </w:rPr>
        <w:t xml:space="preserve">, 47(23): 2331-2386. </w:t>
      </w:r>
    </w:p>
    <w:p w14:paraId="20A9F367"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 xml:space="preserve">Abdul Karim, S. K., Lim, S.-F., Chua, D., Shanti Faridah, S. and Puong Ling, L. (2018). Removal of crystal violet and acid green dye in aqueous solution using banana plant-derived sorbents. </w:t>
      </w:r>
      <w:r w:rsidRPr="00537C8B">
        <w:rPr>
          <w:rFonts w:ascii="Times New Roman" w:hAnsi="Times New Roman"/>
          <w:i/>
          <w:iCs/>
          <w:color w:val="000000"/>
          <w:sz w:val="20"/>
          <w:szCs w:val="20"/>
        </w:rPr>
        <w:t>Malaysian Journal of Analytical Sciences</w:t>
      </w:r>
      <w:r w:rsidRPr="00537C8B">
        <w:rPr>
          <w:rFonts w:ascii="Times New Roman" w:hAnsi="Times New Roman"/>
          <w:color w:val="000000"/>
          <w:sz w:val="20"/>
          <w:szCs w:val="20"/>
        </w:rPr>
        <w:t xml:space="preserve">, 22(1): 115-122. </w:t>
      </w:r>
    </w:p>
    <w:p w14:paraId="32EB8CF6" w14:textId="1EE10EE0" w:rsidR="0075110A" w:rsidRPr="00207934"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Sumari, S. M., Hamzah, Z. and Kantasamy, N. (2016). Adsorption of anionic dyes from aqueous solutions by calcined and uncalcined Mg/Al layered double hydroxide. </w:t>
      </w:r>
      <w:r w:rsidRPr="00537C8B">
        <w:rPr>
          <w:rFonts w:ascii="Times New Roman" w:hAnsi="Times New Roman"/>
          <w:i/>
          <w:iCs/>
          <w:color w:val="000000"/>
          <w:sz w:val="20"/>
          <w:szCs w:val="20"/>
        </w:rPr>
        <w:t>Malaysian Journal of Analytical Science</w:t>
      </w:r>
      <w:r w:rsidRPr="00537C8B">
        <w:rPr>
          <w:rFonts w:ascii="Times New Roman" w:hAnsi="Times New Roman"/>
          <w:color w:val="000000"/>
          <w:sz w:val="20"/>
          <w:szCs w:val="20"/>
        </w:rPr>
        <w:t xml:space="preserve">, 20(4), 777-792. </w:t>
      </w:r>
    </w:p>
    <w:p w14:paraId="3B046E68" w14:textId="77777777" w:rsidR="00207934" w:rsidRPr="00207934" w:rsidRDefault="00207934" w:rsidP="00207934">
      <w:pPr>
        <w:spacing w:after="0"/>
        <w:jc w:val="both"/>
        <w:rPr>
          <w:rFonts w:ascii="Times New Roman" w:hAnsi="Times New Roman"/>
          <w:sz w:val="20"/>
          <w:szCs w:val="20"/>
        </w:rPr>
      </w:pPr>
    </w:p>
    <w:p w14:paraId="118B8B58" w14:textId="77777777" w:rsidR="0075110A" w:rsidRPr="00537C8B" w:rsidRDefault="0075110A" w:rsidP="00537C8B">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lastRenderedPageBreak/>
        <w:t>Wang, Y., Zhang, C., Zhao, L., Meng, G., Wu, J. and Liu, Z. (2017). Cellulose-based porous adsorbents with high capacity for methylene blue adsorption from aqueous solutions. </w:t>
      </w:r>
      <w:r w:rsidRPr="00537C8B">
        <w:rPr>
          <w:i/>
          <w:iCs/>
          <w:color w:val="000000"/>
          <w:sz w:val="20"/>
          <w:szCs w:val="20"/>
        </w:rPr>
        <w:t>Fibers and Polymers</w:t>
      </w:r>
      <w:r w:rsidRPr="00537C8B">
        <w:rPr>
          <w:color w:val="000000"/>
          <w:sz w:val="20"/>
          <w:szCs w:val="20"/>
        </w:rPr>
        <w:t xml:space="preserve">, 18(5): 891-899. </w:t>
      </w:r>
    </w:p>
    <w:p w14:paraId="316D5782" w14:textId="77777777" w:rsidR="0075110A" w:rsidRPr="00537C8B" w:rsidRDefault="0075110A" w:rsidP="00537C8B">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Guo, F., Jiang, X., Li, X., Jia, X., Liang, S. and Qian, L. (2020). Synthesis of MgO/Fe</w:t>
      </w:r>
      <w:r w:rsidRPr="00537C8B">
        <w:rPr>
          <w:color w:val="000000"/>
          <w:sz w:val="20"/>
          <w:szCs w:val="20"/>
          <w:vertAlign w:val="subscript"/>
        </w:rPr>
        <w:t>3</w:t>
      </w:r>
      <w:r w:rsidRPr="00537C8B">
        <w:rPr>
          <w:color w:val="000000"/>
          <w:sz w:val="20"/>
          <w:szCs w:val="20"/>
        </w:rPr>
        <w:t>O</w:t>
      </w:r>
      <w:r w:rsidRPr="00537C8B">
        <w:rPr>
          <w:color w:val="000000"/>
          <w:sz w:val="20"/>
          <w:szCs w:val="20"/>
          <w:vertAlign w:val="subscript"/>
        </w:rPr>
        <w:t xml:space="preserve">4 </w:t>
      </w:r>
      <w:r w:rsidRPr="00537C8B">
        <w:rPr>
          <w:color w:val="000000"/>
          <w:sz w:val="20"/>
          <w:szCs w:val="20"/>
        </w:rPr>
        <w:t>nanoparticles embedded activated carbon from biomass for high-efficient adsorption of malachite green. </w:t>
      </w:r>
      <w:r w:rsidRPr="00537C8B">
        <w:rPr>
          <w:i/>
          <w:iCs/>
          <w:color w:val="000000"/>
          <w:sz w:val="20"/>
          <w:szCs w:val="20"/>
        </w:rPr>
        <w:t>Materials Chemistry and Physics</w:t>
      </w:r>
      <w:r w:rsidRPr="00537C8B">
        <w:rPr>
          <w:color w:val="000000"/>
          <w:sz w:val="20"/>
          <w:szCs w:val="20"/>
        </w:rPr>
        <w:t xml:space="preserve">, 240: 122240. </w:t>
      </w:r>
    </w:p>
    <w:p w14:paraId="4AC2D3F8"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Islam, M. A., Ahmed, M. J., Khanday, W. A., Asif, M. and Hameed, B. H. (2017). Mesoporous activated coconut shell-derived hydrochar prepared via hydrothermal carbonization-NaOH activation for methylene blue adsorption. </w:t>
      </w:r>
      <w:r w:rsidRPr="00537C8B">
        <w:rPr>
          <w:rFonts w:ascii="Times New Roman" w:hAnsi="Times New Roman"/>
          <w:i/>
          <w:iCs/>
          <w:color w:val="000000"/>
          <w:sz w:val="20"/>
          <w:szCs w:val="20"/>
        </w:rPr>
        <w:t>Journal of Environmental Management,</w:t>
      </w:r>
      <w:r w:rsidRPr="00537C8B">
        <w:rPr>
          <w:rFonts w:ascii="Times New Roman" w:hAnsi="Times New Roman"/>
          <w:color w:val="000000"/>
          <w:sz w:val="20"/>
          <w:szCs w:val="20"/>
        </w:rPr>
        <w:t xml:space="preserve"> 203: 237-244. </w:t>
      </w:r>
    </w:p>
    <w:p w14:paraId="2F4A9E59" w14:textId="77777777" w:rsidR="0075110A" w:rsidRPr="00537C8B" w:rsidRDefault="0075110A" w:rsidP="00537C8B">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Jiang, C., Wang, X., Qin, D., Da, W., Hou, B., Hao, C. and Wu, J. (2019). Construction of magnetic lignin-based adsorbent and its adsorption properties for dyes. </w:t>
      </w:r>
      <w:r w:rsidRPr="00537C8B">
        <w:rPr>
          <w:i/>
          <w:iCs/>
          <w:color w:val="000000"/>
          <w:sz w:val="20"/>
          <w:szCs w:val="20"/>
        </w:rPr>
        <w:t>Journal of Hazardous Materials</w:t>
      </w:r>
      <w:r w:rsidRPr="00537C8B">
        <w:rPr>
          <w:color w:val="000000"/>
          <w:sz w:val="20"/>
          <w:szCs w:val="20"/>
        </w:rPr>
        <w:t xml:space="preserve">, 369: 50-61. </w:t>
      </w:r>
    </w:p>
    <w:p w14:paraId="5CA97A39"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Kantasamy, N. and Sumari, S. M. (2016). Equilibrium and thermodynamic studies of anionic dyes removal by an anionic clay-layered double hydroxide. </w:t>
      </w:r>
      <w:r w:rsidRPr="00537C8B">
        <w:rPr>
          <w:rFonts w:ascii="Times New Roman" w:hAnsi="Times New Roman"/>
          <w:i/>
          <w:iCs/>
          <w:color w:val="000000"/>
          <w:sz w:val="20"/>
          <w:szCs w:val="20"/>
        </w:rPr>
        <w:t>Malaysian Journal of Analytical Sciences</w:t>
      </w:r>
      <w:r w:rsidRPr="00537C8B">
        <w:rPr>
          <w:rFonts w:ascii="Times New Roman" w:hAnsi="Times New Roman"/>
          <w:color w:val="000000"/>
          <w:sz w:val="20"/>
          <w:szCs w:val="20"/>
        </w:rPr>
        <w:t>, 20(2): 358-364.</w:t>
      </w:r>
    </w:p>
    <w:p w14:paraId="72DDF057" w14:textId="49A5AAAA" w:rsidR="00476162" w:rsidRPr="00207934" w:rsidRDefault="0075110A" w:rsidP="00476162">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Qu, W., He, D., Huang, H., Guo, Y., Tang, Y. and Song, R. J. (2020). Characterization of amino-crosslinked hypromellose and its adsorption characteristics for methyl orange from water. </w:t>
      </w:r>
      <w:r w:rsidRPr="00537C8B">
        <w:rPr>
          <w:i/>
          <w:iCs/>
          <w:color w:val="000000"/>
          <w:sz w:val="20"/>
          <w:szCs w:val="20"/>
        </w:rPr>
        <w:t>Journal of Materials Science</w:t>
      </w:r>
      <w:r w:rsidRPr="00537C8B">
        <w:rPr>
          <w:color w:val="000000"/>
          <w:sz w:val="20"/>
          <w:szCs w:val="20"/>
        </w:rPr>
        <w:t xml:space="preserve">, 55(17): 7268-7282. </w:t>
      </w:r>
    </w:p>
    <w:p w14:paraId="0515A835"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Yang, X. J., Zhang, P., Li, P., Li, Z., Xia, W., Zhang, H., Di, Z., Wang, M., Zhang, H. and Niu, Q. J. (2019). Layered double hydroxide/polyacrylamide nanocomposite hydrogels: Green preparation, rheology and application in methyl orange removal from aqueous solution. </w:t>
      </w:r>
      <w:r w:rsidRPr="00537C8B">
        <w:rPr>
          <w:rFonts w:ascii="Times New Roman" w:hAnsi="Times New Roman"/>
          <w:i/>
          <w:iCs/>
          <w:color w:val="000000"/>
          <w:sz w:val="20"/>
          <w:szCs w:val="20"/>
        </w:rPr>
        <w:t>Journal of Molecular Liquids</w:t>
      </w:r>
      <w:r w:rsidRPr="00537C8B">
        <w:rPr>
          <w:rFonts w:ascii="Times New Roman" w:hAnsi="Times New Roman"/>
          <w:color w:val="000000"/>
          <w:sz w:val="20"/>
          <w:szCs w:val="20"/>
        </w:rPr>
        <w:t xml:space="preserve">, 280: 128-134. </w:t>
      </w:r>
      <w:bookmarkStart w:id="4" w:name="_Hlk66105921"/>
    </w:p>
    <w:p w14:paraId="2AE2AED4" w14:textId="77777777" w:rsidR="0075110A" w:rsidRPr="00537C8B" w:rsidRDefault="0075110A" w:rsidP="00537C8B">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Wang, D., Shen, H., Guo, L., Wang, C. and Fu, F. (2016). Porous BiOBr/Bi2MoO6 heterostructures for highly selective adsorption of methylene blue. </w:t>
      </w:r>
      <w:r w:rsidRPr="00537C8B">
        <w:rPr>
          <w:i/>
          <w:iCs/>
          <w:color w:val="000000"/>
          <w:sz w:val="20"/>
          <w:szCs w:val="20"/>
        </w:rPr>
        <w:t>ACS Omega</w:t>
      </w:r>
      <w:r w:rsidRPr="00537C8B">
        <w:rPr>
          <w:color w:val="000000"/>
          <w:sz w:val="20"/>
          <w:szCs w:val="20"/>
        </w:rPr>
        <w:t>, 1(4): 566-577.</w:t>
      </w:r>
      <w:bookmarkEnd w:id="4"/>
      <w:r w:rsidRPr="00537C8B">
        <w:rPr>
          <w:color w:val="000000"/>
          <w:sz w:val="20"/>
          <w:szCs w:val="20"/>
        </w:rPr>
        <w:t xml:space="preserve"> </w:t>
      </w:r>
    </w:p>
    <w:p w14:paraId="5559CFFC"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Gibson, L. T. (2014). Mesosilica materials and organic pollutant adsorption: part B removal from aqueous solution. </w:t>
      </w:r>
      <w:r w:rsidRPr="00537C8B">
        <w:rPr>
          <w:rFonts w:ascii="Times New Roman" w:hAnsi="Times New Roman"/>
          <w:i/>
          <w:iCs/>
          <w:color w:val="000000"/>
          <w:sz w:val="20"/>
          <w:szCs w:val="20"/>
        </w:rPr>
        <w:t>Chemistry Society Reviews</w:t>
      </w:r>
      <w:r w:rsidRPr="00537C8B">
        <w:rPr>
          <w:rFonts w:ascii="Times New Roman" w:hAnsi="Times New Roman"/>
          <w:color w:val="000000"/>
          <w:sz w:val="20"/>
          <w:szCs w:val="20"/>
        </w:rPr>
        <w:t xml:space="preserve">, 43(15): 5173-5182. </w:t>
      </w:r>
    </w:p>
    <w:p w14:paraId="718CCFA2" w14:textId="77777777" w:rsidR="0075110A" w:rsidRPr="00537C8B" w:rsidRDefault="0075110A" w:rsidP="00537C8B">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Boukoussa, B., Hakiki, A., Moulai, S., Chikh, K., Kherroub, D. E., Bouhadjar, L., Guedal, D., Messaoudi, K., Mokthar, F. and Hamacha, R. (2018). Adsorption behaviors of cationic and anionic dyes from aqueous solution on nanocomposite polypyrrole/SBA-15. </w:t>
      </w:r>
      <w:r w:rsidRPr="00537C8B">
        <w:rPr>
          <w:i/>
          <w:iCs/>
          <w:color w:val="000000"/>
          <w:sz w:val="20"/>
          <w:szCs w:val="20"/>
        </w:rPr>
        <w:t>Journal of Materials Science</w:t>
      </w:r>
      <w:r w:rsidRPr="00537C8B">
        <w:rPr>
          <w:color w:val="000000"/>
          <w:sz w:val="20"/>
          <w:szCs w:val="20"/>
        </w:rPr>
        <w:t xml:space="preserve">, 53(10): 7372-7386. </w:t>
      </w:r>
    </w:p>
    <w:p w14:paraId="420678EE" w14:textId="77777777" w:rsidR="0075110A" w:rsidRPr="00537C8B"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Kresge, C. T., Leonowicz, M. E., Roth, W. J., Vartuli, J. C. and Beck, J. S. (1992). Ordered mesoporous sieves synthesised by a liquid-crystal template mechanism. </w:t>
      </w:r>
      <w:r w:rsidRPr="00537C8B">
        <w:rPr>
          <w:rFonts w:ascii="Times New Roman" w:hAnsi="Times New Roman"/>
          <w:i/>
          <w:iCs/>
          <w:sz w:val="20"/>
          <w:szCs w:val="20"/>
        </w:rPr>
        <w:t xml:space="preserve">Nature, </w:t>
      </w:r>
      <w:r w:rsidRPr="00537C8B">
        <w:rPr>
          <w:rFonts w:ascii="Times New Roman" w:hAnsi="Times New Roman"/>
          <w:sz w:val="20"/>
          <w:szCs w:val="20"/>
        </w:rPr>
        <w:t xml:space="preserve">359: 710-712. </w:t>
      </w:r>
    </w:p>
    <w:p w14:paraId="0D5A1EB3"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Björk, E. M. (2016). Synthesizing and characterizing mesoporous silica SBA-15: A hands-on laboratory experiment for undergraduates using various instrumental techniques. </w:t>
      </w:r>
      <w:r w:rsidRPr="00537C8B">
        <w:rPr>
          <w:rFonts w:ascii="Times New Roman" w:hAnsi="Times New Roman"/>
          <w:i/>
          <w:iCs/>
          <w:color w:val="000000"/>
          <w:sz w:val="20"/>
          <w:szCs w:val="20"/>
        </w:rPr>
        <w:t>Journal of Chemical Education</w:t>
      </w:r>
      <w:r w:rsidRPr="00537C8B">
        <w:rPr>
          <w:rFonts w:ascii="Times New Roman" w:hAnsi="Times New Roman"/>
          <w:color w:val="000000"/>
          <w:sz w:val="20"/>
          <w:szCs w:val="20"/>
        </w:rPr>
        <w:t xml:space="preserve">, 94(1): 91-94. </w:t>
      </w:r>
    </w:p>
    <w:p w14:paraId="55588381" w14:textId="77777777" w:rsidR="0075110A" w:rsidRPr="00537C8B" w:rsidRDefault="0075110A" w:rsidP="00537C8B">
      <w:pPr>
        <w:pStyle w:val="EndNoteandMendelayBibliography"/>
        <w:numPr>
          <w:ilvl w:val="0"/>
          <w:numId w:val="2"/>
        </w:numPr>
        <w:spacing w:line="276" w:lineRule="auto"/>
        <w:ind w:left="360"/>
      </w:pPr>
      <w:r w:rsidRPr="00537C8B">
        <w:t>Sabri, A. A., Albayati, T. M. and Alazawi, R. A. (2015). Synthesis of ordered mesoporous SBA-15 and its adsorption of methylene blue</w:t>
      </w:r>
      <w:r w:rsidRPr="00537C8B">
        <w:rPr>
          <w:i/>
        </w:rPr>
        <w:t xml:space="preserve">. Korean Journal of Chemical Engineering, </w:t>
      </w:r>
      <w:r w:rsidRPr="00537C8B">
        <w:rPr>
          <w:iCs/>
        </w:rPr>
        <w:t>32(9):</w:t>
      </w:r>
      <w:r w:rsidRPr="00537C8B">
        <w:t xml:space="preserve"> 1835-1841.</w:t>
      </w:r>
    </w:p>
    <w:p w14:paraId="3FB9DAD5" w14:textId="77777777" w:rsidR="0075110A" w:rsidRPr="00537C8B" w:rsidRDefault="0075110A" w:rsidP="00537C8B">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Alothman, Z. (2012). A review: Fundamental aspects of silicate mesoporous materials. </w:t>
      </w:r>
      <w:r w:rsidRPr="00537C8B">
        <w:rPr>
          <w:i/>
          <w:iCs/>
          <w:color w:val="000000"/>
          <w:sz w:val="20"/>
          <w:szCs w:val="20"/>
        </w:rPr>
        <w:t>Materials</w:t>
      </w:r>
      <w:r w:rsidRPr="00537C8B">
        <w:rPr>
          <w:color w:val="000000"/>
          <w:sz w:val="20"/>
          <w:szCs w:val="20"/>
        </w:rPr>
        <w:t>, 5(12): 2874-2902.</w:t>
      </w:r>
    </w:p>
    <w:p w14:paraId="580CF797" w14:textId="77777777" w:rsidR="0075110A" w:rsidRPr="00537C8B" w:rsidRDefault="0075110A" w:rsidP="00537C8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Xiao, X., Zhang, F., Feng, Z., Deng, S. and Wang, Y. (2015). Adsorptive removal and kinetics of methylene blue from aqueous solution using NiO/MCM-41 composite. </w:t>
      </w:r>
      <w:r w:rsidRPr="00537C8B">
        <w:rPr>
          <w:rFonts w:ascii="Times New Roman" w:hAnsi="Times New Roman"/>
          <w:i/>
          <w:iCs/>
          <w:sz w:val="20"/>
          <w:szCs w:val="20"/>
        </w:rPr>
        <w:t xml:space="preserve">Physica E: Low-dimensional Systems and Nanostructures, </w:t>
      </w:r>
      <w:r w:rsidRPr="00537C8B">
        <w:rPr>
          <w:rFonts w:ascii="Times New Roman" w:hAnsi="Times New Roman"/>
          <w:sz w:val="20"/>
          <w:szCs w:val="20"/>
        </w:rPr>
        <w:t xml:space="preserve">65: 4-12. </w:t>
      </w:r>
    </w:p>
    <w:p w14:paraId="0483505F"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Diagboya, P. N. E. and Dikio, E. D. (2018). Silica-based mesoporous materials; emerging designer adsorbents for aqueous pollutants removal and water treatment. </w:t>
      </w:r>
      <w:r w:rsidRPr="00537C8B">
        <w:rPr>
          <w:rFonts w:ascii="Times New Roman" w:hAnsi="Times New Roman"/>
          <w:i/>
          <w:iCs/>
          <w:sz w:val="20"/>
          <w:szCs w:val="20"/>
        </w:rPr>
        <w:t xml:space="preserve">Microporous and Mesoporous Materials, </w:t>
      </w:r>
      <w:r w:rsidRPr="00537C8B">
        <w:rPr>
          <w:rFonts w:ascii="Times New Roman" w:hAnsi="Times New Roman"/>
          <w:sz w:val="20"/>
          <w:szCs w:val="20"/>
        </w:rPr>
        <w:t>266: 252-267.</w:t>
      </w:r>
    </w:p>
    <w:p w14:paraId="3CAF114C"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sz w:val="20"/>
          <w:szCs w:val="20"/>
        </w:rPr>
        <w:t xml:space="preserve">Kamaruzaman, S., Sanagi, M. M., Endud, S., Wan Ibrahim, W. A. and Yahaya, N. (2013). MCM-41 solid phase membrane tip extraction combined with liquid chromatography for the determination of non-steroidal anti-inflammatory drugs in human urine. </w:t>
      </w:r>
      <w:r w:rsidRPr="00537C8B">
        <w:rPr>
          <w:rFonts w:ascii="Times New Roman" w:hAnsi="Times New Roman"/>
          <w:i/>
          <w:iCs/>
          <w:sz w:val="20"/>
          <w:szCs w:val="20"/>
        </w:rPr>
        <w:t>Journal of Chromatography B,</w:t>
      </w:r>
      <w:r w:rsidRPr="00537C8B">
        <w:rPr>
          <w:rFonts w:ascii="Times New Roman" w:hAnsi="Times New Roman"/>
          <w:sz w:val="20"/>
          <w:szCs w:val="20"/>
        </w:rPr>
        <w:t xml:space="preserve"> 940: 59-65.</w:t>
      </w:r>
    </w:p>
    <w:p w14:paraId="233760B6"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sz w:val="20"/>
          <w:szCs w:val="20"/>
        </w:rPr>
        <w:lastRenderedPageBreak/>
        <w:t xml:space="preserve">Ab Rahman, N. B., Rashid, H. M., Hassan, H. M. and Jalil, M. N. (2016). Synthesis and characterization of mesoporous silica MCM-41 and SBA-15 from power plant bottom ash. </w:t>
      </w:r>
      <w:r w:rsidRPr="00537C8B">
        <w:rPr>
          <w:rFonts w:ascii="Times New Roman" w:hAnsi="Times New Roman"/>
          <w:i/>
          <w:iCs/>
          <w:sz w:val="20"/>
          <w:szCs w:val="20"/>
        </w:rPr>
        <w:t>Malaysian Journal of Analytical Sciences</w:t>
      </w:r>
      <w:r w:rsidRPr="00537C8B">
        <w:rPr>
          <w:rFonts w:ascii="Times New Roman" w:hAnsi="Times New Roman"/>
          <w:sz w:val="20"/>
          <w:szCs w:val="20"/>
        </w:rPr>
        <w:t>, 20(3): 539-545.</w:t>
      </w:r>
    </w:p>
    <w:p w14:paraId="1E85E044" w14:textId="77777777" w:rsidR="0075110A" w:rsidRPr="00537C8B" w:rsidRDefault="0075110A" w:rsidP="00537C8B">
      <w:pPr>
        <w:pStyle w:val="NormalWeb"/>
        <w:numPr>
          <w:ilvl w:val="0"/>
          <w:numId w:val="2"/>
        </w:numPr>
        <w:spacing w:before="0" w:beforeAutospacing="0" w:after="0" w:afterAutospacing="0" w:line="276" w:lineRule="auto"/>
        <w:ind w:left="360"/>
        <w:jc w:val="both"/>
        <w:rPr>
          <w:color w:val="000000"/>
          <w:sz w:val="20"/>
          <w:szCs w:val="20"/>
        </w:rPr>
      </w:pPr>
      <w:bookmarkStart w:id="5" w:name="_Hlk535309484"/>
      <w:r w:rsidRPr="00537C8B">
        <w:rPr>
          <w:color w:val="000000"/>
          <w:sz w:val="20"/>
          <w:szCs w:val="20"/>
        </w:rPr>
        <w:t>Yuan, N., Cai, H., Liu, T., Huang, Q. and Zhang, X. (2019). Adsorptive removal of methylene blue from aqueous solution using coal fly ash-derived mesoporous silica material. </w:t>
      </w:r>
      <w:r w:rsidRPr="00537C8B">
        <w:rPr>
          <w:i/>
          <w:iCs/>
          <w:color w:val="000000"/>
          <w:sz w:val="20"/>
          <w:szCs w:val="20"/>
        </w:rPr>
        <w:t>Adsorption Science &amp; Technology</w:t>
      </w:r>
      <w:r w:rsidRPr="00537C8B">
        <w:rPr>
          <w:color w:val="000000"/>
          <w:sz w:val="20"/>
          <w:szCs w:val="20"/>
        </w:rPr>
        <w:t xml:space="preserve">, 37(3-4): 333-348. </w:t>
      </w:r>
    </w:p>
    <w:bookmarkEnd w:id="5"/>
    <w:p w14:paraId="10F94262" w14:textId="77777777" w:rsidR="0075110A" w:rsidRPr="00537C8B" w:rsidRDefault="0075110A" w:rsidP="00537C8B">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Rizzi, V., Romanazzi, F., Gubitosa, J., Fini, P., Romita, R., Agostiano, A., Petrella, A., Cosma, P. (2019). Chitosan film as eco-friendly and recyclable bio-adsorbent to remove/recover diclofenac, ketoprofen, and their mixture from wastewater. </w:t>
      </w:r>
      <w:r w:rsidRPr="00537C8B">
        <w:rPr>
          <w:rFonts w:ascii="Times New Roman" w:hAnsi="Times New Roman"/>
          <w:i/>
          <w:iCs/>
          <w:color w:val="000000"/>
          <w:sz w:val="20"/>
          <w:szCs w:val="20"/>
        </w:rPr>
        <w:t>Biomolecules</w:t>
      </w:r>
      <w:r w:rsidRPr="00537C8B">
        <w:rPr>
          <w:rFonts w:ascii="Times New Roman" w:hAnsi="Times New Roman"/>
          <w:color w:val="000000"/>
          <w:sz w:val="20"/>
          <w:szCs w:val="20"/>
        </w:rPr>
        <w:t xml:space="preserve">, 9(10): 571. </w:t>
      </w:r>
    </w:p>
    <w:p w14:paraId="45746D7D" w14:textId="77777777" w:rsidR="0075110A" w:rsidRPr="00537C8B" w:rsidRDefault="0075110A" w:rsidP="00537C8B">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Rizzi, V., Gubitosa, J., Fini, P., Nuzzo, S. and Cosma, P. (2020). Amino-grafted mesoporous MCM-41 and SBA-15 recyclable adsorbents: Desert-rose-petals-like SBA-15 type as the most efficient to remove azo textile dyes and their mixture from water. </w:t>
      </w:r>
      <w:r w:rsidRPr="00537C8B">
        <w:rPr>
          <w:i/>
          <w:iCs/>
          <w:color w:val="000000"/>
          <w:sz w:val="20"/>
          <w:szCs w:val="20"/>
        </w:rPr>
        <w:t>Sustainable Materials and Technologies</w:t>
      </w:r>
      <w:r w:rsidRPr="00537C8B">
        <w:rPr>
          <w:color w:val="000000"/>
          <w:sz w:val="20"/>
          <w:szCs w:val="20"/>
        </w:rPr>
        <w:t xml:space="preserve">, 26: e00231. </w:t>
      </w:r>
    </w:p>
    <w:p w14:paraId="62651E86" w14:textId="77777777" w:rsidR="00207934" w:rsidRDefault="0075110A" w:rsidP="00207934">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Morsi, R. E. and Mohamed, R. S. (2018). Nanostructured mesoporous silica: influence of the preparation conditions on the physical-surface properties for efficient organic dye uptake</w:t>
      </w:r>
      <w:r w:rsidRPr="00537C8B">
        <w:rPr>
          <w:rFonts w:ascii="Times New Roman" w:hAnsi="Times New Roman"/>
          <w:i/>
          <w:sz w:val="20"/>
          <w:szCs w:val="20"/>
        </w:rPr>
        <w:t>. Royal Society Open Science</w:t>
      </w:r>
      <w:r w:rsidRPr="00537C8B">
        <w:rPr>
          <w:rFonts w:ascii="Times New Roman" w:hAnsi="Times New Roman"/>
          <w:sz w:val="20"/>
          <w:szCs w:val="20"/>
        </w:rPr>
        <w:t>, 5(3): 172021.</w:t>
      </w:r>
    </w:p>
    <w:p w14:paraId="482AEFD7" w14:textId="561E45B5" w:rsidR="00207934" w:rsidRPr="00207934" w:rsidRDefault="00207934" w:rsidP="00207934">
      <w:pPr>
        <w:pStyle w:val="ListParagraph"/>
        <w:numPr>
          <w:ilvl w:val="0"/>
          <w:numId w:val="2"/>
        </w:numPr>
        <w:spacing w:after="0"/>
        <w:ind w:left="360"/>
        <w:contextualSpacing w:val="0"/>
        <w:jc w:val="both"/>
        <w:rPr>
          <w:rFonts w:ascii="Times New Roman" w:hAnsi="Times New Roman"/>
          <w:sz w:val="20"/>
          <w:szCs w:val="20"/>
        </w:rPr>
      </w:pPr>
      <w:r w:rsidRPr="00207934">
        <w:rPr>
          <w:rFonts w:ascii="Times New Roman" w:hAnsi="Times New Roman"/>
          <w:sz w:val="20"/>
          <w:szCs w:val="20"/>
        </w:rPr>
        <w:t xml:space="preserve">Shu, Y., Shao, Y., Wei, X., Wang, X., Sun, Q., Zhang, Q. and Li, L. (2015). Synthesis and characterization of Ni-MCM-41 for methyl blue adsorption. </w:t>
      </w:r>
      <w:r w:rsidRPr="00207934">
        <w:rPr>
          <w:rFonts w:ascii="Times New Roman" w:hAnsi="Times New Roman"/>
          <w:i/>
          <w:iCs/>
          <w:sz w:val="20"/>
          <w:szCs w:val="20"/>
        </w:rPr>
        <w:t xml:space="preserve">Microporous and Mesoporous Materials, </w:t>
      </w:r>
      <w:r w:rsidRPr="00207934">
        <w:rPr>
          <w:rFonts w:ascii="Times New Roman" w:hAnsi="Times New Roman"/>
          <w:sz w:val="20"/>
          <w:szCs w:val="20"/>
        </w:rPr>
        <w:t>214: 88-94.</w:t>
      </w:r>
    </w:p>
    <w:p w14:paraId="323FF25C" w14:textId="77777777" w:rsidR="00207934" w:rsidRPr="00537C8B" w:rsidRDefault="00207934" w:rsidP="00207934">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Loganathan, S., Tikmani, M. and Ghoshal, A. K. (2013). A novel pore-expanded MCM-41 for CO</w:t>
      </w:r>
      <w:r w:rsidRPr="00537C8B">
        <w:rPr>
          <w:rFonts w:ascii="Times New Roman" w:hAnsi="Times New Roman"/>
          <w:color w:val="000000"/>
          <w:sz w:val="20"/>
          <w:szCs w:val="20"/>
          <w:vertAlign w:val="subscript"/>
        </w:rPr>
        <w:t>2</w:t>
      </w:r>
      <w:r w:rsidRPr="00537C8B">
        <w:rPr>
          <w:rFonts w:ascii="Times New Roman" w:hAnsi="Times New Roman"/>
          <w:color w:val="000000"/>
          <w:sz w:val="20"/>
          <w:szCs w:val="20"/>
        </w:rPr>
        <w:t xml:space="preserve"> capture: Synthesis and characterization. </w:t>
      </w:r>
      <w:r w:rsidRPr="00537C8B">
        <w:rPr>
          <w:rFonts w:ascii="Times New Roman" w:hAnsi="Times New Roman"/>
          <w:i/>
          <w:iCs/>
          <w:color w:val="000000"/>
          <w:sz w:val="20"/>
          <w:szCs w:val="20"/>
        </w:rPr>
        <w:t>Langmuir</w:t>
      </w:r>
      <w:r w:rsidRPr="00537C8B">
        <w:rPr>
          <w:rFonts w:ascii="Times New Roman" w:hAnsi="Times New Roman"/>
          <w:color w:val="000000"/>
          <w:sz w:val="20"/>
          <w:szCs w:val="20"/>
        </w:rPr>
        <w:t xml:space="preserve">, 29(10): 3491-3499. </w:t>
      </w:r>
    </w:p>
    <w:p w14:paraId="5A41726F" w14:textId="77777777" w:rsidR="00207934" w:rsidRPr="00537C8B" w:rsidRDefault="00207934" w:rsidP="00207934">
      <w:pPr>
        <w:pStyle w:val="EndNoteandMendelayBibliography"/>
        <w:numPr>
          <w:ilvl w:val="0"/>
          <w:numId w:val="2"/>
        </w:numPr>
        <w:spacing w:line="276" w:lineRule="auto"/>
        <w:ind w:left="360"/>
      </w:pPr>
      <w:r w:rsidRPr="00537C8B">
        <w:t>He, R., Wang, Z., Tan, L., Zhong, Y., Li, W., Xing, D., Wei, C. and Tang, Y. (2018). Design and fabrication of highly ordered ion imprinted SBA-15 and MCM-41 mesoporous organosilicas for efficient removal of Ni</w:t>
      </w:r>
      <w:r w:rsidRPr="00537C8B">
        <w:rPr>
          <w:vertAlign w:val="superscript"/>
        </w:rPr>
        <w:t>2+</w:t>
      </w:r>
      <w:r w:rsidRPr="00537C8B">
        <w:t xml:space="preserve"> from different properties of wastewaters. </w:t>
      </w:r>
      <w:r w:rsidRPr="00537C8B">
        <w:rPr>
          <w:i/>
          <w:iCs/>
        </w:rPr>
        <w:t>Microporous and Mesoporous Materials</w:t>
      </w:r>
      <w:r w:rsidRPr="00537C8B">
        <w:t>, 257: 212-221.</w:t>
      </w:r>
    </w:p>
    <w:p w14:paraId="1BD00350" w14:textId="77777777" w:rsidR="00207934" w:rsidRPr="00537C8B" w:rsidRDefault="00207934" w:rsidP="00207934">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Ruthstein, S., Frydman, V., Kababya, S., Landau, M. and Goldfarb, D. (2003). Study of the formation of the mesoporous material SBA-15 by EPR spectroscopy. </w:t>
      </w:r>
      <w:r w:rsidRPr="00537C8B">
        <w:rPr>
          <w:rFonts w:ascii="Times New Roman" w:hAnsi="Times New Roman"/>
          <w:i/>
          <w:iCs/>
          <w:color w:val="000000"/>
          <w:sz w:val="20"/>
          <w:szCs w:val="20"/>
        </w:rPr>
        <w:t>The Journal of Physical Chemistry B</w:t>
      </w:r>
      <w:r w:rsidRPr="00537C8B">
        <w:rPr>
          <w:rFonts w:ascii="Times New Roman" w:hAnsi="Times New Roman"/>
          <w:color w:val="000000"/>
          <w:sz w:val="20"/>
          <w:szCs w:val="20"/>
        </w:rPr>
        <w:t>, 107(8): 1739-1748.</w:t>
      </w:r>
    </w:p>
    <w:p w14:paraId="161BD8A0" w14:textId="77777777" w:rsidR="00207934" w:rsidRPr="00537C8B" w:rsidRDefault="00207934" w:rsidP="00207934">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Ghorbani, F., Habibollah, Y., Mehraban, Z., Çelik, M. S., Ghoreyshi, A. A. and Anbia, M. (2013). Preparation and characterization of highly pure silica from sedge as agricultural waste and its utilization in the synthesis of mesoporous silica MCM-41. </w:t>
      </w:r>
      <w:r w:rsidRPr="00537C8B">
        <w:rPr>
          <w:rFonts w:ascii="Times New Roman" w:hAnsi="Times New Roman"/>
          <w:i/>
          <w:iCs/>
          <w:sz w:val="20"/>
          <w:szCs w:val="20"/>
        </w:rPr>
        <w:t xml:space="preserve">Journal of the Taiwan Institute of Chemical Engineers, </w:t>
      </w:r>
      <w:r w:rsidRPr="00537C8B">
        <w:rPr>
          <w:rFonts w:ascii="Times New Roman" w:hAnsi="Times New Roman"/>
          <w:sz w:val="20"/>
          <w:szCs w:val="20"/>
        </w:rPr>
        <w:t>44(5): 821- 828.</w:t>
      </w:r>
    </w:p>
    <w:p w14:paraId="45522D51" w14:textId="77777777" w:rsidR="00207934" w:rsidRPr="00537C8B" w:rsidRDefault="00207934" w:rsidP="00207934">
      <w:pPr>
        <w:pStyle w:val="ListParagraph"/>
        <w:numPr>
          <w:ilvl w:val="0"/>
          <w:numId w:val="2"/>
        </w:numPr>
        <w:spacing w:after="0"/>
        <w:ind w:left="360"/>
        <w:contextualSpacing w:val="0"/>
        <w:jc w:val="both"/>
        <w:rPr>
          <w:rFonts w:ascii="Times New Roman" w:hAnsi="Times New Roman"/>
          <w:color w:val="000000"/>
          <w:sz w:val="20"/>
          <w:szCs w:val="20"/>
        </w:rPr>
      </w:pPr>
      <w:bookmarkStart w:id="6" w:name="_Hlk64273315"/>
      <w:r w:rsidRPr="00537C8B">
        <w:rPr>
          <w:rFonts w:ascii="Times New Roman" w:hAnsi="Times New Roman"/>
          <w:color w:val="000000"/>
          <w:sz w:val="20"/>
          <w:szCs w:val="20"/>
        </w:rPr>
        <w:t>Veregue, F. R., de Lima, H. H. C., Ribeiro, S. C., Almeida, M. S., da Silva, C. T. P., Guilherme, M. R. and Rinaldi, A. W. (2020). MCM-41/chondroitin sulfate hybrid hydrogels with remarkable mechanical properties and superabsorption of methylene blue. </w:t>
      </w:r>
      <w:r w:rsidRPr="00537C8B">
        <w:rPr>
          <w:rFonts w:ascii="Times New Roman" w:hAnsi="Times New Roman"/>
          <w:i/>
          <w:iCs/>
          <w:color w:val="000000"/>
          <w:sz w:val="20"/>
          <w:szCs w:val="20"/>
        </w:rPr>
        <w:t>Carbohydrate Polymers</w:t>
      </w:r>
      <w:r w:rsidRPr="00537C8B">
        <w:rPr>
          <w:rFonts w:ascii="Times New Roman" w:hAnsi="Times New Roman"/>
          <w:color w:val="000000"/>
          <w:sz w:val="20"/>
          <w:szCs w:val="20"/>
        </w:rPr>
        <w:t xml:space="preserve">, 247: 116558. </w:t>
      </w:r>
    </w:p>
    <w:p w14:paraId="7CA1694B" w14:textId="77777777" w:rsidR="00207934" w:rsidRPr="00537C8B" w:rsidRDefault="00207934" w:rsidP="00207934">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Akpotu, S. O. and Moodley, B. (2018). Application of as-synthesised MCM-41 and MCM-41 wrapped with reduced graphene oxide/graphene oxide in the remediation of acetaminophen and aspirin from aqueous system. </w:t>
      </w:r>
      <w:r w:rsidRPr="00537C8B">
        <w:rPr>
          <w:rFonts w:ascii="Times New Roman" w:hAnsi="Times New Roman"/>
          <w:i/>
          <w:sz w:val="20"/>
          <w:szCs w:val="20"/>
        </w:rPr>
        <w:t>Journal of Environmental Economics and Management</w:t>
      </w:r>
      <w:r w:rsidRPr="00537C8B">
        <w:rPr>
          <w:rFonts w:ascii="Times New Roman" w:hAnsi="Times New Roman"/>
          <w:i/>
          <w:iCs/>
          <w:sz w:val="20"/>
          <w:szCs w:val="20"/>
        </w:rPr>
        <w:t xml:space="preserve">, </w:t>
      </w:r>
      <w:r w:rsidRPr="00537C8B">
        <w:rPr>
          <w:rFonts w:ascii="Times New Roman" w:hAnsi="Times New Roman"/>
          <w:sz w:val="20"/>
          <w:szCs w:val="20"/>
        </w:rPr>
        <w:t>209: 205-215.</w:t>
      </w:r>
      <w:bookmarkEnd w:id="6"/>
    </w:p>
    <w:p w14:paraId="57515F86" w14:textId="76409FBE" w:rsidR="00207934" w:rsidRDefault="00207934" w:rsidP="00207934">
      <w:pPr>
        <w:pStyle w:val="EndNoteandMendelayBibliography"/>
        <w:numPr>
          <w:ilvl w:val="0"/>
          <w:numId w:val="2"/>
        </w:numPr>
        <w:spacing w:line="276" w:lineRule="auto"/>
        <w:ind w:left="360"/>
      </w:pPr>
      <w:r w:rsidRPr="00537C8B">
        <w:t>Björk, E. M. (2013). Mesoporous building blocks – synthesis and characterization of mesoporous silica particles and films. Doctoral dissertation,  Linköping University, Sweden.</w:t>
      </w:r>
    </w:p>
    <w:p w14:paraId="208CD766"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Thommes, M., Kaneko, K., Neimark, A. V., Olivier, J. P., Rodriguez-Reinoso, F., Rouquerol, J. and Sing, K. S. W. (2015). Physisorption of gases, with special reference to the evaluation of surface area and pore size distribution (IUPAC Technical Report). </w:t>
      </w:r>
      <w:r w:rsidRPr="00537C8B">
        <w:rPr>
          <w:rFonts w:ascii="Times New Roman" w:hAnsi="Times New Roman"/>
          <w:i/>
          <w:iCs/>
          <w:color w:val="000000"/>
          <w:sz w:val="20"/>
          <w:szCs w:val="20"/>
        </w:rPr>
        <w:t>Pure and Applied Chemistry</w:t>
      </w:r>
      <w:r w:rsidRPr="00537C8B">
        <w:rPr>
          <w:rFonts w:ascii="Times New Roman" w:hAnsi="Times New Roman"/>
          <w:color w:val="000000"/>
          <w:sz w:val="20"/>
          <w:szCs w:val="20"/>
        </w:rPr>
        <w:t xml:space="preserve">, 87(9-10): 1051-1069. </w:t>
      </w:r>
    </w:p>
    <w:p w14:paraId="56302791" w14:textId="75D736B1" w:rsidR="003C3FB0"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Zhu, C., Xia, Y., Zai, Y., Dai, Y., Liu, X., Bian, J., Liu, Y., Liu, J. and Li, G. (2019). Adsorption and desorption behaviors of HPEI and thermoresponsive HPEI based gels on anionic and cationic dyes. </w:t>
      </w:r>
      <w:r w:rsidRPr="00537C8B">
        <w:rPr>
          <w:rFonts w:ascii="Times New Roman" w:hAnsi="Times New Roman"/>
          <w:i/>
          <w:iCs/>
          <w:color w:val="000000"/>
          <w:sz w:val="20"/>
          <w:szCs w:val="20"/>
        </w:rPr>
        <w:t>Chemical Engineering Journal</w:t>
      </w:r>
      <w:r w:rsidRPr="00537C8B">
        <w:rPr>
          <w:rFonts w:ascii="Times New Roman" w:hAnsi="Times New Roman"/>
          <w:color w:val="000000"/>
          <w:sz w:val="20"/>
          <w:szCs w:val="20"/>
        </w:rPr>
        <w:t xml:space="preserve">, 369: 863-873. </w:t>
      </w:r>
    </w:p>
    <w:p w14:paraId="5C5A2DB8" w14:textId="651341A7" w:rsidR="003C3FB0" w:rsidRDefault="003C3FB0" w:rsidP="003C3FB0">
      <w:pPr>
        <w:spacing w:after="0"/>
        <w:jc w:val="both"/>
        <w:rPr>
          <w:rFonts w:ascii="Times New Roman" w:hAnsi="Times New Roman"/>
          <w:color w:val="000000"/>
          <w:sz w:val="20"/>
          <w:szCs w:val="20"/>
        </w:rPr>
      </w:pPr>
    </w:p>
    <w:p w14:paraId="2ECA90FD" w14:textId="77777777" w:rsidR="003C3FB0" w:rsidRPr="003C3FB0" w:rsidRDefault="003C3FB0" w:rsidP="003C3FB0">
      <w:pPr>
        <w:spacing w:after="0"/>
        <w:jc w:val="both"/>
        <w:rPr>
          <w:rFonts w:ascii="Times New Roman" w:hAnsi="Times New Roman"/>
          <w:color w:val="000000"/>
          <w:sz w:val="20"/>
          <w:szCs w:val="20"/>
        </w:rPr>
      </w:pPr>
    </w:p>
    <w:p w14:paraId="106AC969" w14:textId="77777777" w:rsidR="003C3FB0" w:rsidRPr="00537C8B" w:rsidRDefault="003C3FB0" w:rsidP="003C3FB0">
      <w:pPr>
        <w:pStyle w:val="EndNoteandMendelayBibliography"/>
        <w:numPr>
          <w:ilvl w:val="0"/>
          <w:numId w:val="2"/>
        </w:numPr>
        <w:spacing w:line="276" w:lineRule="auto"/>
        <w:ind w:left="360"/>
        <w:rPr>
          <w:rFonts w:eastAsia="Yu Mincho"/>
        </w:rPr>
      </w:pPr>
      <w:r w:rsidRPr="00537C8B">
        <w:rPr>
          <w:rFonts w:eastAsia="Yu Mincho"/>
        </w:rPr>
        <w:lastRenderedPageBreak/>
        <w:t xml:space="preserve">Alkan, M., Demirbas, O. and Dogan, M. (2004). Removal of Acid Yellow 49 from aqueous solution by adsorption. </w:t>
      </w:r>
      <w:r w:rsidRPr="00537C8B">
        <w:rPr>
          <w:rFonts w:eastAsia="Yu Mincho"/>
          <w:i/>
        </w:rPr>
        <w:t>Fresenius Environmental Bulletin</w:t>
      </w:r>
      <w:r w:rsidRPr="00537C8B">
        <w:rPr>
          <w:rFonts w:eastAsia="Yu Mincho"/>
        </w:rPr>
        <w:t>, 13(11): 1121.</w:t>
      </w:r>
    </w:p>
    <w:p w14:paraId="6BBD6B8D"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Fil, B. A., Ozmetin, C. and Korkmaz, M. (2012). Cationic dye (methylene blue) removal from aqueous solution by montmorillonite. </w:t>
      </w:r>
      <w:r w:rsidRPr="00537C8B">
        <w:rPr>
          <w:rFonts w:ascii="Times New Roman" w:hAnsi="Times New Roman"/>
          <w:i/>
          <w:iCs/>
          <w:color w:val="000000"/>
          <w:sz w:val="20"/>
          <w:szCs w:val="20"/>
        </w:rPr>
        <w:t>Bulletin of the Korean Chemical Society</w:t>
      </w:r>
      <w:r w:rsidRPr="00537C8B">
        <w:rPr>
          <w:rFonts w:ascii="Times New Roman" w:hAnsi="Times New Roman"/>
          <w:color w:val="000000"/>
          <w:sz w:val="20"/>
          <w:szCs w:val="20"/>
        </w:rPr>
        <w:t xml:space="preserve">, 33(10): 3184-3190. </w:t>
      </w:r>
    </w:p>
    <w:p w14:paraId="5CD3F915"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Ansari, R. and Mosayebzadeh, Z. (2010). Removal of basic dye methylene blue from aqueous solutions using sawdust and sawdust coated with polypyrrole. </w:t>
      </w:r>
      <w:r w:rsidRPr="00537C8B">
        <w:rPr>
          <w:rFonts w:ascii="Times New Roman" w:hAnsi="Times New Roman"/>
          <w:i/>
          <w:iCs/>
          <w:color w:val="000000"/>
          <w:sz w:val="20"/>
          <w:szCs w:val="20"/>
        </w:rPr>
        <w:t>Journal of the Iranian Chemical Society</w:t>
      </w:r>
      <w:r w:rsidRPr="00537C8B">
        <w:rPr>
          <w:rFonts w:ascii="Times New Roman" w:hAnsi="Times New Roman"/>
          <w:color w:val="000000"/>
          <w:sz w:val="20"/>
          <w:szCs w:val="20"/>
        </w:rPr>
        <w:t xml:space="preserve">, 7(2): 339-350. </w:t>
      </w:r>
    </w:p>
    <w:p w14:paraId="4B077405"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Bharathi, K. S. and Ramesh, S. T. (2013). Removal of dyes using agricultural waste as low-cost adsorbents: a review. </w:t>
      </w:r>
      <w:r w:rsidRPr="00537C8B">
        <w:rPr>
          <w:rFonts w:ascii="Times New Roman" w:hAnsi="Times New Roman"/>
          <w:i/>
          <w:iCs/>
          <w:color w:val="000000"/>
          <w:sz w:val="20"/>
          <w:szCs w:val="20"/>
        </w:rPr>
        <w:t>Applied Water Science</w:t>
      </w:r>
      <w:r w:rsidRPr="00537C8B">
        <w:rPr>
          <w:rFonts w:ascii="Times New Roman" w:hAnsi="Times New Roman"/>
          <w:color w:val="000000"/>
          <w:sz w:val="20"/>
          <w:szCs w:val="20"/>
        </w:rPr>
        <w:t xml:space="preserve">, 3(4): 773-790. </w:t>
      </w:r>
    </w:p>
    <w:p w14:paraId="77FAB20A"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Özdemir, Y., Doğan, M. and Alkan, M. (2006). Adsorption of cationic dyes from aqueous solutions by sepiolite. </w:t>
      </w:r>
      <w:r w:rsidRPr="00537C8B">
        <w:rPr>
          <w:rFonts w:ascii="Times New Roman" w:hAnsi="Times New Roman"/>
          <w:i/>
          <w:iCs/>
          <w:color w:val="000000"/>
          <w:sz w:val="20"/>
          <w:szCs w:val="20"/>
        </w:rPr>
        <w:t>Microporous and Mesoporous Materials</w:t>
      </w:r>
      <w:r w:rsidRPr="00537C8B">
        <w:rPr>
          <w:rFonts w:ascii="Times New Roman" w:hAnsi="Times New Roman"/>
          <w:color w:val="000000"/>
          <w:sz w:val="20"/>
          <w:szCs w:val="20"/>
        </w:rPr>
        <w:t xml:space="preserve">, 96(1-3): 419-427. </w:t>
      </w:r>
    </w:p>
    <w:p w14:paraId="678D1BBF"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Yagub, M. T., Sen, T. K., Afroze, S. and Ang, H. M. (2014). Dye and its removal from aqueous solution by adsorption: A review. </w:t>
      </w:r>
      <w:r w:rsidRPr="00537C8B">
        <w:rPr>
          <w:rFonts w:ascii="Times New Roman" w:hAnsi="Times New Roman"/>
          <w:i/>
          <w:sz w:val="20"/>
          <w:szCs w:val="20"/>
        </w:rPr>
        <w:t>Advances in Colloid and Interface Science,</w:t>
      </w:r>
      <w:r w:rsidRPr="00537C8B">
        <w:rPr>
          <w:rFonts w:ascii="Times New Roman" w:hAnsi="Times New Roman"/>
          <w:sz w:val="20"/>
          <w:szCs w:val="20"/>
        </w:rPr>
        <w:t xml:space="preserve"> 209: 172-184.</w:t>
      </w:r>
    </w:p>
    <w:p w14:paraId="2B6E60CE" w14:textId="77777777" w:rsidR="003C3FB0" w:rsidRDefault="003C3FB0" w:rsidP="003C3FB0">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Huang, R., Liu, Q., Huo, J. and Yang, B. (2017). Adsorption of methyl orange onto protonated cross-linked chitosan. </w:t>
      </w:r>
      <w:r w:rsidRPr="00537C8B">
        <w:rPr>
          <w:i/>
          <w:iCs/>
          <w:color w:val="000000"/>
          <w:sz w:val="20"/>
          <w:szCs w:val="20"/>
        </w:rPr>
        <w:t>Arabian Journal of Chemistry</w:t>
      </w:r>
      <w:r w:rsidRPr="00537C8B">
        <w:rPr>
          <w:color w:val="000000"/>
          <w:sz w:val="20"/>
          <w:szCs w:val="20"/>
        </w:rPr>
        <w:t xml:space="preserve">, 10(1): 24-32. </w:t>
      </w:r>
    </w:p>
    <w:p w14:paraId="7F7604ED"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eastAsia="Yu Mincho" w:hAnsi="Times New Roman"/>
          <w:sz w:val="20"/>
          <w:szCs w:val="20"/>
        </w:rPr>
        <w:t xml:space="preserve">El-Gamal, S. M. A., Amin, M. S. and Ahmed, M. A. (2015). Removal of methyl orange and bromophenol blue dyes from aqueous solution using Sorel’s cement nanoparticles. </w:t>
      </w:r>
      <w:r w:rsidRPr="00537C8B">
        <w:rPr>
          <w:rFonts w:ascii="Times New Roman" w:eastAsia="Yu Mincho" w:hAnsi="Times New Roman"/>
          <w:i/>
          <w:iCs/>
          <w:sz w:val="20"/>
          <w:szCs w:val="20"/>
        </w:rPr>
        <w:t xml:space="preserve">Journal of Environmental Chemical Engineering, </w:t>
      </w:r>
      <w:r w:rsidRPr="00537C8B">
        <w:rPr>
          <w:rFonts w:ascii="Times New Roman" w:eastAsia="Yu Mincho" w:hAnsi="Times New Roman"/>
          <w:sz w:val="20"/>
          <w:szCs w:val="20"/>
        </w:rPr>
        <w:t>3(3): 1702-1712.</w:t>
      </w:r>
    </w:p>
    <w:p w14:paraId="6DA802A3" w14:textId="77777777" w:rsidR="003C3FB0" w:rsidRPr="00537C8B" w:rsidRDefault="003C3FB0" w:rsidP="003C3FB0">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Melo, B. C., Paulino, F. A. A., Cardoso, V. A., Pereira, A. G. B., Fajardo, A. R. and Rodrigues, F. H. A. (2018). Cellulose nanowhiskers improve the methylene blue adsorption capacity of chitosan-g-poly (acrylic acid) hydrogel. </w:t>
      </w:r>
      <w:r w:rsidRPr="00537C8B">
        <w:rPr>
          <w:i/>
          <w:iCs/>
          <w:color w:val="000000"/>
          <w:sz w:val="20"/>
          <w:szCs w:val="20"/>
        </w:rPr>
        <w:t>Carbohydrate Polymers</w:t>
      </w:r>
      <w:r w:rsidRPr="00537C8B">
        <w:rPr>
          <w:color w:val="000000"/>
          <w:sz w:val="20"/>
          <w:szCs w:val="20"/>
        </w:rPr>
        <w:t xml:space="preserve">, 181, 358–367. </w:t>
      </w:r>
    </w:p>
    <w:p w14:paraId="617A21DF"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bookmarkStart w:id="7" w:name="_Hlk64274107"/>
      <w:r w:rsidRPr="00537C8B">
        <w:rPr>
          <w:rFonts w:ascii="Times New Roman" w:hAnsi="Times New Roman"/>
          <w:color w:val="000000"/>
          <w:sz w:val="20"/>
          <w:szCs w:val="20"/>
        </w:rPr>
        <w:t>Albayati, T. M., Alwan, G. M. and Mahdy, O. S. (2016). High performance methyl orange capture on magnetic nanoporous MCM-41 prepared by incipient wetness impregnation method. </w:t>
      </w:r>
      <w:r w:rsidRPr="00537C8B">
        <w:rPr>
          <w:rFonts w:ascii="Times New Roman" w:hAnsi="Times New Roman"/>
          <w:i/>
          <w:iCs/>
          <w:color w:val="000000"/>
          <w:sz w:val="20"/>
          <w:szCs w:val="20"/>
        </w:rPr>
        <w:t>Korean Journal of Chemical Engineering</w:t>
      </w:r>
      <w:r w:rsidRPr="00537C8B">
        <w:rPr>
          <w:rFonts w:ascii="Times New Roman" w:hAnsi="Times New Roman"/>
          <w:color w:val="000000"/>
          <w:sz w:val="20"/>
          <w:szCs w:val="20"/>
        </w:rPr>
        <w:t xml:space="preserve">, 34(1), 259–265. </w:t>
      </w:r>
    </w:p>
    <w:bookmarkEnd w:id="7"/>
    <w:p w14:paraId="25724F31"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Brdar, M., Šćiban, M., Takači, A. and Došenović, T. (2012). Comparison of two and three parameters adsorption isotherm for Cr(VI) onto Kraft lignin. </w:t>
      </w:r>
      <w:r w:rsidRPr="00537C8B">
        <w:rPr>
          <w:rFonts w:ascii="Times New Roman" w:hAnsi="Times New Roman"/>
          <w:i/>
          <w:iCs/>
          <w:color w:val="000000"/>
          <w:sz w:val="20"/>
          <w:szCs w:val="20"/>
        </w:rPr>
        <w:t>Chemical Engineering Journal</w:t>
      </w:r>
      <w:r w:rsidRPr="00537C8B">
        <w:rPr>
          <w:rFonts w:ascii="Times New Roman" w:hAnsi="Times New Roman"/>
          <w:color w:val="000000"/>
          <w:sz w:val="20"/>
          <w:szCs w:val="20"/>
        </w:rPr>
        <w:t xml:space="preserve">, 183: 108-111. </w:t>
      </w:r>
    </w:p>
    <w:p w14:paraId="2D54C2D9"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Qin, Q., Ma, J. and Liu, K. (2009). Adsorption of anionic dyes on ammonium-functionalized MCM-41. </w:t>
      </w:r>
      <w:r w:rsidRPr="00537C8B">
        <w:rPr>
          <w:rFonts w:ascii="Times New Roman" w:hAnsi="Times New Roman"/>
          <w:i/>
          <w:sz w:val="20"/>
          <w:szCs w:val="20"/>
        </w:rPr>
        <w:t xml:space="preserve">Journal of  Hazardous Materials, </w:t>
      </w:r>
      <w:r w:rsidRPr="00537C8B">
        <w:rPr>
          <w:rFonts w:ascii="Times New Roman" w:hAnsi="Times New Roman"/>
          <w:iCs/>
          <w:sz w:val="20"/>
          <w:szCs w:val="20"/>
        </w:rPr>
        <w:t>162(1):</w:t>
      </w:r>
      <w:r w:rsidRPr="00537C8B">
        <w:rPr>
          <w:rFonts w:ascii="Times New Roman" w:hAnsi="Times New Roman"/>
          <w:sz w:val="20"/>
          <w:szCs w:val="20"/>
        </w:rPr>
        <w:t xml:space="preserve"> 133-139.</w:t>
      </w:r>
    </w:p>
    <w:p w14:paraId="27C3D394"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sz w:val="20"/>
          <w:szCs w:val="20"/>
        </w:rPr>
        <w:t xml:space="preserve">Juang, L. C., Wang, C. C. and Lee, C. K. (2006). Adsorption of basic dyes onto MCM41. </w:t>
      </w:r>
      <w:r w:rsidRPr="00537C8B">
        <w:rPr>
          <w:rFonts w:ascii="Times New Roman" w:hAnsi="Times New Roman"/>
          <w:i/>
          <w:iCs/>
          <w:sz w:val="20"/>
          <w:szCs w:val="20"/>
        </w:rPr>
        <w:t xml:space="preserve">Chemosphere, </w:t>
      </w:r>
      <w:r w:rsidRPr="00537C8B">
        <w:rPr>
          <w:rFonts w:ascii="Times New Roman" w:hAnsi="Times New Roman"/>
          <w:sz w:val="20"/>
          <w:szCs w:val="20"/>
        </w:rPr>
        <w:t>64(11): 1920-1928.</w:t>
      </w:r>
    </w:p>
    <w:p w14:paraId="1E9898F4"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sz w:val="20"/>
          <w:szCs w:val="20"/>
        </w:rPr>
      </w:pPr>
      <w:r w:rsidRPr="00537C8B">
        <w:rPr>
          <w:rFonts w:ascii="Times New Roman" w:hAnsi="Times New Roman"/>
          <w:color w:val="000000"/>
          <w:sz w:val="20"/>
          <w:szCs w:val="20"/>
        </w:rPr>
        <w:t>Mirzaie, M., Rashidi, A., Tayebi, H.-A. and Yazdanshenas, M. E. (2017). Removal of anionic dye from aqueous media by adsorption onto SBA-15/polyamidoamine dendrimer hybrid: Adsorption equilibrium and kinetics. </w:t>
      </w:r>
      <w:r w:rsidRPr="00537C8B">
        <w:rPr>
          <w:rFonts w:ascii="Times New Roman" w:hAnsi="Times New Roman"/>
          <w:i/>
          <w:iCs/>
          <w:color w:val="000000"/>
          <w:sz w:val="20"/>
          <w:szCs w:val="20"/>
        </w:rPr>
        <w:t>Journal of Chemical &amp; Engineering Data</w:t>
      </w:r>
      <w:r w:rsidRPr="00537C8B">
        <w:rPr>
          <w:rFonts w:ascii="Times New Roman" w:hAnsi="Times New Roman"/>
          <w:color w:val="000000"/>
          <w:sz w:val="20"/>
          <w:szCs w:val="20"/>
        </w:rPr>
        <w:t>, 62(4): 1365-1376.</w:t>
      </w:r>
    </w:p>
    <w:p w14:paraId="5F30875B" w14:textId="77777777" w:rsidR="003C3FB0" w:rsidRPr="00537C8B" w:rsidRDefault="003C3FB0" w:rsidP="003C3FB0">
      <w:pPr>
        <w:pStyle w:val="EndNoteandMendelayBibliography"/>
        <w:numPr>
          <w:ilvl w:val="0"/>
          <w:numId w:val="2"/>
        </w:numPr>
        <w:spacing w:line="276" w:lineRule="auto"/>
        <w:ind w:left="360"/>
      </w:pPr>
      <w:r w:rsidRPr="00537C8B">
        <w:t xml:space="preserve">Bardajee, G. R., Hooshyar, Z. and Shahidi, F. E. (2015). Synthesis and characterization of a novel Schiff-base/SBA-15 nanoadsorbent for removal of methylene blue from aqueous solutions. </w:t>
      </w:r>
      <w:r w:rsidRPr="00537C8B">
        <w:rPr>
          <w:i/>
          <w:iCs/>
        </w:rPr>
        <w:t>International Journal of Environmental Science and Technology</w:t>
      </w:r>
      <w:r w:rsidRPr="00537C8B">
        <w:t xml:space="preserve">, 12(5): 1737-1748. </w:t>
      </w:r>
    </w:p>
    <w:p w14:paraId="16679B0A" w14:textId="77777777" w:rsidR="003C3FB0" w:rsidRPr="00537C8B" w:rsidRDefault="003C3FB0" w:rsidP="003C3FB0">
      <w:pPr>
        <w:pStyle w:val="EndNoteandMendelayBibliography"/>
        <w:numPr>
          <w:ilvl w:val="0"/>
          <w:numId w:val="2"/>
        </w:numPr>
        <w:spacing w:line="276" w:lineRule="auto"/>
        <w:ind w:left="360"/>
        <w:rPr>
          <w:lang w:val="en-US"/>
        </w:rPr>
      </w:pPr>
      <w:r w:rsidRPr="00537C8B">
        <w:t xml:space="preserve">Jalil, M. N. (2011). The preparation and characterisation of mesoporous films for electrochemical applications. Doctoral dissertation, University of Manchester, United Kingdom. </w:t>
      </w:r>
    </w:p>
    <w:p w14:paraId="1FB39837" w14:textId="77777777" w:rsidR="003C3FB0" w:rsidRPr="00537C8B" w:rsidRDefault="003C3FB0" w:rsidP="003C3FB0">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Yusmaniar, Y., Erdawati, E., Ghifari, Y. F. and Ubit, D. P. (2020). Synthesis of mesopore silica composite from rice husk with activated carbon from coconut shell as absorbent methyl orange color adsorbent. </w:t>
      </w:r>
      <w:r w:rsidRPr="00537C8B">
        <w:rPr>
          <w:i/>
          <w:iCs/>
          <w:color w:val="000000"/>
          <w:sz w:val="20"/>
          <w:szCs w:val="20"/>
        </w:rPr>
        <w:t>IOP Conference Series: Materials Science and Engineering</w:t>
      </w:r>
      <w:r w:rsidRPr="00537C8B">
        <w:rPr>
          <w:color w:val="000000"/>
          <w:sz w:val="20"/>
          <w:szCs w:val="20"/>
        </w:rPr>
        <w:t xml:space="preserve">, 830: 032078. </w:t>
      </w:r>
    </w:p>
    <w:p w14:paraId="47E337B1" w14:textId="2C291446" w:rsidR="003C3FB0" w:rsidRDefault="003C3FB0" w:rsidP="003C3FB0">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t>Ge, S., Geng, W., He, X., Zhao, J., Zhou, B., Duan, L., Wu, Y. and Zhang, Q. (2018). Effect of framework structure, pore size and surface modification on the adsorption performance of methylene blue and Cu</w:t>
      </w:r>
      <w:r w:rsidRPr="00537C8B">
        <w:rPr>
          <w:color w:val="000000"/>
          <w:sz w:val="20"/>
          <w:szCs w:val="20"/>
          <w:vertAlign w:val="superscript"/>
        </w:rPr>
        <w:t>2+</w:t>
      </w:r>
      <w:r w:rsidRPr="00537C8B">
        <w:rPr>
          <w:color w:val="000000"/>
          <w:sz w:val="20"/>
          <w:szCs w:val="20"/>
        </w:rPr>
        <w:t xml:space="preserve"> in mesoporous silica. </w:t>
      </w:r>
      <w:r w:rsidRPr="00537C8B">
        <w:rPr>
          <w:i/>
          <w:iCs/>
          <w:color w:val="000000"/>
          <w:sz w:val="20"/>
          <w:szCs w:val="20"/>
        </w:rPr>
        <w:t>Colloids and Surfaces A: Physicochemical and Engineering Aspects</w:t>
      </w:r>
      <w:r w:rsidRPr="00537C8B">
        <w:rPr>
          <w:color w:val="000000"/>
          <w:sz w:val="20"/>
          <w:szCs w:val="20"/>
        </w:rPr>
        <w:t xml:space="preserve">, 539: 154-162. </w:t>
      </w:r>
    </w:p>
    <w:p w14:paraId="3EFB9D84" w14:textId="55D6B3DC" w:rsidR="003C3FB0" w:rsidRDefault="003C3FB0" w:rsidP="003C3FB0">
      <w:pPr>
        <w:pStyle w:val="NormalWeb"/>
        <w:spacing w:before="0" w:beforeAutospacing="0" w:after="0" w:afterAutospacing="0" w:line="276" w:lineRule="auto"/>
        <w:jc w:val="both"/>
        <w:rPr>
          <w:color w:val="000000"/>
          <w:sz w:val="20"/>
          <w:szCs w:val="20"/>
        </w:rPr>
      </w:pPr>
    </w:p>
    <w:p w14:paraId="28BECFC5" w14:textId="3B359208" w:rsidR="003C3FB0" w:rsidRDefault="003C3FB0" w:rsidP="003C3FB0">
      <w:pPr>
        <w:pStyle w:val="NormalWeb"/>
        <w:spacing w:before="0" w:beforeAutospacing="0" w:after="0" w:afterAutospacing="0" w:line="276" w:lineRule="auto"/>
        <w:jc w:val="both"/>
        <w:rPr>
          <w:color w:val="000000"/>
          <w:sz w:val="20"/>
          <w:szCs w:val="20"/>
        </w:rPr>
      </w:pPr>
    </w:p>
    <w:p w14:paraId="1130121A" w14:textId="77777777" w:rsidR="003C3FB0" w:rsidRPr="00537C8B" w:rsidRDefault="003C3FB0" w:rsidP="003C3FB0">
      <w:pPr>
        <w:pStyle w:val="NormalWeb"/>
        <w:spacing w:before="0" w:beforeAutospacing="0" w:after="0" w:afterAutospacing="0" w:line="276" w:lineRule="auto"/>
        <w:jc w:val="both"/>
        <w:rPr>
          <w:color w:val="000000"/>
          <w:sz w:val="20"/>
          <w:szCs w:val="20"/>
        </w:rPr>
      </w:pPr>
    </w:p>
    <w:p w14:paraId="72DC669A" w14:textId="77777777" w:rsidR="003C3FB0" w:rsidRPr="00537C8B" w:rsidRDefault="003C3FB0" w:rsidP="003C3FB0">
      <w:pPr>
        <w:pStyle w:val="NormalWeb"/>
        <w:numPr>
          <w:ilvl w:val="0"/>
          <w:numId w:val="2"/>
        </w:numPr>
        <w:spacing w:before="0" w:beforeAutospacing="0" w:after="0" w:afterAutospacing="0" w:line="276" w:lineRule="auto"/>
        <w:ind w:left="360"/>
        <w:jc w:val="both"/>
        <w:rPr>
          <w:color w:val="000000"/>
          <w:sz w:val="20"/>
          <w:szCs w:val="20"/>
        </w:rPr>
      </w:pPr>
      <w:r w:rsidRPr="00537C8B">
        <w:rPr>
          <w:color w:val="000000"/>
          <w:sz w:val="20"/>
          <w:szCs w:val="20"/>
        </w:rPr>
        <w:lastRenderedPageBreak/>
        <w:t>Nazar de Souza, A. P., Licea, Y. E., Colaço, M. V., Senra, J. D. and Carvalho, N. M. F. (2021). Green iron oxides/amino-functionalized MCM-41 composites as adsorbent for anionic azo dye: Kinetic and isotherm studies. </w:t>
      </w:r>
      <w:r w:rsidRPr="00537C8B">
        <w:rPr>
          <w:i/>
          <w:iCs/>
          <w:color w:val="000000"/>
          <w:sz w:val="20"/>
          <w:szCs w:val="20"/>
        </w:rPr>
        <w:t>Journal of Environmental Chemical Engineering</w:t>
      </w:r>
      <w:r w:rsidRPr="00537C8B">
        <w:rPr>
          <w:color w:val="000000"/>
          <w:sz w:val="20"/>
          <w:szCs w:val="20"/>
        </w:rPr>
        <w:t xml:space="preserve">, 9(2): 105062. </w:t>
      </w:r>
    </w:p>
    <w:p w14:paraId="0C5911F7"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Ngulube, T., Gumbo, J. R., Masindi, V. and Maity, A. (2018). Calcined magnesite as an adsorbent for cationic and anionic dyes: characterization, adsorption parameters, isotherms and kinetics study. </w:t>
      </w:r>
      <w:r w:rsidRPr="00537C8B">
        <w:rPr>
          <w:rFonts w:ascii="Times New Roman" w:hAnsi="Times New Roman"/>
          <w:i/>
          <w:iCs/>
          <w:color w:val="000000"/>
          <w:sz w:val="20"/>
          <w:szCs w:val="20"/>
        </w:rPr>
        <w:t>Heliyon</w:t>
      </w:r>
      <w:r w:rsidRPr="00537C8B">
        <w:rPr>
          <w:rFonts w:ascii="Times New Roman" w:hAnsi="Times New Roman"/>
          <w:color w:val="000000"/>
          <w:sz w:val="20"/>
          <w:szCs w:val="20"/>
        </w:rPr>
        <w:t>, 4(10): e00838.</w:t>
      </w:r>
    </w:p>
    <w:p w14:paraId="5012F97C" w14:textId="77777777" w:rsidR="003C3FB0" w:rsidRPr="00537C8B"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Sun, C. Y., Wang, X. L., Qin, C., Jin, J. L., Su, Z. M., Huang, P. and Shao, K. Z. (2013). Solvatochromic behavior of chiral mesoporous metal-organic frameworks and their applications for sensing small molecules and separating cationic dyes. </w:t>
      </w:r>
      <w:r w:rsidRPr="00537C8B">
        <w:rPr>
          <w:rFonts w:ascii="Times New Roman" w:hAnsi="Times New Roman"/>
          <w:i/>
          <w:iCs/>
          <w:color w:val="000000"/>
          <w:sz w:val="20"/>
          <w:szCs w:val="20"/>
        </w:rPr>
        <w:t>Chemistry - A European Journal</w:t>
      </w:r>
      <w:r w:rsidRPr="00537C8B">
        <w:rPr>
          <w:rFonts w:ascii="Times New Roman" w:hAnsi="Times New Roman"/>
          <w:color w:val="000000"/>
          <w:sz w:val="20"/>
          <w:szCs w:val="20"/>
        </w:rPr>
        <w:t xml:space="preserve">, 19(11): 3639-3645. </w:t>
      </w:r>
    </w:p>
    <w:p w14:paraId="283D2107" w14:textId="1151452B" w:rsidR="003C3FB0" w:rsidRPr="003C3FB0" w:rsidRDefault="003C3FB0" w:rsidP="003C3FB0">
      <w:pPr>
        <w:pStyle w:val="ListParagraph"/>
        <w:numPr>
          <w:ilvl w:val="0"/>
          <w:numId w:val="2"/>
        </w:numPr>
        <w:spacing w:after="0"/>
        <w:ind w:left="360"/>
        <w:contextualSpacing w:val="0"/>
        <w:jc w:val="both"/>
        <w:rPr>
          <w:rFonts w:ascii="Times New Roman" w:hAnsi="Times New Roman"/>
          <w:color w:val="000000"/>
          <w:sz w:val="20"/>
          <w:szCs w:val="20"/>
        </w:rPr>
      </w:pPr>
      <w:r w:rsidRPr="00537C8B">
        <w:rPr>
          <w:rFonts w:ascii="Times New Roman" w:hAnsi="Times New Roman"/>
          <w:color w:val="000000"/>
          <w:sz w:val="20"/>
          <w:szCs w:val="20"/>
        </w:rPr>
        <w:t>de Oliveira Brito, S. M., Andrade, H. M. C., Soares, L. F. and de Azevedo, R. P. (2010). Brazil nut shells as a new biosorbent to remove methylene blue and indigo carmine from aqueous solutions. </w:t>
      </w:r>
      <w:r w:rsidRPr="00537C8B">
        <w:rPr>
          <w:rFonts w:ascii="Times New Roman" w:hAnsi="Times New Roman"/>
          <w:i/>
          <w:iCs/>
          <w:color w:val="000000"/>
          <w:sz w:val="20"/>
          <w:szCs w:val="20"/>
        </w:rPr>
        <w:t>Journal of Hazardous Materials</w:t>
      </w:r>
      <w:r w:rsidRPr="00537C8B">
        <w:rPr>
          <w:rFonts w:ascii="Times New Roman" w:hAnsi="Times New Roman"/>
          <w:color w:val="000000"/>
          <w:sz w:val="20"/>
          <w:szCs w:val="20"/>
        </w:rPr>
        <w:t>, </w:t>
      </w:r>
      <w:r>
        <w:rPr>
          <w:rFonts w:ascii="Times New Roman" w:hAnsi="Times New Roman"/>
          <w:color w:val="000000"/>
          <w:sz w:val="20"/>
          <w:szCs w:val="20"/>
        </w:rPr>
        <w:t xml:space="preserve"> </w:t>
      </w:r>
      <w:r w:rsidRPr="00537C8B">
        <w:rPr>
          <w:rFonts w:ascii="Times New Roman" w:hAnsi="Times New Roman"/>
          <w:color w:val="000000"/>
          <w:sz w:val="20"/>
          <w:szCs w:val="20"/>
        </w:rPr>
        <w:t>174</w:t>
      </w:r>
      <w:r>
        <w:rPr>
          <w:rFonts w:ascii="Times New Roman" w:hAnsi="Times New Roman"/>
          <w:color w:val="000000"/>
          <w:sz w:val="20"/>
          <w:szCs w:val="20"/>
        </w:rPr>
        <w:t xml:space="preserve"> </w:t>
      </w:r>
      <w:r w:rsidRPr="00537C8B">
        <w:rPr>
          <w:rFonts w:ascii="Times New Roman" w:hAnsi="Times New Roman"/>
          <w:color w:val="000000"/>
          <w:sz w:val="20"/>
          <w:szCs w:val="20"/>
        </w:rPr>
        <w:t xml:space="preserve">(1-3): </w:t>
      </w:r>
      <w:r>
        <w:rPr>
          <w:rFonts w:ascii="Times New Roman" w:hAnsi="Times New Roman"/>
          <w:color w:val="000000"/>
          <w:sz w:val="20"/>
          <w:szCs w:val="20"/>
        </w:rPr>
        <w:t xml:space="preserve"> </w:t>
      </w:r>
      <w:r w:rsidRPr="00537C8B">
        <w:rPr>
          <w:rFonts w:ascii="Times New Roman" w:hAnsi="Times New Roman"/>
          <w:color w:val="000000"/>
          <w:sz w:val="20"/>
          <w:szCs w:val="20"/>
        </w:rPr>
        <w:t xml:space="preserve">84-92. </w:t>
      </w:r>
    </w:p>
    <w:p w14:paraId="0639CB70" w14:textId="6ADF1A12" w:rsidR="00207934" w:rsidRPr="00207934" w:rsidRDefault="00207934" w:rsidP="00207934">
      <w:pPr>
        <w:spacing w:after="0"/>
        <w:jc w:val="both"/>
        <w:rPr>
          <w:rFonts w:ascii="Times New Roman" w:hAnsi="Times New Roman"/>
          <w:sz w:val="20"/>
          <w:szCs w:val="20"/>
        </w:rPr>
        <w:sectPr w:rsidR="00207934" w:rsidRPr="00207934" w:rsidSect="00F17B79">
          <w:footerReference w:type="even" r:id="rId36"/>
          <w:footerReference w:type="default" r:id="rId37"/>
          <w:type w:val="continuous"/>
          <w:pgSz w:w="12240" w:h="15840" w:code="1"/>
          <w:pgMar w:top="1800" w:right="1469" w:bottom="1699" w:left="1440" w:header="706" w:footer="706" w:gutter="0"/>
          <w:pgNumType w:start="0"/>
          <w:cols w:num="2" w:space="403"/>
          <w:docGrid w:linePitch="360"/>
        </w:sectPr>
      </w:pPr>
    </w:p>
    <w:p w14:paraId="4D8A8F86" w14:textId="7C347BCA" w:rsidR="00A74A7E" w:rsidRPr="00383C16" w:rsidRDefault="00A74A7E" w:rsidP="00D4062C">
      <w:pPr>
        <w:spacing w:after="0"/>
        <w:jc w:val="both"/>
        <w:rPr>
          <w:rFonts w:ascii="Times New Roman" w:hAnsi="Times New Roman"/>
          <w:noProof/>
          <w:lang w:bidi="ar-SA"/>
        </w:rPr>
      </w:pPr>
    </w:p>
    <w:sectPr w:rsidR="00A74A7E" w:rsidRPr="00383C16" w:rsidSect="00B71E50">
      <w:footerReference w:type="even" r:id="rId38"/>
      <w:footerReference w:type="default" r:id="rId39"/>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5F0CA9F8"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D6D2D">
      <w:rPr>
        <w:rFonts w:ascii="Times New Roman" w:hAnsi="Times New Roman"/>
        <w:lang w:val="en-US"/>
      </w:rPr>
      <w:t>83</w:t>
    </w:r>
    <w:r w:rsidR="002C4044">
      <w:rPr>
        <w:rFonts w:ascii="Times New Roman" w:hAnsi="Times New Roman"/>
        <w:lang w:val="en-US"/>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33AD" w14:textId="32F82F61" w:rsidR="0056169D" w:rsidRDefault="0056169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r w:rsidR="002C4044">
      <w:rPr>
        <w:rFonts w:ascii="Times New Roman" w:hAnsi="Times New Roman"/>
        <w:lang w:val="en-US"/>
      </w:rPr>
      <w:t>39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EF5D" w14:textId="02083F0C" w:rsidR="0056169D" w:rsidRDefault="0056169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D6D2D">
      <w:rPr>
        <w:rFonts w:ascii="Times New Roman" w:hAnsi="Times New Roman"/>
        <w:lang w:val="en-US"/>
      </w:rPr>
      <w:t>84</w:t>
    </w:r>
    <w:r w:rsidR="002C4044">
      <w:rPr>
        <w:rFonts w:ascii="Times New Roman" w:hAnsi="Times New Roman"/>
        <w:lang w:val="en-US"/>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9383" w14:textId="54A975EC" w:rsidR="0056169D" w:rsidRPr="004B43FF" w:rsidRDefault="00ED6D2D">
    <w:pPr>
      <w:pStyle w:val="Footer"/>
      <w:rPr>
        <w:rFonts w:ascii="Times New Roman" w:hAnsi="Times New Roman"/>
        <w:lang w:val="en-US"/>
      </w:rPr>
    </w:pPr>
    <w:r>
      <w:rPr>
        <w:rFonts w:ascii="Times New Roman" w:hAnsi="Times New Roman"/>
        <w:noProof/>
        <w:lang w:val="en-US"/>
      </w:rPr>
      <w:t>84</w:t>
    </w:r>
    <w:r w:rsidR="002C4044">
      <w:rPr>
        <w:rFonts w:ascii="Times New Roman" w:hAnsi="Times New Roman"/>
        <w:noProof/>
        <w:lang w:val="en-US"/>
      </w:rPr>
      <w:t>0</w:t>
    </w:r>
    <w:r w:rsidR="0056169D" w:rsidRPr="0069547D">
      <w:rPr>
        <w:rFonts w:ascii="Times New Roman" w:hAnsi="Times New Roman"/>
        <w:noProof/>
        <w:lang w:val="en-US"/>
      </w:rPr>
      <w:ptab w:relativeTo="margin" w:alignment="center" w:leader="none"/>
    </w:r>
    <w:r w:rsidR="0056169D"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F041" w14:textId="43EBD893" w:rsidR="0056169D" w:rsidRPr="004B43FF" w:rsidRDefault="00ED6D2D">
    <w:pPr>
      <w:pStyle w:val="Footer"/>
      <w:rPr>
        <w:rFonts w:ascii="Times New Roman" w:hAnsi="Times New Roman"/>
        <w:lang w:val="en-US"/>
      </w:rPr>
    </w:pPr>
    <w:r>
      <w:rPr>
        <w:rFonts w:ascii="Times New Roman" w:hAnsi="Times New Roman"/>
        <w:noProof/>
        <w:lang w:val="en-US"/>
      </w:rPr>
      <w:t>84</w:t>
    </w:r>
    <w:r w:rsidR="002C4044">
      <w:rPr>
        <w:rFonts w:ascii="Times New Roman" w:hAnsi="Times New Roman"/>
        <w:noProof/>
        <w:lang w:val="en-US"/>
      </w:rPr>
      <w:t>2</w:t>
    </w:r>
    <w:r w:rsidR="0056169D" w:rsidRPr="0069547D">
      <w:rPr>
        <w:rFonts w:ascii="Times New Roman" w:hAnsi="Times New Roman"/>
        <w:noProof/>
        <w:lang w:val="en-US"/>
      </w:rPr>
      <w:ptab w:relativeTo="margin" w:alignment="center" w:leader="none"/>
    </w:r>
    <w:r w:rsidR="0056169D"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642A" w14:textId="167A2E37" w:rsidR="0056169D" w:rsidRDefault="0056169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D6D2D">
      <w:rPr>
        <w:rFonts w:ascii="Times New Roman" w:hAnsi="Times New Roman"/>
        <w:lang w:val="en-US"/>
      </w:rPr>
      <w:t>84</w:t>
    </w:r>
    <w:r w:rsidR="002C4044">
      <w:rPr>
        <w:rFonts w:ascii="Times New Roman" w:hAnsi="Times New Roman"/>
        <w:lang w:val="en-US"/>
      </w:rPr>
      <w:t>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8F94" w14:textId="0C061E82" w:rsidR="0056169D" w:rsidRPr="004B43FF" w:rsidRDefault="00ED6D2D">
    <w:pPr>
      <w:pStyle w:val="Footer"/>
      <w:rPr>
        <w:rFonts w:ascii="Times New Roman" w:hAnsi="Times New Roman"/>
        <w:lang w:val="en-US"/>
      </w:rPr>
    </w:pPr>
    <w:r>
      <w:rPr>
        <w:rFonts w:ascii="Times New Roman" w:hAnsi="Times New Roman"/>
        <w:noProof/>
        <w:lang w:val="en-US"/>
      </w:rPr>
      <w:t>84</w:t>
    </w:r>
    <w:r w:rsidR="002C4044">
      <w:rPr>
        <w:rFonts w:ascii="Times New Roman" w:hAnsi="Times New Roman"/>
        <w:noProof/>
        <w:lang w:val="en-US"/>
      </w:rPr>
      <w:t>6</w:t>
    </w:r>
    <w:r w:rsidR="0056169D" w:rsidRPr="0069547D">
      <w:rPr>
        <w:rFonts w:ascii="Times New Roman" w:hAnsi="Times New Roman"/>
        <w:noProof/>
        <w:lang w:val="en-US"/>
      </w:rPr>
      <w:ptab w:relativeTo="margin" w:alignment="center" w:leader="none"/>
    </w:r>
    <w:r w:rsidR="0056169D"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8BA7" w14:textId="57C0C84F" w:rsidR="003F39AC" w:rsidRDefault="003F39A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D6D2D">
      <w:rPr>
        <w:rFonts w:ascii="Times New Roman" w:hAnsi="Times New Roman"/>
        <w:lang w:val="en-US"/>
      </w:rPr>
      <w:t>846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CF03" w14:textId="029731CE" w:rsidR="003F39AC" w:rsidRPr="004B43FF" w:rsidRDefault="00ED6D2D">
    <w:pPr>
      <w:pStyle w:val="Footer"/>
      <w:rPr>
        <w:rFonts w:ascii="Times New Roman" w:hAnsi="Times New Roman"/>
        <w:lang w:val="en-US"/>
      </w:rPr>
    </w:pPr>
    <w:r>
      <w:rPr>
        <w:rFonts w:ascii="Times New Roman" w:hAnsi="Times New Roman"/>
        <w:noProof/>
        <w:lang w:val="en-US"/>
      </w:rPr>
      <w:t>847</w:t>
    </w:r>
    <w:r w:rsidR="003F39AC" w:rsidRPr="0069547D">
      <w:rPr>
        <w:rFonts w:ascii="Times New Roman" w:hAnsi="Times New Roman"/>
        <w:noProof/>
        <w:lang w:val="en-US"/>
      </w:rPr>
      <w:ptab w:relativeTo="margin" w:alignment="center" w:leader="none"/>
    </w:r>
    <w:r w:rsidR="003F39AC"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410B94AB" w:rsidR="00D75B35" w:rsidRPr="004B43FF" w:rsidRDefault="00ED6D2D">
    <w:pPr>
      <w:pStyle w:val="Footer"/>
      <w:rPr>
        <w:rFonts w:ascii="Times New Roman" w:hAnsi="Times New Roman"/>
        <w:lang w:val="en-US"/>
      </w:rPr>
    </w:pPr>
    <w:r>
      <w:rPr>
        <w:rFonts w:ascii="Times New Roman" w:hAnsi="Times New Roman"/>
        <w:noProof/>
        <w:lang w:val="en-US"/>
      </w:rPr>
      <w:t>83</w:t>
    </w:r>
    <w:r w:rsidR="002C4044">
      <w:rPr>
        <w:rFonts w:ascii="Times New Roman" w:hAnsi="Times New Roman"/>
        <w:noProof/>
        <w:lang w:val="en-US"/>
      </w:rPr>
      <w:t>2</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76CD" w14:textId="77777777" w:rsidR="002C4044" w:rsidRDefault="002C40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EA88" w14:textId="37B680F7" w:rsidR="006E1A18" w:rsidRDefault="006E1A1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D6D2D">
      <w:rPr>
        <w:rFonts w:ascii="Times New Roman" w:hAnsi="Times New Roman"/>
        <w:lang w:val="en-US"/>
      </w:rPr>
      <w:t>83</w:t>
    </w:r>
    <w:r w:rsidR="002C4044">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A4F0" w14:textId="5A68E349" w:rsidR="006E1A18" w:rsidRPr="004B43FF" w:rsidRDefault="00ED6D2D">
    <w:pPr>
      <w:pStyle w:val="Footer"/>
      <w:rPr>
        <w:rFonts w:ascii="Times New Roman" w:hAnsi="Times New Roman"/>
        <w:lang w:val="en-US"/>
      </w:rPr>
    </w:pPr>
    <w:r>
      <w:rPr>
        <w:rFonts w:ascii="Times New Roman" w:hAnsi="Times New Roman"/>
        <w:noProof/>
        <w:lang w:val="en-US"/>
      </w:rPr>
      <w:t>83</w:t>
    </w:r>
    <w:r w:rsidR="002C4044">
      <w:rPr>
        <w:rFonts w:ascii="Times New Roman" w:hAnsi="Times New Roman"/>
        <w:noProof/>
        <w:lang w:val="en-US"/>
      </w:rPr>
      <w:t>4</w:t>
    </w:r>
    <w:r w:rsidR="006E1A18" w:rsidRPr="0069547D">
      <w:rPr>
        <w:rFonts w:ascii="Times New Roman" w:hAnsi="Times New Roman"/>
        <w:noProof/>
        <w:lang w:val="en-US"/>
      </w:rPr>
      <w:ptab w:relativeTo="margin" w:alignment="center" w:leader="none"/>
    </w:r>
    <w:r w:rsidR="006E1A18"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3D48" w14:textId="42DD4168" w:rsidR="00B60358" w:rsidRDefault="00B6035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D6D2D">
      <w:rPr>
        <w:rFonts w:ascii="Times New Roman" w:hAnsi="Times New Roman"/>
        <w:lang w:val="en-US"/>
      </w:rPr>
      <w:t>83</w:t>
    </w:r>
    <w:r w:rsidR="002C4044">
      <w:rPr>
        <w:rFonts w:ascii="Times New Roman" w:hAnsi="Times New Roman"/>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7468" w14:textId="030FD3CD" w:rsidR="00B60358" w:rsidRPr="004B43FF" w:rsidRDefault="00ED6D2D">
    <w:pPr>
      <w:pStyle w:val="Footer"/>
      <w:rPr>
        <w:rFonts w:ascii="Times New Roman" w:hAnsi="Times New Roman"/>
        <w:lang w:val="en-US"/>
      </w:rPr>
    </w:pPr>
    <w:r>
      <w:rPr>
        <w:rFonts w:ascii="Times New Roman" w:hAnsi="Times New Roman"/>
        <w:noProof/>
        <w:lang w:val="en-US"/>
      </w:rPr>
      <w:t>83</w:t>
    </w:r>
    <w:r w:rsidR="002C4044">
      <w:rPr>
        <w:rFonts w:ascii="Times New Roman" w:hAnsi="Times New Roman"/>
        <w:noProof/>
        <w:lang w:val="en-US"/>
      </w:rPr>
      <w:t>6</w:t>
    </w:r>
    <w:r w:rsidR="00B60358" w:rsidRPr="0069547D">
      <w:rPr>
        <w:rFonts w:ascii="Times New Roman" w:hAnsi="Times New Roman"/>
        <w:noProof/>
        <w:lang w:val="en-US"/>
      </w:rPr>
      <w:ptab w:relativeTo="margin" w:alignment="center" w:leader="none"/>
    </w:r>
    <w:r w:rsidR="00B60358"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8F70" w14:textId="707135EA" w:rsidR="00B60358" w:rsidRDefault="00B6035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D6D2D">
      <w:rPr>
        <w:rFonts w:ascii="Times New Roman" w:hAnsi="Times New Roman"/>
        <w:lang w:val="en-US"/>
      </w:rPr>
      <w:t>83</w:t>
    </w:r>
    <w:r w:rsidR="002C4044">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3DC" w14:textId="01DEC3CA" w:rsidR="0056169D" w:rsidRPr="004B43FF" w:rsidRDefault="00ED6D2D">
    <w:pPr>
      <w:pStyle w:val="Footer"/>
      <w:rPr>
        <w:rFonts w:ascii="Times New Roman" w:hAnsi="Times New Roman"/>
        <w:lang w:val="en-US"/>
      </w:rPr>
    </w:pPr>
    <w:r>
      <w:rPr>
        <w:rFonts w:ascii="Times New Roman" w:hAnsi="Times New Roman"/>
        <w:noProof/>
        <w:lang w:val="en-US"/>
      </w:rPr>
      <w:t>83</w:t>
    </w:r>
    <w:r w:rsidR="002C4044">
      <w:rPr>
        <w:rFonts w:ascii="Times New Roman" w:hAnsi="Times New Roman"/>
        <w:noProof/>
        <w:lang w:val="en-US"/>
      </w:rPr>
      <w:t>8</w:t>
    </w:r>
    <w:r w:rsidR="0056169D" w:rsidRPr="0069547D">
      <w:rPr>
        <w:rFonts w:ascii="Times New Roman" w:hAnsi="Times New Roman"/>
        <w:noProof/>
        <w:lang w:val="en-US"/>
      </w:rPr>
      <w:ptab w:relativeTo="margin" w:alignment="center" w:leader="none"/>
    </w:r>
    <w:r w:rsidR="0056169D"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B12F884"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ED6D2D">
      <w:rPr>
        <w:rFonts w:ascii="Times New Roman" w:hAnsi="Times New Roman"/>
        <w:i/>
        <w:lang w:val="en-US"/>
      </w:rPr>
      <w:t>83</w:t>
    </w:r>
    <w:r w:rsidR="002C4044">
      <w:rPr>
        <w:rFonts w:ascii="Times New Roman" w:hAnsi="Times New Roman"/>
        <w:i/>
        <w:lang w:val="en-US"/>
      </w:rPr>
      <w:t>1</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ED6D2D">
      <w:rPr>
        <w:rFonts w:ascii="Times New Roman" w:hAnsi="Times New Roman"/>
        <w:i/>
        <w:lang w:val="en-US"/>
      </w:rPr>
      <w:t>847</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1D3B" w14:textId="28AA104E" w:rsidR="00F56ED3" w:rsidRPr="00F56ED3" w:rsidRDefault="00F56ED3" w:rsidP="00F56ED3">
    <w:pPr>
      <w:spacing w:after="0"/>
      <w:ind w:left="1530" w:hanging="1530"/>
      <w:rPr>
        <w:rFonts w:ascii="Times New Roman" w:hAnsi="Times New Roman"/>
        <w:sz w:val="20"/>
        <w:szCs w:val="20"/>
      </w:rPr>
    </w:pPr>
    <w:r>
      <w:rPr>
        <w:rFonts w:ascii="Times New Roman" w:hAnsi="Times New Roman"/>
        <w:sz w:val="20"/>
        <w:szCs w:val="20"/>
      </w:rPr>
      <w:t>Nur Zabirah et al</w:t>
    </w:r>
    <w:r w:rsidR="008E6968" w:rsidRPr="00F56ED3">
      <w:rPr>
        <w:rFonts w:ascii="Times New Roman" w:hAnsi="Times New Roman"/>
        <w:sz w:val="20"/>
        <w:szCs w:val="20"/>
      </w:rPr>
      <w:t xml:space="preserve">:  </w:t>
    </w:r>
    <w:r>
      <w:rPr>
        <w:rFonts w:ascii="Times New Roman" w:hAnsi="Times New Roman"/>
        <w:sz w:val="20"/>
        <w:szCs w:val="20"/>
      </w:rPr>
      <w:tab/>
    </w:r>
    <w:r w:rsidRPr="00F56ED3">
      <w:rPr>
        <w:rFonts w:ascii="Times New Roman" w:hAnsi="Times New Roman"/>
        <w:sz w:val="20"/>
        <w:szCs w:val="20"/>
      </w:rPr>
      <w:t>ANALYTICAL COMPARATIVE STUDIES OF ADSORPTION EFFICIENCY OF MCM-41 AND SBA-15 ON REMOVAL OF ANIONIC-AZO AND CATIONIC DYES FROM AQUEOUS SAMPLE</w:t>
    </w:r>
  </w:p>
  <w:p w14:paraId="652E6EB3" w14:textId="67EF4356"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7939" w14:textId="77777777" w:rsidR="002C4044" w:rsidRDefault="002C4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668D6"/>
    <w:multiLevelType w:val="hybridMultilevel"/>
    <w:tmpl w:val="FCD4FC60"/>
    <w:lvl w:ilvl="0" w:tplc="4409000F">
      <w:start w:val="1"/>
      <w:numFmt w:val="decimal"/>
      <w:lvlText w:val="%1."/>
      <w:lvlJc w:val="left"/>
      <w:pPr>
        <w:ind w:left="720" w:hanging="360"/>
      </w:pPr>
      <w:rPr>
        <w:rFonts w:hint="default"/>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413D3"/>
    <w:rsid w:val="000513FD"/>
    <w:rsid w:val="00070690"/>
    <w:rsid w:val="00084936"/>
    <w:rsid w:val="000944A8"/>
    <w:rsid w:val="000C49FF"/>
    <w:rsid w:val="000C5261"/>
    <w:rsid w:val="000E5AF1"/>
    <w:rsid w:val="000F77DA"/>
    <w:rsid w:val="001068E8"/>
    <w:rsid w:val="00117BCD"/>
    <w:rsid w:val="0017745A"/>
    <w:rsid w:val="001B0F9D"/>
    <w:rsid w:val="001D035A"/>
    <w:rsid w:val="001D3855"/>
    <w:rsid w:val="001D6F2C"/>
    <w:rsid w:val="001F72B9"/>
    <w:rsid w:val="002004F5"/>
    <w:rsid w:val="00207934"/>
    <w:rsid w:val="00217100"/>
    <w:rsid w:val="00221D39"/>
    <w:rsid w:val="002511DC"/>
    <w:rsid w:val="002752F0"/>
    <w:rsid w:val="002867F0"/>
    <w:rsid w:val="0029079C"/>
    <w:rsid w:val="002B188F"/>
    <w:rsid w:val="002B3BD8"/>
    <w:rsid w:val="002C4044"/>
    <w:rsid w:val="002C5E60"/>
    <w:rsid w:val="002D16DE"/>
    <w:rsid w:val="002F3F91"/>
    <w:rsid w:val="00304767"/>
    <w:rsid w:val="00304B34"/>
    <w:rsid w:val="00312C0E"/>
    <w:rsid w:val="00345738"/>
    <w:rsid w:val="00361BAF"/>
    <w:rsid w:val="00367D1F"/>
    <w:rsid w:val="00373A9B"/>
    <w:rsid w:val="0038323C"/>
    <w:rsid w:val="00383C16"/>
    <w:rsid w:val="00383F26"/>
    <w:rsid w:val="0039005B"/>
    <w:rsid w:val="003A0B88"/>
    <w:rsid w:val="003B0AC0"/>
    <w:rsid w:val="003C3FB0"/>
    <w:rsid w:val="003D585B"/>
    <w:rsid w:val="003E7DA6"/>
    <w:rsid w:val="003F12FF"/>
    <w:rsid w:val="003F39AC"/>
    <w:rsid w:val="00420074"/>
    <w:rsid w:val="004760D4"/>
    <w:rsid w:val="00476162"/>
    <w:rsid w:val="00494C46"/>
    <w:rsid w:val="004A1191"/>
    <w:rsid w:val="004A12DD"/>
    <w:rsid w:val="004B43FF"/>
    <w:rsid w:val="00502641"/>
    <w:rsid w:val="00510BA6"/>
    <w:rsid w:val="00514B67"/>
    <w:rsid w:val="00534441"/>
    <w:rsid w:val="00537C8B"/>
    <w:rsid w:val="00542CFC"/>
    <w:rsid w:val="00545363"/>
    <w:rsid w:val="0056169D"/>
    <w:rsid w:val="00567D9E"/>
    <w:rsid w:val="00583C85"/>
    <w:rsid w:val="00584156"/>
    <w:rsid w:val="00593C23"/>
    <w:rsid w:val="005B27B1"/>
    <w:rsid w:val="005C6768"/>
    <w:rsid w:val="005C7076"/>
    <w:rsid w:val="00624C7C"/>
    <w:rsid w:val="0063144D"/>
    <w:rsid w:val="00634C25"/>
    <w:rsid w:val="00640505"/>
    <w:rsid w:val="006416AB"/>
    <w:rsid w:val="00672075"/>
    <w:rsid w:val="006768E9"/>
    <w:rsid w:val="00687982"/>
    <w:rsid w:val="0069547D"/>
    <w:rsid w:val="00695D0E"/>
    <w:rsid w:val="006A3A0F"/>
    <w:rsid w:val="006B3EC8"/>
    <w:rsid w:val="006D695E"/>
    <w:rsid w:val="006E1A18"/>
    <w:rsid w:val="006F7849"/>
    <w:rsid w:val="00725A6A"/>
    <w:rsid w:val="00730CB3"/>
    <w:rsid w:val="00734E46"/>
    <w:rsid w:val="00735444"/>
    <w:rsid w:val="0075110A"/>
    <w:rsid w:val="00755765"/>
    <w:rsid w:val="007703FE"/>
    <w:rsid w:val="007859BE"/>
    <w:rsid w:val="007943F3"/>
    <w:rsid w:val="007A738C"/>
    <w:rsid w:val="007B1349"/>
    <w:rsid w:val="007E25BD"/>
    <w:rsid w:val="007F4ECC"/>
    <w:rsid w:val="00801E18"/>
    <w:rsid w:val="00802C35"/>
    <w:rsid w:val="00816289"/>
    <w:rsid w:val="0082181A"/>
    <w:rsid w:val="00844EFE"/>
    <w:rsid w:val="0086622B"/>
    <w:rsid w:val="008B02C7"/>
    <w:rsid w:val="008B470E"/>
    <w:rsid w:val="008C14D6"/>
    <w:rsid w:val="008E1211"/>
    <w:rsid w:val="008E5BBF"/>
    <w:rsid w:val="008E6968"/>
    <w:rsid w:val="008F2DC2"/>
    <w:rsid w:val="009110FB"/>
    <w:rsid w:val="00917637"/>
    <w:rsid w:val="00992776"/>
    <w:rsid w:val="009B49A0"/>
    <w:rsid w:val="009E3C55"/>
    <w:rsid w:val="00A07A69"/>
    <w:rsid w:val="00A14DB9"/>
    <w:rsid w:val="00A4762A"/>
    <w:rsid w:val="00A74A7E"/>
    <w:rsid w:val="00A87399"/>
    <w:rsid w:val="00AD1B8A"/>
    <w:rsid w:val="00AD76AF"/>
    <w:rsid w:val="00AE713F"/>
    <w:rsid w:val="00B0013D"/>
    <w:rsid w:val="00B1121C"/>
    <w:rsid w:val="00B25B65"/>
    <w:rsid w:val="00B2770A"/>
    <w:rsid w:val="00B314AD"/>
    <w:rsid w:val="00B31B86"/>
    <w:rsid w:val="00B36193"/>
    <w:rsid w:val="00B60358"/>
    <w:rsid w:val="00B71E50"/>
    <w:rsid w:val="00B7255A"/>
    <w:rsid w:val="00B75BF6"/>
    <w:rsid w:val="00B95E42"/>
    <w:rsid w:val="00BA1F7B"/>
    <w:rsid w:val="00BB223B"/>
    <w:rsid w:val="00BB58AF"/>
    <w:rsid w:val="00BD2480"/>
    <w:rsid w:val="00BE2D36"/>
    <w:rsid w:val="00BE7C30"/>
    <w:rsid w:val="00C055BF"/>
    <w:rsid w:val="00C0756D"/>
    <w:rsid w:val="00C1265D"/>
    <w:rsid w:val="00C2226A"/>
    <w:rsid w:val="00C35F94"/>
    <w:rsid w:val="00C677E8"/>
    <w:rsid w:val="00C746FC"/>
    <w:rsid w:val="00C80273"/>
    <w:rsid w:val="00C943DD"/>
    <w:rsid w:val="00C94D92"/>
    <w:rsid w:val="00C97340"/>
    <w:rsid w:val="00C97B0A"/>
    <w:rsid w:val="00CA513F"/>
    <w:rsid w:val="00CB2A8B"/>
    <w:rsid w:val="00CC4911"/>
    <w:rsid w:val="00CC6D67"/>
    <w:rsid w:val="00CD41CA"/>
    <w:rsid w:val="00CF05FF"/>
    <w:rsid w:val="00D33D1A"/>
    <w:rsid w:val="00D340BB"/>
    <w:rsid w:val="00D4062C"/>
    <w:rsid w:val="00D505D5"/>
    <w:rsid w:val="00D63C28"/>
    <w:rsid w:val="00D75B35"/>
    <w:rsid w:val="00D76E09"/>
    <w:rsid w:val="00D9736F"/>
    <w:rsid w:val="00D97773"/>
    <w:rsid w:val="00D9792A"/>
    <w:rsid w:val="00DD377F"/>
    <w:rsid w:val="00E17493"/>
    <w:rsid w:val="00E229C4"/>
    <w:rsid w:val="00E25547"/>
    <w:rsid w:val="00E2773B"/>
    <w:rsid w:val="00E3287E"/>
    <w:rsid w:val="00E66197"/>
    <w:rsid w:val="00EB5BA5"/>
    <w:rsid w:val="00EC4EE2"/>
    <w:rsid w:val="00ED6D2D"/>
    <w:rsid w:val="00EF4195"/>
    <w:rsid w:val="00F17B79"/>
    <w:rsid w:val="00F202C3"/>
    <w:rsid w:val="00F23D94"/>
    <w:rsid w:val="00F27F0F"/>
    <w:rsid w:val="00F307D5"/>
    <w:rsid w:val="00F31093"/>
    <w:rsid w:val="00F412AF"/>
    <w:rsid w:val="00F43667"/>
    <w:rsid w:val="00F447A7"/>
    <w:rsid w:val="00F467A2"/>
    <w:rsid w:val="00F567E6"/>
    <w:rsid w:val="00F56ED3"/>
    <w:rsid w:val="00F743E1"/>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EndNoteandMendelayBibliography">
    <w:name w:val="EndNote and Mendelay Bibliography"/>
    <w:link w:val="EndNoteandMendelayBibliographyChar"/>
    <w:autoRedefine/>
    <w:uiPriority w:val="14"/>
    <w:rsid w:val="0075110A"/>
    <w:pPr>
      <w:jc w:val="both"/>
    </w:pPr>
    <w:rPr>
      <w:rFonts w:ascii="Times New Roman" w:eastAsia="Times New Roman" w:hAnsi="Times New Roman"/>
      <w:noProof/>
      <w:lang w:eastAsia="en-US"/>
    </w:rPr>
  </w:style>
  <w:style w:type="character" w:customStyle="1" w:styleId="EndNoteandMendelayBibliographyChar">
    <w:name w:val="EndNote and Mendelay Bibliography Char"/>
    <w:link w:val="EndNoteandMendelayBibliography"/>
    <w:uiPriority w:val="14"/>
    <w:rsid w:val="0075110A"/>
    <w:rPr>
      <w:rFonts w:ascii="Times New Roman" w:eastAsia="Times New Roman" w:hAnsi="Times New Roman"/>
      <w:noProof/>
      <w:lang w:eastAsia="en-US"/>
    </w:rPr>
  </w:style>
  <w:style w:type="paragraph" w:styleId="NormalWeb">
    <w:name w:val="Normal (Web)"/>
    <w:basedOn w:val="Normal"/>
    <w:uiPriority w:val="99"/>
    <w:unhideWhenUsed/>
    <w:rsid w:val="0075110A"/>
    <w:pPr>
      <w:spacing w:before="100" w:beforeAutospacing="1" w:after="100" w:afterAutospacing="1" w:line="240" w:lineRule="auto"/>
    </w:pPr>
    <w:rPr>
      <w:rFonts w:ascii="Times New Roman" w:hAnsi="Times New Roman"/>
      <w:sz w:val="24"/>
      <w:szCs w:val="24"/>
      <w:lang w:val="en-MY" w:eastAsia="ja-JP" w:bidi="ar-SA"/>
    </w:rPr>
  </w:style>
  <w:style w:type="paragraph" w:customStyle="1" w:styleId="NormalUiTMParagraph1">
    <w:name w:val="Normal UiTM Paragraph 1"/>
    <w:basedOn w:val="Normal"/>
    <w:link w:val="NormalUiTMParagraph1Char"/>
    <w:autoRedefine/>
    <w:uiPriority w:val="9"/>
    <w:qFormat/>
    <w:rsid w:val="0075110A"/>
    <w:pPr>
      <w:widowControl w:val="0"/>
      <w:spacing w:after="0" w:line="480" w:lineRule="auto"/>
      <w:ind w:left="720"/>
      <w:jc w:val="both"/>
    </w:pPr>
    <w:rPr>
      <w:rFonts w:ascii="Times New Roman" w:hAnsi="Times New Roman"/>
      <w:sz w:val="24"/>
      <w:szCs w:val="24"/>
      <w:lang w:bidi="ar-SA"/>
    </w:rPr>
  </w:style>
  <w:style w:type="character" w:customStyle="1" w:styleId="NormalUiTMParagraph1Char">
    <w:name w:val="Normal UiTM Paragraph 1 Char"/>
    <w:basedOn w:val="DefaultParagraphFont"/>
    <w:link w:val="NormalUiTMParagraph1"/>
    <w:uiPriority w:val="9"/>
    <w:rsid w:val="0075110A"/>
    <w:rPr>
      <w:rFonts w:ascii="Times New Roman" w:eastAsia="Times New Roman" w:hAnsi="Times New Roman"/>
      <w:sz w:val="24"/>
      <w:szCs w:val="24"/>
      <w:lang w:val="en-US" w:eastAsia="en-US"/>
    </w:rPr>
  </w:style>
  <w:style w:type="paragraph" w:customStyle="1" w:styleId="CaptionforEquationCentre">
    <w:name w:val="Caption for Equation Centre"/>
    <w:basedOn w:val="Normal"/>
    <w:next w:val="Normal"/>
    <w:autoRedefine/>
    <w:uiPriority w:val="12"/>
    <w:qFormat/>
    <w:rsid w:val="00CB2A8B"/>
    <w:pPr>
      <w:widowControl w:val="0"/>
      <w:spacing w:after="0"/>
      <w:jc w:val="both"/>
    </w:pPr>
    <w:rPr>
      <w:rFonts w:ascii="Cambria Math" w:hAnsi="Cambria Math"/>
      <w:i/>
      <w:noProof/>
      <w:sz w:val="20"/>
      <w:szCs w:val="20"/>
      <w:lang w:val="en-MY" w:bidi="ar-SA"/>
    </w:rPr>
  </w:style>
  <w:style w:type="paragraph" w:customStyle="1" w:styleId="CaptionforEquationRight">
    <w:name w:val="Caption for Equation Right"/>
    <w:basedOn w:val="Normal"/>
    <w:next w:val="Normal"/>
    <w:autoRedefine/>
    <w:uiPriority w:val="12"/>
    <w:qFormat/>
    <w:rsid w:val="0075110A"/>
    <w:pPr>
      <w:framePr w:wrap="notBeside" w:hAnchor="text" w:xAlign="right" w:yAlign="center"/>
      <w:widowControl w:val="0"/>
      <w:spacing w:beforeLines="100" w:before="240" w:afterLines="100" w:after="240" w:line="240" w:lineRule="auto"/>
      <w:jc w:val="right"/>
    </w:pPr>
    <w:rPr>
      <w:rFonts w:ascii="Times New Roman" w:hAnsi="Times New Roman"/>
      <w:noProof/>
      <w:szCs w:val="16"/>
      <w:lang w:val="en-MY" w:bidi="ar-SA"/>
    </w:rPr>
  </w:style>
  <w:style w:type="table" w:styleId="TableGrid">
    <w:name w:val="Table Grid"/>
    <w:basedOn w:val="TableNormal"/>
    <w:uiPriority w:val="39"/>
    <w:rsid w:val="0075110A"/>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110A"/>
    <w:rPr>
      <w:sz w:val="16"/>
      <w:szCs w:val="16"/>
    </w:rPr>
  </w:style>
  <w:style w:type="paragraph" w:styleId="CommentText">
    <w:name w:val="annotation text"/>
    <w:basedOn w:val="Normal"/>
    <w:link w:val="CommentTextChar"/>
    <w:uiPriority w:val="99"/>
    <w:semiHidden/>
    <w:unhideWhenUsed/>
    <w:rsid w:val="0075110A"/>
    <w:pPr>
      <w:spacing w:after="160" w:line="240" w:lineRule="auto"/>
    </w:pPr>
    <w:rPr>
      <w:rFonts w:asciiTheme="minorHAnsi" w:eastAsiaTheme="minorEastAsia" w:hAnsiTheme="minorHAnsi" w:cstheme="minorBidi"/>
      <w:sz w:val="20"/>
      <w:szCs w:val="20"/>
      <w:lang w:val="en-MY" w:eastAsia="ja-JP" w:bidi="ar-SA"/>
    </w:rPr>
  </w:style>
  <w:style w:type="character" w:customStyle="1" w:styleId="CommentTextChar">
    <w:name w:val="Comment Text Char"/>
    <w:basedOn w:val="DefaultParagraphFont"/>
    <w:link w:val="CommentText"/>
    <w:uiPriority w:val="99"/>
    <w:semiHidden/>
    <w:rsid w:val="0075110A"/>
    <w:rPr>
      <w:rFonts w:asciiTheme="minorHAnsi" w:eastAsiaTheme="minorEastAsia" w:hAnsiTheme="minorHAnsi" w:cstheme="minorBidi"/>
      <w:lang w:eastAsia="ja-JP"/>
    </w:rPr>
  </w:style>
  <w:style w:type="paragraph" w:styleId="CommentSubject">
    <w:name w:val="annotation subject"/>
    <w:basedOn w:val="CommentText"/>
    <w:next w:val="CommentText"/>
    <w:link w:val="CommentSubjectChar"/>
    <w:uiPriority w:val="99"/>
    <w:semiHidden/>
    <w:unhideWhenUsed/>
    <w:rsid w:val="0075110A"/>
    <w:rPr>
      <w:b/>
      <w:bCs/>
    </w:rPr>
  </w:style>
  <w:style w:type="character" w:customStyle="1" w:styleId="CommentSubjectChar">
    <w:name w:val="Comment Subject Char"/>
    <w:basedOn w:val="CommentTextChar"/>
    <w:link w:val="CommentSubject"/>
    <w:uiPriority w:val="99"/>
    <w:semiHidden/>
    <w:rsid w:val="0075110A"/>
    <w:rPr>
      <w:rFonts w:asciiTheme="minorHAnsi" w:eastAsiaTheme="minorEastAsia" w:hAnsiTheme="minorHAnsi" w:cstheme="minorBidi"/>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10.xml"/><Relationship Id="rId39" Type="http://schemas.openxmlformats.org/officeDocument/2006/relationships/footer" Target="footer17.xml"/><Relationship Id="rId21" Type="http://schemas.openxmlformats.org/officeDocument/2006/relationships/footer" Target="footer7.xml"/><Relationship Id="rId34"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image" Target="media/image12.png"/><Relationship Id="rId37" Type="http://schemas.openxmlformats.org/officeDocument/2006/relationships/footer" Target="foot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footer" Target="footer14.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6925</Words>
  <Characters>39473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46306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11</cp:revision>
  <dcterms:created xsi:type="dcterms:W3CDTF">2021-10-13T02:06:00Z</dcterms:created>
  <dcterms:modified xsi:type="dcterms:W3CDTF">2021-10-21T09:37:00Z</dcterms:modified>
</cp:coreProperties>
</file>