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251D6" w14:textId="77777777" w:rsidR="00AC6EB5" w:rsidRPr="00CB36CE" w:rsidRDefault="00AC6EB5" w:rsidP="00AC6EB5">
      <w:pPr>
        <w:spacing w:after="0"/>
        <w:jc w:val="center"/>
        <w:outlineLvl w:val="0"/>
        <w:rPr>
          <w:rFonts w:ascii="Times New Roman" w:hAnsi="Times New Roman"/>
          <w:sz w:val="28"/>
          <w:szCs w:val="28"/>
        </w:rPr>
      </w:pPr>
      <w:bookmarkStart w:id="0" w:name="_Hlk81216877"/>
      <w:bookmarkStart w:id="1" w:name="_Hlk83727523"/>
      <w:r w:rsidRPr="00CB36CE">
        <w:rPr>
          <w:rFonts w:ascii="Times New Roman" w:hAnsi="Times New Roman"/>
          <w:sz w:val="28"/>
          <w:szCs w:val="28"/>
        </w:rPr>
        <w:t xml:space="preserve">EFFECT OF PLANT ORGANS OF </w:t>
      </w:r>
      <w:r w:rsidRPr="00CB36CE">
        <w:rPr>
          <w:rFonts w:ascii="Times New Roman" w:hAnsi="Times New Roman"/>
          <w:i/>
          <w:iCs/>
          <w:sz w:val="28"/>
          <w:szCs w:val="28"/>
        </w:rPr>
        <w:t>Ficus deltoidea</w:t>
      </w:r>
      <w:r w:rsidRPr="00CB36CE">
        <w:rPr>
          <w:rFonts w:ascii="Times New Roman" w:hAnsi="Times New Roman"/>
          <w:sz w:val="28"/>
          <w:szCs w:val="28"/>
        </w:rPr>
        <w:t xml:space="preserve"> IN THE SYNTHESIS</w:t>
      </w:r>
    </w:p>
    <w:p w14:paraId="7D7A48EB" w14:textId="77777777" w:rsidR="00AC6EB5" w:rsidRPr="00CB36CE" w:rsidRDefault="00AC6EB5" w:rsidP="00AC6EB5">
      <w:pPr>
        <w:spacing w:after="0"/>
        <w:jc w:val="center"/>
        <w:outlineLvl w:val="0"/>
        <w:rPr>
          <w:rFonts w:ascii="Times New Roman" w:hAnsi="Times New Roman"/>
          <w:sz w:val="28"/>
          <w:szCs w:val="28"/>
        </w:rPr>
      </w:pPr>
      <w:r w:rsidRPr="00CB36CE">
        <w:rPr>
          <w:rFonts w:ascii="Times New Roman" w:hAnsi="Times New Roman"/>
          <w:sz w:val="28"/>
          <w:szCs w:val="28"/>
        </w:rPr>
        <w:t>OF SILVER NANOPARTICLES</w:t>
      </w:r>
      <w:bookmarkEnd w:id="0"/>
    </w:p>
    <w:bookmarkEnd w:id="1"/>
    <w:p w14:paraId="574C58D4" w14:textId="77777777" w:rsidR="00AC6EB5" w:rsidRPr="00CB36CE" w:rsidRDefault="00AC6EB5" w:rsidP="00AC6EB5">
      <w:pPr>
        <w:spacing w:after="0"/>
        <w:jc w:val="center"/>
        <w:outlineLvl w:val="0"/>
        <w:rPr>
          <w:rFonts w:ascii="Times New Roman" w:hAnsi="Times New Roman"/>
          <w:sz w:val="24"/>
          <w:szCs w:val="24"/>
        </w:rPr>
      </w:pPr>
    </w:p>
    <w:p w14:paraId="26F8A7CA" w14:textId="77777777" w:rsidR="00AC6EB5" w:rsidRPr="00CB36CE" w:rsidRDefault="00AC6EB5" w:rsidP="00AC6EB5">
      <w:pPr>
        <w:spacing w:after="0"/>
        <w:jc w:val="center"/>
        <w:rPr>
          <w:rFonts w:ascii="Times New Roman" w:hAnsi="Times New Roman"/>
          <w:noProof/>
          <w:sz w:val="24"/>
          <w:szCs w:val="24"/>
        </w:rPr>
      </w:pPr>
      <w:r w:rsidRPr="00CB36CE">
        <w:rPr>
          <w:rFonts w:ascii="Times New Roman" w:hAnsi="Times New Roman"/>
          <w:noProof/>
          <w:sz w:val="24"/>
          <w:szCs w:val="24"/>
          <w:lang w:bidi="ar-SA"/>
        </w:rPr>
        <w:t>(</w:t>
      </w:r>
      <w:r w:rsidRPr="00CB36CE">
        <w:rPr>
          <w:rFonts w:ascii="Times New Roman" w:hAnsi="Times New Roman"/>
          <w:noProof/>
          <w:sz w:val="24"/>
          <w:szCs w:val="24"/>
        </w:rPr>
        <w:t xml:space="preserve">Kesan Organ Tumbuhan </w:t>
      </w:r>
      <w:r w:rsidRPr="00CB36CE">
        <w:rPr>
          <w:rFonts w:ascii="Times New Roman" w:hAnsi="Times New Roman"/>
          <w:i/>
          <w:iCs/>
          <w:noProof/>
          <w:sz w:val="24"/>
          <w:szCs w:val="24"/>
        </w:rPr>
        <w:t>Ficus deltoidea</w:t>
      </w:r>
      <w:r w:rsidRPr="00CB36CE">
        <w:rPr>
          <w:rFonts w:ascii="Times New Roman" w:hAnsi="Times New Roman"/>
          <w:noProof/>
          <w:sz w:val="24"/>
          <w:szCs w:val="24"/>
        </w:rPr>
        <w:t xml:space="preserve"> dalam Mensintesis Nanopartikel Perak</w:t>
      </w:r>
      <w:r w:rsidRPr="00CB36CE">
        <w:rPr>
          <w:rFonts w:ascii="Times New Roman" w:hAnsi="Times New Roman"/>
          <w:noProof/>
          <w:sz w:val="24"/>
          <w:szCs w:val="24"/>
          <w:lang w:bidi="ar-SA"/>
        </w:rPr>
        <w:t>)</w:t>
      </w:r>
    </w:p>
    <w:p w14:paraId="2C49C401" w14:textId="77777777" w:rsidR="00AC6EB5" w:rsidRPr="00CB36CE" w:rsidRDefault="00AC6EB5" w:rsidP="00AC6EB5">
      <w:pPr>
        <w:spacing w:after="0"/>
        <w:jc w:val="center"/>
        <w:rPr>
          <w:rFonts w:ascii="Times New Roman" w:hAnsi="Times New Roman"/>
          <w:noProof/>
          <w:sz w:val="20"/>
          <w:szCs w:val="20"/>
          <w:lang w:bidi="ar-SA"/>
        </w:rPr>
      </w:pPr>
    </w:p>
    <w:p w14:paraId="24F1291D" w14:textId="77777777" w:rsidR="00AC6EB5" w:rsidRPr="00CB36CE" w:rsidRDefault="00AC6EB5" w:rsidP="00AC6EB5">
      <w:pPr>
        <w:spacing w:after="0"/>
        <w:jc w:val="center"/>
        <w:outlineLvl w:val="0"/>
        <w:rPr>
          <w:rFonts w:ascii="Times New Roman" w:hAnsi="Times New Roman"/>
          <w:noProof/>
          <w:sz w:val="20"/>
          <w:szCs w:val="20"/>
        </w:rPr>
      </w:pPr>
      <w:r w:rsidRPr="00CB36CE">
        <w:rPr>
          <w:rFonts w:ascii="Times New Roman" w:hAnsi="Times New Roman"/>
          <w:noProof/>
          <w:sz w:val="20"/>
          <w:szCs w:val="20"/>
        </w:rPr>
        <w:t>Shahrulnizahana Mohammad Din</w:t>
      </w:r>
      <w:r w:rsidRPr="00CB36CE">
        <w:rPr>
          <w:rFonts w:ascii="Times New Roman" w:hAnsi="Times New Roman"/>
          <w:noProof/>
          <w:sz w:val="20"/>
          <w:szCs w:val="20"/>
          <w:vertAlign w:val="superscript"/>
        </w:rPr>
        <w:t>1,2</w:t>
      </w:r>
      <w:r w:rsidRPr="00CB36CE">
        <w:rPr>
          <w:rFonts w:ascii="Times New Roman" w:hAnsi="Times New Roman"/>
          <w:noProof/>
          <w:sz w:val="20"/>
          <w:szCs w:val="20"/>
        </w:rPr>
        <w:t>, Nik Ahmad Nizam Nik Malek</w:t>
      </w:r>
      <w:r w:rsidRPr="00CB36CE">
        <w:rPr>
          <w:rFonts w:ascii="Times New Roman" w:hAnsi="Times New Roman"/>
          <w:noProof/>
          <w:sz w:val="20"/>
          <w:szCs w:val="20"/>
          <w:vertAlign w:val="superscript"/>
        </w:rPr>
        <w:t>1,3</w:t>
      </w:r>
      <w:r w:rsidRPr="00CB36CE">
        <w:rPr>
          <w:rFonts w:ascii="Times New Roman" w:hAnsi="Times New Roman"/>
          <w:noProof/>
          <w:sz w:val="20"/>
          <w:szCs w:val="20"/>
        </w:rPr>
        <w:t>*, Mustaffa Shamsuddin</w:t>
      </w:r>
      <w:r w:rsidRPr="00CB36CE">
        <w:rPr>
          <w:rFonts w:ascii="Times New Roman" w:hAnsi="Times New Roman"/>
          <w:noProof/>
          <w:sz w:val="20"/>
          <w:szCs w:val="20"/>
          <w:vertAlign w:val="superscript"/>
        </w:rPr>
        <w:t>4</w:t>
      </w:r>
      <w:r w:rsidRPr="00CB36CE">
        <w:rPr>
          <w:rFonts w:ascii="Times New Roman" w:hAnsi="Times New Roman"/>
          <w:noProof/>
          <w:sz w:val="20"/>
          <w:szCs w:val="20"/>
        </w:rPr>
        <w:t>, Juan Matmin</w:t>
      </w:r>
      <w:r w:rsidRPr="00CB36CE">
        <w:rPr>
          <w:rFonts w:ascii="Times New Roman" w:hAnsi="Times New Roman"/>
          <w:noProof/>
          <w:sz w:val="20"/>
          <w:szCs w:val="20"/>
          <w:vertAlign w:val="superscript"/>
        </w:rPr>
        <w:t>4</w:t>
      </w:r>
    </w:p>
    <w:p w14:paraId="52C313B4" w14:textId="77777777" w:rsidR="00AC6EB5" w:rsidRPr="000C1E46" w:rsidRDefault="00AC6EB5" w:rsidP="00AC6EB5">
      <w:pPr>
        <w:spacing w:after="0"/>
        <w:jc w:val="center"/>
        <w:outlineLvl w:val="0"/>
        <w:rPr>
          <w:rFonts w:ascii="Times New Roman" w:hAnsi="Times New Roman"/>
          <w:noProof/>
          <w:sz w:val="20"/>
          <w:szCs w:val="18"/>
        </w:rPr>
      </w:pPr>
    </w:p>
    <w:p w14:paraId="20D7B5E3"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1</w:t>
      </w:r>
      <w:r w:rsidRPr="001771F6">
        <w:rPr>
          <w:rFonts w:ascii="Times New Roman" w:hAnsi="Times New Roman"/>
          <w:i/>
          <w:iCs/>
          <w:noProof/>
          <w:sz w:val="18"/>
          <w:szCs w:val="18"/>
        </w:rPr>
        <w:t>Department of Biosciences, Faculty of Science,</w:t>
      </w:r>
    </w:p>
    <w:p w14:paraId="0E69829C" w14:textId="77777777" w:rsidR="00AC6EB5" w:rsidRPr="001771F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00C4568B"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2</w:t>
      </w:r>
      <w:r w:rsidRPr="001771F6">
        <w:rPr>
          <w:rFonts w:ascii="Times New Roman" w:hAnsi="Times New Roman"/>
          <w:i/>
          <w:iCs/>
          <w:noProof/>
          <w:sz w:val="18"/>
          <w:szCs w:val="18"/>
        </w:rPr>
        <w:t>Department of Chemistry Malaysia,</w:t>
      </w:r>
    </w:p>
    <w:p w14:paraId="0738CAFF" w14:textId="77777777" w:rsidR="00AC6EB5" w:rsidRPr="001771F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Johore Branch, Jalan Abdul Samad, 80100 Johor Bahru, Johor, Malaysia</w:t>
      </w:r>
    </w:p>
    <w:p w14:paraId="28D04A78"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3</w:t>
      </w:r>
      <w:r w:rsidRPr="001771F6">
        <w:rPr>
          <w:rFonts w:ascii="Times New Roman" w:hAnsi="Times New Roman"/>
          <w:i/>
          <w:iCs/>
          <w:noProof/>
          <w:sz w:val="18"/>
          <w:szCs w:val="18"/>
        </w:rPr>
        <w:t>Centre for Sustainable Nanomaterials (CSNano),</w:t>
      </w:r>
      <w:r>
        <w:rPr>
          <w:rFonts w:ascii="Times New Roman" w:hAnsi="Times New Roman"/>
          <w:i/>
          <w:iCs/>
          <w:noProof/>
          <w:sz w:val="18"/>
          <w:szCs w:val="18"/>
        </w:rPr>
        <w:t xml:space="preserve"> </w:t>
      </w:r>
      <w:r w:rsidRPr="001771F6">
        <w:rPr>
          <w:rFonts w:ascii="Times New Roman" w:hAnsi="Times New Roman"/>
          <w:i/>
          <w:iCs/>
          <w:noProof/>
          <w:sz w:val="18"/>
          <w:szCs w:val="18"/>
        </w:rPr>
        <w:t>Ibnu Sina Institute for Scientific and Industrial Research (ISI-SIR)</w:t>
      </w:r>
    </w:p>
    <w:p w14:paraId="59C5948D" w14:textId="77777777" w:rsidR="00AC6EB5"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vertAlign w:val="superscript"/>
        </w:rPr>
        <w:t>4</w:t>
      </w:r>
      <w:r w:rsidRPr="001771F6">
        <w:rPr>
          <w:rFonts w:ascii="Times New Roman" w:hAnsi="Times New Roman"/>
          <w:i/>
          <w:iCs/>
          <w:noProof/>
          <w:sz w:val="18"/>
          <w:szCs w:val="18"/>
        </w:rPr>
        <w:t>Department of Chemistry, Faculty of Scienc</w:t>
      </w:r>
      <w:r>
        <w:rPr>
          <w:rFonts w:ascii="Times New Roman" w:hAnsi="Times New Roman"/>
          <w:i/>
          <w:iCs/>
          <w:noProof/>
          <w:sz w:val="18"/>
          <w:szCs w:val="18"/>
        </w:rPr>
        <w:t>e</w:t>
      </w:r>
    </w:p>
    <w:p w14:paraId="0BE0DB33" w14:textId="77777777" w:rsidR="00AC6EB5" w:rsidRPr="00CF5766" w:rsidRDefault="00AC6EB5" w:rsidP="00AC6EB5">
      <w:pPr>
        <w:spacing w:after="0"/>
        <w:jc w:val="center"/>
        <w:rPr>
          <w:rFonts w:ascii="Times New Roman" w:hAnsi="Times New Roman"/>
          <w:i/>
          <w:iCs/>
          <w:noProof/>
          <w:sz w:val="18"/>
          <w:szCs w:val="18"/>
        </w:rPr>
      </w:pPr>
      <w:r w:rsidRPr="001771F6">
        <w:rPr>
          <w:rFonts w:ascii="Times New Roman" w:hAnsi="Times New Roman"/>
          <w:i/>
          <w:iCs/>
          <w:noProof/>
          <w:sz w:val="18"/>
          <w:szCs w:val="18"/>
        </w:rPr>
        <w:t>Universiti Teknologi Malaysia, 81310 UTM Johor</w:t>
      </w:r>
      <w:r>
        <w:rPr>
          <w:rFonts w:ascii="Times New Roman" w:hAnsi="Times New Roman"/>
          <w:i/>
          <w:iCs/>
          <w:noProof/>
          <w:sz w:val="18"/>
          <w:szCs w:val="18"/>
        </w:rPr>
        <w:t xml:space="preserve"> Bahru</w:t>
      </w:r>
      <w:r w:rsidRPr="001771F6">
        <w:rPr>
          <w:rFonts w:ascii="Times New Roman" w:hAnsi="Times New Roman"/>
          <w:i/>
          <w:iCs/>
          <w:noProof/>
          <w:sz w:val="18"/>
          <w:szCs w:val="18"/>
        </w:rPr>
        <w:t>, Johor, Malaysia</w:t>
      </w:r>
    </w:p>
    <w:p w14:paraId="4C45F9F6" w14:textId="77777777" w:rsidR="00AC6EB5" w:rsidRPr="00F447A7" w:rsidRDefault="00AC6EB5" w:rsidP="00AC6EB5">
      <w:pPr>
        <w:spacing w:after="0"/>
        <w:jc w:val="center"/>
        <w:rPr>
          <w:rFonts w:ascii="Times New Roman" w:hAnsi="Times New Roman"/>
          <w:noProof/>
          <w:sz w:val="18"/>
          <w:szCs w:val="18"/>
          <w:lang w:bidi="ar-SA"/>
        </w:rPr>
      </w:pPr>
    </w:p>
    <w:p w14:paraId="33932251" w14:textId="77777777" w:rsidR="00AC6EB5" w:rsidRPr="00F447A7" w:rsidRDefault="00AC6EB5" w:rsidP="00AC6EB5">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1771F6">
        <w:rPr>
          <w:rFonts w:ascii="Times New Roman" w:hAnsi="Times New Roman"/>
          <w:i/>
          <w:sz w:val="18"/>
        </w:rPr>
        <w:t>niknizam@utm.my</w:t>
      </w:r>
    </w:p>
    <w:p w14:paraId="2E985000" w14:textId="77777777" w:rsidR="00AC6EB5" w:rsidRPr="00F447A7" w:rsidRDefault="00AC6EB5" w:rsidP="00AC6EB5">
      <w:pPr>
        <w:spacing w:after="0"/>
        <w:jc w:val="center"/>
        <w:rPr>
          <w:rFonts w:ascii="Times New Roman" w:hAnsi="Times New Roman"/>
          <w:noProof/>
          <w:sz w:val="18"/>
          <w:szCs w:val="18"/>
          <w:lang w:bidi="ar-SA"/>
        </w:rPr>
      </w:pPr>
    </w:p>
    <w:p w14:paraId="2441C9EC" w14:textId="77777777" w:rsidR="00AC6EB5" w:rsidRDefault="00AC6EB5" w:rsidP="00AC6EB5">
      <w:pPr>
        <w:spacing w:after="0"/>
        <w:jc w:val="center"/>
        <w:rPr>
          <w:rFonts w:ascii="Times New Roman" w:hAnsi="Times New Roman"/>
          <w:noProof/>
          <w:sz w:val="18"/>
          <w:szCs w:val="18"/>
          <w:lang w:bidi="ar-SA"/>
        </w:rPr>
      </w:pPr>
    </w:p>
    <w:p w14:paraId="0AEC25E0" w14:textId="77777777" w:rsidR="00AC6EB5" w:rsidRDefault="00AC6EB5" w:rsidP="00AC6EB5">
      <w:pPr>
        <w:spacing w:after="0"/>
        <w:jc w:val="center"/>
        <w:rPr>
          <w:rFonts w:ascii="Times New Roman" w:hAnsi="Times New Roman"/>
          <w:noProof/>
          <w:sz w:val="18"/>
          <w:szCs w:val="18"/>
          <w:lang w:bidi="ar-SA"/>
        </w:rPr>
      </w:pPr>
      <w:r>
        <w:rPr>
          <w:rFonts w:ascii="Times New Roman" w:hAnsi="Times New Roman"/>
          <w:noProof/>
          <w:sz w:val="18"/>
          <w:szCs w:val="18"/>
          <w:lang w:bidi="ar-SA"/>
        </w:rPr>
        <w:t>Received: 8 September 2021 ; Accepted: 26 September 2021 ; Published:  xx October 2021</w:t>
      </w:r>
    </w:p>
    <w:p w14:paraId="2075AC43" w14:textId="77777777" w:rsidR="00AC6EB5" w:rsidRDefault="00AC6EB5" w:rsidP="00AC6EB5">
      <w:pPr>
        <w:spacing w:after="0"/>
        <w:jc w:val="center"/>
        <w:rPr>
          <w:rFonts w:ascii="Times New Roman" w:hAnsi="Times New Roman"/>
          <w:noProof/>
          <w:sz w:val="18"/>
          <w:szCs w:val="18"/>
          <w:lang w:bidi="ar-SA"/>
        </w:rPr>
      </w:pPr>
    </w:p>
    <w:p w14:paraId="5D5E4E6B" w14:textId="77777777" w:rsidR="00AC6EB5" w:rsidRPr="00F447A7" w:rsidRDefault="00AC6EB5" w:rsidP="00AC6EB5">
      <w:pPr>
        <w:spacing w:after="0"/>
        <w:jc w:val="center"/>
        <w:rPr>
          <w:rFonts w:ascii="Times New Roman" w:hAnsi="Times New Roman"/>
          <w:noProof/>
          <w:sz w:val="18"/>
          <w:szCs w:val="18"/>
          <w:lang w:bidi="ar-SA"/>
        </w:rPr>
      </w:pPr>
    </w:p>
    <w:p w14:paraId="05F35509" w14:textId="77777777" w:rsidR="00AC6EB5" w:rsidRPr="00F447A7" w:rsidRDefault="00AC6EB5" w:rsidP="00AC6EB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311FEE7" w14:textId="4BA0243E" w:rsidR="00AC6EB5" w:rsidRPr="007C286B" w:rsidRDefault="00AC6EB5" w:rsidP="00AC6EB5">
      <w:pPr>
        <w:spacing w:after="0"/>
        <w:jc w:val="both"/>
        <w:rPr>
          <w:rFonts w:ascii="Times New Roman" w:hAnsi="Times New Roman"/>
          <w:sz w:val="18"/>
          <w:szCs w:val="18"/>
        </w:rPr>
      </w:pPr>
      <w:r w:rsidRPr="007C286B">
        <w:rPr>
          <w:rFonts w:ascii="Times New Roman" w:hAnsi="Times New Roman"/>
          <w:sz w:val="18"/>
          <w:szCs w:val="18"/>
        </w:rPr>
        <w:t xml:space="preserve">The effect of different plant organ extracts (leaf, stem, fig and root) of </w:t>
      </w:r>
      <w:r w:rsidRPr="0039745D">
        <w:rPr>
          <w:rStyle w:val="Emphasis"/>
          <w:rFonts w:ascii="Times New Roman" w:hAnsi="Times New Roman"/>
          <w:b w:val="0"/>
          <w:bCs w:val="0"/>
          <w:color w:val="0E101A"/>
          <w:sz w:val="18"/>
          <w:szCs w:val="18"/>
        </w:rPr>
        <w:t>Ficus deltoidea</w:t>
      </w:r>
      <w:r w:rsidRPr="0039745D">
        <w:rPr>
          <w:rStyle w:val="Emphasis"/>
          <w:rFonts w:ascii="Times New Roman" w:hAnsi="Times New Roman"/>
          <w:color w:val="0E101A"/>
          <w:sz w:val="18"/>
          <w:szCs w:val="18"/>
        </w:rPr>
        <w:t xml:space="preserve"> </w:t>
      </w:r>
      <w:r w:rsidRPr="0039745D">
        <w:rPr>
          <w:rFonts w:ascii="Times New Roman" w:hAnsi="Times New Roman"/>
          <w:sz w:val="18"/>
          <w:szCs w:val="18"/>
        </w:rPr>
        <w:t xml:space="preserve">var. </w:t>
      </w:r>
      <w:r w:rsidRPr="0039745D">
        <w:rPr>
          <w:rStyle w:val="Emphasis"/>
          <w:rFonts w:ascii="Times New Roman" w:hAnsi="Times New Roman"/>
          <w:b w:val="0"/>
          <w:bCs w:val="0"/>
          <w:color w:val="0E101A"/>
          <w:sz w:val="18"/>
          <w:szCs w:val="18"/>
        </w:rPr>
        <w:t>kunstleri</w:t>
      </w:r>
      <w:r w:rsidRPr="007C286B">
        <w:rPr>
          <w:rFonts w:ascii="Times New Roman" w:hAnsi="Times New Roman"/>
          <w:b/>
          <w:bCs/>
          <w:sz w:val="18"/>
          <w:szCs w:val="18"/>
        </w:rPr>
        <w:t xml:space="preserve"> </w:t>
      </w:r>
      <w:r w:rsidRPr="007C286B">
        <w:rPr>
          <w:rFonts w:ascii="Times New Roman" w:hAnsi="Times New Roman"/>
          <w:sz w:val="18"/>
          <w:szCs w:val="18"/>
        </w:rPr>
        <w:t xml:space="preserve">(King) Corner (Mas Cotek) in the synthesis of silver nanoparticles (AgNP) was studied. The plant analysis using liquid chromatography-mass spectrometry (LCMS) yielded more than 100 phytochemical compounds in each organ, of which around 50 % belong to the phenolics, flavonoids and polyphenols compounds. The </w:t>
      </w:r>
      <w:r w:rsidR="00C07CEF">
        <w:rPr>
          <w:rFonts w:ascii="Times New Roman" w:hAnsi="Times New Roman"/>
          <w:sz w:val="18"/>
          <w:szCs w:val="18"/>
        </w:rPr>
        <w:t xml:space="preserve">chemical </w:t>
      </w:r>
      <w:r w:rsidRPr="007C286B">
        <w:rPr>
          <w:rFonts w:ascii="Times New Roman" w:hAnsi="Times New Roman"/>
          <w:sz w:val="18"/>
          <w:szCs w:val="18"/>
        </w:rPr>
        <w:t>marker compounds (vitexin and isovitexin) were only found in the leaf, and Total Phenolic Content (TPC), as well as Total Flavonoid Content (TFC) were observed to be the highest in fig compared to other organs. The localized surface plasmon resonance (LSPR) of the biosynthesised AgNP using all organs was found at 409 to 428 nm. The capping and stabilization of AgNP by phytochemical compounds were verified by Fourier transform infrared (FTIR) spectroscopy as the vibration and stretching of -NH, -CH</w:t>
      </w:r>
      <w:r w:rsidRPr="007C286B">
        <w:rPr>
          <w:rFonts w:ascii="Times New Roman" w:hAnsi="Times New Roman"/>
          <w:sz w:val="18"/>
          <w:szCs w:val="18"/>
          <w:vertAlign w:val="subscript"/>
        </w:rPr>
        <w:t>3</w:t>
      </w:r>
      <w:r w:rsidRPr="007C286B">
        <w:rPr>
          <w:rFonts w:ascii="Times New Roman" w:hAnsi="Times New Roman"/>
          <w:sz w:val="18"/>
          <w:szCs w:val="18"/>
        </w:rPr>
        <w:t>, -CH</w:t>
      </w:r>
      <w:r w:rsidRPr="007C286B">
        <w:rPr>
          <w:rFonts w:ascii="Times New Roman" w:hAnsi="Times New Roman"/>
          <w:sz w:val="18"/>
          <w:szCs w:val="18"/>
          <w:vertAlign w:val="subscript"/>
        </w:rPr>
        <w:t>2</w:t>
      </w:r>
      <w:r w:rsidRPr="007C286B">
        <w:rPr>
          <w:rFonts w:ascii="Times New Roman" w:hAnsi="Times New Roman"/>
          <w:sz w:val="18"/>
          <w:szCs w:val="18"/>
        </w:rPr>
        <w:t>, -CH, C=O and -OH functional groups were found. There was a high abundance of phytochemical compounds in each organ: gallic acid, kaempferol-3-(6''-caffeoylglucoside), quercetin-3-O-rhamnoside and kaempferol 3-(3'',4''-diacetylrhamnoside) in leaf, stem, fig and root, respectively. These compounds belong to the phenolics, flavonoids and polyphenols groups responsible for reducing Ag</w:t>
      </w:r>
      <w:r w:rsidRPr="007C286B">
        <w:rPr>
          <w:rFonts w:ascii="Times New Roman" w:hAnsi="Times New Roman"/>
          <w:sz w:val="18"/>
          <w:szCs w:val="18"/>
          <w:vertAlign w:val="superscript"/>
        </w:rPr>
        <w:t>+</w:t>
      </w:r>
      <w:r w:rsidRPr="007C286B">
        <w:rPr>
          <w:rFonts w:ascii="Times New Roman" w:hAnsi="Times New Roman"/>
          <w:sz w:val="18"/>
          <w:szCs w:val="18"/>
        </w:rPr>
        <w:t xml:space="preserve"> to Ag</w:t>
      </w:r>
      <w:r w:rsidRPr="007C286B">
        <w:rPr>
          <w:rFonts w:ascii="Times New Roman" w:hAnsi="Times New Roman"/>
          <w:sz w:val="18"/>
          <w:szCs w:val="18"/>
          <w:vertAlign w:val="superscript"/>
        </w:rPr>
        <w:t>0</w:t>
      </w:r>
      <w:r w:rsidRPr="007C286B">
        <w:rPr>
          <w:rFonts w:ascii="Times New Roman" w:hAnsi="Times New Roman"/>
          <w:sz w:val="18"/>
          <w:szCs w:val="18"/>
        </w:rPr>
        <w:t xml:space="preserve"> (AgNP). The results indicated that the fig which contained the highest TPC and TFC formed the highest LSPR peak for the formation of AgNP. The most important finding was the ability of each plant organ of </w:t>
      </w:r>
      <w:r w:rsidRPr="007C286B">
        <w:rPr>
          <w:rFonts w:ascii="Times New Roman" w:hAnsi="Times New Roman"/>
          <w:i/>
          <w:iCs/>
          <w:sz w:val="18"/>
          <w:szCs w:val="18"/>
        </w:rPr>
        <w:t>F. deltoidea</w:t>
      </w:r>
      <w:r w:rsidRPr="007C286B">
        <w:rPr>
          <w:rFonts w:ascii="Times New Roman" w:hAnsi="Times New Roman"/>
          <w:sz w:val="18"/>
          <w:szCs w:val="18"/>
        </w:rPr>
        <w:t xml:space="preserve"> in the AgNP biosynthesis.</w:t>
      </w:r>
    </w:p>
    <w:p w14:paraId="446CCC71" w14:textId="77777777" w:rsidR="00AC6EB5" w:rsidRPr="00F447A7" w:rsidRDefault="00AC6EB5" w:rsidP="00AC6EB5">
      <w:pPr>
        <w:spacing w:after="0"/>
        <w:jc w:val="both"/>
        <w:outlineLvl w:val="0"/>
        <w:rPr>
          <w:rFonts w:ascii="Times New Roman" w:hAnsi="Times New Roman"/>
          <w:sz w:val="18"/>
          <w:szCs w:val="18"/>
        </w:rPr>
      </w:pPr>
    </w:p>
    <w:p w14:paraId="1CEBF3CE" w14:textId="77777777" w:rsidR="00AC6EB5" w:rsidRPr="002A0BCC" w:rsidRDefault="00AC6EB5" w:rsidP="00AC6EB5">
      <w:pPr>
        <w:spacing w:after="0"/>
        <w:outlineLvl w:val="0"/>
        <w:rPr>
          <w:rFonts w:ascii="Times New Roman" w:hAnsi="Times New Roman"/>
          <w:color w:val="548DD4" w:themeColor="text2" w:themeTint="99"/>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Pr>
          <w:rFonts w:ascii="Times New Roman" w:hAnsi="Times New Roman"/>
          <w:sz w:val="18"/>
          <w:szCs w:val="18"/>
        </w:rPr>
        <w:t>p</w:t>
      </w:r>
      <w:r w:rsidRPr="001771F6">
        <w:rPr>
          <w:rFonts w:ascii="Times New Roman" w:hAnsi="Times New Roman"/>
          <w:sz w:val="18"/>
          <w:szCs w:val="18"/>
        </w:rPr>
        <w:t xml:space="preserve">lant organs, </w:t>
      </w:r>
      <w:r w:rsidRPr="001771F6">
        <w:rPr>
          <w:rFonts w:ascii="Times New Roman" w:hAnsi="Times New Roman"/>
          <w:i/>
          <w:iCs/>
          <w:sz w:val="18"/>
          <w:szCs w:val="18"/>
        </w:rPr>
        <w:t>Ficus deltoidea</w:t>
      </w:r>
      <w:r w:rsidRPr="001771F6">
        <w:rPr>
          <w:rFonts w:ascii="Times New Roman" w:hAnsi="Times New Roman"/>
          <w:sz w:val="18"/>
          <w:szCs w:val="18"/>
        </w:rPr>
        <w:t xml:space="preserve">, biosynthesis, nanoparticles </w:t>
      </w:r>
    </w:p>
    <w:p w14:paraId="22F4D6C4" w14:textId="77777777" w:rsidR="00AC6EB5" w:rsidRDefault="00AC6EB5" w:rsidP="00AC6EB5">
      <w:pPr>
        <w:spacing w:after="0"/>
        <w:rPr>
          <w:rFonts w:ascii="Times New Roman" w:hAnsi="Times New Roman"/>
          <w:b/>
          <w:noProof/>
          <w:sz w:val="18"/>
          <w:szCs w:val="18"/>
          <w:lang w:bidi="ar-SA"/>
        </w:rPr>
      </w:pPr>
    </w:p>
    <w:p w14:paraId="25DFE822" w14:textId="77777777" w:rsidR="00AC6EB5" w:rsidRPr="00F447A7" w:rsidRDefault="00AC6EB5" w:rsidP="00AC6EB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19D92C68" w14:textId="25A5776C" w:rsidR="00AC6EB5" w:rsidRPr="00F01CBD" w:rsidRDefault="00AC6EB5" w:rsidP="00AC6EB5">
      <w:pPr>
        <w:spacing w:after="0"/>
        <w:jc w:val="both"/>
        <w:outlineLvl w:val="0"/>
        <w:rPr>
          <w:rFonts w:ascii="Times New Roman" w:hAnsi="Times New Roman"/>
          <w:bCs/>
          <w:noProof/>
          <w:sz w:val="18"/>
          <w:szCs w:val="18"/>
          <w:lang w:val="ms-MY"/>
        </w:rPr>
      </w:pPr>
      <w:r w:rsidRPr="00F01CBD">
        <w:rPr>
          <w:rFonts w:ascii="Times New Roman" w:hAnsi="Times New Roman"/>
          <w:bCs/>
          <w:noProof/>
          <w:sz w:val="18"/>
          <w:szCs w:val="18"/>
          <w:lang w:val="ms-MY"/>
        </w:rPr>
        <w:t xml:space="preserve">Kesan ekstrak organ tumbuhan yang berbeza (daun, batang, ara dan akar) dari pokok </w:t>
      </w:r>
      <w:r w:rsidRPr="00F01CBD">
        <w:rPr>
          <w:rFonts w:ascii="Times New Roman" w:hAnsi="Times New Roman"/>
          <w:bCs/>
          <w:i/>
          <w:iCs/>
          <w:noProof/>
          <w:sz w:val="18"/>
          <w:szCs w:val="18"/>
          <w:lang w:val="ms-MY"/>
        </w:rPr>
        <w:t>Ficus deltoidea</w:t>
      </w:r>
      <w:r w:rsidRPr="00F01CBD">
        <w:rPr>
          <w:rFonts w:ascii="Times New Roman" w:hAnsi="Times New Roman"/>
          <w:bCs/>
          <w:noProof/>
          <w:sz w:val="18"/>
          <w:szCs w:val="18"/>
          <w:lang w:val="ms-MY"/>
        </w:rPr>
        <w:t xml:space="preserve"> var. </w:t>
      </w:r>
      <w:r w:rsidRPr="00F01CBD">
        <w:rPr>
          <w:rFonts w:ascii="Times New Roman" w:hAnsi="Times New Roman"/>
          <w:bCs/>
          <w:i/>
          <w:iCs/>
          <w:noProof/>
          <w:sz w:val="18"/>
          <w:szCs w:val="18"/>
          <w:lang w:val="ms-MY"/>
        </w:rPr>
        <w:t>kunstleri</w:t>
      </w:r>
      <w:r w:rsidRPr="00F01CBD">
        <w:rPr>
          <w:rFonts w:ascii="Times New Roman" w:hAnsi="Times New Roman"/>
          <w:bCs/>
          <w:noProof/>
          <w:sz w:val="18"/>
          <w:szCs w:val="18"/>
          <w:lang w:val="ms-MY"/>
        </w:rPr>
        <w:t xml:space="preserve"> (King) Corner (Mas Cotek) dalam mensintesis nanopartikel perak (AgNP) dianalisis dalam kajian ini. Analisis pokok menggunakan spektometri jisim kromatografi </w:t>
      </w:r>
      <w:r>
        <w:rPr>
          <w:rFonts w:ascii="Times New Roman" w:hAnsi="Times New Roman"/>
          <w:bCs/>
          <w:noProof/>
          <w:sz w:val="18"/>
          <w:szCs w:val="18"/>
          <w:lang w:val="ms-MY"/>
        </w:rPr>
        <w:t xml:space="preserve">cecair </w:t>
      </w:r>
      <w:r w:rsidRPr="00F01CBD">
        <w:rPr>
          <w:rFonts w:ascii="Times New Roman" w:hAnsi="Times New Roman"/>
          <w:bCs/>
          <w:noProof/>
          <w:sz w:val="18"/>
          <w:szCs w:val="18"/>
          <w:lang w:val="ms-MY"/>
        </w:rPr>
        <w:t>(LC</w:t>
      </w:r>
      <w:r>
        <w:rPr>
          <w:rFonts w:ascii="Times New Roman" w:hAnsi="Times New Roman"/>
          <w:bCs/>
          <w:noProof/>
          <w:sz w:val="18"/>
          <w:szCs w:val="18"/>
          <w:lang w:val="ms-MY"/>
        </w:rPr>
        <w:t>-</w:t>
      </w:r>
      <w:r w:rsidRPr="00F01CBD">
        <w:rPr>
          <w:rFonts w:ascii="Times New Roman" w:hAnsi="Times New Roman"/>
          <w:bCs/>
          <w:noProof/>
          <w:sz w:val="18"/>
          <w:szCs w:val="18"/>
          <w:lang w:val="ms-MY"/>
        </w:rPr>
        <w:t xml:space="preserve">MS) menemui lebih dari 100 sebatian fitokimia di setiap organ, di mana sekitar 50% tergolong dalam sebatian fenolik, flavonoid dan polifenol. Sebatian penanda </w:t>
      </w:r>
      <w:r w:rsidR="00C07CEF">
        <w:rPr>
          <w:rFonts w:ascii="Times New Roman" w:hAnsi="Times New Roman"/>
          <w:bCs/>
          <w:noProof/>
          <w:sz w:val="18"/>
          <w:szCs w:val="18"/>
          <w:lang w:val="ms-MY"/>
        </w:rPr>
        <w:t>kimia</w:t>
      </w:r>
      <w:r w:rsidRPr="00F01CBD">
        <w:rPr>
          <w:rFonts w:ascii="Times New Roman" w:hAnsi="Times New Roman"/>
          <w:bCs/>
          <w:noProof/>
          <w:sz w:val="18"/>
          <w:szCs w:val="18"/>
          <w:lang w:val="ms-MY"/>
        </w:rPr>
        <w:t xml:space="preserve"> (vitexin dan isovitexin) hanya terdapat pada daun, dan kandungan jumlah fenolik (TPC) serta kandungan jumlah flavonoid (TFC) diperhatikan pada bahagian ara adalah </w:t>
      </w:r>
      <w:r w:rsidRPr="00F01CBD">
        <w:rPr>
          <w:rFonts w:ascii="Times New Roman" w:hAnsi="Times New Roman"/>
          <w:bCs/>
          <w:noProof/>
          <w:sz w:val="18"/>
          <w:szCs w:val="18"/>
          <w:lang w:val="ms-MY"/>
        </w:rPr>
        <w:lastRenderedPageBreak/>
        <w:t xml:space="preserve">tertinggi berbanding organ lain. Resonans plasmon permukaan setempat (LSPR) bagi AgNP biosintesis menggunakan semua organ didapati dalam lingkungan 409 hingga 428 nm. Pembatasan dan penstabilan AgNP oleh sebatian fitokimia disahkan oleh spektroskopi inframerah transformasi Fourier (FTIR) sebagai getaran dan perenggangan kumpulan berfungsi -NH, </w:t>
      </w:r>
      <w:r w:rsidRPr="00F01CBD">
        <w:rPr>
          <w:rFonts w:ascii="Times New Roman" w:hAnsi="Times New Roman"/>
          <w:noProof/>
          <w:sz w:val="18"/>
          <w:szCs w:val="18"/>
          <w:lang w:val="ms-MY"/>
        </w:rPr>
        <w:t>-CH</w:t>
      </w:r>
      <w:r w:rsidRPr="00F01CBD">
        <w:rPr>
          <w:rFonts w:ascii="Times New Roman" w:hAnsi="Times New Roman"/>
          <w:noProof/>
          <w:sz w:val="18"/>
          <w:szCs w:val="18"/>
          <w:vertAlign w:val="subscript"/>
          <w:lang w:val="ms-MY"/>
        </w:rPr>
        <w:t>3</w:t>
      </w:r>
      <w:r w:rsidRPr="00F01CBD">
        <w:rPr>
          <w:rFonts w:ascii="Times New Roman" w:hAnsi="Times New Roman"/>
          <w:noProof/>
          <w:sz w:val="18"/>
          <w:szCs w:val="18"/>
          <w:lang w:val="ms-MY"/>
        </w:rPr>
        <w:t>, -CH</w:t>
      </w:r>
      <w:r w:rsidRPr="00F01CBD">
        <w:rPr>
          <w:rFonts w:ascii="Times New Roman" w:hAnsi="Times New Roman"/>
          <w:noProof/>
          <w:sz w:val="18"/>
          <w:szCs w:val="18"/>
          <w:vertAlign w:val="subscript"/>
          <w:lang w:val="ms-MY"/>
        </w:rPr>
        <w:t>2</w:t>
      </w:r>
      <w:r w:rsidRPr="00F01CBD">
        <w:rPr>
          <w:rFonts w:ascii="Times New Roman" w:hAnsi="Times New Roman"/>
          <w:noProof/>
          <w:sz w:val="18"/>
          <w:szCs w:val="18"/>
          <w:lang w:val="ms-MY"/>
        </w:rPr>
        <w:t>, -CH, C=O dan -OH di kesan. Terdapat sebilangan besar bahan fitokimia di setiap organ iaitu galik asid, kaempferol-3-(6"-kafeglukosida), quersetin-3-O-ramnosida dan kaempferol 3-(3",4"-diasetilramnosida) di bahagian daun, batang, ara dan akar</w:t>
      </w:r>
      <w:r w:rsidRPr="00F01CBD">
        <w:rPr>
          <w:rFonts w:ascii="Times New Roman" w:hAnsi="Times New Roman"/>
          <w:bCs/>
          <w:noProof/>
          <w:sz w:val="18"/>
          <w:szCs w:val="18"/>
          <w:lang w:val="ms-MY"/>
        </w:rPr>
        <w:t xml:space="preserve"> masing-masing. Sebatian ini tergolong dalam kumpulan fenolik, flavonoid dan polifenol yang bertanggungjawab untuk penurunan Ag</w:t>
      </w:r>
      <w:r w:rsidRPr="00F01CBD">
        <w:rPr>
          <w:rFonts w:ascii="Times New Roman" w:hAnsi="Times New Roman"/>
          <w:bCs/>
          <w:noProof/>
          <w:sz w:val="18"/>
          <w:szCs w:val="18"/>
          <w:vertAlign w:val="superscript"/>
          <w:lang w:val="ms-MY"/>
        </w:rPr>
        <w:t>+</w:t>
      </w:r>
      <w:r w:rsidRPr="00F01CBD">
        <w:rPr>
          <w:rFonts w:ascii="Times New Roman" w:hAnsi="Times New Roman"/>
          <w:bCs/>
          <w:noProof/>
          <w:sz w:val="18"/>
          <w:szCs w:val="18"/>
          <w:lang w:val="ms-MY"/>
        </w:rPr>
        <w:t xml:space="preserve"> ke Ag</w:t>
      </w:r>
      <w:r w:rsidRPr="00F01CBD">
        <w:rPr>
          <w:rFonts w:ascii="Times New Roman" w:hAnsi="Times New Roman"/>
          <w:bCs/>
          <w:noProof/>
          <w:sz w:val="18"/>
          <w:szCs w:val="18"/>
          <w:vertAlign w:val="superscript"/>
          <w:lang w:val="ms-MY"/>
        </w:rPr>
        <w:t>0</w:t>
      </w:r>
      <w:r w:rsidRPr="00F01CBD">
        <w:rPr>
          <w:rFonts w:ascii="Times New Roman" w:hAnsi="Times New Roman"/>
          <w:bCs/>
          <w:noProof/>
          <w:sz w:val="18"/>
          <w:szCs w:val="18"/>
          <w:lang w:val="ms-MY"/>
        </w:rPr>
        <w:t xml:space="preserve"> (AgNP). Hasil kajian menunjukkan bahagian ara yang mengandungi TPC dan TFC tertinggi membentuk puncak LSPR tertinggi untuk pembetukan AgNP. Penemuan yang paling penting adalah kemampuan setiap organ pokok </w:t>
      </w:r>
      <w:r w:rsidRPr="00F01CBD">
        <w:rPr>
          <w:rFonts w:ascii="Times New Roman" w:hAnsi="Times New Roman"/>
          <w:bCs/>
          <w:i/>
          <w:iCs/>
          <w:noProof/>
          <w:sz w:val="18"/>
          <w:szCs w:val="18"/>
          <w:lang w:val="ms-MY"/>
        </w:rPr>
        <w:t>F. deltoidea</w:t>
      </w:r>
      <w:r w:rsidRPr="00F01CBD">
        <w:rPr>
          <w:rFonts w:ascii="Times New Roman" w:hAnsi="Times New Roman"/>
          <w:bCs/>
          <w:noProof/>
          <w:sz w:val="18"/>
          <w:szCs w:val="18"/>
          <w:lang w:val="ms-MY"/>
        </w:rPr>
        <w:t xml:space="preserve"> dalam biosintesis AgNP. </w:t>
      </w:r>
    </w:p>
    <w:p w14:paraId="3B895345" w14:textId="77777777" w:rsidR="00AC6EB5" w:rsidRDefault="00AC6EB5" w:rsidP="00AC6EB5">
      <w:pPr>
        <w:spacing w:after="0"/>
        <w:rPr>
          <w:rFonts w:ascii="Times New Roman" w:hAnsi="Times New Roman"/>
          <w:b/>
          <w:noProof/>
          <w:sz w:val="18"/>
          <w:szCs w:val="18"/>
          <w:lang w:bidi="ar-SA"/>
        </w:rPr>
      </w:pPr>
    </w:p>
    <w:p w14:paraId="1E4C4E78" w14:textId="59F940A7" w:rsidR="00AC6EB5" w:rsidRDefault="00AC6EB5" w:rsidP="00AC6EB5">
      <w:pPr>
        <w:spacing w:after="0"/>
        <w:rPr>
          <w:rFonts w:ascii="Times New Roman" w:hAnsi="Times New Roman"/>
          <w:noProof/>
          <w:sz w:val="18"/>
          <w:szCs w:val="18"/>
          <w:lang w:val="ms-MY"/>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Pr>
          <w:rFonts w:ascii="Times New Roman" w:hAnsi="Times New Roman"/>
          <w:noProof/>
          <w:sz w:val="18"/>
          <w:szCs w:val="18"/>
          <w:lang w:val="ms-MY"/>
        </w:rPr>
        <w:t>o</w:t>
      </w:r>
      <w:r w:rsidRPr="00F01CBD">
        <w:rPr>
          <w:rFonts w:ascii="Times New Roman" w:hAnsi="Times New Roman"/>
          <w:noProof/>
          <w:sz w:val="18"/>
          <w:szCs w:val="18"/>
          <w:lang w:val="ms-MY"/>
        </w:rPr>
        <w:t xml:space="preserve">rgan tumbuhan, </w:t>
      </w:r>
      <w:r w:rsidRPr="00F01CBD">
        <w:rPr>
          <w:rFonts w:ascii="Times New Roman" w:hAnsi="Times New Roman"/>
          <w:i/>
          <w:iCs/>
          <w:noProof/>
          <w:sz w:val="18"/>
          <w:szCs w:val="18"/>
          <w:lang w:val="ms-MY"/>
        </w:rPr>
        <w:t>Ficus deltoidea</w:t>
      </w:r>
      <w:r w:rsidRPr="00F01CBD">
        <w:rPr>
          <w:rFonts w:ascii="Times New Roman" w:hAnsi="Times New Roman"/>
          <w:noProof/>
          <w:sz w:val="18"/>
          <w:szCs w:val="18"/>
          <w:lang w:val="ms-MY"/>
        </w:rPr>
        <w:t>, biosintesis, partikel-nano</w:t>
      </w:r>
    </w:p>
    <w:p w14:paraId="4A323B8E" w14:textId="04239E37" w:rsidR="00AC6EB5" w:rsidRPr="00AC6EB5" w:rsidRDefault="00AC6EB5" w:rsidP="00AC6EB5">
      <w:pPr>
        <w:spacing w:after="0"/>
        <w:jc w:val="center"/>
        <w:rPr>
          <w:rFonts w:ascii="Times New Roman" w:hAnsi="Times New Roman"/>
          <w:noProof/>
          <w:sz w:val="20"/>
          <w:szCs w:val="20"/>
          <w:lang w:val="ms-MY"/>
        </w:rPr>
      </w:pPr>
    </w:p>
    <w:p w14:paraId="65795F79" w14:textId="77777777" w:rsidR="00AC6EB5" w:rsidRPr="00AC6EB5" w:rsidRDefault="00AC6EB5" w:rsidP="00AC6EB5">
      <w:pPr>
        <w:spacing w:after="0"/>
        <w:jc w:val="center"/>
        <w:rPr>
          <w:rFonts w:ascii="Times New Roman" w:hAnsi="Times New Roman"/>
          <w:noProof/>
          <w:sz w:val="20"/>
          <w:szCs w:val="20"/>
          <w:lang w:bidi="ar-SA"/>
        </w:rPr>
      </w:pPr>
    </w:p>
    <w:p w14:paraId="39355F12" w14:textId="77777777" w:rsidR="00AC6EB5" w:rsidRDefault="00AC6EB5" w:rsidP="00AC6EB5">
      <w:pPr>
        <w:spacing w:after="0"/>
        <w:jc w:val="center"/>
        <w:rPr>
          <w:rFonts w:ascii="Times New Roman" w:hAnsi="Times New Roman"/>
          <w:b/>
          <w:noProof/>
          <w:sz w:val="20"/>
          <w:szCs w:val="20"/>
          <w:lang w:bidi="ar-SA"/>
        </w:rPr>
        <w:sectPr w:rsidR="00AC6EB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397D4CE1" w14:textId="30BF6293" w:rsidR="00AC6EB5" w:rsidRPr="00A125BD" w:rsidRDefault="00AC6EB5" w:rsidP="00AC6EB5">
      <w:pPr>
        <w:spacing w:after="0"/>
        <w:jc w:val="center"/>
        <w:rPr>
          <w:rFonts w:ascii="Times New Roman" w:hAnsi="Times New Roman"/>
          <w:b/>
          <w:noProof/>
          <w:sz w:val="20"/>
          <w:szCs w:val="20"/>
          <w:lang w:bidi="ar-SA"/>
        </w:rPr>
      </w:pPr>
      <w:r w:rsidRPr="00A125BD">
        <w:rPr>
          <w:rFonts w:ascii="Times New Roman" w:hAnsi="Times New Roman"/>
          <w:b/>
          <w:noProof/>
          <w:sz w:val="20"/>
          <w:szCs w:val="20"/>
          <w:lang w:bidi="ar-SA"/>
        </w:rPr>
        <w:t>Introduction</w:t>
      </w:r>
    </w:p>
    <w:p w14:paraId="16FB3140" w14:textId="77777777" w:rsidR="00AC6EB5" w:rsidRPr="00A125BD" w:rsidRDefault="00AC6EB5" w:rsidP="00AC6EB5">
      <w:pPr>
        <w:spacing w:after="0"/>
        <w:jc w:val="both"/>
        <w:outlineLvl w:val="0"/>
        <w:rPr>
          <w:rFonts w:ascii="Times New Roman" w:hAnsi="Times New Roman"/>
          <w:bCs/>
          <w:sz w:val="20"/>
          <w:szCs w:val="20"/>
          <w:lang w:val="en-GB"/>
        </w:rPr>
      </w:pPr>
      <w:bookmarkStart w:id="2" w:name="_Hlk80976461"/>
      <w:r w:rsidRPr="00A125BD">
        <w:rPr>
          <w:rFonts w:ascii="Times New Roman" w:hAnsi="Times New Roman"/>
          <w:bCs/>
          <w:sz w:val="20"/>
          <w:szCs w:val="20"/>
          <w:lang w:val="en-GB"/>
        </w:rPr>
        <w:t xml:space="preserve">Plant organs such as leaves, stems, roots, flowers, fruits, and seeds have diverse phytochemical compounds </w:t>
      </w:r>
      <w:bookmarkEnd w:id="2"/>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{"citationItems":[{"id":"ITEM-1","itemData":{"DOI":"10.1016/B978-0-12-811521-3/00014-4","ISBN":"9780128115213","author":[{"dropping-particle":"","family":"Muhamad","given":"Ida I","non-dropping-particle":"","parse-names":false,"suffix":""},{"dropping-particle":"","family":"Hassan","given":"Nor D","non-dropping-particle":"","parse-names":false,"suffix":""},{"dropping-particle":"","family":"Mamat","given":"Siti N H","non-dropping-particle":"","parse-names":false,"suffix":""},{"dropping-particle":"","family":"Nawi","given":"Norazlina M","non-dropping-particle":"","parse-names":false,"suffix":""},{"dropping-particle":"","family":"Rashid","given":"Wahida A","non-dropping-particle":"","parse-names":false,"suffix":""},{"dropping-particle":"","family":"Tan","given":"Nuraimi A","non-dropping-particle":"","parse-names":false,"suffix":""}],"container-title":"Ingredients Extraction by Physico-Chemical Methods in Food","id":"ITEM-1","issued":{"date-parts":[["2017"]]},"note":"Vitexin and isovitexin - Enzyme that responsible for the breakdown of carbohydrate to sugar","page":"523-560","publisher":"Elsevier Inc.","title":"Extraction Technologies and Solvents of Phytocompounds From Plant Materials : Physicochemical Characterization and Identification of Ingredients and Bioactive Compounds From Plant Extract Using Various Instrumentations","type":"chapter"},"uris":["http://www.mendeley.com/documents/?uuid=8aa483b1-f6fc-432d-86ed-3c040d686750"]}],"mendeley":{"formattedCitation":"[1]","plainTextFormattedCitation":"[1]","previouslyFormattedCitation":"[1]"},"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[1]</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The type and concentration of the phytochemical compounds depend on the metabolism and the functions of the plant organs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{"citationItems":[{"id":"ITEM-1","itemData":{"abstract":"The green belt of Mother Nature is the richest source of bioactive phytochemicals and natural nutraceuticals. Enormous work done during the past fifty years has shown that these phytochemicals play an important role in the routine healthcare systems worldwide. The major classes of phytochemicals like alkaloids, phenolics, terpenoids and tannins have potential to prevent diseases and act as anti-microbial, anti- inflammatory, anti-oxidant, anti-cancerous, detoxifying agent, immunity- potentiating agent and neuropharmacological agent. Each class of these functional agents consists of a wide range of chemicals with differing potency. Some of these phytochemicals are found to be multifunctional. There is, however, much scope for further systematic research in screening Indian medicinal plants for their phytochemicals and assessing theirpotentiality as crude drug or drug components.","author":[{"dropping-particle":"","family":"Deepak","given":"Koche","non-dropping-particle":"","parse-names":false,"suffix":""},{"dropping-particle":"","family":"Shirsat","given":"Rupali","non-dropping-particle":"","parse-names":false,"suffix":""},{"dropping-particle":"","family":"Kawale","given":"Mahesh","non-dropping-particle":"","parse-names":false,"suffix":""}],"container-title":"Hislopia Journal","id":"ITEM-1","issue":"August","issued":{"date-parts":[["2016"]]},"page":"1-11","title":"An Overerview of Major Classes of Phytochemicals : Their Types and Role in Disease Prevention","type":"article-journal","volume":"9"},"uris":["http://www.mendeley.com/documents/?uuid=35f5da4a-8453-4483-b809-6d93a5709e3e"]}],"mendeley":{"formattedCitation":"[2]","plainTextFormattedCitation":"[2]","previouslyFormattedCitation":"[2]"},"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[2]</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Diversity of the growing climate, different harvesting times and stress conditions affect the concentration of the phytochemical compound in the same species or source of the plant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{"citationItems":[{"id":"ITEM-1","itemData":{"DOI":"10.1021/jf0116606","ISSN":"00218561","PMID":"12009973","abstract":"A total of 927 freeze-dried vegetable samples, including 111 white cabbages, 59 carrots, 51 snap beans, 57 cauliflower, 33 white onions, 48 purple onions, 130 broccoli, 169 tomatoes, 25 beets, 88 peas, 88 spinach, 18 red peppers, and 50 green peppers, were analyzed using the oxygen radical absorption capacity (ORAC) and ferric reducing antioxidant capacity (FRAP) methods. The data show that the ORAC and FRAP values of vegetable are not only dependent on species, but also highly dependent on geographical origin and harvest time. The two antioxidant assay methods, ORAC and FRAP, also give different antioxidant activity trends. The discrepancy is extensively discussed based on the chemistry principles upon which these methods are built, and it is concluded that the ORAC method is chemically more relevant to chain-breaking antioxidants activity, while the FRAP has some drawbacks such as interference, reaction kinetics, and quantitation methods. On the basis of the ORAC results, green pepper, spinach, purple onion, broccoli, beet, and cauliflower are the leading sources of antioxidant activities against the peroxyl radicals.","author":[{"dropping-particle":"","family":"Ou","given":"Boxin","non-dropping-particle":"","parse-names":false,"suffix":""},{"dropping-particle":"","family":"Huang","given":"Dejian","non-dropping-particle":"","parse-names":false,"suffix":""},{"dropping-particle":"","family":"Hampsch-Woodill","given":"Maureen","non-dropping-particle":"","parse-names":false,"suffix":""},{"dropping-particle":"","family":"Flanagan","given":"Judith A.","non-dropping-particle":"","parse-names":false,"suffix":""},{"dropping-particle":"","family":"Deemer","given":"Elizabeth K.","non-dropping-particle":"","parse-names":false,"suffix":""}],"container-title":"Journal of Agricultural and Food Chemistry","id":"ITEM-1","issue":"11","issued":{"date-parts":[["2002"]]},"page":"3122-3128","title":"Analysis of Antioxidant Activities of Common Vegetables Employing Oxygen Radical Absorbance Capacity (ORAC) and Ferric Reducing Antioxidant Power (FRAP) Assays: A Comparative Study","type":"article-journal","volume":"50"},"uris":["http://www.mendeley.com/documents/?uuid=98ce3e3a-3917-41b5-ad38-b1fa19ac35b4"]}],"mendeley":{"formattedCitation":"[3]","manualFormatting":"[3","plainTextFormattedCitation":"[3]","previouslyFormattedCitation":"[3]"},"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[3</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{"citationItems":[{"id":"ITEM-1","itemData":{"author":[{"dropping-particle":"","family":"Rao","given":"Bs Narasinga","non-dropping-particle":"","parse-names":false,"suffix":""}],"container-title":"Asia Pacific Journal of Clinical Nutrition","id":"ITEM-1","issue":"1","issued":{"date-parts":[["2003"]]},"page":"9-22","title":"Bioactive Phytochemicals in Indian Foods and Their Potential in Health Promotion and Disease Prevention","type":"article-journal","volume":"12"},"uris":["http://www.mendeley.com/documents/?uuid=798495b4-bfad-4ef5-bca0-2698b2736820"]}],"mendeley":{"formattedCitation":"[4]","manualFormatting":"4","plainTextFormattedCitation":"[4]","previouslyFormattedCitation":"[4]"},"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4</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manualFormatting":"5]","plainTextFormattedCitation":"[5]","previouslyFormattedCitation":"[5]"},"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5]</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Phytochemical compounds are plant-part specific and vary extensively among different plant populations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[5]</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It usually consists of tannins, saponins, alkaloids, terpenoids, steroids, proteins, amino acids, phenolic and flavonoid compounds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{"citationItems":[{"id":"ITEM-1","itemData":{"author":[{"dropping-particle":"","family":"Alim","given":"A'attiyah","non-dropping-particle":"","parse-names":false,"suffix":""},{"dropping-particle":"","family":"Ghazali","given":"Wan Afiqah Syahirah Wan","non-dropping-particle":"","parse-names":false,"suffix":""},{"dropping-particle":"","family":"Ali","given":"Nor Azah Mohd","non-dropping-particle":"","parse-names":false,"suffix":""},{"dropping-particle":"","family":"Ponnuraj","given":"Kannan Thirumulu","non-dropping-particle":"","parse-names":false,"suffix":""}],"container-title":"Journal of Biomedical &amp; Clinical Science","id":"ITEM-1","issue":"2","issued":{"date-parts":[["2017"]]},"note":"fd ada lupeol, rutin, quercetin and narigenin","page":"14-25","title":"Phytochemical Properties and Traditional Uses of Selected Medicinal Plants in Malaysia : A Review","type":"article-journal","volume":"2"},"uris":["http://www.mendeley.com/documents/?uuid=0ba3a439-a0ea-4eea-a9aa-2e368fb2545b"]}],"mendeley":{"formattedCitation":"[6]","plainTextFormattedCitation":"[6]","previouslyFormattedCitation":"[6]"},"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[6]</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These phytochemicals give colour and odour for protection and reproduction, serve as phytoalexins for pathogen resistance, are involved in hormonal functions for growth and signalling, act as antifeedants or toxins for pests protection, and allelochemicals for defence against herbivorous animals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10.1016/B978-0-08-100596-5.03055-9","ISBN":"9780081005965","author":[{"dropping-particle":"","family":"Huang","given":"Yancui","non-dropping-particle":"","parse-names":false,"suffix":""},{"dropping-particle":"","family":"Xiao","given":"Di","non-dropping-particle":"","parse-names":false,"suffix":""},{"dropping-particle":"","family":"Burton-freeman","given":"Britt M","non-dropping-particle":"","parse-names":false,"suffix":""},{"dropping-particle":"","family":"Edirisinghe","given":"Indika","non-dropping-particle":"","parse-names":false,"suffix":""}],"container-title":"Reference Module in Food Science","id":"ITEM-1","issued":{"date-parts":[["2016"]]},"number-of-pages":"1-9","publisher":"Elsevier","title":"Chemical Changes of Bioactive Phytochemicals during Thermal Processing","type":"book"},"uris":["http://www.mendeley.com/documents/?uuid=cdb30e6e-5783-4c58-b18e-2b5bcb0dedc4"]}],"mendeley":{"formattedCitation":"[7]","plainTextFormattedCitation":"[7]","previouslyFormattedCitation":"[7]"},"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[7]</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p>
    <w:p w14:paraId="3D9D321A" w14:textId="77777777" w:rsidR="00AC6EB5" w:rsidRPr="00A125BD" w:rsidRDefault="00AC6EB5" w:rsidP="00AC6EB5">
      <w:pPr>
        <w:spacing w:after="0"/>
        <w:jc w:val="both"/>
        <w:outlineLvl w:val="0"/>
        <w:rPr>
          <w:rFonts w:ascii="Times New Roman" w:hAnsi="Times New Roman"/>
          <w:bCs/>
          <w:sz w:val="20"/>
          <w:szCs w:val="20"/>
          <w:lang w:val="en-GB"/>
        </w:rPr>
      </w:pPr>
    </w:p>
    <w:p w14:paraId="5297DEB8" w14:textId="77777777" w:rsidR="00AC6EB5" w:rsidRPr="00A125BD" w:rsidRDefault="00AC6EB5" w:rsidP="00AC6EB5">
      <w:pPr>
        <w:spacing w:after="0"/>
        <w:jc w:val="both"/>
        <w:outlineLvl w:val="0"/>
        <w:rPr>
          <w:rFonts w:ascii="Times New Roman" w:hAnsi="Times New Roman"/>
          <w:bCs/>
          <w:sz w:val="20"/>
          <w:szCs w:val="20"/>
          <w:lang w:val="en-GB"/>
        </w:rPr>
      </w:pPr>
      <w:r w:rsidRPr="00A125BD">
        <w:rPr>
          <w:rFonts w:ascii="Times New Roman" w:hAnsi="Times New Roman"/>
          <w:bCs/>
          <w:sz w:val="20"/>
          <w:szCs w:val="20"/>
          <w:lang w:val="en-GB"/>
        </w:rPr>
        <w:t>Furthermore, plant phenolics and flavonoids can reduce Ag</w:t>
      </w:r>
      <w:r w:rsidRPr="00A125BD">
        <w:rPr>
          <w:rFonts w:ascii="Times New Roman" w:hAnsi="Times New Roman"/>
          <w:bCs/>
          <w:sz w:val="20"/>
          <w:szCs w:val="20"/>
          <w:vertAlign w:val="superscript"/>
          <w:lang w:val="en-GB"/>
        </w:rPr>
        <w:t>+</w:t>
      </w:r>
      <w:r w:rsidRPr="00A125BD">
        <w:rPr>
          <w:rFonts w:ascii="Times New Roman" w:hAnsi="Times New Roman"/>
          <w:bCs/>
          <w:sz w:val="20"/>
          <w:szCs w:val="20"/>
          <w:lang w:val="en-GB"/>
        </w:rPr>
        <w:t xml:space="preserve"> to Ag</w:t>
      </w:r>
      <w:r w:rsidRPr="00A125BD">
        <w:rPr>
          <w:rFonts w:ascii="Times New Roman" w:hAnsi="Times New Roman"/>
          <w:bCs/>
          <w:sz w:val="20"/>
          <w:szCs w:val="20"/>
          <w:vertAlign w:val="superscript"/>
          <w:lang w:val="en-GB"/>
        </w:rPr>
        <w:t>0</w:t>
      </w:r>
      <w:r w:rsidRPr="00A125BD">
        <w:rPr>
          <w:rFonts w:ascii="Times New Roman" w:hAnsi="Times New Roman"/>
          <w:bCs/>
          <w:sz w:val="20"/>
          <w:szCs w:val="20"/>
          <w:lang w:val="en-GB"/>
        </w:rPr>
        <w:t xml:space="preserve"> producing silver nanoparticles (AgNP) because of their functional groups being rich in electrons, forming complexes that are disunited to form AgNP. It is acknowledged that the hydroxyl group (O-H) of the phenolics and flavonoids firmly hold the Ag</w:t>
      </w:r>
      <w:r w:rsidRPr="00A125BD">
        <w:rPr>
          <w:rFonts w:ascii="Times New Roman" w:hAnsi="Times New Roman"/>
          <w:bCs/>
          <w:sz w:val="20"/>
          <w:szCs w:val="20"/>
          <w:vertAlign w:val="superscript"/>
          <w:lang w:val="en-GB"/>
        </w:rPr>
        <w:t>+</w:t>
      </w:r>
      <w:r w:rsidRPr="00A125BD">
        <w:rPr>
          <w:rFonts w:ascii="Times New Roman" w:hAnsi="Times New Roman"/>
          <w:bCs/>
          <w:sz w:val="20"/>
          <w:szCs w:val="20"/>
          <w:lang w:val="en-GB"/>
        </w:rPr>
        <w:t xml:space="preserve"> in an oligomeric cluster, resulting in the formation of aggregates that stabilise into AgNP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{"citationItems":[{"id":"ITEM-1","itemData":{"DOI":"10.1039/c8nj00526e","ISSN":"13699261","abstract":"Water pollution caused by dye effluents from different industrial sources has become a major source of concern for the scientific community. They cannot be removed through traditional waste water treatment procedures. The present work describes a green method for the synthesis of silver nanoparticles supported over cellulose extracted from Hibiscus sabdariffa for the catalytic degradation of hazardous dyes. In addition the aqueous portion of the seed extract of Hibiscus sabdariffa is used as the reducing agent for the synthesis. The nanoparticles are characterized by UV, XRD, FTIR, FETEM and SEM. FETEM analysis shows the formation of evenly distributed silver nanoparticles supported over cellulose with an average size of 4 nm. The synthesized catalyst shows excellent activity against several organic dye solutions all of which were found to be completely decolourised within one hour of reaction. In addition, the catalyst was easily separated through centrifugation and recycled up to several times without significant loss of activity.","author":[{"dropping-particle":"","family":"Goswami","given":"Monmi","non-dropping-particle":"","parse-names":false,"suffix":""},{"dropping-particle":"","family":"Baruah","given":"Debjani","non-dropping-particle":"","parse-names":false,"suffix":""},{"dropping-particle":"","family":"Das","given":"Archana Moni","non-dropping-particle":"","parse-names":false,"suffix":""}],"container-title":"New Journal of Chemistry","id":"ITEM-1","issue":"13","issued":{"date-parts":[["2018"]]},"page":"10868-10878","publisher":"Royal Society of Chemistry","title":"Green Synthesis of Silver Nanoparticles Supported on Cellulose and their Catalytic Application in the Scavenging of Organic Dyes","type":"article-journal","volume":"42"},"uris":["http://www.mendeley.com/documents/?uuid=6addd207-3aa4-49f2-8643-97e0872ede6b"]}],"mendeley":{"formattedCitation":"[8]","plainTextFormattedCitation":"[8]","previouslyFormattedCitation":"[8]"},"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[8]</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w:t>
      </w:r>
    </w:p>
    <w:p w14:paraId="2748196E" w14:textId="77777777" w:rsidR="00AC6EB5" w:rsidRPr="00A125BD" w:rsidRDefault="00AC6EB5" w:rsidP="00AC6EB5">
      <w:pPr>
        <w:spacing w:after="0"/>
        <w:jc w:val="both"/>
        <w:outlineLvl w:val="0"/>
        <w:rPr>
          <w:rFonts w:ascii="Times New Roman" w:hAnsi="Times New Roman"/>
          <w:bCs/>
          <w:sz w:val="20"/>
          <w:szCs w:val="20"/>
          <w:lang w:val="en-GB"/>
        </w:rPr>
      </w:pPr>
    </w:p>
    <w:p w14:paraId="1404499C" w14:textId="77777777" w:rsidR="00AC6EB5" w:rsidRPr="00A125BD" w:rsidRDefault="00AC6EB5" w:rsidP="00AC6EB5">
      <w:pPr>
        <w:spacing w:after="0"/>
        <w:jc w:val="both"/>
        <w:outlineLvl w:val="0"/>
        <w:rPr>
          <w:rFonts w:ascii="Times New Roman" w:hAnsi="Times New Roman"/>
          <w:bCs/>
          <w:sz w:val="20"/>
          <w:szCs w:val="20"/>
          <w:lang w:val="en-GB"/>
        </w:rPr>
      </w:pPr>
      <w:r w:rsidRPr="00A125BD">
        <w:rPr>
          <w:rFonts w:ascii="Times New Roman" w:hAnsi="Times New Roman"/>
          <w:bCs/>
          <w:sz w:val="20"/>
          <w:szCs w:val="20"/>
          <w:lang w:val="en-GB"/>
        </w:rPr>
        <w:t xml:space="preserve">For many years, plants with high phytochemicals have been used as medicinal herbs due to their high nutritional values, rich sources of antioxidants that may </w:t>
      </w:r>
      <w:r w:rsidRPr="00A125BD">
        <w:rPr>
          <w:rFonts w:ascii="Times New Roman" w:hAnsi="Times New Roman"/>
          <w:bCs/>
          <w:sz w:val="20"/>
          <w:szCs w:val="20"/>
          <w:lang w:val="en-GB"/>
        </w:rPr>
        <w:t xml:space="preserve">slow down ageing processes, reduce inflammation and prevent certain diseases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{"citationItems":[{"id":"ITEM-1","itemData":{"DOI":"10.3390/plants6040042","ISSN":"22237747","PMID":"28937585","abstract":"There are concerns about using synthetic phenolic antioxidants such as butylated hydroxytoluene (BHT) and butylated hydroxyanisole (BHA) as food additives because of the reported negative effects on human health. Thus, a replacement of these synthetics by antioxidant extractions from various foods has been proposed. More than 8000 different phenolic compounds have been characterized; fruits and vegetables are the prime sources of natural antioxidants. In order to extract, measure, and identify bioactive compounds from a wide variety of fruits and vegetables, researchers use multiple techniques and methods. This review includes a brief description of a wide range of different assays. The antioxidant, antimicrobial, and anticancer properties of phenolic natural products from fruits and vegetables are also discussed.","author":[{"dropping-particle":"","family":"Altemimi","given":"Ammar","non-dropping-particle":"","parse-names":false,"suffix":""},{"dropping-particle":"","family":"Lakhssassi","given":"Naoufal","non-dropping-particle":"","parse-names":false,"suffix":""},{"dropping-particle":"","family":"Baharlouei","given":"Azam","non-dropping-particle":"","parse-names":false,"suffix":""},{"dropping-particle":"","family":"Watson","given":"Dennis G.","non-dropping-particle":"","parse-names":false,"suffix":""},{"dropping-particle":"","family":"Lightfoot","given":"David A.","non-dropping-particle":"","parse-names":false,"suffix":""}],"container-title":"Plants","id":"ITEM-1","issue":"4","issued":{"date-parts":[["2017"]]},"title":"Phytochemicals: Extraction, Isolation, and Identification of Bioactive Compounds from Plant Extracts","type":"article-journal","volume":"6"},"uris":["http://www.mendeley.com/documents/?uuid=e780d14f-de4e-44b9-993e-0889e651bcf1"]}],"mendeley":{"formattedCitation":"[9]","manualFormatting":"[1,9]","plainTextFormattedCitation":"[9]","previouslyFormattedCitation":"[9]"},"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[1, 9]</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One of the native medicinal plants available in Malaysia is </w:t>
      </w:r>
      <w:r w:rsidRPr="00A125BD">
        <w:rPr>
          <w:rFonts w:ascii="Times New Roman" w:hAnsi="Times New Roman"/>
          <w:bCs/>
          <w:i/>
          <w:iCs/>
          <w:sz w:val="20"/>
          <w:szCs w:val="20"/>
          <w:lang w:val="en-GB"/>
        </w:rPr>
        <w:t>Ficus deltoidea</w:t>
      </w:r>
      <w:r w:rsidRPr="00A125BD">
        <w:rPr>
          <w:rFonts w:ascii="Times New Roman" w:hAnsi="Times New Roman"/>
          <w:bCs/>
          <w:sz w:val="20"/>
          <w:szCs w:val="20"/>
          <w:lang w:val="en-GB"/>
        </w:rPr>
        <w:t xml:space="preserve"> Jack var. </w:t>
      </w:r>
      <w:r w:rsidRPr="00A125BD">
        <w:rPr>
          <w:rFonts w:ascii="Times New Roman" w:hAnsi="Times New Roman"/>
          <w:bCs/>
          <w:i/>
          <w:iCs/>
          <w:sz w:val="20"/>
          <w:szCs w:val="20"/>
          <w:lang w:val="en-GB"/>
        </w:rPr>
        <w:t>kunstleri</w:t>
      </w:r>
      <w:r w:rsidRPr="00A125BD">
        <w:rPr>
          <w:rFonts w:ascii="Times New Roman" w:hAnsi="Times New Roman"/>
          <w:bCs/>
          <w:sz w:val="20"/>
          <w:szCs w:val="20"/>
          <w:lang w:val="en-GB"/>
        </w:rPr>
        <w:t xml:space="preserve"> (King) Corner, which is also known as Mas Cotek. </w:t>
      </w:r>
      <w:r w:rsidRPr="00A125BD">
        <w:rPr>
          <w:rFonts w:ascii="Times New Roman" w:hAnsi="Times New Roman"/>
          <w:sz w:val="20"/>
          <w:szCs w:val="20"/>
          <w:lang w:val="en-GB"/>
        </w:rPr>
        <w:t xml:space="preserve">Traditionally, this plant has been developed as an alternative treatment for diabetes, hypertension, blood flow, gout, pneumonia, cardiac problems, diarrhoea and skin infection </w:t>
      </w:r>
      <w:r w:rsidRPr="00A125BD">
        <w:rPr>
          <w:rFonts w:ascii="Times New Roman" w:hAnsi="Times New Roman"/>
          <w:b/>
          <w:sz w:val="20"/>
          <w:szCs w:val="20"/>
          <w:lang w:val="en-GB"/>
        </w:rPr>
        <w:fldChar w:fldCharType="begin" w:fldLock="1"/>
      </w:r>
      <w:r w:rsidRPr="00A125BD">
        <w:rPr>
          <w:rFonts w:ascii="Times New Roman" w:hAnsi="Times New Roman"/>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A125BD">
        <w:rPr>
          <w:rFonts w:ascii="Times New Roman" w:hAnsi="Times New Roman"/>
          <w:b/>
          <w:sz w:val="20"/>
          <w:szCs w:val="20"/>
          <w:lang w:val="en-GB"/>
        </w:rPr>
        <w:fldChar w:fldCharType="separate"/>
      </w:r>
      <w:r w:rsidRPr="00A125BD">
        <w:rPr>
          <w:rFonts w:ascii="Times New Roman" w:hAnsi="Times New Roman"/>
          <w:noProof/>
          <w:sz w:val="20"/>
          <w:szCs w:val="20"/>
          <w:lang w:val="en-GB"/>
        </w:rPr>
        <w:t>[10]</w:t>
      </w:r>
      <w:r w:rsidRPr="00A125BD">
        <w:rPr>
          <w:rFonts w:ascii="Times New Roman" w:hAnsi="Times New Roman"/>
          <w:b/>
          <w:sz w:val="20"/>
          <w:szCs w:val="20"/>
          <w:lang w:val="en-GB"/>
        </w:rPr>
        <w:fldChar w:fldCharType="end"/>
      </w:r>
      <w:r w:rsidRPr="00A125BD">
        <w:rPr>
          <w:rFonts w:ascii="Times New Roman" w:hAnsi="Times New Roman"/>
          <w:sz w:val="20"/>
          <w:szCs w:val="20"/>
          <w:lang w:val="en-GB"/>
        </w:rPr>
        <w:t xml:space="preserve">. </w:t>
      </w:r>
      <w:r w:rsidRPr="00A125BD">
        <w:rPr>
          <w:rFonts w:ascii="Times New Roman" w:hAnsi="Times New Roman"/>
          <w:bCs/>
          <w:sz w:val="20"/>
          <w:szCs w:val="20"/>
          <w:lang w:val="en-GB"/>
        </w:rPr>
        <w:t xml:space="preserve">The chemical marker of this plant which are vitexin and isovitexin (flavonoid group) have many medicinal benefits to human. Previous studies have shown that these substances exhibit anti-tumour, anti-inflammatory, and antinociceptive properties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manualFormatting":"[7","plainTextFormattedCitation":"[10]","previouslyFormattedCitation":"[10]"},"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[7</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r w:rsidRPr="00A125BD">
        <w:rPr>
          <w:rFonts w:ascii="Times New Roman" w:hAnsi="Times New Roman"/>
          <w:b/>
          <w:bCs/>
          <w:sz w:val="20"/>
          <w:szCs w:val="20"/>
          <w:lang w:val="en-GB"/>
        </w:rPr>
        <w:fldChar w:fldCharType="begin" w:fldLock="1"/>
      </w:r>
      <w:r w:rsidRPr="00A125BD">
        <w:rPr>
          <w:rFonts w:ascii="Times New Roman" w:hAnsi="Times New Roman"/>
          <w:bCs/>
          <w:sz w:val="20"/>
          <w:szCs w:val="20"/>
          <w:lang w:val="en-GB"/>
        </w:rPr>
        <w:instrText>ADDIN CSL_CITATION {"citationItems":[{"id":"ITEM-1","itemData":{"ISSN":"22317546","abstract":"Mas Cotek or Ficus deltoidea is regarded as one of the most precious herbal plants in Malaysia due to its content of beneficial active compounds and appreciation as a traditional remedy. This research investigated performance of aqueous or water extraction of dried Mas Cotek leaves for vitexin and isovitexin compounds using three regiments of temperatures (50, 70 and 100°C) in sample-to-water ratios of 1:10, 1:20 and 1:30g/mL during 8 hours of extraction. The optimum yield recorded for vitexin compound was 0.463 ± 0.045 (%w/w) from; 1:30 g/mL sampleto- water ratio, 50°C temperature at 4 th hour of extraction. While for isovitexin compound, the optimum value recorded was 0.136 ± 0.015 (%w/w) from; 1:20 (g/mL) sample-to-water ratio, 50°C temperature at 5 th hour of extraction. The morphological characterization of the extracted dried leaves particles performed using FE-SEM showed an intact and less damaged surface of extracted sample after 8 hours of extraction. The experimental values under best conditions were consistent with the predicted values, which suggested that aqueous extraction of Mas Cotek leaves is a good platform to serve as baseline study for more advanced extraction techniques.","author":[{"dropping-particle":"","family":"Nasma","given":"A.","non-dropping-particle":"","parse-names":false,"suffix":""},{"dropping-particle":"","family":"Aishath","given":"N.","non-dropping-particle":"","parse-names":false,"suffix":""},{"dropping-particle":"","family":"Azilah","given":"A.","non-dropping-particle":"","parse-names":false,"suffix":""},{"dropping-particle":"","family":"Sulaiman","given":"A. Z.","non-dropping-particle":"","parse-names":false,"suffix":""}],"container-title":"International Food Research Journal","id":"ITEM-1","issue":"6","issued":{"date-parts":[["2018"]]},"page":"2560-2571","title":"Optimization of Vitexin and Isovitexin Compounds Extracted from Dried Mas Cotek Leaves using One-factor-at-a-time (OFAT) Approach in Aqueous Extraction","type":"article-journal","volume":"25"},"uris":["http://www.mendeley.com/documents/?uuid=fb2606df-4e6d-4073-9e6d-845df4bc7d9e"]}],"mendeley":{"formattedCitation":"[11]","manualFormatting":"8]","plainTextFormattedCitation":"[11]","previouslyFormattedCitation":"[11]"},"properties":{"noteIndex":0},"schema":"https://github.com/citation-style-language/schema/raw/master/csl-citation.json"}</w:instrText>
      </w:r>
      <w:r w:rsidRPr="00A125BD">
        <w:rPr>
          <w:rFonts w:ascii="Times New Roman" w:hAnsi="Times New Roman"/>
          <w:b/>
          <w:bCs/>
          <w:sz w:val="20"/>
          <w:szCs w:val="20"/>
          <w:lang w:val="en-GB"/>
        </w:rPr>
        <w:fldChar w:fldCharType="separate"/>
      </w:r>
      <w:r w:rsidRPr="00A125BD">
        <w:rPr>
          <w:rFonts w:ascii="Times New Roman" w:hAnsi="Times New Roman"/>
          <w:bCs/>
          <w:noProof/>
          <w:sz w:val="20"/>
          <w:szCs w:val="20"/>
          <w:lang w:val="en-GB"/>
        </w:rPr>
        <w:t>8]</w:t>
      </w:r>
      <w:r w:rsidRPr="00A125BD">
        <w:rPr>
          <w:rFonts w:ascii="Times New Roman" w:hAnsi="Times New Roman"/>
          <w:b/>
          <w:bCs/>
          <w:sz w:val="20"/>
          <w:szCs w:val="20"/>
          <w:lang w:val="en-GB"/>
        </w:rPr>
        <w:fldChar w:fldCharType="end"/>
      </w:r>
      <w:r w:rsidRPr="00A125BD">
        <w:rPr>
          <w:rFonts w:ascii="Times New Roman" w:hAnsi="Times New Roman"/>
          <w:bCs/>
          <w:sz w:val="20"/>
          <w:szCs w:val="20"/>
          <w:lang w:val="en-GB"/>
        </w:rPr>
        <w:t xml:space="preserve">. </w:t>
      </w:r>
    </w:p>
    <w:p w14:paraId="0388A571" w14:textId="77777777" w:rsidR="00AC6EB5" w:rsidRPr="00A125BD" w:rsidRDefault="00AC6EB5" w:rsidP="00AC6EB5">
      <w:pPr>
        <w:spacing w:after="0"/>
        <w:jc w:val="both"/>
        <w:outlineLvl w:val="0"/>
        <w:rPr>
          <w:rFonts w:ascii="Times New Roman" w:hAnsi="Times New Roman"/>
          <w:bCs/>
          <w:sz w:val="20"/>
          <w:szCs w:val="20"/>
          <w:lang w:val="en-GB"/>
        </w:rPr>
      </w:pPr>
    </w:p>
    <w:p w14:paraId="2C3F8345" w14:textId="77777777" w:rsidR="00AC6EB5" w:rsidRPr="00A125BD" w:rsidRDefault="00AC6EB5" w:rsidP="00AC6EB5">
      <w:pPr>
        <w:spacing w:after="0"/>
        <w:jc w:val="both"/>
        <w:outlineLvl w:val="0"/>
        <w:rPr>
          <w:rFonts w:ascii="Times New Roman" w:hAnsi="Times New Roman"/>
          <w:sz w:val="20"/>
          <w:szCs w:val="20"/>
          <w:lang w:val="en-GB"/>
        </w:rPr>
      </w:pPr>
      <w:r w:rsidRPr="00A125BD">
        <w:rPr>
          <w:rFonts w:ascii="Times New Roman" w:hAnsi="Times New Roman"/>
          <w:sz w:val="20"/>
          <w:szCs w:val="20"/>
          <w:lang w:val="en-GB"/>
        </w:rPr>
        <w:t xml:space="preserve">Typically, </w:t>
      </w:r>
      <w:r w:rsidRPr="00A125BD">
        <w:rPr>
          <w:rFonts w:ascii="Times New Roman" w:hAnsi="Times New Roman"/>
          <w:i/>
          <w:iCs/>
          <w:sz w:val="20"/>
          <w:szCs w:val="20"/>
          <w:lang w:val="en-GB"/>
        </w:rPr>
        <w:t>F. deltoidea</w:t>
      </w:r>
      <w:r w:rsidRPr="00A125BD">
        <w:rPr>
          <w:rFonts w:ascii="Times New Roman" w:hAnsi="Times New Roman"/>
          <w:sz w:val="20"/>
          <w:szCs w:val="20"/>
          <w:lang w:val="en-GB"/>
        </w:rPr>
        <w:t xml:space="preserve"> can reach a height of 2 m, possesses whitish-grey stems and bark when mature. It has broadly spoon-shaped leaves, The leaves range in sizes from 4 to 8 cm with bright green colour on top and rust-red to olive-brown at the bottom. Furthermore, this plant produces yellow to orange figs with a width of about 1.0 to 1.5 cm </w:t>
      </w:r>
      <w:r w:rsidRPr="00A125BD">
        <w:rPr>
          <w:rFonts w:ascii="Times New Roman" w:hAnsi="Times New Roman"/>
          <w:b/>
          <w:sz w:val="20"/>
          <w:szCs w:val="20"/>
          <w:lang w:val="en-GB"/>
        </w:rPr>
        <w:fldChar w:fldCharType="begin" w:fldLock="1"/>
      </w:r>
      <w:r w:rsidRPr="00A125BD">
        <w:rPr>
          <w:rFonts w:ascii="Times New Roman" w:hAnsi="Times New Roman"/>
          <w:sz w:val="20"/>
          <w:szCs w:val="20"/>
          <w:lang w:val="en-GB"/>
        </w:rPr>
        <w:instrText>ADDIN CSL_CITATION {"citationItems":[{"id":"ITEM-1","itemData":{"DOI":"10.1155/2014/902734","ISSN":"17414288","PMID":"24772185","abstract":"Ficus deltoidea Jack (Moraceae) has had a long history of use in traditional medicine among the Malays to alleviate and heal ailments such as sores, wounds, and rheumatism and as an after-birth tonic and an antidiabetic drug. Modern pharmacological studies demonstrated that this plant has a wide variety of beneficial attributes for human health. Despite its importance, a review of this species has not been published in the scientific literature to date. Here, we review and summarize the historic and current literature concerning the botany, traditional uses, phytochemistry, pharmacological effects, and toxicity of this wonder plant. This summary could be beneficial for future research aiming to exploit the therapeutic potential of this useful, medicinal species. © 2014 Hamidun Bunawan et al.","author":[{"dropping-particle":"","family":"Bunawan","given":"Hamidun","non-dropping-particle":"","parse-names":false,"suffix":""},{"dropping-particle":"","family":"Amin","given":"Noriha Mat","non-dropping-particle":"","parse-names":false,"suffix":""},{"dropping-particle":"","family":"Bunawan","given":"Siti Noraini","non-dropping-particle":"","parse-names":false,"suffix":""},{"dropping-particle":"","family":"Baharum","given":"Syarul Nataqain","non-dropping-particle":"","parse-names":false,"suffix":""},{"dropping-particle":"","family":"Mohd Noor","given":"Normah","non-dropping-particle":"","parse-names":false,"suffix":""}],"container-title":"Evidence-based Complementary and Alternative Medicine","id":"ITEM-1","issued":{"date-parts":[["2014"]]},"title":"Ficus deltoidea Jack: A Review on Its Phytochemical and Pharmacological Importance","type":"article-journal","volume":"2014"},"uris":["http://www.mendeley.com/documents/?uuid=233474b5-c409-49ff-be00-e5d739a15cbc"]}],"mendeley":{"formattedCitation":"[12]","plainTextFormattedCitation":"[12]","previouslyFormattedCitation":"[12]"},"properties":{"noteIndex":0},"schema":"https://github.com/citation-style-language/schema/raw/master/csl-citation.json"}</w:instrText>
      </w:r>
      <w:r w:rsidRPr="00A125BD">
        <w:rPr>
          <w:rFonts w:ascii="Times New Roman" w:hAnsi="Times New Roman"/>
          <w:b/>
          <w:sz w:val="20"/>
          <w:szCs w:val="20"/>
          <w:lang w:val="en-GB"/>
        </w:rPr>
        <w:fldChar w:fldCharType="separate"/>
      </w:r>
      <w:r w:rsidRPr="00A125BD">
        <w:rPr>
          <w:rFonts w:ascii="Times New Roman" w:hAnsi="Times New Roman"/>
          <w:noProof/>
          <w:sz w:val="20"/>
          <w:szCs w:val="20"/>
          <w:lang w:val="en-GB"/>
        </w:rPr>
        <w:t>[12]</w:t>
      </w:r>
      <w:r w:rsidRPr="00A125BD">
        <w:rPr>
          <w:rFonts w:ascii="Times New Roman" w:hAnsi="Times New Roman"/>
          <w:b/>
          <w:sz w:val="20"/>
          <w:szCs w:val="20"/>
          <w:lang w:val="en-GB"/>
        </w:rPr>
        <w:fldChar w:fldCharType="end"/>
      </w:r>
      <w:r w:rsidRPr="00A125BD">
        <w:rPr>
          <w:rFonts w:ascii="Times New Roman" w:hAnsi="Times New Roman"/>
          <w:sz w:val="20"/>
          <w:szCs w:val="20"/>
          <w:lang w:val="en-GB"/>
        </w:rPr>
        <w:t xml:space="preserve"> and also has fibrous brown roots. The different organs of </w:t>
      </w:r>
      <w:r w:rsidRPr="00A125BD">
        <w:rPr>
          <w:rFonts w:ascii="Times New Roman" w:hAnsi="Times New Roman"/>
          <w:i/>
          <w:iCs/>
          <w:sz w:val="20"/>
          <w:szCs w:val="20"/>
          <w:lang w:val="en-GB"/>
        </w:rPr>
        <w:t xml:space="preserve">F. deltoidea </w:t>
      </w:r>
      <w:r w:rsidRPr="00A125BD">
        <w:rPr>
          <w:rFonts w:ascii="Times New Roman" w:hAnsi="Times New Roman"/>
          <w:sz w:val="20"/>
          <w:szCs w:val="20"/>
          <w:lang w:val="en-GB"/>
        </w:rPr>
        <w:t xml:space="preserve">like the leaf, stem, fig and root may contain different phytochemical compounds. In the biosynthesis of AgNP, the reducing ability of any plant organ strongly depends on the presence of a phytochemical compound. However, there are still limited studies on the effect of plant organs on the synthesis of AgNP. This study focused on the analysis of phytochemical compounds of different organs of </w:t>
      </w:r>
      <w:r w:rsidRPr="00A125BD">
        <w:rPr>
          <w:rFonts w:ascii="Times New Roman" w:hAnsi="Times New Roman"/>
          <w:i/>
          <w:iCs/>
          <w:sz w:val="20"/>
          <w:szCs w:val="20"/>
          <w:lang w:val="en-GB"/>
        </w:rPr>
        <w:t>F. deltoidea</w:t>
      </w:r>
      <w:r w:rsidRPr="00A125BD">
        <w:rPr>
          <w:rFonts w:ascii="Times New Roman" w:hAnsi="Times New Roman"/>
          <w:sz w:val="20"/>
          <w:szCs w:val="20"/>
          <w:lang w:val="en-GB"/>
        </w:rPr>
        <w:t xml:space="preserve"> and its initial effect on the formation of AgNP. </w:t>
      </w:r>
    </w:p>
    <w:p w14:paraId="74178B92" w14:textId="57C5CF7E" w:rsidR="00AC6EB5" w:rsidRDefault="00AC6EB5" w:rsidP="00AC6EB5">
      <w:pPr>
        <w:spacing w:after="0"/>
        <w:jc w:val="both"/>
        <w:outlineLvl w:val="0"/>
        <w:rPr>
          <w:rFonts w:ascii="Times New Roman" w:hAnsi="Times New Roman"/>
          <w:sz w:val="20"/>
          <w:szCs w:val="20"/>
          <w:lang w:val="en-GB"/>
        </w:rPr>
      </w:pPr>
    </w:p>
    <w:p w14:paraId="5AB60AB6" w14:textId="14C5BE36" w:rsidR="00985126" w:rsidRDefault="00985126" w:rsidP="00AC6EB5">
      <w:pPr>
        <w:spacing w:after="0"/>
        <w:jc w:val="both"/>
        <w:outlineLvl w:val="0"/>
        <w:rPr>
          <w:rFonts w:ascii="Times New Roman" w:hAnsi="Times New Roman"/>
          <w:sz w:val="20"/>
          <w:szCs w:val="20"/>
          <w:lang w:val="en-GB"/>
        </w:rPr>
      </w:pPr>
    </w:p>
    <w:p w14:paraId="011EEC25" w14:textId="77777777" w:rsidR="00985126" w:rsidRDefault="00985126" w:rsidP="00AC6EB5">
      <w:pPr>
        <w:spacing w:after="0"/>
        <w:jc w:val="both"/>
        <w:outlineLvl w:val="0"/>
        <w:rPr>
          <w:rFonts w:ascii="Times New Roman" w:hAnsi="Times New Roman"/>
          <w:sz w:val="20"/>
          <w:szCs w:val="20"/>
          <w:lang w:val="en-GB"/>
        </w:rPr>
      </w:pPr>
    </w:p>
    <w:p w14:paraId="4FF90BC3" w14:textId="77777777" w:rsidR="00AC6EB5" w:rsidRPr="00A125BD" w:rsidRDefault="00AC6EB5" w:rsidP="00AC6EB5">
      <w:pPr>
        <w:spacing w:after="0"/>
        <w:jc w:val="center"/>
        <w:outlineLvl w:val="0"/>
        <w:rPr>
          <w:rFonts w:ascii="Times New Roman" w:hAnsi="Times New Roman"/>
          <w:b/>
          <w:sz w:val="20"/>
          <w:szCs w:val="20"/>
        </w:rPr>
      </w:pPr>
      <w:r w:rsidRPr="00A125BD">
        <w:rPr>
          <w:rFonts w:ascii="Times New Roman" w:hAnsi="Times New Roman"/>
          <w:b/>
          <w:sz w:val="20"/>
          <w:szCs w:val="20"/>
        </w:rPr>
        <w:lastRenderedPageBreak/>
        <w:t>Materials and Methods</w:t>
      </w:r>
    </w:p>
    <w:p w14:paraId="20450DC9" w14:textId="77777777" w:rsidR="00AC6EB5" w:rsidRPr="00A125BD" w:rsidRDefault="00AC6EB5" w:rsidP="00AC6EB5">
      <w:pPr>
        <w:pStyle w:val="Keywords"/>
        <w:spacing w:after="0" w:line="276" w:lineRule="auto"/>
        <w:ind w:left="0"/>
        <w:jc w:val="both"/>
        <w:rPr>
          <w:rFonts w:cs="Times New Roman"/>
          <w:lang w:val="en-GB"/>
        </w:rPr>
      </w:pPr>
      <w:r w:rsidRPr="00A125BD">
        <w:rPr>
          <w:rFonts w:cs="Times New Roman"/>
          <w:lang w:val="en-GB"/>
        </w:rPr>
        <w:t>Chemical and reagents</w:t>
      </w:r>
    </w:p>
    <w:p w14:paraId="142E989C"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color w:val="000000" w:themeColor="text1"/>
          <w:sz w:val="20"/>
          <w:szCs w:val="20"/>
        </w:rPr>
        <w:t>Silver nitrate (AgNO</w:t>
      </w:r>
      <w:r w:rsidRPr="00A125BD">
        <w:rPr>
          <w:rFonts w:ascii="Times New Roman" w:hAnsi="Times New Roman"/>
          <w:color w:val="000000" w:themeColor="text1"/>
          <w:sz w:val="20"/>
          <w:szCs w:val="20"/>
          <w:vertAlign w:val="subscript"/>
        </w:rPr>
        <w:t>3</w:t>
      </w:r>
      <w:r w:rsidRPr="00A125BD">
        <w:rPr>
          <w:rFonts w:ascii="Times New Roman" w:hAnsi="Times New Roman"/>
          <w:color w:val="000000" w:themeColor="text1"/>
          <w:sz w:val="20"/>
          <w:szCs w:val="20"/>
        </w:rPr>
        <w:t xml:space="preserve">) ≥ 99.0% </w:t>
      </w:r>
      <w:r w:rsidRPr="00A125BD">
        <w:rPr>
          <w:rFonts w:ascii="Times New Roman" w:hAnsi="Times New Roman"/>
          <w:color w:val="000000" w:themeColor="text1"/>
          <w:sz w:val="20"/>
          <w:szCs w:val="20"/>
          <w:shd w:val="clear" w:color="auto" w:fill="FFFFFF"/>
        </w:rPr>
        <w:t xml:space="preserve">was purchased from Vchem. </w:t>
      </w:r>
      <w:r w:rsidRPr="00A125BD">
        <w:rPr>
          <w:rFonts w:ascii="Times New Roman" w:hAnsi="Times New Roman"/>
          <w:sz w:val="20"/>
          <w:szCs w:val="20"/>
        </w:rPr>
        <w:t>Aluminum chloride (AlCl</w:t>
      </w:r>
      <w:r w:rsidRPr="00A125BD">
        <w:rPr>
          <w:rFonts w:ascii="Times New Roman" w:hAnsi="Times New Roman"/>
          <w:sz w:val="20"/>
          <w:szCs w:val="20"/>
          <w:vertAlign w:val="subscript"/>
        </w:rPr>
        <w:t>3</w:t>
      </w:r>
      <w:r w:rsidRPr="00A125BD">
        <w:rPr>
          <w:rFonts w:ascii="Times New Roman" w:hAnsi="Times New Roman"/>
          <w:sz w:val="20"/>
          <w:szCs w:val="20"/>
        </w:rPr>
        <w:t>) ≥ 98.0%, sodium nitrite (NaNO</w:t>
      </w:r>
      <w:r w:rsidRPr="00A125BD">
        <w:rPr>
          <w:rFonts w:ascii="Times New Roman" w:hAnsi="Times New Roman"/>
          <w:sz w:val="20"/>
          <w:szCs w:val="20"/>
          <w:vertAlign w:val="subscript"/>
        </w:rPr>
        <w:t>2</w:t>
      </w:r>
      <w:r w:rsidRPr="00A125BD">
        <w:rPr>
          <w:rFonts w:ascii="Times New Roman" w:hAnsi="Times New Roman"/>
          <w:sz w:val="20"/>
          <w:szCs w:val="20"/>
        </w:rPr>
        <w:t xml:space="preserve">) ≥ 99.0%, </w:t>
      </w:r>
      <w:r w:rsidRPr="00A125BD">
        <w:rPr>
          <w:rFonts w:ascii="Times New Roman" w:hAnsi="Times New Roman"/>
          <w:color w:val="000000" w:themeColor="text1"/>
          <w:sz w:val="20"/>
          <w:szCs w:val="20"/>
        </w:rPr>
        <w:t>sodium hydroxide (NaOH) 99%, nitric acid (HNO</w:t>
      </w:r>
      <w:r w:rsidRPr="00A125BD">
        <w:rPr>
          <w:rFonts w:ascii="Times New Roman" w:hAnsi="Times New Roman"/>
          <w:color w:val="000000" w:themeColor="text1"/>
          <w:sz w:val="20"/>
          <w:szCs w:val="20"/>
          <w:vertAlign w:val="subscript"/>
        </w:rPr>
        <w:t>3</w:t>
      </w:r>
      <w:r w:rsidRPr="00A125BD">
        <w:rPr>
          <w:rFonts w:ascii="Times New Roman" w:hAnsi="Times New Roman"/>
          <w:color w:val="000000" w:themeColor="text1"/>
          <w:sz w:val="20"/>
          <w:szCs w:val="20"/>
        </w:rPr>
        <w:t xml:space="preserve">) 69%, potassium bromide for infrared (IR) spectroscopy, methanol ≥ 99.8% for liquid chromatography usage, ethanol ≥ 99.9% for liquid chromatography usage, formic acid 97.5-98.5% and quercetin ≥ 95% were procured from Merck. Both vitexin ≥ 95.0% and isovitexin ≥ 98.0% were acquired from Sigma-Aldrich. </w:t>
      </w:r>
      <w:r w:rsidRPr="00A125BD">
        <w:rPr>
          <w:rFonts w:ascii="Times New Roman" w:hAnsi="Times New Roman"/>
          <w:sz w:val="20"/>
          <w:szCs w:val="20"/>
        </w:rPr>
        <w:t xml:space="preserve">Gallic acid was purchased from R&amp;M Chemical. </w:t>
      </w:r>
    </w:p>
    <w:p w14:paraId="5AA1622D" w14:textId="77777777" w:rsidR="00AC6EB5" w:rsidRPr="00A125BD" w:rsidRDefault="00AC6EB5" w:rsidP="00AC6EB5">
      <w:pPr>
        <w:spacing w:after="0"/>
        <w:jc w:val="both"/>
        <w:rPr>
          <w:rFonts w:ascii="Times New Roman" w:hAnsi="Times New Roman"/>
          <w:sz w:val="20"/>
          <w:szCs w:val="20"/>
        </w:rPr>
      </w:pPr>
    </w:p>
    <w:p w14:paraId="7C403974" w14:textId="77777777" w:rsidR="00AC6EB5" w:rsidRPr="00A125BD" w:rsidRDefault="00AC6EB5" w:rsidP="00AC6EB5">
      <w:pPr>
        <w:pStyle w:val="Keywords"/>
        <w:spacing w:after="0" w:line="276" w:lineRule="auto"/>
        <w:ind w:left="0"/>
        <w:rPr>
          <w:rFonts w:cs="Times New Roman"/>
          <w:lang w:val="en-GB"/>
        </w:rPr>
      </w:pPr>
      <w:r w:rsidRPr="00A125BD">
        <w:rPr>
          <w:rFonts w:cs="Times New Roman"/>
          <w:i/>
          <w:iCs/>
          <w:lang w:val="en-GB"/>
        </w:rPr>
        <w:t>F. deltoidea</w:t>
      </w:r>
      <w:r w:rsidRPr="00A125BD">
        <w:rPr>
          <w:rFonts w:cs="Times New Roman"/>
          <w:lang w:val="en-GB"/>
        </w:rPr>
        <w:t xml:space="preserve"> plant extract</w:t>
      </w:r>
    </w:p>
    <w:p w14:paraId="46E90091" w14:textId="77777777" w:rsidR="00AC6EB5" w:rsidRPr="00A125BD" w:rsidRDefault="00AC6EB5" w:rsidP="00AC6EB5">
      <w:pPr>
        <w:pStyle w:val="Keywords"/>
        <w:spacing w:after="0" w:line="276" w:lineRule="auto"/>
        <w:ind w:left="0" w:right="57"/>
        <w:jc w:val="both"/>
        <w:rPr>
          <w:rFonts w:cs="Times New Roman"/>
          <w:b w:val="0"/>
          <w:bCs/>
          <w:lang w:val="en-GB"/>
        </w:rPr>
      </w:pPr>
      <w:r w:rsidRPr="00A125BD">
        <w:rPr>
          <w:rFonts w:cs="Times New Roman"/>
          <w:b w:val="0"/>
          <w:bCs/>
          <w:lang w:val="en-GB"/>
        </w:rPr>
        <w:t xml:space="preserve">The </w:t>
      </w:r>
      <w:r w:rsidRPr="00A125BD">
        <w:rPr>
          <w:rFonts w:cs="Times New Roman"/>
          <w:b w:val="0"/>
          <w:bCs/>
          <w:i/>
          <w:iCs/>
          <w:lang w:val="en-GB"/>
        </w:rPr>
        <w:t>F. deltoidea,</w:t>
      </w:r>
      <w:r w:rsidRPr="00A125BD">
        <w:rPr>
          <w:rFonts w:cs="Times New Roman"/>
          <w:b w:val="0"/>
          <w:bCs/>
          <w:lang w:val="en-GB"/>
        </w:rPr>
        <w:t xml:space="preserve"> with the age of about four years, was provided by the Department of Agriculture Malaysia, Pontian, Johor Branch. The plant was segregated according to its organs: leaf, stem, fig and root. They were cleaned with deionised water to remove unwanted impurities like sand, gravel, insects, bugs, and other contaminants. After that, the plant organs were dried in a 60 °C oven. The dried plant organs were then ground and sieved with a mesh size of 0.45 µm. The dried powdered biomasses were stored in a chiller at 4 °C for later use. Figure 1 shows the illustration of the process flow to obtain the dried plant biomasses.</w:t>
      </w:r>
    </w:p>
    <w:p w14:paraId="73C78407" w14:textId="77777777" w:rsidR="00AC6EB5" w:rsidRPr="00A125BD" w:rsidRDefault="00AC6EB5" w:rsidP="00AC6EB5">
      <w:pPr>
        <w:pStyle w:val="Keywords"/>
        <w:spacing w:after="0" w:line="276" w:lineRule="auto"/>
        <w:ind w:left="0" w:right="57"/>
        <w:jc w:val="both"/>
        <w:rPr>
          <w:rFonts w:cs="Times New Roman"/>
          <w:b w:val="0"/>
          <w:bCs/>
          <w:lang w:val="en-GB"/>
        </w:rPr>
      </w:pPr>
    </w:p>
    <w:p w14:paraId="4820FA14" w14:textId="77777777" w:rsidR="00AC6EB5" w:rsidRPr="00A125BD" w:rsidRDefault="00AC6EB5" w:rsidP="00AC6EB5">
      <w:pPr>
        <w:pStyle w:val="Keywords"/>
        <w:spacing w:after="0" w:line="276" w:lineRule="auto"/>
        <w:ind w:left="0" w:right="57"/>
        <w:jc w:val="both"/>
        <w:rPr>
          <w:rFonts w:cs="Times New Roman"/>
          <w:b w:val="0"/>
          <w:bCs/>
          <w:lang w:val="en-GB"/>
        </w:rPr>
      </w:pPr>
      <w:r w:rsidRPr="00A125BD">
        <w:rPr>
          <w:rFonts w:cs="Times New Roman"/>
          <w:b w:val="0"/>
          <w:bCs/>
          <w:lang w:val="en-GB"/>
        </w:rPr>
        <w:t xml:space="preserve">The process involved mixing 2 g of the dried biomass with 100 ml of boiled deionised water. A hotplate with a magnetic stirrer was used to stir the mixture for 30 minutes at 100 °C </w:t>
      </w:r>
      <w:r w:rsidRPr="00A125BD">
        <w:rPr>
          <w:rFonts w:cs="Times New Roman"/>
          <w:b w:val="0"/>
          <w:bCs/>
          <w:lang w:val="en-GB"/>
        </w:rPr>
        <w:fldChar w:fldCharType="begin" w:fldLock="1"/>
      </w:r>
      <w:r w:rsidRPr="00A125BD">
        <w:rPr>
          <w:rFonts w:cs="Times New Roman"/>
          <w:b w:val="0"/>
          <w:bCs/>
          <w:lang w:val="en-GB"/>
        </w:rPr>
        <w:instrText>ADDIN CSL_CITATION {"citationItems":[{"id":"ITEM-1","itemData":{"DOI":"10.1080/24701556.2017.1357604","ISSN":"24701564","abstract":"Synthesis of AgNPs was attempted using aqueous Ficus retusa leaf extract (FRLE). The effects of silver nitrate concentrations, FRLE volume, initial pH and temperature on synthesis were also studied. TEM revealed the size of AgNPs in range of 5–35 nm and crystal structure was confirmed by XRD. FTIR showed the capping of AgNPs by biomolecules of FRLE. Zeta potential of −39.1 indicates good stability of AgNPs. The AgNPs were evaluated for their antibacterial and high catalytic activity in enhancing decolourisation of eriochrome black T dye in presence of sodium borohydride (from 19.74 to 86.05%) and light source (from 41.96 to 80.11%).","author":[{"dropping-particle":"","family":"Singhal","given":"Anjum","non-dropping-particle":"","parse-names":false,"suffix":""},{"dropping-particle":"","family":"Singhal","given":"Nikita","non-dropping-particle":"","parse-names":false,"suffix":""},{"dropping-particle":"","family":"Bhattacharya","given":"Amrik","non-dropping-particle":"","parse-names":false,"suffix":""},{"dropping-particle":"","family":"Gupta","given":"Anshu","non-dropping-particle":"","parse-names":false,"suffix":""}],"container-title":"Inorganic and Nano-Metal Chemistry","id":"ITEM-1","issue":"11","issued":{"date-parts":[["2017"]]},"note":"braod peak in uv indicates varied size of agnp","page":"1520-1529","title":"Synthesis of Silver Nanoparticles (AgNPs) using &lt;i&gt;Ficus retusa&lt;/i&gt; Leaf Extract for Potential Application as Antibacterial and Dye Decolourising Agents","type":"article-journal","volume":"47"},"uris":["http://www.mendeley.com/documents/?uuid=eba54024-8f9e-405f-9f23-f376d64657be"]}],"mendeley":{"formattedCitation":"[13]","plainTextFormattedCitation":"[13]","previouslyFormattedCitation":"[13]"},"properties":{"noteIndex":0},"schema":"https://github.com/citation-style-language/schema/raw/master/csl-citation.json"}</w:instrText>
      </w:r>
      <w:r w:rsidRPr="00A125BD">
        <w:rPr>
          <w:rFonts w:cs="Times New Roman"/>
          <w:b w:val="0"/>
          <w:bCs/>
          <w:lang w:val="en-GB"/>
        </w:rPr>
        <w:fldChar w:fldCharType="separate"/>
      </w:r>
      <w:r w:rsidRPr="00A125BD">
        <w:rPr>
          <w:rFonts w:cs="Times New Roman"/>
          <w:b w:val="0"/>
          <w:bCs/>
          <w:noProof/>
          <w:lang w:val="en-GB"/>
        </w:rPr>
        <w:t>[13]</w:t>
      </w:r>
      <w:r w:rsidRPr="00A125BD">
        <w:rPr>
          <w:rFonts w:cs="Times New Roman"/>
          <w:b w:val="0"/>
          <w:bCs/>
          <w:lang w:val="en-GB"/>
        </w:rPr>
        <w:fldChar w:fldCharType="end"/>
      </w:r>
      <w:r w:rsidRPr="00A125BD">
        <w:rPr>
          <w:rFonts w:cs="Times New Roman"/>
          <w:b w:val="0"/>
          <w:bCs/>
          <w:lang w:val="en-GB"/>
        </w:rPr>
        <w:t>. The plant extracts were then filtered with Whatman No 1 filter paper, and the filtrate was stored at 4°C for future use.</w:t>
      </w:r>
      <w:bookmarkStart w:id="3" w:name="_Toc59452335"/>
    </w:p>
    <w:p w14:paraId="34269CB8" w14:textId="77777777" w:rsidR="00AC6EB5" w:rsidRPr="00A125BD" w:rsidRDefault="00AC6EB5" w:rsidP="00AC6EB5">
      <w:pPr>
        <w:pStyle w:val="Keywords"/>
        <w:spacing w:after="0" w:line="276" w:lineRule="auto"/>
        <w:ind w:left="0" w:right="57"/>
        <w:jc w:val="both"/>
        <w:rPr>
          <w:rFonts w:cs="Times New Roman"/>
          <w:b w:val="0"/>
          <w:bCs/>
          <w:lang w:val="en-GB"/>
        </w:rPr>
      </w:pPr>
    </w:p>
    <w:p w14:paraId="48571550" w14:textId="77777777" w:rsidR="00AC6EB5" w:rsidRPr="00A125BD" w:rsidRDefault="00AC6EB5" w:rsidP="00AC6EB5">
      <w:pPr>
        <w:pStyle w:val="Keywords"/>
        <w:spacing w:after="0" w:line="276" w:lineRule="auto"/>
        <w:ind w:left="0" w:right="57"/>
        <w:jc w:val="both"/>
        <w:rPr>
          <w:rFonts w:cs="Times New Roman"/>
          <w:lang w:val="en-GB"/>
        </w:rPr>
      </w:pPr>
      <w:r w:rsidRPr="00A125BD">
        <w:rPr>
          <w:rFonts w:cs="Times New Roman"/>
        </w:rPr>
        <w:t xml:space="preserve">Screening of Phytochemical Compounds using Liquid Chromatography Mass Spectrometer (LC-MS) </w:t>
      </w:r>
      <w:bookmarkEnd w:id="3"/>
    </w:p>
    <w:p w14:paraId="4FD96911" w14:textId="77777777" w:rsidR="00AC6EB5" w:rsidRPr="00A125BD" w:rsidRDefault="00AC6EB5" w:rsidP="00AC6EB5">
      <w:pPr>
        <w:spacing w:after="0"/>
        <w:jc w:val="both"/>
        <w:rPr>
          <w:rFonts w:ascii="Times New Roman" w:hAnsi="Times New Roman"/>
          <w:color w:val="000000"/>
          <w:sz w:val="20"/>
          <w:szCs w:val="20"/>
        </w:rPr>
      </w:pPr>
      <w:r w:rsidRPr="00A125BD">
        <w:rPr>
          <w:rFonts w:ascii="Times New Roman" w:hAnsi="Times New Roman"/>
          <w:color w:val="000000"/>
          <w:sz w:val="20"/>
          <w:szCs w:val="20"/>
        </w:rPr>
        <w:t xml:space="preserve">Ethanol 96% was used as a maceration solvent to macerate 45 g of dried biomass. This procedure took three days to complete. The maceration solvent was replaced for every 24 hours. The ratio of the dried biomass powder weight (g) to solvent (ethanol 96%) volume (L) was 500:6. The maceration solution was collected, and an evaporator was used to separate the </w:t>
      </w:r>
      <w:r w:rsidRPr="00A125BD">
        <w:rPr>
          <w:rFonts w:ascii="Times New Roman" w:hAnsi="Times New Roman"/>
          <w:color w:val="000000"/>
          <w:sz w:val="20"/>
          <w:szCs w:val="20"/>
        </w:rPr>
        <w:t xml:space="preserve">solvent and dissolved chemicals generated from the dried biomass. The evaporation procedure was used to generate a paste of approximately 45 g, which was then considered to be at 100% concentration. </w:t>
      </w:r>
      <w:r w:rsidRPr="00A125BD">
        <w:rPr>
          <w:rFonts w:ascii="Times New Roman" w:hAnsi="Times New Roman"/>
          <w:sz w:val="20"/>
          <w:szCs w:val="20"/>
        </w:rPr>
        <w:t>The LCMS analysis was performed using the Shimadzu LCMS 2010 EV and a reverse phase LC system. The mobile phase of acetonitrile distillation to water ratio was 7:3, and the ammonium acetate concentration was 10 mmol/L. The LC pump gradient system with a vacuum pump flow velocity of 1 mL/min and C-18 column (150 mm × 2.1 mm) with a column temperature of 40 °C were used in this analysis. Only 10 µL of the sample was injected in a single run using a gas nitrogen generator at 250 °C. Positive Ion Electroscopy was used with a Mass Spectrometry Detector (SPD-10 AVP).</w:t>
      </w:r>
    </w:p>
    <w:p w14:paraId="62A08432" w14:textId="77777777" w:rsidR="00AC6EB5" w:rsidRDefault="00AC6EB5" w:rsidP="00AC6EB5">
      <w:pPr>
        <w:spacing w:after="0"/>
        <w:jc w:val="both"/>
        <w:rPr>
          <w:rFonts w:ascii="Times New Roman" w:hAnsi="Times New Roman"/>
          <w:sz w:val="20"/>
          <w:szCs w:val="20"/>
        </w:rPr>
      </w:pPr>
    </w:p>
    <w:p w14:paraId="42FC55E5" w14:textId="77777777" w:rsidR="00AC6EB5" w:rsidRPr="00A125BD" w:rsidRDefault="00AC6EB5" w:rsidP="00AC6EB5">
      <w:pPr>
        <w:spacing w:after="0"/>
        <w:jc w:val="both"/>
        <w:rPr>
          <w:rFonts w:ascii="Times New Roman" w:hAnsi="Times New Roman"/>
          <w:b/>
          <w:bCs/>
          <w:sz w:val="20"/>
          <w:szCs w:val="20"/>
        </w:rPr>
      </w:pPr>
      <w:bookmarkStart w:id="4" w:name="_Toc59452336"/>
      <w:r w:rsidRPr="00A125BD">
        <w:rPr>
          <w:rFonts w:ascii="Times New Roman" w:hAnsi="Times New Roman"/>
          <w:b/>
          <w:bCs/>
          <w:sz w:val="20"/>
          <w:szCs w:val="20"/>
        </w:rPr>
        <w:t>Analysis of Vitexin and Isovitexin using High-Performance Liquid Chromatography (HPLC</w:t>
      </w:r>
      <w:bookmarkEnd w:id="4"/>
      <w:r w:rsidRPr="00A125BD">
        <w:rPr>
          <w:rFonts w:ascii="Times New Roman" w:hAnsi="Times New Roman"/>
          <w:b/>
          <w:bCs/>
          <w:sz w:val="20"/>
          <w:szCs w:val="20"/>
        </w:rPr>
        <w:t>)</w:t>
      </w:r>
    </w:p>
    <w:p w14:paraId="657802F6"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sz w:val="20"/>
          <w:szCs w:val="20"/>
        </w:rPr>
        <w:t xml:space="preserve">Vitexin and isovitexin were selected as chemical markers for F. deltoidea varietal identification </w:t>
      </w:r>
      <w:r w:rsidRPr="00A125BD">
        <w:rPr>
          <w:rFonts w:ascii="Times New Roman" w:hAnsi="Times New Roman"/>
          <w:sz w:val="20"/>
          <w:szCs w:val="20"/>
        </w:rPr>
        <w:fldChar w:fldCharType="begin" w:fldLock="1"/>
      </w:r>
      <w:r w:rsidRPr="00A125BD">
        <w:rPr>
          <w:rFonts w:ascii="Times New Roman" w:hAnsi="Times New Roman"/>
          <w:sz w:val="20"/>
          <w:szCs w:val="20"/>
        </w:rPr>
        <w:instrText>ADDIN CSL_CITATION {"citationItems":[{"id":"ITEM-1","itemData":{"DOI":"10.1007/s11306-019-1489-2","ISBN":"0123456789","ISSN":"1573-3890","author":[{"dropping-particle":"","family":"Afzan","given":"Adlin","non-dropping-particle":"","parse-names":false,"suffix":""},{"dropping-particle":"","family":"Kasim","given":"Noraini","non-dropping-particle":"","parse-names":false,"suffix":""},{"dropping-particle":"","family":"Hadiani","given":"Nor","non-dropping-particle":"","parse-names":false,"suffix":""},{"dropping-particle":"","family":"Norfaizura","given":"Ismail","non-dropping-particle":"","parse-names":false,"suffix":""},{"dropping-particle":"","family":"Abdul","given":"Azmi","non-dropping-particle":"","parse-names":false,"suffix":""},{"dropping-particle":"","family":"Ali","given":"Manaf","non-dropping-particle":"","parse-names":false,"suffix":""},{"dropping-particle":"","family":"Mat","given":"Nashriyah","non-dropping-particle":"","parse-names":false,"suffix":""}],"container-title":"Metabolomics","id":"ITEM-1","issue":"3","issued":{"date-parts":[["2019"]]},"page":"1-11","publisher":"Springer US","title":"Differentiation of &lt;i&gt;Ficus deltoidea&lt;/i&gt; Varieties and Chemical Marker Determination by UHPLC-TOFMS Metabolomics for Establishing Quality Control Criteria of This Popular Malaysian Medicinal Herb","type":"article-journal","volume":"15"},"uris":["http://www.mendeley.com/documents/?uuid=0e354666-5f2f-4402-a334-dd581be43713"]}],"mendeley":{"formattedCitation":"[10]","plainTextFormattedCitation":"[10]","previouslyFormattedCitation":"[10]"},"properties":{"noteIndex":0},"schema":"https://github.com/citation-style-language/schema/raw/master/csl-citation.json"}</w:instrText>
      </w:r>
      <w:r w:rsidRPr="00A125BD">
        <w:rPr>
          <w:rFonts w:ascii="Times New Roman" w:hAnsi="Times New Roman"/>
          <w:sz w:val="20"/>
          <w:szCs w:val="20"/>
        </w:rPr>
        <w:fldChar w:fldCharType="separate"/>
      </w:r>
      <w:r w:rsidRPr="00A125BD">
        <w:rPr>
          <w:rFonts w:ascii="Times New Roman" w:hAnsi="Times New Roman"/>
          <w:sz w:val="20"/>
          <w:szCs w:val="20"/>
        </w:rPr>
        <w:t>[10]</w:t>
      </w:r>
      <w:r w:rsidRPr="00A125BD">
        <w:rPr>
          <w:rFonts w:ascii="Times New Roman" w:hAnsi="Times New Roman"/>
          <w:sz w:val="20"/>
          <w:szCs w:val="20"/>
        </w:rPr>
        <w:fldChar w:fldCharType="end"/>
      </w:r>
      <w:r w:rsidRPr="00A125BD">
        <w:rPr>
          <w:rFonts w:ascii="Times New Roman" w:hAnsi="Times New Roman"/>
          <w:sz w:val="20"/>
          <w:szCs w:val="20"/>
        </w:rPr>
        <w:t>. A round bottom flask was filled with 5.0 g of dried biomass and added with 80 mL of ethanol 96%. The sample was allowed to cool after being refluxed for 30 minutes. Thereafter, the sample was filtered with Whatman No. 1 filter paper and the filtrate was evaporated. Methanol (HPLC grade) was used to dissolve 50.0 mg of the dried extracts. It was then injected into the High-Performance Liquid Chromatography (HPLC) column after being filtered with a 0.45 µm syringe filter using HPLC Agilent 1260 Infinity. The injection volume was 10 µl, and the isocratic mobile phase that carried the sample to be separated was a mixture of six volumes of 1% formic acid and four volumes of methanol. The flow rate was set to 1.0 mL/min and the sample was separated in a C-18 column with 250 mm × 4.6 mm and an oven temperature of 30 °C. For each sample, the run time was 15 minutes.</w:t>
      </w:r>
    </w:p>
    <w:p w14:paraId="4816903A" w14:textId="77777777" w:rsidR="00AC6EB5" w:rsidRPr="00A125BD" w:rsidRDefault="00AC6EB5" w:rsidP="00AC6EB5">
      <w:pPr>
        <w:spacing w:after="0"/>
        <w:jc w:val="both"/>
        <w:rPr>
          <w:rFonts w:ascii="Times New Roman" w:hAnsi="Times New Roman"/>
          <w:sz w:val="20"/>
          <w:szCs w:val="20"/>
        </w:rPr>
      </w:pPr>
    </w:p>
    <w:p w14:paraId="24A7DA63" w14:textId="77777777" w:rsidR="00AC6EB5" w:rsidRPr="00A125BD" w:rsidRDefault="00AC6EB5" w:rsidP="00AC6EB5">
      <w:pPr>
        <w:spacing w:after="0"/>
        <w:jc w:val="both"/>
        <w:rPr>
          <w:rFonts w:ascii="Times New Roman" w:hAnsi="Times New Roman"/>
          <w:sz w:val="20"/>
          <w:szCs w:val="20"/>
        </w:rPr>
      </w:pPr>
      <w:r w:rsidRPr="00A125BD">
        <w:rPr>
          <w:rFonts w:ascii="Times New Roman" w:hAnsi="Times New Roman"/>
          <w:b/>
          <w:bCs/>
          <w:sz w:val="20"/>
          <w:szCs w:val="20"/>
        </w:rPr>
        <w:t>Total Phenolic Content and Total Flavonoid Content</w:t>
      </w:r>
    </w:p>
    <w:p w14:paraId="5671CF38" w14:textId="77777777"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Total phenolic content (TPC) was determined by mixing 1.0 mL of the sample with 0.5 mL of Folin-Ciocalteu reagent and 1.5 mL of Na</w:t>
      </w:r>
      <w:r w:rsidRPr="00A125BD">
        <w:rPr>
          <w:rFonts w:ascii="Times New Roman" w:hAnsi="Times New Roman"/>
          <w:sz w:val="20"/>
          <w:szCs w:val="20"/>
          <w:vertAlign w:val="subscript"/>
        </w:rPr>
        <w:t>2</w:t>
      </w:r>
      <w:r w:rsidRPr="00A125BD">
        <w:rPr>
          <w:rFonts w:ascii="Times New Roman" w:hAnsi="Times New Roman"/>
          <w:sz w:val="20"/>
          <w:szCs w:val="20"/>
        </w:rPr>
        <w:t>CO</w:t>
      </w:r>
      <w:r w:rsidRPr="00A125BD">
        <w:rPr>
          <w:rFonts w:ascii="Times New Roman" w:hAnsi="Times New Roman"/>
          <w:sz w:val="20"/>
          <w:szCs w:val="20"/>
          <w:vertAlign w:val="subscript"/>
        </w:rPr>
        <w:t>3</w:t>
      </w:r>
      <w:r w:rsidRPr="00A125BD">
        <w:rPr>
          <w:rFonts w:ascii="Times New Roman" w:hAnsi="Times New Roman"/>
          <w:sz w:val="20"/>
          <w:szCs w:val="20"/>
        </w:rPr>
        <w:t xml:space="preserve"> 20% solution. The mixture was then incubated for half an hour at 40 </w:t>
      </w:r>
      <w:r w:rsidRPr="00A125BD">
        <w:rPr>
          <w:rFonts w:ascii="Times New Roman" w:hAnsi="Times New Roman"/>
          <w:sz w:val="20"/>
          <w:szCs w:val="20"/>
        </w:rPr>
        <w:lastRenderedPageBreak/>
        <w:t>°C before being measured with a Jenway 7200 Visible spectrophotometer at 750 nm. For Total Flavonoid Content (TFC) analysis, 0.3 mL NaNO</w:t>
      </w:r>
      <w:r w:rsidRPr="00A125BD">
        <w:rPr>
          <w:rFonts w:ascii="Times New Roman" w:hAnsi="Times New Roman"/>
          <w:sz w:val="20"/>
          <w:szCs w:val="20"/>
          <w:vertAlign w:val="subscript"/>
        </w:rPr>
        <w:t>2</w:t>
      </w:r>
      <w:r w:rsidRPr="00A125BD">
        <w:rPr>
          <w:rFonts w:ascii="Times New Roman" w:hAnsi="Times New Roman"/>
          <w:sz w:val="20"/>
          <w:szCs w:val="20"/>
        </w:rPr>
        <w:t xml:space="preserve"> solution 5% was mixed with 1 mL sample and the mixture was left for five minutes. After that 0.3 mL of AlCl</w:t>
      </w:r>
      <w:r w:rsidRPr="00A125BD">
        <w:rPr>
          <w:rFonts w:ascii="Times New Roman" w:hAnsi="Times New Roman"/>
          <w:sz w:val="20"/>
          <w:szCs w:val="20"/>
          <w:vertAlign w:val="subscript"/>
        </w:rPr>
        <w:t>3</w:t>
      </w:r>
      <w:r w:rsidRPr="00A125BD">
        <w:rPr>
          <w:rFonts w:ascii="Times New Roman" w:hAnsi="Times New Roman"/>
          <w:sz w:val="20"/>
          <w:szCs w:val="20"/>
        </w:rPr>
        <w:t xml:space="preserve"> 10% solution was added to the sample and the solution was makeup to 10 mL. The sample was measured using the visible spectrophotometer at 510 nm. TPC and TFC values were calculated based on the formula (Equation 1 and 2) obtained from the literature [13], which were expressed in mg of Gallic acid per 1g dry extract (Gallic Acid Equivalent; GAE) and mg of Quercetin equivalent (QE) per gram of dry mass (g), respectively.</w:t>
      </w:r>
    </w:p>
    <w:p w14:paraId="67278D94" w14:textId="77777777" w:rsidR="00AC6EB5" w:rsidRDefault="00AC6EB5" w:rsidP="00AC6EB5">
      <w:pPr>
        <w:spacing w:after="0"/>
        <w:jc w:val="both"/>
        <w:rPr>
          <w:rFonts w:ascii="Times New Roman" w:hAnsi="Times New Roman"/>
          <w:sz w:val="20"/>
          <w:szCs w:val="20"/>
        </w:rPr>
      </w:pPr>
    </w:p>
    <w:p w14:paraId="736F58BB" w14:textId="77777777" w:rsidR="00AC6EB5" w:rsidRPr="00A125BD" w:rsidRDefault="00AC6EB5" w:rsidP="00AC6EB5">
      <w:pPr>
        <w:spacing w:after="0"/>
        <w:jc w:val="both"/>
        <w:rPr>
          <w:rFonts w:ascii="Times New Roman" w:hAnsi="Times New Roman"/>
          <w:sz w:val="20"/>
          <w:szCs w:val="20"/>
        </w:rPr>
      </w:pPr>
      <m:oMath>
        <m:r>
          <m:rPr>
            <m:sty m:val="p"/>
          </m:rPr>
          <w:rPr>
            <w:rFonts w:ascii="Cambria Math" w:hAnsi="Cambria Math"/>
            <w:sz w:val="20"/>
            <w:szCs w:val="20"/>
          </w:rPr>
          <m:t>Total phenolic compound, (GAE)</m:t>
        </m:r>
        <m:d>
          <m:dPr>
            <m:ctrlPr>
              <w:rPr>
                <w:rFonts w:ascii="Cambria Math" w:hAnsi="Cambria Math"/>
                <w:i/>
                <w:iCs/>
                <w:sz w:val="20"/>
                <w:szCs w:val="20"/>
              </w:rPr>
            </m:ctrlPr>
          </m:dPr>
          <m:e>
            <m:f>
              <m:fPr>
                <m:ctrlPr>
                  <w:rPr>
                    <w:rFonts w:ascii="Cambria Math" w:hAnsi="Cambria Math"/>
                    <w:sz w:val="20"/>
                    <w:szCs w:val="20"/>
                  </w:rPr>
                </m:ctrlPr>
              </m:fPr>
              <m:num>
                <m:r>
                  <m:rPr>
                    <m:sty m:val="p"/>
                  </m:rPr>
                  <w:rPr>
                    <w:rFonts w:ascii="Cambria Math" w:hAnsi="Cambria Math"/>
                    <w:sz w:val="20"/>
                    <w:szCs w:val="20"/>
                  </w:rPr>
                  <m:t>mg</m:t>
                </m:r>
              </m:num>
              <m:den>
                <m:r>
                  <m:rPr>
                    <m:sty m:val="p"/>
                  </m:rPr>
                  <w:rPr>
                    <w:rFonts w:ascii="Cambria Math" w:hAnsi="Cambria Math"/>
                    <w:sz w:val="20"/>
                    <w:szCs w:val="20"/>
                  </w:rPr>
                  <m:t>g</m:t>
                </m:r>
              </m:den>
            </m:f>
          </m:e>
        </m:d>
        <m:r>
          <m:rPr>
            <m:sty m:val="p"/>
          </m:rPr>
          <w:rPr>
            <w:rFonts w:ascii="Cambria Math" w:hAnsi="Cambria Math"/>
            <w:sz w:val="20"/>
            <w:szCs w:val="20"/>
          </w:rPr>
          <m:t>, =</m:t>
        </m:r>
        <m:f>
          <m:fPr>
            <m:ctrlPr>
              <w:rPr>
                <w:rFonts w:ascii="Cambria Math" w:hAnsi="Cambria Math"/>
                <w:iCs/>
                <w:sz w:val="20"/>
                <w:szCs w:val="20"/>
              </w:rPr>
            </m:ctrlPr>
          </m:fPr>
          <m:num>
            <m:sSub>
              <m:sSubPr>
                <m:ctrlPr>
                  <w:rPr>
                    <w:rFonts w:ascii="Cambria Math" w:hAnsi="Cambria Math"/>
                    <w:iCs/>
                    <w:sz w:val="20"/>
                    <w:szCs w:val="20"/>
                  </w:rPr>
                </m:ctrlPr>
              </m:sSubPr>
              <m:e>
                <m:r>
                  <m:rPr>
                    <m:sty m:val="p"/>
                  </m:rPr>
                  <w:rPr>
                    <w:rFonts w:ascii="Cambria Math" w:hAnsi="Cambria Math"/>
                    <w:sz w:val="20"/>
                    <w:szCs w:val="20"/>
                  </w:rPr>
                  <m:t>C</m:t>
                </m:r>
              </m:e>
              <m:sub>
                <m:r>
                  <m:rPr>
                    <m:sty m:val="p"/>
                  </m:rPr>
                  <w:rPr>
                    <w:rFonts w:ascii="Cambria Math" w:hAnsi="Cambria Math"/>
                    <w:sz w:val="20"/>
                    <w:szCs w:val="20"/>
                  </w:rPr>
                  <m:t>1</m:t>
                </m:r>
              </m:sub>
            </m:sSub>
            <m:r>
              <m:rPr>
                <m:sty m:val="p"/>
              </m:rPr>
              <w:rPr>
                <w:rFonts w:ascii="Cambria Math" w:hAnsi="Cambria Math"/>
                <w:sz w:val="20"/>
                <w:szCs w:val="20"/>
              </w:rPr>
              <m:t>V</m:t>
            </m:r>
          </m:num>
          <m:den>
            <m:r>
              <m:rPr>
                <m:sty m:val="p"/>
              </m:rPr>
              <w:rPr>
                <w:rFonts w:ascii="Cambria Math" w:hAnsi="Cambria Math"/>
                <w:sz w:val="20"/>
                <w:szCs w:val="20"/>
              </w:rPr>
              <m:t>M</m:t>
            </m:r>
          </m:den>
        </m:f>
      </m:oMath>
      <w:r w:rsidRPr="00A125BD">
        <w:rPr>
          <w:rFonts w:ascii="Times New Roman" w:hAnsi="Times New Roman"/>
          <w:iCs/>
          <w:noProof/>
          <w:sz w:val="20"/>
          <w:szCs w:val="20"/>
        </w:rPr>
        <w:t xml:space="preserve">        (1)</w:t>
      </w:r>
    </w:p>
    <w:p w14:paraId="11ABE257" w14:textId="77777777" w:rsidR="00AC6EB5" w:rsidRPr="00A125BD" w:rsidRDefault="00AC6EB5" w:rsidP="00AC6EB5">
      <w:pPr>
        <w:spacing w:after="0"/>
        <w:rPr>
          <w:rFonts w:ascii="Times New Roman" w:hAnsi="Times New Roman"/>
          <w:color w:val="000000"/>
          <w:sz w:val="20"/>
          <w:szCs w:val="20"/>
        </w:rPr>
      </w:pPr>
    </w:p>
    <w:p w14:paraId="0A16E65F" w14:textId="77777777" w:rsidR="00AC6EB5" w:rsidRPr="00A125BD" w:rsidRDefault="00AC6EB5" w:rsidP="00AC6EB5">
      <w:pPr>
        <w:spacing w:after="0"/>
        <w:rPr>
          <w:rFonts w:ascii="Times New Roman" w:hAnsi="Times New Roman"/>
          <w:color w:val="000000"/>
          <w:sz w:val="20"/>
          <w:szCs w:val="20"/>
        </w:rPr>
      </w:pPr>
      <m:oMath>
        <m:r>
          <m:rPr>
            <m:sty m:val="p"/>
          </m:rPr>
          <w:rPr>
            <w:rFonts w:ascii="Cambria Math" w:hAnsi="Cambria Math"/>
            <w:color w:val="000000"/>
            <w:sz w:val="20"/>
            <w:szCs w:val="20"/>
          </w:rPr>
          <m:t xml:space="preserve">Total Flavonoid Content,    </m:t>
        </m:r>
        <m:d>
          <m:dPr>
            <m:ctrlPr>
              <w:rPr>
                <w:rFonts w:ascii="Cambria Math" w:hAnsi="Cambria Math"/>
                <w:color w:val="000000"/>
                <w:sz w:val="20"/>
                <w:szCs w:val="20"/>
              </w:rPr>
            </m:ctrlPr>
          </m:dPr>
          <m:e>
            <m:r>
              <m:rPr>
                <m:sty m:val="p"/>
              </m:rPr>
              <w:rPr>
                <w:rFonts w:ascii="Cambria Math" w:hAnsi="Cambria Math"/>
                <w:color w:val="000000"/>
                <w:sz w:val="20"/>
                <w:szCs w:val="20"/>
              </w:rPr>
              <m:t>QE</m:t>
            </m:r>
          </m:e>
        </m:d>
        <m:d>
          <m:dPr>
            <m:ctrlPr>
              <w:rPr>
                <w:rFonts w:ascii="Cambria Math" w:hAnsi="Cambria Math"/>
                <w:color w:val="000000"/>
                <w:sz w:val="20"/>
                <w:szCs w:val="20"/>
              </w:rPr>
            </m:ctrlPr>
          </m:dPr>
          <m:e>
            <m:f>
              <m:fPr>
                <m:ctrlPr>
                  <w:rPr>
                    <w:rFonts w:ascii="Cambria Math" w:hAnsi="Cambria Math"/>
                    <w:color w:val="000000"/>
                    <w:sz w:val="20"/>
                    <w:szCs w:val="20"/>
                  </w:rPr>
                </m:ctrlPr>
              </m:fPr>
              <m:num>
                <m:r>
                  <m:rPr>
                    <m:sty m:val="p"/>
                  </m:rPr>
                  <w:rPr>
                    <w:rFonts w:ascii="Cambria Math" w:hAnsi="Cambria Math"/>
                    <w:color w:val="000000"/>
                    <w:sz w:val="20"/>
                    <w:szCs w:val="20"/>
                  </w:rPr>
                  <m:t>mg</m:t>
                </m:r>
              </m:num>
              <m:den>
                <m:r>
                  <m:rPr>
                    <m:sty m:val="p"/>
                  </m:rPr>
                  <w:rPr>
                    <w:rFonts w:ascii="Cambria Math" w:hAnsi="Cambria Math"/>
                    <w:color w:val="000000"/>
                    <w:sz w:val="20"/>
                    <w:szCs w:val="20"/>
                  </w:rPr>
                  <m:t>g</m:t>
                </m:r>
              </m:den>
            </m:f>
          </m:e>
        </m:d>
        <m:r>
          <m:rPr>
            <m:sty m:val="p"/>
          </m:rPr>
          <w:rPr>
            <w:rFonts w:ascii="Cambria Math" w:hAnsi="Cambria Math"/>
            <w:color w:val="000000"/>
            <w:sz w:val="20"/>
            <w:szCs w:val="20"/>
          </w:rPr>
          <m:t>,   =</m:t>
        </m:r>
        <m:f>
          <m:fPr>
            <m:ctrlPr>
              <w:rPr>
                <w:rFonts w:ascii="Cambria Math" w:hAnsi="Cambria Math"/>
                <w:color w:val="000000"/>
                <w:sz w:val="20"/>
                <w:szCs w:val="20"/>
              </w:rPr>
            </m:ctrlPr>
          </m:fPr>
          <m:num>
            <m:sSub>
              <m:sSubPr>
                <m:ctrlPr>
                  <w:rPr>
                    <w:rFonts w:ascii="Cambria Math" w:hAnsi="Cambria Math"/>
                    <w:color w:val="000000"/>
                    <w:sz w:val="20"/>
                    <w:szCs w:val="20"/>
                  </w:rPr>
                </m:ctrlPr>
              </m:sSubPr>
              <m:e>
                <m:r>
                  <m:rPr>
                    <m:sty m:val="p"/>
                  </m:rPr>
                  <w:rPr>
                    <w:rFonts w:ascii="Cambria Math" w:hAnsi="Cambria Math"/>
                    <w:color w:val="000000"/>
                    <w:sz w:val="20"/>
                    <w:szCs w:val="20"/>
                  </w:rPr>
                  <m:t>C</m:t>
                </m:r>
              </m:e>
              <m:sub>
                <m:r>
                  <m:rPr>
                    <m:sty m:val="p"/>
                  </m:rPr>
                  <w:rPr>
                    <w:rFonts w:ascii="Cambria Math" w:hAnsi="Cambria Math"/>
                    <w:color w:val="000000"/>
                    <w:sz w:val="20"/>
                    <w:szCs w:val="20"/>
                  </w:rPr>
                  <m:t>1</m:t>
                </m:r>
              </m:sub>
            </m:sSub>
            <m:r>
              <m:rPr>
                <m:sty m:val="p"/>
              </m:rPr>
              <w:rPr>
                <w:rFonts w:ascii="Cambria Math" w:hAnsi="Cambria Math"/>
                <w:color w:val="000000"/>
                <w:sz w:val="20"/>
                <w:szCs w:val="20"/>
              </w:rPr>
              <m:t>V</m:t>
            </m:r>
          </m:num>
          <m:den>
            <m:r>
              <m:rPr>
                <m:sty m:val="p"/>
              </m:rPr>
              <w:rPr>
                <w:rFonts w:ascii="Cambria Math" w:hAnsi="Cambria Math"/>
                <w:color w:val="000000"/>
                <w:sz w:val="20"/>
                <w:szCs w:val="20"/>
              </w:rPr>
              <m:t>M</m:t>
            </m:r>
          </m:den>
        </m:f>
      </m:oMath>
      <w:r w:rsidRPr="00A125BD">
        <w:rPr>
          <w:rFonts w:ascii="Times New Roman" w:hAnsi="Times New Roman"/>
          <w:color w:val="000000"/>
          <w:sz w:val="20"/>
          <w:szCs w:val="20"/>
        </w:rPr>
        <w:t xml:space="preserve">        (2)</w:t>
      </w:r>
    </w:p>
    <w:p w14:paraId="2B9077EB" w14:textId="5F43C74A"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where, GAE is gallic acid equivalent, QE is quercetin equivalent, C</w:t>
      </w:r>
      <w:r w:rsidRPr="00A125BD">
        <w:rPr>
          <w:rFonts w:ascii="Times New Roman" w:hAnsi="Times New Roman"/>
          <w:sz w:val="20"/>
          <w:szCs w:val="20"/>
          <w:vertAlign w:val="subscript"/>
        </w:rPr>
        <w:t>1</w:t>
      </w:r>
      <w:r w:rsidRPr="00A125BD">
        <w:rPr>
          <w:rFonts w:ascii="Times New Roman" w:hAnsi="Times New Roman"/>
          <w:sz w:val="20"/>
          <w:szCs w:val="20"/>
        </w:rPr>
        <w:t xml:space="preserve"> is concentration gained from calibration </w:t>
      </w:r>
      <w:r w:rsidRPr="00A125BD">
        <w:rPr>
          <w:rFonts w:ascii="Times New Roman" w:hAnsi="Times New Roman"/>
          <w:sz w:val="20"/>
          <w:szCs w:val="20"/>
        </w:rPr>
        <w:t>curve, V is volume of extract, mL and M is mass of plant biomass (g).</w:t>
      </w:r>
    </w:p>
    <w:p w14:paraId="46413E92" w14:textId="77777777" w:rsidR="00985126" w:rsidRPr="00A125BD" w:rsidRDefault="00985126" w:rsidP="00AC6EB5">
      <w:pPr>
        <w:spacing w:after="0"/>
        <w:jc w:val="both"/>
        <w:rPr>
          <w:rFonts w:ascii="Times New Roman" w:hAnsi="Times New Roman"/>
          <w:sz w:val="20"/>
          <w:szCs w:val="20"/>
        </w:rPr>
      </w:pPr>
    </w:p>
    <w:p w14:paraId="43C6C060" w14:textId="77777777" w:rsidR="00AC6EB5" w:rsidRPr="00A125BD" w:rsidRDefault="00AC6EB5" w:rsidP="00AC6EB5">
      <w:pPr>
        <w:spacing w:after="0"/>
        <w:jc w:val="both"/>
        <w:rPr>
          <w:rFonts w:ascii="Times New Roman" w:hAnsi="Times New Roman"/>
          <w:b/>
          <w:bCs/>
          <w:sz w:val="20"/>
          <w:szCs w:val="20"/>
        </w:rPr>
      </w:pPr>
      <w:r w:rsidRPr="00A125BD">
        <w:rPr>
          <w:rFonts w:ascii="Times New Roman" w:hAnsi="Times New Roman"/>
          <w:b/>
          <w:bCs/>
          <w:sz w:val="20"/>
          <w:szCs w:val="20"/>
        </w:rPr>
        <w:t xml:space="preserve">Formation of AgNP using Organs of </w:t>
      </w:r>
      <w:r w:rsidRPr="00A125BD">
        <w:rPr>
          <w:rFonts w:ascii="Times New Roman" w:hAnsi="Times New Roman"/>
          <w:b/>
          <w:bCs/>
          <w:i/>
          <w:iCs/>
          <w:sz w:val="20"/>
          <w:szCs w:val="20"/>
        </w:rPr>
        <w:t>F. deltoidea</w:t>
      </w:r>
    </w:p>
    <w:p w14:paraId="3ACEF91E" w14:textId="77777777" w:rsidR="00AC6EB5" w:rsidRDefault="00AC6EB5" w:rsidP="00AC6EB5">
      <w:pPr>
        <w:spacing w:after="0"/>
        <w:jc w:val="both"/>
        <w:rPr>
          <w:rFonts w:ascii="Times New Roman" w:hAnsi="Times New Roman"/>
          <w:sz w:val="20"/>
          <w:szCs w:val="20"/>
        </w:rPr>
      </w:pPr>
      <w:r w:rsidRPr="00A125BD">
        <w:rPr>
          <w:rFonts w:ascii="Times New Roman" w:hAnsi="Times New Roman"/>
          <w:sz w:val="20"/>
          <w:szCs w:val="20"/>
        </w:rPr>
        <w:t>For the formation of the AgNP, the aqueous plant extracts were added to 10 ml of AgNO</w:t>
      </w:r>
      <w:r w:rsidRPr="00A125BD">
        <w:rPr>
          <w:rFonts w:ascii="Times New Roman" w:hAnsi="Times New Roman"/>
          <w:sz w:val="20"/>
          <w:szCs w:val="20"/>
          <w:vertAlign w:val="subscript"/>
        </w:rPr>
        <w:t>3</w:t>
      </w:r>
      <w:r w:rsidRPr="00A125BD">
        <w:rPr>
          <w:rFonts w:ascii="Times New Roman" w:hAnsi="Times New Roman"/>
          <w:sz w:val="20"/>
          <w:szCs w:val="20"/>
        </w:rPr>
        <w:t xml:space="preserve"> 1 mM according to the synthesis conditions as shown in Table 1. The synthesis parameters were selected based on our experiment on optimizing the AgNP synthesis method (Data not shown and will be published elsewhere). The formation of AgNP was monitored using a Jenway 7200 Visible Spectrophotometer in the visible range of 350 to 750 nm. This is due to the fact that AgNP exhibited a localized Surface Plasmon Resonance (LSPR) band at this range based on its free electron excitation </w:t>
      </w:r>
      <w:r w:rsidRPr="00A125BD">
        <w:rPr>
          <w:rFonts w:ascii="Times New Roman" w:hAnsi="Times New Roman"/>
          <w:sz w:val="20"/>
          <w:szCs w:val="20"/>
        </w:rPr>
        <w:fldChar w:fldCharType="begin" w:fldLock="1"/>
      </w:r>
      <w:r w:rsidRPr="00A125BD">
        <w:rPr>
          <w:rFonts w:ascii="Times New Roman" w:hAnsi="Times New Roman"/>
          <w:sz w:val="20"/>
          <w:szCs w:val="20"/>
        </w:rPr>
        <w:instrText>ADDIN CSL_CITATION {"citationItems":[{"id":"ITEM-1","itemData":{"DOI":"10.1039/c7ra05286c","ISSN":"20462069","abstract":"The green synthesis of nanoparticles using plants and their extracts is considered as a representative approach in material syntheses for environmental benignity. Numerous metal nanoparticles with potential bioactivities have been prepared based on plant extracts. In this paper, we report an eco-friendly technique for the preparation of silver nanoparticles (AgNPs) using seed extract of Alpinia katsumadai, and the evaluation of their antioxidant, antibacterial, and cytotoxicity activities. UV-visible spectroscopy, FETEM, EDX, SAED, XRD, DLS and FT-IR analysis were used to characterize the morphology and crystalline phase of AgNPs. The FETEM and DLS analysis showed AgNPs were quasi-spherical in shape, with an average diameter of 12.6 nm for the size distribution. The SAED spectrum of the AgNPs indicated their crystalline nature, which was further confirmed by the XRD studies. The FT-IR spectra revealed that phytochemicals from Alpinia katsumadai seed extract act as a capping and reducing agent for AgNP formation. The AgNPs showed distinctive free radical scavenging, potent antibacterial activity against different types of bacteria, and cytotoxicity activities. The results confirmed that Alpinia katsumadai is a potential bio-resource/biomaterial for synthesizing AgNPs with applications in antibacterial and antioxidant agents.","author":[{"dropping-particle":"","family":"He","given":"Yangqing","non-dropping-particle":"","parse-names":false,"suffix":""},{"dropping-particle":"","family":"Wei","given":"Fenfei","non-dropping-particle":"","parse-names":false,"suffix":""},{"dropping-particle":"","family":"Ma","given":"Zhanying","non-dropping-particle":"","parse-names":false,"suffix":""},{"dropping-particle":"","family":"Zhang","given":"Hao","non-dropping-particle":"","parse-names":false,"suffix":""},{"dropping-particle":"","family":"Yang","given":"Qian","non-dropping-particle":"","parse-names":false,"suffix":""},{"dropping-particle":"","family":"Yao","given":"Binghua","non-dropping-particle":"","parse-names":false,"suffix":""},{"dropping-particle":"","family":"Huang","given":"Zhengrui","non-dropping-particle":"","parse-names":false,"suffix":""},{"dropping-particle":"","family":"Li","given":"Jie","non-dropping-particle":"","parse-names":false,"suffix":""},{"dropping-particle":"","family":"Zeng","given":"Cun","non-dropping-particle":"","parse-names":false,"suffix":""},{"dropping-particle":"","family":"Zhang","given":"Qian","non-dropping-particle":"","parse-names":false,"suffix":""}],"container-title":"RSC Advances","id":"ITEM-1","issue":"63","issued":{"date-parts":[["2017"]]},"page":"39842-39851","publisher":"Royal Society of Chemistry","title":"Green Synthesis of Silver Nanoparticles using Seed Extract of: &lt;i&gt;Alpinia katsumadai&lt;/i&gt;, and Their Antioxidant, Cytotoxicity, and Antibacterial Activities","type":"article-journal","volume":"7"},"uris":["http://www.mendeley.com/documents/?uuid=5c84fec4-4705-4045-a84f-de55dc53d207"]}],"mendeley":{"formattedCitation":"[14]","plainTextFormattedCitation":"[14]","previouslyFormattedCitation":"[14]"},"properties":{"noteIndex":0},"schema":"https://github.com/citation-style-language/schema/raw/master/csl-citation.json"}</w:instrText>
      </w:r>
      <w:r w:rsidRPr="00A125BD">
        <w:rPr>
          <w:rFonts w:ascii="Times New Roman" w:hAnsi="Times New Roman"/>
          <w:sz w:val="20"/>
          <w:szCs w:val="20"/>
        </w:rPr>
        <w:fldChar w:fldCharType="separate"/>
      </w:r>
      <w:r w:rsidRPr="00A125BD">
        <w:rPr>
          <w:rFonts w:ascii="Times New Roman" w:hAnsi="Times New Roman"/>
          <w:noProof/>
          <w:sz w:val="20"/>
          <w:szCs w:val="20"/>
        </w:rPr>
        <w:t>[14]</w:t>
      </w:r>
      <w:r w:rsidRPr="00A125BD">
        <w:rPr>
          <w:rFonts w:ascii="Times New Roman" w:hAnsi="Times New Roman"/>
          <w:sz w:val="20"/>
          <w:szCs w:val="20"/>
        </w:rPr>
        <w:fldChar w:fldCharType="end"/>
      </w:r>
      <w:r w:rsidRPr="00A125BD">
        <w:rPr>
          <w:rFonts w:ascii="Times New Roman" w:hAnsi="Times New Roman"/>
          <w:sz w:val="20"/>
          <w:szCs w:val="20"/>
        </w:rPr>
        <w:t xml:space="preserve">. The functional groups of </w:t>
      </w:r>
      <w:r w:rsidRPr="00A125BD">
        <w:rPr>
          <w:rFonts w:ascii="Times New Roman" w:hAnsi="Times New Roman"/>
          <w:i/>
          <w:iCs/>
          <w:sz w:val="20"/>
          <w:szCs w:val="20"/>
        </w:rPr>
        <w:t xml:space="preserve">F. deltoidea </w:t>
      </w:r>
      <w:r w:rsidRPr="00A125BD">
        <w:rPr>
          <w:rFonts w:ascii="Times New Roman" w:hAnsi="Times New Roman"/>
          <w:iCs/>
          <w:sz w:val="20"/>
          <w:szCs w:val="20"/>
        </w:rPr>
        <w:t xml:space="preserve">extracts </w:t>
      </w:r>
      <w:r w:rsidRPr="00A125BD">
        <w:rPr>
          <w:rFonts w:ascii="Times New Roman" w:hAnsi="Times New Roman"/>
          <w:sz w:val="20"/>
          <w:szCs w:val="20"/>
        </w:rPr>
        <w:t>and biosynthesised AgNP (powder form) were analyzed using Fourier Transform Infrared Spectroscopy (FTIR). This analysis was performed on a Perkin Elmer FTIR 1600 using the KBr technique in the range of 4000 – 400 cm</w:t>
      </w:r>
      <w:r w:rsidRPr="00A125BD">
        <w:rPr>
          <w:rFonts w:ascii="Times New Roman" w:hAnsi="Times New Roman"/>
          <w:sz w:val="20"/>
          <w:szCs w:val="20"/>
          <w:vertAlign w:val="superscript"/>
        </w:rPr>
        <w:t>-1</w:t>
      </w:r>
      <w:r w:rsidRPr="00A125BD">
        <w:rPr>
          <w:rFonts w:ascii="Times New Roman" w:hAnsi="Times New Roman"/>
          <w:sz w:val="20"/>
          <w:szCs w:val="20"/>
        </w:rPr>
        <w:t>.</w:t>
      </w:r>
    </w:p>
    <w:p w14:paraId="6EA58FA9" w14:textId="46525095" w:rsidR="00AC6EB5" w:rsidRDefault="00AC6EB5" w:rsidP="00AC6EB5">
      <w:pPr>
        <w:spacing w:after="0"/>
        <w:jc w:val="both"/>
        <w:outlineLvl w:val="0"/>
        <w:rPr>
          <w:rFonts w:ascii="Times New Roman" w:hAnsi="Times New Roman"/>
          <w:sz w:val="20"/>
          <w:szCs w:val="20"/>
          <w:lang w:val="en-GB"/>
        </w:rPr>
        <w:sectPr w:rsidR="00AC6EB5" w:rsidSect="00AC6EB5">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1B9BAFC8" w14:textId="4F8CFBD2" w:rsidR="00AC6EB5" w:rsidRDefault="00AC6EB5" w:rsidP="00AC6EB5">
      <w:pPr>
        <w:spacing w:after="0"/>
        <w:jc w:val="both"/>
        <w:outlineLvl w:val="0"/>
        <w:rPr>
          <w:rFonts w:ascii="Times New Roman" w:hAnsi="Times New Roman"/>
          <w:sz w:val="20"/>
          <w:szCs w:val="20"/>
          <w:lang w:val="en-GB"/>
        </w:rPr>
      </w:pPr>
    </w:p>
    <w:p w14:paraId="2D87F116" w14:textId="5338B321" w:rsidR="00AC6EB5" w:rsidRDefault="00AC6EB5" w:rsidP="00AC6EB5">
      <w:pPr>
        <w:spacing w:after="0"/>
        <w:jc w:val="both"/>
        <w:outlineLvl w:val="0"/>
        <w:rPr>
          <w:rFonts w:ascii="Times New Roman" w:hAnsi="Times New Roman"/>
          <w:sz w:val="20"/>
          <w:szCs w:val="20"/>
          <w:lang w:val="en-GB"/>
        </w:rPr>
      </w:pPr>
    </w:p>
    <w:p w14:paraId="413CE689" w14:textId="220CBFF0" w:rsidR="00AC6EB5" w:rsidRDefault="00985126" w:rsidP="00985126">
      <w:pPr>
        <w:spacing w:after="120"/>
        <w:jc w:val="center"/>
        <w:outlineLvl w:val="0"/>
        <w:rPr>
          <w:rFonts w:ascii="Times New Roman" w:hAnsi="Times New Roman"/>
          <w:sz w:val="20"/>
          <w:szCs w:val="20"/>
          <w:lang w:val="en-GB"/>
        </w:rPr>
      </w:pPr>
      <w:r w:rsidRPr="001771F6">
        <w:rPr>
          <w:noProof/>
        </w:rPr>
        <w:drawing>
          <wp:inline distT="0" distB="0" distL="0" distR="0" wp14:anchorId="76324F78" wp14:editId="031FA150">
            <wp:extent cx="4023360" cy="22037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60" cy="2203704"/>
                    </a:xfrm>
                    <a:prstGeom prst="rect">
                      <a:avLst/>
                    </a:prstGeom>
                    <a:noFill/>
                    <a:ln>
                      <a:noFill/>
                    </a:ln>
                  </pic:spPr>
                </pic:pic>
              </a:graphicData>
            </a:graphic>
          </wp:inline>
        </w:drawing>
      </w:r>
    </w:p>
    <w:p w14:paraId="55B3CDC3" w14:textId="5FB5DF48" w:rsidR="00985126" w:rsidRPr="00124BAD" w:rsidRDefault="00985126" w:rsidP="00985126">
      <w:pPr>
        <w:pStyle w:val="Keywords"/>
        <w:spacing w:after="0"/>
        <w:ind w:left="0"/>
        <w:jc w:val="center"/>
        <w:rPr>
          <w:rFonts w:cs="Times New Roman"/>
          <w:b w:val="0"/>
          <w:bCs/>
          <w:lang w:val="en-GB"/>
        </w:rPr>
        <w:sectPr w:rsidR="00985126" w:rsidRPr="00124BAD" w:rsidSect="009C5667">
          <w:type w:val="continuous"/>
          <w:pgSz w:w="12240" w:h="15840" w:code="1"/>
          <w:pgMar w:top="1800" w:right="1469" w:bottom="1699" w:left="1440" w:header="706" w:footer="706" w:gutter="0"/>
          <w:pgNumType w:start="561"/>
          <w:cols w:space="587"/>
          <w:docGrid w:linePitch="360"/>
        </w:sectPr>
      </w:pPr>
      <w:r w:rsidRPr="001771F6">
        <w:rPr>
          <w:rFonts w:cs="Times New Roman"/>
          <w:b w:val="0"/>
          <w:bCs/>
          <w:lang w:val="en-GB"/>
        </w:rPr>
        <w:t xml:space="preserve">Figure 1. </w:t>
      </w:r>
      <w:r>
        <w:rPr>
          <w:rFonts w:cs="Times New Roman"/>
          <w:b w:val="0"/>
          <w:bCs/>
          <w:lang w:val="en-GB"/>
        </w:rPr>
        <w:t xml:space="preserve"> </w:t>
      </w:r>
      <w:r w:rsidRPr="001771F6">
        <w:rPr>
          <w:rFonts w:cs="Times New Roman"/>
          <w:b w:val="0"/>
          <w:bCs/>
          <w:lang w:val="en-GB"/>
        </w:rPr>
        <w:t>Illustration of the process flow of preparing dried plant biomasses of different organ</w:t>
      </w:r>
    </w:p>
    <w:p w14:paraId="5E2C2AF5" w14:textId="77777777" w:rsidR="00985126" w:rsidRPr="00A125BD" w:rsidRDefault="00985126" w:rsidP="00985126">
      <w:pPr>
        <w:spacing w:after="120"/>
        <w:outlineLvl w:val="0"/>
        <w:rPr>
          <w:rFonts w:ascii="Times New Roman" w:hAnsi="Times New Roman"/>
          <w:sz w:val="20"/>
          <w:szCs w:val="20"/>
          <w:lang w:val="en-GB"/>
        </w:rPr>
      </w:pPr>
    </w:p>
    <w:p w14:paraId="3AA41A66" w14:textId="77777777" w:rsidR="00AC6EB5" w:rsidRDefault="00AC6EB5" w:rsidP="00AC6EB5">
      <w:pPr>
        <w:spacing w:after="0" w:line="240" w:lineRule="auto"/>
        <w:jc w:val="both"/>
        <w:rPr>
          <w:rFonts w:ascii="Times New Roman" w:hAnsi="Times New Roman"/>
          <w:sz w:val="20"/>
          <w:szCs w:val="20"/>
        </w:rPr>
      </w:pPr>
    </w:p>
    <w:p w14:paraId="0B1652F2" w14:textId="77777777" w:rsidR="00985126" w:rsidRDefault="00985126" w:rsidP="00985126">
      <w:pPr>
        <w:spacing w:after="0"/>
        <w:jc w:val="center"/>
        <w:rPr>
          <w:rFonts w:ascii="Times New Roman" w:hAnsi="Times New Roman"/>
          <w:b/>
          <w:noProof/>
          <w:sz w:val="20"/>
          <w:szCs w:val="20"/>
          <w:lang w:bidi="ar-SA"/>
        </w:rPr>
        <w:sectPr w:rsidR="00985126" w:rsidSect="00AC6EB5">
          <w:type w:val="continuous"/>
          <w:pgSz w:w="12240" w:h="15840" w:code="1"/>
          <w:pgMar w:top="1800" w:right="1469" w:bottom="1699" w:left="1440" w:header="706" w:footer="706" w:gutter="0"/>
          <w:pgNumType w:start="0"/>
          <w:cols w:space="708"/>
          <w:docGrid w:linePitch="360"/>
        </w:sectPr>
      </w:pPr>
    </w:p>
    <w:p w14:paraId="16C1B014" w14:textId="5AE12A08" w:rsidR="00985126" w:rsidRPr="00912D17" w:rsidRDefault="00985126" w:rsidP="00985126">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F8C9AF3" w14:textId="77777777" w:rsidR="00985126" w:rsidRDefault="00985126" w:rsidP="00985126">
      <w:pPr>
        <w:snapToGrid w:val="0"/>
        <w:spacing w:after="0"/>
        <w:jc w:val="both"/>
        <w:rPr>
          <w:rFonts w:ascii="Times New Roman" w:hAnsi="Times New Roman"/>
          <w:bCs/>
          <w:sz w:val="20"/>
          <w:szCs w:val="18"/>
        </w:rPr>
      </w:pPr>
      <w:r w:rsidRPr="00D5767A">
        <w:rPr>
          <w:rFonts w:ascii="Times New Roman" w:hAnsi="Times New Roman"/>
          <w:bCs/>
          <w:sz w:val="20"/>
          <w:szCs w:val="18"/>
        </w:rPr>
        <w:t xml:space="preserve">The LCMS results in Figure 2 indicated that the leaf, stem, fig, and root produced signals at different retention times (RT) of 127, 129, 104, and 119 peaks, respectively. The RT signals could be attributed to the presence of phytochemical compounds. Based on the </w:t>
      </w:r>
      <w:r w:rsidRPr="00D5767A">
        <w:rPr>
          <w:rFonts w:ascii="Times New Roman" w:hAnsi="Times New Roman"/>
          <w:bCs/>
          <w:sz w:val="20"/>
          <w:szCs w:val="18"/>
        </w:rPr>
        <w:t xml:space="preserve">chromatogram, it can be said that more than 50% of them were phenolics, flavonoids and polyphenol compounds. Among the phytochemical compounds found in </w:t>
      </w:r>
      <w:r w:rsidRPr="00D5767A">
        <w:rPr>
          <w:rFonts w:ascii="Times New Roman" w:hAnsi="Times New Roman"/>
          <w:bCs/>
          <w:i/>
          <w:iCs/>
          <w:sz w:val="20"/>
          <w:szCs w:val="18"/>
        </w:rPr>
        <w:t>F. deltoidea</w:t>
      </w:r>
      <w:r w:rsidRPr="00D5767A">
        <w:rPr>
          <w:rFonts w:ascii="Times New Roman" w:hAnsi="Times New Roman"/>
          <w:bCs/>
          <w:sz w:val="20"/>
          <w:szCs w:val="18"/>
        </w:rPr>
        <w:t xml:space="preserve"> are rutin, quercetin, naringenin, vitexin, and isovitexin. The selected phytochemical </w:t>
      </w:r>
      <w:r w:rsidRPr="00D5767A">
        <w:rPr>
          <w:rFonts w:ascii="Times New Roman" w:hAnsi="Times New Roman"/>
          <w:bCs/>
          <w:sz w:val="20"/>
          <w:szCs w:val="18"/>
        </w:rPr>
        <w:lastRenderedPageBreak/>
        <w:t xml:space="preserve">compounds content </w:t>
      </w:r>
      <w:r>
        <w:rPr>
          <w:rFonts w:ascii="Times New Roman" w:hAnsi="Times New Roman"/>
          <w:bCs/>
          <w:sz w:val="20"/>
          <w:szCs w:val="18"/>
        </w:rPr>
        <w:t xml:space="preserve">  </w:t>
      </w:r>
      <w:r w:rsidRPr="00D5767A">
        <w:rPr>
          <w:rFonts w:ascii="Times New Roman" w:hAnsi="Times New Roman"/>
          <w:bCs/>
          <w:sz w:val="20"/>
          <w:szCs w:val="18"/>
        </w:rPr>
        <w:t>(in percentage)</w:t>
      </w:r>
      <w:r>
        <w:rPr>
          <w:rFonts w:ascii="Times New Roman" w:hAnsi="Times New Roman"/>
          <w:bCs/>
          <w:sz w:val="20"/>
          <w:szCs w:val="18"/>
        </w:rPr>
        <w:t xml:space="preserve"> </w:t>
      </w:r>
      <w:r w:rsidRPr="00D5767A">
        <w:rPr>
          <w:rFonts w:ascii="Times New Roman" w:hAnsi="Times New Roman"/>
          <w:bCs/>
          <w:sz w:val="20"/>
          <w:szCs w:val="18"/>
        </w:rPr>
        <w:t xml:space="preserve"> is shown</w:t>
      </w:r>
      <w:r>
        <w:rPr>
          <w:rFonts w:ascii="Times New Roman" w:hAnsi="Times New Roman"/>
          <w:bCs/>
          <w:sz w:val="20"/>
          <w:szCs w:val="18"/>
        </w:rPr>
        <w:t xml:space="preserve"> </w:t>
      </w:r>
      <w:r w:rsidRPr="00D5767A">
        <w:rPr>
          <w:rFonts w:ascii="Times New Roman" w:hAnsi="Times New Roman"/>
          <w:bCs/>
          <w:sz w:val="20"/>
          <w:szCs w:val="18"/>
        </w:rPr>
        <w:t xml:space="preserve"> in Table 2. </w:t>
      </w:r>
      <w:r>
        <w:rPr>
          <w:rFonts w:ascii="Times New Roman" w:hAnsi="Times New Roman"/>
          <w:bCs/>
          <w:sz w:val="20"/>
          <w:szCs w:val="18"/>
        </w:rPr>
        <w:t xml:space="preserve"> </w:t>
      </w:r>
    </w:p>
    <w:p w14:paraId="70213224" w14:textId="77777777" w:rsidR="00985126" w:rsidRDefault="00985126" w:rsidP="00985126">
      <w:pPr>
        <w:snapToGrid w:val="0"/>
        <w:spacing w:after="0"/>
        <w:jc w:val="both"/>
        <w:rPr>
          <w:rFonts w:ascii="Times New Roman" w:hAnsi="Times New Roman"/>
          <w:bCs/>
          <w:sz w:val="20"/>
          <w:szCs w:val="18"/>
        </w:rPr>
      </w:pPr>
    </w:p>
    <w:p w14:paraId="448D956D" w14:textId="77777777" w:rsidR="00985126" w:rsidRDefault="00985126" w:rsidP="00985126">
      <w:pPr>
        <w:snapToGrid w:val="0"/>
        <w:spacing w:after="0"/>
        <w:jc w:val="both"/>
        <w:rPr>
          <w:rFonts w:ascii="Times New Roman" w:hAnsi="Times New Roman"/>
          <w:bCs/>
          <w:sz w:val="20"/>
          <w:szCs w:val="18"/>
        </w:rPr>
      </w:pPr>
      <w:r w:rsidRPr="00D5767A">
        <w:rPr>
          <w:rFonts w:ascii="Times New Roman" w:hAnsi="Times New Roman"/>
          <w:bCs/>
          <w:sz w:val="20"/>
          <w:szCs w:val="18"/>
        </w:rPr>
        <w:t xml:space="preserve">Notably, these phytochemical compounds act as biological defenses for unicellular and multicellular plants, protect biological cells, tissues and organs of plants from damages caused by oxidative stress, and as plant metabolites, they </w:t>
      </w:r>
      <w:r w:rsidRPr="00D5767A">
        <w:rPr>
          <w:rFonts w:ascii="Times New Roman" w:hAnsi="Times New Roman"/>
          <w:sz w:val="20"/>
          <w:szCs w:val="18"/>
        </w:rPr>
        <w:t xml:space="preserve">prevent inflammation and promote carbohydrate metabolism </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10.1186/s13062-015-0052-y","ISBN":"1306201500","ISSN":"???","author":[{"dropping-particle":"","family":"Labeeuw","given":"Leen","non-dropping-particle":"","parse-names":false,"suffix":""},{"dropping-particle":"","family":"Martone","given":"Patrick T","non-dropping-particle":"","parse-names":false,"suffix":""},{"dropping-particle":"","family":"Boucher","given":"Yan","non-dropping-particle":"","parse-names":false,"suffix":""},{"dropping-particle":"","family":"Case","given":"Rebecca J","non-dropping-particle":"","parse-names":false,"suffix":""}],"container-title":"Biology Direct","id":"ITEM-1","issue":"23","issued":{"date-parts":[["2015"]]},"note":"percursors lignin - lignification offer protection when plant is damage\n\np-coumaric acid\np-coumaraldehyde","page":"1-21","publisher":"???","title":"Ancient Origin of the Biosynthesis of Lignin Precursors","type":"article-journal","volume":"10"},"uris":["http://www.mendeley.com/documents/?uuid=c1b62891-d2d1-4b12-8b5e-cefc881ec22e"]}],"mendeley":{"formattedCitation":"[15]","manualFormatting":"[14","plainTextFormattedCitation":"[15]","previouslyFormattedCitation":"[15]"},"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[14</w:t>
      </w:r>
      <w:r w:rsidRPr="00D5767A">
        <w:rPr>
          <w:rFonts w:ascii="Times New Roman" w:hAnsi="Times New Roman"/>
          <w:sz w:val="20"/>
          <w:szCs w:val="18"/>
        </w:rPr>
        <w:fldChar w:fldCharType="end"/>
      </w:r>
      <w:r w:rsidRPr="00D5767A">
        <w:rPr>
          <w:rFonts w:ascii="Times New Roman" w:hAnsi="Times New Roman"/>
          <w:sz w:val="20"/>
          <w:szCs w:val="18"/>
        </w:rPr>
        <w:t>-</w:t>
      </w:r>
      <w:r w:rsidRPr="00D5767A">
        <w:rPr>
          <w:rFonts w:ascii="Times New Roman" w:hAnsi="Times New Roman"/>
          <w:sz w:val="20"/>
          <w:szCs w:val="18"/>
        </w:rPr>
        <w:fldChar w:fldCharType="begin" w:fldLock="1"/>
      </w:r>
      <w:r w:rsidRPr="00D5767A">
        <w:rPr>
          <w:rFonts w:ascii="Times New Roman" w:hAnsi="Times New Roman"/>
          <w:sz w:val="20"/>
          <w:szCs w:val="18"/>
        </w:rPr>
        <w:instrText>ADDIN CSL_CITATION {"citationItems":[{"id":"ITEM-1","itemData":{"DOI":"10.3390/molecules191016240","ISSN":"14203049","PMID":"25310150","abstract":"Flavonoids are small molecular secondary metabolites synthesized by plants with various biological activities. Due to their physical and biochemical properties, they are capable of participating in plants' interactions with other organisms (microorganisms, animals and other plants) and their reactions to environmental stresses. The majority of their functions result from their strong antioxidative properties. Although an increasing number of studies focus on the application of flavonoids in medicine or the food industry, their relevance for the plants themselves also deserves extensive investigations. This review summarizes the current knowledge on the functions of flavonoids in the physiology of plants and their relations with the environment.","author":[{"dropping-particle":"","family":"Mierziak","given":"Justyna","non-dropping-particle":"","parse-names":false,"suffix":""},{"dropping-particle":"","family":"Kostyn","given":"Kamil","non-dropping-particle":"","parse-names":false,"suffix":""},{"dropping-particle":"","family":"Kulma","given":"Anna","non-dropping-particle":"","parse-names":false,"suffix":""}],"container-title":"Molecules","id":"ITEM-1","issue":"10","issued":{"date-parts":[["2014"]]},"page":"16240-16265","title":"Flavonoids as Important Molecules of Plant Interactions with the Environment","type":"article-journal","volume":"19"},"uris":["http://www.mendeley.com/documents/?uuid=cdd6b501-3af2-4be3-a996-4df085b763a5"]}],"mendeley":{"formattedCitation":"[16]","manualFormatting":"19]","plainTextFormattedCitation":"[16]","previouslyFormattedCitation":"[16]"},"properties":{"noteIndex":0},"schema":"https://github.com/citation-style-language/schema/raw/master/csl-citation.json"}</w:instrText>
      </w:r>
      <w:r w:rsidRPr="00D5767A">
        <w:rPr>
          <w:rFonts w:ascii="Times New Roman" w:hAnsi="Times New Roman"/>
          <w:sz w:val="20"/>
          <w:szCs w:val="18"/>
        </w:rPr>
        <w:fldChar w:fldCharType="separate"/>
      </w:r>
      <w:r w:rsidRPr="00D5767A">
        <w:rPr>
          <w:rFonts w:ascii="Times New Roman" w:hAnsi="Times New Roman"/>
          <w:noProof/>
          <w:sz w:val="20"/>
          <w:szCs w:val="18"/>
        </w:rPr>
        <w:t>19]</w:t>
      </w:r>
      <w:r w:rsidRPr="00D5767A">
        <w:rPr>
          <w:rFonts w:ascii="Times New Roman" w:hAnsi="Times New Roman"/>
          <w:sz w:val="20"/>
          <w:szCs w:val="18"/>
        </w:rPr>
        <w:fldChar w:fldCharType="end"/>
      </w:r>
      <w:r w:rsidRPr="00D5767A">
        <w:rPr>
          <w:rFonts w:ascii="Times New Roman" w:hAnsi="Times New Roman"/>
          <w:sz w:val="20"/>
          <w:szCs w:val="18"/>
        </w:rPr>
        <w:t xml:space="preserve">. The </w:t>
      </w:r>
      <w:r w:rsidRPr="00D5767A">
        <w:rPr>
          <w:rFonts w:ascii="Times New Roman" w:hAnsi="Times New Roman"/>
          <w:bCs/>
          <w:sz w:val="20"/>
          <w:szCs w:val="18"/>
        </w:rPr>
        <w:t>highest phytochemical compounds identified in each organ are tabulated in Table 2. On that note, gallic acid was identified in the leaf, kaempferol-3-(6''-caffeoylglucoside) in the stem, quercetin-3-O-rhamnoside in fig and kaempferol 3-(3'',4''- diacetylrhamnoside) in the root. The molecular structures of these phytochemical compounds are shown in Figure 3.</w:t>
      </w:r>
    </w:p>
    <w:p w14:paraId="06AA444D" w14:textId="77777777" w:rsidR="00985126" w:rsidRPr="0039419E" w:rsidRDefault="00985126" w:rsidP="00985126">
      <w:pPr>
        <w:snapToGrid w:val="0"/>
        <w:spacing w:after="0"/>
        <w:jc w:val="both"/>
        <w:rPr>
          <w:rFonts w:ascii="Times New Roman" w:hAnsi="Times New Roman"/>
          <w:bCs/>
          <w:sz w:val="20"/>
          <w:szCs w:val="18"/>
        </w:rPr>
      </w:pPr>
    </w:p>
    <w:p w14:paraId="4D0AFF4F" w14:textId="77777777" w:rsidR="00985126" w:rsidRDefault="00985126" w:rsidP="00985126">
      <w:pPr>
        <w:snapToGrid w:val="0"/>
        <w:spacing w:after="0"/>
        <w:jc w:val="both"/>
        <w:rPr>
          <w:rFonts w:ascii="Times New Roman" w:hAnsi="Times New Roman"/>
          <w:b/>
          <w:bCs/>
          <w:sz w:val="20"/>
          <w:szCs w:val="20"/>
          <w:lang w:val="en-GB"/>
        </w:rPr>
      </w:pPr>
      <w:r w:rsidRPr="00D5767A">
        <w:rPr>
          <w:rFonts w:ascii="Times New Roman" w:hAnsi="Times New Roman"/>
          <w:bCs/>
          <w:sz w:val="20"/>
          <w:szCs w:val="20"/>
          <w:lang w:val="en-GB"/>
        </w:rPr>
        <w:t xml:space="preserve">To validate the chromatogram, the retention time (RT) of a specific flavonoid of vitexin and isovitexin at 7.4 and 8.7 minutes, respectively was used in the HPLC analysis (Figure 4). Notably, these compounds were found at 17.84 ± 2.57 ppm of vitexin and 13.92 ± 0.44 ppm of isovitexin in the leaves of </w:t>
      </w:r>
      <w:r w:rsidRPr="00D5767A">
        <w:rPr>
          <w:rFonts w:ascii="Times New Roman" w:hAnsi="Times New Roman"/>
          <w:bCs/>
          <w:i/>
          <w:iCs/>
          <w:sz w:val="20"/>
          <w:szCs w:val="20"/>
          <w:lang w:val="en-GB"/>
        </w:rPr>
        <w:t>F. deltoidea</w:t>
      </w:r>
      <w:r w:rsidRPr="00D5767A">
        <w:rPr>
          <w:rFonts w:ascii="Times New Roman" w:hAnsi="Times New Roman"/>
          <w:bCs/>
          <w:sz w:val="20"/>
          <w:szCs w:val="20"/>
          <w:lang w:val="en-GB"/>
        </w:rPr>
        <w:t xml:space="preserve">. It was abundantly found in the leaf organ. This finding is in line with the study that has been conducted by Abdullah et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which found that the concentration of vitexin was higher than that of isovitexin in the leaf of </w:t>
      </w:r>
      <w:r w:rsidRPr="00D5767A">
        <w:rPr>
          <w:rFonts w:ascii="Times New Roman" w:hAnsi="Times New Roman"/>
          <w:bCs/>
          <w:i/>
          <w:iCs/>
          <w:sz w:val="20"/>
          <w:szCs w:val="20"/>
          <w:lang w:val="en-GB"/>
        </w:rPr>
        <w:t>F. deltoidea</w:t>
      </w:r>
      <w:r w:rsidRPr="00D5767A">
        <w:rPr>
          <w:rFonts w:ascii="Times New Roman" w:hAnsi="Times New Roman"/>
          <w:bCs/>
          <w:sz w:val="20"/>
          <w:szCs w:val="20"/>
          <w:lang w:val="en-GB"/>
        </w:rPr>
        <w:t xml:space="preserve">. He at al.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mentioned that in </w:t>
      </w:r>
      <w:r w:rsidRPr="00D5767A">
        <w:rPr>
          <w:rFonts w:ascii="Times New Roman" w:hAnsi="Times New Roman"/>
          <w:bCs/>
          <w:i/>
          <w:iCs/>
          <w:sz w:val="20"/>
          <w:szCs w:val="20"/>
          <w:lang w:val="en-GB"/>
        </w:rPr>
        <w:t xml:space="preserve">Lemna minor </w:t>
      </w:r>
      <w:r w:rsidRPr="00D5767A">
        <w:rPr>
          <w:rFonts w:ascii="Times New Roman" w:hAnsi="Times New Roman"/>
          <w:bCs/>
          <w:sz w:val="20"/>
          <w:szCs w:val="20"/>
          <w:lang w:val="en-GB"/>
        </w:rPr>
        <w:t xml:space="preserve">plant, vitexin was found to be converted to isovitexin and not in reverse direction. These phytochemical compounds serve as siderophores, attractants and feeding deterrents in plant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{"citationItems":[{"id":"ITEM-1","itemData":{"author":[{"dropping-particle":"","family":"Abdullah","given":"Farah Izana","non-dropping-particle":"","parse-names":false,"suffix":""},{"dropping-particle":"","family":"Chua","given":"Lee Suan","non-dropping-particle":"","parse-names":false,"suffix":""}],"container-title":"Frontiers in Biology","id":"ITEM-1","issue":"6","issued":{"date-parts":[["2017"]]},"page":"448-458","title":"Prediction of C-glycosylated Apigenin (Vitexin) Biosynthesis in Ficus deltoidea Based on Plant Proteins Identified by LC-MS/MS","type":"article-journal","volume":"12"},"uris":["http://www.mendeley.com/documents/?uuid=15cc6473-8352-45fe-87d8-fff413c4e7fa"]}],"mendeley":{"formattedCitation":"[17]","plainTextFormattedCitation":"[17]","previouslyFormattedCitation":"[17]"},"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[17]</w:t>
      </w:r>
      <w:r w:rsidRPr="00D5767A">
        <w:rPr>
          <w:rFonts w:ascii="Times New Roman" w:hAnsi="Times New Roman"/>
          <w:b/>
          <w:bCs/>
          <w:sz w:val="20"/>
          <w:szCs w:val="20"/>
          <w:lang w:val="en-GB"/>
        </w:rPr>
        <w:fldChar w:fldCharType="end"/>
      </w:r>
      <w:r w:rsidRPr="00D5767A">
        <w:rPr>
          <w:rFonts w:ascii="Times New Roman" w:hAnsi="Times New Roman"/>
          <w:bCs/>
          <w:sz w:val="20"/>
          <w:szCs w:val="20"/>
          <w:lang w:val="en-GB"/>
        </w:rPr>
        <w:t xml:space="preserve">. From previous studies, these compounds also found in </w:t>
      </w:r>
      <w:r w:rsidRPr="00D5767A">
        <w:rPr>
          <w:rFonts w:ascii="Times New Roman" w:hAnsi="Times New Roman"/>
          <w:bCs/>
          <w:sz w:val="20"/>
          <w:szCs w:val="20"/>
          <w:lang w:val="en-GB"/>
        </w:rPr>
        <w:t xml:space="preserve">various plants such as mung beans, wheat leaves and bamboo </w:t>
      </w:r>
      <w:r w:rsidRPr="00D5767A">
        <w:rPr>
          <w:rFonts w:ascii="Times New Roman" w:hAnsi="Times New Roman"/>
          <w:b/>
          <w:bCs/>
          <w:sz w:val="20"/>
          <w:szCs w:val="20"/>
          <w:lang w:val="en-GB"/>
        </w:rPr>
        <w:fldChar w:fldCharType="begin" w:fldLock="1"/>
      </w:r>
      <w:r w:rsidRPr="00D5767A">
        <w:rPr>
          <w:rFonts w:ascii="Times New Roman" w:hAnsi="Times New Roman"/>
          <w:bCs/>
          <w:sz w:val="20"/>
          <w:szCs w:val="20"/>
          <w:lang w:val="en-GB"/>
        </w:rPr>
        <w:instrText>ADDIN CSL_CITATION {"citationItems":[{"id":"ITEM-1","itemData":{"DOI":"10.1016/j.fitote.2016.09.011","ISSN":"18736971","abstract":"Vitexin and isovitexin are active components of many traditional Chinese medicines, and were found in various medicinal plants. Vitexin (apigenin-8-C-glucoside) has recently received increased attention due to its wide range of pharmacological effects, including but not limited to anti-oxidant, anti-cancer, anti-inflammatory, anti-hyperalgesic, and neuroprotective effects. Isovitexin (apigenin-6-C-glucoside), an isomer of vitexin, generally purified together with vitexin, also exhibits diverse biological activities. Latest research has suggested that vitexin and isovitexin could be potential substitute medicines for diversity diseases, and may be adjuvants for stubborn diseases or health products. This review summarized recent findings on various pharmacological activities and associative signalling pathways of vitexin and isovitexin to provide a reference for future research and clinical applications.","author":[{"dropping-particle":"","family":"He","given":"Miao","non-dropping-particle":"","parse-names":false,"suffix":""},{"dropping-particle":"","family":"Min","given":"Jia Wei","non-dropping-particle":"","parse-names":false,"suffix":""},{"dropping-particle":"","family":"Kong","given":"Wei Lin","non-dropping-particle":"","parse-names":false,"suffix":""},{"dropping-particle":"","family":"He","given":"Xiao Hua","non-dropping-particle":"","parse-names":false,"suffix":""},{"dropping-particle":"","family":"Li","given":"Jun Xu","non-dropping-particle":"","parse-names":false,"suffix":""},{"dropping-particle":"","family":"Peng","given":"Bi Wen","non-dropping-particle":"","parse-names":false,"suffix":""}],"container-title":"Fitoterapia","id":"ITEM-1","issued":{"date-parts":[["2016"]]},"page":"74-85","publisher":"Elsevier B.V.","title":"A Review on The Pharmacological Effects of Vitexin and Isovitexin","type":"article-journal","volume":"115"},"uris":["http://www.mendeley.com/documents/?uuid=2ba2cf2a-2b75-4644-a874-66387250306a"]}],"mendeley":{"formattedCitation":"[18]","plainTextFormattedCitation":"[18]","previouslyFormattedCitation":"[18]"},"properties":{"noteIndex":0},"schema":"https://github.com/citation-style-language/schema/raw/master/csl-citation.json"}</w:instrText>
      </w:r>
      <w:r w:rsidRPr="00D5767A">
        <w:rPr>
          <w:rFonts w:ascii="Times New Roman" w:hAnsi="Times New Roman"/>
          <w:b/>
          <w:bCs/>
          <w:sz w:val="20"/>
          <w:szCs w:val="20"/>
          <w:lang w:val="en-GB"/>
        </w:rPr>
        <w:fldChar w:fldCharType="separate"/>
      </w:r>
      <w:r w:rsidRPr="00D5767A">
        <w:rPr>
          <w:rFonts w:ascii="Times New Roman" w:hAnsi="Times New Roman"/>
          <w:bCs/>
          <w:noProof/>
          <w:sz w:val="20"/>
          <w:szCs w:val="20"/>
          <w:lang w:val="en-GB"/>
        </w:rPr>
        <w:t>[18]</w:t>
      </w:r>
      <w:r w:rsidRPr="00D5767A">
        <w:rPr>
          <w:rFonts w:ascii="Times New Roman" w:hAnsi="Times New Roman"/>
          <w:b/>
          <w:bCs/>
          <w:sz w:val="20"/>
          <w:szCs w:val="20"/>
          <w:lang w:val="en-GB"/>
        </w:rPr>
        <w:fldChar w:fldCharType="end"/>
      </w:r>
      <w:r>
        <w:rPr>
          <w:rFonts w:ascii="Times New Roman" w:hAnsi="Times New Roman"/>
          <w:b/>
          <w:bCs/>
          <w:sz w:val="20"/>
          <w:szCs w:val="20"/>
          <w:lang w:val="en-GB"/>
        </w:rPr>
        <w:t>.</w:t>
      </w:r>
    </w:p>
    <w:p w14:paraId="39F16286" w14:textId="77777777" w:rsidR="00985126" w:rsidRDefault="00985126" w:rsidP="00985126">
      <w:pPr>
        <w:snapToGrid w:val="0"/>
        <w:spacing w:after="0"/>
        <w:jc w:val="both"/>
        <w:rPr>
          <w:rFonts w:ascii="Times New Roman" w:hAnsi="Times New Roman"/>
          <w:b/>
          <w:bCs/>
          <w:sz w:val="20"/>
          <w:szCs w:val="20"/>
          <w:lang w:val="en-GB"/>
        </w:rPr>
      </w:pPr>
    </w:p>
    <w:p w14:paraId="0DA03F24" w14:textId="77777777" w:rsidR="00985126" w:rsidRDefault="00985126" w:rsidP="00985126">
      <w:pPr>
        <w:pStyle w:val="Keywords"/>
        <w:spacing w:after="0" w:line="276" w:lineRule="auto"/>
        <w:ind w:left="0" w:right="66"/>
        <w:jc w:val="both"/>
        <w:rPr>
          <w:rFonts w:cs="Times New Roman"/>
          <w:b w:val="0"/>
          <w:bCs/>
          <w:lang w:val="en-GB"/>
        </w:rPr>
      </w:pPr>
      <w:r w:rsidRPr="00A72277">
        <w:rPr>
          <w:rFonts w:cs="Times New Roman"/>
          <w:b w:val="0"/>
          <w:bCs/>
          <w:lang w:val="en-GB"/>
        </w:rPr>
        <w:t xml:space="preserve">Figure </w:t>
      </w:r>
      <w:r>
        <w:rPr>
          <w:rFonts w:cs="Times New Roman"/>
          <w:b w:val="0"/>
          <w:bCs/>
          <w:lang w:val="en-GB"/>
        </w:rPr>
        <w:t>5</w:t>
      </w:r>
      <w:r w:rsidRPr="00A72277">
        <w:rPr>
          <w:rFonts w:cs="Times New Roman"/>
          <w:b w:val="0"/>
          <w:bCs/>
          <w:lang w:val="en-GB"/>
        </w:rPr>
        <w:t xml:space="preserve"> shows the TPC and TFC values of the extracts of </w:t>
      </w:r>
      <w:r w:rsidRPr="00A72277">
        <w:rPr>
          <w:rFonts w:cs="Times New Roman"/>
          <w:b w:val="0"/>
          <w:bCs/>
          <w:i/>
          <w:iCs/>
          <w:lang w:val="en-GB"/>
        </w:rPr>
        <w:t>F. deltoidea</w:t>
      </w:r>
      <w:r w:rsidRPr="00A72277">
        <w:rPr>
          <w:rFonts w:cs="Times New Roman"/>
          <w:b w:val="0"/>
          <w:bCs/>
          <w:lang w:val="en-GB"/>
        </w:rPr>
        <w:t xml:space="preserve"> measured using the Folin-Ciocalteu method and </w:t>
      </w:r>
      <w:r>
        <w:rPr>
          <w:rFonts w:cs="Times New Roman"/>
          <w:b w:val="0"/>
          <w:bCs/>
          <w:lang w:val="en-GB"/>
        </w:rPr>
        <w:t>A</w:t>
      </w:r>
      <w:r w:rsidRPr="00A72277">
        <w:rPr>
          <w:rFonts w:cs="Times New Roman"/>
          <w:b w:val="0"/>
          <w:bCs/>
          <w:lang w:val="en-GB"/>
        </w:rPr>
        <w:t>luminium chloride colo</w:t>
      </w:r>
      <w:r>
        <w:rPr>
          <w:rFonts w:cs="Times New Roman"/>
          <w:b w:val="0"/>
          <w:bCs/>
          <w:lang w:val="en-GB"/>
        </w:rPr>
        <w:t>u</w:t>
      </w:r>
      <w:r w:rsidRPr="00A72277">
        <w:rPr>
          <w:rFonts w:cs="Times New Roman"/>
          <w:b w:val="0"/>
          <w:bCs/>
          <w:lang w:val="en-GB"/>
        </w:rPr>
        <w:t>rimetric assay, respectively. It is important to determine both compounds composition in the plants as the formation of AgNP highly depends on their presence. This was emphasi</w:t>
      </w:r>
      <w:r>
        <w:rPr>
          <w:rFonts w:cs="Times New Roman"/>
          <w:b w:val="0"/>
          <w:bCs/>
          <w:lang w:val="en-GB"/>
        </w:rPr>
        <w:t>s</w:t>
      </w:r>
      <w:r w:rsidRPr="00A72277">
        <w:rPr>
          <w:rFonts w:cs="Times New Roman"/>
          <w:b w:val="0"/>
          <w:bCs/>
          <w:lang w:val="en-GB"/>
        </w:rPr>
        <w:t>e</w:t>
      </w:r>
      <w:r>
        <w:rPr>
          <w:rFonts w:cs="Times New Roman"/>
          <w:b w:val="0"/>
          <w:bCs/>
          <w:lang w:val="en-GB"/>
        </w:rPr>
        <w:t>d</w:t>
      </w:r>
      <w:r w:rsidRPr="00A72277">
        <w:rPr>
          <w:rFonts w:cs="Times New Roman"/>
          <w:b w:val="0"/>
          <w:bCs/>
          <w:lang w:val="en-GB"/>
        </w:rPr>
        <w:t xml:space="preserve"> by Asmat-Campos</w:t>
      </w:r>
      <w:r>
        <w:rPr>
          <w:rFonts w:cs="Times New Roman"/>
          <w:b w:val="0"/>
          <w:bCs/>
          <w:lang w:val="en-GB"/>
        </w:rPr>
        <w:t xml:space="preserve"> et al.</w:t>
      </w:r>
      <w:r w:rsidRPr="00A72277">
        <w:rPr>
          <w:rFonts w:cs="Times New Roman"/>
          <w:b w:val="0"/>
          <w:bCs/>
          <w:lang w:val="en-GB"/>
        </w:rPr>
        <w:t xml:space="preserve"> as they stated that the presence of polyphenol promotes the reduc</w:t>
      </w:r>
      <w:r>
        <w:rPr>
          <w:rFonts w:cs="Times New Roman"/>
          <w:b w:val="0"/>
          <w:bCs/>
          <w:lang w:val="en-GB"/>
        </w:rPr>
        <w:t>tion</w:t>
      </w:r>
      <w:r w:rsidRPr="00A72277">
        <w:rPr>
          <w:rFonts w:cs="Times New Roman"/>
          <w:b w:val="0"/>
          <w:bCs/>
          <w:lang w:val="en-GB"/>
        </w:rPr>
        <w:t xml:space="preserve"> and capping of nanoparticles </w:t>
      </w:r>
      <w:r w:rsidRPr="00A72277">
        <w:rPr>
          <w:rFonts w:cs="Times New Roman"/>
          <w:b w:val="0"/>
          <w:bCs/>
          <w:lang w:val="en-GB"/>
        </w:rPr>
        <w:fldChar w:fldCharType="begin" w:fldLock="1"/>
      </w:r>
      <w:r>
        <w:rPr>
          <w:rFonts w:cs="Times New Roman"/>
          <w:b w:val="0"/>
          <w:bCs/>
          <w:lang w:val="en-GB"/>
        </w:rPr>
        <w:instrText>ADDIN CSL_CITATION {"citationItems":[{"id":"ITEM-1","itemData":{"DOI":"10.1021/acssuschemeng.0c06903","author":[{"dropping-particle":"","family":"Asmat-campos","given":"David","non-dropping-particle":"","parse-names":false,"suffix":""},{"dropping-particle":"","family":"Abreu","given":"Ana C","non-dropping-particle":"","parse-names":false,"suffix":""},{"dropping-particle":"","family":"Romero-cano","given":"Manuel S","non-dropping-particle":"","parse-names":false,"suffix":""},{"dropping-particle":"","family":"Urquiaga-zavaleta","given":"Josue","non-dropping-particle":"","parse-names":false,"suffix":""},{"dropping-particle":"","family":"Delf","given":"Daniel","non-dropping-particle":"","parse-names":false,"suffix":""},{"dropping-particle":"","family":"Jua","given":"Luisa","non-dropping-particle":"","parse-names":false,"suffix":""},{"dropping-particle":"","family":"Nazario-naveda","given":"Renny","non-dropping-particle":"","parse-names":false,"suffix":""},{"dropping-particle":"","family":"Rengifo-penadillos","given":"Roger","non-dropping-particle":"","parse-names":false,"suffix":""},{"dropping-particle":"","family":"Ferna","given":"Ignacio","non-dropping-particle":"","parse-names":false,"suffix":""}],"container-title":"ACS Sustainable Chemistery Engineering","id":"ITEM-1","issued":{"date-parts":[["2020"]]},"note":"quercetin-3-O-rhamnoside\n\nthe synthesized NPs showed variable sizes and amounts most likely due to the varying concentrations of these compounds in\ndifferent species","title":"Unraveling the Active Biomolecules Responsible for the Sustainable Synthesis of Nanoscale Silver Particles through Nuclear Magnetic Resonance Metabolomics","type":"article-journal"},"uris":["http://www.mendeley.com/documents/?uuid=2eaa7a18-2e91-47f4-82e2-796c458d80e0"]}],"mendeley":{"formattedCitation":"[19]","plainTextFormattedCitation":"[19]","previouslyFormattedCitation":"[19]"},"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[19]</w:t>
      </w:r>
      <w:r w:rsidRPr="00A72277">
        <w:rPr>
          <w:rFonts w:cs="Times New Roman"/>
          <w:b w:val="0"/>
          <w:bCs/>
          <w:lang w:val="en-GB"/>
        </w:rPr>
        <w:fldChar w:fldCharType="end"/>
      </w:r>
      <w:r w:rsidRPr="00A72277">
        <w:rPr>
          <w:rFonts w:cs="Times New Roman"/>
          <w:b w:val="0"/>
          <w:bCs/>
          <w:lang w:val="en-GB"/>
        </w:rPr>
        <w:t xml:space="preserve">. In the Folin-Ciocalteu method, the reagent used </w:t>
      </w:r>
      <w:r>
        <w:rPr>
          <w:rFonts w:cs="Times New Roman"/>
          <w:b w:val="0"/>
          <w:bCs/>
          <w:lang w:val="en-GB"/>
        </w:rPr>
        <w:t xml:space="preserve">was </w:t>
      </w:r>
      <w:r w:rsidRPr="00A72277">
        <w:rPr>
          <w:rFonts w:cs="Times New Roman"/>
          <w:b w:val="0"/>
          <w:bCs/>
          <w:lang w:val="en-GB"/>
        </w:rPr>
        <w:t xml:space="preserve">composed of a mixture of phosphotungstic acid and phosphomolybdic acid, which </w:t>
      </w:r>
      <w:r>
        <w:rPr>
          <w:rFonts w:cs="Times New Roman"/>
          <w:b w:val="0"/>
          <w:bCs/>
          <w:lang w:val="en-GB"/>
        </w:rPr>
        <w:t xml:space="preserve">were </w:t>
      </w:r>
      <w:r w:rsidRPr="00A72277">
        <w:rPr>
          <w:rFonts w:cs="Times New Roman"/>
          <w:b w:val="0"/>
          <w:bCs/>
          <w:lang w:val="en-GB"/>
        </w:rPr>
        <w:t xml:space="preserve">reduced to a mixture of blue oxides of tungsten and molybdenum once the phenols </w:t>
      </w:r>
      <w:r>
        <w:rPr>
          <w:rFonts w:cs="Times New Roman"/>
          <w:b w:val="0"/>
          <w:bCs/>
          <w:lang w:val="en-GB"/>
        </w:rPr>
        <w:t xml:space="preserve">were </w:t>
      </w:r>
      <w:r w:rsidRPr="00A72277">
        <w:rPr>
          <w:rFonts w:cs="Times New Roman"/>
          <w:b w:val="0"/>
          <w:bCs/>
          <w:lang w:val="en-GB"/>
        </w:rPr>
        <w:t>oxidi</w:t>
      </w:r>
      <w:r>
        <w:rPr>
          <w:rFonts w:cs="Times New Roman"/>
          <w:b w:val="0"/>
          <w:bCs/>
          <w:lang w:val="en-GB"/>
        </w:rPr>
        <w:t>s</w:t>
      </w:r>
      <w:r w:rsidRPr="00A72277">
        <w:rPr>
          <w:rFonts w:cs="Times New Roman"/>
          <w:b w:val="0"/>
          <w:bCs/>
          <w:lang w:val="en-GB"/>
        </w:rPr>
        <w:t xml:space="preserve">ed. The blue colour produced </w:t>
      </w:r>
      <w:r>
        <w:rPr>
          <w:rFonts w:cs="Times New Roman"/>
          <w:b w:val="0"/>
          <w:bCs/>
          <w:lang w:val="en-GB"/>
        </w:rPr>
        <w:t xml:space="preserve">had a </w:t>
      </w:r>
      <w:r w:rsidRPr="00A72277">
        <w:rPr>
          <w:rFonts w:cs="Times New Roman"/>
          <w:b w:val="0"/>
          <w:bCs/>
          <w:lang w:val="en-GB"/>
        </w:rPr>
        <w:t xml:space="preserve">maximum absorption in the 750 nm range and </w:t>
      </w:r>
      <w:r>
        <w:rPr>
          <w:rFonts w:cs="Times New Roman"/>
          <w:b w:val="0"/>
          <w:bCs/>
          <w:lang w:val="en-GB"/>
        </w:rPr>
        <w:t xml:space="preserve">was </w:t>
      </w:r>
      <w:r w:rsidRPr="00A72277">
        <w:rPr>
          <w:rFonts w:cs="Times New Roman"/>
          <w:b w:val="0"/>
          <w:bCs/>
          <w:lang w:val="en-GB"/>
        </w:rPr>
        <w:t xml:space="preserve">proportionate to the total amount of phenolic compounds present in the sample </w:t>
      </w:r>
      <w:r w:rsidRPr="00A72277">
        <w:rPr>
          <w:rFonts w:cs="Times New Roman"/>
          <w:b w:val="0"/>
          <w:bCs/>
          <w:lang w:val="en-GB"/>
        </w:rPr>
        <w:fldChar w:fldCharType="begin" w:fldLock="1"/>
      </w:r>
      <w:r>
        <w:rPr>
          <w:rFonts w:cs="Times New Roman"/>
          <w:b w:val="0"/>
          <w:bCs/>
          <w:lang w:val="en-GB"/>
        </w:rPr>
        <w:instrText>ADDIN CSL_CITATION {"citationItems":[{"id":"ITEM-1","itemData":{"DOI":"10.7324/JAPS.2014.40911","ISSN":"22313354","abstract":"The objective of this study was to evaluate α- amylase inhibitory activity of a marketed polyherbal formulation. The α-amylase is one of the major secretory products helps in digestion of starch and glycogen. The polyherbal extract were prepared with aqueous, hydroalcohol and ethanol. In addition, total phenolic content, total flavonoid content and in vitro antioxidant activity was evaluated. Total phenolic content was found to be 3.5725 ± 0.2336 mg of GAE/ 100 g (aqueous extract), 2.9616 ± 0.2563 mg of GAE/ 100 g (hydroalcohol extract), 4.6683 ± 0.4199 mg of GAE/ 100 g (ethanol extract). Total flavonoid content was found to be 96.1556 ± 4.2664 mg of quercetin equivalent/ 100 g (aqueous extract), 85.1881 ± 4.2135 mg of quercetin equivalent/ 100 g (hydroalcohol extract), 96.0122 ± 2.9972 mg of quercetin equivalent/ 100 g (ethanol extract). In vitro antioxidant activity was found to be 6.436 ± 0.3638 mg of ascorbic acid equivalent / 100 g (aqueous extract), 6.7242 ± 0.2461 mg of ascorbic acid equivalent / 100 g (hydroalcohol extract), 5.4616 ± 0.6696 mg of ascorbic acid equivalent / 100 g (ethanol extract). α-amylase inhibitory activity was found to maximum in water extract followed by ethanol extract and hydroalcohol extract.","author":[{"dropping-particle":"","family":"Kamtekar","given":"Samidha","non-dropping-particle":"","parse-names":false,"suffix":""},{"dropping-particle":"","family":"Keer","given":"Vrushali","non-dropping-particle":"","parse-names":false,"suffix":""},{"dropping-particle":"","family":"Patil","given":"Vijaya","non-dropping-particle":"","parse-names":false,"suffix":""}],"container-title":"Journal of Applied Pharmaceutical Science","id":"ITEM-1","issue":"9","issued":{"date-parts":[["2014"]]},"page":"61-65","title":"Estimation of Phenolic Content, Flavonoid Content, Antioxidant and Alpha Amylase Inhibitory Activity of Marketed Polyherbal Formulation","type":"article-journal","volume":"4"},"uris":["http://www.mendeley.com/documents/?uuid=8e0b0f20-0a62-45b6-9011-1897f7472dc2"]}],"mendeley":{"formattedCitation":"[20]","plainTextFormattedCitation":"[20]","previouslyFormattedCitation":"[20]"},"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[20]</w:t>
      </w:r>
      <w:r w:rsidRPr="00A72277">
        <w:rPr>
          <w:rFonts w:cs="Times New Roman"/>
          <w:b w:val="0"/>
          <w:bCs/>
          <w:lang w:val="en-GB"/>
        </w:rPr>
        <w:fldChar w:fldCharType="end"/>
      </w:r>
      <w:r w:rsidRPr="00A72277">
        <w:rPr>
          <w:rFonts w:cs="Times New Roman"/>
          <w:b w:val="0"/>
          <w:bCs/>
          <w:lang w:val="en-GB"/>
        </w:rPr>
        <w:t xml:space="preserve">. To determine the TFC, the </w:t>
      </w:r>
      <w:r>
        <w:rPr>
          <w:rFonts w:cs="Times New Roman"/>
          <w:b w:val="0"/>
          <w:bCs/>
          <w:lang w:val="en-GB"/>
        </w:rPr>
        <w:t>A</w:t>
      </w:r>
      <w:r w:rsidRPr="00A72277">
        <w:rPr>
          <w:rFonts w:cs="Times New Roman"/>
          <w:b w:val="0"/>
          <w:bCs/>
          <w:lang w:val="en-GB"/>
        </w:rPr>
        <w:t xml:space="preserve">luminium chloride reacted with the flavone, flavanol and hydroxyl/dihydroxyl group in the flavonoids </w:t>
      </w:r>
      <w:r w:rsidRPr="00A72277">
        <w:rPr>
          <w:rFonts w:cs="Times New Roman"/>
          <w:b w:val="0"/>
          <w:bCs/>
          <w:lang w:val="en-GB"/>
        </w:rPr>
        <w:fldChar w:fldCharType="begin" w:fldLock="1"/>
      </w:r>
      <w:r>
        <w:rPr>
          <w:rFonts w:cs="Times New Roman"/>
          <w:b w:val="0"/>
          <w:bCs/>
          <w:lang w:val="en-GB"/>
        </w:rPr>
        <w:instrText>ADDIN CSL_CITATION {"citationItems":[{"id":"ITEM-1","itemData":{"DOI":"10.33102/mjosht.v7i.112","abstract":"Exposed to the pollution has led to generation of reactive oxygen species (ROS) in human skin. ROS generated cause many skin diseases such as skin-aging, inflammation, melanogenesis and skin cancer. ROS is a family of oxygen-based free radicals that contains or capable of producing an unpaired electron. Antioxidant is a molecule that can inhibit the reaction of free radical from ROS by donating its electron. Averrhoa bilimbi Linn. (AVBL) is one of the potent natural antioxidant belongs to the group of Oxalidaceae which can be widely found in Asia including Malaysia. Traditionally, this plant has been used to treat many diseases such as cough, itchiness, pimple, fever and inflammation. As a result, much attention has been directed towards the studies regarding the potential of this plant in treating disease. The present study was undertaken to assess the antioxidant activity of AVBL leaves extract. The AVBL leaves were extracted using sonicator with ethanol and distilled water as two different types of solvent. The total phenolic content (TPC) and flavonoid content (TFC) of this study were determined by using Folin-Ciocalteu reagent and aluminium chloride colometric assay. Antioxidant activity of the plant extract was tested using 2,2- diphenyl-1-picrylhydrazyl (DPPH) and ferric reducing power (FRAP). From the analyses, water extract of AVBL possessed greater extraction yield (11.231%) as compared to ethanolic extract (5.358 %). However, ethanolic extract of AVBL leaves revealed higher result of TPC (126.4±0.35 mg/g gallic acid equivalent), TFC (32.80±0.37 mg/g quercetin equivalent), DPPH (0.0019±0.0003) and FRAP (41.81±0.45 mg/g gallic acid equivalent). The results of TPC and TFC have strongly positive correlation with antioxidant capacity (r = 1). Thus, it can be concluded that this plant is a potent source of natural antioxidant.","author":[{"dropping-particle":"","family":"Arifin","given":"Raja Nurul Ashiqin Raja","non-dropping-particle":"","parse-names":false,"suffix":""},{"dropping-particle":"","family":"Jumal","given":"Juliana","non-dropping-particle":"","parse-names":false,"suffix":""}],"container-title":"Malaysian Journal of Science Health &amp; Technology","id":"ITEM-1","issued":{"date-parts":[["2021"]]},"page":"76-82","title":"Antioxidant Activity of &lt;i&gt;Averrhoa bilimbi&lt;/i&gt; Linn. Leaves Extract Using Two Different Types of Solvents","type":"article-journal"},"uris":["http://www.mendeley.com/documents/?uuid=76754131-b166-43aa-8946-e3c0d1c9999b"]}],"mendeley":{"formattedCitation":"[21]","plainTextFormattedCitation":"[21]","previouslyFormattedCitation":"[21]"},"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[21]</w:t>
      </w:r>
      <w:r w:rsidRPr="00A72277">
        <w:rPr>
          <w:rFonts w:cs="Times New Roman"/>
          <w:b w:val="0"/>
          <w:bCs/>
          <w:lang w:val="en-GB"/>
        </w:rPr>
        <w:fldChar w:fldCharType="end"/>
      </w:r>
      <w:r w:rsidRPr="00A72277">
        <w:rPr>
          <w:rFonts w:cs="Times New Roman"/>
          <w:b w:val="0"/>
          <w:bCs/>
          <w:lang w:val="en-GB"/>
        </w:rPr>
        <w:t xml:space="preserve">. From the result, the leaf organ of </w:t>
      </w:r>
      <w:r w:rsidRPr="00A72277">
        <w:rPr>
          <w:rFonts w:cs="Times New Roman"/>
          <w:b w:val="0"/>
          <w:bCs/>
          <w:i/>
          <w:iCs/>
          <w:lang w:val="en-GB"/>
        </w:rPr>
        <w:t>F. deltoidea</w:t>
      </w:r>
      <w:r w:rsidRPr="00A72277">
        <w:rPr>
          <w:rFonts w:cs="Times New Roman"/>
          <w:b w:val="0"/>
          <w:bCs/>
          <w:lang w:val="en-GB"/>
        </w:rPr>
        <w:t xml:space="preserve"> contains 28.56 ± 0.87 (GAE) mg/g TPC and 761.32 ± 13.00 (QE) mg/g. </w:t>
      </w:r>
      <w:r>
        <w:rPr>
          <w:rFonts w:cs="Times New Roman"/>
          <w:b w:val="0"/>
          <w:bCs/>
          <w:lang w:val="en-GB"/>
        </w:rPr>
        <w:t xml:space="preserve">These </w:t>
      </w:r>
      <w:r w:rsidRPr="00A72277">
        <w:rPr>
          <w:rFonts w:cs="Times New Roman"/>
          <w:b w:val="0"/>
          <w:bCs/>
          <w:lang w:val="en-GB"/>
        </w:rPr>
        <w:t xml:space="preserve">results are lower than the leaf of </w:t>
      </w:r>
      <w:r w:rsidRPr="00A72277">
        <w:rPr>
          <w:rFonts w:cs="Times New Roman"/>
          <w:b w:val="0"/>
          <w:bCs/>
          <w:i/>
          <w:iCs/>
          <w:lang w:val="en-GB"/>
        </w:rPr>
        <w:t>Vigna Unguiculate</w:t>
      </w:r>
      <w:r w:rsidRPr="00A72277">
        <w:rPr>
          <w:rFonts w:cs="Times New Roman"/>
          <w:b w:val="0"/>
          <w:bCs/>
          <w:lang w:val="en-GB"/>
        </w:rPr>
        <w:t xml:space="preserve"> Dhawala </w:t>
      </w:r>
      <w:r>
        <w:rPr>
          <w:rFonts w:cs="Times New Roman"/>
          <w:b w:val="0"/>
          <w:bCs/>
          <w:lang w:val="en-GB"/>
        </w:rPr>
        <w:t>which</w:t>
      </w:r>
      <w:r w:rsidRPr="00A72277">
        <w:rPr>
          <w:rFonts w:cs="Times New Roman"/>
          <w:b w:val="0"/>
          <w:bCs/>
          <w:lang w:val="en-GB"/>
        </w:rPr>
        <w:t xml:space="preserve"> contain</w:t>
      </w:r>
      <w:r>
        <w:rPr>
          <w:rFonts w:cs="Times New Roman"/>
          <w:b w:val="0"/>
          <w:bCs/>
          <w:lang w:val="en-GB"/>
        </w:rPr>
        <w:t>s</w:t>
      </w:r>
      <w:r w:rsidRPr="00A72277">
        <w:rPr>
          <w:rFonts w:cs="Times New Roman"/>
          <w:b w:val="0"/>
          <w:bCs/>
          <w:lang w:val="en-GB"/>
        </w:rPr>
        <w:t xml:space="preserve"> 508.7 (GAE) mg/g and 1303.1 (QE) mg/g, respectively </w:t>
      </w:r>
      <w:r w:rsidRPr="00A72277">
        <w:rPr>
          <w:rFonts w:cs="Times New Roman"/>
          <w:b w:val="0"/>
          <w:bCs/>
          <w:lang w:val="en-GB"/>
        </w:rPr>
        <w:fldChar w:fldCharType="begin" w:fldLock="1"/>
      </w:r>
      <w:r>
        <w:rPr>
          <w:rFonts w:cs="Times New Roman"/>
          <w:b w:val="0"/>
          <w:bCs/>
          <w:lang w:val="en-GB"/>
        </w:rPr>
        <w:instrText>ADDIN CSL_CITATION {"citationItems":[{"id":"ITEM-1","itemData":{"DOI":"10.4038/ijms.v5i2.100","ISSN":"2362-079X","abstract":"Oxidative stress is caused by the increased levels of free radicals in the body which leads to various diseases. Antioxidants are known to reduce the risk of diseases caused by oxidative stress as they have the ability to donate electrons to these harmful free radicals. In addition to the natural antioxidants present in fruits and vegetables, synthetic antioxidants are also available. With the emergence of nanotechnology, the applications possessed by nanoparticles are limitless. One such application is in nanomedicine where nanoparticles are incorporated to study biological systems. The properties of the nanoparticles depend on the type of metal used and the method of synthesis. The use of plants for the production of silver nanoparticles (AgNPs) is key point of interest as it is rapid, eco-friendly, non-pathogenic and economical. Furthermore, this \"Green synthesis\" requires a single step for the biosynthesis of the nanoparticles as the silver ions are reduced and stabilized from the biomolecules present in the plant extract. In this study, cowpea leaf extracts were used for the on-pot green synthesis of silver nanoparticles to determine its antioxidant properties using phytochemical assays; Total flavonoid content (TFC), total phenolic content (TPC), total antioxidant activity (TAC), and free radical scavenging assays; Ferric reducing antioxidant properties (FRAP), ABTS and DPPH. The antibacterial activities were assessed by well diffusion method using gram positive (Staphylococus aureus) and gram negative (Escherichia coli) bacteria.","author":[{"dropping-particle":"","family":"Perera","given":"B. R.","non-dropping-particle":"","parse-names":false,"suffix":""},{"dropping-particle":"","family":"Kandiah","given":"M.","non-dropping-particle":"","parse-names":false,"suffix":""}],"container-title":"International Journal of Multidisciplinary Studies","id":"ITEM-1","issue":"2","issued":{"date-parts":[["2018"]]},"page":"62","title":"Microwave Assisted One-Pot Green Synthesis of Silver Nanoparticles Using Leaf Extracts from &lt;i&gt;Vigna Unguiculate&lt;/i&gt; : Evaluation of Antioxidant and Antimicrobial Activities","type":"article-journal","volume":"5"},"uris":["http://www.mendeley.com/documents/?uuid=5fb045c2-2728-44bc-a8d0-782f8b222f0a"]}],"mendeley":{"formattedCitation":"[22]","plainTextFormattedCitation":"[22]","previouslyFormattedCitation":"[22]"},"properties":{"noteIndex":0},"schema":"https://github.com/citation-style-language/schema/raw/master/csl-citation.json"}</w:instrText>
      </w:r>
      <w:r w:rsidRPr="00A72277">
        <w:rPr>
          <w:rFonts w:cs="Times New Roman"/>
          <w:b w:val="0"/>
          <w:bCs/>
          <w:lang w:val="en-GB"/>
        </w:rPr>
        <w:fldChar w:fldCharType="separate"/>
      </w:r>
      <w:r w:rsidRPr="004E7404">
        <w:rPr>
          <w:rFonts w:cs="Times New Roman"/>
          <w:b w:val="0"/>
          <w:bCs/>
          <w:noProof/>
          <w:lang w:val="en-GB"/>
        </w:rPr>
        <w:t>[22]</w:t>
      </w:r>
      <w:r w:rsidRPr="00A72277">
        <w:rPr>
          <w:rFonts w:cs="Times New Roman"/>
          <w:b w:val="0"/>
          <w:bCs/>
          <w:lang w:val="en-GB"/>
        </w:rPr>
        <w:fldChar w:fldCharType="end"/>
      </w:r>
      <w:r w:rsidRPr="00A72277">
        <w:rPr>
          <w:rFonts w:cs="Times New Roman"/>
          <w:b w:val="0"/>
          <w:bCs/>
          <w:lang w:val="en-GB"/>
        </w:rPr>
        <w:t xml:space="preserve">. Meanwhile, the fig organ of </w:t>
      </w:r>
      <w:r w:rsidRPr="00A72277">
        <w:rPr>
          <w:rFonts w:cs="Times New Roman"/>
          <w:b w:val="0"/>
          <w:bCs/>
          <w:i/>
          <w:iCs/>
          <w:lang w:val="en-GB"/>
        </w:rPr>
        <w:t>F. deltoidea</w:t>
      </w:r>
      <w:r w:rsidRPr="00A72277">
        <w:rPr>
          <w:rFonts w:cs="Times New Roman"/>
          <w:b w:val="0"/>
          <w:bCs/>
          <w:lang w:val="en-GB"/>
        </w:rPr>
        <w:t xml:space="preserve"> ha</w:t>
      </w:r>
      <w:r>
        <w:rPr>
          <w:rFonts w:cs="Times New Roman"/>
          <w:b w:val="0"/>
          <w:bCs/>
          <w:lang w:val="en-GB"/>
        </w:rPr>
        <w:t>d</w:t>
      </w:r>
      <w:r w:rsidRPr="00A72277">
        <w:rPr>
          <w:rFonts w:cs="Times New Roman"/>
          <w:b w:val="0"/>
          <w:bCs/>
          <w:lang w:val="en-GB"/>
        </w:rPr>
        <w:t xml:space="preserve"> the highest TPC and TFC values compared to other organs. Even though the </w:t>
      </w:r>
      <w:r>
        <w:rPr>
          <w:rFonts w:cs="Times New Roman"/>
          <w:b w:val="0"/>
          <w:bCs/>
          <w:lang w:val="en-GB"/>
        </w:rPr>
        <w:t>number</w:t>
      </w:r>
      <w:r w:rsidRPr="00A72277">
        <w:rPr>
          <w:rFonts w:cs="Times New Roman"/>
          <w:b w:val="0"/>
          <w:bCs/>
          <w:lang w:val="en-GB"/>
        </w:rPr>
        <w:t xml:space="preserve"> of phytochemical compounds in fig is the lowest, this organ has the highest TPC and TFC values. </w:t>
      </w:r>
    </w:p>
    <w:p w14:paraId="22658A96" w14:textId="77777777" w:rsidR="00985126" w:rsidRDefault="00985126" w:rsidP="00985126">
      <w:pPr>
        <w:pStyle w:val="Keywords"/>
        <w:spacing w:after="0" w:line="276" w:lineRule="auto"/>
        <w:ind w:left="0" w:right="66"/>
        <w:jc w:val="both"/>
        <w:rPr>
          <w:rFonts w:cs="Times New Roman"/>
          <w:b w:val="0"/>
          <w:bCs/>
          <w:lang w:val="en-GB"/>
        </w:rPr>
      </w:pPr>
    </w:p>
    <w:p w14:paraId="1D638DB8" w14:textId="57A2FA34" w:rsidR="00985126" w:rsidRPr="00985126" w:rsidRDefault="00985126" w:rsidP="00985126">
      <w:pPr>
        <w:pStyle w:val="Keywords"/>
        <w:spacing w:after="0" w:line="276" w:lineRule="auto"/>
        <w:ind w:left="0" w:right="66"/>
        <w:jc w:val="both"/>
        <w:rPr>
          <w:rFonts w:cs="Times New Roman"/>
          <w:b w:val="0"/>
          <w:bCs/>
          <w:lang w:val="en-GB"/>
        </w:rPr>
        <w:sectPr w:rsidR="00985126" w:rsidRPr="00985126" w:rsidSect="00985126">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pgNumType w:start="0"/>
          <w:cols w:num="2" w:space="403"/>
          <w:docGrid w:linePitch="360"/>
        </w:sectPr>
      </w:pPr>
    </w:p>
    <w:p w14:paraId="4D8A8F86" w14:textId="6DC35BFC" w:rsidR="00A74A7E" w:rsidRDefault="00A74A7E" w:rsidP="00AC6EB5">
      <w:pPr>
        <w:spacing w:after="0"/>
        <w:jc w:val="center"/>
        <w:rPr>
          <w:rFonts w:ascii="Times New Roman" w:hAnsi="Times New Roman"/>
          <w:noProof/>
          <w:lang w:bidi="ar-SA"/>
        </w:rPr>
      </w:pPr>
    </w:p>
    <w:p w14:paraId="7AACCE1A" w14:textId="526BA984" w:rsidR="00985126" w:rsidRDefault="00985126" w:rsidP="00985126">
      <w:pPr>
        <w:spacing w:after="0"/>
        <w:jc w:val="both"/>
        <w:rPr>
          <w:rFonts w:ascii="Times New Roman" w:hAnsi="Times New Roman"/>
          <w:noProof/>
          <w:lang w:bidi="ar-SA"/>
        </w:rPr>
      </w:pPr>
    </w:p>
    <w:p w14:paraId="1641368B" w14:textId="77777777" w:rsidR="00985126" w:rsidRPr="0039419E" w:rsidRDefault="00985126" w:rsidP="00985126">
      <w:pPr>
        <w:tabs>
          <w:tab w:val="left" w:pos="567"/>
        </w:tabs>
        <w:spacing w:after="120"/>
        <w:jc w:val="center"/>
        <w:rPr>
          <w:rFonts w:ascii="Times New Roman" w:hAnsi="Times New Roman"/>
          <w:sz w:val="20"/>
          <w:szCs w:val="18"/>
        </w:rPr>
      </w:pPr>
      <w:r w:rsidRPr="0039419E">
        <w:rPr>
          <w:rFonts w:ascii="Times New Roman" w:hAnsi="Times New Roman"/>
          <w:sz w:val="20"/>
          <w:szCs w:val="18"/>
        </w:rPr>
        <w:t xml:space="preserve">Table 1. </w:t>
      </w:r>
      <w:r>
        <w:rPr>
          <w:rFonts w:ascii="Times New Roman" w:hAnsi="Times New Roman"/>
          <w:sz w:val="20"/>
          <w:szCs w:val="18"/>
        </w:rPr>
        <w:t xml:space="preserve"> </w:t>
      </w:r>
      <w:r w:rsidRPr="0039419E">
        <w:rPr>
          <w:rFonts w:ascii="Times New Roman" w:hAnsi="Times New Roman"/>
          <w:sz w:val="20"/>
          <w:szCs w:val="18"/>
        </w:rPr>
        <w:t>AgNP synthesizing conditions</w:t>
      </w:r>
    </w:p>
    <w:tbl>
      <w:tblPr>
        <w:tblW w:w="8756" w:type="dxa"/>
        <w:jc w:val="center"/>
        <w:tblLook w:val="04A0" w:firstRow="1" w:lastRow="0" w:firstColumn="1" w:lastColumn="0" w:noHBand="0" w:noVBand="1"/>
      </w:tblPr>
      <w:tblGrid>
        <w:gridCol w:w="1194"/>
        <w:gridCol w:w="2210"/>
        <w:gridCol w:w="1605"/>
        <w:gridCol w:w="2177"/>
        <w:gridCol w:w="1570"/>
      </w:tblGrid>
      <w:tr w:rsidR="00985126" w:rsidRPr="0039419E" w14:paraId="441449BF" w14:textId="77777777" w:rsidTr="008F51A3">
        <w:trPr>
          <w:trHeight w:val="445"/>
          <w:jc w:val="center"/>
        </w:trPr>
        <w:tc>
          <w:tcPr>
            <w:tcW w:w="0" w:type="auto"/>
            <w:tcBorders>
              <w:top w:val="single" w:sz="4" w:space="0" w:color="auto"/>
              <w:bottom w:val="single" w:sz="4" w:space="0" w:color="auto"/>
            </w:tcBorders>
            <w:shd w:val="clear" w:color="auto" w:fill="auto"/>
            <w:vAlign w:val="center"/>
          </w:tcPr>
          <w:p w14:paraId="5ED62EA9" w14:textId="77777777" w:rsidR="00985126" w:rsidRPr="0039419E" w:rsidRDefault="00985126" w:rsidP="008F51A3">
            <w:pPr>
              <w:spacing w:before="60" w:after="60" w:line="240" w:lineRule="auto"/>
              <w:rPr>
                <w:rFonts w:ascii="Times New Roman" w:eastAsia="Calibri" w:hAnsi="Times New Roman"/>
                <w:b/>
                <w:bCs/>
                <w:sz w:val="20"/>
                <w:szCs w:val="18"/>
              </w:rPr>
            </w:pPr>
            <w:r w:rsidRPr="0039419E">
              <w:rPr>
                <w:rFonts w:ascii="Times New Roman" w:eastAsia="Calibri" w:hAnsi="Times New Roman"/>
                <w:b/>
                <w:bCs/>
                <w:sz w:val="20"/>
                <w:szCs w:val="18"/>
              </w:rPr>
              <w:t>Plant Organs</w:t>
            </w:r>
          </w:p>
        </w:tc>
        <w:tc>
          <w:tcPr>
            <w:tcW w:w="2210" w:type="dxa"/>
            <w:tcBorders>
              <w:top w:val="single" w:sz="4" w:space="0" w:color="auto"/>
              <w:bottom w:val="single" w:sz="4" w:space="0" w:color="auto"/>
            </w:tcBorders>
            <w:shd w:val="clear" w:color="auto" w:fill="auto"/>
            <w:vAlign w:val="center"/>
          </w:tcPr>
          <w:p w14:paraId="59C90420"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Plant Extract Volume (</w:t>
            </w:r>
            <w:r>
              <w:rPr>
                <w:rFonts w:ascii="Times New Roman" w:eastAsia="Calibri" w:hAnsi="Times New Roman"/>
                <w:b/>
                <w:bCs/>
                <w:sz w:val="20"/>
                <w:szCs w:val="18"/>
              </w:rPr>
              <w:t>mL</w:t>
            </w:r>
            <w:r w:rsidRPr="0039419E">
              <w:rPr>
                <w:rFonts w:ascii="Times New Roman" w:eastAsia="Calibri" w:hAnsi="Times New Roman"/>
                <w:b/>
                <w:bCs/>
                <w:sz w:val="20"/>
                <w:szCs w:val="18"/>
              </w:rPr>
              <w:t>)</w:t>
            </w:r>
          </w:p>
        </w:tc>
        <w:tc>
          <w:tcPr>
            <w:tcW w:w="1605" w:type="dxa"/>
            <w:tcBorders>
              <w:top w:val="single" w:sz="4" w:space="0" w:color="auto"/>
              <w:bottom w:val="single" w:sz="4" w:space="0" w:color="auto"/>
            </w:tcBorders>
            <w:shd w:val="clear" w:color="auto" w:fill="auto"/>
            <w:vAlign w:val="center"/>
          </w:tcPr>
          <w:p w14:paraId="0FB02DB3"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Time (Hours)</w:t>
            </w:r>
          </w:p>
        </w:tc>
        <w:tc>
          <w:tcPr>
            <w:tcW w:w="0" w:type="auto"/>
            <w:tcBorders>
              <w:top w:val="single" w:sz="4" w:space="0" w:color="auto"/>
              <w:bottom w:val="single" w:sz="4" w:space="0" w:color="auto"/>
            </w:tcBorders>
            <w:shd w:val="clear" w:color="auto" w:fill="auto"/>
            <w:vAlign w:val="center"/>
          </w:tcPr>
          <w:p w14:paraId="74D5D8FB"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sidRPr="0039419E">
              <w:rPr>
                <w:rFonts w:ascii="Times New Roman" w:eastAsia="Calibri" w:hAnsi="Times New Roman"/>
                <w:b/>
                <w:bCs/>
                <w:sz w:val="20"/>
                <w:szCs w:val="18"/>
              </w:rPr>
              <w:t>Reaction Temperature (</w:t>
            </w:r>
            <w:r w:rsidRPr="0039419E">
              <w:rPr>
                <w:rFonts w:ascii="Times New Roman" w:eastAsia="Calibri" w:hAnsi="Times New Roman"/>
                <w:b/>
                <w:bCs/>
                <w:sz w:val="20"/>
                <w:szCs w:val="18"/>
              </w:rPr>
              <w:sym w:font="Symbol" w:char="F0B0"/>
            </w:r>
            <w:r w:rsidRPr="0039419E">
              <w:rPr>
                <w:rFonts w:ascii="Times New Roman" w:eastAsia="Calibri" w:hAnsi="Times New Roman"/>
                <w:b/>
                <w:bCs/>
                <w:sz w:val="20"/>
                <w:szCs w:val="18"/>
              </w:rPr>
              <w:t>C)</w:t>
            </w:r>
          </w:p>
        </w:tc>
        <w:tc>
          <w:tcPr>
            <w:tcW w:w="0" w:type="auto"/>
            <w:tcBorders>
              <w:top w:val="single" w:sz="4" w:space="0" w:color="auto"/>
              <w:bottom w:val="single" w:sz="4" w:space="0" w:color="auto"/>
            </w:tcBorders>
            <w:shd w:val="clear" w:color="auto" w:fill="auto"/>
            <w:vAlign w:val="center"/>
          </w:tcPr>
          <w:p w14:paraId="4AF214C9" w14:textId="77777777" w:rsidR="00985126" w:rsidRPr="0039419E" w:rsidRDefault="00985126" w:rsidP="008F51A3">
            <w:pPr>
              <w:spacing w:before="60" w:after="60" w:line="240" w:lineRule="auto"/>
              <w:jc w:val="center"/>
              <w:rPr>
                <w:rFonts w:ascii="Times New Roman" w:eastAsia="Calibri" w:hAnsi="Times New Roman"/>
                <w:b/>
                <w:bCs/>
                <w:sz w:val="20"/>
                <w:szCs w:val="18"/>
              </w:rPr>
            </w:pPr>
            <w:r>
              <w:rPr>
                <w:rFonts w:ascii="Times New Roman" w:eastAsia="Calibri" w:hAnsi="Times New Roman"/>
                <w:b/>
                <w:bCs/>
                <w:sz w:val="20"/>
                <w:szCs w:val="18"/>
              </w:rPr>
              <w:t>pH</w:t>
            </w:r>
            <w:r w:rsidRPr="0039419E">
              <w:rPr>
                <w:rFonts w:ascii="Times New Roman" w:eastAsia="Calibri" w:hAnsi="Times New Roman"/>
                <w:b/>
                <w:bCs/>
                <w:sz w:val="20"/>
                <w:szCs w:val="18"/>
              </w:rPr>
              <w:t xml:space="preserve"> </w:t>
            </w:r>
            <w:r>
              <w:rPr>
                <w:rFonts w:ascii="Times New Roman" w:eastAsia="Calibri" w:hAnsi="Times New Roman"/>
                <w:b/>
                <w:bCs/>
                <w:sz w:val="20"/>
                <w:szCs w:val="18"/>
              </w:rPr>
              <w:t>o</w:t>
            </w:r>
            <w:r w:rsidRPr="0039419E">
              <w:rPr>
                <w:rFonts w:ascii="Times New Roman" w:eastAsia="Calibri" w:hAnsi="Times New Roman"/>
                <w:b/>
                <w:bCs/>
                <w:sz w:val="20"/>
                <w:szCs w:val="18"/>
              </w:rPr>
              <w:t>f Plant Extract</w:t>
            </w:r>
          </w:p>
        </w:tc>
      </w:tr>
      <w:tr w:rsidR="00985126" w:rsidRPr="0039419E" w14:paraId="637CD472" w14:textId="77777777" w:rsidTr="008F51A3">
        <w:trPr>
          <w:trHeight w:val="208"/>
          <w:jc w:val="center"/>
        </w:trPr>
        <w:tc>
          <w:tcPr>
            <w:tcW w:w="0" w:type="auto"/>
            <w:tcBorders>
              <w:top w:val="single" w:sz="4" w:space="0" w:color="auto"/>
            </w:tcBorders>
            <w:shd w:val="clear" w:color="auto" w:fill="auto"/>
            <w:vAlign w:val="center"/>
          </w:tcPr>
          <w:p w14:paraId="595DFF59"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Leaf</w:t>
            </w:r>
          </w:p>
        </w:tc>
        <w:tc>
          <w:tcPr>
            <w:tcW w:w="2210" w:type="dxa"/>
            <w:tcBorders>
              <w:top w:val="single" w:sz="4" w:space="0" w:color="auto"/>
            </w:tcBorders>
            <w:shd w:val="clear" w:color="auto" w:fill="auto"/>
            <w:vAlign w:val="center"/>
          </w:tcPr>
          <w:p w14:paraId="0619E6CE"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tcBorders>
              <w:top w:val="single" w:sz="4" w:space="0" w:color="auto"/>
            </w:tcBorders>
            <w:shd w:val="clear" w:color="auto" w:fill="auto"/>
            <w:vAlign w:val="center"/>
          </w:tcPr>
          <w:p w14:paraId="2AB82EC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30</w:t>
            </w:r>
          </w:p>
        </w:tc>
        <w:tc>
          <w:tcPr>
            <w:tcW w:w="0" w:type="auto"/>
            <w:tcBorders>
              <w:top w:val="single" w:sz="4" w:space="0" w:color="auto"/>
            </w:tcBorders>
            <w:shd w:val="clear" w:color="auto" w:fill="auto"/>
            <w:vAlign w:val="center"/>
          </w:tcPr>
          <w:p w14:paraId="76E735C5"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60</w:t>
            </w:r>
          </w:p>
        </w:tc>
        <w:tc>
          <w:tcPr>
            <w:tcW w:w="0" w:type="auto"/>
            <w:tcBorders>
              <w:top w:val="single" w:sz="4" w:space="0" w:color="auto"/>
            </w:tcBorders>
            <w:shd w:val="clear" w:color="auto" w:fill="auto"/>
            <w:vAlign w:val="center"/>
          </w:tcPr>
          <w:p w14:paraId="1F06D09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985126" w:rsidRPr="0039419E" w14:paraId="4B8443CD" w14:textId="77777777" w:rsidTr="008F51A3">
        <w:trPr>
          <w:trHeight w:val="208"/>
          <w:jc w:val="center"/>
        </w:trPr>
        <w:tc>
          <w:tcPr>
            <w:tcW w:w="0" w:type="auto"/>
            <w:shd w:val="clear" w:color="auto" w:fill="auto"/>
            <w:vAlign w:val="center"/>
          </w:tcPr>
          <w:p w14:paraId="46EEFDF8"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Stem</w:t>
            </w:r>
          </w:p>
        </w:tc>
        <w:tc>
          <w:tcPr>
            <w:tcW w:w="2210" w:type="dxa"/>
            <w:shd w:val="clear" w:color="auto" w:fill="auto"/>
            <w:vAlign w:val="center"/>
          </w:tcPr>
          <w:p w14:paraId="5991E3CA"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c>
          <w:tcPr>
            <w:tcW w:w="1605" w:type="dxa"/>
            <w:shd w:val="clear" w:color="auto" w:fill="auto"/>
            <w:vAlign w:val="center"/>
          </w:tcPr>
          <w:p w14:paraId="4CDCAE46"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shd w:val="clear" w:color="auto" w:fill="auto"/>
            <w:vAlign w:val="center"/>
          </w:tcPr>
          <w:p w14:paraId="491690DD"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shd w:val="clear" w:color="auto" w:fill="auto"/>
            <w:vAlign w:val="center"/>
          </w:tcPr>
          <w:p w14:paraId="01C05B89"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r w:rsidR="00985126" w:rsidRPr="0039419E" w14:paraId="68B63165" w14:textId="77777777" w:rsidTr="008F51A3">
        <w:trPr>
          <w:trHeight w:val="222"/>
          <w:jc w:val="center"/>
        </w:trPr>
        <w:tc>
          <w:tcPr>
            <w:tcW w:w="0" w:type="auto"/>
            <w:shd w:val="clear" w:color="auto" w:fill="auto"/>
            <w:vAlign w:val="center"/>
          </w:tcPr>
          <w:p w14:paraId="2C29EFAF" w14:textId="77777777" w:rsidR="00985126" w:rsidRPr="0039419E" w:rsidRDefault="00985126" w:rsidP="008F51A3">
            <w:pPr>
              <w:spacing w:before="60" w:after="0" w:line="240" w:lineRule="auto"/>
              <w:rPr>
                <w:rFonts w:ascii="Times New Roman" w:eastAsia="Calibri" w:hAnsi="Times New Roman"/>
                <w:sz w:val="20"/>
                <w:szCs w:val="18"/>
              </w:rPr>
            </w:pPr>
            <w:r w:rsidRPr="0039419E">
              <w:rPr>
                <w:rFonts w:ascii="Times New Roman" w:eastAsia="Calibri" w:hAnsi="Times New Roman"/>
                <w:sz w:val="20"/>
                <w:szCs w:val="18"/>
              </w:rPr>
              <w:t>Fig</w:t>
            </w:r>
          </w:p>
        </w:tc>
        <w:tc>
          <w:tcPr>
            <w:tcW w:w="2210" w:type="dxa"/>
            <w:shd w:val="clear" w:color="auto" w:fill="auto"/>
            <w:vAlign w:val="center"/>
          </w:tcPr>
          <w:p w14:paraId="5FDCDFBE"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0.8</w:t>
            </w:r>
          </w:p>
        </w:tc>
        <w:tc>
          <w:tcPr>
            <w:tcW w:w="1605" w:type="dxa"/>
            <w:shd w:val="clear" w:color="auto" w:fill="auto"/>
            <w:vAlign w:val="center"/>
          </w:tcPr>
          <w:p w14:paraId="37806DB1"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33</w:t>
            </w:r>
          </w:p>
        </w:tc>
        <w:tc>
          <w:tcPr>
            <w:tcW w:w="0" w:type="auto"/>
            <w:shd w:val="clear" w:color="auto" w:fill="auto"/>
            <w:vAlign w:val="center"/>
          </w:tcPr>
          <w:p w14:paraId="54FCE7D5"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100</w:t>
            </w:r>
          </w:p>
        </w:tc>
        <w:tc>
          <w:tcPr>
            <w:tcW w:w="0" w:type="auto"/>
            <w:shd w:val="clear" w:color="auto" w:fill="auto"/>
            <w:vAlign w:val="center"/>
          </w:tcPr>
          <w:p w14:paraId="0556A9A1" w14:textId="77777777" w:rsidR="00985126" w:rsidRPr="0039419E" w:rsidRDefault="00985126" w:rsidP="008F51A3">
            <w:pPr>
              <w:spacing w:before="60" w:after="0" w:line="240" w:lineRule="auto"/>
              <w:jc w:val="center"/>
              <w:rPr>
                <w:rFonts w:ascii="Times New Roman" w:eastAsia="Calibri" w:hAnsi="Times New Roman"/>
                <w:sz w:val="20"/>
                <w:szCs w:val="18"/>
              </w:rPr>
            </w:pPr>
            <w:r w:rsidRPr="0039419E">
              <w:rPr>
                <w:rFonts w:ascii="Times New Roman" w:eastAsia="Calibri" w:hAnsi="Times New Roman"/>
                <w:sz w:val="20"/>
                <w:szCs w:val="18"/>
              </w:rPr>
              <w:t>10</w:t>
            </w:r>
          </w:p>
        </w:tc>
      </w:tr>
      <w:tr w:rsidR="00985126" w:rsidRPr="0039419E" w14:paraId="51103882" w14:textId="77777777" w:rsidTr="008F51A3">
        <w:trPr>
          <w:trHeight w:val="208"/>
          <w:jc w:val="center"/>
        </w:trPr>
        <w:tc>
          <w:tcPr>
            <w:tcW w:w="0" w:type="auto"/>
            <w:tcBorders>
              <w:bottom w:val="single" w:sz="4" w:space="0" w:color="auto"/>
            </w:tcBorders>
            <w:shd w:val="clear" w:color="auto" w:fill="auto"/>
            <w:vAlign w:val="center"/>
          </w:tcPr>
          <w:p w14:paraId="3091DA77" w14:textId="77777777" w:rsidR="00985126" w:rsidRPr="0039419E" w:rsidRDefault="00985126" w:rsidP="008F51A3">
            <w:pPr>
              <w:spacing w:before="60" w:after="60" w:line="240" w:lineRule="auto"/>
              <w:rPr>
                <w:rFonts w:ascii="Times New Roman" w:eastAsia="Calibri" w:hAnsi="Times New Roman"/>
                <w:sz w:val="20"/>
                <w:szCs w:val="18"/>
              </w:rPr>
            </w:pPr>
            <w:r w:rsidRPr="0039419E">
              <w:rPr>
                <w:rFonts w:ascii="Times New Roman" w:eastAsia="Calibri" w:hAnsi="Times New Roman"/>
                <w:sz w:val="20"/>
                <w:szCs w:val="18"/>
              </w:rPr>
              <w:t>Root</w:t>
            </w:r>
          </w:p>
        </w:tc>
        <w:tc>
          <w:tcPr>
            <w:tcW w:w="2210" w:type="dxa"/>
            <w:tcBorders>
              <w:bottom w:val="single" w:sz="4" w:space="0" w:color="auto"/>
            </w:tcBorders>
            <w:shd w:val="clear" w:color="auto" w:fill="auto"/>
            <w:vAlign w:val="center"/>
          </w:tcPr>
          <w:p w14:paraId="6676DAD9"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3</w:t>
            </w:r>
          </w:p>
        </w:tc>
        <w:tc>
          <w:tcPr>
            <w:tcW w:w="1605" w:type="dxa"/>
            <w:tcBorders>
              <w:bottom w:val="single" w:sz="4" w:space="0" w:color="auto"/>
            </w:tcBorders>
            <w:shd w:val="clear" w:color="auto" w:fill="auto"/>
            <w:vAlign w:val="center"/>
          </w:tcPr>
          <w:p w14:paraId="78B6ABF1"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21</w:t>
            </w:r>
          </w:p>
        </w:tc>
        <w:tc>
          <w:tcPr>
            <w:tcW w:w="0" w:type="auto"/>
            <w:tcBorders>
              <w:bottom w:val="single" w:sz="4" w:space="0" w:color="auto"/>
            </w:tcBorders>
            <w:shd w:val="clear" w:color="auto" w:fill="auto"/>
            <w:vAlign w:val="center"/>
          </w:tcPr>
          <w:p w14:paraId="12EF3916"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90</w:t>
            </w:r>
          </w:p>
        </w:tc>
        <w:tc>
          <w:tcPr>
            <w:tcW w:w="0" w:type="auto"/>
            <w:tcBorders>
              <w:bottom w:val="single" w:sz="4" w:space="0" w:color="auto"/>
            </w:tcBorders>
            <w:shd w:val="clear" w:color="auto" w:fill="auto"/>
            <w:vAlign w:val="center"/>
          </w:tcPr>
          <w:p w14:paraId="7E6DB045" w14:textId="77777777" w:rsidR="00985126" w:rsidRPr="0039419E" w:rsidRDefault="00985126" w:rsidP="008F51A3">
            <w:pPr>
              <w:spacing w:before="60" w:after="60" w:line="240" w:lineRule="auto"/>
              <w:jc w:val="center"/>
              <w:rPr>
                <w:rFonts w:ascii="Times New Roman" w:eastAsia="Calibri" w:hAnsi="Times New Roman"/>
                <w:sz w:val="20"/>
                <w:szCs w:val="18"/>
              </w:rPr>
            </w:pPr>
            <w:r w:rsidRPr="0039419E">
              <w:rPr>
                <w:rFonts w:ascii="Times New Roman" w:eastAsia="Calibri" w:hAnsi="Times New Roman"/>
                <w:sz w:val="20"/>
                <w:szCs w:val="18"/>
              </w:rPr>
              <w:t>12</w:t>
            </w:r>
          </w:p>
        </w:tc>
      </w:tr>
    </w:tbl>
    <w:p w14:paraId="7654AD5D" w14:textId="77777777" w:rsidR="00985126" w:rsidRDefault="00985126" w:rsidP="00985126">
      <w:pPr>
        <w:rPr>
          <w:rFonts w:ascii="Times New Roman" w:hAnsi="Times New Roman"/>
          <w:sz w:val="20"/>
          <w:szCs w:val="20"/>
        </w:rPr>
      </w:pPr>
    </w:p>
    <w:p w14:paraId="298BB655" w14:textId="77777777" w:rsidR="00985126" w:rsidRDefault="00985126" w:rsidP="00985126">
      <w:pPr>
        <w:spacing w:after="120"/>
        <w:jc w:val="center"/>
        <w:rPr>
          <w:rFonts w:ascii="Times New Roman" w:hAnsi="Times New Roman"/>
          <w:sz w:val="20"/>
          <w:szCs w:val="20"/>
        </w:rPr>
      </w:pPr>
      <w:r>
        <w:rPr>
          <w:rFonts w:ascii="Times New Roman" w:hAnsi="Times New Roman"/>
          <w:noProof/>
          <w:szCs w:val="20"/>
        </w:rPr>
        <w:lastRenderedPageBreak/>
        <w:drawing>
          <wp:inline distT="0" distB="0" distL="0" distR="0" wp14:anchorId="339E1584" wp14:editId="52AC420B">
            <wp:extent cx="4114800" cy="16276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1627632"/>
                    </a:xfrm>
                    <a:prstGeom prst="rect">
                      <a:avLst/>
                    </a:prstGeom>
                    <a:noFill/>
                    <a:ln>
                      <a:noFill/>
                    </a:ln>
                  </pic:spPr>
                </pic:pic>
              </a:graphicData>
            </a:graphic>
          </wp:inline>
        </w:drawing>
      </w:r>
    </w:p>
    <w:p w14:paraId="6FDEA3EE" w14:textId="77777777" w:rsidR="00985126" w:rsidRPr="009C5667" w:rsidRDefault="00985126" w:rsidP="00985126">
      <w:pPr>
        <w:spacing w:after="0"/>
        <w:jc w:val="center"/>
        <w:rPr>
          <w:rFonts w:ascii="Times New Roman" w:hAnsi="Times New Roman"/>
          <w:sz w:val="20"/>
          <w:szCs w:val="20"/>
        </w:rPr>
      </w:pPr>
      <w:r>
        <w:rPr>
          <w:rFonts w:ascii="Times New Roman" w:hAnsi="Times New Roman"/>
          <w:noProof/>
          <w:szCs w:val="20"/>
        </w:rPr>
        <w:drawing>
          <wp:inline distT="0" distB="0" distL="0" distR="0" wp14:anchorId="356E78B6" wp14:editId="6A19BA5A">
            <wp:extent cx="4087368" cy="16642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7368" cy="1664208"/>
                    </a:xfrm>
                    <a:prstGeom prst="rect">
                      <a:avLst/>
                    </a:prstGeom>
                    <a:noFill/>
                    <a:ln>
                      <a:noFill/>
                    </a:ln>
                  </pic:spPr>
                </pic:pic>
              </a:graphicData>
            </a:graphic>
          </wp:inline>
        </w:drawing>
      </w:r>
    </w:p>
    <w:p w14:paraId="4B43E57C" w14:textId="77777777" w:rsidR="00985126" w:rsidRPr="00A72277" w:rsidRDefault="00985126" w:rsidP="00985126">
      <w:pPr>
        <w:spacing w:after="120"/>
        <w:jc w:val="center"/>
        <w:rPr>
          <w:rFonts w:ascii="Times New Roman" w:hAnsi="Times New Roman"/>
          <w:szCs w:val="20"/>
        </w:rPr>
      </w:pPr>
      <w:r>
        <w:rPr>
          <w:rFonts w:ascii="Times New Roman" w:hAnsi="Times New Roman"/>
          <w:noProof/>
          <w:szCs w:val="20"/>
        </w:rPr>
        <w:drawing>
          <wp:inline distT="0" distB="0" distL="0" distR="0" wp14:anchorId="780EFF89" wp14:editId="726E19BC">
            <wp:extent cx="4096512" cy="16642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6512" cy="1664208"/>
                    </a:xfrm>
                    <a:prstGeom prst="rect">
                      <a:avLst/>
                    </a:prstGeom>
                    <a:noFill/>
                    <a:ln>
                      <a:noFill/>
                    </a:ln>
                  </pic:spPr>
                </pic:pic>
              </a:graphicData>
            </a:graphic>
          </wp:inline>
        </w:drawing>
      </w:r>
      <w:r>
        <w:rPr>
          <w:rFonts w:ascii="Times New Roman" w:hAnsi="Times New Roman"/>
          <w:noProof/>
          <w:szCs w:val="20"/>
        </w:rPr>
        <w:drawing>
          <wp:inline distT="0" distB="0" distL="0" distR="0" wp14:anchorId="04DE41F4" wp14:editId="5D94DC78">
            <wp:extent cx="4105656" cy="16642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656" cy="1664208"/>
                    </a:xfrm>
                    <a:prstGeom prst="rect">
                      <a:avLst/>
                    </a:prstGeom>
                    <a:noFill/>
                    <a:ln>
                      <a:noFill/>
                    </a:ln>
                  </pic:spPr>
                </pic:pic>
              </a:graphicData>
            </a:graphic>
          </wp:inline>
        </w:drawing>
      </w:r>
    </w:p>
    <w:p w14:paraId="06C7A1FD" w14:textId="77777777" w:rsidR="00985126" w:rsidRPr="003C5ECD" w:rsidRDefault="00985126" w:rsidP="00985126">
      <w:pPr>
        <w:pStyle w:val="Keywords"/>
        <w:spacing w:after="0"/>
        <w:ind w:left="810" w:hanging="810"/>
        <w:jc w:val="both"/>
        <w:rPr>
          <w:rFonts w:cs="Times New Roman"/>
          <w:b w:val="0"/>
          <w:bCs/>
          <w:color w:val="000000"/>
          <w:lang w:val="en-GB"/>
        </w:rPr>
      </w:pPr>
      <w:r w:rsidRPr="00A72277">
        <w:rPr>
          <w:rFonts w:cs="Times New Roman"/>
          <w:b w:val="0"/>
          <w:bCs/>
          <w:lang w:val="en-GB"/>
        </w:rPr>
        <w:t xml:space="preserve">Figure </w:t>
      </w:r>
      <w:r>
        <w:rPr>
          <w:rFonts w:cs="Times New Roman"/>
          <w:b w:val="0"/>
          <w:bCs/>
          <w:lang w:val="en-GB"/>
        </w:rPr>
        <w:t xml:space="preserve">2. </w:t>
      </w:r>
      <w:r>
        <w:rPr>
          <w:rFonts w:cs="Times New Roman"/>
          <w:b w:val="0"/>
          <w:bCs/>
          <w:lang w:val="en-GB"/>
        </w:rPr>
        <w:tab/>
      </w:r>
      <w:r w:rsidRPr="00A72277">
        <w:rPr>
          <w:rFonts w:cs="Times New Roman"/>
          <w:b w:val="0"/>
          <w:bCs/>
          <w:color w:val="000000"/>
          <w:lang w:val="en-GB"/>
        </w:rPr>
        <w:t xml:space="preserve">LCMS chromatogram of the phytochemical compounds found in (a) leaf, (b) stem, (c) fig and (d) root of </w:t>
      </w:r>
      <w:r w:rsidRPr="00A72277">
        <w:rPr>
          <w:rFonts w:cs="Times New Roman"/>
          <w:b w:val="0"/>
          <w:bCs/>
          <w:i/>
          <w:iCs/>
          <w:color w:val="000000"/>
          <w:lang w:val="en-GB"/>
        </w:rPr>
        <w:t>F. deltoidea.</w:t>
      </w:r>
      <w:r>
        <w:rPr>
          <w:rFonts w:cs="Times New Roman"/>
          <w:b w:val="0"/>
          <w:bCs/>
          <w:color w:val="000000"/>
          <w:lang w:val="en-GB"/>
        </w:rPr>
        <w:t xml:space="preserve"> </w:t>
      </w:r>
      <w:r w:rsidRPr="003C5ECD">
        <w:rPr>
          <w:rFonts w:cs="Times New Roman"/>
          <w:b w:val="0"/>
          <w:bCs/>
          <w:color w:val="000000"/>
          <w:lang w:val="en-GB"/>
        </w:rPr>
        <w:t xml:space="preserve">The labelled peaks are the highest phytochemical compounds contained in each organ which are (i) </w:t>
      </w:r>
      <w:r w:rsidRPr="003C5ECD">
        <w:rPr>
          <w:rFonts w:cs="Times New Roman"/>
          <w:b w:val="0"/>
          <w:bCs/>
        </w:rPr>
        <w:t>gallic acid was identified in the leaf, (ii) kaempferol-3-(6''-caffeoylglucoside) in the stem, (iii) quercetin-3-O-rhamnoside in fig and (iv) kaempferol 3-(3'',4''- diacetylrhamnoside) in the root</w:t>
      </w:r>
      <w:r>
        <w:rPr>
          <w:rFonts w:cs="Times New Roman"/>
          <w:b w:val="0"/>
          <w:bCs/>
        </w:rPr>
        <w:t>.</w:t>
      </w:r>
    </w:p>
    <w:p w14:paraId="0753005A" w14:textId="623ED822" w:rsidR="00985126" w:rsidRDefault="00985126" w:rsidP="00985126">
      <w:pPr>
        <w:spacing w:after="0"/>
        <w:jc w:val="both"/>
        <w:rPr>
          <w:rFonts w:ascii="Times New Roman" w:hAnsi="Times New Roman"/>
          <w:noProof/>
          <w:lang w:bidi="ar-SA"/>
        </w:rPr>
      </w:pPr>
    </w:p>
    <w:p w14:paraId="3E8AFCC9" w14:textId="77777777" w:rsidR="00985126" w:rsidRPr="001771F6" w:rsidRDefault="00985126" w:rsidP="00985126">
      <w:pPr>
        <w:pStyle w:val="Keywords"/>
        <w:ind w:left="0"/>
        <w:jc w:val="center"/>
        <w:rPr>
          <w:rFonts w:cs="Times New Roman"/>
          <w:b w:val="0"/>
          <w:bCs/>
          <w:color w:val="000000"/>
          <w:lang w:val="en-GB"/>
        </w:rPr>
      </w:pPr>
      <w:r w:rsidRPr="001771F6">
        <w:rPr>
          <w:rFonts w:cs="Times New Roman"/>
          <w:b w:val="0"/>
          <w:bCs/>
          <w:color w:val="000000"/>
          <w:lang w:val="en-GB"/>
        </w:rPr>
        <w:lastRenderedPageBreak/>
        <w:t>Table 2</w:t>
      </w:r>
      <w:r>
        <w:rPr>
          <w:rFonts w:cs="Times New Roman"/>
          <w:b w:val="0"/>
          <w:bCs/>
          <w:color w:val="000000"/>
          <w:lang w:val="en-GB"/>
        </w:rPr>
        <w:t xml:space="preserve">.  </w:t>
      </w:r>
      <w:r w:rsidRPr="001771F6">
        <w:rPr>
          <w:rFonts w:cs="Times New Roman"/>
          <w:b w:val="0"/>
          <w:bCs/>
          <w:color w:val="000000"/>
          <w:lang w:val="en-GB"/>
        </w:rPr>
        <w:t xml:space="preserve">The percentage of phytochemical compounds in </w:t>
      </w:r>
      <w:r w:rsidRPr="001771F6">
        <w:rPr>
          <w:rFonts w:cs="Times New Roman"/>
          <w:b w:val="0"/>
          <w:bCs/>
          <w:i/>
          <w:iCs/>
          <w:color w:val="000000"/>
          <w:lang w:val="en-GB"/>
        </w:rPr>
        <w:t>F. deltoidea</w:t>
      </w:r>
    </w:p>
    <w:tbl>
      <w:tblPr>
        <w:tblStyle w:val="TableGrid"/>
        <w:tblW w:w="8217" w:type="dxa"/>
        <w:jc w:val="center"/>
        <w:tblLook w:val="04A0" w:firstRow="1" w:lastRow="0" w:firstColumn="1" w:lastColumn="0" w:noHBand="0" w:noVBand="1"/>
      </w:tblPr>
      <w:tblGrid>
        <w:gridCol w:w="2740"/>
        <w:gridCol w:w="1224"/>
        <w:gridCol w:w="1418"/>
        <w:gridCol w:w="709"/>
        <w:gridCol w:w="708"/>
        <w:gridCol w:w="709"/>
        <w:gridCol w:w="709"/>
      </w:tblGrid>
      <w:tr w:rsidR="00985126" w:rsidRPr="00342040" w14:paraId="477DFD30" w14:textId="77777777" w:rsidTr="008F51A3">
        <w:trPr>
          <w:trHeight w:val="126"/>
          <w:jc w:val="center"/>
        </w:trPr>
        <w:tc>
          <w:tcPr>
            <w:tcW w:w="2740" w:type="dxa"/>
            <w:vMerge w:val="restart"/>
            <w:tcBorders>
              <w:top w:val="single" w:sz="4" w:space="0" w:color="auto"/>
              <w:left w:val="nil"/>
              <w:bottom w:val="nil"/>
              <w:right w:val="nil"/>
            </w:tcBorders>
            <w:vAlign w:val="center"/>
          </w:tcPr>
          <w:p w14:paraId="75107D5D" w14:textId="77777777" w:rsidR="00985126" w:rsidRPr="00342040" w:rsidRDefault="00985126" w:rsidP="008F51A3">
            <w:pPr>
              <w:spacing w:after="0" w:line="240" w:lineRule="auto"/>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Phytochemical </w:t>
            </w:r>
            <w:r>
              <w:rPr>
                <w:rFonts w:ascii="Times New Roman" w:hAnsi="Times New Roman" w:cs="Times New Roman"/>
                <w:b/>
                <w:bCs/>
                <w:sz w:val="20"/>
                <w:szCs w:val="20"/>
                <w:lang w:val="en-GB"/>
              </w:rPr>
              <w:t>C</w:t>
            </w:r>
            <w:r w:rsidRPr="00342040">
              <w:rPr>
                <w:rFonts w:ascii="Times New Roman" w:hAnsi="Times New Roman" w:cs="Times New Roman"/>
                <w:b/>
                <w:bCs/>
                <w:sz w:val="20"/>
                <w:szCs w:val="20"/>
                <w:lang w:val="en-GB"/>
              </w:rPr>
              <w:t>ompounds</w:t>
            </w:r>
          </w:p>
        </w:tc>
        <w:tc>
          <w:tcPr>
            <w:tcW w:w="1224" w:type="dxa"/>
            <w:vMerge w:val="restart"/>
            <w:tcBorders>
              <w:top w:val="single" w:sz="4" w:space="0" w:color="auto"/>
              <w:left w:val="nil"/>
              <w:bottom w:val="nil"/>
              <w:right w:val="nil"/>
            </w:tcBorders>
            <w:vAlign w:val="center"/>
          </w:tcPr>
          <w:p w14:paraId="14A64A87" w14:textId="77777777" w:rsidR="00985126" w:rsidRPr="00342040" w:rsidRDefault="00985126" w:rsidP="008F51A3">
            <w:pPr>
              <w:spacing w:before="60"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Retention </w:t>
            </w:r>
            <w:r>
              <w:rPr>
                <w:rFonts w:ascii="Times New Roman" w:hAnsi="Times New Roman" w:cs="Times New Roman"/>
                <w:b/>
                <w:bCs/>
                <w:sz w:val="20"/>
                <w:szCs w:val="20"/>
                <w:lang w:val="en-GB"/>
              </w:rPr>
              <w:t>T</w:t>
            </w:r>
            <w:r w:rsidRPr="00342040">
              <w:rPr>
                <w:rFonts w:ascii="Times New Roman" w:hAnsi="Times New Roman" w:cs="Times New Roman"/>
                <w:b/>
                <w:bCs/>
                <w:sz w:val="20"/>
                <w:szCs w:val="20"/>
                <w:lang w:val="en-GB"/>
              </w:rPr>
              <w:t>ime (min)</w:t>
            </w:r>
          </w:p>
        </w:tc>
        <w:tc>
          <w:tcPr>
            <w:tcW w:w="1418" w:type="dxa"/>
            <w:vMerge w:val="restart"/>
            <w:tcBorders>
              <w:top w:val="single" w:sz="4" w:space="0" w:color="auto"/>
              <w:left w:val="nil"/>
              <w:bottom w:val="nil"/>
              <w:right w:val="nil"/>
            </w:tcBorders>
            <w:vAlign w:val="center"/>
          </w:tcPr>
          <w:p w14:paraId="4A85ECB1" w14:textId="77777777" w:rsidR="00985126" w:rsidRPr="00342040" w:rsidRDefault="00985126" w:rsidP="008F51A3">
            <w:pPr>
              <w:spacing w:before="60"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xml:space="preserve">Mass to </w:t>
            </w:r>
            <w:r>
              <w:rPr>
                <w:rFonts w:ascii="Times New Roman" w:hAnsi="Times New Roman" w:cs="Times New Roman"/>
                <w:b/>
                <w:bCs/>
                <w:sz w:val="20"/>
                <w:szCs w:val="20"/>
                <w:lang w:val="en-GB"/>
              </w:rPr>
              <w:t>I</w:t>
            </w:r>
            <w:r w:rsidRPr="00342040">
              <w:rPr>
                <w:rFonts w:ascii="Times New Roman" w:hAnsi="Times New Roman" w:cs="Times New Roman"/>
                <w:b/>
                <w:bCs/>
                <w:sz w:val="20"/>
                <w:szCs w:val="20"/>
                <w:lang w:val="en-GB"/>
              </w:rPr>
              <w:t xml:space="preserve">on </w:t>
            </w:r>
            <w:r>
              <w:rPr>
                <w:rFonts w:ascii="Times New Roman" w:hAnsi="Times New Roman" w:cs="Times New Roman"/>
                <w:b/>
                <w:bCs/>
                <w:sz w:val="20"/>
                <w:szCs w:val="20"/>
                <w:lang w:val="en-GB"/>
              </w:rPr>
              <w:t>R</w:t>
            </w:r>
            <w:r w:rsidRPr="00342040">
              <w:rPr>
                <w:rFonts w:ascii="Times New Roman" w:hAnsi="Times New Roman" w:cs="Times New Roman"/>
                <w:b/>
                <w:bCs/>
                <w:sz w:val="20"/>
                <w:szCs w:val="20"/>
                <w:lang w:val="en-GB"/>
              </w:rPr>
              <w:t>atio (m/z)</w:t>
            </w:r>
          </w:p>
        </w:tc>
        <w:tc>
          <w:tcPr>
            <w:tcW w:w="2835" w:type="dxa"/>
            <w:gridSpan w:val="4"/>
            <w:tcBorders>
              <w:top w:val="single" w:sz="4" w:space="0" w:color="auto"/>
              <w:left w:val="nil"/>
              <w:bottom w:val="single" w:sz="4" w:space="0" w:color="auto"/>
              <w:right w:val="nil"/>
            </w:tcBorders>
          </w:tcPr>
          <w:p w14:paraId="0ED61F5D" w14:textId="77777777" w:rsidR="00985126" w:rsidRPr="00342040" w:rsidRDefault="00985126" w:rsidP="008F51A3">
            <w:pPr>
              <w:spacing w:before="60" w:after="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 Compound</w:t>
            </w:r>
          </w:p>
        </w:tc>
      </w:tr>
      <w:tr w:rsidR="00985126" w:rsidRPr="00342040" w14:paraId="6B231AE6" w14:textId="77777777" w:rsidTr="008F51A3">
        <w:trPr>
          <w:jc w:val="center"/>
        </w:trPr>
        <w:tc>
          <w:tcPr>
            <w:tcW w:w="2740" w:type="dxa"/>
            <w:vMerge/>
            <w:tcBorders>
              <w:top w:val="nil"/>
              <w:left w:val="nil"/>
              <w:bottom w:val="single" w:sz="4" w:space="0" w:color="auto"/>
              <w:right w:val="nil"/>
            </w:tcBorders>
            <w:vAlign w:val="center"/>
          </w:tcPr>
          <w:p w14:paraId="47670270" w14:textId="77777777" w:rsidR="00985126" w:rsidRPr="00342040" w:rsidRDefault="00985126" w:rsidP="008F51A3">
            <w:pPr>
              <w:spacing w:after="0" w:line="240" w:lineRule="auto"/>
              <w:rPr>
                <w:rFonts w:ascii="Times New Roman" w:hAnsi="Times New Roman" w:cs="Times New Roman"/>
                <w:sz w:val="20"/>
                <w:szCs w:val="20"/>
                <w:lang w:val="en-GB"/>
              </w:rPr>
            </w:pPr>
          </w:p>
        </w:tc>
        <w:tc>
          <w:tcPr>
            <w:tcW w:w="1224" w:type="dxa"/>
            <w:vMerge/>
            <w:tcBorders>
              <w:top w:val="nil"/>
              <w:left w:val="nil"/>
              <w:bottom w:val="single" w:sz="4" w:space="0" w:color="auto"/>
              <w:right w:val="nil"/>
            </w:tcBorders>
            <w:vAlign w:val="center"/>
          </w:tcPr>
          <w:p w14:paraId="55D56105" w14:textId="77777777" w:rsidR="00985126" w:rsidRPr="00342040" w:rsidRDefault="00985126" w:rsidP="008F51A3">
            <w:pPr>
              <w:spacing w:after="0" w:line="240" w:lineRule="auto"/>
              <w:jc w:val="center"/>
              <w:rPr>
                <w:rFonts w:ascii="Times New Roman" w:hAnsi="Times New Roman" w:cs="Times New Roman"/>
                <w:sz w:val="20"/>
                <w:szCs w:val="20"/>
                <w:lang w:val="en-GB"/>
              </w:rPr>
            </w:pPr>
          </w:p>
        </w:tc>
        <w:tc>
          <w:tcPr>
            <w:tcW w:w="1418" w:type="dxa"/>
            <w:vMerge/>
            <w:tcBorders>
              <w:top w:val="nil"/>
              <w:left w:val="nil"/>
              <w:bottom w:val="single" w:sz="4" w:space="0" w:color="auto"/>
              <w:right w:val="nil"/>
            </w:tcBorders>
            <w:vAlign w:val="center"/>
          </w:tcPr>
          <w:p w14:paraId="75F7F0F4" w14:textId="77777777" w:rsidR="00985126" w:rsidRPr="00342040" w:rsidRDefault="00985126" w:rsidP="008F51A3">
            <w:pPr>
              <w:spacing w:after="0" w:line="240" w:lineRule="auto"/>
              <w:jc w:val="center"/>
              <w:rPr>
                <w:rFonts w:ascii="Times New Roman" w:hAnsi="Times New Roman" w:cs="Times New Roman"/>
                <w:sz w:val="20"/>
                <w:szCs w:val="20"/>
                <w:lang w:val="en-GB"/>
              </w:rPr>
            </w:pPr>
          </w:p>
        </w:tc>
        <w:tc>
          <w:tcPr>
            <w:tcW w:w="709" w:type="dxa"/>
            <w:tcBorders>
              <w:top w:val="single" w:sz="4" w:space="0" w:color="auto"/>
              <w:left w:val="nil"/>
              <w:bottom w:val="single" w:sz="4" w:space="0" w:color="auto"/>
              <w:right w:val="nil"/>
            </w:tcBorders>
            <w:vAlign w:val="center"/>
          </w:tcPr>
          <w:p w14:paraId="43E3AF4F"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Leaf</w:t>
            </w:r>
          </w:p>
        </w:tc>
        <w:tc>
          <w:tcPr>
            <w:tcW w:w="708" w:type="dxa"/>
            <w:tcBorders>
              <w:top w:val="single" w:sz="4" w:space="0" w:color="auto"/>
              <w:left w:val="nil"/>
              <w:bottom w:val="single" w:sz="4" w:space="0" w:color="auto"/>
              <w:right w:val="nil"/>
            </w:tcBorders>
            <w:vAlign w:val="center"/>
          </w:tcPr>
          <w:p w14:paraId="10C94E7B"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Stem</w:t>
            </w:r>
          </w:p>
        </w:tc>
        <w:tc>
          <w:tcPr>
            <w:tcW w:w="709" w:type="dxa"/>
            <w:tcBorders>
              <w:top w:val="single" w:sz="4" w:space="0" w:color="auto"/>
              <w:left w:val="nil"/>
              <w:bottom w:val="single" w:sz="4" w:space="0" w:color="auto"/>
              <w:right w:val="nil"/>
            </w:tcBorders>
            <w:vAlign w:val="center"/>
          </w:tcPr>
          <w:p w14:paraId="15D483ED"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Fig</w:t>
            </w:r>
          </w:p>
        </w:tc>
        <w:tc>
          <w:tcPr>
            <w:tcW w:w="709" w:type="dxa"/>
            <w:tcBorders>
              <w:top w:val="single" w:sz="4" w:space="0" w:color="auto"/>
              <w:left w:val="nil"/>
              <w:bottom w:val="single" w:sz="4" w:space="0" w:color="auto"/>
              <w:right w:val="nil"/>
            </w:tcBorders>
            <w:vAlign w:val="center"/>
          </w:tcPr>
          <w:p w14:paraId="14D5DA44" w14:textId="77777777" w:rsidR="00985126" w:rsidRPr="00342040" w:rsidRDefault="00985126" w:rsidP="008F51A3">
            <w:pPr>
              <w:spacing w:after="60" w:line="240" w:lineRule="auto"/>
              <w:jc w:val="center"/>
              <w:rPr>
                <w:rFonts w:ascii="Times New Roman" w:hAnsi="Times New Roman" w:cs="Times New Roman"/>
                <w:b/>
                <w:bCs/>
                <w:sz w:val="20"/>
                <w:szCs w:val="20"/>
                <w:lang w:val="en-GB"/>
              </w:rPr>
            </w:pPr>
            <w:r w:rsidRPr="00342040">
              <w:rPr>
                <w:rFonts w:ascii="Times New Roman" w:hAnsi="Times New Roman" w:cs="Times New Roman"/>
                <w:b/>
                <w:bCs/>
                <w:sz w:val="20"/>
                <w:szCs w:val="20"/>
                <w:lang w:val="en-GB"/>
              </w:rPr>
              <w:t>Root</w:t>
            </w:r>
          </w:p>
        </w:tc>
      </w:tr>
      <w:tr w:rsidR="00985126" w:rsidRPr="00342040" w14:paraId="084EA88F" w14:textId="77777777" w:rsidTr="008F51A3">
        <w:trPr>
          <w:jc w:val="center"/>
        </w:trPr>
        <w:tc>
          <w:tcPr>
            <w:tcW w:w="2740" w:type="dxa"/>
            <w:tcBorders>
              <w:top w:val="single" w:sz="4" w:space="0" w:color="auto"/>
              <w:left w:val="nil"/>
              <w:bottom w:val="nil"/>
              <w:right w:val="nil"/>
            </w:tcBorders>
            <w:vAlign w:val="center"/>
          </w:tcPr>
          <w:p w14:paraId="3CCBCC3C"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i/>
                <w:iCs/>
                <w:sz w:val="20"/>
                <w:szCs w:val="20"/>
                <w:lang w:val="en-GB"/>
              </w:rPr>
              <w:t>P</w:t>
            </w:r>
            <w:r w:rsidRPr="00342040">
              <w:rPr>
                <w:rFonts w:ascii="Times New Roman" w:hAnsi="Times New Roman" w:cs="Times New Roman"/>
                <w:sz w:val="20"/>
                <w:szCs w:val="20"/>
                <w:lang w:val="en-GB"/>
              </w:rPr>
              <w:t>-coumaric acid</w:t>
            </w:r>
          </w:p>
        </w:tc>
        <w:tc>
          <w:tcPr>
            <w:tcW w:w="1224" w:type="dxa"/>
            <w:tcBorders>
              <w:top w:val="single" w:sz="4" w:space="0" w:color="auto"/>
              <w:left w:val="nil"/>
              <w:bottom w:val="nil"/>
              <w:right w:val="nil"/>
            </w:tcBorders>
            <w:vAlign w:val="center"/>
          </w:tcPr>
          <w:p w14:paraId="7166FC2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1.859</w:t>
            </w:r>
          </w:p>
        </w:tc>
        <w:tc>
          <w:tcPr>
            <w:tcW w:w="1418" w:type="dxa"/>
            <w:tcBorders>
              <w:top w:val="single" w:sz="4" w:space="0" w:color="auto"/>
              <w:left w:val="nil"/>
              <w:bottom w:val="nil"/>
              <w:right w:val="nil"/>
            </w:tcBorders>
            <w:vAlign w:val="center"/>
          </w:tcPr>
          <w:p w14:paraId="16E53725"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164.05</w:t>
            </w:r>
          </w:p>
        </w:tc>
        <w:tc>
          <w:tcPr>
            <w:tcW w:w="709" w:type="dxa"/>
            <w:tcBorders>
              <w:top w:val="single" w:sz="4" w:space="0" w:color="auto"/>
              <w:left w:val="nil"/>
              <w:bottom w:val="nil"/>
              <w:right w:val="nil"/>
            </w:tcBorders>
            <w:vAlign w:val="center"/>
          </w:tcPr>
          <w:p w14:paraId="7281566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1.91</w:t>
            </w:r>
          </w:p>
        </w:tc>
        <w:tc>
          <w:tcPr>
            <w:tcW w:w="708" w:type="dxa"/>
            <w:tcBorders>
              <w:top w:val="single" w:sz="4" w:space="0" w:color="auto"/>
              <w:left w:val="nil"/>
              <w:bottom w:val="nil"/>
              <w:right w:val="nil"/>
            </w:tcBorders>
            <w:vAlign w:val="center"/>
          </w:tcPr>
          <w:p w14:paraId="66DC0CE6"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1.79</w:t>
            </w:r>
          </w:p>
        </w:tc>
        <w:tc>
          <w:tcPr>
            <w:tcW w:w="709" w:type="dxa"/>
            <w:tcBorders>
              <w:top w:val="single" w:sz="4" w:space="0" w:color="auto"/>
              <w:left w:val="nil"/>
              <w:bottom w:val="nil"/>
              <w:right w:val="nil"/>
            </w:tcBorders>
            <w:vAlign w:val="center"/>
          </w:tcPr>
          <w:p w14:paraId="22E7B3F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2.71</w:t>
            </w:r>
          </w:p>
        </w:tc>
        <w:tc>
          <w:tcPr>
            <w:tcW w:w="709" w:type="dxa"/>
            <w:tcBorders>
              <w:top w:val="single" w:sz="4" w:space="0" w:color="auto"/>
              <w:left w:val="nil"/>
              <w:bottom w:val="nil"/>
              <w:right w:val="nil"/>
            </w:tcBorders>
            <w:vAlign w:val="center"/>
          </w:tcPr>
          <w:p w14:paraId="2DF0C1F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1.28</w:t>
            </w:r>
          </w:p>
        </w:tc>
      </w:tr>
      <w:tr w:rsidR="00985126" w:rsidRPr="00342040" w14:paraId="45208F8A" w14:textId="77777777" w:rsidTr="008F51A3">
        <w:trPr>
          <w:jc w:val="center"/>
        </w:trPr>
        <w:tc>
          <w:tcPr>
            <w:tcW w:w="2740" w:type="dxa"/>
            <w:tcBorders>
              <w:top w:val="nil"/>
              <w:left w:val="nil"/>
              <w:bottom w:val="nil"/>
              <w:right w:val="nil"/>
            </w:tcBorders>
            <w:vAlign w:val="center"/>
          </w:tcPr>
          <w:p w14:paraId="4CA5186A"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Gallic acid</w:t>
            </w:r>
            <w:r w:rsidRPr="00342040">
              <w:rPr>
                <w:rFonts w:ascii="Times New Roman" w:hAnsi="Times New Roman" w:cs="Times New Roman"/>
                <w:sz w:val="20"/>
                <w:szCs w:val="20"/>
                <w:vertAlign w:val="superscript"/>
                <w:lang w:val="en-GB"/>
              </w:rPr>
              <w:t>i</w:t>
            </w:r>
          </w:p>
        </w:tc>
        <w:tc>
          <w:tcPr>
            <w:tcW w:w="1224" w:type="dxa"/>
            <w:tcBorders>
              <w:top w:val="nil"/>
              <w:left w:val="nil"/>
              <w:bottom w:val="nil"/>
              <w:right w:val="nil"/>
            </w:tcBorders>
            <w:vAlign w:val="center"/>
          </w:tcPr>
          <w:p w14:paraId="74A689A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3.042</w:t>
            </w:r>
          </w:p>
        </w:tc>
        <w:tc>
          <w:tcPr>
            <w:tcW w:w="1418" w:type="dxa"/>
            <w:tcBorders>
              <w:top w:val="nil"/>
              <w:left w:val="nil"/>
              <w:bottom w:val="nil"/>
              <w:right w:val="nil"/>
            </w:tcBorders>
            <w:vAlign w:val="center"/>
          </w:tcPr>
          <w:p w14:paraId="33FAA74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170.02</w:t>
            </w:r>
          </w:p>
        </w:tc>
        <w:tc>
          <w:tcPr>
            <w:tcW w:w="709" w:type="dxa"/>
            <w:tcBorders>
              <w:top w:val="nil"/>
              <w:left w:val="nil"/>
              <w:bottom w:val="nil"/>
              <w:right w:val="nil"/>
            </w:tcBorders>
            <w:vAlign w:val="center"/>
          </w:tcPr>
          <w:p w14:paraId="31F014D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8" w:type="dxa"/>
            <w:tcBorders>
              <w:top w:val="nil"/>
              <w:left w:val="nil"/>
              <w:bottom w:val="nil"/>
              <w:right w:val="nil"/>
            </w:tcBorders>
            <w:vAlign w:val="center"/>
          </w:tcPr>
          <w:p w14:paraId="625CC2A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2.32</w:t>
            </w:r>
          </w:p>
        </w:tc>
        <w:tc>
          <w:tcPr>
            <w:tcW w:w="709" w:type="dxa"/>
            <w:tcBorders>
              <w:top w:val="nil"/>
              <w:left w:val="nil"/>
              <w:bottom w:val="nil"/>
              <w:right w:val="nil"/>
            </w:tcBorders>
            <w:vAlign w:val="center"/>
          </w:tcPr>
          <w:p w14:paraId="1BA4DAF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c>
          <w:tcPr>
            <w:tcW w:w="709" w:type="dxa"/>
            <w:tcBorders>
              <w:top w:val="nil"/>
              <w:left w:val="nil"/>
              <w:bottom w:val="nil"/>
              <w:right w:val="nil"/>
            </w:tcBorders>
            <w:vAlign w:val="center"/>
          </w:tcPr>
          <w:p w14:paraId="1E6FE13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1.45</w:t>
            </w:r>
          </w:p>
        </w:tc>
      </w:tr>
      <w:tr w:rsidR="00985126" w:rsidRPr="00342040" w14:paraId="55F29C8E" w14:textId="77777777" w:rsidTr="008F51A3">
        <w:trPr>
          <w:jc w:val="center"/>
        </w:trPr>
        <w:tc>
          <w:tcPr>
            <w:tcW w:w="2740" w:type="dxa"/>
            <w:tcBorders>
              <w:top w:val="nil"/>
              <w:left w:val="nil"/>
              <w:bottom w:val="nil"/>
              <w:right w:val="nil"/>
            </w:tcBorders>
            <w:vAlign w:val="center"/>
          </w:tcPr>
          <w:p w14:paraId="0D2F8BAF"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Chlorogenic acid</w:t>
            </w:r>
          </w:p>
        </w:tc>
        <w:tc>
          <w:tcPr>
            <w:tcW w:w="1224" w:type="dxa"/>
            <w:tcBorders>
              <w:top w:val="nil"/>
              <w:left w:val="nil"/>
              <w:bottom w:val="nil"/>
              <w:right w:val="nil"/>
            </w:tcBorders>
            <w:vAlign w:val="center"/>
          </w:tcPr>
          <w:p w14:paraId="740E774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12.421</w:t>
            </w:r>
          </w:p>
        </w:tc>
        <w:tc>
          <w:tcPr>
            <w:tcW w:w="1418" w:type="dxa"/>
            <w:tcBorders>
              <w:top w:val="nil"/>
              <w:left w:val="nil"/>
              <w:bottom w:val="nil"/>
              <w:right w:val="nil"/>
            </w:tcBorders>
            <w:vAlign w:val="center"/>
          </w:tcPr>
          <w:p w14:paraId="6A032CFE"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354.10</w:t>
            </w:r>
          </w:p>
        </w:tc>
        <w:tc>
          <w:tcPr>
            <w:tcW w:w="709" w:type="dxa"/>
            <w:tcBorders>
              <w:top w:val="nil"/>
              <w:left w:val="nil"/>
              <w:bottom w:val="nil"/>
              <w:right w:val="nil"/>
            </w:tcBorders>
            <w:vAlign w:val="center"/>
          </w:tcPr>
          <w:p w14:paraId="16E207A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2.12</w:t>
            </w:r>
          </w:p>
        </w:tc>
        <w:tc>
          <w:tcPr>
            <w:tcW w:w="708" w:type="dxa"/>
            <w:tcBorders>
              <w:top w:val="nil"/>
              <w:left w:val="nil"/>
              <w:bottom w:val="nil"/>
              <w:right w:val="nil"/>
            </w:tcBorders>
            <w:vAlign w:val="center"/>
          </w:tcPr>
          <w:p w14:paraId="784D7E4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1.58</w:t>
            </w:r>
          </w:p>
        </w:tc>
        <w:tc>
          <w:tcPr>
            <w:tcW w:w="709" w:type="dxa"/>
            <w:tcBorders>
              <w:top w:val="nil"/>
              <w:left w:val="nil"/>
              <w:bottom w:val="nil"/>
              <w:right w:val="nil"/>
            </w:tcBorders>
            <w:vAlign w:val="center"/>
          </w:tcPr>
          <w:p w14:paraId="4FF1F1A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2.55</w:t>
            </w:r>
          </w:p>
        </w:tc>
        <w:tc>
          <w:tcPr>
            <w:tcW w:w="709" w:type="dxa"/>
            <w:tcBorders>
              <w:top w:val="nil"/>
              <w:left w:val="nil"/>
              <w:bottom w:val="nil"/>
              <w:right w:val="nil"/>
            </w:tcBorders>
            <w:vAlign w:val="center"/>
          </w:tcPr>
          <w:p w14:paraId="0FD0BD16"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1.72</w:t>
            </w:r>
          </w:p>
        </w:tc>
      </w:tr>
      <w:tr w:rsidR="00985126" w:rsidRPr="00342040" w14:paraId="31D13E1D" w14:textId="77777777" w:rsidTr="008F51A3">
        <w:trPr>
          <w:jc w:val="center"/>
        </w:trPr>
        <w:tc>
          <w:tcPr>
            <w:tcW w:w="2740" w:type="dxa"/>
            <w:tcBorders>
              <w:top w:val="nil"/>
              <w:left w:val="nil"/>
              <w:bottom w:val="nil"/>
              <w:right w:val="nil"/>
            </w:tcBorders>
            <w:vAlign w:val="center"/>
          </w:tcPr>
          <w:p w14:paraId="576CC9D4"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Luteolin-7-glucoside</w:t>
            </w:r>
          </w:p>
        </w:tc>
        <w:tc>
          <w:tcPr>
            <w:tcW w:w="1224" w:type="dxa"/>
            <w:tcBorders>
              <w:top w:val="nil"/>
              <w:left w:val="nil"/>
              <w:bottom w:val="nil"/>
              <w:right w:val="nil"/>
            </w:tcBorders>
            <w:vAlign w:val="center"/>
          </w:tcPr>
          <w:p w14:paraId="0387A67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22.628</w:t>
            </w:r>
          </w:p>
        </w:tc>
        <w:tc>
          <w:tcPr>
            <w:tcW w:w="1418" w:type="dxa"/>
            <w:tcBorders>
              <w:top w:val="nil"/>
              <w:left w:val="nil"/>
              <w:bottom w:val="nil"/>
              <w:right w:val="nil"/>
            </w:tcBorders>
            <w:vAlign w:val="center"/>
          </w:tcPr>
          <w:p w14:paraId="060A75B5"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448.10</w:t>
            </w:r>
          </w:p>
        </w:tc>
        <w:tc>
          <w:tcPr>
            <w:tcW w:w="709" w:type="dxa"/>
            <w:tcBorders>
              <w:top w:val="nil"/>
              <w:left w:val="nil"/>
              <w:bottom w:val="nil"/>
              <w:right w:val="nil"/>
            </w:tcBorders>
            <w:vAlign w:val="center"/>
          </w:tcPr>
          <w:p w14:paraId="5A525CF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c>
          <w:tcPr>
            <w:tcW w:w="708" w:type="dxa"/>
            <w:tcBorders>
              <w:top w:val="nil"/>
              <w:left w:val="nil"/>
              <w:bottom w:val="nil"/>
              <w:right w:val="nil"/>
            </w:tcBorders>
            <w:vAlign w:val="center"/>
          </w:tcPr>
          <w:p w14:paraId="24C67DFA"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1.80</w:t>
            </w:r>
          </w:p>
        </w:tc>
        <w:tc>
          <w:tcPr>
            <w:tcW w:w="709" w:type="dxa"/>
            <w:tcBorders>
              <w:top w:val="nil"/>
              <w:left w:val="nil"/>
              <w:bottom w:val="nil"/>
              <w:right w:val="nil"/>
            </w:tcBorders>
            <w:vAlign w:val="center"/>
          </w:tcPr>
          <w:p w14:paraId="6DDBA36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2.41</w:t>
            </w:r>
          </w:p>
        </w:tc>
        <w:tc>
          <w:tcPr>
            <w:tcW w:w="709" w:type="dxa"/>
            <w:tcBorders>
              <w:top w:val="nil"/>
              <w:left w:val="nil"/>
              <w:bottom w:val="nil"/>
              <w:right w:val="nil"/>
            </w:tcBorders>
            <w:vAlign w:val="center"/>
          </w:tcPr>
          <w:p w14:paraId="1E18A07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1.05</w:t>
            </w:r>
          </w:p>
        </w:tc>
      </w:tr>
      <w:tr w:rsidR="00985126" w:rsidRPr="00342040" w14:paraId="26207F21" w14:textId="77777777" w:rsidTr="008F51A3">
        <w:trPr>
          <w:jc w:val="center"/>
        </w:trPr>
        <w:tc>
          <w:tcPr>
            <w:tcW w:w="2740" w:type="dxa"/>
            <w:tcBorders>
              <w:top w:val="nil"/>
              <w:left w:val="nil"/>
              <w:bottom w:val="nil"/>
              <w:right w:val="nil"/>
            </w:tcBorders>
            <w:vAlign w:val="center"/>
          </w:tcPr>
          <w:p w14:paraId="4348B78D"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Quercetin-3-O-rhamnoside</w:t>
            </w:r>
            <w:r w:rsidRPr="00342040">
              <w:rPr>
                <w:rFonts w:ascii="Times New Roman" w:hAnsi="Times New Roman" w:cs="Times New Roman"/>
                <w:sz w:val="20"/>
                <w:szCs w:val="20"/>
                <w:vertAlign w:val="superscript"/>
                <w:lang w:val="en-GB"/>
              </w:rPr>
              <w:t>iii</w:t>
            </w:r>
          </w:p>
        </w:tc>
        <w:tc>
          <w:tcPr>
            <w:tcW w:w="1224" w:type="dxa"/>
            <w:tcBorders>
              <w:top w:val="nil"/>
              <w:left w:val="nil"/>
              <w:bottom w:val="nil"/>
              <w:right w:val="nil"/>
            </w:tcBorders>
            <w:vAlign w:val="center"/>
          </w:tcPr>
          <w:p w14:paraId="57B66DF8"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24.003</w:t>
            </w:r>
          </w:p>
        </w:tc>
        <w:tc>
          <w:tcPr>
            <w:tcW w:w="1418" w:type="dxa"/>
            <w:tcBorders>
              <w:top w:val="nil"/>
              <w:left w:val="nil"/>
              <w:bottom w:val="nil"/>
              <w:right w:val="nil"/>
            </w:tcBorders>
            <w:vAlign w:val="center"/>
          </w:tcPr>
          <w:p w14:paraId="0CA5A37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432.11</w:t>
            </w:r>
          </w:p>
        </w:tc>
        <w:tc>
          <w:tcPr>
            <w:tcW w:w="709" w:type="dxa"/>
            <w:tcBorders>
              <w:top w:val="nil"/>
              <w:left w:val="nil"/>
              <w:bottom w:val="nil"/>
              <w:right w:val="nil"/>
            </w:tcBorders>
            <w:vAlign w:val="center"/>
          </w:tcPr>
          <w:p w14:paraId="497C633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2.14</w:t>
            </w:r>
          </w:p>
        </w:tc>
        <w:tc>
          <w:tcPr>
            <w:tcW w:w="708" w:type="dxa"/>
            <w:tcBorders>
              <w:top w:val="nil"/>
              <w:left w:val="nil"/>
              <w:bottom w:val="nil"/>
              <w:right w:val="nil"/>
            </w:tcBorders>
            <w:vAlign w:val="center"/>
          </w:tcPr>
          <w:p w14:paraId="43F8340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1.39</w:t>
            </w:r>
          </w:p>
        </w:tc>
        <w:tc>
          <w:tcPr>
            <w:tcW w:w="709" w:type="dxa"/>
            <w:tcBorders>
              <w:top w:val="nil"/>
              <w:left w:val="nil"/>
              <w:bottom w:val="nil"/>
              <w:right w:val="nil"/>
            </w:tcBorders>
            <w:vAlign w:val="center"/>
          </w:tcPr>
          <w:p w14:paraId="23F045E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3.02</w:t>
            </w:r>
          </w:p>
        </w:tc>
        <w:tc>
          <w:tcPr>
            <w:tcW w:w="709" w:type="dxa"/>
            <w:tcBorders>
              <w:top w:val="nil"/>
              <w:left w:val="nil"/>
              <w:bottom w:val="nil"/>
              <w:right w:val="nil"/>
            </w:tcBorders>
            <w:vAlign w:val="center"/>
          </w:tcPr>
          <w:p w14:paraId="53B6C7E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1.75</w:t>
            </w:r>
          </w:p>
        </w:tc>
      </w:tr>
      <w:tr w:rsidR="00985126" w:rsidRPr="00342040" w14:paraId="6D97A095" w14:textId="77777777" w:rsidTr="008F51A3">
        <w:trPr>
          <w:jc w:val="center"/>
        </w:trPr>
        <w:tc>
          <w:tcPr>
            <w:tcW w:w="2740" w:type="dxa"/>
            <w:tcBorders>
              <w:top w:val="nil"/>
              <w:left w:val="nil"/>
              <w:bottom w:val="nil"/>
              <w:right w:val="nil"/>
            </w:tcBorders>
            <w:vAlign w:val="center"/>
          </w:tcPr>
          <w:p w14:paraId="47B9D906"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w:t>
            </w:r>
          </w:p>
          <w:p w14:paraId="3FC79252"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acetylrhamnoside)</w:t>
            </w:r>
          </w:p>
        </w:tc>
        <w:tc>
          <w:tcPr>
            <w:tcW w:w="1224" w:type="dxa"/>
            <w:tcBorders>
              <w:top w:val="nil"/>
              <w:left w:val="nil"/>
              <w:bottom w:val="nil"/>
              <w:right w:val="nil"/>
            </w:tcBorders>
            <w:vAlign w:val="center"/>
          </w:tcPr>
          <w:p w14:paraId="66453724"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24.77</w:t>
            </w:r>
          </w:p>
        </w:tc>
        <w:tc>
          <w:tcPr>
            <w:tcW w:w="1418" w:type="dxa"/>
            <w:tcBorders>
              <w:top w:val="nil"/>
              <w:left w:val="nil"/>
              <w:bottom w:val="nil"/>
              <w:right w:val="nil"/>
            </w:tcBorders>
            <w:vAlign w:val="center"/>
          </w:tcPr>
          <w:p w14:paraId="08615AB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75.03</w:t>
            </w:r>
          </w:p>
        </w:tc>
        <w:tc>
          <w:tcPr>
            <w:tcW w:w="709" w:type="dxa"/>
            <w:tcBorders>
              <w:top w:val="nil"/>
              <w:left w:val="nil"/>
              <w:bottom w:val="nil"/>
              <w:right w:val="nil"/>
            </w:tcBorders>
            <w:vAlign w:val="center"/>
          </w:tcPr>
          <w:p w14:paraId="19E2C567"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1.23</w:t>
            </w:r>
          </w:p>
        </w:tc>
        <w:tc>
          <w:tcPr>
            <w:tcW w:w="708" w:type="dxa"/>
            <w:tcBorders>
              <w:top w:val="nil"/>
              <w:left w:val="nil"/>
              <w:bottom w:val="nil"/>
              <w:right w:val="nil"/>
            </w:tcBorders>
            <w:vAlign w:val="center"/>
          </w:tcPr>
          <w:p w14:paraId="2BBBB17F"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1.60</w:t>
            </w:r>
          </w:p>
        </w:tc>
        <w:tc>
          <w:tcPr>
            <w:tcW w:w="709" w:type="dxa"/>
            <w:tcBorders>
              <w:top w:val="nil"/>
              <w:left w:val="nil"/>
              <w:bottom w:val="nil"/>
              <w:right w:val="nil"/>
            </w:tcBorders>
            <w:vAlign w:val="center"/>
          </w:tcPr>
          <w:p w14:paraId="5A952E0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1.21</w:t>
            </w:r>
          </w:p>
        </w:tc>
        <w:tc>
          <w:tcPr>
            <w:tcW w:w="709" w:type="dxa"/>
            <w:tcBorders>
              <w:top w:val="nil"/>
              <w:left w:val="nil"/>
              <w:bottom w:val="nil"/>
              <w:right w:val="nil"/>
            </w:tcBorders>
            <w:vAlign w:val="center"/>
          </w:tcPr>
          <w:p w14:paraId="2812A02D"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2.15</w:t>
            </w:r>
          </w:p>
        </w:tc>
      </w:tr>
      <w:tr w:rsidR="00985126" w:rsidRPr="00342040" w14:paraId="14563DD8" w14:textId="77777777" w:rsidTr="008F51A3">
        <w:trPr>
          <w:jc w:val="center"/>
        </w:trPr>
        <w:tc>
          <w:tcPr>
            <w:tcW w:w="2740" w:type="dxa"/>
            <w:tcBorders>
              <w:top w:val="nil"/>
              <w:left w:val="nil"/>
              <w:bottom w:val="nil"/>
              <w:right w:val="nil"/>
            </w:tcBorders>
            <w:vAlign w:val="center"/>
          </w:tcPr>
          <w:p w14:paraId="6CF863D8"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 3-(3'',4''-</w:t>
            </w:r>
          </w:p>
          <w:p w14:paraId="101B4F15"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diacetylrhamnoside)</w:t>
            </w:r>
            <w:r w:rsidRPr="00342040">
              <w:rPr>
                <w:rFonts w:ascii="Times New Roman" w:hAnsi="Times New Roman" w:cs="Times New Roman"/>
                <w:sz w:val="20"/>
                <w:szCs w:val="20"/>
                <w:vertAlign w:val="superscript"/>
                <w:lang w:val="en-GB"/>
              </w:rPr>
              <w:t>iv</w:t>
            </w:r>
          </w:p>
        </w:tc>
        <w:tc>
          <w:tcPr>
            <w:tcW w:w="1224" w:type="dxa"/>
            <w:tcBorders>
              <w:top w:val="nil"/>
              <w:left w:val="nil"/>
              <w:bottom w:val="nil"/>
              <w:right w:val="nil"/>
            </w:tcBorders>
            <w:vAlign w:val="center"/>
          </w:tcPr>
          <w:p w14:paraId="02B5849E"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28.208</w:t>
            </w:r>
          </w:p>
        </w:tc>
        <w:tc>
          <w:tcPr>
            <w:tcW w:w="1418" w:type="dxa"/>
            <w:tcBorders>
              <w:top w:val="nil"/>
              <w:left w:val="nil"/>
              <w:bottom w:val="nil"/>
              <w:right w:val="nil"/>
            </w:tcBorders>
            <w:vAlign w:val="center"/>
          </w:tcPr>
          <w:p w14:paraId="08AD466B"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516.13</w:t>
            </w:r>
          </w:p>
        </w:tc>
        <w:tc>
          <w:tcPr>
            <w:tcW w:w="709" w:type="dxa"/>
            <w:tcBorders>
              <w:top w:val="nil"/>
              <w:left w:val="nil"/>
              <w:bottom w:val="nil"/>
              <w:right w:val="nil"/>
            </w:tcBorders>
            <w:vAlign w:val="center"/>
          </w:tcPr>
          <w:p w14:paraId="7A73200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1.10</w:t>
            </w:r>
          </w:p>
        </w:tc>
        <w:tc>
          <w:tcPr>
            <w:tcW w:w="708" w:type="dxa"/>
            <w:tcBorders>
              <w:top w:val="nil"/>
              <w:left w:val="nil"/>
              <w:bottom w:val="nil"/>
              <w:right w:val="nil"/>
            </w:tcBorders>
            <w:vAlign w:val="center"/>
          </w:tcPr>
          <w:p w14:paraId="2D9FD2D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1.42</w:t>
            </w:r>
          </w:p>
        </w:tc>
        <w:tc>
          <w:tcPr>
            <w:tcW w:w="709" w:type="dxa"/>
            <w:tcBorders>
              <w:top w:val="nil"/>
              <w:left w:val="nil"/>
              <w:bottom w:val="nil"/>
              <w:right w:val="nil"/>
            </w:tcBorders>
            <w:vAlign w:val="center"/>
          </w:tcPr>
          <w:p w14:paraId="6768893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1.08</w:t>
            </w:r>
          </w:p>
        </w:tc>
        <w:tc>
          <w:tcPr>
            <w:tcW w:w="709" w:type="dxa"/>
            <w:tcBorders>
              <w:top w:val="nil"/>
              <w:left w:val="nil"/>
              <w:bottom w:val="nil"/>
              <w:right w:val="nil"/>
            </w:tcBorders>
            <w:vAlign w:val="center"/>
          </w:tcPr>
          <w:p w14:paraId="30645679"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2.28</w:t>
            </w:r>
          </w:p>
        </w:tc>
      </w:tr>
      <w:tr w:rsidR="00985126" w:rsidRPr="00342040" w14:paraId="264BA67A" w14:textId="77777777" w:rsidTr="008F51A3">
        <w:trPr>
          <w:jc w:val="center"/>
        </w:trPr>
        <w:tc>
          <w:tcPr>
            <w:tcW w:w="2740" w:type="dxa"/>
            <w:tcBorders>
              <w:top w:val="nil"/>
              <w:left w:val="nil"/>
              <w:right w:val="nil"/>
            </w:tcBorders>
            <w:vAlign w:val="center"/>
          </w:tcPr>
          <w:p w14:paraId="4B8F51CC" w14:textId="77777777" w:rsidR="00985126" w:rsidRPr="00342040" w:rsidRDefault="00985126" w:rsidP="008F51A3">
            <w:pPr>
              <w:spacing w:before="60" w:after="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Kaempferol-3-(6''-</w:t>
            </w:r>
          </w:p>
          <w:p w14:paraId="5441E024" w14:textId="77777777" w:rsidR="00985126" w:rsidRPr="00342040" w:rsidRDefault="00985126" w:rsidP="008F51A3">
            <w:pPr>
              <w:spacing w:before="60" w:after="60" w:line="240" w:lineRule="auto"/>
              <w:rPr>
                <w:rFonts w:ascii="Times New Roman" w:hAnsi="Times New Roman" w:cs="Times New Roman"/>
                <w:sz w:val="20"/>
                <w:szCs w:val="20"/>
                <w:lang w:val="en-GB"/>
              </w:rPr>
            </w:pPr>
            <w:r w:rsidRPr="00342040">
              <w:rPr>
                <w:rFonts w:ascii="Times New Roman" w:hAnsi="Times New Roman" w:cs="Times New Roman"/>
                <w:sz w:val="20"/>
                <w:szCs w:val="20"/>
                <w:lang w:val="en-GB"/>
              </w:rPr>
              <w:t>caffeoylglucoside)</w:t>
            </w:r>
            <w:r w:rsidRPr="00342040">
              <w:rPr>
                <w:rFonts w:ascii="Times New Roman" w:hAnsi="Times New Roman" w:cs="Times New Roman"/>
                <w:sz w:val="20"/>
                <w:szCs w:val="20"/>
                <w:vertAlign w:val="superscript"/>
                <w:lang w:val="en-GB"/>
              </w:rPr>
              <w:t>ii</w:t>
            </w:r>
          </w:p>
        </w:tc>
        <w:tc>
          <w:tcPr>
            <w:tcW w:w="1224" w:type="dxa"/>
            <w:tcBorders>
              <w:top w:val="nil"/>
              <w:left w:val="nil"/>
              <w:right w:val="nil"/>
            </w:tcBorders>
            <w:vAlign w:val="center"/>
          </w:tcPr>
          <w:p w14:paraId="7E40A788"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35.508</w:t>
            </w:r>
          </w:p>
        </w:tc>
        <w:tc>
          <w:tcPr>
            <w:tcW w:w="1418" w:type="dxa"/>
            <w:tcBorders>
              <w:top w:val="nil"/>
              <w:left w:val="nil"/>
              <w:right w:val="nil"/>
            </w:tcBorders>
            <w:vAlign w:val="center"/>
          </w:tcPr>
          <w:p w14:paraId="1168002C"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610.13</w:t>
            </w:r>
          </w:p>
        </w:tc>
        <w:tc>
          <w:tcPr>
            <w:tcW w:w="709" w:type="dxa"/>
            <w:tcBorders>
              <w:top w:val="nil"/>
              <w:left w:val="nil"/>
              <w:right w:val="nil"/>
            </w:tcBorders>
            <w:vAlign w:val="center"/>
          </w:tcPr>
          <w:p w14:paraId="5DDB63E3"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2.21</w:t>
            </w:r>
          </w:p>
        </w:tc>
        <w:tc>
          <w:tcPr>
            <w:tcW w:w="708" w:type="dxa"/>
            <w:tcBorders>
              <w:top w:val="nil"/>
              <w:left w:val="nil"/>
              <w:right w:val="nil"/>
            </w:tcBorders>
            <w:vAlign w:val="center"/>
          </w:tcPr>
          <w:p w14:paraId="4493D56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2.52</w:t>
            </w:r>
          </w:p>
        </w:tc>
        <w:tc>
          <w:tcPr>
            <w:tcW w:w="709" w:type="dxa"/>
            <w:tcBorders>
              <w:top w:val="nil"/>
              <w:left w:val="nil"/>
              <w:right w:val="nil"/>
            </w:tcBorders>
            <w:vAlign w:val="center"/>
          </w:tcPr>
          <w:p w14:paraId="766DC2E0"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2.17</w:t>
            </w:r>
          </w:p>
        </w:tc>
        <w:tc>
          <w:tcPr>
            <w:tcW w:w="709" w:type="dxa"/>
            <w:tcBorders>
              <w:top w:val="nil"/>
              <w:left w:val="nil"/>
              <w:right w:val="nil"/>
            </w:tcBorders>
            <w:vAlign w:val="center"/>
          </w:tcPr>
          <w:p w14:paraId="6BDA0701" w14:textId="77777777" w:rsidR="00985126" w:rsidRPr="00342040" w:rsidRDefault="00985126" w:rsidP="008F51A3">
            <w:pPr>
              <w:spacing w:before="60" w:after="0" w:line="240" w:lineRule="auto"/>
              <w:jc w:val="center"/>
              <w:rPr>
                <w:rFonts w:ascii="Times New Roman" w:hAnsi="Times New Roman" w:cs="Times New Roman"/>
                <w:sz w:val="20"/>
                <w:szCs w:val="20"/>
                <w:lang w:val="en-GB"/>
              </w:rPr>
            </w:pPr>
            <w:r w:rsidRPr="00342040">
              <w:rPr>
                <w:rFonts w:ascii="Times New Roman" w:hAnsi="Times New Roman" w:cs="Times New Roman"/>
                <w:sz w:val="20"/>
                <w:szCs w:val="20"/>
                <w:lang w:val="en-GB"/>
              </w:rPr>
              <w:t>1.89</w:t>
            </w:r>
          </w:p>
        </w:tc>
      </w:tr>
    </w:tbl>
    <w:p w14:paraId="3F3E6C90" w14:textId="77777777" w:rsidR="00985126" w:rsidRDefault="00985126" w:rsidP="00985126">
      <w:pPr>
        <w:jc w:val="center"/>
        <w:outlineLvl w:val="0"/>
        <w:rPr>
          <w:rFonts w:ascii="Times New Roman" w:hAnsi="Times New Roman"/>
          <w:b/>
          <w:sz w:val="20"/>
          <w:szCs w:val="18"/>
        </w:rPr>
      </w:pPr>
    </w:p>
    <w:p w14:paraId="58D7ACC6" w14:textId="77777777" w:rsidR="00985126" w:rsidRDefault="00985126" w:rsidP="00985126">
      <w:pPr>
        <w:outlineLvl w:val="0"/>
        <w:rPr>
          <w:rFonts w:ascii="Times New Roman" w:hAnsi="Times New Roman"/>
          <w:b/>
          <w:sz w:val="20"/>
          <w:szCs w:val="18"/>
        </w:rPr>
      </w:pPr>
    </w:p>
    <w:p w14:paraId="650C0750" w14:textId="77777777" w:rsidR="00985126" w:rsidRPr="00C83BE5" w:rsidRDefault="00985126" w:rsidP="00985126">
      <w:pPr>
        <w:pStyle w:val="Keywords"/>
        <w:ind w:left="0" w:right="-72"/>
        <w:jc w:val="center"/>
        <w:rPr>
          <w:rFonts w:cs="Times New Roman"/>
          <w:lang w:val="en-GB"/>
        </w:rPr>
      </w:pPr>
      <w:r w:rsidRPr="00A72277">
        <w:rPr>
          <w:rFonts w:cs="Times New Roman"/>
          <w:noProof/>
        </w:rPr>
        <w:drawing>
          <wp:inline distT="0" distB="0" distL="0" distR="0" wp14:anchorId="46C7CFEA" wp14:editId="7A8019DF">
            <wp:extent cx="3339465" cy="24351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31000"/>
                              </a14:imgEffect>
                            </a14:imgLayer>
                          </a14:imgProps>
                        </a:ext>
                        <a:ext uri="{28A0092B-C50C-407E-A947-70E740481C1C}">
                          <a14:useLocalDpi xmlns:a14="http://schemas.microsoft.com/office/drawing/2010/main" val="0"/>
                        </a:ext>
                      </a:extLst>
                    </a:blip>
                    <a:srcRect/>
                    <a:stretch>
                      <a:fillRect/>
                    </a:stretch>
                  </pic:blipFill>
                  <pic:spPr bwMode="auto">
                    <a:xfrm>
                      <a:off x="0" y="0"/>
                      <a:ext cx="3351034" cy="2443603"/>
                    </a:xfrm>
                    <a:prstGeom prst="rect">
                      <a:avLst/>
                    </a:prstGeom>
                    <a:noFill/>
                  </pic:spPr>
                </pic:pic>
              </a:graphicData>
            </a:graphic>
          </wp:inline>
        </w:drawing>
      </w:r>
    </w:p>
    <w:p w14:paraId="2CA12988" w14:textId="3DC3037A" w:rsidR="009846D2" w:rsidRPr="009846D2" w:rsidRDefault="00985126" w:rsidP="009846D2">
      <w:pPr>
        <w:pStyle w:val="Keywords"/>
        <w:spacing w:after="0"/>
        <w:ind w:left="0"/>
        <w:jc w:val="center"/>
        <w:rPr>
          <w:rFonts w:cs="Times New Roman"/>
          <w:b w:val="0"/>
          <w:bCs/>
          <w:color w:val="000000"/>
          <w:lang w:val="en-GB"/>
        </w:rPr>
        <w:sectPr w:rsidR="009846D2" w:rsidRPr="009846D2" w:rsidSect="00AC6EB5">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0"/>
          <w:cols w:space="708"/>
          <w:docGrid w:linePitch="360"/>
        </w:sectPr>
      </w:pPr>
      <w:r w:rsidRPr="00A72277">
        <w:rPr>
          <w:rFonts w:cs="Times New Roman"/>
          <w:b w:val="0"/>
          <w:bCs/>
          <w:lang w:val="en-GB"/>
        </w:rPr>
        <w:t xml:space="preserve">Figure </w:t>
      </w:r>
      <w:r>
        <w:rPr>
          <w:rFonts w:cs="Times New Roman"/>
          <w:b w:val="0"/>
          <w:bCs/>
          <w:lang w:val="en-GB"/>
        </w:rPr>
        <w:t>3</w:t>
      </w:r>
      <w:r w:rsidRPr="00A72277">
        <w:rPr>
          <w:rFonts w:cs="Times New Roman"/>
          <w:b w:val="0"/>
          <w:bCs/>
          <w:lang w:val="en-GB"/>
        </w:rPr>
        <w:t>.</w:t>
      </w:r>
      <w:r>
        <w:rPr>
          <w:rFonts w:cs="Times New Roman"/>
          <w:b w:val="0"/>
          <w:bCs/>
          <w:lang w:val="en-GB"/>
        </w:rPr>
        <w:t xml:space="preserve">  </w:t>
      </w:r>
      <w:r w:rsidRPr="00A72277">
        <w:rPr>
          <w:rFonts w:cs="Times New Roman"/>
          <w:b w:val="0"/>
          <w:bCs/>
          <w:color w:val="000000"/>
          <w:lang w:val="en-GB"/>
        </w:rPr>
        <w:t xml:space="preserve">Molecular structures of main phytochemicals compounds in each </w:t>
      </w:r>
      <w:r w:rsidRPr="00A72277">
        <w:rPr>
          <w:rFonts w:cs="Times New Roman"/>
          <w:b w:val="0"/>
          <w:bCs/>
          <w:i/>
          <w:iCs/>
          <w:color w:val="000000"/>
          <w:lang w:val="en-GB"/>
        </w:rPr>
        <w:t>F. deltoidea</w:t>
      </w:r>
      <w:r w:rsidRPr="00A72277">
        <w:rPr>
          <w:rFonts w:cs="Times New Roman"/>
          <w:b w:val="0"/>
          <w:bCs/>
          <w:color w:val="000000"/>
          <w:lang w:val="en-GB"/>
        </w:rPr>
        <w:t xml:space="preserve"> organs</w:t>
      </w:r>
    </w:p>
    <w:p w14:paraId="14E5FD76" w14:textId="033F40AF" w:rsidR="00985126" w:rsidRDefault="00985126" w:rsidP="00985126">
      <w:pPr>
        <w:outlineLvl w:val="0"/>
        <w:rPr>
          <w:rFonts w:ascii="Times New Roman" w:hAnsi="Times New Roman"/>
          <w:b/>
          <w:sz w:val="20"/>
          <w:szCs w:val="18"/>
        </w:rPr>
      </w:pPr>
    </w:p>
    <w:p w14:paraId="56395B74" w14:textId="77777777" w:rsidR="00985126" w:rsidRPr="00C83BE5" w:rsidRDefault="00985126" w:rsidP="00985126">
      <w:pPr>
        <w:pStyle w:val="Keywords"/>
        <w:spacing w:line="276" w:lineRule="auto"/>
        <w:ind w:left="0"/>
        <w:jc w:val="center"/>
        <w:rPr>
          <w:rFonts w:cs="Times New Roman"/>
          <w:b w:val="0"/>
          <w:bCs/>
          <w:color w:val="000000"/>
          <w:lang w:val="en-GB"/>
        </w:rPr>
      </w:pPr>
      <w:r w:rsidRPr="00A72277">
        <w:rPr>
          <w:rFonts w:cs="Times New Roman"/>
          <w:b w:val="0"/>
          <w:bCs/>
          <w:noProof/>
          <w:color w:val="000000"/>
        </w:rPr>
        <w:drawing>
          <wp:inline distT="0" distB="0" distL="0" distR="0" wp14:anchorId="1F6D865C" wp14:editId="47C8451F">
            <wp:extent cx="3295650" cy="39475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3303655" cy="3957117"/>
                    </a:xfrm>
                    <a:prstGeom prst="rect">
                      <a:avLst/>
                    </a:prstGeom>
                    <a:noFill/>
                    <a:ln>
                      <a:noFill/>
                    </a:ln>
                  </pic:spPr>
                </pic:pic>
              </a:graphicData>
            </a:graphic>
          </wp:inline>
        </w:drawing>
      </w:r>
    </w:p>
    <w:p w14:paraId="717644D5" w14:textId="77777777" w:rsidR="00985126" w:rsidRPr="00A72277" w:rsidRDefault="00985126" w:rsidP="00985126">
      <w:pPr>
        <w:pStyle w:val="Keywords"/>
        <w:spacing w:after="0"/>
        <w:ind w:left="851" w:hanging="851"/>
        <w:jc w:val="both"/>
        <w:rPr>
          <w:rFonts w:cs="Times New Roman"/>
          <w:b w:val="0"/>
          <w:bCs/>
          <w:lang w:val="en-GB"/>
        </w:rPr>
      </w:pPr>
      <w:r w:rsidRPr="00A72277">
        <w:rPr>
          <w:rFonts w:cs="Times New Roman"/>
          <w:b w:val="0"/>
          <w:bCs/>
          <w:lang w:val="en-GB"/>
        </w:rPr>
        <w:t xml:space="preserve">Figure </w:t>
      </w:r>
      <w:r>
        <w:rPr>
          <w:rFonts w:cs="Times New Roman"/>
          <w:b w:val="0"/>
          <w:bCs/>
          <w:lang w:val="en-GB"/>
        </w:rPr>
        <w:t>4</w:t>
      </w:r>
      <w:r w:rsidRPr="00A72277">
        <w:rPr>
          <w:rFonts w:cs="Times New Roman"/>
          <w:b w:val="0"/>
          <w:bCs/>
          <w:lang w:val="en-GB"/>
        </w:rPr>
        <w:t>.</w:t>
      </w:r>
      <w:r>
        <w:rPr>
          <w:rFonts w:cs="Times New Roman"/>
          <w:b w:val="0"/>
          <w:bCs/>
          <w:lang w:val="en-GB"/>
        </w:rPr>
        <w:t xml:space="preserve"> </w:t>
      </w:r>
      <w:r>
        <w:rPr>
          <w:rFonts w:cs="Times New Roman"/>
          <w:b w:val="0"/>
          <w:bCs/>
          <w:lang w:val="en-GB"/>
        </w:rPr>
        <w:tab/>
      </w:r>
      <w:r w:rsidRPr="00A72277">
        <w:rPr>
          <w:rFonts w:cs="Times New Roman"/>
          <w:b w:val="0"/>
          <w:bCs/>
          <w:lang w:val="en-GB"/>
        </w:rPr>
        <w:t xml:space="preserve">HPLC chromatograms of </w:t>
      </w:r>
      <w:r>
        <w:rPr>
          <w:rFonts w:cs="Times New Roman"/>
          <w:b w:val="0"/>
          <w:bCs/>
          <w:lang w:val="en-GB"/>
        </w:rPr>
        <w:t>v</w:t>
      </w:r>
      <w:r w:rsidRPr="00A72277">
        <w:rPr>
          <w:rFonts w:cs="Times New Roman"/>
          <w:b w:val="0"/>
          <w:bCs/>
          <w:lang w:val="en-GB"/>
        </w:rPr>
        <w:t xml:space="preserve">itexin and </w:t>
      </w:r>
      <w:r>
        <w:rPr>
          <w:rFonts w:cs="Times New Roman"/>
          <w:b w:val="0"/>
          <w:bCs/>
          <w:lang w:val="en-GB"/>
        </w:rPr>
        <w:t>i</w:t>
      </w:r>
      <w:r w:rsidRPr="00A72277">
        <w:rPr>
          <w:rFonts w:cs="Times New Roman"/>
          <w:b w:val="0"/>
          <w:bCs/>
          <w:lang w:val="en-GB"/>
        </w:rPr>
        <w:t>sovitexin in (a) mixed standards, (b) leaf, (c) stem, (d) fig and (e) root</w:t>
      </w:r>
    </w:p>
    <w:p w14:paraId="613B9B75" w14:textId="77777777" w:rsidR="00985126" w:rsidRPr="00A72277" w:rsidRDefault="00985126" w:rsidP="00985126">
      <w:pPr>
        <w:rPr>
          <w:rFonts w:ascii="Times New Roman" w:hAnsi="Times New Roman"/>
          <w:szCs w:val="20"/>
        </w:rPr>
      </w:pPr>
    </w:p>
    <w:p w14:paraId="1FF68624" w14:textId="3ADA3AE8" w:rsidR="00985126" w:rsidRDefault="00985126" w:rsidP="00985126">
      <w:pPr>
        <w:spacing w:after="120"/>
        <w:jc w:val="center"/>
        <w:rPr>
          <w:rFonts w:ascii="Times New Roman" w:hAnsi="Times New Roman"/>
          <w:noProof/>
          <w:lang w:bidi="ar-SA"/>
        </w:rPr>
      </w:pPr>
      <w:r w:rsidRPr="00342040">
        <w:rPr>
          <w:rFonts w:ascii="Times New Roman" w:hAnsi="Times New Roman"/>
          <w:b/>
          <w:bCs/>
          <w:noProof/>
          <w:sz w:val="20"/>
          <w:szCs w:val="18"/>
        </w:rPr>
        <w:drawing>
          <wp:inline distT="0" distB="0" distL="0" distR="0" wp14:anchorId="61C6D282" wp14:editId="2386AE94">
            <wp:extent cx="5335091" cy="1924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5419097" cy="1954634"/>
                    </a:xfrm>
                    <a:prstGeom prst="rect">
                      <a:avLst/>
                    </a:prstGeom>
                    <a:noFill/>
                    <a:ln>
                      <a:noFill/>
                    </a:ln>
                  </pic:spPr>
                </pic:pic>
              </a:graphicData>
            </a:graphic>
          </wp:inline>
        </w:drawing>
      </w:r>
    </w:p>
    <w:p w14:paraId="6112ADB9" w14:textId="10964D2E" w:rsidR="00985126" w:rsidRDefault="00985126" w:rsidP="00985126">
      <w:pPr>
        <w:spacing w:after="0"/>
        <w:jc w:val="center"/>
        <w:rPr>
          <w:rFonts w:ascii="Times New Roman" w:hAnsi="Times New Roman"/>
          <w:bCs/>
          <w:i/>
          <w:iCs/>
          <w:sz w:val="20"/>
          <w:szCs w:val="18"/>
          <w:lang w:val="en-GB"/>
        </w:rPr>
      </w:pPr>
      <w:r w:rsidRPr="00342040">
        <w:rPr>
          <w:rFonts w:ascii="Times New Roman" w:hAnsi="Times New Roman"/>
          <w:bCs/>
          <w:sz w:val="20"/>
          <w:szCs w:val="18"/>
          <w:lang w:val="en-GB"/>
        </w:rPr>
        <w:t xml:space="preserve">Figure 5. </w:t>
      </w:r>
      <w:r>
        <w:rPr>
          <w:rFonts w:ascii="Times New Roman" w:hAnsi="Times New Roman"/>
          <w:bCs/>
          <w:sz w:val="20"/>
          <w:szCs w:val="18"/>
          <w:lang w:val="en-GB"/>
        </w:rPr>
        <w:t xml:space="preserve"> </w:t>
      </w:r>
      <w:r w:rsidRPr="00342040">
        <w:rPr>
          <w:rFonts w:ascii="Times New Roman" w:hAnsi="Times New Roman"/>
          <w:bCs/>
          <w:sz w:val="20"/>
          <w:szCs w:val="18"/>
          <w:lang w:val="en-GB"/>
        </w:rPr>
        <w:t xml:space="preserve">TPC and TFC values of different plant organs of </w:t>
      </w:r>
      <w:r w:rsidRPr="00342040">
        <w:rPr>
          <w:rFonts w:ascii="Times New Roman" w:hAnsi="Times New Roman"/>
          <w:bCs/>
          <w:i/>
          <w:iCs/>
          <w:sz w:val="20"/>
          <w:szCs w:val="18"/>
          <w:lang w:val="en-GB"/>
        </w:rPr>
        <w:t>F. deltoidea</w:t>
      </w:r>
    </w:p>
    <w:p w14:paraId="35B5B8B3" w14:textId="177B712A" w:rsidR="00985126" w:rsidRDefault="00985126" w:rsidP="00985126">
      <w:pPr>
        <w:spacing w:after="0"/>
        <w:jc w:val="both"/>
        <w:rPr>
          <w:rFonts w:ascii="Times New Roman" w:hAnsi="Times New Roman"/>
          <w:bCs/>
          <w:sz w:val="20"/>
          <w:szCs w:val="18"/>
          <w:lang w:val="en-GB"/>
        </w:rPr>
      </w:pPr>
    </w:p>
    <w:p w14:paraId="339A5017" w14:textId="77777777" w:rsidR="005B5988" w:rsidRDefault="005B5988" w:rsidP="004A0B99">
      <w:pPr>
        <w:pStyle w:val="Keywords"/>
        <w:spacing w:after="0" w:line="276" w:lineRule="auto"/>
        <w:ind w:left="0" w:right="72"/>
        <w:jc w:val="both"/>
        <w:rPr>
          <w:rFonts w:cs="Times New Roman"/>
          <w:b w:val="0"/>
          <w:bCs/>
          <w:lang w:val="en-GB"/>
        </w:rPr>
      </w:pPr>
    </w:p>
    <w:p w14:paraId="46AC039F" w14:textId="77777777" w:rsidR="005B5988" w:rsidRDefault="005B5988" w:rsidP="004A0B99">
      <w:pPr>
        <w:pStyle w:val="Keywords"/>
        <w:spacing w:after="0" w:line="276" w:lineRule="auto"/>
        <w:ind w:left="0" w:right="72"/>
        <w:jc w:val="both"/>
        <w:rPr>
          <w:rFonts w:cs="Times New Roman"/>
          <w:b w:val="0"/>
          <w:bCs/>
          <w:lang w:val="en-GB"/>
        </w:rPr>
      </w:pPr>
    </w:p>
    <w:p w14:paraId="54142B08" w14:textId="7D692B38" w:rsidR="009846D2" w:rsidRDefault="009846D2" w:rsidP="004A0B99">
      <w:pPr>
        <w:pStyle w:val="Keywords"/>
        <w:spacing w:after="0" w:line="276" w:lineRule="auto"/>
        <w:ind w:left="0" w:right="72"/>
        <w:jc w:val="both"/>
        <w:rPr>
          <w:rFonts w:cs="Times New Roman"/>
          <w:b w:val="0"/>
          <w:bCs/>
          <w:lang w:val="en-GB"/>
        </w:rPr>
        <w:sectPr w:rsidR="009846D2" w:rsidSect="009846D2">
          <w:headerReference w:type="even" r:id="rId38"/>
          <w:headerReference w:type="default" r:id="rId39"/>
          <w:footerReference w:type="default" r:id="rId40"/>
          <w:headerReference w:type="first" r:id="rId41"/>
          <w:type w:val="oddPage"/>
          <w:pgSz w:w="12240" w:h="15840" w:code="1"/>
          <w:pgMar w:top="1800" w:right="1469" w:bottom="1699" w:left="1440" w:header="706" w:footer="706" w:gutter="0"/>
          <w:pgNumType w:start="0"/>
          <w:cols w:space="708"/>
          <w:docGrid w:linePitch="360"/>
        </w:sectPr>
      </w:pPr>
    </w:p>
    <w:p w14:paraId="2E0EEA32" w14:textId="0213FE6C"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lastRenderedPageBreak/>
        <w:t>In this study, different organs of the plant extract were used in the biosynthesis of AgNP. As shown in Figure 6(a), the formation of AgNP was conducted by monitoring the LSPR peak in the range of 350 to 750 nm. The FTIR spectra of the plant biomass and the biosynthesised AgNP using each plant organ can be seen in Figure 6(b and c).</w:t>
      </w:r>
    </w:p>
    <w:p w14:paraId="0D3B5450" w14:textId="77777777" w:rsidR="004A0B99" w:rsidRDefault="004A0B99" w:rsidP="004A0B99">
      <w:pPr>
        <w:pStyle w:val="Keywords"/>
        <w:spacing w:after="0" w:line="276" w:lineRule="auto"/>
        <w:ind w:left="0" w:right="72"/>
        <w:jc w:val="both"/>
        <w:rPr>
          <w:rFonts w:cs="Times New Roman"/>
          <w:b w:val="0"/>
          <w:bCs/>
          <w:lang w:val="en-GB"/>
        </w:rPr>
      </w:pPr>
    </w:p>
    <w:p w14:paraId="381E33DD"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In Figure 6(a), the LSPR absorbance peak of the biosynthesised AgNP using </w:t>
      </w:r>
      <w:r w:rsidRPr="00342040">
        <w:rPr>
          <w:rFonts w:cs="Times New Roman"/>
          <w:b w:val="0"/>
          <w:bCs/>
          <w:i/>
          <w:iCs/>
          <w:lang w:val="en-GB"/>
        </w:rPr>
        <w:t>F. deltoidea</w:t>
      </w:r>
      <w:r w:rsidRPr="00342040">
        <w:rPr>
          <w:rFonts w:cs="Times New Roman"/>
          <w:b w:val="0"/>
          <w:bCs/>
          <w:lang w:val="en-GB"/>
        </w:rPr>
        <w:t xml:space="preserve"> was observed in the visible region between 409 and 428 nm. Based on the LCMS result, the stem had the highest number of phytochemical compounds while fig recorded the lowest percentages; however, the TPC, TFC and capability to form AgNP according to LSPR peak did not follow this trend. This means that the </w:t>
      </w:r>
      <w:r w:rsidRPr="00342040">
        <w:rPr>
          <w:rFonts w:cs="Times New Roman"/>
          <w:b w:val="0"/>
        </w:rPr>
        <w:t xml:space="preserve">phenolics, flavonoids and polyphenol compound greatly influenced the ability to synthesis AgNP compared to the number of phytochemical compounds in the plant organ. </w:t>
      </w:r>
      <w:r w:rsidRPr="00342040">
        <w:rPr>
          <w:rFonts w:cs="Times New Roman"/>
          <w:b w:val="0"/>
          <w:bCs/>
          <w:lang w:val="en-GB"/>
        </w:rPr>
        <w:t xml:space="preserve">According to Beer-Lambert’s Law, it can be deduced that the formation of AgNP was highest when using the fig organ. This aligns with the works of Lavola </w:t>
      </w:r>
      <w:r w:rsidRPr="00342040">
        <w:rPr>
          <w:rFonts w:cs="Times New Roman"/>
          <w:b w:val="0"/>
          <w:iCs/>
          <w:lang w:val="en-GB"/>
        </w:rPr>
        <w:t xml:space="preserve">et al. </w:t>
      </w:r>
      <w:r w:rsidRPr="00342040">
        <w:rPr>
          <w:rFonts w:cs="Times New Roman"/>
          <w:bCs/>
          <w:lang w:val="en-GB"/>
        </w:rPr>
        <w:fldChar w:fldCharType="begin" w:fldLock="1"/>
      </w:r>
      <w:r w:rsidRPr="00342040">
        <w:rPr>
          <w:rFonts w:cs="Times New Roman"/>
          <w:b w:val="0"/>
          <w:bCs/>
          <w:lang w:val="en-GB"/>
        </w:rPr>
        <w:instrText>ADDIN CSL_CITATION {"citationItems":[{"id":"ITEM-1","itemData":{"DOI":"10.1016/j.phytol.2017.05.016","ISSN":"18767486","abstract":"The phytochemical content in plants can develop variably according to e.g. the microclimate and the soil conditions of the habitat. The evergreen dwarf shrub species Empetrum sp. occur widely in the northern hemisphere, where it is suggested to have its ecological contribution to the growth environment by a chemical interference with high constitutive levels of phenolic metabolites. We determined by HPLC and UHPLC-qtof-MS the individual phenolic compounds of fruits, leaves, stems and roots in Empetrum hermaphroditum plants growing on three different lake districts and under differing microclimate and soil conditions in order to find out natural, habitat related differences in the accumulation of phenols among the populations. The phytochemical content in E. hermaphroditum turned out to be diverse, plant-part specific and to vary a lot among the populations. Anthocyanins and flavanols were the most abundant phenolic compounds of fruits. Of the thirty eight compounds identified in leaves, stilbenoids were quantitatively in the majority but also a flavanone, pinocembrin was found in high quantities in some populations. Stems and roots contained mainly catechins, procyanidins and proanthocyanidins. Despite of the plant-part and habitat specific variation, some groupings of populations could be formed according to their phenolic constituents by PCA.","author":[{"dropping-particle":"","family":"Lavola","given":"Anu","non-dropping-particle":"","parse-names":false,"suffix":""},{"dropping-particle":"","family":"Salonen","given":"Anneli","non-dropping-particle":"","parse-names":false,"suffix":""},{"dropping-particle":"","family":"Virjamo","given":"Virpi","non-dropping-particle":"","parse-names":false,"suffix":""},{"dropping-particle":"","family":"Julkunen-Tiitto","given":"Riitta","non-dropping-particle":"","parse-names":false,"suffix":""}],"container-title":"Phytochemistry Letters","id":"ITEM-1","issue":"June 2018","issued":{"date-parts":[["2017"]]},"page":"11-20","publisher":"Elsevier","title":"Phytochemical Variation in the Plant-part Specific Phenols of Wild Crowberry (&lt;i&gt;Empetrum hermaphroditum&lt;/i&gt; Hagerup) Populations","type":"article-journal","volume":"21"},"uris":["http://www.mendeley.com/documents/?uuid=3e8d0352-3127-476b-aef5-65e5410baaee"]}],"mendeley":{"formattedCitation":"[5]","plainTextFormattedCitation":"[5]","previouslyFormattedCitation":"[5]"},"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[5]</w:t>
      </w:r>
      <w:r w:rsidRPr="00342040">
        <w:rPr>
          <w:rFonts w:cs="Times New Roman"/>
          <w:bCs/>
          <w:lang w:val="en-GB"/>
        </w:rPr>
        <w:fldChar w:fldCharType="end"/>
      </w:r>
      <w:r w:rsidRPr="00342040">
        <w:rPr>
          <w:rFonts w:cs="Times New Roman"/>
          <w:b w:val="0"/>
          <w:bCs/>
          <w:lang w:val="en-GB"/>
        </w:rPr>
        <w:t xml:space="preserve">, where they discovered that phenolic content in the fruit of </w:t>
      </w:r>
      <w:r w:rsidRPr="00342040">
        <w:rPr>
          <w:rFonts w:cs="Times New Roman"/>
          <w:b w:val="0"/>
          <w:bCs/>
          <w:i/>
          <w:iCs/>
          <w:lang w:val="en-GB"/>
        </w:rPr>
        <w:t xml:space="preserve">Empetrum hermaphroditum </w:t>
      </w:r>
      <w:r w:rsidRPr="00342040">
        <w:rPr>
          <w:rFonts w:cs="Times New Roman"/>
          <w:b w:val="0"/>
          <w:bCs/>
          <w:lang w:val="en-GB"/>
        </w:rPr>
        <w:t xml:space="preserve">was the highest compared to other organs. Nonetheless, the role of each organ in plant physiology could be attributed to the presence of different phenolics content </w:t>
      </w:r>
      <w:r w:rsidRPr="00342040">
        <w:rPr>
          <w:rFonts w:cs="Times New Roman"/>
          <w:bCs/>
          <w:lang w:val="en-GB"/>
        </w:rPr>
        <w:fldChar w:fldCharType="begin" w:fldLock="1"/>
      </w:r>
      <w:r w:rsidRPr="00342040">
        <w:rPr>
          <w:rFonts w:cs="Times New Roman"/>
          <w:b w:val="0"/>
          <w:bCs/>
          <w:lang w:val="en-GB"/>
        </w:rPr>
        <w:instrText>ADDIN CSL_CITATION {"citationItems":[{"id":"ITEM-1","itemData":{"DOI":"10.1177/1934578x1701200421","ISSN":"15559475","abstract":"Knautia arvensis (family Dipsacaceae) is usually found in grasslands of Europe, but can also be found in some parts of Africa and Asia, usually in dry meadows, pastures, dry hills, and open woods. The chemical composition of this species is relatively unknown. The aim of this study was to give a phenolic profile of this plant, and to show how its phenolic composition varies depending upon plant organ and geographic origin. The chemical analysis included quantification of free phenolics soluble in methanol, esters and glycosides, and phenolics that are insoluble in methanol. Fourteen different phenolic acids and eight flavonoids were quantified in total. According to this study, the chemical composition of individual plant parts can differ tremendously within one population, which does not have to be in correspondence with chemical variability between populations. As shown in this study, the variation in chemical composition between plant parts can exceed that between different populations (from different climates, altitudes, with different environmental factors), which implies that microhabitat conditions can greatly affect the composition of some plant parts, which was shown also after PCA and HCA analysis.","author":[{"dropping-particle":"","family":"Karalija","given":"Erna","non-dropping-particle":"","parse-names":false,"suffix":""},{"dropping-particle":"","family":"Muratović","given":"Edina","non-dropping-particle":"","parse-names":false,"suffix":""},{"dropping-particle":"","family":"Tarkowski","given":"Petr","non-dropping-particle":"","parse-names":false,"suffix":""},{"dropping-particle":"","family":"Zeljković","given":"Sanja Ćavar","non-dropping-particle":"","parse-names":false,"suffix":""}],"container-title":"Natural Product Communications","id":"ITEM-1","issue":"4","issued":{"date-parts":[["2017"]]},"page":"545-548","title":"Variation in Phenolic Composition of &lt;i&gt;Knautia arvensis&lt;/i&gt; in Correlation with Geographic Area and Plant Organ","type":"article-journal","volume":"12"},"uris":["http://www.mendeley.com/documents/?uuid=bba9eb4c-c1eb-4b28-91a0-f3d30b06f7d2"]}],"mendeley":{"formattedCitation":"[23]","plainTextFormattedCitation":"[23]","previouslyFormattedCitation":"[23]"},"properties":{"noteIndex":0},"schema":"https://github.com/citation-style-language/schema/raw/master/csl-citation.json"}</w:instrText>
      </w:r>
      <w:r w:rsidRPr="00342040">
        <w:rPr>
          <w:rFonts w:cs="Times New Roman"/>
          <w:bCs/>
          <w:lang w:val="en-GB"/>
        </w:rPr>
        <w:fldChar w:fldCharType="separate"/>
      </w:r>
      <w:r w:rsidRPr="00342040">
        <w:rPr>
          <w:rFonts w:cs="Times New Roman"/>
          <w:b w:val="0"/>
          <w:bCs/>
          <w:noProof/>
          <w:lang w:val="en-GB"/>
        </w:rPr>
        <w:t>[23]</w:t>
      </w:r>
      <w:r w:rsidRPr="00342040">
        <w:rPr>
          <w:rFonts w:cs="Times New Roman"/>
          <w:bCs/>
          <w:lang w:val="en-GB"/>
        </w:rPr>
        <w:fldChar w:fldCharType="end"/>
      </w:r>
      <w:r w:rsidRPr="00342040">
        <w:rPr>
          <w:rFonts w:cs="Times New Roman"/>
          <w:b w:val="0"/>
          <w:bCs/>
          <w:lang w:val="en-GB"/>
        </w:rPr>
        <w:t xml:space="preserve">. This also leads to different organ capabilities in the biosynthesis of AgNP. Moreover, the complexity and massive amounts of different phytochemicals in any plant extract is the major challenge in determining the exact phytochemical responsible for the biosynthesis of AgNP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{"citationItems":[{"id":"ITEM-1","itemData":{"DOI":"10.1080/24701556.2020.1735420","ISSN":"24701564","abstract":"Different plant extracts have been utilized for biological synthesis of metal nanoparticles. However, no published literature compares the antimicrobial potential of silver nanoparticles (AgNPs) derived from extracts of mature fruit juice (SLF-AgNPs) versus callus (SLC-AgNPs) tissue of same plant. These SLF- and SLC-AgNPs exhibited variable physical and biological properties. Distinct UV-Vis absorption peak (at 250 nm) for SLF-AgNPs indicated formation of small-sized monodisperse particles. Both SLF-AgNPs (5 to 35 nm) and SLC-AgNPs (3 to 270 nm) exhibited quasi-spherical shapes. The FT-IR spectra showed occurrence of shared peaks at 3335, 1647, and 1080 cm−1 while SLC specific peaks at 1065, 1042 and 1017 cm−1. The SLF-AgNPs possessed higher DPPH free radical scavenging potential. These nanoparticles also showed better antibacterial and antimycotic action epitomized as higher inhibition zone diameters compared to SLC-AgNPs. This work can be furthered to identify predominant mechanism for improved antimicrobial potential of the synthesized AgNPs.","author":[{"dropping-particle":"","family":"Kalia","given":"Anu","non-dropping-particle":"","parse-names":false,"suffix":""},{"dropping-particle":"","family":"Manchanda","given":"Pooja","non-dropping-particle":"","parse-names":false,"suffix":""},{"dropping-particle":"","family":"Bhardwaj","given":"Shiwani","non-dropping-particle":"","parse-names":false,"suffix":""},{"dropping-particle":"","family":"Singh","given":"Gurupkar","non-dropping-particle":"","parse-names":false,"suffix":""}],"container-title":"Inorganic and Nano-Metal Chemistry","id":"ITEM-1","issue":"11","issued":{"date-parts":[["2020"]]},"page":"1053-1062","publisher":"Taylor &amp; Francis","title":"Biosynthesized Silver Nanoparticles from Aqueous Extracts of Sweet Lime Fruit and Callus Tissues Possess Variable Antioxidant and Antimicrobial Potentials","type":"article-journal","volume":"50"},"uris":["http://www.mendeley.com/documents/?uuid=8335855a-1454-4bd2-93d5-b4d70cdb91ee"]}],"mendeley":{"formattedCitation":"[24]","manualFormatting":"[22","plainTextFormattedCitation":"[24]","previouslyFormattedCitation":"[24]"},"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[22</w:t>
      </w:r>
      <w:r w:rsidRPr="00342040">
        <w:rPr>
          <w:rFonts w:cs="Times New Roman"/>
          <w:b w:val="0"/>
          <w:bCs/>
          <w:lang w:val="en-GB"/>
        </w:rPr>
        <w:fldChar w:fldCharType="end"/>
      </w:r>
      <w:r w:rsidRPr="00342040">
        <w:rPr>
          <w:rFonts w:cs="Times New Roman"/>
          <w:b w:val="0"/>
          <w:bCs/>
          <w:lang w:val="en-GB"/>
        </w:rPr>
        <w:t xml:space="preserve">,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{"citationItems":[{"id":"ITEM-1","itemData":{"DOI":"10.1007/s00253-018-9146-7","ISSN":"14320614","abstract":"Metal-based nanoparticles have gained tremendous popularity because of their interesting physical, biological, optical, and magnetic properties. These nanoparticles can be synthesized using a variety of different physical, chemical, and biological techniques. The biological means are largely preferred as it provides an environmentally benign, green, and cost-effective route for the biosynthesis of nanoparticles. These bioresources can act as a scaffold, thereby playing the role of reducing as well as capping agents in the biosynthesis of nanoparticles. Medicinal plants tend to have a complex phytochemical constituent such as alcohols, phenols, terpenes, alkaloids, saponins, and proteins, while microbes have key enzymes which can act as reducing as well as stabilizing agent for NP synthesis. However, the mechanism of biosynthesis is still highly debatable. Herein, the present review is directed to give an updated comprehensive overview towards the mechanistic aspects in the biosynthesis of nanoparticles via plants and microbes. Various biosynthetic pathways of secondary metabolites in plants and key enzyme production in microbes have been discussed in detail, along with the underlying mechanisms for biogenic NP synthesis.","author":[{"dropping-particle":"","family":"Ovais","given":"Muhammad","non-dropping-particle":"","parse-names":false,"suffix":""},{"dropping-particle":"","family":"Khalil","given":"Ali Talha","non-dropping-particle":"","parse-names":false,"suffix":""},{"dropping-particle":"","family":"Islam","given":"Nazar Ul","non-dropping-particle":"","parse-names":false,"suffix":""},{"dropping-particle":"","family":"Ahmad","given":"Irshad","non-dropping-particle":"","parse-names":false,"suffix":""},{"dropping-particle":"","family":"Ayaz","given":"Muhamamd","non-dropping-particle":"","parse-names":false,"suffix":""},{"dropping-particle":"","family":"Saravanan","given":"Muthupandian","non-dropping-particle":"","parse-names":false,"suffix":""},{"dropping-particle":"","family":"Shinwari","given":"Zabta Khan","non-dropping-particle":"","parse-names":false,"suffix":""},{"dropping-particle":"","family":"Mukherjee","given":"Sudip","non-dropping-particle":"","parse-names":false,"suffix":""}],"container-title":"Applied Microbiology and Biotechnology","id":"ITEM-1","issue":"16","issued":{"date-parts":[["2018"]]},"page":"6799-6814","publisher":"Applied Microbiology and Biotechnology","title":"Role of Plant Phytochemicals and Microbial Enzymes in Biosynthesis of Metallic Nanoparticles","type":"article-journal","volume":"102"},"uris":["http://www.mendeley.com/documents/?uuid=e6205465-3260-4c05-ac09-85400acd247a"]}],"mendeley":{"formattedCitation":"[25]","manualFormatting":"23]","plainTextFormattedCitation":"[25]","previouslyFormattedCitation":"[25]"},"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23]</w:t>
      </w:r>
      <w:r w:rsidRPr="00342040">
        <w:rPr>
          <w:rFonts w:cs="Times New Roman"/>
          <w:b w:val="0"/>
          <w:bCs/>
          <w:lang w:val="en-GB"/>
        </w:rPr>
        <w:fldChar w:fldCharType="end"/>
      </w:r>
      <w:r w:rsidRPr="00342040">
        <w:rPr>
          <w:rFonts w:cs="Times New Roman"/>
          <w:b w:val="0"/>
          <w:bCs/>
          <w:lang w:val="en-GB"/>
        </w:rPr>
        <w:t xml:space="preserve">. Taking this into account, it is safe to suggest that the oligomeric cluster may comprise one or more phytochemicals that capped and stabilised the AgNP </w:t>
      </w:r>
      <w:r w:rsidRPr="00342040">
        <w:rPr>
          <w:rFonts w:cs="Times New Roman"/>
          <w:b w:val="0"/>
          <w:bCs/>
          <w:lang w:val="en-GB"/>
        </w:rPr>
        <w:fldChar w:fldCharType="begin" w:fldLock="1"/>
      </w:r>
      <w:r w:rsidRPr="00342040">
        <w:rPr>
          <w:rFonts w:cs="Times New Roman"/>
          <w:b w:val="0"/>
          <w:bCs/>
          <w:lang w:val="en-GB"/>
        </w:rPr>
        <w:instrText>ADDIN CSL_CITATION {"citationItems":[{"id":"ITEM-1","itemData":{"DOI":"10.1080/17458080.2015.1090021","ISSN":"1745-8080","author":[{"dropping-particle":"","family":"Borhamdin","given":"Suhaila","non-dropping-particle":"","parse-names":false,"suffix":""},{"dropping-particle":"","family":"Shamsuddin","given":"Mustaffa","non-dropping-particle":"","parse-names":false,"suffix":""},{"dropping-particle":"","family":"Alizadeh","given":"Abdolhamid","non-dropping-particle":"","parse-names":false,"suffix":""}],"container-title":"Journal of Experimental Nanoscience","id":"ITEM-1","issue":"7","issued":{"date-parts":[["2016"]]},"page":"518-530","publisher":"Taylor &amp; Francis","title":"Biostabilised Icosahedral Ggold Nanoparticles: Synthesis, Cyclic Voltammetric Studies and Ctalytic Activity towards 4-Nitrophenol Reduction","type":"article-journal","volume":"11"},"uris":["http://www.mendeley.com/documents/?uuid=00fea049-f8d0-476b-b396-d52d3ff673fc"]}],"mendeley":{"formattedCitation":"[26]","plainTextFormattedCitation":"[26]","previouslyFormattedCitation":"[26]"},"properties":{"noteIndex":0},"schema":"https://github.com/citation-style-language/schema/raw/master/csl-citation.json"}</w:instrText>
      </w:r>
      <w:r w:rsidRPr="00342040">
        <w:rPr>
          <w:rFonts w:cs="Times New Roman"/>
          <w:b w:val="0"/>
          <w:bCs/>
          <w:lang w:val="en-GB"/>
        </w:rPr>
        <w:fldChar w:fldCharType="separate"/>
      </w:r>
      <w:r w:rsidRPr="00342040">
        <w:rPr>
          <w:rFonts w:cs="Times New Roman"/>
          <w:b w:val="0"/>
          <w:bCs/>
          <w:noProof/>
          <w:lang w:val="en-GB"/>
        </w:rPr>
        <w:t>[26]</w:t>
      </w:r>
      <w:r w:rsidRPr="00342040">
        <w:rPr>
          <w:rFonts w:cs="Times New Roman"/>
          <w:b w:val="0"/>
          <w:bCs/>
          <w:lang w:val="en-GB"/>
        </w:rPr>
        <w:fldChar w:fldCharType="end"/>
      </w:r>
      <w:r w:rsidRPr="00342040">
        <w:rPr>
          <w:rFonts w:cs="Times New Roman"/>
          <w:b w:val="0"/>
          <w:bCs/>
          <w:lang w:val="en-GB"/>
        </w:rPr>
        <w:t xml:space="preserve">. </w:t>
      </w:r>
    </w:p>
    <w:p w14:paraId="36D1F636"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In the FTIR spectra of </w:t>
      </w:r>
      <w:r w:rsidRPr="00342040">
        <w:rPr>
          <w:rFonts w:cs="Times New Roman"/>
          <w:b w:val="0"/>
          <w:bCs/>
          <w:i/>
          <w:iCs/>
          <w:lang w:val="en-GB"/>
        </w:rPr>
        <w:t>F. deltoidea</w:t>
      </w:r>
      <w:r w:rsidRPr="00342040">
        <w:rPr>
          <w:rFonts w:cs="Times New Roman"/>
          <w:b w:val="0"/>
          <w:bCs/>
          <w:lang w:val="en-GB"/>
        </w:rPr>
        <w:t xml:space="preserve"> plant extract, the peak at 3430 cm</w:t>
      </w:r>
      <w:r w:rsidRPr="00342040">
        <w:rPr>
          <w:rFonts w:cs="Times New Roman"/>
          <w:b w:val="0"/>
          <w:bCs/>
          <w:vertAlign w:val="superscript"/>
          <w:lang w:val="en-GB"/>
        </w:rPr>
        <w:t xml:space="preserve">-1 </w:t>
      </w:r>
      <w:r w:rsidRPr="00342040">
        <w:rPr>
          <w:rFonts w:cs="Times New Roman"/>
          <w:b w:val="0"/>
          <w:bCs/>
          <w:lang w:val="en-GB"/>
        </w:rPr>
        <w:t>revealed stretching of the amide (N–H) bond and hydroxyl (–OH) groups. From the IR spectra, the absorption peak at 2920 cm</w:t>
      </w:r>
      <w:r w:rsidRPr="00342040">
        <w:rPr>
          <w:rFonts w:cs="Times New Roman"/>
          <w:b w:val="0"/>
          <w:bCs/>
          <w:vertAlign w:val="superscript"/>
          <w:lang w:val="en-GB"/>
        </w:rPr>
        <w:t>-1</w:t>
      </w:r>
      <w:r w:rsidRPr="00342040">
        <w:rPr>
          <w:rFonts w:cs="Times New Roman"/>
          <w:b w:val="0"/>
          <w:bCs/>
          <w:lang w:val="en-GB"/>
        </w:rPr>
        <w:t xml:space="preserve"> could be attributed to –CH</w:t>
      </w:r>
      <w:r w:rsidRPr="00342040">
        <w:rPr>
          <w:rFonts w:cs="Times New Roman"/>
          <w:b w:val="0"/>
          <w:bCs/>
          <w:vertAlign w:val="subscript"/>
          <w:lang w:val="en-GB"/>
        </w:rPr>
        <w:t>3</w:t>
      </w:r>
      <w:r w:rsidRPr="00342040">
        <w:rPr>
          <w:rFonts w:cs="Times New Roman"/>
          <w:b w:val="0"/>
          <w:bCs/>
          <w:lang w:val="en-GB"/>
        </w:rPr>
        <w:t xml:space="preserve"> and –CH</w:t>
      </w:r>
      <w:r w:rsidRPr="00342040">
        <w:rPr>
          <w:rFonts w:cs="Times New Roman"/>
          <w:b w:val="0"/>
          <w:bCs/>
          <w:vertAlign w:val="subscript"/>
          <w:lang w:val="en-GB"/>
        </w:rPr>
        <w:t>2</w:t>
      </w:r>
      <w:r w:rsidRPr="00342040">
        <w:rPr>
          <w:rFonts w:cs="Times New Roman"/>
          <w:b w:val="0"/>
          <w:bCs/>
          <w:lang w:val="en-GB"/>
        </w:rPr>
        <w:t xml:space="preserve"> stretching vibrations. C-H stretching from the alkane group causes the absorption peak at 2830 cm</w:t>
      </w:r>
      <w:r w:rsidRPr="00342040">
        <w:rPr>
          <w:rFonts w:cs="Times New Roman"/>
          <w:b w:val="0"/>
          <w:bCs/>
          <w:vertAlign w:val="superscript"/>
          <w:lang w:val="en-GB"/>
        </w:rPr>
        <w:t>-1</w:t>
      </w:r>
      <w:r w:rsidRPr="00342040">
        <w:rPr>
          <w:rFonts w:cs="Times New Roman"/>
          <w:b w:val="0"/>
          <w:bCs/>
          <w:lang w:val="en-GB"/>
        </w:rPr>
        <w:t>. The C=O stretching had a peak at 1735 cm</w:t>
      </w:r>
      <w:r w:rsidRPr="00342040">
        <w:rPr>
          <w:rFonts w:cs="Times New Roman"/>
          <w:b w:val="0"/>
          <w:bCs/>
          <w:vertAlign w:val="superscript"/>
          <w:lang w:val="en-GB"/>
        </w:rPr>
        <w:t>-1</w:t>
      </w:r>
      <w:r w:rsidRPr="00342040">
        <w:rPr>
          <w:rFonts w:cs="Times New Roman"/>
          <w:b w:val="0"/>
          <w:bCs/>
          <w:lang w:val="en-GB"/>
        </w:rPr>
        <w:t>, whereas C=C stretching had a peak at 1620 cm</w:t>
      </w:r>
      <w:r w:rsidRPr="00342040">
        <w:rPr>
          <w:rFonts w:cs="Times New Roman"/>
          <w:b w:val="0"/>
          <w:bCs/>
          <w:vertAlign w:val="superscript"/>
          <w:lang w:val="en-GB"/>
        </w:rPr>
        <w:t>-1</w:t>
      </w:r>
      <w:r w:rsidRPr="00342040">
        <w:rPr>
          <w:rFonts w:cs="Times New Roman"/>
          <w:b w:val="0"/>
          <w:bCs/>
          <w:lang w:val="en-GB"/>
        </w:rPr>
        <w:t>. The O-H bending from the carboxylic acid functional group is represented by the peak at 1430 cm</w:t>
      </w:r>
      <w:r w:rsidRPr="00342040">
        <w:rPr>
          <w:rFonts w:cs="Times New Roman"/>
          <w:b w:val="0"/>
          <w:bCs/>
          <w:vertAlign w:val="superscript"/>
          <w:lang w:val="en-GB"/>
        </w:rPr>
        <w:t>-1</w:t>
      </w:r>
      <w:r w:rsidRPr="00342040">
        <w:rPr>
          <w:rFonts w:cs="Times New Roman"/>
          <w:b w:val="0"/>
          <w:bCs/>
          <w:lang w:val="en-GB"/>
        </w:rPr>
        <w:t>. All of these functional groups corroborated the phytochemical</w:t>
      </w:r>
      <w:r>
        <w:rPr>
          <w:rFonts w:cs="Times New Roman"/>
          <w:b w:val="0"/>
          <w:bCs/>
          <w:lang w:val="en-GB"/>
        </w:rPr>
        <w:t xml:space="preserve"> </w:t>
      </w:r>
      <w:r w:rsidRPr="00342040">
        <w:rPr>
          <w:rFonts w:cs="Times New Roman"/>
          <w:b w:val="0"/>
          <w:bCs/>
          <w:lang w:val="en-GB"/>
        </w:rPr>
        <w:t xml:space="preserve">compounds identified by LCMS. The same stretching and vibration bands were observed in the biosynthesised AgNP, indicating the presence of phytochemical compounds from </w:t>
      </w:r>
      <w:r w:rsidRPr="00342040">
        <w:rPr>
          <w:rFonts w:cs="Times New Roman"/>
          <w:b w:val="0"/>
          <w:bCs/>
          <w:i/>
          <w:iCs/>
          <w:lang w:val="en-GB"/>
        </w:rPr>
        <w:t>F. deltoidea</w:t>
      </w:r>
      <w:r w:rsidRPr="00342040">
        <w:rPr>
          <w:rFonts w:cs="Times New Roman"/>
          <w:b w:val="0"/>
          <w:bCs/>
          <w:lang w:val="en-GB"/>
        </w:rPr>
        <w:t xml:space="preserve"> in the AgNP samples, which acted as a capping and stabilising agent in Figure 6(b and c).</w:t>
      </w:r>
    </w:p>
    <w:p w14:paraId="2FDF4079" w14:textId="77777777" w:rsidR="004A0B99" w:rsidRDefault="004A0B99" w:rsidP="004A0B99">
      <w:pPr>
        <w:pStyle w:val="Keywords"/>
        <w:spacing w:after="0" w:line="276" w:lineRule="auto"/>
        <w:ind w:left="0" w:right="72"/>
        <w:jc w:val="both"/>
        <w:rPr>
          <w:rFonts w:cs="Times New Roman"/>
          <w:b w:val="0"/>
          <w:bCs/>
          <w:lang w:val="en-GB"/>
        </w:rPr>
      </w:pPr>
    </w:p>
    <w:p w14:paraId="22B9270B" w14:textId="77777777" w:rsidR="004A0B99" w:rsidRDefault="004A0B99" w:rsidP="004A0B99">
      <w:pPr>
        <w:pStyle w:val="Keywords"/>
        <w:spacing w:after="0" w:line="276" w:lineRule="auto"/>
        <w:ind w:left="0" w:right="72"/>
        <w:jc w:val="both"/>
        <w:rPr>
          <w:rFonts w:cs="Times New Roman"/>
          <w:b w:val="0"/>
          <w:bCs/>
          <w:lang w:val="en-GB"/>
        </w:rPr>
      </w:pPr>
      <w:r w:rsidRPr="00342040">
        <w:rPr>
          <w:rFonts w:cs="Times New Roman"/>
          <w:b w:val="0"/>
          <w:bCs/>
          <w:lang w:val="en-GB"/>
        </w:rPr>
        <w:t xml:space="preserve">From the plant analysis, </w:t>
      </w:r>
      <w:r w:rsidRPr="00342040">
        <w:rPr>
          <w:rFonts w:cs="Times New Roman"/>
          <w:b w:val="0"/>
          <w:bCs/>
          <w:i/>
          <w:iCs/>
          <w:lang w:val="en-GB"/>
        </w:rPr>
        <w:t>F. deltoidea</w:t>
      </w:r>
      <w:r w:rsidRPr="00342040">
        <w:rPr>
          <w:rFonts w:cs="Times New Roman"/>
          <w:b w:val="0"/>
          <w:bCs/>
          <w:lang w:val="en-GB"/>
        </w:rPr>
        <w:t xml:space="preserve"> can be interpreted as a herbal plant that is rich in phenolics, flavonoids and polyphenols compounds. Its organs (leaf, stem, fig and root) have unique functions and metabolisms that make the amount and variety of phytochemical compounds differ from one another. Hence, they have the ability and capability of synthesising AgNP. It can be expected that the AgNP produced has distinct characteristics. The high TPC and TFC values impacted the formation of AgNP tremendously. This was reflected by the fact that the plant organ (fig) that had the highest phenolics and flavonoids exhibited the highest LSPR peak. This composition contributed to the highest formation of biosynthesis AgNP by the fig organ. In this study, phytochemical compounds are not only used as a reducing agent but also proved to be the stabilising agent for AgNP.</w:t>
      </w:r>
    </w:p>
    <w:p w14:paraId="0407CB64" w14:textId="77777777" w:rsidR="004A0B99" w:rsidRDefault="004A0B99" w:rsidP="00985126">
      <w:pPr>
        <w:spacing w:after="0"/>
        <w:jc w:val="both"/>
        <w:rPr>
          <w:rFonts w:ascii="Times New Roman" w:hAnsi="Times New Roman"/>
          <w:bCs/>
          <w:sz w:val="20"/>
          <w:szCs w:val="18"/>
          <w:lang w:val="en-GB"/>
        </w:rPr>
        <w:sectPr w:rsidR="004A0B99" w:rsidSect="004A0B99">
          <w:headerReference w:type="even" r:id="rId42"/>
          <w:headerReference w:type="default" r:id="rId43"/>
          <w:footerReference w:type="even" r:id="rId44"/>
          <w:headerReference w:type="first" r:id="rId45"/>
          <w:type w:val="continuous"/>
          <w:pgSz w:w="12240" w:h="15840" w:code="1"/>
          <w:pgMar w:top="1800" w:right="1469" w:bottom="1699" w:left="1440" w:header="706" w:footer="706" w:gutter="0"/>
          <w:pgNumType w:start="0"/>
          <w:cols w:num="2" w:space="403"/>
          <w:docGrid w:linePitch="360"/>
        </w:sectPr>
      </w:pPr>
    </w:p>
    <w:p w14:paraId="574D836F" w14:textId="3A1265BD" w:rsidR="004A0B99" w:rsidRDefault="004A0B99" w:rsidP="00985126">
      <w:pPr>
        <w:spacing w:after="0"/>
        <w:jc w:val="both"/>
        <w:rPr>
          <w:rFonts w:ascii="Times New Roman" w:hAnsi="Times New Roman"/>
          <w:bCs/>
          <w:sz w:val="20"/>
          <w:szCs w:val="18"/>
          <w:lang w:val="en-GB"/>
        </w:rPr>
      </w:pPr>
    </w:p>
    <w:p w14:paraId="6ED5D627" w14:textId="040D0A5C" w:rsidR="004A0B99" w:rsidRDefault="004A0B99" w:rsidP="004A0B99">
      <w:pPr>
        <w:spacing w:after="120"/>
        <w:jc w:val="center"/>
        <w:rPr>
          <w:rFonts w:ascii="Times New Roman" w:hAnsi="Times New Roman"/>
          <w:bCs/>
          <w:sz w:val="20"/>
          <w:szCs w:val="18"/>
          <w:lang w:val="en-GB"/>
        </w:rPr>
      </w:pPr>
      <w:r w:rsidRPr="00A72277">
        <w:rPr>
          <w:rFonts w:ascii="Times New Roman" w:hAnsi="Times New Roman"/>
          <w:noProof/>
          <w:szCs w:val="20"/>
        </w:rPr>
        <w:lastRenderedPageBreak/>
        <w:drawing>
          <wp:inline distT="0" distB="0" distL="0" distR="0" wp14:anchorId="0246530F" wp14:editId="5EED21DE">
            <wp:extent cx="4111200" cy="2764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200" cy="2764800"/>
                    </a:xfrm>
                    <a:prstGeom prst="rect">
                      <a:avLst/>
                    </a:prstGeom>
                    <a:noFill/>
                    <a:ln>
                      <a:noFill/>
                    </a:ln>
                  </pic:spPr>
                </pic:pic>
              </a:graphicData>
            </a:graphic>
          </wp:inline>
        </w:drawing>
      </w:r>
    </w:p>
    <w:p w14:paraId="4C499ADA" w14:textId="77777777" w:rsidR="004A0B99" w:rsidRDefault="004A0B99" w:rsidP="004A0B99">
      <w:pPr>
        <w:pStyle w:val="Keywords"/>
        <w:spacing w:after="0"/>
        <w:ind w:left="0" w:right="66"/>
        <w:jc w:val="center"/>
        <w:rPr>
          <w:rFonts w:cs="Times New Roman"/>
          <w:b w:val="0"/>
          <w:bCs/>
          <w:lang w:val="en-GB"/>
        </w:rPr>
      </w:pPr>
      <w:r w:rsidRPr="00A72277">
        <w:rPr>
          <w:rFonts w:cs="Times New Roman"/>
          <w:b w:val="0"/>
          <w:bCs/>
          <w:lang w:val="en-GB"/>
        </w:rPr>
        <w:t xml:space="preserve">Figure </w:t>
      </w:r>
      <w:r>
        <w:rPr>
          <w:rFonts w:cs="Times New Roman"/>
          <w:b w:val="0"/>
          <w:bCs/>
          <w:lang w:val="en-GB"/>
        </w:rPr>
        <w:t>6</w:t>
      </w:r>
      <w:r w:rsidRPr="00A72277">
        <w:rPr>
          <w:rFonts w:cs="Times New Roman"/>
          <w:b w:val="0"/>
          <w:bCs/>
          <w:lang w:val="en-GB"/>
        </w:rPr>
        <w:t xml:space="preserve">. </w:t>
      </w:r>
      <w:r>
        <w:rPr>
          <w:rFonts w:cs="Times New Roman"/>
          <w:b w:val="0"/>
          <w:bCs/>
          <w:lang w:val="en-GB"/>
        </w:rPr>
        <w:t xml:space="preserve"> </w:t>
      </w:r>
      <w:r w:rsidRPr="00A72277">
        <w:rPr>
          <w:rFonts w:cs="Times New Roman"/>
          <w:b w:val="0"/>
          <w:bCs/>
          <w:lang w:val="en-GB"/>
        </w:rPr>
        <w:t>(a) LSPR absorbance for AgNP, (b) FTIR spectra of plant biomasses (b) and (c) biosynthesi</w:t>
      </w:r>
      <w:r>
        <w:rPr>
          <w:rFonts w:cs="Times New Roman"/>
          <w:b w:val="0"/>
          <w:bCs/>
          <w:lang w:val="en-GB"/>
        </w:rPr>
        <w:t>s</w:t>
      </w:r>
      <w:r w:rsidRPr="00A72277">
        <w:rPr>
          <w:rFonts w:cs="Times New Roman"/>
          <w:b w:val="0"/>
          <w:bCs/>
          <w:lang w:val="en-GB"/>
        </w:rPr>
        <w:t>ed AgNP</w:t>
      </w:r>
    </w:p>
    <w:p w14:paraId="03530F64" w14:textId="77777777" w:rsidR="004A0B99" w:rsidRDefault="004A0B99" w:rsidP="004A0B99">
      <w:pPr>
        <w:spacing w:after="120"/>
        <w:jc w:val="center"/>
        <w:rPr>
          <w:rFonts w:ascii="Times New Roman" w:hAnsi="Times New Roman"/>
          <w:bCs/>
          <w:sz w:val="20"/>
          <w:szCs w:val="18"/>
          <w:lang w:val="en-GB"/>
        </w:rPr>
      </w:pPr>
    </w:p>
    <w:p w14:paraId="4BD26D17" w14:textId="0037EB5D" w:rsidR="004A0B99" w:rsidRDefault="004A0B99" w:rsidP="00985126">
      <w:pPr>
        <w:spacing w:after="0"/>
        <w:jc w:val="both"/>
        <w:rPr>
          <w:rFonts w:ascii="Times New Roman" w:hAnsi="Times New Roman"/>
          <w:bCs/>
          <w:sz w:val="20"/>
          <w:szCs w:val="18"/>
          <w:lang w:val="en-GB"/>
        </w:rPr>
      </w:pPr>
    </w:p>
    <w:p w14:paraId="73D2A934" w14:textId="77777777" w:rsidR="004A0B99" w:rsidRDefault="004A0B99" w:rsidP="004A0B99">
      <w:pPr>
        <w:pStyle w:val="Keywords"/>
        <w:spacing w:after="0" w:line="276" w:lineRule="auto"/>
        <w:ind w:left="0" w:right="66"/>
        <w:jc w:val="center"/>
        <w:rPr>
          <w:rFonts w:cs="Times New Roman"/>
        </w:rPr>
        <w:sectPr w:rsidR="004A0B99" w:rsidSect="00AC6EB5">
          <w:headerReference w:type="even" r:id="rId48"/>
          <w:headerReference w:type="default" r:id="rId49"/>
          <w:footerReference w:type="default" r:id="rId50"/>
          <w:headerReference w:type="first" r:id="rId51"/>
          <w:type w:val="continuous"/>
          <w:pgSz w:w="12240" w:h="15840" w:code="1"/>
          <w:pgMar w:top="1800" w:right="1469" w:bottom="1699" w:left="1440" w:header="706" w:footer="706" w:gutter="0"/>
          <w:pgNumType w:start="0"/>
          <w:cols w:space="708"/>
          <w:docGrid w:linePitch="360"/>
        </w:sectPr>
      </w:pPr>
    </w:p>
    <w:p w14:paraId="4DF52FF5" w14:textId="0E126C55" w:rsidR="004A0B99" w:rsidRPr="00342040" w:rsidRDefault="004A0B99" w:rsidP="004A0B99">
      <w:pPr>
        <w:pStyle w:val="Keywords"/>
        <w:spacing w:after="0" w:line="276" w:lineRule="auto"/>
        <w:ind w:left="0" w:right="66"/>
        <w:jc w:val="center"/>
        <w:rPr>
          <w:rFonts w:cs="Times New Roman"/>
          <w:b w:val="0"/>
          <w:bCs/>
          <w:lang w:val="en-GB"/>
        </w:rPr>
      </w:pPr>
      <w:r w:rsidRPr="00342040">
        <w:rPr>
          <w:rFonts w:cs="Times New Roman"/>
        </w:rPr>
        <w:t>Conclusion</w:t>
      </w:r>
    </w:p>
    <w:p w14:paraId="523DB54D" w14:textId="77777777" w:rsidR="004A0B99" w:rsidRDefault="004A0B99" w:rsidP="004A0B99">
      <w:pPr>
        <w:pStyle w:val="Keywords"/>
        <w:spacing w:after="0" w:line="276" w:lineRule="auto"/>
        <w:ind w:left="0" w:right="57"/>
        <w:jc w:val="both"/>
        <w:rPr>
          <w:rFonts w:cs="Times New Roman"/>
          <w:b w:val="0"/>
          <w:bCs/>
          <w:lang w:val="en-GB"/>
        </w:rPr>
      </w:pPr>
      <w:r w:rsidRPr="00342040">
        <w:rPr>
          <w:rFonts w:cs="Times New Roman"/>
          <w:b w:val="0"/>
          <w:bCs/>
          <w:i/>
          <w:iCs/>
          <w:lang w:val="en-GB"/>
        </w:rPr>
        <w:t>F. deltoidea</w:t>
      </w:r>
      <w:r w:rsidRPr="00342040">
        <w:rPr>
          <w:rFonts w:cs="Times New Roman"/>
          <w:b w:val="0"/>
          <w:bCs/>
          <w:lang w:val="en-GB"/>
        </w:rPr>
        <w:t xml:space="preserve"> Jack var </w:t>
      </w:r>
      <w:r w:rsidRPr="00342040">
        <w:rPr>
          <w:rFonts w:cs="Times New Roman"/>
          <w:b w:val="0"/>
          <w:bCs/>
          <w:i/>
          <w:iCs/>
          <w:lang w:val="en-GB"/>
        </w:rPr>
        <w:t>kunstleri</w:t>
      </w:r>
      <w:r w:rsidRPr="00342040">
        <w:rPr>
          <w:rFonts w:cs="Times New Roman"/>
          <w:b w:val="0"/>
          <w:bCs/>
          <w:lang w:val="en-GB"/>
        </w:rPr>
        <w:t xml:space="preserve"> (King) Corner is a native herb that is rich in phytochemical compounds. From the LC-MS analysis, more than half of the phytochemicals belong to the phenolics, flavonoids and polyphenols group. The validation analysis also revealed that a specific flavonoid of vitexin and isovitexin were only detected in the leaf organ. The phytochemical compounds in plant extracts have the capability in the biosynthesis of AgNP by assisting the LSPR absorbance peak formed at 409 to 428 nm. The FTIR result revealed that the phytochemical compounds also served as a capping and stabilising agent for the formation of AgNP due to the diverse composition and high content of phytochemical compounds in </w:t>
      </w:r>
      <w:r w:rsidRPr="00342040">
        <w:rPr>
          <w:rFonts w:cs="Times New Roman"/>
          <w:b w:val="0"/>
          <w:bCs/>
          <w:i/>
          <w:iCs/>
          <w:lang w:val="en-GB"/>
        </w:rPr>
        <w:t>F. deltoidea</w:t>
      </w:r>
      <w:r w:rsidRPr="00342040">
        <w:rPr>
          <w:rFonts w:cs="Times New Roman"/>
          <w:b w:val="0"/>
          <w:bCs/>
          <w:lang w:val="en-GB"/>
        </w:rPr>
        <w:t>. In conclusion, this study adds to the body of knowledge on phytochemical compounds in plant organs spectrum in biosynthesising AgNP. Thus, this information could be used to manufacture AgNP from suitable plant organs</w:t>
      </w:r>
      <w:r>
        <w:rPr>
          <w:rFonts w:cs="Times New Roman"/>
          <w:b w:val="0"/>
          <w:bCs/>
          <w:lang w:val="en-GB"/>
        </w:rPr>
        <w:t xml:space="preserve">. </w:t>
      </w:r>
    </w:p>
    <w:p w14:paraId="24612902" w14:textId="77777777" w:rsidR="004A0B99" w:rsidRDefault="004A0B99" w:rsidP="004A0B99">
      <w:pPr>
        <w:pStyle w:val="Keywords"/>
        <w:spacing w:after="0" w:line="276" w:lineRule="auto"/>
        <w:ind w:left="0" w:right="57"/>
        <w:jc w:val="center"/>
        <w:rPr>
          <w:rFonts w:cs="Times New Roman"/>
          <w:b w:val="0"/>
          <w:bCs/>
          <w:lang w:val="en-GB"/>
        </w:rPr>
      </w:pPr>
    </w:p>
    <w:p w14:paraId="3E6F09FE" w14:textId="77777777" w:rsidR="004A0B99" w:rsidRDefault="004A0B99" w:rsidP="004A0B99">
      <w:pPr>
        <w:pStyle w:val="Keywords"/>
        <w:spacing w:after="0" w:line="276" w:lineRule="auto"/>
        <w:ind w:left="0" w:right="57"/>
        <w:jc w:val="center"/>
        <w:rPr>
          <w:bCs/>
          <w:szCs w:val="18"/>
        </w:rPr>
      </w:pPr>
      <w:r w:rsidRPr="001F6412">
        <w:rPr>
          <w:bCs/>
          <w:szCs w:val="18"/>
        </w:rPr>
        <w:t>Acknowledgement</w:t>
      </w:r>
    </w:p>
    <w:p w14:paraId="44DF2E10" w14:textId="77777777" w:rsidR="004A0B99" w:rsidRDefault="004A0B99" w:rsidP="004A0B99">
      <w:pPr>
        <w:pStyle w:val="Keywords"/>
        <w:spacing w:after="0" w:line="276" w:lineRule="auto"/>
        <w:ind w:left="0" w:right="57"/>
        <w:jc w:val="both"/>
        <w:rPr>
          <w:b w:val="0"/>
          <w:szCs w:val="18"/>
        </w:rPr>
      </w:pPr>
      <w:r w:rsidRPr="001F6412">
        <w:rPr>
          <w:b w:val="0"/>
          <w:szCs w:val="18"/>
        </w:rPr>
        <w:t xml:space="preserve">The Author would like to give thanks to the Ministry of Higher Education and Universiti Teknologi Malaysia for funding and supporting this research </w:t>
      </w:r>
      <w:r w:rsidRPr="001F6412">
        <w:rPr>
          <w:b w:val="0"/>
          <w:szCs w:val="18"/>
        </w:rPr>
        <w:t>project under Fundamental Research Grant Scheme (FRGS/1/2020/STG04/UTM/02/3) with Vot No: 5F291 and UTM-TDR project (Vot No: 06G71 and 06G72).</w:t>
      </w:r>
    </w:p>
    <w:p w14:paraId="1D2B2C5E" w14:textId="77777777" w:rsidR="004A0B99" w:rsidRDefault="004A0B99" w:rsidP="004A0B99">
      <w:pPr>
        <w:spacing w:after="0"/>
        <w:jc w:val="center"/>
        <w:rPr>
          <w:rFonts w:ascii="Times New Roman" w:hAnsi="Times New Roman"/>
          <w:bCs/>
          <w:sz w:val="20"/>
          <w:szCs w:val="18"/>
          <w:lang w:val="en-GB"/>
        </w:rPr>
      </w:pPr>
    </w:p>
    <w:p w14:paraId="78BC1C68" w14:textId="77777777" w:rsidR="004A0B99" w:rsidRPr="00D20815" w:rsidRDefault="004A0B99" w:rsidP="004A0B99">
      <w:pPr>
        <w:spacing w:after="0"/>
        <w:jc w:val="center"/>
        <w:outlineLvl w:val="0"/>
        <w:rPr>
          <w:rFonts w:ascii="Times New Roman" w:hAnsi="Times New Roman"/>
          <w:b/>
          <w:sz w:val="20"/>
          <w:szCs w:val="20"/>
        </w:rPr>
      </w:pPr>
      <w:r w:rsidRPr="001F6412">
        <w:rPr>
          <w:rFonts w:ascii="Times New Roman" w:hAnsi="Times New Roman"/>
          <w:b/>
          <w:sz w:val="20"/>
          <w:szCs w:val="20"/>
        </w:rPr>
        <w:t>References</w:t>
      </w:r>
    </w:p>
    <w:bookmarkStart w:id="5" w:name="_Hlk83312621"/>
    <w:p w14:paraId="639ACA4C"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fldChar w:fldCharType="begin" w:fldLock="1"/>
      </w:r>
      <w:r w:rsidRPr="00A23AB1">
        <w:rPr>
          <w:rFonts w:ascii="Times New Roman" w:hAnsi="Times New Roman"/>
          <w:sz w:val="20"/>
          <w:szCs w:val="20"/>
        </w:rPr>
        <w:instrText xml:space="preserve">ADDIN Mendeley Bibliography CSL_BIBLIOGRAPHY </w:instrText>
      </w:r>
      <w:r w:rsidRPr="00A23AB1">
        <w:rPr>
          <w:rFonts w:ascii="Times New Roman" w:hAnsi="Times New Roman"/>
          <w:sz w:val="20"/>
          <w:szCs w:val="20"/>
        </w:rPr>
        <w:fldChar w:fldCharType="separate"/>
      </w:r>
      <w:bookmarkStart w:id="6" w:name="_Hlk83312434"/>
      <w:r w:rsidRPr="00A23AB1">
        <w:rPr>
          <w:rFonts w:ascii="Times New Roman" w:hAnsi="Times New Roman"/>
          <w:sz w:val="20"/>
          <w:szCs w:val="20"/>
        </w:rPr>
        <w:t xml:space="preserve">Muhamad I. I, Hassan N. D, Mamat S. N. H., Nawi N. M., Rashid W. A. and Tan N. A. (2017). Extraction technologies and solvents of phytocompounds from plant materials: Physicochemical characterization and identification of ingredients and bioactive compounds from plant extract using various instrumentations. </w:t>
      </w:r>
      <w:r w:rsidRPr="00A23AB1">
        <w:rPr>
          <w:rFonts w:ascii="Times New Roman" w:hAnsi="Times New Roman"/>
          <w:i/>
          <w:iCs/>
          <w:sz w:val="20"/>
          <w:szCs w:val="20"/>
        </w:rPr>
        <w:t>Ingredients Extraction by Physico-Chemical Methods in Food</w:t>
      </w:r>
      <w:r w:rsidRPr="00A23AB1">
        <w:rPr>
          <w:rFonts w:ascii="Times New Roman" w:hAnsi="Times New Roman"/>
          <w:sz w:val="20"/>
          <w:szCs w:val="20"/>
        </w:rPr>
        <w:t>, pp. 523-560.</w:t>
      </w:r>
    </w:p>
    <w:p w14:paraId="444FC40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Deepak K., Shirsat R. and Kawale M. (2016). An overview of major classes of phytochemicals: Their types and role in disease prevention. </w:t>
      </w:r>
      <w:r w:rsidRPr="00A23AB1">
        <w:rPr>
          <w:rFonts w:ascii="Times New Roman" w:hAnsi="Times New Roman"/>
          <w:i/>
          <w:iCs/>
          <w:sz w:val="20"/>
          <w:szCs w:val="20"/>
        </w:rPr>
        <w:t xml:space="preserve">Hislopia Journal, </w:t>
      </w:r>
      <w:r w:rsidRPr="00A23AB1">
        <w:rPr>
          <w:rFonts w:ascii="Times New Roman" w:hAnsi="Times New Roman"/>
          <w:sz w:val="20"/>
          <w:szCs w:val="20"/>
        </w:rPr>
        <w:t>9: 1-11.</w:t>
      </w:r>
    </w:p>
    <w:p w14:paraId="431F9157" w14:textId="5486EA2D"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Ou B., Huang D., Hampsch-Woodill M., Flanagan J. A. and Deemer E. K. (2002). Analysis of antioxidant activities of common vegetables employing oxygen radical absorbance capacity (ORAC) and ferric reducing antioxidant power (FRAP) assays: A comparative study. </w:t>
      </w:r>
      <w:r w:rsidRPr="00A23AB1">
        <w:rPr>
          <w:rFonts w:ascii="Times New Roman" w:hAnsi="Times New Roman"/>
          <w:i/>
          <w:iCs/>
          <w:sz w:val="20"/>
          <w:szCs w:val="20"/>
        </w:rPr>
        <w:t>Journal of Agricultural and Food Chemistry</w:t>
      </w:r>
      <w:r w:rsidRPr="00A23AB1">
        <w:rPr>
          <w:rFonts w:ascii="Times New Roman" w:hAnsi="Times New Roman"/>
          <w:sz w:val="20"/>
          <w:szCs w:val="20"/>
        </w:rPr>
        <w:t>, 50 (11): 3122-3128.</w:t>
      </w:r>
    </w:p>
    <w:p w14:paraId="56D2A8F2" w14:textId="77777777" w:rsidR="004A0B99" w:rsidRPr="004A0B99" w:rsidRDefault="004A0B99" w:rsidP="004A0B99">
      <w:pPr>
        <w:spacing w:after="0" w:line="240" w:lineRule="auto"/>
        <w:jc w:val="both"/>
        <w:rPr>
          <w:rFonts w:ascii="Times New Roman" w:hAnsi="Times New Roman"/>
          <w:sz w:val="20"/>
          <w:szCs w:val="20"/>
        </w:rPr>
      </w:pPr>
    </w:p>
    <w:p w14:paraId="2D177FD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lastRenderedPageBreak/>
        <w:t xml:space="preserve">Rao B. N. (2003). Bioactive phytochemicals in Indian foods and their potential in health promotion and disease prevention. </w:t>
      </w:r>
      <w:r w:rsidRPr="00A23AB1">
        <w:rPr>
          <w:rFonts w:ascii="Times New Roman" w:hAnsi="Times New Roman"/>
          <w:i/>
          <w:iCs/>
          <w:sz w:val="20"/>
          <w:szCs w:val="20"/>
        </w:rPr>
        <w:t>Asia Pacific Journal of Clinical Nutrition</w:t>
      </w:r>
      <w:r w:rsidRPr="00A23AB1">
        <w:rPr>
          <w:rFonts w:ascii="Times New Roman" w:hAnsi="Times New Roman"/>
          <w:sz w:val="20"/>
          <w:szCs w:val="20"/>
        </w:rPr>
        <w:t>, 112(1): 9-22.</w:t>
      </w:r>
    </w:p>
    <w:p w14:paraId="798F13CB"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Lavola A., Salonen A., Virjamo V. and Julkunen-Tiitto R.  (2017). Phytochemical Variation in the plant-part specific phenols of wild crowberry (</w:t>
      </w:r>
      <w:r w:rsidRPr="00A23AB1">
        <w:rPr>
          <w:rFonts w:ascii="Times New Roman" w:hAnsi="Times New Roman"/>
          <w:i/>
          <w:iCs/>
          <w:sz w:val="20"/>
          <w:szCs w:val="20"/>
        </w:rPr>
        <w:t>Empetrum hermaphroditum Hagerup</w:t>
      </w:r>
      <w:r w:rsidRPr="00A23AB1">
        <w:rPr>
          <w:rFonts w:ascii="Times New Roman" w:hAnsi="Times New Roman"/>
          <w:sz w:val="20"/>
          <w:szCs w:val="20"/>
        </w:rPr>
        <w:t xml:space="preserve">) </w:t>
      </w:r>
      <w:r>
        <w:rPr>
          <w:rFonts w:ascii="Times New Roman" w:hAnsi="Times New Roman"/>
          <w:sz w:val="20"/>
          <w:szCs w:val="20"/>
        </w:rPr>
        <w:t>p</w:t>
      </w:r>
      <w:r w:rsidRPr="00A23AB1">
        <w:rPr>
          <w:rFonts w:ascii="Times New Roman" w:hAnsi="Times New Roman"/>
          <w:sz w:val="20"/>
          <w:szCs w:val="20"/>
        </w:rPr>
        <w:t xml:space="preserve">opulations. </w:t>
      </w:r>
      <w:r w:rsidRPr="00A23AB1">
        <w:rPr>
          <w:rFonts w:ascii="Times New Roman" w:hAnsi="Times New Roman"/>
          <w:i/>
          <w:iCs/>
          <w:sz w:val="20"/>
          <w:szCs w:val="20"/>
        </w:rPr>
        <w:t>Phytochemistry Letter</w:t>
      </w:r>
      <w:r w:rsidRPr="00A23AB1">
        <w:rPr>
          <w:rFonts w:ascii="Times New Roman" w:hAnsi="Times New Roman"/>
          <w:sz w:val="20"/>
          <w:szCs w:val="20"/>
        </w:rPr>
        <w:t>, 21: 11</w:t>
      </w:r>
      <w:r>
        <w:rPr>
          <w:rFonts w:ascii="Times New Roman" w:hAnsi="Times New Roman"/>
          <w:sz w:val="20"/>
          <w:szCs w:val="20"/>
        </w:rPr>
        <w:t>-</w:t>
      </w:r>
      <w:r w:rsidRPr="00A23AB1">
        <w:rPr>
          <w:rFonts w:ascii="Times New Roman" w:hAnsi="Times New Roman"/>
          <w:sz w:val="20"/>
          <w:szCs w:val="20"/>
        </w:rPr>
        <w:t>20.</w:t>
      </w:r>
    </w:p>
    <w:p w14:paraId="00F74CA9"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A23AB1">
        <w:rPr>
          <w:rFonts w:ascii="Times New Roman" w:hAnsi="Times New Roman"/>
          <w:sz w:val="20"/>
          <w:szCs w:val="20"/>
        </w:rPr>
        <w:t xml:space="preserve">Alim A., Ghazali W. A. S. W., Ali N. A. M. and Ponnuraj K. T. (2017). Phytochemical properties and traditional uses of selected medicinal plants in Malaysia: A </w:t>
      </w:r>
      <w:r>
        <w:rPr>
          <w:rFonts w:ascii="Times New Roman" w:hAnsi="Times New Roman"/>
          <w:sz w:val="20"/>
          <w:szCs w:val="20"/>
        </w:rPr>
        <w:t>r</w:t>
      </w:r>
      <w:r w:rsidRPr="00A23AB1">
        <w:rPr>
          <w:rFonts w:ascii="Times New Roman" w:hAnsi="Times New Roman"/>
          <w:sz w:val="20"/>
          <w:szCs w:val="20"/>
        </w:rPr>
        <w:t xml:space="preserve">eview. </w:t>
      </w:r>
      <w:r w:rsidRPr="00A23AB1">
        <w:rPr>
          <w:rFonts w:ascii="Times New Roman" w:hAnsi="Times New Roman"/>
          <w:i/>
          <w:iCs/>
          <w:sz w:val="20"/>
          <w:szCs w:val="20"/>
        </w:rPr>
        <w:t xml:space="preserve">Journal of Biomedical Science, </w:t>
      </w:r>
      <w:r w:rsidRPr="00A23AB1">
        <w:rPr>
          <w:rFonts w:ascii="Times New Roman" w:hAnsi="Times New Roman"/>
          <w:sz w:val="20"/>
          <w:szCs w:val="20"/>
        </w:rPr>
        <w:t>2(2): 4–25.</w:t>
      </w:r>
    </w:p>
    <w:p w14:paraId="2A4490E4"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Huang Y., Xiao D., Burton-freeman B. M. and Edirisinghe I.  (2016). Chemical changes of bioactive phytochemicals during thermal processing, pp. 1-9.</w:t>
      </w:r>
    </w:p>
    <w:p w14:paraId="237735BA"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Goswami M., Baruah D. and Das A. M. (2018). Green synthesis of silver nanoparticles supported on cellulose and their catalytic application in the scavenging of organic dyes. </w:t>
      </w:r>
      <w:r w:rsidRPr="00325822">
        <w:rPr>
          <w:rFonts w:ascii="Times New Roman" w:hAnsi="Times New Roman"/>
          <w:i/>
          <w:iCs/>
          <w:sz w:val="20"/>
          <w:szCs w:val="20"/>
        </w:rPr>
        <w:t xml:space="preserve">New Journal of Chemistry, </w:t>
      </w:r>
      <w:r w:rsidRPr="00325822">
        <w:rPr>
          <w:rFonts w:ascii="Times New Roman" w:hAnsi="Times New Roman"/>
          <w:sz w:val="20"/>
          <w:szCs w:val="20"/>
        </w:rPr>
        <w:t>42(13): 10868–10878.</w:t>
      </w:r>
    </w:p>
    <w:p w14:paraId="2F54D6B5"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Altemimi A., Lakhssassi N., Baharlouei A., Watson D. G. and Lightfoot D. A.  (2017). Phytochemicals: Extraction, </w:t>
      </w:r>
      <w:r>
        <w:rPr>
          <w:rFonts w:ascii="Times New Roman" w:hAnsi="Times New Roman"/>
          <w:sz w:val="20"/>
          <w:szCs w:val="20"/>
        </w:rPr>
        <w:t>i</w:t>
      </w:r>
      <w:r w:rsidRPr="00325822">
        <w:rPr>
          <w:rFonts w:ascii="Times New Roman" w:hAnsi="Times New Roman"/>
          <w:sz w:val="20"/>
          <w:szCs w:val="20"/>
        </w:rPr>
        <w:t xml:space="preserve">solation, and identification of bioactive compounds from plant extracts. </w:t>
      </w:r>
      <w:r w:rsidRPr="00325822">
        <w:rPr>
          <w:rFonts w:ascii="Times New Roman" w:hAnsi="Times New Roman"/>
          <w:i/>
          <w:iCs/>
          <w:sz w:val="20"/>
          <w:szCs w:val="20"/>
        </w:rPr>
        <w:t xml:space="preserve">Plants, </w:t>
      </w:r>
      <w:r w:rsidRPr="00325822">
        <w:rPr>
          <w:rFonts w:ascii="Times New Roman" w:hAnsi="Times New Roman"/>
          <w:sz w:val="20"/>
          <w:szCs w:val="20"/>
        </w:rPr>
        <w:t>6 (4): 1-23.</w:t>
      </w:r>
    </w:p>
    <w:p w14:paraId="64BDAD7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Afzan A., Kasim N., Hadiani N., Norfaizura I., Abdul A., Ali M. and Mat N. (2019). Differentiation of </w:t>
      </w:r>
      <w:r w:rsidRPr="00325822">
        <w:rPr>
          <w:rFonts w:ascii="Times New Roman" w:hAnsi="Times New Roman"/>
          <w:i/>
          <w:iCs/>
          <w:sz w:val="20"/>
          <w:szCs w:val="20"/>
        </w:rPr>
        <w:t>Ficus deltoidea</w:t>
      </w:r>
      <w:r w:rsidRPr="00325822">
        <w:rPr>
          <w:rFonts w:ascii="Times New Roman" w:hAnsi="Times New Roman"/>
          <w:sz w:val="20"/>
          <w:szCs w:val="20"/>
        </w:rPr>
        <w:t xml:space="preserve"> varieties and chemical marker determination by UHPLC-TOFMS metabolomics for establishing quality control criteria of this popular Malaysian </w:t>
      </w:r>
      <w:r>
        <w:rPr>
          <w:rFonts w:ascii="Times New Roman" w:hAnsi="Times New Roman"/>
          <w:sz w:val="20"/>
          <w:szCs w:val="20"/>
        </w:rPr>
        <w:t>m</w:t>
      </w:r>
      <w:r w:rsidRPr="00325822">
        <w:rPr>
          <w:rFonts w:ascii="Times New Roman" w:hAnsi="Times New Roman"/>
          <w:sz w:val="20"/>
          <w:szCs w:val="20"/>
        </w:rPr>
        <w:t xml:space="preserve">edicinal </w:t>
      </w:r>
      <w:r>
        <w:rPr>
          <w:rFonts w:ascii="Times New Roman" w:hAnsi="Times New Roman"/>
          <w:sz w:val="20"/>
          <w:szCs w:val="20"/>
        </w:rPr>
        <w:t>h</w:t>
      </w:r>
      <w:r w:rsidRPr="00325822">
        <w:rPr>
          <w:rFonts w:ascii="Times New Roman" w:hAnsi="Times New Roman"/>
          <w:sz w:val="20"/>
          <w:szCs w:val="20"/>
        </w:rPr>
        <w:t xml:space="preserve">erb. </w:t>
      </w:r>
      <w:r w:rsidRPr="00325822">
        <w:rPr>
          <w:rFonts w:ascii="Times New Roman" w:hAnsi="Times New Roman"/>
          <w:i/>
          <w:iCs/>
          <w:sz w:val="20"/>
          <w:szCs w:val="20"/>
        </w:rPr>
        <w:t xml:space="preserve">Metabolomics, </w:t>
      </w:r>
      <w:r w:rsidRPr="00325822">
        <w:rPr>
          <w:rFonts w:ascii="Times New Roman" w:hAnsi="Times New Roman"/>
          <w:sz w:val="20"/>
          <w:szCs w:val="20"/>
        </w:rPr>
        <w:t>15(3):  1–11.</w:t>
      </w:r>
    </w:p>
    <w:p w14:paraId="5BB3956A"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Nasma A., Aishath N., Azilah A., and Sulaiman A. Z. (2018). Optimization of vitexin and isovitexin compounds extracted from dried mas cotek leaves using one-factor-at-a-time (OFAT) approach in aqueous extraction. </w:t>
      </w:r>
      <w:r w:rsidRPr="00325822">
        <w:rPr>
          <w:rFonts w:ascii="Times New Roman" w:hAnsi="Times New Roman"/>
          <w:i/>
          <w:iCs/>
          <w:sz w:val="20"/>
          <w:szCs w:val="20"/>
        </w:rPr>
        <w:t xml:space="preserve">International Food Research Journal, </w:t>
      </w:r>
      <w:r w:rsidRPr="00325822">
        <w:rPr>
          <w:rFonts w:ascii="Times New Roman" w:hAnsi="Times New Roman"/>
          <w:sz w:val="20"/>
          <w:szCs w:val="20"/>
        </w:rPr>
        <w:t>25(6): 2560</w:t>
      </w:r>
      <w:r>
        <w:rPr>
          <w:rFonts w:ascii="Times New Roman" w:hAnsi="Times New Roman"/>
          <w:sz w:val="20"/>
          <w:szCs w:val="20"/>
        </w:rPr>
        <w:t>-</w:t>
      </w:r>
      <w:r w:rsidRPr="00325822">
        <w:rPr>
          <w:rFonts w:ascii="Times New Roman" w:hAnsi="Times New Roman"/>
          <w:sz w:val="20"/>
          <w:szCs w:val="20"/>
        </w:rPr>
        <w:t>2571.</w:t>
      </w:r>
    </w:p>
    <w:p w14:paraId="1377DF1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Bunawan H., Amin N. M., Bunawan S. N., Baharum S. N. and Noor N. M. (2014). </w:t>
      </w:r>
      <w:r w:rsidRPr="00325822">
        <w:rPr>
          <w:rFonts w:ascii="Times New Roman" w:hAnsi="Times New Roman"/>
          <w:i/>
          <w:iCs/>
          <w:sz w:val="20"/>
          <w:szCs w:val="20"/>
        </w:rPr>
        <w:t>Ficus deltoidea</w:t>
      </w:r>
      <w:r w:rsidRPr="00325822">
        <w:rPr>
          <w:rFonts w:ascii="Times New Roman" w:hAnsi="Times New Roman"/>
          <w:sz w:val="20"/>
          <w:szCs w:val="20"/>
        </w:rPr>
        <w:t xml:space="preserve"> Jack: A review on its phytochemical and pharmacological importance. </w:t>
      </w:r>
      <w:r w:rsidRPr="00325822">
        <w:rPr>
          <w:rFonts w:ascii="Times New Roman" w:hAnsi="Times New Roman"/>
          <w:i/>
          <w:iCs/>
          <w:sz w:val="20"/>
          <w:szCs w:val="20"/>
        </w:rPr>
        <w:t xml:space="preserve">Evidence-Based Complementary and Alternative Medicine, </w:t>
      </w:r>
      <w:r w:rsidRPr="00325822">
        <w:rPr>
          <w:rFonts w:ascii="Times New Roman" w:hAnsi="Times New Roman"/>
          <w:sz w:val="20"/>
          <w:szCs w:val="20"/>
        </w:rPr>
        <w:t>2014: 1-8.</w:t>
      </w:r>
    </w:p>
    <w:p w14:paraId="78B58E07"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 xml:space="preserve">Singhal A., Singhal N., Bhattacharya A. and Gupta A.  (2017). Synthesis of silver nanoparticles (AgNPs) using </w:t>
      </w:r>
      <w:r w:rsidRPr="00325822">
        <w:rPr>
          <w:rFonts w:ascii="Times New Roman" w:hAnsi="Times New Roman"/>
          <w:i/>
          <w:iCs/>
          <w:sz w:val="20"/>
          <w:szCs w:val="20"/>
        </w:rPr>
        <w:t>Ficus retusa</w:t>
      </w:r>
      <w:r w:rsidRPr="00325822">
        <w:rPr>
          <w:rFonts w:ascii="Times New Roman" w:hAnsi="Times New Roman"/>
          <w:sz w:val="20"/>
          <w:szCs w:val="20"/>
        </w:rPr>
        <w:t xml:space="preserve"> leaf extract for potential application as antibacterial and dye decolourising agents. </w:t>
      </w:r>
      <w:r w:rsidRPr="00325822">
        <w:rPr>
          <w:rFonts w:ascii="Times New Roman" w:hAnsi="Times New Roman"/>
          <w:i/>
          <w:iCs/>
          <w:sz w:val="20"/>
          <w:szCs w:val="20"/>
        </w:rPr>
        <w:t>Inorganic and Nano-Metal Chemistry,</w:t>
      </w:r>
      <w:r w:rsidRPr="00325822">
        <w:rPr>
          <w:rFonts w:ascii="Times New Roman" w:hAnsi="Times New Roman"/>
          <w:sz w:val="20"/>
          <w:szCs w:val="20"/>
        </w:rPr>
        <w:t xml:space="preserve"> 47(11): 1520</w:t>
      </w:r>
      <w:r>
        <w:rPr>
          <w:rFonts w:ascii="Times New Roman" w:hAnsi="Times New Roman"/>
          <w:sz w:val="20"/>
          <w:szCs w:val="20"/>
        </w:rPr>
        <w:t>-</w:t>
      </w:r>
      <w:r w:rsidRPr="00325822">
        <w:rPr>
          <w:rFonts w:ascii="Times New Roman" w:hAnsi="Times New Roman"/>
          <w:sz w:val="20"/>
          <w:szCs w:val="20"/>
        </w:rPr>
        <w:t>1529.</w:t>
      </w:r>
    </w:p>
    <w:p w14:paraId="6816903C"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325822">
        <w:rPr>
          <w:rFonts w:ascii="Times New Roman" w:hAnsi="Times New Roman"/>
          <w:sz w:val="20"/>
          <w:szCs w:val="20"/>
        </w:rPr>
        <w:t>He Y., Wei F., Ma Z., Zhang</w:t>
      </w:r>
      <w:r>
        <w:rPr>
          <w:rFonts w:ascii="Times New Roman" w:hAnsi="Times New Roman"/>
          <w:sz w:val="20"/>
          <w:szCs w:val="20"/>
        </w:rPr>
        <w:t>,</w:t>
      </w:r>
      <w:r w:rsidRPr="00325822">
        <w:rPr>
          <w:rFonts w:ascii="Times New Roman" w:hAnsi="Times New Roman"/>
          <w:sz w:val="20"/>
          <w:szCs w:val="20"/>
        </w:rPr>
        <w:t xml:space="preserve"> H., Yang Q., Yao B. and Zhang Q. (2017). Green synthesis of silver nanoparticles using seed extract of</w:t>
      </w:r>
      <w:r>
        <w:rPr>
          <w:rFonts w:ascii="Times New Roman" w:hAnsi="Times New Roman"/>
          <w:sz w:val="20"/>
          <w:szCs w:val="20"/>
        </w:rPr>
        <w:t xml:space="preserve"> </w:t>
      </w:r>
      <w:r w:rsidRPr="00325822">
        <w:rPr>
          <w:rFonts w:ascii="Times New Roman" w:hAnsi="Times New Roman"/>
          <w:i/>
          <w:iCs/>
          <w:sz w:val="20"/>
          <w:szCs w:val="20"/>
        </w:rPr>
        <w:t>Alpinia katsumadai,</w:t>
      </w:r>
      <w:r w:rsidRPr="00325822">
        <w:rPr>
          <w:rFonts w:ascii="Times New Roman" w:hAnsi="Times New Roman"/>
          <w:sz w:val="20"/>
          <w:szCs w:val="20"/>
        </w:rPr>
        <w:t xml:space="preserve"> and their antioxidant, cytotoxicity, and antibacterial activities. RSC Advances, 7 (63): 39842</w:t>
      </w:r>
      <w:r>
        <w:rPr>
          <w:rFonts w:ascii="Times New Roman" w:hAnsi="Times New Roman"/>
          <w:sz w:val="20"/>
          <w:szCs w:val="20"/>
        </w:rPr>
        <w:t>-</w:t>
      </w:r>
      <w:r w:rsidRPr="00325822">
        <w:rPr>
          <w:rFonts w:ascii="Times New Roman" w:hAnsi="Times New Roman"/>
          <w:sz w:val="20"/>
          <w:szCs w:val="20"/>
        </w:rPr>
        <w:t>39851.</w:t>
      </w:r>
    </w:p>
    <w:p w14:paraId="44A84B01"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Labeeuw L., Martone P. T., Boucher, Y.  and Case R. J.  (2015). Ancient origin of the biosynthesis of lignin precursors. </w:t>
      </w:r>
      <w:r w:rsidRPr="00FE66F7">
        <w:rPr>
          <w:rFonts w:ascii="Times New Roman" w:hAnsi="Times New Roman"/>
          <w:i/>
          <w:iCs/>
          <w:sz w:val="20"/>
          <w:szCs w:val="20"/>
        </w:rPr>
        <w:t>Biology Direct,</w:t>
      </w:r>
      <w:r w:rsidRPr="00FE66F7">
        <w:rPr>
          <w:rFonts w:ascii="Times New Roman" w:hAnsi="Times New Roman"/>
          <w:sz w:val="20"/>
          <w:szCs w:val="20"/>
        </w:rPr>
        <w:t xml:space="preserve"> 10 (23): 1–21.</w:t>
      </w:r>
    </w:p>
    <w:p w14:paraId="07522CD9"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Mierziak J., Kostyn K., and Kulma A.  (2014). Flavonoids as important molecules of plant interactions with the environment. </w:t>
      </w:r>
      <w:r w:rsidRPr="00FE66F7">
        <w:rPr>
          <w:rFonts w:ascii="Times New Roman" w:hAnsi="Times New Roman"/>
          <w:i/>
          <w:iCs/>
          <w:sz w:val="20"/>
          <w:szCs w:val="20"/>
        </w:rPr>
        <w:t>Molecules,</w:t>
      </w:r>
      <w:r w:rsidRPr="00FE66F7">
        <w:rPr>
          <w:rFonts w:ascii="Times New Roman" w:hAnsi="Times New Roman"/>
          <w:sz w:val="20"/>
          <w:szCs w:val="20"/>
        </w:rPr>
        <w:t xml:space="preserve"> 19 (10): 16240</w:t>
      </w:r>
      <w:r>
        <w:rPr>
          <w:rFonts w:ascii="Times New Roman" w:hAnsi="Times New Roman"/>
          <w:sz w:val="20"/>
          <w:szCs w:val="20"/>
        </w:rPr>
        <w:t>-</w:t>
      </w:r>
      <w:r w:rsidRPr="00FE66F7">
        <w:rPr>
          <w:rFonts w:ascii="Times New Roman" w:hAnsi="Times New Roman"/>
          <w:sz w:val="20"/>
          <w:szCs w:val="20"/>
        </w:rPr>
        <w:t>16265.</w:t>
      </w:r>
    </w:p>
    <w:p w14:paraId="768F3F3F"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Abdullah F. I.  and Chua L. S. (2017). Prediction of c-glycosylated apigenin (Vitexin) biosynthesis in Ficus deltoidea </w:t>
      </w:r>
      <w:r>
        <w:rPr>
          <w:rFonts w:ascii="Times New Roman" w:hAnsi="Times New Roman"/>
          <w:sz w:val="20"/>
          <w:szCs w:val="20"/>
        </w:rPr>
        <w:t>b</w:t>
      </w:r>
      <w:r w:rsidRPr="00FE66F7">
        <w:rPr>
          <w:rFonts w:ascii="Times New Roman" w:hAnsi="Times New Roman"/>
          <w:sz w:val="20"/>
          <w:szCs w:val="20"/>
        </w:rPr>
        <w:t xml:space="preserve">ased on plant proteins identified by LC-MS/MS. </w:t>
      </w:r>
      <w:r w:rsidRPr="00FE66F7">
        <w:rPr>
          <w:rFonts w:ascii="Times New Roman" w:hAnsi="Times New Roman"/>
          <w:i/>
          <w:iCs/>
          <w:sz w:val="20"/>
          <w:szCs w:val="20"/>
        </w:rPr>
        <w:t xml:space="preserve">Frontiers in Biology, </w:t>
      </w:r>
      <w:r w:rsidRPr="00FE66F7">
        <w:rPr>
          <w:rFonts w:ascii="Times New Roman" w:hAnsi="Times New Roman"/>
          <w:sz w:val="20"/>
          <w:szCs w:val="20"/>
        </w:rPr>
        <w:t>12(6): 448</w:t>
      </w:r>
      <w:r>
        <w:rPr>
          <w:rFonts w:ascii="Times New Roman" w:hAnsi="Times New Roman"/>
          <w:sz w:val="20"/>
          <w:szCs w:val="20"/>
        </w:rPr>
        <w:t>-</w:t>
      </w:r>
      <w:r w:rsidRPr="00FE66F7">
        <w:rPr>
          <w:rFonts w:ascii="Times New Roman" w:hAnsi="Times New Roman"/>
          <w:sz w:val="20"/>
          <w:szCs w:val="20"/>
        </w:rPr>
        <w:t>458.</w:t>
      </w:r>
    </w:p>
    <w:p w14:paraId="707A397D"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He M., Min J. W., Kong W. L., He X. H., Li J. X. and Peng B. W. (2016). A review on the pharmacological effects of Vitexin and Isovitexin. </w:t>
      </w:r>
      <w:r w:rsidRPr="00FE66F7">
        <w:rPr>
          <w:rFonts w:ascii="Times New Roman" w:hAnsi="Times New Roman"/>
          <w:i/>
          <w:iCs/>
          <w:sz w:val="20"/>
          <w:szCs w:val="20"/>
        </w:rPr>
        <w:t>Fitoterapia,</w:t>
      </w:r>
      <w:r w:rsidRPr="00FE66F7">
        <w:rPr>
          <w:rFonts w:ascii="Times New Roman" w:hAnsi="Times New Roman"/>
          <w:sz w:val="20"/>
          <w:szCs w:val="20"/>
        </w:rPr>
        <w:t xml:space="preserve"> 115:74–85.</w:t>
      </w:r>
    </w:p>
    <w:p w14:paraId="1BFC55F1"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Asmat-Campos D., Abreu A. C., Romero-Cano M. S., Urquiaga-Zavaleta J., Contreras-Cáceres R., Delfín-Narciso D., Juárez-Cortijo L., Nazario-Naveda R., Rengifo-Penadillos R. and Fernández I. (2020). Unraveling the active biomolecules responsible for the sustainable synthesis of nanoscale silver particles through nuclear magnetic resonance metabolomics. </w:t>
      </w:r>
      <w:r w:rsidRPr="00FE66F7">
        <w:rPr>
          <w:rFonts w:ascii="Times New Roman" w:hAnsi="Times New Roman"/>
          <w:i/>
          <w:iCs/>
          <w:sz w:val="20"/>
          <w:szCs w:val="20"/>
        </w:rPr>
        <w:t>ACS Sustainable Chemistry &amp; Engineering,</w:t>
      </w:r>
      <w:r w:rsidRPr="00FE66F7">
        <w:rPr>
          <w:rFonts w:ascii="Times New Roman" w:hAnsi="Times New Roman"/>
          <w:sz w:val="20"/>
          <w:szCs w:val="20"/>
        </w:rPr>
        <w:t xml:space="preserve"> 8(48): 17816</w:t>
      </w:r>
      <w:r>
        <w:rPr>
          <w:rFonts w:ascii="Times New Roman" w:hAnsi="Times New Roman"/>
          <w:sz w:val="20"/>
          <w:szCs w:val="20"/>
        </w:rPr>
        <w:t>-</w:t>
      </w:r>
      <w:r w:rsidRPr="00FE66F7">
        <w:rPr>
          <w:rFonts w:ascii="Times New Roman" w:hAnsi="Times New Roman"/>
          <w:sz w:val="20"/>
          <w:szCs w:val="20"/>
        </w:rPr>
        <w:t>17827.</w:t>
      </w:r>
    </w:p>
    <w:p w14:paraId="3A79B6D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FE66F7">
        <w:rPr>
          <w:rFonts w:ascii="Times New Roman" w:hAnsi="Times New Roman"/>
          <w:sz w:val="20"/>
          <w:szCs w:val="20"/>
        </w:rPr>
        <w:t xml:space="preserve">Kamtekar S., Keer V. and Patil V. (2014). Estimation of phenolic content, flavonoid content, antioxidant and alpha amylase inhibitory activity of marketed polyherbal formulation. </w:t>
      </w:r>
      <w:r w:rsidRPr="00FE66F7">
        <w:rPr>
          <w:rFonts w:ascii="Times New Roman" w:hAnsi="Times New Roman"/>
          <w:i/>
          <w:iCs/>
          <w:sz w:val="20"/>
          <w:szCs w:val="20"/>
        </w:rPr>
        <w:t xml:space="preserve">Journal of Applied Pharmaceutical Science, </w:t>
      </w:r>
      <w:r w:rsidRPr="00FE66F7">
        <w:rPr>
          <w:rFonts w:ascii="Times New Roman" w:hAnsi="Times New Roman"/>
          <w:sz w:val="20"/>
          <w:szCs w:val="20"/>
        </w:rPr>
        <w:t>4 (9): 1–65.</w:t>
      </w:r>
    </w:p>
    <w:p w14:paraId="6A677FF0"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Arifin R. N. A. R.  and Jumal J.  (2021). Antioxidant activity of </w:t>
      </w:r>
      <w:r w:rsidRPr="00E76E78">
        <w:rPr>
          <w:rFonts w:ascii="Times New Roman" w:hAnsi="Times New Roman"/>
          <w:i/>
          <w:iCs/>
          <w:sz w:val="20"/>
          <w:szCs w:val="20"/>
        </w:rPr>
        <w:t>Averrhoa bilimbi</w:t>
      </w:r>
      <w:r w:rsidRPr="00E76E78">
        <w:rPr>
          <w:rFonts w:ascii="Times New Roman" w:hAnsi="Times New Roman"/>
          <w:sz w:val="20"/>
          <w:szCs w:val="20"/>
        </w:rPr>
        <w:t xml:space="preserve"> Linn. leaves extract using two different types of solvents. Malaysian Journal of Science, Health &amp; Technology, 7: 76–82.</w:t>
      </w:r>
    </w:p>
    <w:p w14:paraId="1FA3F860" w14:textId="5592F55C"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Perera B. R. and Kandiah M.  (2018). Microwave assisted one-pot green synthesis of silver nanoparticles using leaf extracts from </w:t>
      </w:r>
      <w:r w:rsidRPr="00E76E78">
        <w:rPr>
          <w:rFonts w:ascii="Times New Roman" w:hAnsi="Times New Roman"/>
          <w:i/>
          <w:iCs/>
          <w:sz w:val="20"/>
          <w:szCs w:val="20"/>
        </w:rPr>
        <w:t>Vigna unguiculate</w:t>
      </w:r>
      <w:r w:rsidRPr="00E76E78">
        <w:rPr>
          <w:rFonts w:ascii="Times New Roman" w:hAnsi="Times New Roman"/>
          <w:sz w:val="20"/>
          <w:szCs w:val="20"/>
        </w:rPr>
        <w:t xml:space="preserve">: evaluation of antioxidant and antimicrobial activities. </w:t>
      </w:r>
      <w:r w:rsidRPr="00E76E78">
        <w:rPr>
          <w:rFonts w:ascii="Times New Roman" w:hAnsi="Times New Roman"/>
          <w:i/>
          <w:iCs/>
          <w:sz w:val="20"/>
          <w:szCs w:val="20"/>
        </w:rPr>
        <w:t>International Journal of Interdisciplinary and Multidisciplinary Studies</w:t>
      </w:r>
      <w:r w:rsidRPr="00E76E78">
        <w:rPr>
          <w:rFonts w:ascii="Times New Roman" w:hAnsi="Times New Roman"/>
          <w:sz w:val="20"/>
          <w:szCs w:val="20"/>
        </w:rPr>
        <w:t>, 5(2): 62-78.</w:t>
      </w:r>
    </w:p>
    <w:p w14:paraId="01DBB533" w14:textId="276153F2" w:rsidR="004A0B99" w:rsidRDefault="004A0B99" w:rsidP="004A0B99">
      <w:pPr>
        <w:spacing w:after="0" w:line="240" w:lineRule="auto"/>
        <w:jc w:val="both"/>
        <w:rPr>
          <w:rFonts w:ascii="Times New Roman" w:hAnsi="Times New Roman"/>
          <w:sz w:val="20"/>
          <w:szCs w:val="20"/>
        </w:rPr>
      </w:pPr>
    </w:p>
    <w:p w14:paraId="5BDE42CE" w14:textId="78B5B525" w:rsidR="004A0B99" w:rsidRDefault="004A0B99" w:rsidP="004A0B99">
      <w:pPr>
        <w:spacing w:after="0" w:line="240" w:lineRule="auto"/>
        <w:jc w:val="both"/>
        <w:rPr>
          <w:rFonts w:ascii="Times New Roman" w:hAnsi="Times New Roman"/>
          <w:sz w:val="20"/>
          <w:szCs w:val="20"/>
        </w:rPr>
      </w:pPr>
    </w:p>
    <w:p w14:paraId="6DF34440" w14:textId="77777777" w:rsidR="004A0B99" w:rsidRPr="004A0B99" w:rsidRDefault="004A0B99" w:rsidP="004A0B99">
      <w:pPr>
        <w:spacing w:after="0" w:line="240" w:lineRule="auto"/>
        <w:jc w:val="both"/>
        <w:rPr>
          <w:rFonts w:ascii="Times New Roman" w:hAnsi="Times New Roman"/>
          <w:sz w:val="20"/>
          <w:szCs w:val="20"/>
        </w:rPr>
      </w:pPr>
    </w:p>
    <w:p w14:paraId="707C3AB6"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lastRenderedPageBreak/>
        <w:t>Karalija E</w:t>
      </w:r>
      <w:r>
        <w:rPr>
          <w:rFonts w:ascii="Times New Roman" w:hAnsi="Times New Roman"/>
          <w:sz w:val="20"/>
          <w:szCs w:val="20"/>
        </w:rPr>
        <w:t>.</w:t>
      </w:r>
      <w:r w:rsidRPr="00E76E78">
        <w:rPr>
          <w:rFonts w:ascii="Times New Roman" w:hAnsi="Times New Roman"/>
          <w:sz w:val="20"/>
          <w:szCs w:val="20"/>
        </w:rPr>
        <w:t>, Muratović E</w:t>
      </w:r>
      <w:r>
        <w:rPr>
          <w:rFonts w:ascii="Times New Roman" w:hAnsi="Times New Roman"/>
          <w:sz w:val="20"/>
          <w:szCs w:val="20"/>
        </w:rPr>
        <w:t>.</w:t>
      </w:r>
      <w:r w:rsidRPr="00E76E78">
        <w:rPr>
          <w:rFonts w:ascii="Times New Roman" w:hAnsi="Times New Roman"/>
          <w:sz w:val="20"/>
          <w:szCs w:val="20"/>
        </w:rPr>
        <w:t xml:space="preserve">, Tarkowski P., and Zeljković S. Ć. (2017). Variation in phenolic </w:t>
      </w:r>
      <w:r>
        <w:rPr>
          <w:rFonts w:ascii="Times New Roman" w:hAnsi="Times New Roman"/>
          <w:sz w:val="20"/>
          <w:szCs w:val="20"/>
        </w:rPr>
        <w:t>c</w:t>
      </w:r>
      <w:r w:rsidRPr="00E76E78">
        <w:rPr>
          <w:rFonts w:ascii="Times New Roman" w:hAnsi="Times New Roman"/>
          <w:sz w:val="20"/>
          <w:szCs w:val="20"/>
        </w:rPr>
        <w:t xml:space="preserve">omposition of </w:t>
      </w:r>
      <w:r w:rsidRPr="00E76E78">
        <w:rPr>
          <w:rFonts w:ascii="Times New Roman" w:hAnsi="Times New Roman"/>
          <w:i/>
          <w:iCs/>
          <w:sz w:val="20"/>
          <w:szCs w:val="20"/>
        </w:rPr>
        <w:t>Knautia arvensis</w:t>
      </w:r>
      <w:r w:rsidRPr="00E76E78">
        <w:rPr>
          <w:rFonts w:ascii="Times New Roman" w:hAnsi="Times New Roman"/>
          <w:sz w:val="20"/>
          <w:szCs w:val="20"/>
        </w:rPr>
        <w:t xml:space="preserve"> in correlation with geographic area and plant organ. </w:t>
      </w:r>
      <w:r w:rsidRPr="00E76E78">
        <w:rPr>
          <w:rFonts w:ascii="Times New Roman" w:hAnsi="Times New Roman"/>
          <w:i/>
          <w:iCs/>
          <w:sz w:val="20"/>
          <w:szCs w:val="20"/>
        </w:rPr>
        <w:t>Natural Product Communications</w:t>
      </w:r>
      <w:r w:rsidRPr="00E76E78">
        <w:rPr>
          <w:rFonts w:ascii="Times New Roman" w:hAnsi="Times New Roman"/>
          <w:sz w:val="20"/>
          <w:szCs w:val="20"/>
        </w:rPr>
        <w:t>, 12(4): 545</w:t>
      </w:r>
      <w:r>
        <w:rPr>
          <w:rFonts w:ascii="Times New Roman" w:hAnsi="Times New Roman"/>
          <w:sz w:val="20"/>
          <w:szCs w:val="20"/>
        </w:rPr>
        <w:t>-</w:t>
      </w:r>
      <w:r w:rsidRPr="00E76E78">
        <w:rPr>
          <w:rFonts w:ascii="Times New Roman" w:hAnsi="Times New Roman"/>
          <w:sz w:val="20"/>
          <w:szCs w:val="20"/>
        </w:rPr>
        <w:t>548.</w:t>
      </w:r>
    </w:p>
    <w:p w14:paraId="68E54F07"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Kalia A., Manchanda P., Bhardwaj S.</w:t>
      </w:r>
      <w:r>
        <w:rPr>
          <w:rFonts w:ascii="Times New Roman" w:hAnsi="Times New Roman"/>
          <w:sz w:val="20"/>
          <w:szCs w:val="20"/>
        </w:rPr>
        <w:t xml:space="preserve"> </w:t>
      </w:r>
      <w:r w:rsidRPr="00E76E78">
        <w:rPr>
          <w:rFonts w:ascii="Times New Roman" w:hAnsi="Times New Roman"/>
          <w:sz w:val="20"/>
          <w:szCs w:val="20"/>
        </w:rPr>
        <w:t xml:space="preserve">and Singh G. (2020). Biosynthesized silver nanoparticles from aqueous extracts of sweet lime fruit and callus tissues possess variable antioxidant and antimicrobial potentials. </w:t>
      </w:r>
      <w:r w:rsidRPr="00E76E78">
        <w:rPr>
          <w:rFonts w:ascii="Times New Roman" w:hAnsi="Times New Roman"/>
          <w:i/>
          <w:iCs/>
          <w:sz w:val="20"/>
          <w:szCs w:val="20"/>
        </w:rPr>
        <w:t>Inorganic and Nano-Metal Chemistry,</w:t>
      </w:r>
      <w:r w:rsidRPr="00E76E78">
        <w:rPr>
          <w:rFonts w:ascii="Times New Roman" w:hAnsi="Times New Roman"/>
          <w:sz w:val="20"/>
          <w:szCs w:val="20"/>
        </w:rPr>
        <w:t xml:space="preserve"> 50(11): 1053</w:t>
      </w:r>
      <w:r>
        <w:rPr>
          <w:rFonts w:ascii="Times New Roman" w:hAnsi="Times New Roman"/>
          <w:sz w:val="20"/>
          <w:szCs w:val="20"/>
        </w:rPr>
        <w:t>-</w:t>
      </w:r>
      <w:r w:rsidRPr="00E76E78">
        <w:rPr>
          <w:rFonts w:ascii="Times New Roman" w:hAnsi="Times New Roman"/>
          <w:sz w:val="20"/>
          <w:szCs w:val="20"/>
        </w:rPr>
        <w:t>1062.</w:t>
      </w:r>
    </w:p>
    <w:p w14:paraId="4015A393" w14:textId="77777777" w:rsidR="004A0B99"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Ovais M., Khalil A., Islam N., Ahmad I., Ayaz M., Saravanan M., Shinwari Z.</w:t>
      </w:r>
      <w:r>
        <w:rPr>
          <w:rFonts w:ascii="Times New Roman" w:hAnsi="Times New Roman"/>
          <w:sz w:val="20"/>
          <w:szCs w:val="20"/>
        </w:rPr>
        <w:t xml:space="preserve"> and </w:t>
      </w:r>
      <w:r w:rsidRPr="00E76E78">
        <w:rPr>
          <w:rFonts w:ascii="Times New Roman" w:hAnsi="Times New Roman"/>
          <w:sz w:val="20"/>
          <w:szCs w:val="20"/>
        </w:rPr>
        <w:t xml:space="preserve">Mukherjee S.  (2018). Role of plant phytochemicals and microbial enzymes in biosynthesis of metallic nanoparticles. </w:t>
      </w:r>
      <w:r w:rsidRPr="00E76E78">
        <w:rPr>
          <w:rFonts w:ascii="Times New Roman" w:hAnsi="Times New Roman"/>
          <w:i/>
          <w:iCs/>
          <w:sz w:val="20"/>
          <w:szCs w:val="20"/>
        </w:rPr>
        <w:t xml:space="preserve">Applied Microbiology and Biotechnology, </w:t>
      </w:r>
      <w:r w:rsidRPr="00E76E78">
        <w:rPr>
          <w:rFonts w:ascii="Times New Roman" w:hAnsi="Times New Roman"/>
          <w:sz w:val="20"/>
          <w:szCs w:val="20"/>
        </w:rPr>
        <w:t>102(16): 6799–6814.</w:t>
      </w:r>
    </w:p>
    <w:p w14:paraId="193104B0" w14:textId="77777777" w:rsidR="004A0B99" w:rsidRPr="00E76E78" w:rsidRDefault="004A0B99" w:rsidP="004A0B99">
      <w:pPr>
        <w:pStyle w:val="ListParagraph"/>
        <w:numPr>
          <w:ilvl w:val="0"/>
          <w:numId w:val="2"/>
        </w:numPr>
        <w:spacing w:after="0" w:line="240" w:lineRule="auto"/>
        <w:ind w:left="360"/>
        <w:jc w:val="both"/>
        <w:rPr>
          <w:rFonts w:ascii="Times New Roman" w:hAnsi="Times New Roman"/>
          <w:sz w:val="20"/>
          <w:szCs w:val="20"/>
        </w:rPr>
      </w:pPr>
      <w:r w:rsidRPr="00E76E78">
        <w:rPr>
          <w:rFonts w:ascii="Times New Roman" w:hAnsi="Times New Roman"/>
          <w:sz w:val="20"/>
          <w:szCs w:val="20"/>
        </w:rPr>
        <w:t xml:space="preserve">Borhamdin S., Shamsuddin M. and Alizadeh A. (2016). Biostabilised icosahedral gold nanoparticles: synthesis, cyclic voltammetric studies and catalytic activity towards 4-nitrophenol reduction. </w:t>
      </w:r>
      <w:r w:rsidRPr="00E76E78">
        <w:rPr>
          <w:rFonts w:ascii="Times New Roman" w:hAnsi="Times New Roman"/>
          <w:i/>
          <w:iCs/>
          <w:sz w:val="20"/>
          <w:szCs w:val="20"/>
        </w:rPr>
        <w:t>Journal of Experimental Nanoscience,</w:t>
      </w:r>
      <w:r w:rsidRPr="00E76E78">
        <w:rPr>
          <w:rFonts w:ascii="Times New Roman" w:hAnsi="Times New Roman"/>
          <w:sz w:val="20"/>
          <w:szCs w:val="20"/>
        </w:rPr>
        <w:t xml:space="preserve"> 11(7): 518</w:t>
      </w:r>
      <w:r>
        <w:rPr>
          <w:rFonts w:ascii="Times New Roman" w:hAnsi="Times New Roman"/>
          <w:sz w:val="20"/>
          <w:szCs w:val="20"/>
        </w:rPr>
        <w:t>-</w:t>
      </w:r>
      <w:r w:rsidRPr="00E76E78">
        <w:rPr>
          <w:rFonts w:ascii="Times New Roman" w:hAnsi="Times New Roman"/>
          <w:sz w:val="20"/>
          <w:szCs w:val="20"/>
        </w:rPr>
        <w:t>530.</w:t>
      </w:r>
      <w:bookmarkEnd w:id="6"/>
    </w:p>
    <w:p w14:paraId="088D95F4" w14:textId="77777777" w:rsidR="004A0B99" w:rsidRPr="00AB3D37" w:rsidRDefault="004A0B99" w:rsidP="004A0B99">
      <w:pPr>
        <w:pStyle w:val="Keywords"/>
        <w:spacing w:after="0"/>
        <w:ind w:left="360" w:right="57" w:hanging="360"/>
        <w:jc w:val="both"/>
        <w:rPr>
          <w:rFonts w:cs="Times New Roman"/>
          <w:b w:val="0"/>
          <w:bCs/>
          <w:lang w:val="en-GB"/>
        </w:rPr>
        <w:sectPr w:rsidR="004A0B99" w:rsidRPr="00AB3D37" w:rsidSect="00D20815">
          <w:headerReference w:type="even" r:id="rId52"/>
          <w:headerReference w:type="default" r:id="rId53"/>
          <w:footerReference w:type="even" r:id="rId54"/>
          <w:footerReference w:type="default" r:id="rId55"/>
          <w:headerReference w:type="first" r:id="rId56"/>
          <w:type w:val="continuous"/>
          <w:pgSz w:w="12240" w:h="15840" w:code="1"/>
          <w:pgMar w:top="1800" w:right="1469" w:bottom="1699" w:left="1440" w:header="706" w:footer="706" w:gutter="0"/>
          <w:pgNumType w:start="561"/>
          <w:cols w:num="2" w:space="403"/>
          <w:docGrid w:linePitch="360"/>
        </w:sectPr>
      </w:pPr>
      <w:r w:rsidRPr="00A23AB1">
        <w:fldChar w:fldCharType="end"/>
      </w:r>
      <w:bookmarkEnd w:id="5"/>
    </w:p>
    <w:p w14:paraId="3ABE6617" w14:textId="77777777" w:rsidR="004A0B99" w:rsidRPr="00124BAD" w:rsidRDefault="004A0B99" w:rsidP="004A0B99">
      <w:pPr>
        <w:pStyle w:val="Keywords"/>
        <w:spacing w:after="0"/>
        <w:ind w:left="0" w:right="66"/>
        <w:rPr>
          <w:rFonts w:cs="Times New Roman"/>
          <w:b w:val="0"/>
          <w:bCs/>
          <w:lang w:val="en-GB"/>
        </w:rPr>
        <w:sectPr w:rsidR="004A0B99" w:rsidRPr="00124BAD" w:rsidSect="001F6412">
          <w:type w:val="continuous"/>
          <w:pgSz w:w="12240" w:h="15840" w:code="1"/>
          <w:pgMar w:top="1800" w:right="1469" w:bottom="1699" w:left="1440" w:header="706" w:footer="706" w:gutter="0"/>
          <w:pgNumType w:start="561"/>
          <w:cols w:space="708"/>
          <w:docGrid w:linePitch="360"/>
        </w:sectPr>
      </w:pPr>
    </w:p>
    <w:p w14:paraId="16D4AFEB" w14:textId="786D88EF" w:rsidR="004A0B99" w:rsidRDefault="004A0B99" w:rsidP="00985126">
      <w:pPr>
        <w:spacing w:after="0"/>
        <w:jc w:val="both"/>
        <w:rPr>
          <w:rFonts w:ascii="Times New Roman" w:hAnsi="Times New Roman"/>
          <w:bCs/>
          <w:sz w:val="20"/>
          <w:szCs w:val="18"/>
          <w:lang w:val="en-GB"/>
        </w:rPr>
        <w:sectPr w:rsidR="004A0B99" w:rsidSect="004A0B99">
          <w:type w:val="continuous"/>
          <w:pgSz w:w="12240" w:h="15840" w:code="1"/>
          <w:pgMar w:top="1800" w:right="1469" w:bottom="1699" w:left="1440" w:header="706" w:footer="706" w:gutter="0"/>
          <w:pgNumType w:start="0"/>
          <w:cols w:num="2" w:space="403"/>
          <w:docGrid w:linePitch="360"/>
        </w:sectPr>
      </w:pPr>
    </w:p>
    <w:p w14:paraId="7C4CF332" w14:textId="73B23629" w:rsidR="004A0B99" w:rsidRPr="00985126" w:rsidRDefault="004A0B99" w:rsidP="00985126">
      <w:pPr>
        <w:spacing w:after="0"/>
        <w:jc w:val="both"/>
        <w:rPr>
          <w:rFonts w:ascii="Times New Roman" w:hAnsi="Times New Roman"/>
          <w:bCs/>
          <w:sz w:val="20"/>
          <w:szCs w:val="18"/>
          <w:lang w:val="en-GB"/>
        </w:rPr>
      </w:pPr>
    </w:p>
    <w:sectPr w:rsidR="004A0B99" w:rsidRPr="00985126" w:rsidSect="00AC6EB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8ADE59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716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44561" w14:textId="27D609A5" w:rsidR="00332DDA" w:rsidRPr="004B43FF" w:rsidRDefault="00567BF1">
    <w:pPr>
      <w:pStyle w:val="Footer"/>
      <w:rPr>
        <w:rFonts w:ascii="Times New Roman" w:hAnsi="Times New Roman"/>
        <w:lang w:val="en-US"/>
      </w:rPr>
    </w:pPr>
    <w:r>
      <w:rPr>
        <w:rFonts w:ascii="Times New Roman" w:hAnsi="Times New Roman"/>
        <w:noProof/>
        <w:lang w:val="en-US"/>
      </w:rPr>
      <w:t>725</w:t>
    </w:r>
    <w:r w:rsidR="00332DDA" w:rsidRPr="0069547D">
      <w:rPr>
        <w:rFonts w:ascii="Times New Roman" w:hAnsi="Times New Roman"/>
        <w:noProof/>
        <w:lang w:val="en-US"/>
      </w:rPr>
      <w:ptab w:relativeTo="margin" w:alignment="center" w:leader="none"/>
    </w:r>
    <w:r w:rsidR="00332DDA"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26C2" w14:textId="6DDBC879" w:rsidR="00332DDA" w:rsidRDefault="00332DD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C56B" w14:textId="118F48F8" w:rsidR="00332DDA" w:rsidRPr="004B43FF" w:rsidRDefault="00567BF1">
    <w:pPr>
      <w:pStyle w:val="Footer"/>
      <w:rPr>
        <w:rFonts w:ascii="Times New Roman" w:hAnsi="Times New Roman"/>
        <w:lang w:val="en-US"/>
      </w:rPr>
    </w:pPr>
    <w:r>
      <w:rPr>
        <w:rFonts w:ascii="Times New Roman" w:hAnsi="Times New Roman"/>
        <w:noProof/>
        <w:lang w:val="en-US"/>
      </w:rPr>
      <w:t>727</w:t>
    </w:r>
    <w:r w:rsidR="00332DDA" w:rsidRPr="0069547D">
      <w:rPr>
        <w:rFonts w:ascii="Times New Roman" w:hAnsi="Times New Roman"/>
        <w:noProof/>
        <w:lang w:val="en-US"/>
      </w:rPr>
      <w:ptab w:relativeTo="margin" w:alignment="center" w:leader="none"/>
    </w:r>
    <w:r w:rsidR="00332DDA"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090A2657" w:rsidR="00D75B35" w:rsidRPr="004B43FF" w:rsidRDefault="00567BF1">
    <w:pPr>
      <w:pStyle w:val="Footer"/>
      <w:rPr>
        <w:rFonts w:ascii="Times New Roman" w:hAnsi="Times New Roman"/>
        <w:lang w:val="en-US"/>
      </w:rPr>
    </w:pPr>
    <w:r>
      <w:rPr>
        <w:rFonts w:ascii="Times New Roman" w:hAnsi="Times New Roman"/>
        <w:noProof/>
        <w:lang w:val="en-US"/>
      </w:rPr>
      <w:t>717</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0504" w14:textId="764BA9A0"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95D3" w14:textId="0423E44D" w:rsidR="00EE2235" w:rsidRPr="004B43FF" w:rsidRDefault="00567BF1">
    <w:pPr>
      <w:pStyle w:val="Footer"/>
      <w:rPr>
        <w:rFonts w:ascii="Times New Roman" w:hAnsi="Times New Roman"/>
        <w:lang w:val="en-US"/>
      </w:rPr>
    </w:pPr>
    <w:r>
      <w:rPr>
        <w:rFonts w:ascii="Times New Roman" w:hAnsi="Times New Roman"/>
        <w:noProof/>
        <w:lang w:val="en-US"/>
      </w:rPr>
      <w:t>719</w:t>
    </w:r>
    <w:r w:rsidR="00EE2235" w:rsidRPr="0069547D">
      <w:rPr>
        <w:rFonts w:ascii="Times New Roman" w:hAnsi="Times New Roman"/>
        <w:noProof/>
        <w:lang w:val="en-US"/>
      </w:rPr>
      <w:ptab w:relativeTo="margin" w:alignment="center" w:leader="none"/>
    </w:r>
    <w:r w:rsidR="00EE2235"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401D" w14:textId="40684379"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F448" w14:textId="1E9C9738" w:rsidR="00EE2235" w:rsidRDefault="00EE22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32EE" w14:textId="110B214B" w:rsidR="00EE2235" w:rsidRPr="004B43FF" w:rsidRDefault="00567BF1">
    <w:pPr>
      <w:pStyle w:val="Footer"/>
      <w:rPr>
        <w:rFonts w:ascii="Times New Roman" w:hAnsi="Times New Roman"/>
        <w:lang w:val="en-US"/>
      </w:rPr>
    </w:pPr>
    <w:r>
      <w:rPr>
        <w:rFonts w:ascii="Times New Roman" w:hAnsi="Times New Roman"/>
        <w:noProof/>
        <w:lang w:val="en-US"/>
      </w:rPr>
      <w:t>721</w:t>
    </w:r>
    <w:r w:rsidR="00EE2235" w:rsidRPr="0069547D">
      <w:rPr>
        <w:rFonts w:ascii="Times New Roman" w:hAnsi="Times New Roman"/>
        <w:noProof/>
        <w:lang w:val="en-US"/>
      </w:rPr>
      <w:ptab w:relativeTo="margin" w:alignment="center" w:leader="none"/>
    </w:r>
    <w:r w:rsidR="00EE2235"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9A9C" w14:textId="65813C59" w:rsidR="00332DDA" w:rsidRPr="004B43FF" w:rsidRDefault="00332DDA">
    <w:pPr>
      <w:pStyle w:val="Footer"/>
      <w:rPr>
        <w:rFonts w:ascii="Times New Roman" w:hAnsi="Times New Roman"/>
        <w:lang w:val="en-US"/>
      </w:rPr>
    </w:pPr>
    <w:r>
      <w:rPr>
        <w:rFonts w:ascii="Times New Roman" w:hAnsi="Times New Roman"/>
        <w:noProof/>
        <w:lang w:val="en-US"/>
      </w:rPr>
      <w:t>7</w:t>
    </w:r>
    <w:r w:rsidR="00567BF1">
      <w:rPr>
        <w:rFonts w:ascii="Times New Roman" w:hAnsi="Times New Roman"/>
        <w:noProof/>
        <w:lang w:val="en-US"/>
      </w:rPr>
      <w:t>23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860A" w14:textId="36DC5B30" w:rsidR="00332DDA" w:rsidRDefault="00332DD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67BF1">
      <w:rPr>
        <w:rFonts w:ascii="Times New Roman" w:hAnsi="Times New Roman"/>
        <w:lang w:val="en-US"/>
      </w:rPr>
      <w:t>724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C4120E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567BF1">
      <w:rPr>
        <w:rFonts w:ascii="Times New Roman" w:hAnsi="Times New Roman"/>
        <w:i/>
        <w:lang w:val="en-US"/>
      </w:rPr>
      <w:t>716</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567BF1">
      <w:rPr>
        <w:rFonts w:ascii="Times New Roman" w:hAnsi="Times New Roman"/>
        <w:i/>
        <w:lang w:val="en-US"/>
      </w:rPr>
      <w:t>727</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5005" w14:textId="3920A529" w:rsidR="00FF68F6" w:rsidRPr="00AC6EB5" w:rsidRDefault="00FF68F6" w:rsidP="00FF68F6">
    <w:pPr>
      <w:spacing w:after="0"/>
      <w:ind w:left="1890" w:hanging="1890"/>
      <w:outlineLvl w:val="0"/>
      <w:rPr>
        <w:rFonts w:ascii="Times New Roman" w:hAnsi="Times New Roman"/>
        <w:sz w:val="20"/>
        <w:szCs w:val="20"/>
      </w:rPr>
    </w:pPr>
    <w:r>
      <w:rPr>
        <w:rFonts w:ascii="Times New Roman" w:hAnsi="Times New Roman"/>
        <w:sz w:val="20"/>
        <w:szCs w:val="20"/>
      </w:rPr>
      <w:t>S</w:t>
    </w:r>
    <w:r w:rsidRPr="00AC6EB5">
      <w:rPr>
        <w:rFonts w:ascii="Times New Roman" w:hAnsi="Times New Roman"/>
        <w:sz w:val="20"/>
        <w:szCs w:val="20"/>
      </w:rPr>
      <w:t xml:space="preserve">hahrulnizahana et al: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3E52CAE6" w14:textId="4E6D54A9" w:rsidR="00F26934" w:rsidRDefault="00F2693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5FD8" w14:textId="3A13BC5B" w:rsidR="00F26934" w:rsidRDefault="00F269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0489" w14:textId="1BEA0089" w:rsidR="00F26934" w:rsidRDefault="00F269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EB77" w14:textId="5191F857" w:rsidR="00FF68F6" w:rsidRPr="00AC6EB5" w:rsidRDefault="00FF68F6" w:rsidP="00FF68F6">
    <w:pPr>
      <w:spacing w:after="0"/>
      <w:ind w:left="1890" w:hanging="1890"/>
      <w:outlineLvl w:val="0"/>
      <w:rPr>
        <w:rFonts w:ascii="Times New Roman" w:hAnsi="Times New Roman"/>
        <w:sz w:val="20"/>
        <w:szCs w:val="20"/>
      </w:rPr>
    </w:pPr>
    <w:r>
      <w:rPr>
        <w:rFonts w:ascii="Times New Roman" w:hAnsi="Times New Roman"/>
        <w:sz w:val="20"/>
        <w:szCs w:val="20"/>
      </w:rPr>
      <w:t>S</w:t>
    </w:r>
    <w:r w:rsidRPr="00AC6EB5">
      <w:rPr>
        <w:rFonts w:ascii="Times New Roman" w:hAnsi="Times New Roman"/>
        <w:sz w:val="20"/>
        <w:szCs w:val="20"/>
      </w:rPr>
      <w:t xml:space="preserve">hahrulnizahana et al: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5A8FE9B7" w14:textId="7B23595D" w:rsidR="00F26934" w:rsidRDefault="00F269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E228" w14:textId="5355C16B" w:rsidR="00F26934" w:rsidRDefault="00F269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FCAB" w14:textId="197C483F" w:rsidR="00F26934" w:rsidRDefault="00FF68F6" w:rsidP="00F26934">
    <w:pPr>
      <w:pStyle w:val="Header"/>
      <w:jc w:val="right"/>
      <w:rPr>
        <w:rFonts w:ascii="Times New Roman" w:hAnsi="Times New Roman"/>
        <w:i/>
        <w:lang w:val="en-US"/>
      </w:rPr>
    </w:pPr>
    <w:r>
      <w:rPr>
        <w:rFonts w:ascii="Times New Roman" w:hAnsi="Times New Roman"/>
        <w:i/>
        <w:lang w:val="en-US"/>
      </w:rPr>
      <w:t>M</w:t>
    </w:r>
    <w:r w:rsidR="00F26934" w:rsidRPr="00D75B35">
      <w:rPr>
        <w:rFonts w:ascii="Times New Roman" w:hAnsi="Times New Roman"/>
        <w:i/>
      </w:rPr>
      <w:t xml:space="preserve">alaysian Journal of </w:t>
    </w:r>
    <w:r w:rsidR="00F26934">
      <w:rPr>
        <w:rFonts w:ascii="Times New Roman" w:hAnsi="Times New Roman"/>
        <w:i/>
      </w:rPr>
      <w:t xml:space="preserve">Analytical Sciences, Vol </w:t>
    </w:r>
    <w:r w:rsidR="00F26934">
      <w:rPr>
        <w:rFonts w:ascii="Times New Roman" w:hAnsi="Times New Roman"/>
        <w:i/>
        <w:lang w:val="en-US"/>
      </w:rPr>
      <w:t>25</w:t>
    </w:r>
    <w:r w:rsidR="00F26934">
      <w:rPr>
        <w:rFonts w:ascii="Times New Roman" w:hAnsi="Times New Roman"/>
        <w:i/>
      </w:rPr>
      <w:t xml:space="preserve"> </w:t>
    </w:r>
    <w:r w:rsidR="00F26934">
      <w:rPr>
        <w:rFonts w:ascii="Times New Roman" w:hAnsi="Times New Roman"/>
        <w:i/>
        <w:lang w:val="en-US"/>
      </w:rPr>
      <w:t xml:space="preserve">No 5 </w:t>
    </w:r>
    <w:r w:rsidR="00F26934">
      <w:rPr>
        <w:rFonts w:ascii="Times New Roman" w:hAnsi="Times New Roman"/>
        <w:i/>
      </w:rPr>
      <w:t>(20</w:t>
    </w:r>
    <w:r w:rsidR="00F26934">
      <w:rPr>
        <w:rFonts w:ascii="Times New Roman" w:hAnsi="Times New Roman"/>
        <w:i/>
        <w:lang w:val="en-MY"/>
      </w:rPr>
      <w:t>21</w:t>
    </w:r>
    <w:r w:rsidR="00F26934" w:rsidRPr="00D75B35">
      <w:rPr>
        <w:rFonts w:ascii="Times New Roman" w:hAnsi="Times New Roman"/>
        <w:i/>
      </w:rPr>
      <w:t xml:space="preserve">): </w:t>
    </w:r>
    <w:r w:rsidR="00567BF1">
      <w:rPr>
        <w:rFonts w:ascii="Times New Roman" w:hAnsi="Times New Roman"/>
        <w:i/>
        <w:lang w:val="en-US"/>
      </w:rPr>
      <w:t>716 - 727</w:t>
    </w:r>
  </w:p>
  <w:p w14:paraId="67BE9174" w14:textId="20CEDC63" w:rsidR="00F26934" w:rsidRDefault="00F2693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9CE16" w14:textId="3AE98D58" w:rsidR="00F26934" w:rsidRDefault="00F2693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1E25" w14:textId="16283D93" w:rsidR="00F26934" w:rsidRDefault="00F2693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0302" w14:textId="30E322B8" w:rsidR="00F26934" w:rsidRDefault="00F2693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FFB7" w14:textId="238EEEB7" w:rsidR="00FF68F6" w:rsidRPr="00AC6EB5" w:rsidRDefault="00FF68F6" w:rsidP="00FF68F6">
    <w:pPr>
      <w:spacing w:after="0"/>
      <w:ind w:left="1890" w:hanging="1890"/>
      <w:outlineLvl w:val="0"/>
      <w:rPr>
        <w:rFonts w:ascii="Times New Roman" w:hAnsi="Times New Roman"/>
        <w:sz w:val="20"/>
        <w:szCs w:val="20"/>
      </w:rPr>
    </w:pPr>
    <w:r>
      <w:rPr>
        <w:rFonts w:ascii="Times New Roman" w:hAnsi="Times New Roman"/>
        <w:sz w:val="20"/>
        <w:szCs w:val="20"/>
      </w:rPr>
      <w:t>S</w:t>
    </w:r>
    <w:r w:rsidRPr="00AC6EB5">
      <w:rPr>
        <w:rFonts w:ascii="Times New Roman" w:hAnsi="Times New Roman"/>
        <w:sz w:val="20"/>
        <w:szCs w:val="20"/>
      </w:rPr>
      <w:t xml:space="preserve">hahrulnizahana et al: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27B77212" w14:textId="14B7BF7E" w:rsidR="00F26934" w:rsidRDefault="00F26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28BA" w14:textId="73B2E2F5" w:rsidR="00AC6EB5" w:rsidRPr="00AC6EB5" w:rsidRDefault="00AC6EB5" w:rsidP="00AC6EB5">
    <w:pPr>
      <w:spacing w:after="0"/>
      <w:ind w:left="1890" w:hanging="1890"/>
      <w:outlineLvl w:val="0"/>
      <w:rPr>
        <w:rFonts w:ascii="Times New Roman" w:hAnsi="Times New Roman"/>
        <w:sz w:val="20"/>
        <w:szCs w:val="20"/>
      </w:rPr>
    </w:pPr>
    <w:r w:rsidRPr="00AC6EB5">
      <w:rPr>
        <w:rFonts w:ascii="Times New Roman" w:hAnsi="Times New Roman"/>
        <w:sz w:val="20"/>
        <w:szCs w:val="20"/>
      </w:rPr>
      <w:t>Shahrulnizahana et al</w:t>
    </w:r>
    <w:r w:rsidR="008E6968" w:rsidRPr="00AC6EB5">
      <w:rPr>
        <w:rFonts w:ascii="Times New Roman" w:hAnsi="Times New Roman"/>
        <w:sz w:val="20"/>
        <w:szCs w:val="20"/>
      </w:rPr>
      <w:t xml:space="preserve">: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652E6EB3" w14:textId="44803BB7"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963D" w14:textId="2CE03878" w:rsidR="00F26934" w:rsidRDefault="00F2693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B86D" w14:textId="0BA2EDF2" w:rsidR="00FF68F6" w:rsidRDefault="00FF68F6" w:rsidP="00FF68F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567BF1">
      <w:rPr>
        <w:rFonts w:ascii="Times New Roman" w:hAnsi="Times New Roman"/>
        <w:i/>
        <w:lang w:val="en-US"/>
      </w:rPr>
      <w:t>716</w:t>
    </w:r>
    <w:r>
      <w:rPr>
        <w:rFonts w:ascii="Times New Roman" w:hAnsi="Times New Roman"/>
        <w:i/>
        <w:lang w:val="en-US"/>
      </w:rPr>
      <w:t xml:space="preserve"> - </w:t>
    </w:r>
    <w:r w:rsidR="00567BF1">
      <w:rPr>
        <w:rFonts w:ascii="Times New Roman" w:hAnsi="Times New Roman"/>
        <w:i/>
        <w:lang w:val="en-US"/>
      </w:rPr>
      <w:t>727</w:t>
    </w:r>
  </w:p>
  <w:p w14:paraId="0702CE6C" w14:textId="14F809C7" w:rsidR="00F26934" w:rsidRDefault="00F2693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B726" w14:textId="75471062" w:rsidR="00FF68F6" w:rsidRPr="00AC6EB5" w:rsidRDefault="00FF68F6" w:rsidP="00FF68F6">
    <w:pPr>
      <w:spacing w:after="0"/>
      <w:ind w:left="1890" w:hanging="1890"/>
      <w:outlineLvl w:val="0"/>
      <w:rPr>
        <w:rFonts w:ascii="Times New Roman" w:hAnsi="Times New Roman"/>
        <w:sz w:val="20"/>
        <w:szCs w:val="20"/>
      </w:rPr>
    </w:pPr>
    <w:r>
      <w:rPr>
        <w:rFonts w:ascii="Times New Roman" w:hAnsi="Times New Roman"/>
        <w:sz w:val="20"/>
        <w:szCs w:val="20"/>
      </w:rPr>
      <w:t>S</w:t>
    </w:r>
    <w:r w:rsidRPr="00AC6EB5">
      <w:rPr>
        <w:rFonts w:ascii="Times New Roman" w:hAnsi="Times New Roman"/>
        <w:sz w:val="20"/>
        <w:szCs w:val="20"/>
      </w:rPr>
      <w:t xml:space="preserve">hahrulnizahana et al: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1F7EFA08" w14:textId="0A9BC18E" w:rsidR="00F26934" w:rsidRDefault="00F2693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5AE8" w14:textId="683A05A9" w:rsidR="00F26934" w:rsidRDefault="00F26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98C4" w14:textId="174220E9" w:rsidR="00F26934" w:rsidRDefault="00F26934" w:rsidP="00F269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567BF1">
      <w:rPr>
        <w:rFonts w:ascii="Times New Roman" w:hAnsi="Times New Roman"/>
        <w:i/>
        <w:lang w:val="en-US"/>
      </w:rPr>
      <w:t>716 - 727</w:t>
    </w:r>
  </w:p>
  <w:p w14:paraId="53003946" w14:textId="62AA3ADD" w:rsidR="00F26934" w:rsidRDefault="00F26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D75D" w14:textId="21E0EDC5" w:rsidR="00FF68F6" w:rsidRPr="00AC6EB5" w:rsidRDefault="00FF68F6" w:rsidP="00FF68F6">
    <w:pPr>
      <w:spacing w:after="0"/>
      <w:ind w:left="1890" w:hanging="1890"/>
      <w:outlineLvl w:val="0"/>
      <w:rPr>
        <w:rFonts w:ascii="Times New Roman" w:hAnsi="Times New Roman"/>
        <w:sz w:val="20"/>
        <w:szCs w:val="20"/>
      </w:rPr>
    </w:pPr>
    <w:r>
      <w:rPr>
        <w:rFonts w:ascii="Times New Roman" w:hAnsi="Times New Roman"/>
        <w:sz w:val="20"/>
        <w:szCs w:val="20"/>
      </w:rPr>
      <w:t>S</w:t>
    </w:r>
    <w:r w:rsidRPr="00AC6EB5">
      <w:rPr>
        <w:rFonts w:ascii="Times New Roman" w:hAnsi="Times New Roman"/>
        <w:sz w:val="20"/>
        <w:szCs w:val="20"/>
      </w:rPr>
      <w:t xml:space="preserve">hahrulnizahana et al:  </w:t>
    </w:r>
    <w:r>
      <w:rPr>
        <w:rFonts w:ascii="Times New Roman" w:hAnsi="Times New Roman"/>
        <w:sz w:val="20"/>
        <w:szCs w:val="20"/>
      </w:rPr>
      <w:tab/>
    </w:r>
    <w:r w:rsidRPr="00AC6EB5">
      <w:rPr>
        <w:rFonts w:ascii="Times New Roman" w:hAnsi="Times New Roman"/>
        <w:sz w:val="20"/>
        <w:szCs w:val="20"/>
      </w:rPr>
      <w:t xml:space="preserve">EFFECT OF PLANT ORGANS OF </w:t>
    </w:r>
    <w:r w:rsidRPr="00AC6EB5">
      <w:rPr>
        <w:rFonts w:ascii="Times New Roman" w:hAnsi="Times New Roman"/>
        <w:i/>
        <w:iCs/>
        <w:sz w:val="20"/>
        <w:szCs w:val="20"/>
      </w:rPr>
      <w:t>Ficus deltoidea</w:t>
    </w:r>
    <w:r w:rsidRPr="00AC6EB5">
      <w:rPr>
        <w:rFonts w:ascii="Times New Roman" w:hAnsi="Times New Roman"/>
        <w:sz w:val="20"/>
        <w:szCs w:val="20"/>
      </w:rPr>
      <w:t xml:space="preserve"> IN THE SYNTHESIS</w:t>
    </w:r>
    <w:r>
      <w:rPr>
        <w:rFonts w:ascii="Times New Roman" w:hAnsi="Times New Roman"/>
        <w:sz w:val="20"/>
        <w:szCs w:val="20"/>
      </w:rPr>
      <w:t xml:space="preserve"> </w:t>
    </w:r>
    <w:r w:rsidRPr="00AC6EB5">
      <w:rPr>
        <w:rFonts w:ascii="Times New Roman" w:hAnsi="Times New Roman"/>
        <w:sz w:val="20"/>
        <w:szCs w:val="20"/>
      </w:rPr>
      <w:t>OF SILVER NANOPARTICLES</w:t>
    </w:r>
  </w:p>
  <w:p w14:paraId="0BB7C685" w14:textId="37A1118B" w:rsidR="00F26934" w:rsidRDefault="00F269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1354" w14:textId="30B9CAEA" w:rsidR="00F26934" w:rsidRDefault="00F269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34E3" w14:textId="69921A30" w:rsidR="00F26934" w:rsidRDefault="00F26934" w:rsidP="00F269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567BF1">
      <w:rPr>
        <w:rFonts w:ascii="Times New Roman" w:hAnsi="Times New Roman"/>
        <w:i/>
        <w:lang w:val="en-US"/>
      </w:rPr>
      <w:t>716 - 727</w:t>
    </w:r>
  </w:p>
  <w:p w14:paraId="30C09383" w14:textId="3ADA132D" w:rsidR="00F26934" w:rsidRDefault="00F269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4D8BE" w14:textId="5B1E724C" w:rsidR="00F26934" w:rsidRDefault="00F269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1C03" w14:textId="392AD27F" w:rsidR="00F26934" w:rsidRDefault="00F269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41A0" w14:textId="3A5F393F" w:rsidR="00F26934" w:rsidRDefault="00F26934" w:rsidP="00F26934">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567BF1">
      <w:rPr>
        <w:rFonts w:ascii="Times New Roman" w:hAnsi="Times New Roman"/>
        <w:i/>
        <w:lang w:val="en-US"/>
      </w:rPr>
      <w:t>716 - 727</w:t>
    </w:r>
  </w:p>
  <w:p w14:paraId="6999E041" w14:textId="222DB45F" w:rsidR="00F26934" w:rsidRDefault="00F26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2E17049"/>
    <w:multiLevelType w:val="hybridMultilevel"/>
    <w:tmpl w:val="C0D2BDB8"/>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752F0"/>
    <w:rsid w:val="002867F0"/>
    <w:rsid w:val="0029079C"/>
    <w:rsid w:val="002B0F29"/>
    <w:rsid w:val="002B188F"/>
    <w:rsid w:val="002B3BD8"/>
    <w:rsid w:val="002F3F91"/>
    <w:rsid w:val="00304767"/>
    <w:rsid w:val="00304B34"/>
    <w:rsid w:val="00312C0E"/>
    <w:rsid w:val="00332DDA"/>
    <w:rsid w:val="00345738"/>
    <w:rsid w:val="00361BAF"/>
    <w:rsid w:val="00367D1F"/>
    <w:rsid w:val="00373A9B"/>
    <w:rsid w:val="0038323C"/>
    <w:rsid w:val="00383C16"/>
    <w:rsid w:val="00383F26"/>
    <w:rsid w:val="0039005B"/>
    <w:rsid w:val="003B0AC0"/>
    <w:rsid w:val="003D585B"/>
    <w:rsid w:val="003E7DA6"/>
    <w:rsid w:val="003F12FF"/>
    <w:rsid w:val="00403449"/>
    <w:rsid w:val="00420074"/>
    <w:rsid w:val="004760D4"/>
    <w:rsid w:val="00494C46"/>
    <w:rsid w:val="004A0B99"/>
    <w:rsid w:val="004A1191"/>
    <w:rsid w:val="004A12DD"/>
    <w:rsid w:val="004B43FF"/>
    <w:rsid w:val="00502641"/>
    <w:rsid w:val="00510BA6"/>
    <w:rsid w:val="00534441"/>
    <w:rsid w:val="00542CFC"/>
    <w:rsid w:val="00545363"/>
    <w:rsid w:val="00567BF1"/>
    <w:rsid w:val="00567D9E"/>
    <w:rsid w:val="00583C85"/>
    <w:rsid w:val="00584156"/>
    <w:rsid w:val="005B5988"/>
    <w:rsid w:val="005C6768"/>
    <w:rsid w:val="00624C7C"/>
    <w:rsid w:val="0063144D"/>
    <w:rsid w:val="00634C25"/>
    <w:rsid w:val="006416AB"/>
    <w:rsid w:val="00672075"/>
    <w:rsid w:val="006768E9"/>
    <w:rsid w:val="00687982"/>
    <w:rsid w:val="00691F3E"/>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110FB"/>
    <w:rsid w:val="00917637"/>
    <w:rsid w:val="009846D2"/>
    <w:rsid w:val="00985126"/>
    <w:rsid w:val="00992776"/>
    <w:rsid w:val="00A14DB9"/>
    <w:rsid w:val="00A4762A"/>
    <w:rsid w:val="00A74A7E"/>
    <w:rsid w:val="00A87399"/>
    <w:rsid w:val="00AC6EB5"/>
    <w:rsid w:val="00AD1B8A"/>
    <w:rsid w:val="00AD76AF"/>
    <w:rsid w:val="00AE713F"/>
    <w:rsid w:val="00B1121C"/>
    <w:rsid w:val="00B23220"/>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07CEF"/>
    <w:rsid w:val="00C2226A"/>
    <w:rsid w:val="00C80273"/>
    <w:rsid w:val="00C943DD"/>
    <w:rsid w:val="00C94D92"/>
    <w:rsid w:val="00C97340"/>
    <w:rsid w:val="00CA513F"/>
    <w:rsid w:val="00CC6D67"/>
    <w:rsid w:val="00CD41CA"/>
    <w:rsid w:val="00CF05FF"/>
    <w:rsid w:val="00D33D1A"/>
    <w:rsid w:val="00D340BB"/>
    <w:rsid w:val="00D505D5"/>
    <w:rsid w:val="00D63C28"/>
    <w:rsid w:val="00D758A9"/>
    <w:rsid w:val="00D75B35"/>
    <w:rsid w:val="00D76E09"/>
    <w:rsid w:val="00D9736F"/>
    <w:rsid w:val="00D97773"/>
    <w:rsid w:val="00D9792A"/>
    <w:rsid w:val="00DD377F"/>
    <w:rsid w:val="00E17493"/>
    <w:rsid w:val="00E229C4"/>
    <w:rsid w:val="00E25547"/>
    <w:rsid w:val="00E2773B"/>
    <w:rsid w:val="00E3287E"/>
    <w:rsid w:val="00E66197"/>
    <w:rsid w:val="00EB5BA5"/>
    <w:rsid w:val="00EE2235"/>
    <w:rsid w:val="00EF4195"/>
    <w:rsid w:val="00F202C3"/>
    <w:rsid w:val="00F23D94"/>
    <w:rsid w:val="00F26934"/>
    <w:rsid w:val="00F307D5"/>
    <w:rsid w:val="00F31093"/>
    <w:rsid w:val="00F412AF"/>
    <w:rsid w:val="00F43667"/>
    <w:rsid w:val="00F447A7"/>
    <w:rsid w:val="00F467A2"/>
    <w:rsid w:val="00F567E6"/>
    <w:rsid w:val="00F743E1"/>
    <w:rsid w:val="00FB4C59"/>
    <w:rsid w:val="00FB4F34"/>
    <w:rsid w:val="00FE0572"/>
    <w:rsid w:val="00FE6650"/>
    <w:rsid w:val="00FE765F"/>
    <w:rsid w:val="00FF68F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Keywords">
    <w:name w:val="Keywords"/>
    <w:basedOn w:val="Normal"/>
    <w:rsid w:val="00AC6EB5"/>
    <w:pPr>
      <w:spacing w:after="120" w:line="240" w:lineRule="auto"/>
      <w:ind w:left="288" w:right="288"/>
    </w:pPr>
    <w:rPr>
      <w:rFonts w:ascii="Times New Roman" w:hAnsi="Times New Roman" w:cs="Angsana New"/>
      <w:b/>
      <w:sz w:val="20"/>
      <w:szCs w:val="20"/>
      <w:lang w:bidi="ar-SA"/>
    </w:rPr>
  </w:style>
  <w:style w:type="table" w:styleId="TableGrid">
    <w:name w:val="Table Grid"/>
    <w:basedOn w:val="TableNormal"/>
    <w:uiPriority w:val="39"/>
    <w:rsid w:val="00985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header" Target="header15.xml"/><Relationship Id="rId47" Type="http://schemas.microsoft.com/office/2007/relationships/hdphoto" Target="media/hdphoto4.wdp"/><Relationship Id="rId50" Type="http://schemas.openxmlformats.org/officeDocument/2006/relationships/footer" Target="footer10.xml"/><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7.xml"/><Relationship Id="rId37" Type="http://schemas.microsoft.com/office/2007/relationships/hdphoto" Target="media/hdphoto3.wdp"/><Relationship Id="rId40" Type="http://schemas.openxmlformats.org/officeDocument/2006/relationships/footer" Target="footer8.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0.xml"/><Relationship Id="rId35" Type="http://schemas.microsoft.com/office/2007/relationships/hdphoto" Target="media/hdphoto2.wdp"/><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header" Target="header12.xml"/><Relationship Id="rId46" Type="http://schemas.openxmlformats.org/officeDocument/2006/relationships/image" Target="media/image10.png"/><Relationship Id="rId20" Type="http://schemas.openxmlformats.org/officeDocument/2006/relationships/header" Target="header7.xml"/><Relationship Id="rId41" Type="http://schemas.openxmlformats.org/officeDocument/2006/relationships/header" Target="header14.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image" Target="media/image9.png"/><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footer" Target="footer9.xml"/><Relationship Id="rId5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14214</Words>
  <Characters>81022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95046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7</cp:revision>
  <dcterms:created xsi:type="dcterms:W3CDTF">2021-09-30T10:14:00Z</dcterms:created>
  <dcterms:modified xsi:type="dcterms:W3CDTF">2021-10-18T13:00:00Z</dcterms:modified>
</cp:coreProperties>
</file>