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A7719" w14:textId="1F59B5AE" w:rsidR="00B95307" w:rsidRPr="00160455" w:rsidRDefault="00B95307" w:rsidP="00160455">
      <w:pPr>
        <w:spacing w:after="0"/>
        <w:jc w:val="center"/>
        <w:outlineLvl w:val="0"/>
        <w:rPr>
          <w:rFonts w:ascii="Times New Roman" w:hAnsi="Times New Roman"/>
          <w:sz w:val="28"/>
          <w:szCs w:val="28"/>
        </w:rPr>
      </w:pPr>
      <w:bookmarkStart w:id="0" w:name="_Hlk81216877"/>
      <w:bookmarkStart w:id="1" w:name="_Hlk83727523"/>
      <w:r w:rsidRPr="00160455">
        <w:rPr>
          <w:rFonts w:ascii="Times New Roman" w:hAnsi="Times New Roman"/>
          <w:sz w:val="28"/>
          <w:szCs w:val="28"/>
        </w:rPr>
        <w:t xml:space="preserve">SPECTROPHOTOMETRIC DETERMINATION OF TOTAL FLAVONOID CONTENTS IN TEA PRODUCTS AND THEIR LIQUORS UNDER VARIOUS BREWING CONDITIONS </w:t>
      </w:r>
      <w:bookmarkEnd w:id="0"/>
    </w:p>
    <w:bookmarkEnd w:id="1"/>
    <w:p w14:paraId="4A17C8D5" w14:textId="77777777" w:rsidR="00B95307" w:rsidRPr="00160455" w:rsidRDefault="00B95307" w:rsidP="00B95307">
      <w:pPr>
        <w:spacing w:after="0"/>
        <w:jc w:val="center"/>
        <w:outlineLvl w:val="0"/>
        <w:rPr>
          <w:rFonts w:ascii="Times New Roman" w:hAnsi="Times New Roman"/>
          <w:sz w:val="24"/>
          <w:szCs w:val="24"/>
        </w:rPr>
      </w:pPr>
    </w:p>
    <w:p w14:paraId="125DF55B" w14:textId="62906836" w:rsidR="00B95307" w:rsidRPr="00160455" w:rsidRDefault="00B95307" w:rsidP="00160455">
      <w:pPr>
        <w:spacing w:after="0"/>
        <w:jc w:val="center"/>
        <w:rPr>
          <w:rFonts w:ascii="Times New Roman" w:hAnsi="Times New Roman"/>
          <w:noProof/>
          <w:sz w:val="24"/>
          <w:szCs w:val="24"/>
        </w:rPr>
      </w:pPr>
      <w:r w:rsidRPr="00160455">
        <w:rPr>
          <w:rFonts w:ascii="Times New Roman" w:hAnsi="Times New Roman"/>
          <w:noProof/>
          <w:sz w:val="24"/>
          <w:szCs w:val="24"/>
          <w:lang w:bidi="ar-SA"/>
        </w:rPr>
        <w:t>(</w:t>
      </w:r>
      <w:r w:rsidRPr="00160455">
        <w:rPr>
          <w:rFonts w:ascii="Times New Roman" w:hAnsi="Times New Roman"/>
          <w:noProof/>
          <w:sz w:val="24"/>
          <w:szCs w:val="24"/>
        </w:rPr>
        <w:t>Penentuan Spektrofotometrik bagi Kandungan Jumlah Flavonoid di dalam Produk Teh dan Arak di Bru pada Keadaan Berbeza</w:t>
      </w:r>
      <w:r w:rsidRPr="00160455">
        <w:rPr>
          <w:rFonts w:ascii="Times New Roman" w:hAnsi="Times New Roman"/>
          <w:noProof/>
          <w:sz w:val="24"/>
          <w:szCs w:val="24"/>
          <w:lang w:bidi="ar-SA"/>
        </w:rPr>
        <w:t>)</w:t>
      </w:r>
    </w:p>
    <w:p w14:paraId="399A6133" w14:textId="77777777" w:rsidR="00B95307" w:rsidRPr="00160455" w:rsidRDefault="00B95307" w:rsidP="00160455">
      <w:pPr>
        <w:spacing w:after="0"/>
        <w:jc w:val="center"/>
        <w:rPr>
          <w:rFonts w:ascii="Times New Roman" w:hAnsi="Times New Roman"/>
          <w:noProof/>
          <w:sz w:val="20"/>
          <w:szCs w:val="20"/>
          <w:lang w:bidi="ar-SA"/>
        </w:rPr>
      </w:pPr>
    </w:p>
    <w:p w14:paraId="728FC3C1" w14:textId="49759593" w:rsidR="00B95307" w:rsidRPr="00160455" w:rsidRDefault="00B95307" w:rsidP="00160455">
      <w:pPr>
        <w:spacing w:after="0"/>
        <w:jc w:val="center"/>
        <w:outlineLvl w:val="0"/>
        <w:rPr>
          <w:rFonts w:ascii="Times New Roman" w:hAnsi="Times New Roman"/>
          <w:sz w:val="20"/>
          <w:szCs w:val="20"/>
          <w:vertAlign w:val="superscript"/>
        </w:rPr>
      </w:pPr>
      <w:r w:rsidRPr="00160455">
        <w:rPr>
          <w:rFonts w:ascii="Times New Roman" w:hAnsi="Times New Roman"/>
          <w:sz w:val="20"/>
          <w:szCs w:val="20"/>
        </w:rPr>
        <w:t>Nguyen Cong-Hau</w:t>
      </w:r>
      <w:r w:rsidRPr="00160455">
        <w:rPr>
          <w:rFonts w:ascii="Times New Roman" w:hAnsi="Times New Roman"/>
          <w:sz w:val="20"/>
          <w:szCs w:val="20"/>
          <w:vertAlign w:val="superscript"/>
        </w:rPr>
        <w:t>1</w:t>
      </w:r>
      <w:r w:rsidRPr="00160455">
        <w:rPr>
          <w:rFonts w:ascii="Times New Roman" w:hAnsi="Times New Roman"/>
          <w:sz w:val="20"/>
          <w:szCs w:val="20"/>
        </w:rPr>
        <w:t>, Le-Thi Anh-Dao</w:t>
      </w:r>
      <w:r w:rsidRPr="00160455">
        <w:rPr>
          <w:rFonts w:ascii="Times New Roman" w:hAnsi="Times New Roman"/>
          <w:sz w:val="20"/>
          <w:szCs w:val="20"/>
          <w:vertAlign w:val="superscript"/>
        </w:rPr>
        <w:t>1</w:t>
      </w:r>
      <w:r w:rsidRPr="00160455">
        <w:rPr>
          <w:rFonts w:ascii="Times New Roman" w:hAnsi="Times New Roman"/>
          <w:sz w:val="20"/>
          <w:szCs w:val="20"/>
        </w:rPr>
        <w:t>, Le Nhon-Duc</w:t>
      </w:r>
      <w:r w:rsidRPr="00160455">
        <w:rPr>
          <w:rFonts w:ascii="Times New Roman" w:hAnsi="Times New Roman"/>
          <w:sz w:val="20"/>
          <w:szCs w:val="20"/>
          <w:vertAlign w:val="superscript"/>
        </w:rPr>
        <w:t>2</w:t>
      </w:r>
      <w:r w:rsidRPr="00160455">
        <w:rPr>
          <w:rFonts w:ascii="Times New Roman" w:hAnsi="Times New Roman"/>
          <w:sz w:val="20"/>
          <w:szCs w:val="20"/>
        </w:rPr>
        <w:t>, Nguyen Thanh-Nho</w:t>
      </w:r>
      <w:r w:rsidRPr="00160455">
        <w:rPr>
          <w:rFonts w:ascii="Times New Roman" w:hAnsi="Times New Roman"/>
          <w:sz w:val="20"/>
          <w:szCs w:val="20"/>
          <w:vertAlign w:val="superscript"/>
        </w:rPr>
        <w:t>1</w:t>
      </w:r>
      <w:r w:rsidRPr="00160455">
        <w:rPr>
          <w:rFonts w:ascii="Times New Roman" w:hAnsi="Times New Roman"/>
          <w:sz w:val="20"/>
          <w:szCs w:val="20"/>
        </w:rPr>
        <w:t>*</w:t>
      </w:r>
    </w:p>
    <w:p w14:paraId="1055C857" w14:textId="77777777" w:rsidR="00B95307" w:rsidRDefault="00B95307" w:rsidP="00B95307">
      <w:pPr>
        <w:spacing w:after="0"/>
        <w:rPr>
          <w:rFonts w:ascii="Times New Roman" w:hAnsi="Times New Roman"/>
          <w:noProof/>
          <w:sz w:val="18"/>
          <w:szCs w:val="18"/>
          <w:lang w:bidi="ar-SA"/>
        </w:rPr>
      </w:pPr>
    </w:p>
    <w:p w14:paraId="25402AE4" w14:textId="1D6A696E" w:rsidR="00B95307" w:rsidRDefault="00160455" w:rsidP="00B95307">
      <w:pPr>
        <w:spacing w:after="0" w:line="240" w:lineRule="auto"/>
        <w:jc w:val="center"/>
        <w:outlineLvl w:val="0"/>
        <w:rPr>
          <w:rFonts w:ascii="Times New Roman" w:hAnsi="Times New Roman"/>
          <w:i/>
          <w:sz w:val="18"/>
          <w:szCs w:val="18"/>
        </w:rPr>
      </w:pPr>
      <w:r w:rsidRPr="00160455">
        <w:rPr>
          <w:rFonts w:ascii="Times New Roman" w:hAnsi="Times New Roman"/>
          <w:i/>
          <w:sz w:val="18"/>
          <w:szCs w:val="18"/>
          <w:vertAlign w:val="superscript"/>
        </w:rPr>
        <w:t>1</w:t>
      </w:r>
      <w:r w:rsidR="00B95307" w:rsidRPr="00281082">
        <w:rPr>
          <w:rFonts w:ascii="Times New Roman" w:hAnsi="Times New Roman"/>
          <w:i/>
          <w:sz w:val="18"/>
          <w:szCs w:val="18"/>
        </w:rPr>
        <w:t>Faculty of Environmental and Food Engineering</w:t>
      </w:r>
      <w:r w:rsidR="00B95307">
        <w:rPr>
          <w:rFonts w:ascii="Times New Roman" w:hAnsi="Times New Roman"/>
          <w:i/>
          <w:sz w:val="18"/>
          <w:szCs w:val="18"/>
        </w:rPr>
        <w:t xml:space="preserve">, </w:t>
      </w:r>
    </w:p>
    <w:p w14:paraId="0A25FEDF" w14:textId="44484DE3" w:rsidR="00160455" w:rsidRDefault="00160455" w:rsidP="00160455">
      <w:pPr>
        <w:spacing w:after="0" w:line="240" w:lineRule="auto"/>
        <w:jc w:val="center"/>
        <w:outlineLvl w:val="0"/>
        <w:rPr>
          <w:rFonts w:ascii="Times New Roman" w:hAnsi="Times New Roman"/>
          <w:i/>
          <w:sz w:val="18"/>
          <w:szCs w:val="18"/>
        </w:rPr>
      </w:pPr>
      <w:r w:rsidRPr="00281082">
        <w:rPr>
          <w:rFonts w:ascii="Times New Roman" w:hAnsi="Times New Roman"/>
          <w:i/>
          <w:sz w:val="18"/>
          <w:szCs w:val="18"/>
        </w:rPr>
        <w:t>Nguyen Tat Thanh University,</w:t>
      </w:r>
      <w:r>
        <w:rPr>
          <w:rFonts w:ascii="Times New Roman" w:hAnsi="Times New Roman"/>
          <w:i/>
          <w:sz w:val="18"/>
          <w:szCs w:val="18"/>
        </w:rPr>
        <w:t xml:space="preserve"> Ho Chi Minh City, Vietnam </w:t>
      </w:r>
    </w:p>
    <w:p w14:paraId="653F58F4" w14:textId="636DFD73" w:rsidR="00B95307" w:rsidRDefault="00B95307" w:rsidP="00160455">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Warrantek Joint Stock Company-T</w:t>
      </w:r>
      <w:r w:rsidRPr="00C97EF5">
        <w:rPr>
          <w:rFonts w:ascii="Times New Roman" w:hAnsi="Times New Roman"/>
          <w:i/>
          <w:sz w:val="18"/>
          <w:szCs w:val="18"/>
        </w:rPr>
        <w:t>e</w:t>
      </w:r>
      <w:r>
        <w:rPr>
          <w:rFonts w:ascii="Times New Roman" w:hAnsi="Times New Roman"/>
          <w:i/>
          <w:sz w:val="18"/>
          <w:szCs w:val="18"/>
        </w:rPr>
        <w:t>sting C</w:t>
      </w:r>
      <w:r w:rsidRPr="00C97EF5">
        <w:rPr>
          <w:rFonts w:ascii="Times New Roman" w:hAnsi="Times New Roman"/>
          <w:i/>
          <w:sz w:val="18"/>
          <w:szCs w:val="18"/>
        </w:rPr>
        <w:t>enter</w:t>
      </w:r>
      <w:r>
        <w:rPr>
          <w:rFonts w:ascii="Times New Roman" w:hAnsi="Times New Roman"/>
          <w:i/>
          <w:sz w:val="18"/>
          <w:szCs w:val="18"/>
        </w:rPr>
        <w:t xml:space="preserve">, Can Tho City, Vietnam </w:t>
      </w:r>
    </w:p>
    <w:p w14:paraId="0DA11C71" w14:textId="77777777" w:rsidR="00160455" w:rsidRPr="00160455" w:rsidRDefault="00160455" w:rsidP="00160455">
      <w:pPr>
        <w:spacing w:after="0" w:line="240" w:lineRule="auto"/>
        <w:jc w:val="center"/>
        <w:outlineLvl w:val="0"/>
        <w:rPr>
          <w:rFonts w:ascii="Times New Roman" w:hAnsi="Times New Roman"/>
          <w:i/>
          <w:sz w:val="18"/>
          <w:szCs w:val="18"/>
        </w:rPr>
      </w:pPr>
    </w:p>
    <w:p w14:paraId="4A447476" w14:textId="78CCD198" w:rsidR="00B95307" w:rsidRPr="0065482A" w:rsidRDefault="00B95307" w:rsidP="00160455">
      <w:pPr>
        <w:spacing w:after="0"/>
        <w:jc w:val="center"/>
        <w:outlineLvl w:val="0"/>
        <w:rPr>
          <w:rFonts w:ascii="Times New Roman" w:hAnsi="Times New Roman"/>
          <w:i/>
          <w:color w:val="548DD4" w:themeColor="text2" w:themeTint="99"/>
          <w:sz w:val="18"/>
        </w:rPr>
      </w:pPr>
      <w:r w:rsidRPr="00281082">
        <w:rPr>
          <w:rFonts w:ascii="Times New Roman" w:hAnsi="Times New Roman"/>
          <w:i/>
          <w:sz w:val="18"/>
          <w:vertAlign w:val="superscript"/>
        </w:rPr>
        <w:t>*</w:t>
      </w:r>
      <w:r w:rsidRPr="00281082">
        <w:rPr>
          <w:rFonts w:ascii="Times New Roman" w:hAnsi="Times New Roman"/>
          <w:i/>
          <w:sz w:val="18"/>
        </w:rPr>
        <w:t xml:space="preserve">Corresponding author: </w:t>
      </w:r>
      <w:r w:rsidR="00160455">
        <w:rPr>
          <w:rFonts w:ascii="Times New Roman" w:hAnsi="Times New Roman"/>
          <w:i/>
          <w:sz w:val="18"/>
        </w:rPr>
        <w:t xml:space="preserve"> </w:t>
      </w:r>
      <w:r w:rsidRPr="00281082">
        <w:rPr>
          <w:rFonts w:ascii="Times New Roman" w:hAnsi="Times New Roman"/>
          <w:i/>
          <w:sz w:val="18"/>
        </w:rPr>
        <w:t>ntnho@ntt.edu.vn</w:t>
      </w:r>
      <w:r w:rsidRPr="00281082">
        <w:rPr>
          <w:rFonts w:ascii="Times New Roman" w:hAnsi="Times New Roman"/>
          <w:b/>
          <w:i/>
          <w:color w:val="548DD4" w:themeColor="text2" w:themeTint="99"/>
          <w:sz w:val="18"/>
        </w:rPr>
        <w:t xml:space="preserve"> </w:t>
      </w:r>
    </w:p>
    <w:p w14:paraId="3F34BB51" w14:textId="5D11535A" w:rsidR="00B95307" w:rsidRDefault="00B95307" w:rsidP="00160455">
      <w:pPr>
        <w:spacing w:after="0"/>
        <w:jc w:val="center"/>
        <w:rPr>
          <w:rFonts w:ascii="Times New Roman" w:hAnsi="Times New Roman"/>
          <w:noProof/>
          <w:sz w:val="18"/>
          <w:szCs w:val="18"/>
          <w:lang w:bidi="ar-SA"/>
        </w:rPr>
      </w:pPr>
    </w:p>
    <w:p w14:paraId="7CB78121" w14:textId="77777777" w:rsidR="00160455" w:rsidRDefault="00160455" w:rsidP="00160455">
      <w:pPr>
        <w:spacing w:after="0"/>
        <w:jc w:val="center"/>
        <w:rPr>
          <w:rFonts w:ascii="Times New Roman" w:hAnsi="Times New Roman"/>
          <w:noProof/>
          <w:sz w:val="18"/>
          <w:szCs w:val="18"/>
          <w:lang w:bidi="ar-SA"/>
        </w:rPr>
      </w:pPr>
    </w:p>
    <w:p w14:paraId="6502F435" w14:textId="77777777" w:rsidR="00B95307" w:rsidRDefault="00B95307" w:rsidP="00B95307">
      <w:pPr>
        <w:spacing w:after="0"/>
        <w:jc w:val="center"/>
        <w:rPr>
          <w:rFonts w:ascii="Times New Roman" w:hAnsi="Times New Roman"/>
          <w:noProof/>
          <w:sz w:val="18"/>
          <w:szCs w:val="18"/>
          <w:lang w:bidi="ar-SA"/>
        </w:rPr>
      </w:pPr>
      <w:r>
        <w:rPr>
          <w:rFonts w:ascii="Times New Roman" w:hAnsi="Times New Roman"/>
          <w:noProof/>
          <w:sz w:val="18"/>
          <w:szCs w:val="18"/>
          <w:lang w:bidi="ar-SA"/>
        </w:rPr>
        <w:t>Received: 31 July 2021; Accepted: 7 September 2021; Published:  xx October 2021</w:t>
      </w:r>
    </w:p>
    <w:p w14:paraId="3D5F70AB" w14:textId="77777777" w:rsidR="00B95307" w:rsidRPr="00160455" w:rsidRDefault="00B95307" w:rsidP="00160455">
      <w:pPr>
        <w:spacing w:after="0"/>
        <w:jc w:val="both"/>
        <w:rPr>
          <w:rFonts w:ascii="Times New Roman" w:hAnsi="Times New Roman"/>
          <w:noProof/>
          <w:sz w:val="18"/>
          <w:szCs w:val="18"/>
          <w:lang w:bidi="ar-SA"/>
        </w:rPr>
      </w:pPr>
    </w:p>
    <w:p w14:paraId="11721AAE" w14:textId="77777777" w:rsidR="00B95307" w:rsidRPr="00160455" w:rsidRDefault="00B95307" w:rsidP="00160455">
      <w:pPr>
        <w:spacing w:after="0"/>
        <w:jc w:val="both"/>
        <w:rPr>
          <w:rFonts w:ascii="Times New Roman" w:hAnsi="Times New Roman"/>
          <w:noProof/>
          <w:sz w:val="18"/>
          <w:szCs w:val="18"/>
          <w:lang w:bidi="ar-SA"/>
        </w:rPr>
      </w:pPr>
    </w:p>
    <w:p w14:paraId="61762E6B" w14:textId="77777777" w:rsidR="00B95307" w:rsidRPr="00160455" w:rsidRDefault="00B95307" w:rsidP="00160455">
      <w:pPr>
        <w:spacing w:after="0"/>
        <w:jc w:val="center"/>
        <w:rPr>
          <w:rFonts w:ascii="Times New Roman" w:hAnsi="Times New Roman"/>
          <w:b/>
          <w:noProof/>
          <w:sz w:val="18"/>
          <w:szCs w:val="18"/>
          <w:lang w:bidi="ar-SA"/>
        </w:rPr>
      </w:pPr>
      <w:r w:rsidRPr="00160455">
        <w:rPr>
          <w:rFonts w:ascii="Times New Roman" w:hAnsi="Times New Roman"/>
          <w:b/>
          <w:noProof/>
          <w:sz w:val="18"/>
          <w:szCs w:val="18"/>
          <w:lang w:bidi="ar-SA"/>
        </w:rPr>
        <w:t>Abstract</w:t>
      </w:r>
    </w:p>
    <w:p w14:paraId="0DDFBB55" w14:textId="77777777" w:rsidR="00B95307" w:rsidRPr="00160455" w:rsidRDefault="00B95307" w:rsidP="00160455">
      <w:pPr>
        <w:spacing w:after="0"/>
        <w:jc w:val="both"/>
        <w:outlineLvl w:val="0"/>
        <w:rPr>
          <w:rFonts w:ascii="Times New Roman" w:hAnsi="Times New Roman"/>
          <w:sz w:val="18"/>
          <w:szCs w:val="18"/>
        </w:rPr>
      </w:pPr>
      <w:r w:rsidRPr="00160455">
        <w:rPr>
          <w:rFonts w:ascii="Times New Roman" w:hAnsi="Times New Roman"/>
          <w:sz w:val="18"/>
          <w:szCs w:val="18"/>
        </w:rPr>
        <w:t>Tea (</w:t>
      </w:r>
      <w:r w:rsidRPr="00160455">
        <w:rPr>
          <w:rFonts w:ascii="Times New Roman" w:hAnsi="Times New Roman"/>
          <w:i/>
          <w:sz w:val="18"/>
          <w:szCs w:val="18"/>
        </w:rPr>
        <w:t xml:space="preserve">Camellia sinensis </w:t>
      </w:r>
      <w:r w:rsidRPr="00160455">
        <w:rPr>
          <w:rFonts w:ascii="Times New Roman" w:hAnsi="Times New Roman"/>
          <w:sz w:val="18"/>
          <w:szCs w:val="18"/>
        </w:rPr>
        <w:t>L.) has been considered among the most common beverages consumed worldwide, primarily due to its medical properties and sensory attributes. Flavonoids are the most abundant type of phenolic compounds found in tea leaves, and the flavonoid contents vary according to tea variety and processing method. In this study, we proposed and validated a spectrophotometric method for determining the total flavonoid contents (TFCs) in tea products and their liquors. Quercetin was used as the standard to build the calibration curve with AlCl</w:t>
      </w:r>
      <w:r w:rsidRPr="00160455">
        <w:rPr>
          <w:rFonts w:ascii="Times New Roman" w:hAnsi="Times New Roman"/>
          <w:sz w:val="18"/>
          <w:szCs w:val="18"/>
          <w:vertAlign w:val="subscript"/>
        </w:rPr>
        <w:t>3</w:t>
      </w:r>
      <w:r w:rsidRPr="00160455">
        <w:rPr>
          <w:rFonts w:ascii="Times New Roman" w:hAnsi="Times New Roman"/>
          <w:sz w:val="18"/>
          <w:szCs w:val="18"/>
        </w:rPr>
        <w:t xml:space="preserve"> as the color reagent, to measure the absorbance of the formed complex at 510 nm for quantification purposes. The reaction time in the colorimetric assay was investigated, and immediate spectrophotometric measurement after adding enough reagent was applied. The linear range was from 50 to 700 milligrams of quercetin equivalents per liter (mg QE L</w:t>
      </w:r>
      <w:r w:rsidRPr="00160455">
        <w:rPr>
          <w:rFonts w:ascii="Times New Roman" w:hAnsi="Times New Roman"/>
          <w:sz w:val="18"/>
          <w:szCs w:val="18"/>
          <w:vertAlign w:val="superscript"/>
        </w:rPr>
        <w:t>–1</w:t>
      </w:r>
      <w:r w:rsidRPr="00160455">
        <w:rPr>
          <w:rFonts w:ascii="Times New Roman" w:hAnsi="Times New Roman"/>
          <w:sz w:val="18"/>
          <w:szCs w:val="18"/>
        </w:rPr>
        <w:t>), and the regression equation was y = 0.0013x + 0.0872 (R</w:t>
      </w:r>
      <w:r w:rsidRPr="00160455">
        <w:rPr>
          <w:rFonts w:ascii="Times New Roman" w:hAnsi="Times New Roman"/>
          <w:sz w:val="18"/>
          <w:szCs w:val="18"/>
          <w:vertAlign w:val="superscript"/>
        </w:rPr>
        <w:t>2</w:t>
      </w:r>
      <w:r w:rsidRPr="00160455">
        <w:rPr>
          <w:rFonts w:ascii="Times New Roman" w:hAnsi="Times New Roman"/>
          <w:sz w:val="18"/>
          <w:szCs w:val="18"/>
        </w:rPr>
        <w:t xml:space="preserve"> = 0.9981). Repeatability and reproducibility (RSD</w:t>
      </w:r>
      <w:r w:rsidRPr="00160455">
        <w:rPr>
          <w:rFonts w:ascii="Times New Roman" w:hAnsi="Times New Roman"/>
          <w:sz w:val="18"/>
          <w:szCs w:val="18"/>
          <w:vertAlign w:val="subscript"/>
        </w:rPr>
        <w:t>r</w:t>
      </w:r>
      <w:r w:rsidRPr="00160455">
        <w:rPr>
          <w:rFonts w:ascii="Times New Roman" w:hAnsi="Times New Roman"/>
          <w:sz w:val="18"/>
          <w:szCs w:val="18"/>
        </w:rPr>
        <w:t xml:space="preserve"> = 1.1 and RSD</w:t>
      </w:r>
      <w:r w:rsidRPr="00160455">
        <w:rPr>
          <w:rFonts w:ascii="Times New Roman" w:hAnsi="Times New Roman"/>
          <w:sz w:val="18"/>
          <w:szCs w:val="18"/>
          <w:vertAlign w:val="subscript"/>
        </w:rPr>
        <w:t>R</w:t>
      </w:r>
      <w:r w:rsidRPr="00160455">
        <w:rPr>
          <w:rFonts w:ascii="Times New Roman" w:hAnsi="Times New Roman"/>
          <w:sz w:val="18"/>
          <w:szCs w:val="18"/>
        </w:rPr>
        <w:t xml:space="preserve"> = 1.2%) were favorable regarding Appendix F. AOAC (2016). Trueness was assessed through the spiked samples, and recoveries ranged from 98 to 102%. The analytical method was applied to determine the TFCs in several tea products collected from tea plantation regions in the North and South of Vietnam. The TFCs in tea products followed the descending order of green (140.1-155.3 </w:t>
      </w:r>
      <w:r w:rsidRPr="00160455">
        <w:rPr>
          <w:rFonts w:ascii="Times New Roman" w:hAnsi="Times New Roman"/>
          <w:sz w:val="18"/>
          <w:szCs w:val="18"/>
          <w:lang w:val="pt-BR"/>
        </w:rPr>
        <w:t>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Pu’erh (108.5-141.8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white (95.3-99.0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black (60.8-89.7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oolong (</w:t>
      </w:r>
      <w:r w:rsidRPr="00160455">
        <w:rPr>
          <w:rFonts w:ascii="Times New Roman" w:hAnsi="Times New Roman"/>
          <w:sz w:val="18"/>
          <w:szCs w:val="18"/>
        </w:rPr>
        <w:t>42.0 to 59.8</w:t>
      </w:r>
      <w:r w:rsidRPr="00160455">
        <w:rPr>
          <w:rFonts w:ascii="Times New Roman" w:hAnsi="Times New Roman"/>
          <w:sz w:val="18"/>
          <w:szCs w:val="18"/>
          <w:lang w:val="pt-BR"/>
        </w:rPr>
        <w:t xml:space="preserve">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xml:space="preserve">). Moreover, the effect of brewing conditions on the release of TFCs into tea liquors was assessed. The results indicate that the highest extraction percentage of flavonoid for most tea products was recorded at 90 </w:t>
      </w:r>
      <w:r w:rsidRPr="00160455">
        <w:rPr>
          <w:rFonts w:ascii="Times New Roman" w:hAnsi="Times New Roman"/>
          <w:sz w:val="18"/>
          <w:szCs w:val="18"/>
        </w:rPr>
        <w:t>°C</w:t>
      </w:r>
      <w:r w:rsidRPr="00160455">
        <w:rPr>
          <w:rFonts w:ascii="Times New Roman" w:hAnsi="Times New Roman"/>
          <w:sz w:val="18"/>
          <w:szCs w:val="18"/>
          <w:lang w:val="pt-BR"/>
        </w:rPr>
        <w:t xml:space="preserve"> within the infusion time of 40 minutes. </w:t>
      </w:r>
    </w:p>
    <w:p w14:paraId="5B22540A" w14:textId="77777777" w:rsidR="00B95307" w:rsidRPr="00160455" w:rsidRDefault="00B95307" w:rsidP="00160455">
      <w:pPr>
        <w:spacing w:after="0"/>
        <w:jc w:val="both"/>
        <w:outlineLvl w:val="0"/>
        <w:rPr>
          <w:rFonts w:ascii="Times New Roman" w:hAnsi="Times New Roman"/>
          <w:sz w:val="18"/>
          <w:szCs w:val="18"/>
        </w:rPr>
      </w:pPr>
    </w:p>
    <w:p w14:paraId="4EFEEB42" w14:textId="0DF7B2C5" w:rsidR="00B95307" w:rsidRPr="00160455" w:rsidRDefault="00B95307" w:rsidP="00160455">
      <w:pPr>
        <w:spacing w:after="0"/>
        <w:jc w:val="both"/>
        <w:outlineLvl w:val="0"/>
        <w:rPr>
          <w:rFonts w:ascii="Times New Roman" w:hAnsi="Times New Roman"/>
          <w:color w:val="548DD4" w:themeColor="text2" w:themeTint="99"/>
          <w:sz w:val="18"/>
          <w:szCs w:val="18"/>
        </w:rPr>
      </w:pPr>
      <w:r w:rsidRPr="00160455">
        <w:rPr>
          <w:rFonts w:ascii="Times New Roman" w:hAnsi="Times New Roman"/>
          <w:b/>
          <w:noProof/>
          <w:sz w:val="18"/>
          <w:szCs w:val="18"/>
          <w:lang w:bidi="ar-SA"/>
        </w:rPr>
        <w:t>Keywords</w:t>
      </w:r>
      <w:r w:rsidRPr="00160455">
        <w:rPr>
          <w:rFonts w:ascii="Times New Roman" w:hAnsi="Times New Roman"/>
          <w:noProof/>
          <w:sz w:val="18"/>
          <w:szCs w:val="18"/>
          <w:lang w:bidi="ar-SA"/>
        </w:rPr>
        <w:t xml:space="preserve">: </w:t>
      </w:r>
      <w:r w:rsidR="00160455">
        <w:rPr>
          <w:rFonts w:ascii="Times New Roman" w:hAnsi="Times New Roman"/>
          <w:noProof/>
          <w:sz w:val="18"/>
          <w:szCs w:val="18"/>
          <w:lang w:bidi="ar-SA"/>
        </w:rPr>
        <w:t xml:space="preserve"> </w:t>
      </w:r>
      <w:r w:rsidRPr="00160455">
        <w:rPr>
          <w:rFonts w:ascii="Times New Roman" w:hAnsi="Times New Roman"/>
          <w:i/>
          <w:sz w:val="18"/>
          <w:szCs w:val="18"/>
        </w:rPr>
        <w:t xml:space="preserve">Camellia sinensis </w:t>
      </w:r>
      <w:r w:rsidRPr="00160455">
        <w:rPr>
          <w:rFonts w:ascii="Times New Roman" w:hAnsi="Times New Roman"/>
          <w:sz w:val="18"/>
          <w:szCs w:val="18"/>
        </w:rPr>
        <w:t xml:space="preserve">L., flavonoids, quercetin, tea products, tea liquors  </w:t>
      </w:r>
    </w:p>
    <w:p w14:paraId="249424D6" w14:textId="77777777" w:rsidR="00B95307" w:rsidRPr="00160455" w:rsidRDefault="00B95307" w:rsidP="00160455">
      <w:pPr>
        <w:spacing w:after="0"/>
        <w:jc w:val="center"/>
        <w:rPr>
          <w:rFonts w:ascii="Times New Roman" w:hAnsi="Times New Roman"/>
          <w:b/>
          <w:noProof/>
          <w:sz w:val="18"/>
          <w:szCs w:val="18"/>
          <w:lang w:bidi="ar-SA"/>
        </w:rPr>
      </w:pPr>
    </w:p>
    <w:p w14:paraId="6255E1C2" w14:textId="77777777" w:rsidR="00B95307" w:rsidRPr="00160455" w:rsidRDefault="00B95307" w:rsidP="00160455">
      <w:pPr>
        <w:spacing w:after="0"/>
        <w:jc w:val="center"/>
        <w:rPr>
          <w:rFonts w:ascii="Times New Roman" w:hAnsi="Times New Roman"/>
          <w:b/>
          <w:noProof/>
          <w:sz w:val="18"/>
          <w:szCs w:val="18"/>
          <w:lang w:bidi="ar-SA"/>
        </w:rPr>
      </w:pPr>
      <w:r w:rsidRPr="00160455">
        <w:rPr>
          <w:rFonts w:ascii="Times New Roman" w:hAnsi="Times New Roman"/>
          <w:b/>
          <w:noProof/>
          <w:sz w:val="18"/>
          <w:szCs w:val="18"/>
          <w:lang w:bidi="ar-SA"/>
        </w:rPr>
        <w:t>Abstrak</w:t>
      </w:r>
    </w:p>
    <w:p w14:paraId="13C2BC47" w14:textId="77777777" w:rsidR="00B95307" w:rsidRPr="00160455" w:rsidRDefault="00B95307" w:rsidP="00160455">
      <w:pPr>
        <w:spacing w:after="0"/>
        <w:jc w:val="both"/>
        <w:outlineLvl w:val="0"/>
        <w:rPr>
          <w:rFonts w:ascii="Times New Roman" w:hAnsi="Times New Roman"/>
          <w:noProof/>
          <w:sz w:val="18"/>
          <w:szCs w:val="18"/>
          <w:lang w:val="ms-MY"/>
        </w:rPr>
      </w:pPr>
      <w:r w:rsidRPr="00160455">
        <w:rPr>
          <w:rFonts w:ascii="Times New Roman" w:hAnsi="Times New Roman"/>
          <w:noProof/>
          <w:sz w:val="18"/>
          <w:szCs w:val="18"/>
          <w:lang w:val="ms-MY"/>
        </w:rPr>
        <w:t>Teh (</w:t>
      </w:r>
      <w:r w:rsidRPr="00160455">
        <w:rPr>
          <w:rFonts w:ascii="Times New Roman" w:hAnsi="Times New Roman"/>
          <w:i/>
          <w:noProof/>
          <w:sz w:val="18"/>
          <w:szCs w:val="18"/>
          <w:lang w:val="ms-MY"/>
        </w:rPr>
        <w:t xml:space="preserve">Camellia sinensis </w:t>
      </w:r>
      <w:r w:rsidRPr="00160455">
        <w:rPr>
          <w:rFonts w:ascii="Times New Roman" w:hAnsi="Times New Roman"/>
          <w:noProof/>
          <w:sz w:val="18"/>
          <w:szCs w:val="18"/>
          <w:lang w:val="ms-MY"/>
        </w:rPr>
        <w:t>L.) merupakan minuman yang sering kali diambil di seluruh dunia, terutama disebabkan sifat perubatannya dan aromanya. Flavonoids merupakan jenis sebatian fenolik yang sering dijumpai di dalam daun teh, dan kandungan flavonoids berbeza mengikut varieti teh dan kaedah pemprosesan. Melalui kajian ini, kami mencadangkan dan validasi kaedah spektrofotometrik bagi penentuan kandungan jumlah flavonoids (TFCs) di dalam produk teh dan arak. Quercetin telah di guna sebagai piawai dalam penghasilan lengkung piawai Bersama AlCl</w:t>
      </w:r>
      <w:r w:rsidRPr="00160455">
        <w:rPr>
          <w:rFonts w:ascii="Times New Roman" w:hAnsi="Times New Roman"/>
          <w:noProof/>
          <w:sz w:val="18"/>
          <w:szCs w:val="18"/>
          <w:vertAlign w:val="subscript"/>
          <w:lang w:val="ms-MY"/>
        </w:rPr>
        <w:t>3</w:t>
      </w:r>
      <w:r w:rsidRPr="00160455">
        <w:rPr>
          <w:rFonts w:ascii="Times New Roman" w:hAnsi="Times New Roman"/>
          <w:noProof/>
          <w:sz w:val="18"/>
          <w:szCs w:val="18"/>
          <w:lang w:val="ms-MY"/>
        </w:rPr>
        <w:t xml:space="preserve"> sebagai reagen warna, untuk mengukur serapan </w:t>
      </w:r>
      <w:r w:rsidRPr="00160455">
        <w:rPr>
          <w:rFonts w:ascii="Times New Roman" w:hAnsi="Times New Roman"/>
          <w:noProof/>
          <w:sz w:val="18"/>
          <w:szCs w:val="18"/>
          <w:lang w:val="ms-MY"/>
        </w:rPr>
        <w:lastRenderedPageBreak/>
        <w:t>yang membentuk kompleks pada 510 nm bagi tujuan kuantifikasi. Masa tindak balas ujian kolorimetrik telah dikaji, dan pengukuran spektrofotometrik segera dilakukan selepas penambahan reagen dilakukan. Julat kelinearan dari 50 hingga 700 miligram quertin setiap liter (mg QE L</w:t>
      </w:r>
      <w:r w:rsidRPr="00160455">
        <w:rPr>
          <w:rFonts w:ascii="Times New Roman" w:hAnsi="Times New Roman"/>
          <w:noProof/>
          <w:sz w:val="18"/>
          <w:szCs w:val="18"/>
          <w:vertAlign w:val="superscript"/>
          <w:lang w:val="ms-MY"/>
        </w:rPr>
        <w:t>–1</w:t>
      </w:r>
      <w:r w:rsidRPr="00160455">
        <w:rPr>
          <w:rFonts w:ascii="Times New Roman" w:hAnsi="Times New Roman"/>
          <w:noProof/>
          <w:sz w:val="18"/>
          <w:szCs w:val="18"/>
          <w:lang w:val="ms-MY"/>
        </w:rPr>
        <w:t>), dan pekali persamaan diperolehi ialah y = 0.0013x + 0.0872 (R</w:t>
      </w:r>
      <w:r w:rsidRPr="00160455">
        <w:rPr>
          <w:rFonts w:ascii="Times New Roman" w:hAnsi="Times New Roman"/>
          <w:noProof/>
          <w:sz w:val="18"/>
          <w:szCs w:val="18"/>
          <w:vertAlign w:val="superscript"/>
          <w:lang w:val="ms-MY"/>
        </w:rPr>
        <w:t>2</w:t>
      </w:r>
      <w:r w:rsidRPr="00160455">
        <w:rPr>
          <w:rFonts w:ascii="Times New Roman" w:hAnsi="Times New Roman"/>
          <w:noProof/>
          <w:sz w:val="18"/>
          <w:szCs w:val="18"/>
          <w:lang w:val="ms-MY"/>
        </w:rPr>
        <w:t xml:space="preserve"> = 0.9981). Kebolehulangan dan kebolehasilan semula (RSD</w:t>
      </w:r>
      <w:r w:rsidRPr="00160455">
        <w:rPr>
          <w:rFonts w:ascii="Times New Roman" w:hAnsi="Times New Roman"/>
          <w:noProof/>
          <w:sz w:val="18"/>
          <w:szCs w:val="18"/>
          <w:vertAlign w:val="subscript"/>
          <w:lang w:val="ms-MY"/>
        </w:rPr>
        <w:t>r</w:t>
      </w:r>
      <w:r w:rsidRPr="00160455">
        <w:rPr>
          <w:rFonts w:ascii="Times New Roman" w:hAnsi="Times New Roman"/>
          <w:noProof/>
          <w:sz w:val="18"/>
          <w:szCs w:val="18"/>
          <w:lang w:val="ms-MY"/>
        </w:rPr>
        <w:t xml:space="preserve"> = 1.1 dan RSD</w:t>
      </w:r>
      <w:r w:rsidRPr="00160455">
        <w:rPr>
          <w:rFonts w:ascii="Times New Roman" w:hAnsi="Times New Roman"/>
          <w:noProof/>
          <w:sz w:val="18"/>
          <w:szCs w:val="18"/>
          <w:vertAlign w:val="subscript"/>
          <w:lang w:val="ms-MY"/>
        </w:rPr>
        <w:t>R</w:t>
      </w:r>
      <w:r w:rsidRPr="00160455">
        <w:rPr>
          <w:rFonts w:ascii="Times New Roman" w:hAnsi="Times New Roman"/>
          <w:noProof/>
          <w:sz w:val="18"/>
          <w:szCs w:val="18"/>
          <w:lang w:val="ms-MY"/>
        </w:rPr>
        <w:t xml:space="preserve"> = 1.2%) adalah baik berdasarkan Appendix F. AOAC (2016). Ketepatan kaedah diuji menggunakan sampel yang dipaku, dan perolehan semula pada julat 98 hingga 102%. Kaedah analisis telah digunapakai bagi penentuan TFCs di dalam pelbagai produk teh yang di ambil dari kawasan ladang teh terletak di utara dan selatan Vietnam. </w:t>
      </w:r>
      <w:r w:rsidRPr="00160455">
        <w:rPr>
          <w:rFonts w:ascii="Times New Roman" w:hAnsi="Times New Roman"/>
          <w:sz w:val="18"/>
          <w:szCs w:val="18"/>
          <w:lang w:val="pt-BR"/>
        </w:rPr>
        <w:t xml:space="preserve">TFCs di dalam produk teh mengikut tertib menurun seperti berikut </w:t>
      </w:r>
      <w:r w:rsidRPr="00160455">
        <w:rPr>
          <w:rFonts w:ascii="Times New Roman" w:hAnsi="Times New Roman"/>
          <w:sz w:val="18"/>
          <w:szCs w:val="18"/>
        </w:rPr>
        <w:t xml:space="preserve">hijau (140.1-155.3 </w:t>
      </w:r>
      <w:r w:rsidRPr="00160455">
        <w:rPr>
          <w:rFonts w:ascii="Times New Roman" w:hAnsi="Times New Roman"/>
          <w:sz w:val="18"/>
          <w:szCs w:val="18"/>
          <w:lang w:val="pt-BR"/>
        </w:rPr>
        <w:t>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Pu’erh (108.5-141.8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putih (95.3-99.0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hitam (60.8-89.7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oolong (</w:t>
      </w:r>
      <w:r w:rsidRPr="00160455">
        <w:rPr>
          <w:rFonts w:ascii="Times New Roman" w:hAnsi="Times New Roman"/>
          <w:sz w:val="18"/>
          <w:szCs w:val="18"/>
        </w:rPr>
        <w:t>42.0-59.8</w:t>
      </w:r>
      <w:r w:rsidRPr="00160455">
        <w:rPr>
          <w:rFonts w:ascii="Times New Roman" w:hAnsi="Times New Roman"/>
          <w:sz w:val="18"/>
          <w:szCs w:val="18"/>
          <w:lang w:val="pt-BR"/>
        </w:rPr>
        <w:t xml:space="preserve">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Tambahan lagi, kesan bru yang pelbagai terhadap TFCs di dalam teh arak juga telah dikaji. Hasil menunjukkan peratus kesan pengekstrakan flavonoids bagi kebanyakkan teh telah direkod pada 90 °C dengan masa rendaman ialah 40 minit.</w:t>
      </w:r>
    </w:p>
    <w:p w14:paraId="30BD9961" w14:textId="77777777" w:rsidR="00B95307" w:rsidRPr="00160455" w:rsidRDefault="00B95307" w:rsidP="00160455">
      <w:pPr>
        <w:spacing w:after="0"/>
        <w:jc w:val="both"/>
        <w:rPr>
          <w:rFonts w:ascii="Times New Roman" w:hAnsi="Times New Roman"/>
          <w:b/>
          <w:noProof/>
          <w:sz w:val="18"/>
          <w:szCs w:val="18"/>
          <w:lang w:bidi="ar-SA"/>
        </w:rPr>
      </w:pPr>
    </w:p>
    <w:p w14:paraId="74B1F0CE" w14:textId="7291E656" w:rsidR="00B95307" w:rsidRPr="00160455" w:rsidRDefault="00B95307" w:rsidP="00160455">
      <w:pPr>
        <w:spacing w:after="0"/>
        <w:jc w:val="both"/>
        <w:rPr>
          <w:rFonts w:ascii="Times New Roman" w:hAnsi="Times New Roman"/>
          <w:noProof/>
          <w:sz w:val="18"/>
          <w:szCs w:val="18"/>
          <w:lang w:bidi="ar-SA"/>
        </w:rPr>
      </w:pPr>
      <w:r w:rsidRPr="00160455">
        <w:rPr>
          <w:rFonts w:ascii="Times New Roman" w:hAnsi="Times New Roman"/>
          <w:b/>
          <w:noProof/>
          <w:sz w:val="18"/>
          <w:szCs w:val="18"/>
          <w:lang w:bidi="ar-SA"/>
        </w:rPr>
        <w:t>Kata kunci</w:t>
      </w:r>
      <w:r w:rsidRPr="00160455">
        <w:rPr>
          <w:rFonts w:ascii="Times New Roman" w:hAnsi="Times New Roman"/>
          <w:noProof/>
          <w:sz w:val="18"/>
          <w:szCs w:val="18"/>
          <w:lang w:bidi="ar-SA"/>
        </w:rPr>
        <w:t xml:space="preserve">: </w:t>
      </w:r>
      <w:r w:rsidR="00160455">
        <w:rPr>
          <w:rFonts w:ascii="Times New Roman" w:hAnsi="Times New Roman"/>
          <w:noProof/>
          <w:sz w:val="18"/>
          <w:szCs w:val="18"/>
          <w:lang w:bidi="ar-SA"/>
        </w:rPr>
        <w:t xml:space="preserve"> </w:t>
      </w:r>
      <w:r w:rsidRPr="00160455">
        <w:rPr>
          <w:rFonts w:ascii="Times New Roman" w:hAnsi="Times New Roman"/>
          <w:i/>
          <w:sz w:val="18"/>
          <w:szCs w:val="18"/>
        </w:rPr>
        <w:t xml:space="preserve">Camellia sinensis </w:t>
      </w:r>
      <w:r w:rsidRPr="00160455">
        <w:rPr>
          <w:rFonts w:ascii="Times New Roman" w:hAnsi="Times New Roman"/>
          <w:sz w:val="18"/>
          <w:szCs w:val="18"/>
        </w:rPr>
        <w:t xml:space="preserve">L., flavonoids, quercetin, produk teh, teh arak  </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46536010" w14:textId="77777777" w:rsidR="004C6698" w:rsidRDefault="004C6698" w:rsidP="004C6698">
      <w:pPr>
        <w:spacing w:after="0"/>
        <w:jc w:val="center"/>
        <w:rPr>
          <w:rFonts w:ascii="Times New Roman" w:hAnsi="Times New Roman"/>
          <w:b/>
          <w:noProof/>
          <w:sz w:val="20"/>
          <w:szCs w:val="20"/>
          <w:lang w:bidi="ar-SA"/>
        </w:rPr>
        <w:sectPr w:rsidR="004C6698"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59F27A87" w:rsidR="006768E9" w:rsidRPr="004C6698" w:rsidRDefault="006768E9" w:rsidP="004C6698">
      <w:pPr>
        <w:spacing w:after="0"/>
        <w:jc w:val="center"/>
        <w:rPr>
          <w:rFonts w:ascii="Times New Roman" w:hAnsi="Times New Roman"/>
          <w:b/>
          <w:noProof/>
          <w:sz w:val="20"/>
          <w:szCs w:val="20"/>
          <w:lang w:bidi="ar-SA"/>
        </w:rPr>
      </w:pPr>
      <w:r w:rsidRPr="004C6698">
        <w:rPr>
          <w:rFonts w:ascii="Times New Roman" w:hAnsi="Times New Roman"/>
          <w:b/>
          <w:noProof/>
          <w:sz w:val="20"/>
          <w:szCs w:val="20"/>
          <w:lang w:bidi="ar-SA"/>
        </w:rPr>
        <w:t>Introduction</w:t>
      </w:r>
    </w:p>
    <w:p w14:paraId="3633AA44"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 xml:space="preserve">Tea plants have a long history of cultivation and utilization worldwide, and tea is considered among the most popular beverages, besides water, coffee, and cocoa. According to Chinese mythology, tea plants were discovered thousands of years ago in South-East Asia, and mankind has been drinking tea for more than 5 000 years for its health and medicinal benefits to prevent and treat diseases, especially cancer (respiratory, digestive, and urinary) and cardiovascular disorder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&lt;EndNote&gt;&lt;Cite&gt;&lt;Author&gt;Yan&lt;/Author&gt;&lt;Year&gt;2020&lt;/Year&gt;&lt;RecNum&gt;975&lt;/RecNum&gt;&lt;DisplayText&gt;[1]&lt;/DisplayText&gt;&lt;record&gt;&lt;rec-number&gt;975&lt;/rec-number&gt;&lt;foreign-keys&gt;&lt;key app="EN" db-id="09zedtxs2rsve4eaafv5rvs9w9t9xrzwvt09" timestamp="1609511307"&gt;975&lt;/key&gt;&lt;/foreign-keys&gt;&lt;ref-type name="Journal Article"&gt;17&lt;/ref-type&gt;&lt;contributors&gt;&lt;authors&gt;&lt;author&gt;Yan, Zhaoming&lt;/author&gt;&lt;author&gt;Zhong, Yinzhao&lt;/author&gt;&lt;author&gt;Duan, Yehui&lt;/author&gt;&lt;author&gt;Chen, Qinghua&lt;/author&gt;&lt;author&gt;Li, Fengna&lt;/author&gt;&lt;/authors&gt;&lt;/contributors&gt;&lt;titles&gt;&lt;title&gt;Antioxidant mechanism of tea polyphenols and its impact on health benefits&lt;/title&gt;&lt;secondary-title&gt;Animal Nutrition&lt;/secondary-title&gt;&lt;/titles&gt;&lt;periodical&gt;&lt;full-title&gt;Animal Nutrition&lt;/full-title&gt;&lt;/periodical&gt;&lt;pages&gt;115-123&lt;/pages&gt;&lt;volume&gt;6&lt;/volume&gt;&lt;number&gt;2&lt;/number&gt;&lt;dates&gt;&lt;year&gt;2020&lt;/year&gt;&lt;/dates&gt;&lt;isbn&gt;2405-6545&lt;/isbn&gt;&lt;urls&gt;&lt;/urls&gt;&lt;electronic-resource-num&gt;10.1016/j.aninu.2020.01.001&lt;/electronic-resource-num&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 w:tooltip="Yan, 2020 #975" w:history="1">
        <w:r w:rsidRPr="004C6698">
          <w:rPr>
            <w:rFonts w:ascii="Times New Roman" w:hAnsi="Times New Roman"/>
            <w:noProof/>
            <w:sz w:val="20"/>
            <w:szCs w:val="20"/>
          </w:rPr>
          <w:t>1</w:t>
        </w:r>
      </w:hyperlink>
      <w:r w:rsidRPr="004C6698">
        <w:rPr>
          <w:rFonts w:ascii="Times New Roman" w:hAnsi="Times New Roman"/>
          <w:noProof/>
          <w:sz w:val="20"/>
          <w:szCs w:val="20"/>
        </w:rPr>
        <w:t>]</w:t>
      </w:r>
      <w:r w:rsidRPr="004C6698">
        <w:rPr>
          <w:rFonts w:ascii="Times New Roman" w:hAnsi="Times New Roman"/>
          <w:sz w:val="20"/>
          <w:szCs w:val="20"/>
          <w:lang w:val="pt-BR"/>
        </w:rPr>
        <w:fldChar w:fldCharType="end"/>
      </w:r>
      <w:r w:rsidRPr="004C6698">
        <w:rPr>
          <w:rFonts w:ascii="Times New Roman" w:hAnsi="Times New Roman"/>
          <w:sz w:val="20"/>
          <w:szCs w:val="20"/>
          <w:lang w:val="pt-BR"/>
        </w:rPr>
        <w:t xml:space="preserve">. </w:t>
      </w:r>
      <w:r w:rsidRPr="004C6698">
        <w:rPr>
          <w:rFonts w:ascii="Times New Roman" w:hAnsi="Times New Roman"/>
          <w:sz w:val="20"/>
          <w:szCs w:val="20"/>
        </w:rPr>
        <w:t xml:space="preserve">Tea leaves are used to produce tea infusions, and there are many types of tea products depending on the degree of oxidation, such as white tea (young tea leaves or new growth buds, withered, uncured, baked dry), green tea (not oxidized), oolong tea (partially oxidized), black tea (fully oxidized), and many other commercial products made from tea leaves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&lt;EndNote&gt;&lt;Cite&gt;&lt;Author&gt;Zhang&lt;/Author&gt;&lt;Year&gt;2011&lt;/Year&gt;&lt;RecNum&gt;1104&lt;/RecNum&gt;&lt;DisplayText&gt;[2, 3]&lt;/DisplayText&gt;&lt;record&gt;&lt;rec-number&gt;1104&lt;/rec-number&gt;&lt;foreign-keys&gt;&lt;key app="EN" db-id="09zedtxs2rsve4eaafv5rvs9w9t9xrzwvt09" timestamp="1627266151"&gt;1104&lt;/key&gt;&lt;/foreign-keys&gt;&lt;ref-type name="Journal Article"&gt;17&lt;/ref-type&gt;&lt;contributors&gt;&lt;authors&gt;&lt;author&gt;Zhang, Liang&lt;/author&gt;&lt;author&gt;Li, Ning&lt;/author&gt;&lt;author&gt;Ma, Zhi-Zhong&lt;/author&gt;&lt;author&gt;Tu, Peng-Fei&lt;/author&gt;&lt;/authors&gt;&lt;/contributors&gt;&lt;titles&gt;&lt;title&gt;Comparison of the chemical constituents of aged pu-erh tea, ripened pu-erh tea, and other teas using HPLC-DAD-ESI-MS n&lt;/title&gt;&lt;secondary-title&gt;Journal of agricultural and food chemistry&lt;/secondary-title&gt;&lt;/titles&gt;&lt;periodical&gt;&lt;full-title&gt;Journal of Agricultural and Food Chemistry&lt;/full-title&gt;&lt;/periodical&gt;&lt;pages&gt;8754-8760&lt;/pages&gt;&lt;volume&gt;59&lt;/volume&gt;&lt;number&gt;16&lt;/number&gt;&lt;dates&gt;&lt;year&gt;2011&lt;/year&gt;&lt;/dates&gt;&lt;isbn&gt;0021-8561&lt;/isbn&gt;&lt;urls&gt;&lt;/urls&gt;&lt;/record&gt;&lt;/Cite&gt;&lt;Cite&gt;&lt;Author&gt;Kosińska&lt;/Author&gt;&lt;Year&gt;2014&lt;/Year&gt;&lt;RecNum&gt;1105&lt;/RecNum&gt;&lt;record&gt;&lt;rec-number&gt;1105&lt;/rec-number&gt;&lt;foreign-keys&gt;&lt;key app="EN" db-id="09zedtxs2rsve4eaafv5rvs9w9t9xrzwvt09" timestamp="1627266203"&gt;1105&lt;/key&gt;&lt;/foreign-keys&gt;&lt;ref-type name="Book Section"&gt;5&lt;/ref-type&gt;&lt;contributors&gt;&lt;authors&gt;&lt;author&gt;Kosińska, Agnieszka&lt;/author&gt;&lt;author&gt;Andlauer, Wilfried&lt;/author&gt;&lt;/authors&gt;&lt;/contributors&gt;&lt;titles&gt;&lt;title&gt;Antioxidant capacity of tea: effect of processing and storage&lt;/title&gt;&lt;secondary-title&gt;Processing and impact on antioxidants in beverages&lt;/secondary-title&gt;&lt;/titles&gt;&lt;pages&gt;109-120&lt;/pages&gt;&lt;dates&gt;&lt;year&gt;2014&lt;/year&gt;&lt;/dates&gt;&lt;publisher&gt;Elsevier&lt;/publisher&gt;&lt;urls&gt;&lt;/urls&gt;&lt;/record&gt;&lt;/Cite&gt;&lt;/EndNote&gt;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2" w:tooltip="Zhang, 2011 #1104" w:history="1">
        <w:r w:rsidRPr="004C6698">
          <w:rPr>
            <w:rFonts w:ascii="Times New Roman" w:hAnsi="Times New Roman"/>
            <w:noProof/>
            <w:sz w:val="20"/>
            <w:szCs w:val="20"/>
          </w:rPr>
          <w:t>2</w:t>
        </w:r>
      </w:hyperlink>
      <w:r w:rsidRPr="004C6698">
        <w:rPr>
          <w:rFonts w:ascii="Times New Roman" w:hAnsi="Times New Roman"/>
          <w:noProof/>
          <w:sz w:val="20"/>
          <w:szCs w:val="20"/>
        </w:rPr>
        <w:t xml:space="preserve">, </w:t>
      </w:r>
      <w:hyperlink w:anchor="_ENREF_3" w:tooltip="Kosińska, 2014 #1105" w:history="1">
        <w:r w:rsidRPr="004C6698">
          <w:rPr>
            <w:rFonts w:ascii="Times New Roman" w:hAnsi="Times New Roman"/>
            <w:noProof/>
            <w:sz w:val="20"/>
            <w:szCs w:val="20"/>
          </w:rPr>
          <w:t>3</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Green or raw Pu-erh, processed similarly to green tea: picked, quickly roasted, but then sun-dried under uncontrolled temperature and humidity and allowed to ripen for several weeks or months (not drying with hot air as green tea in order to deactivate oxidases). The enzyme deactivation is not complete for Pu'erh, therefore, the oxidation could still occur during its long storage, which makes for a smooth-tasting tea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&lt;EndNote&gt;&lt;Cite&gt;&lt;Author&gt;Ahmed&lt;/Author&gt;&lt;Year&gt;2010&lt;/Year&gt;&lt;RecNum&gt;1103&lt;/RecNum&gt;&lt;DisplayText&gt;[4]&lt;/DisplayText&gt;&lt;record&gt;&lt;rec-number&gt;1103&lt;/rec-number&gt;&lt;foreign-keys&gt;&lt;key app="EN" db-id="09zedtxs2rsve4eaafv5rvs9w9t9xrzwvt09" timestamp="1627266046"&gt;1103&lt;/key&gt;&lt;/foreign-keys&gt;&lt;ref-type name="Journal Article"&gt;17&lt;/ref-type&gt;&lt;contributors&gt;&lt;authors&gt;&lt;author&gt;Ahmed, Selena&lt;/author&gt;&lt;author&gt;Unachukwu, Uchenna&lt;/author&gt;&lt;author&gt;Stepp, John Richard&lt;/author&gt;&lt;author&gt;Peters, Charles M&lt;/author&gt;&lt;author&gt;Long, Chunlin&lt;/author&gt;&lt;author&gt;Kennelly, Edward&lt;/author&gt;&lt;/authors&gt;&lt;/contributors&gt;&lt;titles&gt;&lt;title&gt;Pu-erh tea tasting in Yunnan, China: correlation of drinkers’ perceptions to phytochemistry&lt;/title&gt;&lt;secondary-title&gt;Journal of ethnopharmacology&lt;/secondary-title&gt;&lt;/titles&gt;&lt;periodical&gt;&lt;full-title&gt;Journal of Ethnopharmacology&lt;/full-title&gt;&lt;/periodical&gt;&lt;pages&gt;176-185&lt;/pages&gt;&lt;volume&gt;132&lt;/volume&gt;&lt;number&gt;1&lt;/number&gt;&lt;dates&gt;&lt;year&gt;2010&lt;/year&gt;&lt;/dates&gt;&lt;isbn&gt;0378-8741&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4" w:tooltip="Ahmed, 2010 #1103" w:history="1">
        <w:r w:rsidRPr="004C6698">
          <w:rPr>
            <w:rFonts w:ascii="Times New Roman" w:hAnsi="Times New Roman"/>
            <w:noProof/>
            <w:sz w:val="20"/>
            <w:szCs w:val="20"/>
          </w:rPr>
          <w:t>4</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w:t>
      </w:r>
    </w:p>
    <w:p w14:paraId="7717B04B" w14:textId="77777777" w:rsidR="004C6698" w:rsidRPr="004C6698" w:rsidRDefault="004C6698" w:rsidP="004C6698">
      <w:pPr>
        <w:spacing w:after="0"/>
        <w:jc w:val="both"/>
        <w:rPr>
          <w:rFonts w:ascii="Times New Roman" w:hAnsi="Times New Roman"/>
          <w:sz w:val="20"/>
          <w:szCs w:val="20"/>
        </w:rPr>
      </w:pPr>
    </w:p>
    <w:p w14:paraId="62D312EC"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Flavonoids are the most abundant component of phenolic compounds in tea and considered the most important constituent because they act as bioactive ingredients to enhance tea's therapeutic properties.</w:t>
      </w:r>
      <w:r w:rsidRPr="004C6698">
        <w:rPr>
          <w:rFonts w:ascii="Times New Roman" w:hAnsi="Times New Roman"/>
          <w:sz w:val="20"/>
          <w:szCs w:val="20"/>
          <w:lang w:val="en-GB"/>
        </w:rPr>
        <w:t xml:space="preserve"> </w:t>
      </w:r>
      <w:r w:rsidRPr="004C6698">
        <w:rPr>
          <w:rFonts w:ascii="Times New Roman" w:hAnsi="Times New Roman"/>
          <w:sz w:val="20"/>
          <w:szCs w:val="20"/>
        </w:rPr>
        <w:t xml:space="preserve">Flavonoids are in the primary group of polyphenols and can be divided into six main groups, including </w:t>
      </w:r>
      <w:r w:rsidRPr="004C6698">
        <w:rPr>
          <w:rFonts w:ascii="Times New Roman" w:hAnsi="Times New Roman"/>
          <w:sz w:val="20"/>
          <w:szCs w:val="20"/>
        </w:rPr>
        <w:t xml:space="preserve">flavones (apigenin, luteolin, baicalein, chrysin), flavanones (eriodictyol, hesperetin, naringenin), isoflavones (daidzein, genistein, glycitein, biochanin A, formononetin), flavonols (isorhamnetin, kaempferol, myricetin, quercetin), anthocyanidins (cyanidin, delphinidin, malvidin, pelargonidin, peonidin, petunidin) and flavan-3-ols (monomers, dimers or oligomers). The flavonoid contents in tea products vary regarding the differences in many criteria, including geographical origins, cultivation, and processing methods. White, green, or oolong teas contain mono-catechins such as (+)-catechin, (-)-epicatechin, (-)-epigallocatechin, (+)-gallocatechin, and gallate derivatives. For black tea, catechins are oxidized by the enzyme polyphenol oxidase to form dimer compounds such as theaflavin and thearubigin. Besides the compounds in the flavan-3-ol group mentioned above, tea also contains compounds belonging to the flavonol group. Tea has relatively high flavan-3-ol content, making up the characteristics of tea </w:t>
      </w:r>
      <w:r w:rsidRPr="004C6698">
        <w:rPr>
          <w:rFonts w:ascii="Times New Roman" w:hAnsi="Times New Roman"/>
          <w:sz w:val="20"/>
          <w:szCs w:val="20"/>
        </w:rPr>
        <w:fldChar w:fldCharType="begin">
          <w:fldData xml:space="preserve">PEVuZE5vdGU+PENpdGU+PEF1dGhvcj5DaGVuPC9BdXRob3I+PFllYXI+MjAxODwvWWVhcj48UmVj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</w:fldData>
        </w:fldChar>
      </w:r>
      <w:r w:rsidRPr="004C6698">
        <w:rPr>
          <w:rFonts w:ascii="Times New Roman" w:hAnsi="Times New Roman"/>
          <w:sz w:val="20"/>
          <w:szCs w:val="20"/>
        </w:rPr>
        <w:instrText xml:space="preserve"> ADDIN EN.CITE </w:instrText>
      </w:r>
      <w:r w:rsidRPr="004C6698">
        <w:rPr>
          <w:rFonts w:ascii="Times New Roman" w:hAnsi="Times New Roman"/>
          <w:sz w:val="20"/>
          <w:szCs w:val="20"/>
        </w:rPr>
        <w:fldChar w:fldCharType="begin">
          <w:fldData xml:space="preserve">PEVuZE5vdGU+PENpdGU+PEF1dGhvcj5DaGVuPC9BdXRob3I+PFllYXI+MjAxODwvWWVhcj48UmVj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</w:fldData>
        </w:fldChar>
      </w:r>
      <w:r w:rsidRPr="004C6698">
        <w:rPr>
          <w:rFonts w:ascii="Times New Roman" w:hAnsi="Times New Roman"/>
          <w:sz w:val="20"/>
          <w:szCs w:val="20"/>
        </w:rPr>
        <w:instrText xml:space="preserve"> ADDIN EN.CITE.DATA </w:instrText>
      </w:r>
      <w:r w:rsidRPr="004C6698">
        <w:rPr>
          <w:rFonts w:ascii="Times New Roman" w:hAnsi="Times New Roman"/>
          <w:sz w:val="20"/>
          <w:szCs w:val="20"/>
        </w:rPr>
      </w:r>
      <w:r w:rsidRPr="004C6698">
        <w:rPr>
          <w:rFonts w:ascii="Times New Roman" w:hAnsi="Times New Roman"/>
          <w:sz w:val="20"/>
          <w:szCs w:val="20"/>
        </w:rPr>
        <w:fldChar w:fldCharType="end"/>
      </w:r>
      <w:r w:rsidRPr="004C6698">
        <w:rPr>
          <w:rFonts w:ascii="Times New Roman" w:hAnsi="Times New Roman"/>
          <w:sz w:val="20"/>
          <w:szCs w:val="20"/>
        </w:rPr>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5" w:tooltip="Chen, 2018 #703" w:history="1">
        <w:r w:rsidRPr="004C6698">
          <w:rPr>
            <w:rFonts w:ascii="Times New Roman" w:hAnsi="Times New Roman"/>
            <w:noProof/>
            <w:sz w:val="20"/>
            <w:szCs w:val="20"/>
          </w:rPr>
          <w:t>5-7</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There has been increasing interest in the positive health effects of tea, which are believed to be related to tea flavonoids, particularly their antioxidant capacities, anticancer, and anti-inflammatory </w:t>
      </w:r>
      <w:r w:rsidRPr="004C6698">
        <w:rPr>
          <w:rFonts w:ascii="Times New Roman" w:hAnsi="Times New Roman"/>
          <w:sz w:val="20"/>
          <w:szCs w:val="20"/>
        </w:rPr>
        <w:fldChar w:fldCharType="begin">
          <w:fldData xml:space="preserve">PEVuZE5vdGU+PENpdGU+PEF1dGhvcj5IaWdkb248L0F1dGhvcj48WWVhcj4yMDAzPC9ZZWFyPjxS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</w:fldData>
        </w:fldChar>
      </w:r>
      <w:r w:rsidRPr="004C6698">
        <w:rPr>
          <w:rFonts w:ascii="Times New Roman" w:hAnsi="Times New Roman"/>
          <w:sz w:val="20"/>
          <w:szCs w:val="20"/>
        </w:rPr>
        <w:instrText xml:space="preserve"> ADDIN EN.CITE </w:instrText>
      </w:r>
      <w:r w:rsidRPr="004C6698">
        <w:rPr>
          <w:rFonts w:ascii="Times New Roman" w:hAnsi="Times New Roman"/>
          <w:sz w:val="20"/>
          <w:szCs w:val="20"/>
        </w:rPr>
        <w:fldChar w:fldCharType="begin">
          <w:fldData xml:space="preserve">PEVuZE5vdGU+PENpdGU+PEF1dGhvcj5IaWdkb248L0F1dGhvcj48WWVhcj4yMDAzPC9ZZWFyPjxS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</w:fldData>
        </w:fldChar>
      </w:r>
      <w:r w:rsidRPr="004C6698">
        <w:rPr>
          <w:rFonts w:ascii="Times New Roman" w:hAnsi="Times New Roman"/>
          <w:sz w:val="20"/>
          <w:szCs w:val="20"/>
        </w:rPr>
        <w:instrText xml:space="preserve"> ADDIN EN.CITE.DATA </w:instrText>
      </w:r>
      <w:r w:rsidRPr="004C6698">
        <w:rPr>
          <w:rFonts w:ascii="Times New Roman" w:hAnsi="Times New Roman"/>
          <w:sz w:val="20"/>
          <w:szCs w:val="20"/>
        </w:rPr>
      </w:r>
      <w:r w:rsidRPr="004C6698">
        <w:rPr>
          <w:rFonts w:ascii="Times New Roman" w:hAnsi="Times New Roman"/>
          <w:sz w:val="20"/>
          <w:szCs w:val="20"/>
        </w:rPr>
        <w:fldChar w:fldCharType="end"/>
      </w:r>
      <w:r w:rsidRPr="004C6698">
        <w:rPr>
          <w:rFonts w:ascii="Times New Roman" w:hAnsi="Times New Roman"/>
          <w:sz w:val="20"/>
          <w:szCs w:val="20"/>
        </w:rPr>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8" w:tooltip="Higdon, 2003 #1106" w:history="1">
        <w:r w:rsidRPr="004C6698">
          <w:rPr>
            <w:rFonts w:ascii="Times New Roman" w:hAnsi="Times New Roman"/>
            <w:noProof/>
            <w:sz w:val="20"/>
            <w:szCs w:val="20"/>
          </w:rPr>
          <w:t>8-11</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w:t>
      </w:r>
    </w:p>
    <w:p w14:paraId="5689D44E" w14:textId="77777777" w:rsidR="004C6698" w:rsidRPr="004C6698" w:rsidRDefault="004C6698" w:rsidP="004C6698">
      <w:pPr>
        <w:spacing w:after="0"/>
        <w:jc w:val="both"/>
        <w:rPr>
          <w:rFonts w:ascii="Times New Roman" w:hAnsi="Times New Roman"/>
          <w:sz w:val="20"/>
          <w:szCs w:val="20"/>
        </w:rPr>
      </w:pPr>
    </w:p>
    <w:p w14:paraId="00A295BF"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 xml:space="preserve">There have been various studies related to the procedures for the determination of flavonoids in many sample matrices. In particular, the analysis of total flavonoid contents (TFCs) based on the principle of molecular absorption spectrophotometry (UV-Vis) is one of the simplest analytical methods to evaluate variations in the TFCs. However, the selection of the colorimetric assay and the standard substances depends </w:t>
      </w:r>
      <w:r w:rsidRPr="004C6698">
        <w:rPr>
          <w:rFonts w:ascii="Times New Roman" w:hAnsi="Times New Roman"/>
          <w:sz w:val="20"/>
          <w:szCs w:val="20"/>
        </w:rPr>
        <w:lastRenderedPageBreak/>
        <w:t>on the compositional nature of the significant existing flavonoids in the sample. For tea, quercetin has been used as the standard for the quantification of TFCs, expressed in milligrams of quercetin equivalents per gram of dry weight (mg QE g</w:t>
      </w:r>
      <w:r w:rsidRPr="004C6698">
        <w:rPr>
          <w:rFonts w:ascii="Times New Roman" w:hAnsi="Times New Roman"/>
          <w:sz w:val="20"/>
          <w:szCs w:val="20"/>
          <w:vertAlign w:val="superscript"/>
        </w:rPr>
        <w:t>–1</w:t>
      </w:r>
      <w:r w:rsidRPr="004C6698">
        <w:rPr>
          <w:rFonts w:ascii="Times New Roman" w:hAnsi="Times New Roman"/>
          <w:sz w:val="20"/>
          <w:szCs w:val="20"/>
        </w:rPr>
        <w:t xml:space="preserve"> DW). Although there are many methods used to determine the TFCs, all are based on the ability to form chelate complexes with aluminum ions with the addition of several other reagents such as NaNO</w:t>
      </w:r>
      <w:r w:rsidRPr="004C6698">
        <w:rPr>
          <w:rFonts w:ascii="Times New Roman" w:hAnsi="Times New Roman"/>
          <w:sz w:val="20"/>
          <w:szCs w:val="20"/>
          <w:vertAlign w:val="subscript"/>
        </w:rPr>
        <w:t>2</w:t>
      </w:r>
      <w:r w:rsidRPr="004C6698">
        <w:rPr>
          <w:rFonts w:ascii="Times New Roman" w:hAnsi="Times New Roman"/>
          <w:sz w:val="20"/>
          <w:szCs w:val="20"/>
        </w:rPr>
        <w:t>, CH</w:t>
      </w:r>
      <w:r w:rsidRPr="004C6698">
        <w:rPr>
          <w:rFonts w:ascii="Times New Roman" w:hAnsi="Times New Roman"/>
          <w:sz w:val="20"/>
          <w:szCs w:val="20"/>
          <w:vertAlign w:val="subscript"/>
        </w:rPr>
        <w:t>3</w:t>
      </w:r>
      <w:r w:rsidRPr="004C6698">
        <w:rPr>
          <w:rFonts w:ascii="Times New Roman" w:hAnsi="Times New Roman"/>
          <w:sz w:val="20"/>
          <w:szCs w:val="20"/>
        </w:rPr>
        <w:t>COOH, CH</w:t>
      </w:r>
      <w:r w:rsidRPr="004C6698">
        <w:rPr>
          <w:rFonts w:ascii="Times New Roman" w:hAnsi="Times New Roman"/>
          <w:sz w:val="20"/>
          <w:szCs w:val="20"/>
          <w:vertAlign w:val="subscript"/>
        </w:rPr>
        <w:t>3</w:t>
      </w:r>
      <w:r w:rsidRPr="004C6698">
        <w:rPr>
          <w:rFonts w:ascii="Times New Roman" w:hAnsi="Times New Roman"/>
          <w:sz w:val="20"/>
          <w:szCs w:val="20"/>
        </w:rPr>
        <w:t>COONa. The complexes formed with NaNO</w:t>
      </w:r>
      <w:r w:rsidRPr="004C6698">
        <w:rPr>
          <w:rFonts w:ascii="Times New Roman" w:hAnsi="Times New Roman"/>
          <w:sz w:val="20"/>
          <w:szCs w:val="20"/>
          <w:vertAlign w:val="subscript"/>
        </w:rPr>
        <w:t>2</w:t>
      </w:r>
      <w:r w:rsidRPr="004C6698">
        <w:rPr>
          <w:rFonts w:ascii="Times New Roman" w:hAnsi="Times New Roman"/>
          <w:sz w:val="20"/>
          <w:szCs w:val="20"/>
        </w:rPr>
        <w:t xml:space="preserve"> in an alkaline medium for rutin, luteolin, and catechin have significant absorbance at 510 nm. Thus, the procedure using NaNO</w:t>
      </w:r>
      <w:r w:rsidRPr="004C6698">
        <w:rPr>
          <w:rFonts w:ascii="Times New Roman" w:hAnsi="Times New Roman"/>
          <w:sz w:val="20"/>
          <w:szCs w:val="20"/>
          <w:vertAlign w:val="subscript"/>
        </w:rPr>
        <w:t>2</w:t>
      </w:r>
      <w:r w:rsidRPr="004C6698">
        <w:rPr>
          <w:rFonts w:ascii="Times New Roman" w:hAnsi="Times New Roman"/>
          <w:sz w:val="20"/>
          <w:szCs w:val="20"/>
        </w:rPr>
        <w:t xml:space="preserve"> would be suitable for the tea sample in the presence of substantial concentrations of catechin compounds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&lt;EndNote&gt;&lt;Cite&gt;&lt;Author&gt;Pękal&lt;/Author&gt;&lt;Year&gt;2014&lt;/Year&gt;&lt;RecNum&gt;1112&lt;/RecNum&gt;&lt;DisplayText&gt;[12]&lt;/DisplayText&gt;&lt;record&gt;&lt;rec-number&gt;1112&lt;/rec-number&gt;&lt;foreign-keys&gt;&lt;key app="EN" db-id="09zedtxs2rsve4eaafv5rvs9w9t9xrzwvt09" timestamp="1627266473"&gt;1112&lt;/key&gt;&lt;/foreign-keys&gt;&lt;ref-type name="Journal Article"&gt;17&lt;/ref-type&gt;&lt;contributors&gt;&lt;authors&gt;&lt;author&gt;Pękal, Anna&lt;/author&gt;&lt;author&gt;Pyrzynska, Krystyna&lt;/author&gt;&lt;/authors&gt;&lt;/contributors&gt;&lt;titles&gt;&lt;title&gt;Evaluation of aluminium complexation reaction for flavonoid content assay&lt;/title&gt;&lt;secondary-title&gt;Food Analytical Methods&lt;/secondary-title&gt;&lt;/titles&gt;&lt;periodical&gt;&lt;full-title&gt;Food Analytical Methods&lt;/full-title&gt;&lt;/periodical&gt;&lt;pages&gt;1776-1782&lt;/pages&gt;&lt;volume&gt;7&lt;/volume&gt;&lt;number&gt;9&lt;/number&gt;&lt;dates&gt;&lt;year&gt;2014&lt;/year&gt;&lt;/dates&gt;&lt;isbn&gt;1936-976X&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2" w:tooltip="Pękal, 2014 #1112" w:history="1">
        <w:r w:rsidRPr="004C6698">
          <w:rPr>
            <w:rFonts w:ascii="Times New Roman" w:hAnsi="Times New Roman"/>
            <w:noProof/>
            <w:sz w:val="20"/>
            <w:szCs w:val="20"/>
          </w:rPr>
          <w:t>12</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w:t>
      </w:r>
    </w:p>
    <w:p w14:paraId="785778F4" w14:textId="77777777" w:rsidR="004C6698" w:rsidRPr="004C6698" w:rsidRDefault="004C6698" w:rsidP="004C6698">
      <w:pPr>
        <w:spacing w:after="0"/>
        <w:jc w:val="both"/>
        <w:rPr>
          <w:rFonts w:ascii="Times New Roman" w:hAnsi="Times New Roman"/>
          <w:sz w:val="20"/>
          <w:szCs w:val="20"/>
        </w:rPr>
      </w:pPr>
    </w:p>
    <w:p w14:paraId="4EC82E2A"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 xml:space="preserve">The study of Qhairul et al.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&lt;EndNote&gt;&lt;Cite&gt;&lt;Author&gt;Izzreen&lt;/Author&gt;&lt;Year&gt;2013&lt;/Year&gt;&lt;RecNum&gt;1113&lt;/RecNum&gt;&lt;DisplayText&gt;[13]&lt;/DisplayText&gt;&lt;record&gt;&lt;rec-number&gt;1113&lt;/rec-number&gt;&lt;foreign-keys&gt;&lt;key app="EN" db-id="09zedtxs2rsve4eaafv5rvs9w9t9xrzwvt09" timestamp="1627266498"&gt;1113&lt;/key&gt;&lt;/foreign-keys&gt;&lt;ref-type name="Journal Article"&gt;17&lt;/ref-type&gt;&lt;contributors&gt;&lt;authors&gt;&lt;author&gt;Izzreen, Nor Qhairul&lt;/author&gt;&lt;author&gt;Mohd Fadzelly, ABAB&lt;/author&gt;&lt;/authors&gt;&lt;/contributors&gt;&lt;titles&gt;&lt;title&gt;Phytochemicals and antioxidant properties of different parts of Camellia sinensis leaves from Sabah Tea Plantation in Sabah, Malaysia&lt;/title&gt;&lt;secondary-title&gt;International Food Research Journal&lt;/secondary-title&gt;&lt;/titles&gt;&lt;periodical&gt;&lt;full-title&gt;International Food Research Journal&lt;/full-title&gt;&lt;/periodical&gt;&lt;volume&gt;20&lt;/volume&gt;&lt;number&gt;1&lt;/number&gt;&lt;dates&gt;&lt;year&gt;2013&lt;/year&gt;&lt;/dates&gt;&lt;isbn&gt;1985-4668&lt;/isbn&gt;&lt;urls&gt;&lt;/urls&gt;&lt;/record&gt;&lt;/Cite&gt;&lt;/EndNote&gt;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3" w:tooltip="Izzreen, 2013 #1113" w:history="1">
        <w:r w:rsidRPr="004C6698">
          <w:rPr>
            <w:rFonts w:ascii="Times New Roman" w:hAnsi="Times New Roman"/>
            <w:noProof/>
            <w:sz w:val="20"/>
            <w:szCs w:val="20"/>
          </w:rPr>
          <w:t>13</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analyzed the TFCs in green and black teas, and the results showed that green tea had higher TFCs, especially green tea produced from tea buds (from 20.90 to 35.17 mg QE g</w:t>
      </w:r>
      <w:r w:rsidRPr="004C6698">
        <w:rPr>
          <w:rFonts w:ascii="Times New Roman" w:hAnsi="Times New Roman"/>
          <w:sz w:val="20"/>
          <w:szCs w:val="20"/>
          <w:vertAlign w:val="superscript"/>
        </w:rPr>
        <w:t>–1</w:t>
      </w:r>
      <w:r w:rsidRPr="004C6698">
        <w:rPr>
          <w:rFonts w:ascii="Times New Roman" w:hAnsi="Times New Roman"/>
          <w:sz w:val="20"/>
          <w:szCs w:val="20"/>
        </w:rPr>
        <w:t xml:space="preserve"> DW and from 19.07 to 33.70 mg QE g</w:t>
      </w:r>
      <w:r w:rsidRPr="004C6698">
        <w:rPr>
          <w:rFonts w:ascii="Times New Roman" w:hAnsi="Times New Roman"/>
          <w:sz w:val="20"/>
          <w:szCs w:val="20"/>
          <w:vertAlign w:val="superscript"/>
        </w:rPr>
        <w:t>–1</w:t>
      </w:r>
      <w:r w:rsidRPr="004C6698">
        <w:rPr>
          <w:rFonts w:ascii="Times New Roman" w:hAnsi="Times New Roman"/>
          <w:sz w:val="20"/>
          <w:szCs w:val="20"/>
        </w:rPr>
        <w:t xml:space="preserve"> DW for green and black tea samples, respectively). In 2012, Bansal et al. conducted a study on the TFCs in green tea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&lt;EndNote&gt;&lt;Cite&gt;&lt;Author&gt;Bansal&lt;/Author&gt;&lt;Year&gt;2012&lt;/Year&gt;&lt;RecNum&gt;1114&lt;/RecNum&gt;&lt;DisplayText&gt;[14]&lt;/DisplayText&gt;&lt;record&gt;&lt;rec-number&gt;1114&lt;/rec-number&gt;&lt;foreign-keys&gt;&lt;key app="EN" db-id="09zedtxs2rsve4eaafv5rvs9w9t9xrzwvt09" timestamp="1627266521"&gt;1114&lt;/key&gt;&lt;/foreign-keys&gt;&lt;ref-type name="Journal Article"&gt;17&lt;/ref-type&gt;&lt;contributors&gt;&lt;authors&gt;&lt;author&gt;Bansal, Sumit&lt;/author&gt;&lt;author&gt;Syan, Navneet&lt;/author&gt;&lt;author&gt;Mathur, Pooja&lt;/author&gt;&lt;author&gt;Choudhary, Shivani&lt;/author&gt;&lt;/authors&gt;&lt;/contributors&gt;&lt;titles&gt;&lt;title&gt;Pharmacological profile of green tea and its polyphenols: a review&lt;/title&gt;&lt;secondary-title&gt;Medicinal Chemistry Research&lt;/secondary-title&gt;&lt;/titles&gt;&lt;periodical&gt;&lt;full-title&gt;Medicinal Chemistry Research&lt;/full-title&gt;&lt;/periodical&gt;&lt;pages&gt;3347-3360&lt;/pages&gt;&lt;volume&gt;21&lt;/volume&gt;&lt;number&gt;11&lt;/number&gt;&lt;dates&gt;&lt;year&gt;2012&lt;/year&gt;&lt;/dates&gt;&lt;isbn&gt;1554-8120&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4" w:tooltip="Bansal, 2012 #1114" w:history="1">
        <w:r w:rsidRPr="004C6698">
          <w:rPr>
            <w:rFonts w:ascii="Times New Roman" w:hAnsi="Times New Roman"/>
            <w:noProof/>
            <w:sz w:val="20"/>
            <w:szCs w:val="20"/>
          </w:rPr>
          <w:t>14</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and reported the TFCs in green tea as 130.5 mg 100 g</w:t>
      </w:r>
      <w:r w:rsidRPr="004C6698">
        <w:rPr>
          <w:rFonts w:ascii="Times New Roman" w:hAnsi="Times New Roman"/>
          <w:sz w:val="20"/>
          <w:szCs w:val="20"/>
          <w:vertAlign w:val="superscript"/>
        </w:rPr>
        <w:t>–1</w:t>
      </w:r>
      <w:r w:rsidRPr="004C6698">
        <w:rPr>
          <w:rFonts w:ascii="Times New Roman" w:hAnsi="Times New Roman"/>
          <w:sz w:val="20"/>
          <w:szCs w:val="20"/>
        </w:rPr>
        <w:t>. Another study by Putri et al. showed that for the extraction condition of 100 °C within 45 minutes, the extraction of flavonoid content from tea samples into the liquid reached the highest (41.68 ± 1.25 mg L</w:t>
      </w:r>
      <w:r w:rsidRPr="004C6698">
        <w:rPr>
          <w:rFonts w:ascii="Times New Roman" w:hAnsi="Times New Roman"/>
          <w:sz w:val="20"/>
          <w:szCs w:val="20"/>
          <w:vertAlign w:val="superscript"/>
        </w:rPr>
        <w:t>–1</w:t>
      </w:r>
      <w:r w:rsidRPr="004C6698">
        <w:rPr>
          <w:rFonts w:ascii="Times New Roman" w:hAnsi="Times New Roman"/>
          <w:sz w:val="20"/>
          <w:szCs w:val="20"/>
        </w:rPr>
        <w:t xml:space="preserve">)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&lt;EndNote&gt;&lt;Cite&gt;&lt;Author&gt;Putri&lt;/Author&gt;&lt;Year&gt;2015&lt;/Year&gt;&lt;RecNum&gt;1115&lt;/RecNum&gt;&lt;DisplayText&gt;[15]&lt;/DisplayText&gt;&lt;record&gt;&lt;rec-number&gt;1115&lt;/rec-number&gt;&lt;foreign-keys&gt;&lt;key app="EN" db-id="09zedtxs2rsve4eaafv5rvs9w9t9xrzwvt09" timestamp="1627266539"&gt;1115&lt;/key&gt;&lt;/foreign-keys&gt;&lt;ref-type name="Journal Article"&gt;17&lt;/ref-type&gt;&lt;contributors&gt;&lt;authors&gt;&lt;author&gt;Putri, TS&lt;/author&gt;&lt;/authors&gt;&lt;/contributors&gt;&lt;titles&gt;&lt;title&gt;In vitro anti-gout activity and phenolic content of&amp;quot; black tea&amp;quot; soursop (Annona muricata L.) leaves brew&lt;/title&gt;&lt;secondary-title&gt;Journal of Chemical and Pharmaceutical Research&lt;/secondary-title&gt;&lt;/titles&gt;&lt;periodical&gt;&lt;full-title&gt;Journal of chemical and pharmaceutical research&lt;/full-title&gt;&lt;/periodical&gt;&lt;pages&gt;735-743&lt;/pages&gt;&lt;volume&gt;7&lt;/volume&gt;&lt;number&gt;11&lt;/number&gt;&lt;dates&gt;&lt;year&gt;2015&lt;/year&gt;&lt;/dates&gt;&lt;isbn&gt;0975-7384&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5" w:tooltip="Putri, 2015 #1115" w:history="1">
        <w:r w:rsidRPr="004C6698">
          <w:rPr>
            <w:rFonts w:ascii="Times New Roman" w:hAnsi="Times New Roman"/>
            <w:noProof/>
            <w:sz w:val="20"/>
            <w:szCs w:val="20"/>
          </w:rPr>
          <w:t>15</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The publication of Kılıç et al. investigated the infusion temperature values of 60 °C, 80 °C, and 100 °C in 10 minutes, indicating that at 100 °C, the release of flavonoids into tea liquors was the highest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&lt;EndNote&gt;&lt;Cite&gt;&lt;Author&gt;Kılıç&lt;/Author&gt;&lt;Year&gt;2017&lt;/Year&gt;&lt;RecNum&gt;1116&lt;/RecNum&gt;&lt;DisplayText&gt;[16]&lt;/DisplayText&gt;&lt;record&gt;&lt;rec-number&gt;1116&lt;/rec-number&gt;&lt;foreign-keys&gt;&lt;key app="EN" db-id="09zedtxs2rsve4eaafv5rvs9w9t9xrzwvt09" timestamp="1627266558"&gt;1116&lt;/key&gt;&lt;/foreign-keys&gt;&lt;ref-type name="Journal Article"&gt;17&lt;/ref-type&gt;&lt;contributors&gt;&lt;authors&gt;&lt;author&gt;Kılıç, Ceyhun&lt;/author&gt;&lt;author&gt;Can, Zehra&lt;/author&gt;&lt;author&gt;Yılmaz, Ayşenur&lt;/author&gt;&lt;author&gt;Yıldız, Sibel&lt;/author&gt;&lt;author&gt;Turna, Hülya&lt;/author&gt;&lt;/authors&gt;&lt;/contributors&gt;&lt;titles&gt;&lt;title&gt;Antioxidant properties of some herbal teas (green tea, senna, corn silk, rosemary) brewed at different temperatures&lt;/title&gt;&lt;secondary-title&gt;International Journal of Secondary Metabolite&lt;/secondary-title&gt;&lt;/titles&gt;&lt;periodical&gt;&lt;full-title&gt;International Journal of Secondary Metabolite&lt;/full-title&gt;&lt;/periodical&gt;&lt;pages&gt;142-148&lt;/pages&gt;&lt;volume&gt;4&lt;/volume&gt;&lt;number&gt;3, Special Issue 1&lt;/number&gt;&lt;dates&gt;&lt;year&gt;2017&lt;/year&gt;&lt;/dates&gt;&lt;urls&gt;&lt;/urls&gt;&lt;/record&gt;&lt;/Cite&gt;&lt;/EndNote&gt;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6" w:tooltip="Kılıç, 2017 #1116" w:history="1">
        <w:r w:rsidRPr="004C6698">
          <w:rPr>
            <w:rFonts w:ascii="Times New Roman" w:hAnsi="Times New Roman"/>
            <w:noProof/>
            <w:sz w:val="20"/>
            <w:szCs w:val="20"/>
          </w:rPr>
          <w:t>16</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w:t>
      </w:r>
    </w:p>
    <w:p w14:paraId="709FDA7F" w14:textId="77777777" w:rsidR="004C6698" w:rsidRPr="004C6698" w:rsidRDefault="004C6698" w:rsidP="004C6698">
      <w:pPr>
        <w:spacing w:after="0"/>
        <w:jc w:val="both"/>
        <w:rPr>
          <w:rFonts w:ascii="Times New Roman" w:hAnsi="Times New Roman"/>
          <w:sz w:val="20"/>
          <w:szCs w:val="20"/>
        </w:rPr>
      </w:pPr>
    </w:p>
    <w:p w14:paraId="477D03DE" w14:textId="77777777" w:rsidR="004C6698" w:rsidRDefault="004C6698" w:rsidP="004C6698">
      <w:pPr>
        <w:spacing w:after="0"/>
        <w:jc w:val="both"/>
        <w:outlineLvl w:val="0"/>
        <w:rPr>
          <w:rFonts w:ascii="Times New Roman" w:hAnsi="Times New Roman"/>
          <w:sz w:val="20"/>
          <w:szCs w:val="20"/>
        </w:rPr>
      </w:pPr>
      <w:r w:rsidRPr="004C6698">
        <w:rPr>
          <w:rFonts w:ascii="Times New Roman" w:hAnsi="Times New Roman"/>
          <w:sz w:val="20"/>
          <w:szCs w:val="20"/>
        </w:rPr>
        <w:t xml:space="preserve">To our knowledge, despite the high production and exportation of tea products in Vietnam, the publications related to chemical profiles for Vietnamese tea products are limited.  For most of previous studies, authors mainly focused on determining total polyphenol contents and DPPH radical scavenging as antioxidant activity in tea products among different regions when applying spectrophotometric methods. Meanwhile, flavonoid contents reflect and contribute to the antioxidant capacities of tea products. In the present study, we proposed and validated a spectrophotometric method for determining the total flavonoid contents in various </w:t>
      </w:r>
      <w:r w:rsidRPr="004C6698">
        <w:rPr>
          <w:rFonts w:ascii="Times New Roman" w:hAnsi="Times New Roman"/>
          <w:sz w:val="20"/>
          <w:szCs w:val="20"/>
        </w:rPr>
        <w:t xml:space="preserve">tea products and their liquors. The tea products were of different processing methods, including green, white, black, Pu'erh, and oolong. The effects of temperature and infusion time on the extraction of flavonoid in tea liquors were evaluated to discover the most favorable brewing condition (temperature and infusion time) to achieve the highest total flavonoid content. This study will enrich the scientific data for chemical profiles of Vietnamese tea products. </w:t>
      </w:r>
      <w:bookmarkStart w:id="2" w:name="_Hlk83721728"/>
    </w:p>
    <w:p w14:paraId="7E567B32" w14:textId="77777777" w:rsidR="004C6698" w:rsidRDefault="004C6698" w:rsidP="004C6698">
      <w:pPr>
        <w:spacing w:after="0"/>
        <w:jc w:val="both"/>
        <w:outlineLvl w:val="0"/>
        <w:rPr>
          <w:rFonts w:ascii="Times New Roman" w:hAnsi="Times New Roman"/>
          <w:sz w:val="20"/>
          <w:szCs w:val="20"/>
        </w:rPr>
      </w:pPr>
    </w:p>
    <w:p w14:paraId="6000B4C6" w14:textId="220A406E" w:rsidR="004C6698" w:rsidRPr="004C6698" w:rsidRDefault="004C6698" w:rsidP="004C6698">
      <w:pPr>
        <w:spacing w:after="0"/>
        <w:jc w:val="center"/>
        <w:outlineLvl w:val="0"/>
        <w:rPr>
          <w:rFonts w:ascii="Times New Roman" w:hAnsi="Times New Roman"/>
          <w:b/>
          <w:sz w:val="20"/>
          <w:szCs w:val="20"/>
        </w:rPr>
      </w:pPr>
      <w:r w:rsidRPr="004C6698">
        <w:rPr>
          <w:rFonts w:ascii="Times New Roman" w:hAnsi="Times New Roman"/>
          <w:b/>
          <w:sz w:val="20"/>
          <w:szCs w:val="20"/>
        </w:rPr>
        <w:t>Materials and Methods</w:t>
      </w:r>
    </w:p>
    <w:bookmarkEnd w:id="2"/>
    <w:p w14:paraId="1623F54F" w14:textId="77777777" w:rsidR="004C6698" w:rsidRPr="004C6698" w:rsidRDefault="004C6698" w:rsidP="004C6698">
      <w:pPr>
        <w:spacing w:after="0"/>
        <w:jc w:val="both"/>
        <w:outlineLvl w:val="0"/>
        <w:rPr>
          <w:rFonts w:ascii="Times New Roman" w:hAnsi="Times New Roman"/>
          <w:b/>
          <w:color w:val="548DD4" w:themeColor="text2" w:themeTint="99"/>
          <w:sz w:val="20"/>
          <w:szCs w:val="20"/>
        </w:rPr>
      </w:pPr>
      <w:r w:rsidRPr="004C6698">
        <w:rPr>
          <w:rFonts w:ascii="Times New Roman" w:hAnsi="Times New Roman"/>
          <w:b/>
          <w:sz w:val="20"/>
          <w:szCs w:val="20"/>
        </w:rPr>
        <w:t xml:space="preserve">Chemicals and reagents </w:t>
      </w:r>
    </w:p>
    <w:p w14:paraId="7C86A852" w14:textId="568D7C34"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A stock standard solution of 1000 mg L</w:t>
      </w:r>
      <w:r w:rsidRPr="004C6698">
        <w:rPr>
          <w:rFonts w:ascii="Times New Roman" w:hAnsi="Times New Roman"/>
          <w:sz w:val="20"/>
          <w:szCs w:val="20"/>
          <w:vertAlign w:val="superscript"/>
        </w:rPr>
        <w:t>–1</w:t>
      </w:r>
      <w:r w:rsidRPr="004C6698">
        <w:rPr>
          <w:rFonts w:ascii="Times New Roman" w:hAnsi="Times New Roman"/>
          <w:sz w:val="20"/>
          <w:szCs w:val="20"/>
        </w:rPr>
        <w:t xml:space="preserve"> quercetin was prepared by dissolving 10.00 mg of quercetin (Sigma, Germany) in 10.00 mL of methanol (Merck, Germany). Working quercetin standard solutions of 50, 100, 200, 300, 400, 500, 600, and 700 mg L</w:t>
      </w:r>
      <w:r w:rsidRPr="004C6698">
        <w:rPr>
          <w:rFonts w:ascii="Times New Roman" w:hAnsi="Times New Roman"/>
          <w:sz w:val="20"/>
          <w:szCs w:val="20"/>
          <w:vertAlign w:val="superscript"/>
        </w:rPr>
        <w:t>–1</w:t>
      </w:r>
      <w:r w:rsidRPr="004C6698">
        <w:rPr>
          <w:rFonts w:ascii="Times New Roman" w:hAnsi="Times New Roman"/>
          <w:sz w:val="20"/>
          <w:szCs w:val="20"/>
        </w:rPr>
        <w:t xml:space="preserve"> was prepared by appropriate dilution of the stock standard solution by deionized (DI) water (Millipore, USA). Other </w:t>
      </w:r>
      <w:r w:rsidR="00A72CFA">
        <w:rPr>
          <w:rFonts w:ascii="Times New Roman" w:hAnsi="Times New Roman"/>
          <w:sz w:val="20"/>
          <w:szCs w:val="20"/>
        </w:rPr>
        <w:t xml:space="preserve"> </w:t>
      </w:r>
      <w:r w:rsidRPr="004C6698">
        <w:rPr>
          <w:rFonts w:ascii="Times New Roman" w:hAnsi="Times New Roman"/>
          <w:sz w:val="20"/>
          <w:szCs w:val="20"/>
        </w:rPr>
        <w:t xml:space="preserve">chemicals </w:t>
      </w:r>
      <w:r w:rsidR="00A72CFA">
        <w:rPr>
          <w:rFonts w:ascii="Times New Roman" w:hAnsi="Times New Roman"/>
          <w:sz w:val="20"/>
          <w:szCs w:val="20"/>
        </w:rPr>
        <w:t xml:space="preserve"> </w:t>
      </w:r>
      <w:r w:rsidRPr="004C6698">
        <w:rPr>
          <w:rFonts w:ascii="Times New Roman" w:hAnsi="Times New Roman"/>
          <w:sz w:val="20"/>
          <w:szCs w:val="20"/>
        </w:rPr>
        <w:t xml:space="preserve">and </w:t>
      </w:r>
      <w:r w:rsidR="00A72CFA">
        <w:rPr>
          <w:rFonts w:ascii="Times New Roman" w:hAnsi="Times New Roman"/>
          <w:sz w:val="20"/>
          <w:szCs w:val="20"/>
        </w:rPr>
        <w:t xml:space="preserve"> </w:t>
      </w:r>
      <w:r w:rsidRPr="004C6698">
        <w:rPr>
          <w:rFonts w:ascii="Times New Roman" w:hAnsi="Times New Roman"/>
          <w:sz w:val="20"/>
          <w:szCs w:val="20"/>
        </w:rPr>
        <w:t>reagents were of analytical grade (Merck, Germany) and were used to prepared 10% w/v aluminum chloride, 5% w/v sodium nitrite, and 1 mol L</w:t>
      </w:r>
      <w:r w:rsidRPr="004C6698">
        <w:rPr>
          <w:rFonts w:ascii="Times New Roman" w:hAnsi="Times New Roman"/>
          <w:sz w:val="20"/>
          <w:szCs w:val="20"/>
          <w:vertAlign w:val="superscript"/>
        </w:rPr>
        <w:t>–1</w:t>
      </w:r>
      <w:r w:rsidRPr="004C6698">
        <w:rPr>
          <w:rFonts w:ascii="Times New Roman" w:hAnsi="Times New Roman"/>
          <w:sz w:val="20"/>
          <w:szCs w:val="20"/>
        </w:rPr>
        <w:t xml:space="preserve"> sodium hydroxide.</w:t>
      </w:r>
    </w:p>
    <w:p w14:paraId="54F43CB6" w14:textId="77777777" w:rsidR="004C6698" w:rsidRPr="004C6698" w:rsidRDefault="004C6698" w:rsidP="004C6698">
      <w:pPr>
        <w:spacing w:after="0"/>
        <w:jc w:val="both"/>
        <w:outlineLvl w:val="0"/>
        <w:rPr>
          <w:rFonts w:ascii="Times New Roman" w:hAnsi="Times New Roman"/>
          <w:b/>
          <w:sz w:val="20"/>
          <w:szCs w:val="20"/>
          <w:lang w:val="nb-NO"/>
        </w:rPr>
      </w:pPr>
    </w:p>
    <w:p w14:paraId="38C9F3C0" w14:textId="77777777" w:rsidR="004C6698" w:rsidRPr="004C6698" w:rsidRDefault="004C6698" w:rsidP="004C6698">
      <w:pPr>
        <w:spacing w:after="0"/>
        <w:jc w:val="both"/>
        <w:outlineLvl w:val="0"/>
        <w:rPr>
          <w:rFonts w:ascii="Times New Roman" w:hAnsi="Times New Roman"/>
          <w:b/>
          <w:color w:val="548DD4" w:themeColor="text2" w:themeTint="99"/>
          <w:sz w:val="20"/>
          <w:szCs w:val="20"/>
        </w:rPr>
      </w:pPr>
      <w:r w:rsidRPr="004C6698">
        <w:rPr>
          <w:rFonts w:ascii="Times New Roman" w:hAnsi="Times New Roman"/>
          <w:b/>
          <w:sz w:val="20"/>
          <w:szCs w:val="20"/>
          <w:lang w:val="nb-NO"/>
        </w:rPr>
        <w:t xml:space="preserve">Sample collection, flavonoid extraction, and coloring procedure  </w:t>
      </w:r>
    </w:p>
    <w:p w14:paraId="3698DA3A"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This study was conducted in two tea growing regions in Vietnam. The first region was Ha Giang Province located in the high mountainous area in North Vietnam, where 12 old, wild tea products of the green, white, black, and Pu'erh types were collected. The second region was Lam Dong Province in the South-Central Highland of Vietnam, where 6 green and oolong tea products were collected. The green tea plants were believed to be from the old, wild tea in the North of Vietnam which were grown in Lam Dong Province since 1927 (almost 100 years prior). The oolong tea belonged to young tea plants (10-year-old tea).  The specific  sampling  information  is presented in Table 1.</w:t>
      </w:r>
    </w:p>
    <w:p w14:paraId="20F8B5DE" w14:textId="77777777" w:rsidR="004C6698" w:rsidRPr="004C6698" w:rsidRDefault="004C6698" w:rsidP="004C6698">
      <w:pPr>
        <w:spacing w:after="0"/>
        <w:jc w:val="both"/>
        <w:rPr>
          <w:rFonts w:ascii="Times New Roman" w:hAnsi="Times New Roman"/>
          <w:sz w:val="20"/>
          <w:szCs w:val="20"/>
        </w:rPr>
      </w:pPr>
    </w:p>
    <w:p w14:paraId="0065D47A"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 xml:space="preserve">Before analysis, tea samples underwent a pre-treatment procedure following ISO 1572:1980 for homogenization purposes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&lt;EndNote&gt;&lt;Cite&gt;&lt;RecNum&gt;1124&lt;/RecNum&gt;&lt;DisplayText&gt;[17]&lt;/DisplayText&gt;&lt;record&gt;&lt;rec-number&gt;1124&lt;/rec-number&gt;&lt;foreign-keys&gt;&lt;key app="EN" db-id="09zedtxs2rsve4eaafv5rvs9w9t9xrzwvt09" timestamp="1627268117"&gt;1124&lt;/key&gt;&lt;/foreign-keys&gt;&lt;ref-type name="Journal Article"&gt;17&lt;/ref-type&gt;&lt;contributors&gt;&lt;/contributors&gt;&lt;titles&gt;&lt;title&gt;ISO 1572:1980: Tea-Preparation of ground sample of known dry matter content&lt;/title&gt;&lt;/titles&gt;&lt;dates&gt;&lt;/dates&gt;&lt;urls&gt;&lt;/urls&gt;&lt;/record&gt;&lt;/Cite&gt;&lt;/EndNote&gt;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7" w:tooltip=",  #1124" w:history="1">
        <w:r w:rsidRPr="004C6698">
          <w:rPr>
            <w:rFonts w:ascii="Times New Roman" w:hAnsi="Times New Roman"/>
            <w:noProof/>
            <w:sz w:val="20"/>
            <w:szCs w:val="20"/>
          </w:rPr>
          <w:t>17</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Samples were stored at 25 °C, 70% humidity, and in a shaded space away from direct sunlight.</w:t>
      </w:r>
    </w:p>
    <w:p w14:paraId="5D950317" w14:textId="77777777" w:rsidR="004C6698" w:rsidRPr="004C6698" w:rsidRDefault="004C6698" w:rsidP="004C6698">
      <w:pPr>
        <w:spacing w:after="0"/>
        <w:jc w:val="both"/>
        <w:rPr>
          <w:rFonts w:ascii="Times New Roman" w:hAnsi="Times New Roman"/>
          <w:sz w:val="20"/>
          <w:szCs w:val="20"/>
        </w:rPr>
      </w:pPr>
    </w:p>
    <w:p w14:paraId="38A48118" w14:textId="44C1D69D" w:rsid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lastRenderedPageBreak/>
        <w:t xml:space="preserve">The well-homogenized tea products were subjected to the extraction procedure referenced from ISO 14502-1:2005 with some modifications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&lt;EndNote&gt;&lt;Cite&gt;&lt;RecNum&gt;1125&lt;/RecNum&gt;&lt;DisplayText&gt;[18]&lt;/DisplayText&gt;&lt;record&gt;&lt;rec-number&gt;1125&lt;/rec-number&gt;&lt;foreign-keys&gt;&lt;key app="EN" db-id="09zedtxs2rsve4eaafv5rvs9w9t9xrzwvt09" timestamp="1627268192"&gt;1125&lt;/key&gt;&lt;/foreign-keys&gt;&lt;ref-type name="Journal Article"&gt;17&lt;/ref-type&gt;&lt;contributors&gt;&lt;/contributors&gt;&lt;titles&gt;&lt;title&gt;ISO 14502-1:2005: Determination of substances characteristic of green and black tea-Part 1: Content of total polyphenols in tea-Colorimetric method using Folin-Ciocalteu reagent&lt;/title&gt;&lt;/titles&gt;&lt;dates&gt;&lt;/dates&gt;&lt;urls&gt;&lt;/urls&gt;&lt;/record&gt;&lt;/Cite&gt;&lt;/EndNote&gt;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8" w:tooltip=",  #1125" w:history="1">
        <w:r w:rsidRPr="004C6698">
          <w:rPr>
            <w:rFonts w:ascii="Times New Roman" w:hAnsi="Times New Roman"/>
            <w:noProof/>
            <w:sz w:val="20"/>
            <w:szCs w:val="20"/>
          </w:rPr>
          <w:t>18</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Briefly, a quantity of 0.200 g ± 0.001 g of dried tea sample was weighed into a reaction tube. Then, 10.00 mL of MeOH 70% (v/v) in DI water was added to this tube. The mixture was vortexed for 1 minute and transferred to a 70 °C water bath where the extraction may proceed for 30 minutes. After that, the tube was centrifuged at 4000 rpm for 10 minutes. The supernatant was transferred to another tube and diluted for 5-10 times prior to the colorimetric assay (Figure 1). The calibration curves were established by plotting the milligrams quercetin mass equivalents (mg QE) at various concentrations from 50 to 700 mg QE L</w:t>
      </w:r>
      <w:r w:rsidRPr="004C6698">
        <w:rPr>
          <w:rFonts w:ascii="Times New Roman" w:hAnsi="Times New Roman"/>
          <w:sz w:val="20"/>
          <w:szCs w:val="20"/>
          <w:vertAlign w:val="superscript"/>
        </w:rPr>
        <w:t xml:space="preserve">–1 </w:t>
      </w:r>
      <w:r w:rsidRPr="004C6698">
        <w:rPr>
          <w:rFonts w:ascii="Times New Roman" w:hAnsi="Times New Roman"/>
          <w:sz w:val="20"/>
          <w:szCs w:val="20"/>
        </w:rPr>
        <w:t>versus their UV-Vis absorbance values measured at 510 nm</w:t>
      </w:r>
      <w:r w:rsidR="009525FB">
        <w:rPr>
          <w:rFonts w:ascii="Times New Roman" w:hAnsi="Times New Roman"/>
          <w:sz w:val="20"/>
          <w:szCs w:val="20"/>
        </w:rPr>
        <w:t xml:space="preserve"> </w:t>
      </w:r>
      <w:r w:rsidRPr="004C6698">
        <w:rPr>
          <w:rFonts w:ascii="Times New Roman" w:hAnsi="Times New Roman"/>
          <w:sz w:val="20"/>
          <w:szCs w:val="20"/>
        </w:rPr>
        <w:t xml:space="preserve"> in </w:t>
      </w:r>
      <w:r w:rsidR="009525FB">
        <w:rPr>
          <w:rFonts w:ascii="Times New Roman" w:hAnsi="Times New Roman"/>
          <w:sz w:val="20"/>
          <w:szCs w:val="20"/>
        </w:rPr>
        <w:t xml:space="preserve"> </w:t>
      </w:r>
      <w:r w:rsidRPr="004C6698">
        <w:rPr>
          <w:rFonts w:ascii="Times New Roman" w:hAnsi="Times New Roman"/>
          <w:sz w:val="20"/>
          <w:szCs w:val="20"/>
        </w:rPr>
        <w:t xml:space="preserve">the </w:t>
      </w:r>
      <w:r w:rsidR="009525FB">
        <w:rPr>
          <w:rFonts w:ascii="Times New Roman" w:hAnsi="Times New Roman"/>
          <w:sz w:val="20"/>
          <w:szCs w:val="20"/>
        </w:rPr>
        <w:t xml:space="preserve"> </w:t>
      </w:r>
      <w:r w:rsidRPr="004C6698">
        <w:rPr>
          <w:rFonts w:ascii="Times New Roman" w:hAnsi="Times New Roman"/>
          <w:sz w:val="20"/>
          <w:szCs w:val="20"/>
        </w:rPr>
        <w:t xml:space="preserve">format of the linear calibration curve (y = ax + b) as referenced from Kim et al.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&lt;EndNote&gt;&lt;Cite&gt;&lt;Author&gt;Kim&lt;/Author&gt;&lt;Year&gt;2003&lt;/Year&gt;&lt;RecNum&gt;1126&lt;/RecNum&gt;&lt;DisplayText&gt;[19]&lt;/DisplayText&gt;&lt;record&gt;&lt;rec-number&gt;1126&lt;/rec-number&gt;&lt;foreign-keys&gt;&lt;key app="EN" db-id="09zedtxs2rsve4eaafv5rvs9w9t9xrzwvt09" timestamp="1627268387"&gt;1126&lt;/key&gt;&lt;/foreign-keys&gt;&lt;ref-type name="Journal Article"&gt;17&lt;/ref-type&gt;&lt;contributors&gt;&lt;authors&gt;&lt;author&gt;Kim, Dae-Ok&lt;/author&gt;&lt;author&gt;Jeong, Seung Weon&lt;/author&gt;&lt;author&gt;Lee, Chang Y&lt;/author&gt;&lt;/authors&gt;&lt;/contributors&gt;&lt;titles&gt;&lt;title&gt;Antioxidant capacity of phenolic phytochemicals from various cultivars of plums&lt;/title&gt;&lt;secondary-title&gt;Food chemistry&lt;/secondary-title&gt;&lt;/titles&gt;&lt;periodical&gt;&lt;full-title&gt;Food Chem&lt;/full-title&gt;&lt;abbr-1&gt;Food chemistry&lt;/abbr-1&gt;&lt;/periodical&gt;&lt;pages&gt;321-326&lt;/pages&gt;&lt;volume&gt;81&lt;/volume&gt;&lt;number&gt;3&lt;/number&gt;&lt;dates&gt;&lt;year&gt;2003&lt;/year&gt;&lt;/dates&gt;&lt;isbn&gt;0308-8146&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9" w:tooltip="Kim, 2003 #1126" w:history="1">
        <w:r w:rsidRPr="004C6698">
          <w:rPr>
            <w:rFonts w:ascii="Times New Roman" w:hAnsi="Times New Roman"/>
            <w:noProof/>
            <w:sz w:val="20"/>
            <w:szCs w:val="20"/>
          </w:rPr>
          <w:t>19</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w:t>
      </w:r>
    </w:p>
    <w:p w14:paraId="1F7C6ECB" w14:textId="77777777" w:rsidR="00A72CFA" w:rsidRDefault="00A72CFA" w:rsidP="004C6698">
      <w:pPr>
        <w:spacing w:after="0"/>
        <w:jc w:val="both"/>
        <w:rPr>
          <w:rFonts w:ascii="Times New Roman" w:hAnsi="Times New Roman"/>
          <w:sz w:val="20"/>
          <w:szCs w:val="20"/>
        </w:rPr>
      </w:pPr>
    </w:p>
    <w:p w14:paraId="45BAD09D" w14:textId="77777777" w:rsidR="00A72CFA" w:rsidRPr="00A72CFA" w:rsidRDefault="00A72CFA" w:rsidP="00A72CFA">
      <w:pPr>
        <w:spacing w:after="0"/>
        <w:jc w:val="both"/>
        <w:outlineLvl w:val="0"/>
        <w:rPr>
          <w:rFonts w:ascii="Times New Roman" w:hAnsi="Times New Roman"/>
          <w:b/>
          <w:sz w:val="20"/>
          <w:szCs w:val="20"/>
          <w:lang w:val="nb-NO"/>
        </w:rPr>
      </w:pPr>
      <w:r w:rsidRPr="00A72CFA">
        <w:rPr>
          <w:rFonts w:ascii="Times New Roman" w:hAnsi="Times New Roman"/>
          <w:b/>
          <w:sz w:val="20"/>
          <w:szCs w:val="20"/>
          <w:lang w:val="nb-NO"/>
        </w:rPr>
        <w:t xml:space="preserve">Determination of total flavonoid content in tea products and their liquor </w:t>
      </w:r>
    </w:p>
    <w:p w14:paraId="2AE1F7C5" w14:textId="63C3B6E6" w:rsidR="00A72CFA" w:rsidRPr="00A72CFA" w:rsidRDefault="00A72CFA" w:rsidP="00A72CFA">
      <w:pPr>
        <w:spacing w:after="0"/>
        <w:jc w:val="both"/>
        <w:rPr>
          <w:rFonts w:ascii="Times New Roman" w:hAnsi="Times New Roman"/>
          <w:sz w:val="20"/>
          <w:szCs w:val="20"/>
        </w:rPr>
      </w:pPr>
      <w:r w:rsidRPr="00A72CFA">
        <w:rPr>
          <w:rFonts w:ascii="Times New Roman" w:hAnsi="Times New Roman"/>
          <w:sz w:val="20"/>
          <w:szCs w:val="20"/>
        </w:rPr>
        <w:t>The analytical method for determining total flavonoid contents in tea products (expressed in mg QE g</w:t>
      </w:r>
      <w:r w:rsidRPr="00A72CFA">
        <w:rPr>
          <w:rFonts w:ascii="Times New Roman" w:hAnsi="Times New Roman"/>
          <w:sz w:val="20"/>
          <w:szCs w:val="20"/>
          <w:vertAlign w:val="superscript"/>
        </w:rPr>
        <w:t>–1</w:t>
      </w:r>
      <w:r w:rsidRPr="00A72CFA">
        <w:rPr>
          <w:rFonts w:ascii="Times New Roman" w:hAnsi="Times New Roman"/>
          <w:sz w:val="20"/>
          <w:szCs w:val="20"/>
        </w:rPr>
        <w:t xml:space="preserve"> dry weight) was validated, following the requirements in Appendix F of AOAC </w:t>
      </w:r>
      <w:r w:rsidRPr="00A72CFA">
        <w:rPr>
          <w:rFonts w:ascii="Times New Roman" w:hAnsi="Times New Roman"/>
          <w:sz w:val="20"/>
          <w:szCs w:val="20"/>
        </w:rPr>
        <w:fldChar w:fldCharType="begin"/>
      </w:r>
      <w:r w:rsidRPr="00A72CFA">
        <w:rPr>
          <w:rFonts w:ascii="Times New Roman" w:hAnsi="Times New Roman"/>
          <w:sz w:val="20"/>
          <w:szCs w:val="20"/>
        </w:rPr>
        <w:instrText xml:space="preserve"> ADDIN EN.CITE &lt;EndNote&gt;&lt;Cite&gt;&lt;RecNum&gt;519&lt;/RecNum&gt;&lt;DisplayText&gt;[20]&lt;/DisplayText&gt;&lt;record&gt;&lt;rec-number&gt;519&lt;/rec-number&gt;&lt;foreign-keys&gt;&lt;key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A72CFA">
        <w:rPr>
          <w:rFonts w:ascii="Times New Roman" w:hAnsi="Times New Roman"/>
          <w:sz w:val="20"/>
          <w:szCs w:val="20"/>
        </w:rPr>
        <w:fldChar w:fldCharType="separate"/>
      </w:r>
      <w:r w:rsidRPr="00A72CFA">
        <w:rPr>
          <w:rFonts w:ascii="Times New Roman" w:hAnsi="Times New Roman"/>
          <w:noProof/>
          <w:sz w:val="20"/>
          <w:szCs w:val="20"/>
        </w:rPr>
        <w:t>[</w:t>
      </w:r>
      <w:hyperlink w:anchor="_ENREF_20" w:tooltip=",  #519" w:history="1">
        <w:r w:rsidRPr="00A72CFA">
          <w:rPr>
            <w:rFonts w:ascii="Times New Roman" w:hAnsi="Times New Roman"/>
            <w:noProof/>
            <w:sz w:val="20"/>
            <w:szCs w:val="20"/>
          </w:rPr>
          <w:t>20</w:t>
        </w:r>
      </w:hyperlink>
      <w:r w:rsidRPr="00A72CFA">
        <w:rPr>
          <w:rFonts w:ascii="Times New Roman" w:hAnsi="Times New Roman"/>
          <w:noProof/>
          <w:sz w:val="20"/>
          <w:szCs w:val="20"/>
        </w:rPr>
        <w:t>]</w:t>
      </w:r>
      <w:r w:rsidRPr="00A72CFA">
        <w:rPr>
          <w:rFonts w:ascii="Times New Roman" w:hAnsi="Times New Roman"/>
          <w:sz w:val="20"/>
          <w:szCs w:val="20"/>
        </w:rPr>
        <w:fldChar w:fldCharType="end"/>
      </w:r>
      <w:r w:rsidRPr="00A72CFA">
        <w:rPr>
          <w:rFonts w:ascii="Times New Roman" w:hAnsi="Times New Roman"/>
          <w:sz w:val="20"/>
          <w:szCs w:val="20"/>
        </w:rPr>
        <w:t>. The evaluated performance characteristics included the calibration curve, limit of detection and quantification (LOD and LOQ) estimation, repeatability/intra-day and reproducibility/inter-day (% RSD</w:t>
      </w:r>
      <w:r w:rsidRPr="00A72CFA">
        <w:rPr>
          <w:rFonts w:ascii="Times New Roman" w:hAnsi="Times New Roman"/>
          <w:sz w:val="20"/>
          <w:szCs w:val="20"/>
          <w:vertAlign w:val="subscript"/>
        </w:rPr>
        <w:t>r</w:t>
      </w:r>
      <w:r w:rsidRPr="00A72CFA">
        <w:rPr>
          <w:rFonts w:ascii="Times New Roman" w:hAnsi="Times New Roman"/>
          <w:sz w:val="20"/>
          <w:szCs w:val="20"/>
        </w:rPr>
        <w:t xml:space="preserve"> and % RSD</w:t>
      </w:r>
      <w:r w:rsidRPr="00A72CFA">
        <w:rPr>
          <w:rFonts w:ascii="Times New Roman" w:hAnsi="Times New Roman"/>
          <w:sz w:val="20"/>
          <w:szCs w:val="20"/>
          <w:vertAlign w:val="subscript"/>
        </w:rPr>
        <w:t>R</w:t>
      </w:r>
      <w:r w:rsidRPr="00A72CFA">
        <w:rPr>
          <w:rFonts w:ascii="Times New Roman" w:hAnsi="Times New Roman"/>
          <w:sz w:val="20"/>
          <w:szCs w:val="20"/>
        </w:rPr>
        <w:t xml:space="preserve">), and recovery testing for trueness evaluation. The method limits of detection and quantification (LOD and LOQ) were determined by simultaneous analysis of 11 blank </w:t>
      </w:r>
      <w:r w:rsidRPr="00A72CFA">
        <w:rPr>
          <w:rFonts w:ascii="Times New Roman" w:hAnsi="Times New Roman"/>
          <w:sz w:val="20"/>
          <w:szCs w:val="20"/>
        </w:rPr>
        <w:t>samples. The estimated average concentration value (</w:t>
      </w:r>
      <m:oMath>
        <m:acc>
          <m:accPr>
            <m:chr m:val="̅"/>
            <m:ctrlPr>
              <w:rPr>
                <w:rFonts w:ascii="Cambria Math" w:hAnsi="Cambria Math"/>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A72CFA">
        <w:rPr>
          <w:rFonts w:ascii="Times New Roman" w:hAnsi="Times New Roman"/>
          <w:sz w:val="20"/>
          <w:szCs w:val="20"/>
        </w:rPr>
        <w:t xml:space="preserve"> and standard deviation (SD) were calculated to apply in the following relationships: LOD = </w:t>
      </w:r>
      <m:oMath>
        <m:acc>
          <m:accPr>
            <m:chr m:val="̅"/>
            <m:ctrlPr>
              <w:rPr>
                <w:rFonts w:ascii="Cambria Math" w:hAnsi="Cambria Math"/>
                <w:sz w:val="20"/>
                <w:szCs w:val="20"/>
              </w:rPr>
            </m:ctrlPr>
          </m:accPr>
          <m:e>
            <m:r>
              <m:rPr>
                <m:sty m:val="p"/>
              </m:rPr>
              <w:rPr>
                <w:rFonts w:ascii="Cambria Math" w:hAnsi="Cambria Math"/>
                <w:sz w:val="20"/>
                <w:szCs w:val="20"/>
              </w:rPr>
              <m:t>x</m:t>
            </m:r>
          </m:e>
        </m:acc>
      </m:oMath>
      <w:r w:rsidRPr="00A72CFA">
        <w:rPr>
          <w:rFonts w:ascii="Times New Roman" w:hAnsi="Times New Roman"/>
          <w:sz w:val="20"/>
          <w:szCs w:val="20"/>
        </w:rPr>
        <w:t xml:space="preserve"> + 3SD and LOQ = 3LOD </w:t>
      </w:r>
      <w:r w:rsidRPr="00A72CFA">
        <w:rPr>
          <w:rFonts w:ascii="Times New Roman" w:hAnsi="Times New Roman"/>
          <w:sz w:val="20"/>
          <w:szCs w:val="20"/>
        </w:rPr>
        <w:fldChar w:fldCharType="begin"/>
      </w:r>
      <w:r w:rsidRPr="00A72CFA">
        <w:rPr>
          <w:rFonts w:ascii="Times New Roman" w:hAnsi="Times New Roman"/>
          <w:sz w:val="20"/>
          <w:szCs w:val="20"/>
        </w:rPr>
        <w:instrText xml:space="preserve"> ADDIN EN.CITE &lt;EndNote&gt;&lt;Cite&gt;&lt;Author&gt;Inczédy&lt;/Author&gt;&lt;Year&gt;1998&lt;/Year&gt;&lt;RecNum&gt;1127&lt;/RecNum&gt;&lt;DisplayText&gt;[21]&lt;/DisplayText&gt;&lt;record&gt;&lt;rec-number&gt;1127&lt;/rec-number&gt;&lt;foreign-keys&gt;&lt;key app="EN" db-id="09zedtxs2rsve4eaafv5rvs9w9t9xrzwvt09" timestamp="1627268628"&gt;1127&lt;/key&gt;&lt;/foreign-keys&gt;&lt;ref-type name="Journal Article"&gt;17&lt;/ref-type&gt;&lt;contributors&gt;&lt;authors&gt;&lt;author&gt;Inczédy, János&lt;/author&gt;&lt;author&gt;Lengyel, Tamás&lt;/author&gt;&lt;author&gt;Ure, Allan M&lt;/author&gt;&lt;author&gt;Gelencsér, András&lt;/author&gt;&lt;author&gt;Hulanicki, Adam&lt;/author&gt;&lt;/authors&gt;&lt;/contributors&gt;&lt;titles&gt;&lt;title&gt;Compendium of analytical nomenclature&lt;/title&gt;&lt;secondary-title&gt;Hoboken: Blackwell Science&lt;/secondary-title&gt;&lt;/titles&gt;&lt;periodical&gt;&lt;full-title&gt;Hoboken: Blackwell Science&lt;/full-title&gt;&lt;/periodical&gt;&lt;dates&gt;&lt;year&gt;1998&lt;/year&gt;&lt;/dates&gt;&lt;urls&gt;&lt;/urls&gt;&lt;/record&gt;&lt;/Cite&gt;&lt;/EndNote&gt;</w:instrText>
      </w:r>
      <w:r w:rsidRPr="00A72CFA">
        <w:rPr>
          <w:rFonts w:ascii="Times New Roman" w:hAnsi="Times New Roman"/>
          <w:sz w:val="20"/>
          <w:szCs w:val="20"/>
        </w:rPr>
        <w:fldChar w:fldCharType="separate"/>
      </w:r>
      <w:r w:rsidRPr="00A72CFA">
        <w:rPr>
          <w:rFonts w:ascii="Times New Roman" w:hAnsi="Times New Roman"/>
          <w:noProof/>
          <w:sz w:val="20"/>
          <w:szCs w:val="20"/>
        </w:rPr>
        <w:t>[</w:t>
      </w:r>
      <w:hyperlink w:anchor="_ENREF_21" w:tooltip="Inczédy, 1998 #1127" w:history="1">
        <w:r w:rsidRPr="00A72CFA">
          <w:rPr>
            <w:rFonts w:ascii="Times New Roman" w:hAnsi="Times New Roman"/>
            <w:noProof/>
            <w:sz w:val="20"/>
            <w:szCs w:val="20"/>
          </w:rPr>
          <w:t>21</w:t>
        </w:r>
      </w:hyperlink>
      <w:r w:rsidRPr="00A72CFA">
        <w:rPr>
          <w:rFonts w:ascii="Times New Roman" w:hAnsi="Times New Roman"/>
          <w:noProof/>
          <w:sz w:val="20"/>
          <w:szCs w:val="20"/>
        </w:rPr>
        <w:t>]</w:t>
      </w:r>
      <w:r w:rsidRPr="00A72CFA">
        <w:rPr>
          <w:rFonts w:ascii="Times New Roman" w:hAnsi="Times New Roman"/>
          <w:sz w:val="20"/>
          <w:szCs w:val="20"/>
        </w:rPr>
        <w:fldChar w:fldCharType="end"/>
      </w:r>
      <w:r w:rsidRPr="00A72CFA">
        <w:rPr>
          <w:rFonts w:ascii="Times New Roman" w:hAnsi="Times New Roman"/>
          <w:sz w:val="20"/>
          <w:szCs w:val="20"/>
        </w:rPr>
        <w:t xml:space="preserve">. The method accuracy and precision were evaluated from the recovery study conducted by green tea </w:t>
      </w:r>
      <w:r>
        <w:rPr>
          <w:rFonts w:ascii="Times New Roman" w:hAnsi="Times New Roman"/>
          <w:sz w:val="20"/>
          <w:szCs w:val="20"/>
        </w:rPr>
        <w:t xml:space="preserve"> </w:t>
      </w:r>
      <w:r w:rsidRPr="00A72CFA">
        <w:rPr>
          <w:rFonts w:ascii="Times New Roman" w:hAnsi="Times New Roman"/>
          <w:sz w:val="20"/>
          <w:szCs w:val="20"/>
        </w:rPr>
        <w:t xml:space="preserve">samples </w:t>
      </w:r>
      <w:r>
        <w:rPr>
          <w:rFonts w:ascii="Times New Roman" w:hAnsi="Times New Roman"/>
          <w:sz w:val="20"/>
          <w:szCs w:val="20"/>
        </w:rPr>
        <w:t xml:space="preserve"> </w:t>
      </w:r>
      <w:r w:rsidRPr="00A72CFA">
        <w:rPr>
          <w:rFonts w:ascii="Times New Roman" w:hAnsi="Times New Roman"/>
          <w:sz w:val="20"/>
          <w:szCs w:val="20"/>
        </w:rPr>
        <w:t xml:space="preserve">spiked </w:t>
      </w:r>
      <w:r>
        <w:rPr>
          <w:rFonts w:ascii="Times New Roman" w:hAnsi="Times New Roman"/>
          <w:sz w:val="20"/>
          <w:szCs w:val="20"/>
        </w:rPr>
        <w:t xml:space="preserve"> </w:t>
      </w:r>
      <w:r w:rsidRPr="00A72CFA">
        <w:rPr>
          <w:rFonts w:ascii="Times New Roman" w:hAnsi="Times New Roman"/>
          <w:sz w:val="20"/>
          <w:szCs w:val="20"/>
        </w:rPr>
        <w:t>at levels of 40, 80, and 160 mg QE g</w:t>
      </w:r>
      <w:r w:rsidRPr="00A72CFA">
        <w:rPr>
          <w:rFonts w:ascii="Times New Roman" w:hAnsi="Times New Roman"/>
          <w:sz w:val="20"/>
          <w:szCs w:val="20"/>
          <w:vertAlign w:val="superscript"/>
        </w:rPr>
        <w:t>–1</w:t>
      </w:r>
      <w:r w:rsidRPr="00A72CFA">
        <w:rPr>
          <w:rFonts w:ascii="Times New Roman" w:hAnsi="Times New Roman"/>
          <w:sz w:val="20"/>
          <w:szCs w:val="20"/>
        </w:rPr>
        <w:t>.</w:t>
      </w:r>
    </w:p>
    <w:p w14:paraId="39EB0726" w14:textId="77777777" w:rsidR="00A72CFA" w:rsidRPr="00A72CFA" w:rsidRDefault="00A72CFA" w:rsidP="00A72CFA">
      <w:pPr>
        <w:spacing w:after="0"/>
        <w:jc w:val="both"/>
        <w:rPr>
          <w:rFonts w:ascii="Times New Roman" w:hAnsi="Times New Roman"/>
          <w:sz w:val="20"/>
          <w:szCs w:val="20"/>
        </w:rPr>
      </w:pPr>
    </w:p>
    <w:p w14:paraId="087E1AB2" w14:textId="6B4508BF" w:rsidR="00A72CFA" w:rsidRPr="00A72CFA" w:rsidRDefault="00A72CFA" w:rsidP="00A72CFA">
      <w:pPr>
        <w:spacing w:after="0"/>
        <w:jc w:val="both"/>
        <w:rPr>
          <w:rFonts w:ascii="Times New Roman" w:hAnsi="Times New Roman"/>
          <w:sz w:val="20"/>
          <w:szCs w:val="20"/>
        </w:rPr>
      </w:pPr>
      <w:r w:rsidRPr="00A72CFA">
        <w:rPr>
          <w:rFonts w:ascii="Times New Roman" w:hAnsi="Times New Roman"/>
          <w:sz w:val="20"/>
          <w:szCs w:val="20"/>
        </w:rPr>
        <w:t xml:space="preserve">The proposed analytical method was applied in determining the TFCs of various tea products and their liquors, with the aim of evaluating the effects of brewing conditions (temperature and infusion time) on the release of flavonoids from tea products into the water. For the preparation of tea liquors, 0.200 g ± 0.001 g of dried tea sample and 10.00 mL of DI water were used for each brewing condition. The surveyed temperature </w:t>
      </w:r>
      <w:r w:rsidR="0013035F">
        <w:rPr>
          <w:rFonts w:ascii="Times New Roman" w:hAnsi="Times New Roman"/>
          <w:sz w:val="20"/>
          <w:szCs w:val="20"/>
        </w:rPr>
        <w:t xml:space="preserve"> </w:t>
      </w:r>
      <w:r w:rsidRPr="00A72CFA">
        <w:rPr>
          <w:rFonts w:ascii="Times New Roman" w:hAnsi="Times New Roman"/>
          <w:sz w:val="20"/>
          <w:szCs w:val="20"/>
        </w:rPr>
        <w:t xml:space="preserve">and </w:t>
      </w:r>
      <w:r w:rsidR="0013035F">
        <w:rPr>
          <w:rFonts w:ascii="Times New Roman" w:hAnsi="Times New Roman"/>
          <w:sz w:val="20"/>
          <w:szCs w:val="20"/>
        </w:rPr>
        <w:t xml:space="preserve"> </w:t>
      </w:r>
      <w:r w:rsidRPr="00A72CFA">
        <w:rPr>
          <w:rFonts w:ascii="Times New Roman" w:hAnsi="Times New Roman"/>
          <w:sz w:val="20"/>
          <w:szCs w:val="20"/>
        </w:rPr>
        <w:t xml:space="preserve">infusion </w:t>
      </w:r>
      <w:r w:rsidR="0013035F">
        <w:rPr>
          <w:rFonts w:ascii="Times New Roman" w:hAnsi="Times New Roman"/>
          <w:sz w:val="20"/>
          <w:szCs w:val="20"/>
        </w:rPr>
        <w:t xml:space="preserve"> </w:t>
      </w:r>
      <w:r w:rsidRPr="00A72CFA">
        <w:rPr>
          <w:rFonts w:ascii="Times New Roman" w:hAnsi="Times New Roman"/>
          <w:sz w:val="20"/>
          <w:szCs w:val="20"/>
        </w:rPr>
        <w:t>time varied from 10 °C to 90 °C and 3 minutes to 60 minutes, respectively. The infusion time was kept at 60 minutes to assess the effects of temperature and 90 °C was used as the temperature for evaluating the influences of infusion time. The releasing percentage of TFCs was calculated as the ratio of TFCs between the tea liquors and products at different brewing conditions.</w:t>
      </w:r>
    </w:p>
    <w:p w14:paraId="68D2C2A1" w14:textId="77777777" w:rsidR="00A72CFA" w:rsidRPr="00A72CFA" w:rsidRDefault="00A72CFA" w:rsidP="00A72CFA">
      <w:pPr>
        <w:spacing w:after="0"/>
        <w:jc w:val="both"/>
        <w:rPr>
          <w:rFonts w:ascii="Times New Roman" w:hAnsi="Times New Roman"/>
          <w:sz w:val="20"/>
          <w:szCs w:val="20"/>
        </w:rPr>
      </w:pPr>
    </w:p>
    <w:p w14:paraId="78817B84" w14:textId="77777777" w:rsidR="00A72CFA" w:rsidRPr="00A72CFA" w:rsidRDefault="00A72CFA" w:rsidP="00A72CFA">
      <w:pPr>
        <w:spacing w:after="0"/>
        <w:jc w:val="both"/>
        <w:rPr>
          <w:rFonts w:ascii="Times New Roman" w:hAnsi="Times New Roman"/>
          <w:sz w:val="20"/>
          <w:szCs w:val="20"/>
        </w:rPr>
      </w:pPr>
      <w:r w:rsidRPr="00A72CFA">
        <w:rPr>
          <w:rFonts w:ascii="Times New Roman" w:hAnsi="Times New Roman"/>
          <w:sz w:val="20"/>
          <w:szCs w:val="20"/>
        </w:rPr>
        <w:t xml:space="preserve">All the analytical data were carried out in three replicates (n = 3) to ensure the repeatability and analyzed by Microsoft Office Excel 2016, then expressed as mean value </w:t>
      </w:r>
      <m:oMath>
        <m:r>
          <w:rPr>
            <w:rFonts w:ascii="Cambria Math" w:hAnsi="Cambria Math"/>
            <w:sz w:val="20"/>
            <w:szCs w:val="20"/>
          </w:rPr>
          <m:t>±</m:t>
        </m:r>
      </m:oMath>
      <w:r w:rsidRPr="00A72CFA">
        <w:rPr>
          <w:rFonts w:ascii="Times New Roman" w:hAnsi="Times New Roman"/>
          <w:sz w:val="20"/>
          <w:szCs w:val="20"/>
        </w:rPr>
        <w:t xml:space="preserve"> standard deviation (SD).</w:t>
      </w:r>
    </w:p>
    <w:p w14:paraId="4DB6ACB8" w14:textId="77777777" w:rsidR="004C6698" w:rsidRPr="004C6698" w:rsidRDefault="004C6698" w:rsidP="004C6698">
      <w:pPr>
        <w:spacing w:after="0"/>
        <w:jc w:val="both"/>
        <w:rPr>
          <w:rFonts w:ascii="Times New Roman" w:hAnsi="Times New Roman"/>
          <w:sz w:val="20"/>
          <w:szCs w:val="20"/>
        </w:rPr>
      </w:pPr>
    </w:p>
    <w:p w14:paraId="4B2CA36D" w14:textId="19F941A0" w:rsidR="004C6698" w:rsidRDefault="004C6698" w:rsidP="004C6698">
      <w:pPr>
        <w:spacing w:after="0"/>
        <w:jc w:val="both"/>
        <w:rPr>
          <w:rFonts w:ascii="Times New Roman" w:hAnsi="Times New Roman"/>
          <w:sz w:val="20"/>
          <w:szCs w:val="20"/>
          <w:lang w:val="en-GB"/>
        </w:rPr>
      </w:pPr>
    </w:p>
    <w:p w14:paraId="19DB8A45" w14:textId="743FB5C1" w:rsidR="004C6698" w:rsidRDefault="004C6698" w:rsidP="004C6698">
      <w:pPr>
        <w:spacing w:after="0" w:line="240" w:lineRule="auto"/>
        <w:jc w:val="both"/>
        <w:outlineLvl w:val="0"/>
        <w:rPr>
          <w:rFonts w:ascii="Times New Roman" w:hAnsi="Times New Roman"/>
          <w:sz w:val="20"/>
          <w:szCs w:val="20"/>
          <w:lang w:val="en-GB"/>
        </w:rPr>
        <w:sectPr w:rsidR="004C6698" w:rsidSect="004C6698">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p>
    <w:p w14:paraId="4A8CB987" w14:textId="0799298C" w:rsidR="004C6698" w:rsidRDefault="004C6698" w:rsidP="004C6698">
      <w:pPr>
        <w:spacing w:after="0" w:line="240" w:lineRule="auto"/>
        <w:jc w:val="both"/>
        <w:outlineLvl w:val="0"/>
        <w:rPr>
          <w:rFonts w:ascii="Times New Roman" w:hAnsi="Times New Roman"/>
          <w:sz w:val="20"/>
          <w:szCs w:val="20"/>
          <w:lang w:val="en-GB"/>
        </w:rPr>
      </w:pPr>
    </w:p>
    <w:p w14:paraId="07F0E236" w14:textId="3F22DC40" w:rsidR="004C6698" w:rsidRDefault="004C6698" w:rsidP="004C6698">
      <w:pPr>
        <w:spacing w:after="0" w:line="240" w:lineRule="auto"/>
        <w:jc w:val="both"/>
        <w:rPr>
          <w:rFonts w:ascii="Times New Roman" w:hAnsi="Times New Roman"/>
          <w:sz w:val="20"/>
          <w:szCs w:val="20"/>
        </w:rPr>
      </w:pPr>
    </w:p>
    <w:p w14:paraId="42717D25" w14:textId="645C79AC" w:rsidR="004C6698" w:rsidRPr="00577D80" w:rsidRDefault="004C6698" w:rsidP="004C6698">
      <w:pPr>
        <w:spacing w:after="120"/>
        <w:jc w:val="center"/>
        <w:rPr>
          <w:rFonts w:ascii="Times New Roman" w:hAnsi="Times New Roman"/>
          <w:sz w:val="20"/>
          <w:szCs w:val="20"/>
        </w:rPr>
      </w:pPr>
      <w:r w:rsidRPr="00577D80">
        <w:rPr>
          <w:rFonts w:ascii="Times New Roman" w:hAnsi="Times New Roman"/>
          <w:sz w:val="20"/>
          <w:szCs w:val="20"/>
        </w:rPr>
        <w:t xml:space="preserve">Table 1. </w:t>
      </w:r>
      <w:r>
        <w:rPr>
          <w:rFonts w:ascii="Times New Roman" w:hAnsi="Times New Roman"/>
          <w:sz w:val="20"/>
          <w:szCs w:val="20"/>
        </w:rPr>
        <w:t xml:space="preserve"> </w:t>
      </w:r>
      <w:r w:rsidRPr="00577D80">
        <w:rPr>
          <w:rFonts w:ascii="Times New Roman" w:hAnsi="Times New Roman"/>
          <w:sz w:val="20"/>
          <w:szCs w:val="20"/>
        </w:rPr>
        <w:t>Sampling information</w:t>
      </w:r>
    </w:p>
    <w:tbl>
      <w:tblPr>
        <w:tblStyle w:val="TableGrid"/>
        <w:tblW w:w="477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168"/>
        <w:gridCol w:w="3192"/>
        <w:gridCol w:w="3276"/>
      </w:tblGrid>
      <w:tr w:rsidR="004C6698" w:rsidRPr="00577D80" w14:paraId="66CF2C5F" w14:textId="77777777" w:rsidTr="00A72CFA">
        <w:trPr>
          <w:trHeight w:val="62"/>
          <w:jc w:val="center"/>
        </w:trPr>
        <w:tc>
          <w:tcPr>
            <w:tcW w:w="811" w:type="pct"/>
            <w:tcBorders>
              <w:top w:val="single" w:sz="4" w:space="0" w:color="auto"/>
              <w:bottom w:val="single" w:sz="4" w:space="0" w:color="auto"/>
            </w:tcBorders>
            <w:vAlign w:val="center"/>
          </w:tcPr>
          <w:p w14:paraId="16DAB9C1" w14:textId="77777777" w:rsidR="004C6698" w:rsidRPr="00577D80" w:rsidRDefault="004C6698" w:rsidP="00A72CFA">
            <w:pPr>
              <w:spacing w:before="60" w:after="60" w:line="240" w:lineRule="auto"/>
              <w:outlineLvl w:val="0"/>
              <w:rPr>
                <w:rFonts w:ascii="Times New Roman" w:hAnsi="Times New Roman" w:cs="Times New Roman"/>
                <w:b/>
                <w:sz w:val="20"/>
                <w:szCs w:val="20"/>
              </w:rPr>
            </w:pPr>
            <w:r w:rsidRPr="00577D80">
              <w:rPr>
                <w:rFonts w:ascii="Times New Roman" w:hAnsi="Times New Roman" w:cs="Times New Roman"/>
                <w:b/>
                <w:sz w:val="20"/>
                <w:szCs w:val="20"/>
              </w:rPr>
              <w:t>Tea Types</w:t>
            </w:r>
          </w:p>
        </w:tc>
        <w:tc>
          <w:tcPr>
            <w:tcW w:w="641" w:type="pct"/>
            <w:tcBorders>
              <w:top w:val="single" w:sz="4" w:space="0" w:color="auto"/>
              <w:bottom w:val="single" w:sz="4" w:space="0" w:color="auto"/>
            </w:tcBorders>
            <w:vAlign w:val="center"/>
          </w:tcPr>
          <w:p w14:paraId="6014D543" w14:textId="77777777" w:rsidR="004C6698" w:rsidRPr="00577D80" w:rsidRDefault="004C6698" w:rsidP="00A72CFA">
            <w:pPr>
              <w:spacing w:before="60" w:after="60" w:line="240" w:lineRule="auto"/>
              <w:outlineLvl w:val="0"/>
              <w:rPr>
                <w:rFonts w:ascii="Times New Roman" w:hAnsi="Times New Roman" w:cs="Times New Roman"/>
                <w:b/>
                <w:sz w:val="20"/>
                <w:szCs w:val="20"/>
              </w:rPr>
            </w:pPr>
            <w:r w:rsidRPr="00577D80">
              <w:rPr>
                <w:rFonts w:ascii="Times New Roman" w:hAnsi="Times New Roman" w:cs="Times New Roman"/>
                <w:b/>
                <w:sz w:val="20"/>
                <w:szCs w:val="20"/>
              </w:rPr>
              <w:t>Quantities</w:t>
            </w:r>
          </w:p>
        </w:tc>
        <w:tc>
          <w:tcPr>
            <w:tcW w:w="1751" w:type="pct"/>
            <w:tcBorders>
              <w:top w:val="single" w:sz="4" w:space="0" w:color="auto"/>
              <w:bottom w:val="single" w:sz="4" w:space="0" w:color="auto"/>
            </w:tcBorders>
            <w:vAlign w:val="center"/>
          </w:tcPr>
          <w:p w14:paraId="1A46555E" w14:textId="77777777" w:rsidR="004C6698" w:rsidRPr="00577D80" w:rsidRDefault="004C6698" w:rsidP="00A72CFA">
            <w:pPr>
              <w:spacing w:before="60" w:after="60" w:line="240" w:lineRule="auto"/>
              <w:outlineLvl w:val="0"/>
              <w:rPr>
                <w:rFonts w:ascii="Times New Roman" w:hAnsi="Times New Roman" w:cs="Times New Roman"/>
                <w:b/>
                <w:sz w:val="20"/>
                <w:szCs w:val="20"/>
              </w:rPr>
            </w:pPr>
            <w:r w:rsidRPr="00577D80">
              <w:rPr>
                <w:rFonts w:ascii="Times New Roman" w:hAnsi="Times New Roman" w:cs="Times New Roman"/>
                <w:b/>
                <w:sz w:val="20"/>
                <w:szCs w:val="20"/>
              </w:rPr>
              <w:t>Sample Code</w:t>
            </w:r>
          </w:p>
        </w:tc>
        <w:tc>
          <w:tcPr>
            <w:tcW w:w="1797" w:type="pct"/>
            <w:tcBorders>
              <w:top w:val="single" w:sz="4" w:space="0" w:color="auto"/>
              <w:bottom w:val="single" w:sz="4" w:space="0" w:color="auto"/>
            </w:tcBorders>
            <w:vAlign w:val="center"/>
          </w:tcPr>
          <w:p w14:paraId="1745AB74" w14:textId="77777777" w:rsidR="004C6698" w:rsidRPr="00577D80" w:rsidRDefault="004C6698" w:rsidP="00A72CFA">
            <w:pPr>
              <w:spacing w:before="60" w:after="60" w:line="240" w:lineRule="auto"/>
              <w:outlineLvl w:val="0"/>
              <w:rPr>
                <w:rFonts w:ascii="Times New Roman" w:hAnsi="Times New Roman" w:cs="Times New Roman"/>
                <w:b/>
                <w:sz w:val="20"/>
                <w:szCs w:val="20"/>
              </w:rPr>
            </w:pPr>
            <w:r w:rsidRPr="00577D80">
              <w:rPr>
                <w:rFonts w:ascii="Times New Roman" w:hAnsi="Times New Roman" w:cs="Times New Roman"/>
                <w:b/>
                <w:sz w:val="20"/>
                <w:szCs w:val="20"/>
              </w:rPr>
              <w:t>Sampling Location</w:t>
            </w:r>
          </w:p>
        </w:tc>
      </w:tr>
      <w:tr w:rsidR="004C6698" w:rsidRPr="00577D80" w14:paraId="7B4CB34F" w14:textId="77777777" w:rsidTr="00A72CFA">
        <w:trPr>
          <w:trHeight w:val="62"/>
          <w:jc w:val="center"/>
        </w:trPr>
        <w:tc>
          <w:tcPr>
            <w:tcW w:w="811" w:type="pct"/>
            <w:tcBorders>
              <w:top w:val="single" w:sz="4" w:space="0" w:color="auto"/>
            </w:tcBorders>
            <w:vAlign w:val="center"/>
          </w:tcPr>
          <w:p w14:paraId="34E6314C"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 xml:space="preserve">Green </w:t>
            </w:r>
          </w:p>
        </w:tc>
        <w:tc>
          <w:tcPr>
            <w:tcW w:w="641" w:type="pct"/>
            <w:tcBorders>
              <w:top w:val="single" w:sz="4" w:space="0" w:color="auto"/>
            </w:tcBorders>
            <w:vAlign w:val="center"/>
          </w:tcPr>
          <w:p w14:paraId="7DFE02F4"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top w:val="single" w:sz="4" w:space="0" w:color="auto"/>
            </w:tcBorders>
            <w:vAlign w:val="center"/>
          </w:tcPr>
          <w:p w14:paraId="14C43C62"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Green-1, Green-2, Green-3</w:t>
            </w:r>
          </w:p>
        </w:tc>
        <w:tc>
          <w:tcPr>
            <w:tcW w:w="1797" w:type="pct"/>
            <w:vMerge w:val="restart"/>
            <w:tcBorders>
              <w:top w:val="single" w:sz="4" w:space="0" w:color="auto"/>
            </w:tcBorders>
            <w:vAlign w:val="center"/>
          </w:tcPr>
          <w:p w14:paraId="474D4B40"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Ha Giang Province, mountainous regions in the North (Vietnam)</w:t>
            </w:r>
          </w:p>
        </w:tc>
      </w:tr>
      <w:tr w:rsidR="004C6698" w:rsidRPr="00577D80" w14:paraId="07C76B8E" w14:textId="77777777" w:rsidTr="0072570C">
        <w:trPr>
          <w:trHeight w:val="73"/>
          <w:jc w:val="center"/>
        </w:trPr>
        <w:tc>
          <w:tcPr>
            <w:tcW w:w="811" w:type="pct"/>
            <w:vAlign w:val="center"/>
          </w:tcPr>
          <w:p w14:paraId="4887CE77"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White</w:t>
            </w:r>
          </w:p>
        </w:tc>
        <w:tc>
          <w:tcPr>
            <w:tcW w:w="641" w:type="pct"/>
            <w:vAlign w:val="center"/>
          </w:tcPr>
          <w:p w14:paraId="1D08934F"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vAlign w:val="center"/>
          </w:tcPr>
          <w:p w14:paraId="6D07FCA3"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White-1, White-2, White-3</w:t>
            </w:r>
          </w:p>
        </w:tc>
        <w:tc>
          <w:tcPr>
            <w:tcW w:w="1797" w:type="pct"/>
            <w:vMerge/>
            <w:vAlign w:val="center"/>
          </w:tcPr>
          <w:p w14:paraId="6673E93B" w14:textId="77777777" w:rsidR="004C6698" w:rsidRPr="00577D80" w:rsidRDefault="004C6698" w:rsidP="004C6698">
            <w:pPr>
              <w:spacing w:before="60" w:after="0" w:line="240" w:lineRule="auto"/>
              <w:outlineLvl w:val="0"/>
              <w:rPr>
                <w:rFonts w:ascii="Times New Roman" w:hAnsi="Times New Roman" w:cs="Times New Roman"/>
                <w:sz w:val="20"/>
                <w:szCs w:val="20"/>
              </w:rPr>
            </w:pPr>
          </w:p>
        </w:tc>
      </w:tr>
      <w:tr w:rsidR="004C6698" w:rsidRPr="00577D80" w14:paraId="2F48753D" w14:textId="77777777" w:rsidTr="0072570C">
        <w:trPr>
          <w:trHeight w:val="73"/>
          <w:jc w:val="center"/>
        </w:trPr>
        <w:tc>
          <w:tcPr>
            <w:tcW w:w="811" w:type="pct"/>
            <w:vAlign w:val="center"/>
          </w:tcPr>
          <w:p w14:paraId="0875E860"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Pu’erh</w:t>
            </w:r>
          </w:p>
        </w:tc>
        <w:tc>
          <w:tcPr>
            <w:tcW w:w="641" w:type="pct"/>
            <w:vAlign w:val="center"/>
          </w:tcPr>
          <w:p w14:paraId="2E6070C9"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vAlign w:val="center"/>
          </w:tcPr>
          <w:p w14:paraId="44D3948E"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Pu’erh-1, Pu’erh-2, Pu’erh-3</w:t>
            </w:r>
          </w:p>
        </w:tc>
        <w:tc>
          <w:tcPr>
            <w:tcW w:w="1797" w:type="pct"/>
            <w:vMerge/>
            <w:vAlign w:val="center"/>
          </w:tcPr>
          <w:p w14:paraId="03F6D4A5" w14:textId="77777777" w:rsidR="004C6698" w:rsidRPr="00577D80" w:rsidRDefault="004C6698" w:rsidP="004C6698">
            <w:pPr>
              <w:spacing w:before="60" w:after="0" w:line="240" w:lineRule="auto"/>
              <w:outlineLvl w:val="0"/>
              <w:rPr>
                <w:rFonts w:ascii="Times New Roman" w:hAnsi="Times New Roman" w:cs="Times New Roman"/>
                <w:sz w:val="20"/>
                <w:szCs w:val="20"/>
              </w:rPr>
            </w:pPr>
          </w:p>
        </w:tc>
      </w:tr>
      <w:tr w:rsidR="004C6698" w:rsidRPr="00577D80" w14:paraId="04D0DD4C" w14:textId="77777777" w:rsidTr="0072570C">
        <w:trPr>
          <w:trHeight w:val="73"/>
          <w:jc w:val="center"/>
        </w:trPr>
        <w:tc>
          <w:tcPr>
            <w:tcW w:w="811" w:type="pct"/>
            <w:tcBorders>
              <w:bottom w:val="single" w:sz="4" w:space="0" w:color="auto"/>
            </w:tcBorders>
            <w:vAlign w:val="center"/>
          </w:tcPr>
          <w:p w14:paraId="09C680F3"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Black</w:t>
            </w:r>
          </w:p>
        </w:tc>
        <w:tc>
          <w:tcPr>
            <w:tcW w:w="641" w:type="pct"/>
            <w:tcBorders>
              <w:bottom w:val="single" w:sz="4" w:space="0" w:color="auto"/>
            </w:tcBorders>
            <w:vAlign w:val="center"/>
          </w:tcPr>
          <w:p w14:paraId="1F4DB150"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bottom w:val="single" w:sz="4" w:space="0" w:color="auto"/>
            </w:tcBorders>
            <w:vAlign w:val="center"/>
          </w:tcPr>
          <w:p w14:paraId="02980509"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Black-1, Black-2, Black-3</w:t>
            </w:r>
          </w:p>
        </w:tc>
        <w:tc>
          <w:tcPr>
            <w:tcW w:w="1797" w:type="pct"/>
            <w:vMerge/>
            <w:tcBorders>
              <w:bottom w:val="single" w:sz="4" w:space="0" w:color="auto"/>
            </w:tcBorders>
            <w:vAlign w:val="center"/>
          </w:tcPr>
          <w:p w14:paraId="1D05DBE0" w14:textId="77777777" w:rsidR="004C6698" w:rsidRPr="00577D80" w:rsidRDefault="004C6698" w:rsidP="004C6698">
            <w:pPr>
              <w:spacing w:before="60" w:after="0" w:line="240" w:lineRule="auto"/>
              <w:outlineLvl w:val="0"/>
              <w:rPr>
                <w:rFonts w:ascii="Times New Roman" w:hAnsi="Times New Roman" w:cs="Times New Roman"/>
                <w:sz w:val="20"/>
                <w:szCs w:val="20"/>
              </w:rPr>
            </w:pPr>
          </w:p>
        </w:tc>
      </w:tr>
      <w:tr w:rsidR="004C6698" w:rsidRPr="00577D80" w14:paraId="1BA76252" w14:textId="77777777" w:rsidTr="0072570C">
        <w:trPr>
          <w:trHeight w:val="62"/>
          <w:jc w:val="center"/>
        </w:trPr>
        <w:tc>
          <w:tcPr>
            <w:tcW w:w="811" w:type="pct"/>
            <w:tcBorders>
              <w:top w:val="single" w:sz="4" w:space="0" w:color="auto"/>
            </w:tcBorders>
            <w:vAlign w:val="center"/>
          </w:tcPr>
          <w:p w14:paraId="5BC66A93" w14:textId="77777777" w:rsidR="004C6698" w:rsidRPr="00577D80" w:rsidRDefault="004C6698" w:rsidP="00A72CFA">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 xml:space="preserve">Green </w:t>
            </w:r>
          </w:p>
        </w:tc>
        <w:tc>
          <w:tcPr>
            <w:tcW w:w="641" w:type="pct"/>
            <w:tcBorders>
              <w:top w:val="single" w:sz="4" w:space="0" w:color="auto"/>
            </w:tcBorders>
            <w:vAlign w:val="center"/>
          </w:tcPr>
          <w:p w14:paraId="65F36B8E" w14:textId="77777777" w:rsidR="004C6698" w:rsidRPr="00577D80" w:rsidRDefault="004C6698" w:rsidP="00A72CFA">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top w:val="single" w:sz="4" w:space="0" w:color="auto"/>
            </w:tcBorders>
            <w:vAlign w:val="center"/>
          </w:tcPr>
          <w:p w14:paraId="467224D7" w14:textId="77777777" w:rsidR="004C6698" w:rsidRPr="00577D80" w:rsidRDefault="004C6698" w:rsidP="00A72CFA">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Green-4, Green-5, Green-6</w:t>
            </w:r>
          </w:p>
        </w:tc>
        <w:tc>
          <w:tcPr>
            <w:tcW w:w="1797" w:type="pct"/>
            <w:vMerge w:val="restart"/>
            <w:tcBorders>
              <w:top w:val="single" w:sz="4" w:space="0" w:color="auto"/>
            </w:tcBorders>
            <w:vAlign w:val="center"/>
          </w:tcPr>
          <w:p w14:paraId="23FC286B" w14:textId="77777777" w:rsidR="004C6698" w:rsidRPr="00577D80" w:rsidRDefault="004C6698" w:rsidP="00A72CFA">
            <w:pPr>
              <w:spacing w:before="60" w:after="6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Lam Dong Province, Central Highland in the South (Vietnam)</w:t>
            </w:r>
          </w:p>
        </w:tc>
      </w:tr>
      <w:tr w:rsidR="004C6698" w:rsidRPr="00577D80" w14:paraId="68F48BDD" w14:textId="77777777" w:rsidTr="0072570C">
        <w:trPr>
          <w:trHeight w:val="73"/>
          <w:jc w:val="center"/>
        </w:trPr>
        <w:tc>
          <w:tcPr>
            <w:tcW w:w="811" w:type="pct"/>
            <w:tcBorders>
              <w:bottom w:val="single" w:sz="4" w:space="0" w:color="auto"/>
            </w:tcBorders>
          </w:tcPr>
          <w:p w14:paraId="7F73A845" w14:textId="77777777" w:rsidR="004C6698" w:rsidRPr="00577D80" w:rsidRDefault="004C6698" w:rsidP="00A72CFA">
            <w:pPr>
              <w:spacing w:before="60" w:after="6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Oolong</w:t>
            </w:r>
          </w:p>
        </w:tc>
        <w:tc>
          <w:tcPr>
            <w:tcW w:w="641" w:type="pct"/>
            <w:tcBorders>
              <w:bottom w:val="single" w:sz="4" w:space="0" w:color="auto"/>
            </w:tcBorders>
          </w:tcPr>
          <w:p w14:paraId="130B6005" w14:textId="77777777" w:rsidR="004C6698" w:rsidRPr="00577D80" w:rsidRDefault="004C6698" w:rsidP="00A72CFA">
            <w:pPr>
              <w:spacing w:before="60" w:after="6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bottom w:val="single" w:sz="4" w:space="0" w:color="auto"/>
            </w:tcBorders>
          </w:tcPr>
          <w:p w14:paraId="366F6A85" w14:textId="77777777" w:rsidR="004C6698" w:rsidRPr="00577D80" w:rsidRDefault="004C6698" w:rsidP="00A72CFA">
            <w:pPr>
              <w:spacing w:before="60" w:after="6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Oolong-1, Oolong-2, Oolong-3</w:t>
            </w:r>
          </w:p>
        </w:tc>
        <w:tc>
          <w:tcPr>
            <w:tcW w:w="1797" w:type="pct"/>
            <w:vMerge/>
            <w:tcBorders>
              <w:bottom w:val="single" w:sz="4" w:space="0" w:color="auto"/>
            </w:tcBorders>
          </w:tcPr>
          <w:p w14:paraId="6B564DD3" w14:textId="77777777" w:rsidR="004C6698" w:rsidRPr="00577D80" w:rsidRDefault="004C6698" w:rsidP="00A72CFA">
            <w:pPr>
              <w:spacing w:before="60" w:after="60" w:line="240" w:lineRule="auto"/>
              <w:outlineLvl w:val="0"/>
              <w:rPr>
                <w:rFonts w:ascii="Times New Roman" w:hAnsi="Times New Roman" w:cs="Times New Roman"/>
                <w:sz w:val="20"/>
                <w:szCs w:val="20"/>
              </w:rPr>
            </w:pPr>
          </w:p>
        </w:tc>
      </w:tr>
    </w:tbl>
    <w:p w14:paraId="08A69300" w14:textId="740CF87D" w:rsidR="004C6698" w:rsidRDefault="004C6698" w:rsidP="004C6698">
      <w:pPr>
        <w:spacing w:after="0" w:line="240" w:lineRule="auto"/>
        <w:jc w:val="center"/>
        <w:outlineLvl w:val="0"/>
        <w:rPr>
          <w:sz w:val="20"/>
          <w:szCs w:val="20"/>
        </w:rPr>
      </w:pPr>
    </w:p>
    <w:p w14:paraId="30A5D7F6" w14:textId="77777777" w:rsidR="004C6698" w:rsidRPr="00577D80" w:rsidRDefault="004C6698" w:rsidP="004C6698">
      <w:pPr>
        <w:spacing w:after="0" w:line="240" w:lineRule="auto"/>
        <w:jc w:val="center"/>
        <w:outlineLvl w:val="0"/>
        <w:rPr>
          <w:sz w:val="20"/>
          <w:szCs w:val="20"/>
        </w:rPr>
      </w:pPr>
    </w:p>
    <w:p w14:paraId="7962282F" w14:textId="77777777" w:rsidR="004C6698" w:rsidRPr="00281082" w:rsidRDefault="004C6698" w:rsidP="00A72CFA">
      <w:pPr>
        <w:spacing w:after="120"/>
        <w:ind w:hanging="187"/>
        <w:jc w:val="center"/>
        <w:rPr>
          <w:rFonts w:ascii="Times New Roman" w:hAnsi="Times New Roman"/>
        </w:rPr>
      </w:pPr>
      <w:r w:rsidRPr="00281082">
        <w:rPr>
          <w:rFonts w:ascii="Times New Roman" w:hAnsi="Times New Roman"/>
          <w:noProof/>
        </w:rPr>
        <w:lastRenderedPageBreak/>
        <w:drawing>
          <wp:inline distT="0" distB="0" distL="0" distR="0" wp14:anchorId="08C31ABC" wp14:editId="3FE544F6">
            <wp:extent cx="4410075" cy="18725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07882" cy="1914090"/>
                    </a:xfrm>
                    <a:prstGeom prst="rect">
                      <a:avLst/>
                    </a:prstGeom>
                  </pic:spPr>
                </pic:pic>
              </a:graphicData>
            </a:graphic>
          </wp:inline>
        </w:drawing>
      </w:r>
    </w:p>
    <w:p w14:paraId="45AC9453" w14:textId="7180BEA7" w:rsidR="004C6698" w:rsidRPr="00577D80" w:rsidRDefault="004C6698" w:rsidP="004C6698">
      <w:pPr>
        <w:spacing w:after="0" w:line="240" w:lineRule="auto"/>
        <w:jc w:val="center"/>
        <w:rPr>
          <w:rFonts w:ascii="Times New Roman" w:hAnsi="Times New Roman"/>
          <w:bCs/>
          <w:i/>
          <w:sz w:val="20"/>
          <w:szCs w:val="18"/>
          <w:lang w:val="nb-NO"/>
        </w:rPr>
      </w:pPr>
      <w:r w:rsidRPr="00577D80">
        <w:rPr>
          <w:rFonts w:ascii="Times New Roman" w:hAnsi="Times New Roman"/>
          <w:bCs/>
          <w:sz w:val="20"/>
          <w:szCs w:val="18"/>
          <w:lang w:val="nb-NO"/>
        </w:rPr>
        <w:t xml:space="preserve">Figure 1. </w:t>
      </w:r>
      <w:r w:rsidR="00A72CFA">
        <w:rPr>
          <w:rFonts w:ascii="Times New Roman" w:hAnsi="Times New Roman"/>
          <w:bCs/>
          <w:sz w:val="20"/>
          <w:szCs w:val="18"/>
          <w:lang w:val="nb-NO"/>
        </w:rPr>
        <w:t xml:space="preserve"> </w:t>
      </w:r>
      <w:r w:rsidRPr="00577D80">
        <w:rPr>
          <w:rFonts w:ascii="Times New Roman" w:hAnsi="Times New Roman"/>
          <w:bCs/>
          <w:sz w:val="20"/>
          <w:szCs w:val="18"/>
          <w:lang w:val="nb-NO"/>
        </w:rPr>
        <w:t>Coloring procedure for determining the total flavonoid content</w:t>
      </w:r>
      <w:r w:rsidRPr="00577D80">
        <w:rPr>
          <w:rFonts w:ascii="Times New Roman" w:hAnsi="Times New Roman"/>
          <w:bCs/>
          <w:i/>
          <w:sz w:val="20"/>
          <w:szCs w:val="18"/>
          <w:lang w:val="nb-NO"/>
        </w:rPr>
        <w:t xml:space="preserve"> </w:t>
      </w:r>
    </w:p>
    <w:p w14:paraId="37686AA7" w14:textId="54A1DF7E" w:rsidR="004C6698" w:rsidRDefault="004C6698" w:rsidP="004C6698">
      <w:pPr>
        <w:spacing w:after="0" w:line="240" w:lineRule="auto"/>
        <w:jc w:val="both"/>
        <w:rPr>
          <w:rFonts w:ascii="Times New Roman" w:hAnsi="Times New Roman"/>
          <w:sz w:val="20"/>
          <w:szCs w:val="20"/>
        </w:rPr>
      </w:pPr>
    </w:p>
    <w:p w14:paraId="6107C67A" w14:textId="02563122" w:rsidR="004C6698" w:rsidRDefault="004C6698" w:rsidP="004C6698">
      <w:pPr>
        <w:spacing w:after="0" w:line="240" w:lineRule="auto"/>
        <w:jc w:val="both"/>
        <w:rPr>
          <w:rFonts w:ascii="Times New Roman" w:hAnsi="Times New Roman"/>
          <w:sz w:val="20"/>
          <w:szCs w:val="20"/>
        </w:rPr>
      </w:pPr>
    </w:p>
    <w:p w14:paraId="4F6EFE7E" w14:textId="77777777" w:rsidR="004C6698" w:rsidRDefault="004C6698" w:rsidP="004C6698">
      <w:pPr>
        <w:spacing w:after="0" w:line="240" w:lineRule="auto"/>
        <w:jc w:val="both"/>
        <w:outlineLvl w:val="0"/>
        <w:rPr>
          <w:rFonts w:ascii="Times New Roman" w:eastAsia="Batang" w:hAnsi="Times New Roman"/>
          <w:bCs/>
          <w:sz w:val="20"/>
          <w:szCs w:val="20"/>
        </w:rPr>
      </w:pPr>
    </w:p>
    <w:p w14:paraId="7B166AEA" w14:textId="77777777" w:rsidR="00A72CFA" w:rsidRDefault="00A72CFA" w:rsidP="00A72CFA">
      <w:pPr>
        <w:spacing w:after="0"/>
        <w:jc w:val="center"/>
        <w:rPr>
          <w:rFonts w:ascii="Times New Roman" w:hAnsi="Times New Roman"/>
          <w:b/>
          <w:noProof/>
          <w:sz w:val="20"/>
          <w:szCs w:val="20"/>
          <w:lang w:bidi="ar-SA"/>
        </w:rPr>
        <w:sectPr w:rsidR="00A72CFA" w:rsidSect="004C6698">
          <w:headerReference w:type="even" r:id="rId20"/>
          <w:headerReference w:type="default" r:id="rId21"/>
          <w:footerReference w:type="even" r:id="rId22"/>
          <w:headerReference w:type="first" r:id="rId23"/>
          <w:type w:val="continuous"/>
          <w:pgSz w:w="12240" w:h="15840" w:code="1"/>
          <w:pgMar w:top="1800" w:right="1469" w:bottom="1699" w:left="1440" w:header="706" w:footer="706" w:gutter="0"/>
          <w:pgNumType w:start="0"/>
          <w:cols w:space="708"/>
          <w:docGrid w:linePitch="360"/>
        </w:sectPr>
      </w:pPr>
    </w:p>
    <w:p w14:paraId="702619D0" w14:textId="1BDFFDC0" w:rsidR="004C6698" w:rsidRPr="00A72CFA" w:rsidRDefault="004C6698" w:rsidP="00A72CFA">
      <w:pPr>
        <w:spacing w:after="0"/>
        <w:jc w:val="center"/>
        <w:rPr>
          <w:rFonts w:ascii="Times New Roman" w:hAnsi="Times New Roman"/>
          <w:b/>
          <w:noProof/>
          <w:sz w:val="20"/>
          <w:szCs w:val="20"/>
          <w:lang w:bidi="ar-SA"/>
        </w:rPr>
      </w:pPr>
      <w:r w:rsidRPr="00A72CFA">
        <w:rPr>
          <w:rFonts w:ascii="Times New Roman" w:hAnsi="Times New Roman"/>
          <w:b/>
          <w:noProof/>
          <w:sz w:val="20"/>
          <w:szCs w:val="20"/>
          <w:lang w:bidi="ar-SA"/>
        </w:rPr>
        <w:t>Results and Discussion</w:t>
      </w:r>
    </w:p>
    <w:p w14:paraId="00B92BF0" w14:textId="77777777" w:rsidR="004C6698" w:rsidRPr="00A72CFA" w:rsidRDefault="004C6698" w:rsidP="00A72CFA">
      <w:pPr>
        <w:spacing w:after="0"/>
        <w:jc w:val="both"/>
        <w:outlineLvl w:val="0"/>
        <w:rPr>
          <w:rFonts w:ascii="Times New Roman" w:hAnsi="Times New Roman"/>
          <w:b/>
          <w:sz w:val="20"/>
          <w:szCs w:val="20"/>
          <w:lang w:val="nb-NO"/>
        </w:rPr>
      </w:pPr>
      <w:r w:rsidRPr="00A72CFA">
        <w:rPr>
          <w:rFonts w:ascii="Times New Roman" w:hAnsi="Times New Roman"/>
          <w:b/>
          <w:sz w:val="20"/>
          <w:szCs w:val="20"/>
          <w:lang w:val="nb-NO"/>
        </w:rPr>
        <w:t xml:space="preserve">Effect of reaction time on the determination of TFCs    </w:t>
      </w:r>
    </w:p>
    <w:p w14:paraId="5AD754E7" w14:textId="77777777" w:rsidR="004C6698" w:rsidRPr="00A72CFA" w:rsidRDefault="004C6698" w:rsidP="00A72CFA">
      <w:pPr>
        <w:spacing w:after="0"/>
        <w:jc w:val="both"/>
        <w:rPr>
          <w:rFonts w:ascii="Times New Roman" w:hAnsi="Times New Roman"/>
          <w:sz w:val="20"/>
          <w:szCs w:val="20"/>
        </w:rPr>
      </w:pPr>
      <w:r w:rsidRPr="00A72CFA">
        <w:rPr>
          <w:rFonts w:ascii="Times New Roman" w:hAnsi="Times New Roman"/>
          <w:sz w:val="20"/>
          <w:szCs w:val="20"/>
          <w:lang w:val="nb-NO"/>
        </w:rPr>
        <w:t xml:space="preserve">The coloring procedure for TFCs (Figure 1) employed the basic principle of aluminium chloride colorimetric method, in which aluminium chloride formed acid-stable complexes with the C-4 keto group and either the C-3 or C-5 hydroxyl group of flavones and flavonols. Moreover, aluminium chloride also formed acid-labile complicated compounds with the </w:t>
      </w:r>
      <w:r w:rsidRPr="00A72CFA">
        <w:rPr>
          <w:rFonts w:ascii="Times New Roman" w:hAnsi="Times New Roman"/>
          <w:i/>
          <w:sz w:val="20"/>
          <w:szCs w:val="20"/>
          <w:lang w:val="nb-NO"/>
        </w:rPr>
        <w:t>ortho</w:t>
      </w:r>
      <w:r w:rsidRPr="00A72CFA">
        <w:rPr>
          <w:rFonts w:ascii="Times New Roman" w:hAnsi="Times New Roman"/>
          <w:sz w:val="20"/>
          <w:szCs w:val="20"/>
          <w:lang w:val="nb-NO"/>
        </w:rPr>
        <w:t xml:space="preserve">-dihydroxyl group in the A- or B- rings of flavonoids. For tea samples, quercetin has been reported to be a suitable standard for determining TFCs </w:t>
      </w:r>
      <w:r w:rsidRPr="00A72CFA">
        <w:rPr>
          <w:rFonts w:ascii="Times New Roman" w:hAnsi="Times New Roman"/>
          <w:sz w:val="20"/>
          <w:szCs w:val="20"/>
          <w:lang w:val="nb-NO"/>
        </w:rPr>
        <w:fldChar w:fldCharType="begin">
          <w:fldData xml:space="preserve">PEVuZE5vdGU+PENpdGU+PEF1dGhvcj5LaW08L0F1dGhvcj48WWVhcj4yMDAzPC9ZZWFyPjxSZWNO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</w:fldData>
        </w:fldChar>
      </w:r>
      <w:r w:rsidRPr="00A72CFA">
        <w:rPr>
          <w:rFonts w:ascii="Times New Roman" w:hAnsi="Times New Roman"/>
          <w:sz w:val="20"/>
          <w:szCs w:val="20"/>
          <w:lang w:val="nb-NO"/>
        </w:rPr>
        <w:instrText xml:space="preserve"> ADDIN EN.CITE </w:instrText>
      </w:r>
      <w:r w:rsidRPr="00A72CFA">
        <w:rPr>
          <w:rFonts w:ascii="Times New Roman" w:hAnsi="Times New Roman"/>
          <w:sz w:val="20"/>
          <w:szCs w:val="20"/>
          <w:lang w:val="nb-NO"/>
        </w:rPr>
        <w:fldChar w:fldCharType="begin">
          <w:fldData xml:space="preserve">PEVuZE5vdGU+PENpdGU+PEF1dGhvcj5LaW08L0F1dGhvcj48WWVhcj4yMDAzPC9ZZWFyPjxSZWNO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</w:fldData>
        </w:fldChar>
      </w:r>
      <w:r w:rsidRPr="00A72CFA">
        <w:rPr>
          <w:rFonts w:ascii="Times New Roman" w:hAnsi="Times New Roman"/>
          <w:sz w:val="20"/>
          <w:szCs w:val="20"/>
          <w:lang w:val="nb-NO"/>
        </w:rPr>
        <w:instrText xml:space="preserve"> ADDIN EN.CITE.DATA </w:instrText>
      </w:r>
      <w:r w:rsidRPr="00A72CFA">
        <w:rPr>
          <w:rFonts w:ascii="Times New Roman" w:hAnsi="Times New Roman"/>
          <w:sz w:val="20"/>
          <w:szCs w:val="20"/>
          <w:lang w:val="nb-NO"/>
        </w:rPr>
      </w:r>
      <w:r w:rsidRPr="00A72CFA">
        <w:rPr>
          <w:rFonts w:ascii="Times New Roman" w:hAnsi="Times New Roman"/>
          <w:sz w:val="20"/>
          <w:szCs w:val="20"/>
          <w:lang w:val="nb-NO"/>
        </w:rPr>
        <w:fldChar w:fldCharType="end"/>
      </w:r>
      <w:r w:rsidRPr="00A72CFA">
        <w:rPr>
          <w:rFonts w:ascii="Times New Roman" w:hAnsi="Times New Roman"/>
          <w:sz w:val="20"/>
          <w:szCs w:val="20"/>
          <w:lang w:val="nb-NO"/>
        </w:rPr>
      </w:r>
      <w:r w:rsidRPr="00A72CFA">
        <w:rPr>
          <w:rFonts w:ascii="Times New Roman" w:hAnsi="Times New Roman"/>
          <w:sz w:val="20"/>
          <w:szCs w:val="20"/>
          <w:lang w:val="nb-NO"/>
        </w:rPr>
        <w:fldChar w:fldCharType="separate"/>
      </w:r>
      <w:r w:rsidRPr="00A72CFA">
        <w:rPr>
          <w:rFonts w:ascii="Times New Roman" w:hAnsi="Times New Roman"/>
          <w:noProof/>
          <w:sz w:val="20"/>
          <w:szCs w:val="20"/>
          <w:lang w:val="nb-NO"/>
        </w:rPr>
        <w:t>[</w:t>
      </w:r>
      <w:hyperlink w:anchor="_ENREF_19" w:tooltip="Kim, 2003 #1126" w:history="1">
        <w:r w:rsidRPr="00A72CFA">
          <w:rPr>
            <w:rFonts w:ascii="Times New Roman" w:hAnsi="Times New Roman"/>
            <w:noProof/>
            <w:sz w:val="20"/>
            <w:szCs w:val="20"/>
            <w:lang w:val="nb-NO"/>
          </w:rPr>
          <w:t>19</w:t>
        </w:r>
      </w:hyperlink>
      <w:r w:rsidRPr="00A72CFA">
        <w:rPr>
          <w:rFonts w:ascii="Times New Roman" w:hAnsi="Times New Roman"/>
          <w:noProof/>
          <w:sz w:val="20"/>
          <w:szCs w:val="20"/>
          <w:lang w:val="nb-NO"/>
        </w:rPr>
        <w:t xml:space="preserve">, </w:t>
      </w:r>
      <w:hyperlink w:anchor="_ENREF_22" w:tooltip="Shannon, 2018 #1128" w:history="1">
        <w:r w:rsidRPr="00A72CFA">
          <w:rPr>
            <w:rFonts w:ascii="Times New Roman" w:hAnsi="Times New Roman"/>
            <w:noProof/>
            <w:sz w:val="20"/>
            <w:szCs w:val="20"/>
            <w:lang w:val="nb-NO"/>
          </w:rPr>
          <w:t>22</w:t>
        </w:r>
      </w:hyperlink>
      <w:r w:rsidRPr="00A72CFA">
        <w:rPr>
          <w:rFonts w:ascii="Times New Roman" w:hAnsi="Times New Roman"/>
          <w:noProof/>
          <w:sz w:val="20"/>
          <w:szCs w:val="20"/>
          <w:lang w:val="nb-NO"/>
        </w:rPr>
        <w:t xml:space="preserve">, </w:t>
      </w:r>
      <w:hyperlink w:anchor="_ENREF_23" w:tooltip="Akbay, 2003 #1129" w:history="1">
        <w:r w:rsidRPr="00A72CFA">
          <w:rPr>
            <w:rFonts w:ascii="Times New Roman" w:hAnsi="Times New Roman"/>
            <w:noProof/>
            <w:sz w:val="20"/>
            <w:szCs w:val="20"/>
            <w:lang w:val="nb-NO"/>
          </w:rPr>
          <w:t>23</w:t>
        </w:r>
      </w:hyperlink>
      <w:r w:rsidRPr="00A72CFA">
        <w:rPr>
          <w:rFonts w:ascii="Times New Roman" w:hAnsi="Times New Roman"/>
          <w:noProof/>
          <w:sz w:val="20"/>
          <w:szCs w:val="20"/>
          <w:lang w:val="nb-NO"/>
        </w:rPr>
        <w:t>]</w:t>
      </w:r>
      <w:r w:rsidRPr="00A72CFA">
        <w:rPr>
          <w:rFonts w:ascii="Times New Roman" w:hAnsi="Times New Roman"/>
          <w:sz w:val="20"/>
          <w:szCs w:val="20"/>
          <w:lang w:val="nb-NO"/>
        </w:rPr>
        <w:fldChar w:fldCharType="end"/>
      </w:r>
      <w:r w:rsidRPr="00A72CFA">
        <w:rPr>
          <w:rFonts w:ascii="Times New Roman" w:hAnsi="Times New Roman"/>
          <w:sz w:val="20"/>
          <w:szCs w:val="20"/>
          <w:lang w:val="nb-NO"/>
        </w:rPr>
        <w:t>. Therefore, the conditions for chemical reactions to form certain complexes during the coloring procedure were remarkably important for quantification purposes to guarantee the accuracy of the analytical results. After adding 1 mol L</w:t>
      </w:r>
      <w:r w:rsidRPr="00A72CFA">
        <w:rPr>
          <w:rFonts w:ascii="Times New Roman" w:hAnsi="Times New Roman"/>
          <w:sz w:val="20"/>
          <w:szCs w:val="20"/>
          <w:vertAlign w:val="superscript"/>
          <w:lang w:val="nb-NO"/>
        </w:rPr>
        <w:t>–1</w:t>
      </w:r>
      <w:r w:rsidRPr="00A72CFA">
        <w:rPr>
          <w:rFonts w:ascii="Times New Roman" w:hAnsi="Times New Roman"/>
          <w:sz w:val="20"/>
          <w:szCs w:val="20"/>
          <w:lang w:val="nb-NO"/>
        </w:rPr>
        <w:t xml:space="preserve"> NaOH and volumetric calibration (step (d) and (e) in Figure 1), the pH of the reaction solution would change to be favorable for complex formation, affecting the measured absorption signals. Therefore, the reaction duration </w:t>
      </w:r>
      <w:r w:rsidRPr="00A72CFA">
        <w:rPr>
          <w:rFonts w:ascii="Times New Roman" w:hAnsi="Times New Roman"/>
          <w:sz w:val="20"/>
          <w:szCs w:val="20"/>
        </w:rPr>
        <w:t>before the spectrophotometric measurement was investigated to obtain the optimized coloring procedure. The absorbance was recorded at each reaction duration for 300 mg L</w:t>
      </w:r>
      <w:r w:rsidRPr="00A72CFA">
        <w:rPr>
          <w:rFonts w:ascii="Times New Roman" w:hAnsi="Times New Roman"/>
          <w:sz w:val="20"/>
          <w:szCs w:val="20"/>
          <w:vertAlign w:val="superscript"/>
        </w:rPr>
        <w:t>–1</w:t>
      </w:r>
      <w:r w:rsidRPr="00A72CFA">
        <w:rPr>
          <w:rFonts w:ascii="Times New Roman" w:hAnsi="Times New Roman"/>
          <w:sz w:val="20"/>
          <w:szCs w:val="20"/>
        </w:rPr>
        <w:t xml:space="preserve"> quercetin standard solution (Figure 2).</w:t>
      </w:r>
    </w:p>
    <w:p w14:paraId="50CE40A2" w14:textId="77777777" w:rsidR="00A72CFA" w:rsidRDefault="00A72CFA" w:rsidP="004C6698">
      <w:pPr>
        <w:spacing w:after="0" w:line="240" w:lineRule="auto"/>
        <w:jc w:val="both"/>
        <w:rPr>
          <w:rFonts w:ascii="Times New Roman" w:hAnsi="Times New Roman"/>
          <w:sz w:val="20"/>
          <w:szCs w:val="20"/>
        </w:rPr>
      </w:pPr>
    </w:p>
    <w:p w14:paraId="55856F95" w14:textId="77777777" w:rsidR="009525FB" w:rsidRDefault="009525FB" w:rsidP="009525FB">
      <w:pPr>
        <w:spacing w:after="0" w:line="240" w:lineRule="auto"/>
        <w:jc w:val="both"/>
        <w:rPr>
          <w:rFonts w:ascii="Times New Roman" w:hAnsi="Times New Roman"/>
          <w:sz w:val="20"/>
          <w:szCs w:val="20"/>
        </w:rPr>
      </w:pPr>
      <w:r w:rsidRPr="006D4244">
        <w:rPr>
          <w:rFonts w:ascii="Times New Roman" w:hAnsi="Times New Roman"/>
          <w:sz w:val="20"/>
          <w:szCs w:val="20"/>
        </w:rPr>
        <w:t xml:space="preserve">As can be seen in Figure 2, the measured absorbance values remained unchanged in the first minute (0-1 minute) and showed a descending trend from 1 to 120 minutes. However, the absorbance declined faster in the first 20 minutes (from 0.5434 to 0.2005). The </w:t>
      </w:r>
      <w:r w:rsidRPr="006D4244">
        <w:rPr>
          <w:rFonts w:ascii="Times New Roman" w:hAnsi="Times New Roman"/>
          <w:sz w:val="20"/>
          <w:szCs w:val="20"/>
        </w:rPr>
        <w:t xml:space="preserve">absorbance continued to decrease in the next 40 minutes (from 0.1811 to 0.1325), but not as much as in the first 20 minutes. From the 60th minute onward, the signals still showed a descending trend but at a very slow rate (from 0.1327 to 0.1075). Therefore, to ensure the highest sensitivity and save analysis time, the spectrophotometric measurement should be carried out right after the addition of NaOH and volumetric calibration or in the first 60 seconds. </w:t>
      </w:r>
    </w:p>
    <w:p w14:paraId="7B168AEF" w14:textId="77777777" w:rsidR="009525FB" w:rsidRDefault="009525FB" w:rsidP="009525FB">
      <w:pPr>
        <w:spacing w:after="0" w:line="240" w:lineRule="auto"/>
        <w:jc w:val="both"/>
        <w:rPr>
          <w:rFonts w:ascii="Times New Roman" w:hAnsi="Times New Roman"/>
          <w:sz w:val="20"/>
          <w:szCs w:val="20"/>
        </w:rPr>
      </w:pPr>
    </w:p>
    <w:p w14:paraId="2ADCE192" w14:textId="77777777" w:rsidR="009525FB" w:rsidRDefault="009525FB" w:rsidP="009525FB">
      <w:pPr>
        <w:spacing w:after="0" w:line="240" w:lineRule="auto"/>
        <w:jc w:val="both"/>
        <w:rPr>
          <w:rFonts w:ascii="Times New Roman" w:hAnsi="Times New Roman"/>
          <w:sz w:val="20"/>
          <w:szCs w:val="20"/>
        </w:rPr>
      </w:pPr>
      <w:r w:rsidRPr="006D4244">
        <w:rPr>
          <w:rFonts w:ascii="Times New Roman" w:hAnsi="Times New Roman"/>
          <w:sz w:val="20"/>
          <w:szCs w:val="20"/>
        </w:rPr>
        <w:t xml:space="preserve">Moreover, in this study, we employed the manual measurement; therefore, we could follow the procedure separately for each sample solution. However, in the case of simultaneous measurement of various cells simultaneously (e.g., ELISA method), we could choose the reaction time above 60 minutes with smaller dilution factors. </w:t>
      </w:r>
    </w:p>
    <w:p w14:paraId="41187CA3" w14:textId="77777777" w:rsidR="0013035F" w:rsidRDefault="0013035F" w:rsidP="004C6698">
      <w:pPr>
        <w:spacing w:after="0" w:line="240" w:lineRule="auto"/>
        <w:jc w:val="both"/>
        <w:rPr>
          <w:rFonts w:ascii="Times New Roman" w:hAnsi="Times New Roman"/>
          <w:sz w:val="20"/>
          <w:szCs w:val="20"/>
        </w:rPr>
      </w:pPr>
    </w:p>
    <w:p w14:paraId="30C15619" w14:textId="77777777" w:rsidR="00AD0FBE" w:rsidRPr="006D4244" w:rsidRDefault="00AD0FBE" w:rsidP="00AD0FBE">
      <w:pPr>
        <w:spacing w:after="0" w:line="240" w:lineRule="auto"/>
        <w:jc w:val="both"/>
        <w:rPr>
          <w:rFonts w:ascii="Times New Roman" w:hAnsi="Times New Roman"/>
          <w:b/>
          <w:sz w:val="20"/>
          <w:szCs w:val="20"/>
        </w:rPr>
      </w:pPr>
      <w:r w:rsidRPr="006D4244">
        <w:rPr>
          <w:rFonts w:ascii="Times New Roman" w:hAnsi="Times New Roman"/>
          <w:b/>
          <w:sz w:val="20"/>
          <w:szCs w:val="20"/>
          <w:lang w:val="en-GB"/>
        </w:rPr>
        <w:t xml:space="preserve">Analytical method performance for determining TFCs in tea products and their liquors </w:t>
      </w:r>
    </w:p>
    <w:p w14:paraId="0410DD98" w14:textId="792598E8" w:rsidR="00AD0FBE" w:rsidRDefault="00AD0FBE" w:rsidP="00AD0FBE">
      <w:pPr>
        <w:pStyle w:val="Keywords"/>
        <w:spacing w:after="0"/>
        <w:ind w:left="0" w:right="66"/>
        <w:jc w:val="both"/>
        <w:rPr>
          <w:rFonts w:cs="Times New Roman"/>
          <w:b w:val="0"/>
          <w:bCs/>
        </w:rPr>
      </w:pPr>
      <w:r w:rsidRPr="006D4244">
        <w:rPr>
          <w:rFonts w:cs="Times New Roman"/>
          <w:b w:val="0"/>
          <w:bCs/>
          <w:lang w:val="en-GB"/>
        </w:rPr>
        <w:t xml:space="preserve">The proposed analytical method was validated before application on real samples. The results for method performance are shown in Table 2. </w:t>
      </w:r>
      <w:r w:rsidRPr="006D4244">
        <w:rPr>
          <w:rFonts w:cs="Times New Roman"/>
          <w:b w:val="0"/>
          <w:bCs/>
        </w:rPr>
        <w:t>LOD and LOQ values were estimated as 1.4 and 4.1 mg QE g</w:t>
      </w:r>
      <w:r w:rsidRPr="006D4244">
        <w:rPr>
          <w:rFonts w:cs="Times New Roman"/>
          <w:b w:val="0"/>
          <w:bCs/>
          <w:vertAlign w:val="superscript"/>
        </w:rPr>
        <w:t>–1</w:t>
      </w:r>
      <w:r w:rsidRPr="006D4244">
        <w:rPr>
          <w:rFonts w:cs="Times New Roman"/>
          <w:b w:val="0"/>
          <w:bCs/>
        </w:rPr>
        <w:t>, respectively, which were low compared to the TFCs in tea products. The calibration curve for determining the TFCs in various tea samples and their liquors was established from 50 to 700 mg L</w:t>
      </w:r>
      <w:r w:rsidRPr="006D4244">
        <w:rPr>
          <w:rFonts w:cs="Times New Roman"/>
          <w:b w:val="0"/>
          <w:bCs/>
          <w:vertAlign w:val="superscript"/>
        </w:rPr>
        <w:t xml:space="preserve">–1 </w:t>
      </w:r>
      <w:r w:rsidRPr="006D4244">
        <w:rPr>
          <w:rFonts w:cs="Times New Roman"/>
          <w:b w:val="0"/>
          <w:bCs/>
        </w:rPr>
        <w:t>and is shown in Figure 3.</w:t>
      </w:r>
    </w:p>
    <w:p w14:paraId="3267FAE9" w14:textId="77777777" w:rsidR="00AD0FBE" w:rsidRDefault="00AD0FBE" w:rsidP="00AD0FBE">
      <w:pPr>
        <w:pStyle w:val="Keywords"/>
        <w:spacing w:after="0"/>
        <w:ind w:left="0" w:right="66"/>
        <w:jc w:val="both"/>
        <w:rPr>
          <w:rFonts w:cs="Times New Roman"/>
          <w:b w:val="0"/>
          <w:bCs/>
        </w:rPr>
      </w:pPr>
    </w:p>
    <w:p w14:paraId="1611C1E6" w14:textId="77777777" w:rsidR="00AD0FBE" w:rsidRDefault="00AD0FBE" w:rsidP="00AD0FBE">
      <w:pPr>
        <w:pStyle w:val="Keywords"/>
        <w:spacing w:after="0"/>
        <w:ind w:left="0" w:right="66"/>
        <w:jc w:val="both"/>
        <w:rPr>
          <w:rFonts w:cs="Times New Roman"/>
          <w:b w:val="0"/>
          <w:bCs/>
        </w:rPr>
      </w:pPr>
      <w:r w:rsidRPr="006D4244">
        <w:rPr>
          <w:rFonts w:cs="Times New Roman"/>
          <w:b w:val="0"/>
          <w:bCs/>
        </w:rPr>
        <w:t>The regression equation was y = 0.0013x + 0.0872 and R</w:t>
      </w:r>
      <w:r w:rsidRPr="006D4244">
        <w:rPr>
          <w:rFonts w:cs="Times New Roman"/>
          <w:b w:val="0"/>
          <w:bCs/>
          <w:vertAlign w:val="superscript"/>
        </w:rPr>
        <w:t>2</w:t>
      </w:r>
      <w:r w:rsidRPr="006D4244">
        <w:rPr>
          <w:rFonts w:cs="Times New Roman"/>
          <w:b w:val="0"/>
          <w:bCs/>
        </w:rPr>
        <w:t xml:space="preserve"> = 0.9981, exhibiting goodness of linearity. The %RSD</w:t>
      </w:r>
      <w:r w:rsidRPr="006D4244">
        <w:rPr>
          <w:rFonts w:cs="Times New Roman"/>
          <w:b w:val="0"/>
          <w:bCs/>
          <w:vertAlign w:val="subscript"/>
        </w:rPr>
        <w:t xml:space="preserve">r </w:t>
      </w:r>
      <w:r w:rsidRPr="006D4244">
        <w:rPr>
          <w:rFonts w:cs="Times New Roman"/>
          <w:b w:val="0"/>
          <w:bCs/>
        </w:rPr>
        <w:t>and RSD</w:t>
      </w:r>
      <w:r w:rsidRPr="006D4244">
        <w:rPr>
          <w:rFonts w:cs="Times New Roman"/>
          <w:b w:val="0"/>
          <w:bCs/>
          <w:vertAlign w:val="subscript"/>
        </w:rPr>
        <w:t>R</w:t>
      </w:r>
      <w:r w:rsidRPr="006D4244">
        <w:rPr>
          <w:rFonts w:cs="Times New Roman"/>
          <w:b w:val="0"/>
          <w:bCs/>
        </w:rPr>
        <w:t xml:space="preserve"> were used to evaluate the repeatability (within one day) and reproducibility (for three separate days) of the analytical method. These values were favorable according to Appendix F. </w:t>
      </w:r>
      <w:r w:rsidRPr="006D4244">
        <w:rPr>
          <w:rFonts w:cs="Times New Roman"/>
          <w:b w:val="0"/>
          <w:bCs/>
        </w:rPr>
        <w:lastRenderedPageBreak/>
        <w:t>AOAC (2016) for the concentrations from 10 to 100% (RSD</w:t>
      </w:r>
      <w:r w:rsidRPr="006D4244">
        <w:rPr>
          <w:rFonts w:cs="Times New Roman"/>
          <w:b w:val="0"/>
          <w:bCs/>
          <w:vertAlign w:val="subscript"/>
        </w:rPr>
        <w:t>r</w:t>
      </w:r>
      <w:r w:rsidRPr="006D4244">
        <w:rPr>
          <w:rFonts w:cs="Times New Roman"/>
          <w:b w:val="0"/>
          <w:bCs/>
        </w:rPr>
        <w:t xml:space="preserve"> less than 1.3% and RSD</w:t>
      </w:r>
      <w:r w:rsidRPr="006D4244">
        <w:rPr>
          <w:rFonts w:cs="Times New Roman"/>
          <w:b w:val="0"/>
          <w:bCs/>
          <w:vertAlign w:val="subscript"/>
        </w:rPr>
        <w:t>R</w:t>
      </w:r>
      <w:r w:rsidRPr="006D4244">
        <w:rPr>
          <w:rFonts w:cs="Times New Roman"/>
          <w:b w:val="0"/>
          <w:bCs/>
        </w:rPr>
        <w:t xml:space="preserve"> less than 2 %) </w:t>
      </w:r>
      <w:r w:rsidRPr="006D4244">
        <w:rPr>
          <w:rFonts w:cs="Times New Roman"/>
          <w:b w:val="0"/>
          <w:bCs/>
        </w:rPr>
        <w:fldChar w:fldCharType="begin"/>
      </w:r>
      <w:r w:rsidRPr="006D4244">
        <w:rPr>
          <w:rFonts w:cs="Times New Roman"/>
          <w:b w:val="0"/>
          <w:bCs/>
        </w:rPr>
        <w:instrText xml:space="preserve"> ADDIN EN.CITE &lt;EndNote&gt;&lt;Cite&gt;&lt;RecNum&gt;519&lt;/RecNum&gt;&lt;DisplayText&gt;[20]&lt;/DisplayText&gt;&lt;record&gt;&lt;rec-number&gt;519&lt;/rec-number&gt;&lt;foreign-keys&gt;&lt;key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6D4244">
        <w:rPr>
          <w:rFonts w:cs="Times New Roman"/>
          <w:b w:val="0"/>
          <w:bCs/>
        </w:rPr>
        <w:fldChar w:fldCharType="separate"/>
      </w:r>
      <w:r w:rsidRPr="006D4244">
        <w:rPr>
          <w:rFonts w:cs="Times New Roman"/>
          <w:b w:val="0"/>
          <w:bCs/>
          <w:noProof/>
        </w:rPr>
        <w:t>[</w:t>
      </w:r>
      <w:hyperlink w:anchor="_ENREF_20" w:tooltip=",  #519" w:history="1">
        <w:r w:rsidRPr="006D4244">
          <w:rPr>
            <w:rFonts w:cs="Times New Roman"/>
            <w:b w:val="0"/>
            <w:bCs/>
            <w:noProof/>
          </w:rPr>
          <w:t>20</w:t>
        </w:r>
      </w:hyperlink>
      <w:r w:rsidRPr="006D4244">
        <w:rPr>
          <w:rFonts w:cs="Times New Roman"/>
          <w:b w:val="0"/>
          <w:bCs/>
          <w:noProof/>
        </w:rPr>
        <w:t>]</w:t>
      </w:r>
      <w:r w:rsidRPr="006D4244">
        <w:rPr>
          <w:rFonts w:cs="Times New Roman"/>
          <w:b w:val="0"/>
          <w:bCs/>
        </w:rPr>
        <w:fldChar w:fldCharType="end"/>
      </w:r>
      <w:r w:rsidRPr="006D4244">
        <w:rPr>
          <w:rFonts w:cs="Times New Roman"/>
          <w:b w:val="0"/>
          <w:bCs/>
        </w:rPr>
        <w:t xml:space="preserve">. Besides, the recoveries varied from 98 to 102%, assuring the method’s accuracy. Therefore, the validated analytical method could be applied for </w:t>
      </w:r>
      <w:r w:rsidRPr="006D4244">
        <w:rPr>
          <w:rFonts w:cs="Times New Roman"/>
          <w:b w:val="0"/>
          <w:bCs/>
        </w:rPr>
        <w:t xml:space="preserve">determining TFCs in tea products and their liquors during routine daily analysis and further research. </w:t>
      </w:r>
    </w:p>
    <w:p w14:paraId="42485871" w14:textId="77777777" w:rsidR="00AD0FBE" w:rsidRDefault="00AD0FBE" w:rsidP="00AD0FBE">
      <w:pPr>
        <w:pStyle w:val="Keywords"/>
        <w:spacing w:after="0"/>
        <w:ind w:left="0" w:right="66"/>
        <w:jc w:val="both"/>
        <w:rPr>
          <w:rFonts w:cs="Times New Roman"/>
          <w:b w:val="0"/>
          <w:bCs/>
        </w:rPr>
      </w:pPr>
    </w:p>
    <w:p w14:paraId="194914D9" w14:textId="77777777" w:rsidR="00AD0FBE" w:rsidRDefault="00AD0FBE" w:rsidP="004C6698">
      <w:pPr>
        <w:spacing w:after="0" w:line="240" w:lineRule="auto"/>
        <w:jc w:val="both"/>
        <w:rPr>
          <w:rFonts w:ascii="Times New Roman" w:hAnsi="Times New Roman"/>
          <w:sz w:val="20"/>
          <w:szCs w:val="20"/>
        </w:rPr>
      </w:pPr>
    </w:p>
    <w:p w14:paraId="24C44335" w14:textId="77777777" w:rsidR="00AD0FBE" w:rsidRDefault="00AD0FBE" w:rsidP="004C6698">
      <w:pPr>
        <w:spacing w:after="0" w:line="240" w:lineRule="auto"/>
        <w:jc w:val="both"/>
        <w:rPr>
          <w:rFonts w:ascii="Times New Roman" w:hAnsi="Times New Roman"/>
          <w:sz w:val="20"/>
          <w:szCs w:val="20"/>
        </w:rPr>
      </w:pPr>
    </w:p>
    <w:p w14:paraId="641A79E1" w14:textId="185314E9" w:rsidR="007F5517" w:rsidRDefault="007F5517" w:rsidP="004C6698">
      <w:pPr>
        <w:spacing w:after="0" w:line="240" w:lineRule="auto"/>
        <w:jc w:val="both"/>
        <w:rPr>
          <w:rFonts w:ascii="Times New Roman" w:hAnsi="Times New Roman"/>
          <w:sz w:val="20"/>
          <w:szCs w:val="20"/>
        </w:rPr>
        <w:sectPr w:rsidR="007F5517" w:rsidSect="00A72CFA">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0"/>
          <w:cols w:num="2" w:space="403"/>
          <w:docGrid w:linePitch="360"/>
        </w:sectPr>
      </w:pPr>
    </w:p>
    <w:p w14:paraId="2799279D" w14:textId="3DC8CA05" w:rsidR="007F5517" w:rsidRDefault="007F5517" w:rsidP="00AD0FBE">
      <w:pPr>
        <w:spacing w:after="0"/>
        <w:jc w:val="both"/>
        <w:rPr>
          <w:rFonts w:ascii="Times New Roman" w:hAnsi="Times New Roman"/>
          <w:noProof/>
          <w:sz w:val="20"/>
          <w:szCs w:val="20"/>
          <w:lang w:bidi="ar-SA"/>
        </w:rPr>
      </w:pPr>
    </w:p>
    <w:p w14:paraId="5AFAEE51" w14:textId="77777777" w:rsidR="00F22166" w:rsidRDefault="00F22166" w:rsidP="00AD0FBE">
      <w:pPr>
        <w:spacing w:after="0"/>
        <w:jc w:val="both"/>
        <w:rPr>
          <w:rFonts w:ascii="Times New Roman" w:hAnsi="Times New Roman"/>
          <w:noProof/>
          <w:sz w:val="20"/>
          <w:szCs w:val="20"/>
          <w:lang w:bidi="ar-SA"/>
        </w:rPr>
      </w:pPr>
    </w:p>
    <w:p w14:paraId="0315AF98" w14:textId="77777777" w:rsidR="007F5517" w:rsidRPr="00281082" w:rsidRDefault="007F5517" w:rsidP="007F5517">
      <w:pPr>
        <w:spacing w:after="120"/>
        <w:jc w:val="center"/>
        <w:rPr>
          <w:rFonts w:ascii="Times New Roman" w:hAnsi="Times New Roman"/>
        </w:rPr>
      </w:pPr>
      <w:r w:rsidRPr="00281082">
        <w:rPr>
          <w:rFonts w:ascii="Times New Roman" w:hAnsi="Times New Roman"/>
          <w:noProof/>
        </w:rPr>
        <w:drawing>
          <wp:inline distT="0" distB="0" distL="0" distR="0" wp14:anchorId="1BC75CA0" wp14:editId="4A393134">
            <wp:extent cx="4707890" cy="2099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37317" cy="2112228"/>
                    </a:xfrm>
                    <a:prstGeom prst="rect">
                      <a:avLst/>
                    </a:prstGeom>
                  </pic:spPr>
                </pic:pic>
              </a:graphicData>
            </a:graphic>
          </wp:inline>
        </w:drawing>
      </w:r>
    </w:p>
    <w:p w14:paraId="71FE1CD4" w14:textId="0BA885E1" w:rsidR="007F5517" w:rsidRDefault="007F5517" w:rsidP="007F5517">
      <w:pPr>
        <w:spacing w:after="0"/>
        <w:jc w:val="center"/>
        <w:rPr>
          <w:rFonts w:ascii="Times New Roman" w:hAnsi="Times New Roman"/>
          <w:sz w:val="20"/>
          <w:szCs w:val="20"/>
          <w:lang w:val="nb-NO"/>
        </w:rPr>
      </w:pPr>
      <w:r w:rsidRPr="006D4244">
        <w:rPr>
          <w:rFonts w:ascii="Times New Roman" w:hAnsi="Times New Roman"/>
          <w:sz w:val="20"/>
          <w:szCs w:val="20"/>
          <w:lang w:val="nb-NO"/>
        </w:rPr>
        <w:t xml:space="preserve">Figure 2. </w:t>
      </w:r>
      <w:r>
        <w:rPr>
          <w:rFonts w:ascii="Times New Roman" w:hAnsi="Times New Roman"/>
          <w:sz w:val="20"/>
          <w:szCs w:val="20"/>
          <w:lang w:val="nb-NO"/>
        </w:rPr>
        <w:t xml:space="preserve"> </w:t>
      </w:r>
      <w:r w:rsidRPr="006D4244">
        <w:rPr>
          <w:rFonts w:ascii="Times New Roman" w:hAnsi="Times New Roman"/>
          <w:sz w:val="20"/>
          <w:szCs w:val="20"/>
          <w:lang w:val="nb-NO"/>
        </w:rPr>
        <w:t>Investigation of reaction durations before spectrophotometric measurement</w:t>
      </w:r>
    </w:p>
    <w:p w14:paraId="5B24CC9F" w14:textId="2DCADF55" w:rsidR="007F5517" w:rsidRDefault="007F5517" w:rsidP="007F5517">
      <w:pPr>
        <w:spacing w:after="0"/>
        <w:jc w:val="center"/>
        <w:rPr>
          <w:rFonts w:ascii="Times New Roman" w:hAnsi="Times New Roman"/>
          <w:sz w:val="20"/>
          <w:szCs w:val="20"/>
          <w:lang w:val="nb-NO"/>
        </w:rPr>
      </w:pPr>
    </w:p>
    <w:p w14:paraId="5AE6851D" w14:textId="77777777" w:rsidR="007F5517" w:rsidRPr="006D4244" w:rsidRDefault="007F5517" w:rsidP="007F5517">
      <w:pPr>
        <w:spacing w:after="0"/>
        <w:jc w:val="center"/>
        <w:rPr>
          <w:rFonts w:ascii="Times New Roman" w:hAnsi="Times New Roman"/>
          <w:sz w:val="20"/>
          <w:szCs w:val="20"/>
          <w:lang w:val="nb-NO"/>
        </w:rPr>
      </w:pPr>
    </w:p>
    <w:p w14:paraId="36F1B8F6" w14:textId="588D7D14" w:rsidR="007F5517" w:rsidRPr="006D4244" w:rsidRDefault="007F5517" w:rsidP="007F5517">
      <w:pPr>
        <w:spacing w:after="120"/>
        <w:jc w:val="center"/>
        <w:rPr>
          <w:rFonts w:ascii="Times New Roman" w:hAnsi="Times New Roman"/>
          <w:sz w:val="20"/>
          <w:szCs w:val="20"/>
        </w:rPr>
      </w:pPr>
      <w:r w:rsidRPr="006D4244">
        <w:rPr>
          <w:rFonts w:ascii="Times New Roman" w:hAnsi="Times New Roman"/>
          <w:sz w:val="20"/>
          <w:szCs w:val="20"/>
        </w:rPr>
        <w:t xml:space="preserve">Table 2. </w:t>
      </w:r>
      <w:r>
        <w:rPr>
          <w:rFonts w:ascii="Times New Roman" w:hAnsi="Times New Roman"/>
          <w:sz w:val="20"/>
          <w:szCs w:val="20"/>
        </w:rPr>
        <w:t xml:space="preserve"> </w:t>
      </w:r>
      <w:r w:rsidRPr="006D4244">
        <w:rPr>
          <w:rFonts w:ascii="Times New Roman" w:hAnsi="Times New Roman"/>
          <w:sz w:val="20"/>
          <w:szCs w:val="20"/>
        </w:rPr>
        <w:t>Analytical method performance for the determination of TFCs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35"/>
        <w:gridCol w:w="1235"/>
        <w:gridCol w:w="1333"/>
        <w:gridCol w:w="674"/>
        <w:gridCol w:w="710"/>
        <w:gridCol w:w="1138"/>
      </w:tblGrid>
      <w:tr w:rsidR="007F5517" w:rsidRPr="006D4244" w14:paraId="76E39FBF" w14:textId="77777777" w:rsidTr="007F5517">
        <w:trPr>
          <w:trHeight w:val="140"/>
          <w:jc w:val="center"/>
        </w:trPr>
        <w:tc>
          <w:tcPr>
            <w:tcW w:w="0" w:type="auto"/>
            <w:tcBorders>
              <w:top w:val="single" w:sz="4" w:space="0" w:color="auto"/>
              <w:bottom w:val="single" w:sz="4" w:space="0" w:color="auto"/>
            </w:tcBorders>
            <w:vAlign w:val="center"/>
          </w:tcPr>
          <w:p w14:paraId="725194D3" w14:textId="77777777" w:rsidR="007F5517" w:rsidRPr="006D4244" w:rsidRDefault="007F5517" w:rsidP="007F5517">
            <w:pPr>
              <w:spacing w:after="0" w:line="240" w:lineRule="auto"/>
              <w:outlineLvl w:val="0"/>
              <w:rPr>
                <w:rFonts w:ascii="Times New Roman" w:hAnsi="Times New Roman" w:cs="Times New Roman"/>
                <w:b/>
                <w:sz w:val="20"/>
                <w:szCs w:val="18"/>
              </w:rPr>
            </w:pPr>
            <w:r w:rsidRPr="006D4244">
              <w:rPr>
                <w:rFonts w:ascii="Times New Roman" w:hAnsi="Times New Roman" w:cs="Times New Roman"/>
                <w:b/>
                <w:sz w:val="20"/>
                <w:szCs w:val="18"/>
              </w:rPr>
              <w:t>Parameter</w:t>
            </w:r>
          </w:p>
        </w:tc>
        <w:tc>
          <w:tcPr>
            <w:tcW w:w="0" w:type="auto"/>
            <w:tcBorders>
              <w:top w:val="single" w:sz="4" w:space="0" w:color="auto"/>
              <w:bottom w:val="single" w:sz="4" w:space="0" w:color="auto"/>
            </w:tcBorders>
            <w:vAlign w:val="center"/>
          </w:tcPr>
          <w:p w14:paraId="3EC74C3A"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LOD </w:t>
            </w:r>
            <w:r w:rsidRPr="006D4244">
              <w:rPr>
                <w:rFonts w:ascii="Times New Roman" w:hAnsi="Times New Roman" w:cs="Times New Roman"/>
                <w:b/>
                <w:sz w:val="20"/>
                <w:szCs w:val="18"/>
              </w:rPr>
              <w:br/>
              <w:t>(mg QE g</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7EC4245C"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LOQ </w:t>
            </w:r>
            <w:r w:rsidRPr="006D4244">
              <w:rPr>
                <w:rFonts w:ascii="Times New Roman" w:hAnsi="Times New Roman" w:cs="Times New Roman"/>
                <w:b/>
                <w:sz w:val="20"/>
                <w:szCs w:val="18"/>
              </w:rPr>
              <w:br/>
              <w:t>(mg QE g</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45B3CEB7"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Linear range </w:t>
            </w:r>
            <w:r w:rsidRPr="006D4244">
              <w:rPr>
                <w:rFonts w:ascii="Times New Roman" w:hAnsi="Times New Roman" w:cs="Times New Roman"/>
                <w:b/>
                <w:sz w:val="20"/>
                <w:szCs w:val="18"/>
              </w:rPr>
              <w:br/>
              <w:t>(mg L</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1E0E0E89"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RSD</w:t>
            </w:r>
            <w:r w:rsidRPr="006D4244">
              <w:rPr>
                <w:rFonts w:ascii="Times New Roman" w:hAnsi="Times New Roman" w:cs="Times New Roman"/>
                <w:b/>
                <w:sz w:val="20"/>
                <w:szCs w:val="18"/>
                <w:vertAlign w:val="subscript"/>
              </w:rPr>
              <w:t>r</w:t>
            </w:r>
            <w:r w:rsidRPr="006D4244">
              <w:rPr>
                <w:rFonts w:ascii="Times New Roman" w:hAnsi="Times New Roman" w:cs="Times New Roman"/>
                <w:b/>
                <w:sz w:val="20"/>
                <w:szCs w:val="18"/>
              </w:rPr>
              <w:br/>
              <w:t>(%)</w:t>
            </w:r>
          </w:p>
        </w:tc>
        <w:tc>
          <w:tcPr>
            <w:tcW w:w="0" w:type="auto"/>
            <w:tcBorders>
              <w:top w:val="single" w:sz="4" w:space="0" w:color="auto"/>
              <w:bottom w:val="single" w:sz="4" w:space="0" w:color="auto"/>
            </w:tcBorders>
            <w:vAlign w:val="center"/>
          </w:tcPr>
          <w:p w14:paraId="1C505F42"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RSD</w:t>
            </w:r>
            <w:r w:rsidRPr="006D4244">
              <w:rPr>
                <w:rFonts w:ascii="Times New Roman" w:hAnsi="Times New Roman" w:cs="Times New Roman"/>
                <w:b/>
                <w:sz w:val="20"/>
                <w:szCs w:val="18"/>
                <w:vertAlign w:val="subscript"/>
              </w:rPr>
              <w:t>R</w:t>
            </w:r>
            <w:r w:rsidRPr="006D4244">
              <w:rPr>
                <w:rFonts w:ascii="Times New Roman" w:hAnsi="Times New Roman" w:cs="Times New Roman"/>
                <w:b/>
                <w:sz w:val="20"/>
                <w:szCs w:val="18"/>
              </w:rPr>
              <w:br/>
              <w:t>(%)</w:t>
            </w:r>
          </w:p>
        </w:tc>
        <w:tc>
          <w:tcPr>
            <w:tcW w:w="0" w:type="auto"/>
            <w:tcBorders>
              <w:top w:val="single" w:sz="4" w:space="0" w:color="auto"/>
              <w:bottom w:val="single" w:sz="4" w:space="0" w:color="auto"/>
            </w:tcBorders>
          </w:tcPr>
          <w:p w14:paraId="52633760" w14:textId="77777777" w:rsidR="007F5517" w:rsidRPr="006D4244" w:rsidRDefault="007F5517" w:rsidP="007F5517">
            <w:pPr>
              <w:spacing w:before="60"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Recoveries</w:t>
            </w:r>
          </w:p>
          <w:p w14:paraId="435033E5" w14:textId="77777777" w:rsidR="007F5517" w:rsidRPr="006D4244" w:rsidRDefault="007F5517" w:rsidP="007F5517">
            <w:pPr>
              <w:spacing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w:t>
            </w:r>
          </w:p>
        </w:tc>
      </w:tr>
      <w:tr w:rsidR="007F5517" w:rsidRPr="006D4244" w14:paraId="6BDAF518" w14:textId="77777777" w:rsidTr="007F5517">
        <w:trPr>
          <w:trHeight w:val="54"/>
          <w:jc w:val="center"/>
        </w:trPr>
        <w:tc>
          <w:tcPr>
            <w:tcW w:w="0" w:type="auto"/>
            <w:tcBorders>
              <w:top w:val="single" w:sz="4" w:space="0" w:color="auto"/>
              <w:bottom w:val="single" w:sz="4" w:space="0" w:color="auto"/>
            </w:tcBorders>
          </w:tcPr>
          <w:p w14:paraId="15744E23" w14:textId="77777777" w:rsidR="007F5517" w:rsidRPr="006D4244" w:rsidRDefault="007F5517" w:rsidP="007F5517">
            <w:pPr>
              <w:spacing w:before="60" w:after="60" w:line="240" w:lineRule="auto"/>
              <w:outlineLvl w:val="0"/>
              <w:rPr>
                <w:rFonts w:ascii="Times New Roman" w:hAnsi="Times New Roman" w:cs="Times New Roman"/>
                <w:b/>
                <w:sz w:val="20"/>
                <w:szCs w:val="18"/>
              </w:rPr>
            </w:pPr>
            <w:r w:rsidRPr="006D4244">
              <w:rPr>
                <w:rFonts w:ascii="Times New Roman" w:hAnsi="Times New Roman" w:cs="Times New Roman"/>
                <w:b/>
                <w:sz w:val="20"/>
                <w:szCs w:val="18"/>
              </w:rPr>
              <w:t xml:space="preserve">Values </w:t>
            </w:r>
          </w:p>
        </w:tc>
        <w:tc>
          <w:tcPr>
            <w:tcW w:w="0" w:type="auto"/>
            <w:tcBorders>
              <w:top w:val="single" w:sz="4" w:space="0" w:color="auto"/>
              <w:bottom w:val="single" w:sz="4" w:space="0" w:color="auto"/>
            </w:tcBorders>
            <w:vAlign w:val="center"/>
          </w:tcPr>
          <w:p w14:paraId="29E64FFC"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1.4</w:t>
            </w:r>
          </w:p>
        </w:tc>
        <w:tc>
          <w:tcPr>
            <w:tcW w:w="0" w:type="auto"/>
            <w:tcBorders>
              <w:top w:val="single" w:sz="4" w:space="0" w:color="auto"/>
              <w:bottom w:val="single" w:sz="4" w:space="0" w:color="auto"/>
            </w:tcBorders>
          </w:tcPr>
          <w:p w14:paraId="03974407"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4.1</w:t>
            </w:r>
          </w:p>
        </w:tc>
        <w:tc>
          <w:tcPr>
            <w:tcW w:w="0" w:type="auto"/>
            <w:tcBorders>
              <w:top w:val="single" w:sz="4" w:space="0" w:color="auto"/>
              <w:bottom w:val="single" w:sz="4" w:space="0" w:color="auto"/>
            </w:tcBorders>
          </w:tcPr>
          <w:p w14:paraId="5D196CF9"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50-700</w:t>
            </w:r>
          </w:p>
        </w:tc>
        <w:tc>
          <w:tcPr>
            <w:tcW w:w="0" w:type="auto"/>
            <w:tcBorders>
              <w:top w:val="single" w:sz="4" w:space="0" w:color="auto"/>
              <w:bottom w:val="single" w:sz="4" w:space="0" w:color="auto"/>
            </w:tcBorders>
          </w:tcPr>
          <w:p w14:paraId="337681A5"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1.1</w:t>
            </w:r>
          </w:p>
        </w:tc>
        <w:tc>
          <w:tcPr>
            <w:tcW w:w="0" w:type="auto"/>
            <w:tcBorders>
              <w:top w:val="single" w:sz="4" w:space="0" w:color="auto"/>
              <w:bottom w:val="single" w:sz="4" w:space="0" w:color="auto"/>
            </w:tcBorders>
          </w:tcPr>
          <w:p w14:paraId="64587413"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1.2</w:t>
            </w:r>
          </w:p>
        </w:tc>
        <w:tc>
          <w:tcPr>
            <w:tcW w:w="0" w:type="auto"/>
            <w:tcBorders>
              <w:top w:val="single" w:sz="4" w:space="0" w:color="auto"/>
              <w:bottom w:val="single" w:sz="4" w:space="0" w:color="auto"/>
            </w:tcBorders>
          </w:tcPr>
          <w:p w14:paraId="3069F4A4"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98-102</w:t>
            </w:r>
          </w:p>
        </w:tc>
      </w:tr>
    </w:tbl>
    <w:p w14:paraId="49F9786E" w14:textId="73877000" w:rsidR="007F5517" w:rsidRDefault="007F5517" w:rsidP="007F5517">
      <w:pPr>
        <w:pStyle w:val="Keywords"/>
        <w:spacing w:after="0"/>
        <w:ind w:left="0" w:right="66"/>
        <w:jc w:val="both"/>
        <w:rPr>
          <w:rFonts w:cs="Times New Roman"/>
          <w:b w:val="0"/>
          <w:bCs/>
          <w:sz w:val="18"/>
          <w:szCs w:val="18"/>
          <w:lang w:val="en-GB"/>
        </w:rPr>
      </w:pPr>
    </w:p>
    <w:p w14:paraId="2DE09FDF" w14:textId="77777777" w:rsidR="007F5517" w:rsidRDefault="007F5517" w:rsidP="007F5517">
      <w:pPr>
        <w:pStyle w:val="Keywords"/>
        <w:spacing w:after="0"/>
        <w:ind w:left="0" w:right="66"/>
        <w:jc w:val="both"/>
        <w:rPr>
          <w:rFonts w:cs="Times New Roman"/>
          <w:b w:val="0"/>
          <w:bCs/>
          <w:sz w:val="18"/>
          <w:szCs w:val="18"/>
          <w:lang w:val="en-GB"/>
        </w:rPr>
      </w:pPr>
    </w:p>
    <w:p w14:paraId="028DDE38" w14:textId="77777777" w:rsidR="007F5517" w:rsidRPr="006D4244" w:rsidRDefault="007F5517" w:rsidP="007F5517">
      <w:pPr>
        <w:pStyle w:val="Keywords"/>
        <w:spacing w:after="0"/>
        <w:ind w:left="0" w:right="66"/>
        <w:jc w:val="both"/>
        <w:rPr>
          <w:rFonts w:cs="Times New Roman"/>
          <w:b w:val="0"/>
          <w:bCs/>
          <w:sz w:val="18"/>
          <w:szCs w:val="18"/>
          <w:lang w:val="en-GB"/>
        </w:rPr>
      </w:pPr>
    </w:p>
    <w:p w14:paraId="1792BE0C" w14:textId="77777777" w:rsidR="007F5517" w:rsidRPr="00281082" w:rsidRDefault="007F5517" w:rsidP="007F5517">
      <w:pPr>
        <w:jc w:val="center"/>
        <w:rPr>
          <w:rFonts w:ascii="Times New Roman" w:hAnsi="Times New Roman"/>
        </w:rPr>
      </w:pPr>
      <w:r w:rsidRPr="00281082">
        <w:rPr>
          <w:rFonts w:ascii="Times New Roman" w:hAnsi="Times New Roman"/>
          <w:noProof/>
        </w:rPr>
        <w:drawing>
          <wp:inline distT="0" distB="0" distL="0" distR="0" wp14:anchorId="0F17278F" wp14:editId="06554948">
            <wp:extent cx="3718800" cy="1879200"/>
            <wp:effectExtent l="0" t="0" r="15240" b="6985"/>
            <wp:docPr id="28" name="Chart 28">
              <a:extLst xmlns:a="http://schemas.openxmlformats.org/drawingml/2006/main">
                <a:ext uri="{FF2B5EF4-FFF2-40B4-BE49-F238E27FC236}">
                  <a16:creationId xmlns:a16="http://schemas.microsoft.com/office/drawing/2014/main" id="{90337D09-C5CC-4454-B009-2631AC8A8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3919293" w14:textId="679584B9" w:rsidR="007F5517" w:rsidRDefault="007F5517" w:rsidP="007F5517">
      <w:pPr>
        <w:jc w:val="center"/>
        <w:rPr>
          <w:rFonts w:ascii="Times New Roman" w:hAnsi="Times New Roman"/>
          <w:sz w:val="20"/>
          <w:szCs w:val="20"/>
        </w:rPr>
      </w:pPr>
      <w:r w:rsidRPr="006D4244">
        <w:rPr>
          <w:rFonts w:ascii="Times New Roman" w:hAnsi="Times New Roman"/>
          <w:sz w:val="20"/>
          <w:szCs w:val="20"/>
        </w:rPr>
        <w:t xml:space="preserve">Figure 3. </w:t>
      </w:r>
      <w:r>
        <w:rPr>
          <w:rFonts w:ascii="Times New Roman" w:hAnsi="Times New Roman"/>
          <w:sz w:val="20"/>
          <w:szCs w:val="20"/>
        </w:rPr>
        <w:t xml:space="preserve"> </w:t>
      </w:r>
      <w:r w:rsidRPr="006D4244">
        <w:rPr>
          <w:rFonts w:ascii="Times New Roman" w:hAnsi="Times New Roman"/>
          <w:sz w:val="20"/>
          <w:szCs w:val="20"/>
        </w:rPr>
        <w:t>Calibration curve of TFCs</w:t>
      </w:r>
    </w:p>
    <w:p w14:paraId="6E118B3D" w14:textId="3217A1CA" w:rsidR="00F22166" w:rsidRDefault="00F22166" w:rsidP="007F5517">
      <w:pPr>
        <w:jc w:val="center"/>
        <w:rPr>
          <w:rFonts w:ascii="Times New Roman" w:hAnsi="Times New Roman"/>
          <w:sz w:val="20"/>
          <w:szCs w:val="20"/>
        </w:rPr>
      </w:pPr>
    </w:p>
    <w:p w14:paraId="4FA69B52" w14:textId="45A189EE" w:rsidR="00F22166" w:rsidRDefault="00F22166" w:rsidP="007F5517">
      <w:pPr>
        <w:jc w:val="center"/>
        <w:rPr>
          <w:rFonts w:ascii="Times New Roman" w:hAnsi="Times New Roman"/>
          <w:sz w:val="20"/>
          <w:szCs w:val="20"/>
        </w:rPr>
      </w:pPr>
    </w:p>
    <w:p w14:paraId="650F769A" w14:textId="77777777" w:rsidR="00F22166" w:rsidRDefault="00F22166" w:rsidP="00F22166">
      <w:pPr>
        <w:pStyle w:val="Keywords"/>
        <w:spacing w:after="0"/>
        <w:ind w:left="0" w:right="66"/>
        <w:jc w:val="both"/>
        <w:rPr>
          <w:rFonts w:cs="Times New Roman"/>
        </w:rPr>
        <w:sectPr w:rsidR="00F22166" w:rsidSect="004C6698">
          <w:type w:val="continuous"/>
          <w:pgSz w:w="12240" w:h="15840" w:code="1"/>
          <w:pgMar w:top="1800" w:right="1469" w:bottom="1699" w:left="1440" w:header="706" w:footer="706" w:gutter="0"/>
          <w:pgNumType w:start="0"/>
          <w:cols w:space="708"/>
          <w:docGrid w:linePitch="360"/>
        </w:sectPr>
      </w:pPr>
    </w:p>
    <w:p w14:paraId="547AED9B" w14:textId="4F575973" w:rsidR="00F22166" w:rsidRPr="00F22166" w:rsidRDefault="00F22166" w:rsidP="00F22166">
      <w:pPr>
        <w:pStyle w:val="Keywords"/>
        <w:spacing w:after="0"/>
        <w:ind w:left="0" w:right="66"/>
        <w:jc w:val="both"/>
        <w:rPr>
          <w:rFonts w:cs="Times New Roman"/>
          <w:b w:val="0"/>
          <w:bCs/>
          <w:lang w:val="en-GB"/>
        </w:rPr>
      </w:pPr>
      <w:r w:rsidRPr="00F22166">
        <w:rPr>
          <w:rFonts w:cs="Times New Roman"/>
        </w:rPr>
        <w:lastRenderedPageBreak/>
        <w:t xml:space="preserve">Variations of TFCs in different tea products </w:t>
      </w:r>
    </w:p>
    <w:p w14:paraId="0AFA3877" w14:textId="77777777" w:rsidR="00F22166" w:rsidRPr="00F22166" w:rsidRDefault="00F22166" w:rsidP="00F22166">
      <w:pPr>
        <w:spacing w:after="0" w:line="240" w:lineRule="auto"/>
        <w:jc w:val="both"/>
        <w:rPr>
          <w:rFonts w:ascii="Times New Roman" w:hAnsi="Times New Roman"/>
          <w:sz w:val="20"/>
          <w:szCs w:val="20"/>
        </w:rPr>
      </w:pPr>
      <w:r w:rsidRPr="00F22166">
        <w:rPr>
          <w:rFonts w:ascii="Times New Roman" w:hAnsi="Times New Roman"/>
          <w:sz w:val="20"/>
          <w:szCs w:val="20"/>
        </w:rPr>
        <w:t xml:space="preserve">For plants in general and tea specifically, flavonoids have been known as the most popular, important, and mostly distributed single group of phenols with strong antioxidant properties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&lt;EndNote&gt;&lt;Cite&gt;&lt;Author&gt;Pokorny&lt;/Author&gt;&lt;Year&gt;2001&lt;/Year&gt;&lt;RecNum&gt;1132&lt;/RecNum&gt;&lt;DisplayText&gt;[24, 25]&lt;/DisplayText&gt;&lt;record&gt;&lt;rec-number&gt;1132&lt;/rec-number&gt;&lt;foreign-keys&gt;&lt;key app="EN" db-id="09zedtxs2rsve4eaafv5rvs9w9t9xrzwvt09" timestamp="1627269392"&gt;1132&lt;/key&gt;&lt;/foreign-keys&gt;&lt;ref-type name="Book"&gt;6&lt;/ref-type&gt;&lt;contributors&gt;&lt;authors&gt;&lt;author&gt;Pokorny, Jan&lt;/author&gt;&lt;author&gt;Yanishlieva, Nelly&lt;/author&gt;&lt;author&gt;Gordon, Michael H&lt;/author&gt;&lt;/authors&gt;&lt;/contributors&gt;&lt;titles&gt;&lt;title&gt;Antioxidants in food: practical applications&lt;/title&gt;&lt;/titles&gt;&lt;dates&gt;&lt;year&gt;2001&lt;/year&gt;&lt;/dates&gt;&lt;publisher&gt;CRC press&lt;/publisher&gt;&lt;isbn&gt;0849312221&lt;/isbn&gt;&lt;urls&gt;&lt;/urls&gt;&lt;/record&gt;&lt;/Cite&gt;&lt;Cite&gt;&lt;Author&gt;Abdeltaif&lt;/Author&gt;&lt;Year&gt;2018&lt;/Year&gt;&lt;RecNum&gt;1131&lt;/RecNum&gt;&lt;record&gt;&lt;rec-number&gt;1131&lt;/rec-number&gt;&lt;foreign-keys&gt;&lt;key app="EN" db-id="09zedtxs2rsve4eaafv5rvs9w9t9xrzwvt09" timestamp="1627269283"&gt;1131&lt;/key&gt;&lt;/foreign-keys&gt;&lt;ref-type name="Journal Article"&gt;17&lt;/ref-type&gt;&lt;contributors&gt;&lt;authors&gt;&lt;author&gt;Abdeltaif, Samar A&lt;/author&gt;&lt;author&gt;SirElkhatim, Khitma A&lt;/author&gt;&lt;author&gt;Hassan, Amro B&lt;/author&gt;&lt;/authors&gt;&lt;/contributors&gt;&lt;titles&gt;&lt;title&gt;Estimation of phenolic and flavonoid compounds and antioxidant activity of spent coffee and black tea (processing) waste for potential recovery and reuse in Sudan&lt;/title&gt;&lt;secondary-title&gt;Recycling&lt;/secondary-title&gt;&lt;/titles&gt;&lt;periodical&gt;&lt;full-title&gt;Recycling&lt;/full-title&gt;&lt;/periodical&gt;&lt;pages&gt;27&lt;/pages&gt;&lt;volume&gt;3&lt;/volume&gt;&lt;number&gt;2&lt;/number&gt;&lt;dates&gt;&lt;year&gt;2018&lt;/year&gt;&lt;/dates&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4" w:tooltip="Pokorny, 2001 #1132" w:history="1">
        <w:r w:rsidRPr="00F22166">
          <w:rPr>
            <w:rFonts w:ascii="Times New Roman" w:hAnsi="Times New Roman"/>
            <w:noProof/>
            <w:sz w:val="20"/>
            <w:szCs w:val="20"/>
          </w:rPr>
          <w:t>24</w:t>
        </w:r>
      </w:hyperlink>
      <w:r w:rsidRPr="00F22166">
        <w:rPr>
          <w:rFonts w:ascii="Times New Roman" w:hAnsi="Times New Roman"/>
          <w:noProof/>
          <w:sz w:val="20"/>
          <w:szCs w:val="20"/>
        </w:rPr>
        <w:t xml:space="preserve">, </w:t>
      </w:r>
      <w:hyperlink w:anchor="_ENREF_25" w:tooltip="Abdeltaif, 2018 #1131" w:history="1">
        <w:r w:rsidRPr="00F22166">
          <w:rPr>
            <w:rFonts w:ascii="Times New Roman" w:hAnsi="Times New Roman"/>
            <w:noProof/>
            <w:sz w:val="20"/>
            <w:szCs w:val="20"/>
          </w:rPr>
          <w:t>25</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Flavonoids could inhibit metal-initiated lipid oxidation through the formation of complexes with metal ions. The TFC in dried tea products were determined, and their values are presented in Figure 4.</w:t>
      </w:r>
    </w:p>
    <w:p w14:paraId="3C54E8F3" w14:textId="77777777" w:rsidR="00F22166" w:rsidRPr="00F22166" w:rsidRDefault="00F22166" w:rsidP="00F22166">
      <w:pPr>
        <w:spacing w:after="0" w:line="240" w:lineRule="auto"/>
        <w:jc w:val="both"/>
        <w:rPr>
          <w:rFonts w:ascii="Times New Roman" w:hAnsi="Times New Roman"/>
          <w:sz w:val="20"/>
          <w:szCs w:val="20"/>
        </w:rPr>
      </w:pPr>
    </w:p>
    <w:p w14:paraId="20798334" w14:textId="77777777" w:rsidR="00F22166" w:rsidRPr="00F22166" w:rsidRDefault="00F22166" w:rsidP="00F22166">
      <w:pPr>
        <w:spacing w:after="0" w:line="240" w:lineRule="auto"/>
        <w:jc w:val="both"/>
        <w:rPr>
          <w:rFonts w:ascii="Times New Roman" w:hAnsi="Times New Roman"/>
          <w:sz w:val="20"/>
          <w:szCs w:val="20"/>
        </w:rPr>
      </w:pPr>
      <w:r w:rsidRPr="00F22166">
        <w:rPr>
          <w:rFonts w:ascii="Times New Roman" w:hAnsi="Times New Roman"/>
          <w:sz w:val="20"/>
          <w:szCs w:val="20"/>
        </w:rPr>
        <w:t>Among the available tea products, green-3 and oolong-2 had the highest (155.3 ± 1.3 mg QE g</w:t>
      </w:r>
      <w:r w:rsidRPr="00F22166">
        <w:rPr>
          <w:rFonts w:ascii="Times New Roman" w:hAnsi="Times New Roman"/>
          <w:sz w:val="20"/>
          <w:szCs w:val="20"/>
          <w:vertAlign w:val="superscript"/>
        </w:rPr>
        <w:t>–1</w:t>
      </w:r>
      <w:r w:rsidRPr="00F22166">
        <w:rPr>
          <w:rFonts w:ascii="Times New Roman" w:hAnsi="Times New Roman"/>
          <w:sz w:val="20"/>
          <w:szCs w:val="20"/>
        </w:rPr>
        <w:t>)</w:t>
      </w:r>
      <w:r w:rsidRPr="00F22166">
        <w:rPr>
          <w:rFonts w:ascii="Times New Roman" w:hAnsi="Times New Roman"/>
          <w:sz w:val="20"/>
          <w:szCs w:val="20"/>
          <w:vertAlign w:val="superscript"/>
        </w:rPr>
        <w:t xml:space="preserve"> </w:t>
      </w:r>
      <w:r w:rsidRPr="00F22166">
        <w:rPr>
          <w:rFonts w:ascii="Times New Roman" w:hAnsi="Times New Roman"/>
          <w:sz w:val="20"/>
          <w:szCs w:val="20"/>
        </w:rPr>
        <w:t>and lowest (42 ± 0.7 mg QE g</w:t>
      </w:r>
      <w:r w:rsidRPr="00F22166">
        <w:rPr>
          <w:rFonts w:ascii="Times New Roman" w:hAnsi="Times New Roman"/>
          <w:sz w:val="20"/>
          <w:szCs w:val="20"/>
          <w:vertAlign w:val="superscript"/>
        </w:rPr>
        <w:t>–1</w:t>
      </w:r>
      <w:r w:rsidRPr="00F22166">
        <w:rPr>
          <w:rFonts w:ascii="Times New Roman" w:hAnsi="Times New Roman"/>
          <w:sz w:val="20"/>
          <w:szCs w:val="20"/>
        </w:rPr>
        <w:t>) TFCs, respectively. For the samples collected from the mountainous regions in North Vietnam, the TFCs were found in the descending order of green tea (140.1 ± 1.0 to 155.3 ± 1.3 mg QE g</w:t>
      </w:r>
      <w:r w:rsidRPr="00F22166">
        <w:rPr>
          <w:rFonts w:ascii="Times New Roman" w:hAnsi="Times New Roman"/>
          <w:sz w:val="20"/>
          <w:szCs w:val="20"/>
          <w:vertAlign w:val="superscript"/>
        </w:rPr>
        <w:t>–1</w:t>
      </w:r>
      <w:r w:rsidRPr="00F22166">
        <w:rPr>
          <w:rFonts w:ascii="Times New Roman" w:hAnsi="Times New Roman"/>
          <w:sz w:val="20"/>
          <w:szCs w:val="20"/>
        </w:rPr>
        <w:t>) &gt; Pu'erh tea (108.5 ± 0.8 to 141.8 ± 1.5 mg QE g</w:t>
      </w:r>
      <w:r w:rsidRPr="00F22166">
        <w:rPr>
          <w:rFonts w:ascii="Times New Roman" w:hAnsi="Times New Roman"/>
          <w:sz w:val="20"/>
          <w:szCs w:val="20"/>
          <w:vertAlign w:val="superscript"/>
        </w:rPr>
        <w:t>–1</w:t>
      </w:r>
      <w:r w:rsidRPr="00F22166">
        <w:rPr>
          <w:rFonts w:ascii="Times New Roman" w:hAnsi="Times New Roman"/>
          <w:sz w:val="20"/>
          <w:szCs w:val="20"/>
        </w:rPr>
        <w:t>) &gt; white tea (95.3 ± 1 to 99.0 ± 1.0 mg QE g</w:t>
      </w:r>
      <w:r w:rsidRPr="00F22166">
        <w:rPr>
          <w:rFonts w:ascii="Times New Roman" w:hAnsi="Times New Roman"/>
          <w:sz w:val="20"/>
          <w:szCs w:val="20"/>
          <w:vertAlign w:val="superscript"/>
        </w:rPr>
        <w:t>–1</w:t>
      </w:r>
      <w:r w:rsidRPr="00F22166">
        <w:rPr>
          <w:rFonts w:ascii="Times New Roman" w:hAnsi="Times New Roman"/>
          <w:sz w:val="20"/>
          <w:szCs w:val="20"/>
        </w:rPr>
        <w:t>) &gt; black tea (60.8 ± 1.1 to 89.7 ± 1.1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The same order was reported by Peterson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&lt;EndNote&gt;&lt;Cite&gt;&lt;Author&gt;Peterson&lt;/Author&gt;&lt;Year&gt;2005&lt;/Year&gt;&lt;RecNum&gt;1120&lt;/RecNum&gt;&lt;DisplayText&gt;[26]&lt;/DisplayText&gt;&lt;record&gt;&lt;rec-number&gt;1120&lt;/rec-number&gt;&lt;foreign-keys&gt;&lt;key app="EN" db-id="09zedtxs2rsve4eaafv5rvs9w9t9xrzwvt09" timestamp="1627266669"&gt;1120&lt;/key&gt;&lt;/foreign-keys&gt;&lt;ref-type name="Journal Article"&gt;17&lt;/ref-type&gt;&lt;contributors&gt;&lt;authors&gt;&lt;author&gt;Peterson, Julia&lt;/author&gt;&lt;author&gt;Dwyer, Johanna&lt;/author&gt;&lt;author&gt;Bhagwat, Seema&lt;/author&gt;&lt;author&gt;Haytowitz, David&lt;/author&gt;&lt;author&gt;Holden, Joanne&lt;/author&gt;&lt;author&gt;Eldridge, AL&lt;/author&gt;&lt;author&gt;Beecher, Gary&lt;/author&gt;&lt;author&gt;Aladesanmi, J&lt;/author&gt;&lt;/authors&gt;&lt;/contributors&gt;&lt;titles&gt;&lt;title&gt;Major flavonoids in dry tea&lt;/title&gt;&lt;secondary-title&gt;Journal of Food Composition and Analysis&lt;/secondary-title&gt;&lt;/titles&gt;&lt;periodical&gt;&lt;full-title&gt;Journal of Food Composition and Analysis&lt;/full-title&gt;&lt;/periodical&gt;&lt;pages&gt;487-501&lt;/pages&gt;&lt;volume&gt;18&lt;/volume&gt;&lt;number&gt;6&lt;/number&gt;&lt;dates&gt;&lt;year&gt;2005&lt;/year&gt;&lt;/dates&gt;&lt;isbn&gt;0889-1575&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6" w:tooltip="Peterson, 2005 #1120" w:history="1">
        <w:r w:rsidRPr="00F22166">
          <w:rPr>
            <w:rFonts w:ascii="Times New Roman" w:hAnsi="Times New Roman"/>
            <w:noProof/>
            <w:sz w:val="20"/>
            <w:szCs w:val="20"/>
          </w:rPr>
          <w:t>26</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and Unachukwu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&lt;EndNote&gt;&lt;Cite&gt;&lt;Author&gt;Unachukwu&lt;/Author&gt;&lt;Year&gt;2010&lt;/Year&gt;&lt;RecNum&gt;1121&lt;/RecNum&gt;&lt;DisplayText&gt;[27]&lt;/DisplayText&gt;&lt;record&gt;&lt;rec-number&gt;1121&lt;/rec-number&gt;&lt;foreign-keys&gt;&lt;key app="EN" db-id="09zedtxs2rsve4eaafv5rvs9w9t9xrzwvt09" timestamp="1627266691"&gt;1121&lt;/key&gt;&lt;/foreign-keys&gt;&lt;ref-type name="Journal Article"&gt;17&lt;/ref-type&gt;&lt;contributors&gt;&lt;authors&gt;&lt;author&gt;Unachukwu, Uchenna J&lt;/author&gt;&lt;author&gt;Ahmed, Selena&lt;/author&gt;&lt;author&gt;Kavalier, Adam&lt;/author&gt;&lt;author&gt;Lyles, James T&lt;/author&gt;&lt;author&gt;Kennelly, Edward J&lt;/author&gt;&lt;/authors&gt;&lt;/contributors&gt;&lt;titles&gt;&lt;title&gt;White and green teas (Camellia sinensis var. sinensis): variation in phenolic, methylxanthine, and antioxidant profiles&lt;/title&gt;&lt;secondary-title&gt;Journal of food science&lt;/secondary-title&gt;&lt;/titles&gt;&lt;periodical&gt;&lt;full-title&gt;Journal of Food Science&lt;/full-title&gt;&lt;/periodical&gt;&lt;pages&gt;C541-C548&lt;/pages&gt;&lt;volume&gt;75&lt;/volume&gt;&lt;number&gt;6&lt;/number&gt;&lt;dates&gt;&lt;year&gt;2010&lt;/year&gt;&lt;/dates&gt;&lt;isbn&gt;0022-1147&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7" w:tooltip="Unachukwu, 2010 #1121" w:history="1">
        <w:r w:rsidRPr="00F22166">
          <w:rPr>
            <w:rFonts w:ascii="Times New Roman" w:hAnsi="Times New Roman"/>
            <w:noProof/>
            <w:sz w:val="20"/>
            <w:szCs w:val="20"/>
          </w:rPr>
          <w:t>27</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w:t>
      </w:r>
    </w:p>
    <w:p w14:paraId="70AB1BF5" w14:textId="77777777" w:rsidR="00F22166" w:rsidRPr="00F22166" w:rsidRDefault="00F22166" w:rsidP="00F22166">
      <w:pPr>
        <w:spacing w:after="0" w:line="240" w:lineRule="auto"/>
        <w:jc w:val="both"/>
        <w:rPr>
          <w:rFonts w:ascii="Times New Roman" w:hAnsi="Times New Roman"/>
          <w:sz w:val="20"/>
          <w:szCs w:val="20"/>
        </w:rPr>
      </w:pPr>
    </w:p>
    <w:p w14:paraId="6F5C7D70" w14:textId="77777777" w:rsidR="00F22166" w:rsidRPr="00F22166" w:rsidRDefault="00F22166" w:rsidP="00F22166">
      <w:pPr>
        <w:spacing w:after="0" w:line="240" w:lineRule="auto"/>
        <w:jc w:val="both"/>
        <w:rPr>
          <w:rFonts w:ascii="Times New Roman" w:hAnsi="Times New Roman"/>
          <w:sz w:val="20"/>
          <w:szCs w:val="20"/>
        </w:rPr>
      </w:pPr>
      <w:r w:rsidRPr="00F22166">
        <w:rPr>
          <w:rFonts w:ascii="Times New Roman" w:hAnsi="Times New Roman"/>
          <w:sz w:val="20"/>
          <w:szCs w:val="20"/>
        </w:rPr>
        <w:t xml:space="preserve">The differences in TFCs among various tea products could be explained by their oxidation levels. Non-fermented tea and very lightly fermented tea (green, white, and Pu'erh) contained simple flavonoids (catechins). During fermentation, the polyphenol oxidase enzyme oxidized simple catechins to form low molecular weight dimers (theaflavins) or high-molecular-weight polymers (thearubigins), leading to lower measured TFCs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&lt;EndNote&gt;&lt;Cite&gt;&lt;Author&gt;Izzreen&lt;/Author&gt;&lt;Year&gt;2013&lt;/Year&gt;&lt;RecNum&gt;1113&lt;/RecNum&gt;&lt;DisplayText&gt;[13, 28]&lt;/DisplayText&gt;&lt;record&gt;&lt;rec-number&gt;1113&lt;/rec-number&gt;&lt;foreign-keys&gt;&lt;key app="EN" db-id="09zedtxs2rsve4eaafv5rvs9w9t9xrzwvt09" timestamp="1627266498"&gt;1113&lt;/key&gt;&lt;/foreign-keys&gt;&lt;ref-type name="Journal Article"&gt;17&lt;/ref-type&gt;&lt;contributors&gt;&lt;authors&gt;&lt;author&gt;Izzreen, Nor Qhairul&lt;/author&gt;&lt;author&gt;Mohd Fadzelly, ABAB&lt;/author&gt;&lt;/authors&gt;&lt;/contributors&gt;&lt;titles&gt;&lt;title&gt;Phytochemicals and antioxidant properties of different parts of Camellia sinensis leaves from Sabah Tea Plantation in Sabah, Malaysia&lt;/title&gt;&lt;secondary-title&gt;International Food Research Journal&lt;/secondary-title&gt;&lt;/titles&gt;&lt;periodical&gt;&lt;full-title&gt;International Food Research Journal&lt;/full-title&gt;&lt;/periodical&gt;&lt;volume&gt;20&lt;/volume&gt;&lt;number&gt;1&lt;/number&gt;&lt;dates&gt;&lt;year&gt;2013&lt;/year&gt;&lt;/dates&gt;&lt;isbn&gt;1985-4668&lt;/isbn&gt;&lt;urls&gt;&lt;/urls&gt;&lt;/record&gt;&lt;/Cite&gt;&lt;Cite&gt;&lt;Author&gt;Rusak&lt;/Author&gt;&lt;Year&gt;2008&lt;/Year&gt;&lt;RecNum&gt;1135&lt;/RecNum&gt;&lt;record&gt;&lt;rec-number&gt;1135&lt;/rec-number&gt;&lt;foreign-keys&gt;&lt;key app="EN" db-id="09zedtxs2rsve4eaafv5rvs9w9t9xrzwvt09" timestamp="1627269716"&gt;1135&lt;/key&gt;&lt;/foreign-keys&gt;&lt;ref-type name="Journal Article"&gt;17&lt;/ref-type&gt;&lt;contributors&gt;&lt;authors&gt;&lt;author&gt;Rusak, Gordana&lt;/author&gt;&lt;author&gt;Komes, Draženka&lt;/author&gt;&lt;author&gt;Likić, Saša&lt;/author&gt;&lt;author&gt;Horžić, Dunja&lt;/author&gt;&lt;author&gt;Kovač, Maja&lt;/author&gt;&lt;/authors&gt;&lt;/contributors&gt;&lt;titles&gt;&lt;title&gt;Phenolic content and antioxidative capacity of green and white tea extracts depending on extraction conditions and the solvent used&lt;/title&gt;&lt;secondary-title&gt;Food Chemistry&lt;/secondary-title&gt;&lt;/titles&gt;&lt;periodical&gt;&lt;full-title&gt;Food Chem&lt;/full-title&gt;&lt;abbr-1&gt;Food chemistry&lt;/abbr-1&gt;&lt;/periodical&gt;&lt;pages&gt;852-858&lt;/pages&gt;&lt;volume&gt;110&lt;/volume&gt;&lt;number&gt;4&lt;/number&gt;&lt;dates&gt;&lt;year&gt;2008&lt;/year&gt;&lt;/dates&gt;&lt;isbn&gt;0308-8146&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13" w:tooltip="Izzreen, 2013 #1113" w:history="1">
        <w:r w:rsidRPr="00F22166">
          <w:rPr>
            <w:rFonts w:ascii="Times New Roman" w:hAnsi="Times New Roman"/>
            <w:noProof/>
            <w:sz w:val="20"/>
            <w:szCs w:val="20"/>
          </w:rPr>
          <w:t>13</w:t>
        </w:r>
      </w:hyperlink>
      <w:r w:rsidRPr="00F22166">
        <w:rPr>
          <w:rFonts w:ascii="Times New Roman" w:hAnsi="Times New Roman"/>
          <w:noProof/>
          <w:sz w:val="20"/>
          <w:szCs w:val="20"/>
        </w:rPr>
        <w:t xml:space="preserve">, </w:t>
      </w:r>
      <w:hyperlink w:anchor="_ENREF_28" w:tooltip="Rusak, 2008 #1135" w:history="1">
        <w:r w:rsidRPr="00F22166">
          <w:rPr>
            <w:rFonts w:ascii="Times New Roman" w:hAnsi="Times New Roman"/>
            <w:noProof/>
            <w:sz w:val="20"/>
            <w:szCs w:val="20"/>
          </w:rPr>
          <w:t>28</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The oxidation of catechins to theaflavins during the fermentation contributed to the dark color and distinctive flavor of the tea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&lt;EndNote&gt;&lt;Cite&gt;&lt;Author&gt;Harbowy&lt;/Author&gt;&lt;Year&gt;1997&lt;/Year&gt;&lt;RecNum&gt;1136&lt;/RecNum&gt;&lt;DisplayText&gt;[29, 30]&lt;/DisplayText&gt;&lt;record&gt;&lt;rec-number&gt;1136&lt;/rec-number&gt;&lt;foreign-keys&gt;&lt;key app="EN" db-id="09zedtxs2rsve4eaafv5rvs9w9t9xrzwvt09" timestamp="1627269819"&gt;1136&lt;/key&gt;&lt;/foreign-keys&gt;&lt;ref-type name="Journal Article"&gt;17&lt;/ref-type&gt;&lt;contributors&gt;&lt;authors&gt;&lt;author&gt;Harbowy, Matthew E&lt;/author&gt;&lt;author&gt;Balentine, Douglas A&lt;/author&gt;&lt;author&gt;Davies, Alan P&lt;/author&gt;&lt;author&gt;Cai, Ya&lt;/author&gt;&lt;/authors&gt;&lt;/contributors&gt;&lt;titles&gt;&lt;title&gt;Tea chemistry&lt;/title&gt;&lt;secondary-title&gt;Critical reviews in plant sciences&lt;/secondary-title&gt;&lt;/titles&gt;&lt;periodical&gt;&lt;full-title&gt;Critical Reviews in Plant Sciences&lt;/full-title&gt;&lt;/periodical&gt;&lt;pages&gt;415-480&lt;/pages&gt;&lt;volume&gt;16&lt;/volume&gt;&lt;number&gt;5&lt;/number&gt;&lt;dates&gt;&lt;year&gt;1997&lt;/year&gt;&lt;/dates&gt;&lt;isbn&gt;0735-2689&lt;/isbn&gt;&lt;urls&gt;&lt;/urls&gt;&lt;/record&gt;&lt;/Cite&gt;&lt;Cite&gt;&lt;Author&gt;Graham&lt;/Author&gt;&lt;Year&gt;1992&lt;/Year&gt;&lt;RecNum&gt;1137&lt;/RecNum&gt;&lt;record&gt;&lt;rec-number&gt;1137&lt;/rec-number&gt;&lt;foreign-keys&gt;&lt;key app="EN" db-id="09zedtxs2rsve4eaafv5rvs9w9t9xrzwvt09" timestamp="1627269874"&gt;1137&lt;/key&gt;&lt;/foreign-keys&gt;&lt;ref-type name="Journal Article"&gt;17&lt;/ref-type&gt;&lt;contributors&gt;&lt;authors&gt;&lt;author&gt;Graham, Harold N&lt;/author&gt;&lt;/authors&gt;&lt;/contributors&gt;&lt;titles&gt;&lt;title&gt;Green tea composition, consumption, and polyphenol chemistry&lt;/title&gt;&lt;secondary-title&gt;Preventive medicine&lt;/secondary-title&gt;&lt;/titles&gt;&lt;periodical&gt;&lt;full-title&gt;Prev Med&lt;/full-title&gt;&lt;abbr-1&gt;Preventive medicine&lt;/abbr-1&gt;&lt;/periodical&gt;&lt;pages&gt;334-350&lt;/pages&gt;&lt;volume&gt;21&lt;/volume&gt;&lt;number&gt;3&lt;/number&gt;&lt;dates&gt;&lt;year&gt;1992&lt;/year&gt;&lt;/dates&gt;&lt;isbn&gt;0091-7435&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9" w:tooltip="Harbowy, 1997 #1136" w:history="1">
        <w:r w:rsidRPr="00F22166">
          <w:rPr>
            <w:rFonts w:ascii="Times New Roman" w:hAnsi="Times New Roman"/>
            <w:noProof/>
            <w:sz w:val="20"/>
            <w:szCs w:val="20"/>
          </w:rPr>
          <w:t>29</w:t>
        </w:r>
      </w:hyperlink>
      <w:r w:rsidRPr="00F22166">
        <w:rPr>
          <w:rFonts w:ascii="Times New Roman" w:hAnsi="Times New Roman"/>
          <w:noProof/>
          <w:sz w:val="20"/>
          <w:szCs w:val="20"/>
        </w:rPr>
        <w:t xml:space="preserve">, </w:t>
      </w:r>
      <w:hyperlink w:anchor="_ENREF_30" w:tooltip="Graham, 1992 #1137" w:history="1">
        <w:r w:rsidRPr="00F22166">
          <w:rPr>
            <w:rFonts w:ascii="Times New Roman" w:hAnsi="Times New Roman"/>
            <w:noProof/>
            <w:sz w:val="20"/>
            <w:szCs w:val="20"/>
          </w:rPr>
          <w:t>30</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In this study, the Pu'erh tea products possessed relatively high TFCs, not much different from those of green tea (the most extensive variation of 24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It might be due to the similarity in the processing of green tea and Pu'erh tea products. However, oxidation is known to continue during storage for Pu'erh tea products due to the incomplete deactivation of enzymes in its processing, unlike green tea which undergoes heat treatment to remove bitterness and stop fermentation. Therefore, the TFCs for the three Pu'erh tea samples fluctuated in a wider range than other tea types, even though they originated from the same cultivar and variety. Moreover, the TFCs could change during storage, as reported by Chen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&lt;EndNote&gt;&lt;Cite&gt;&lt;Author&gt;Chen&lt;/Author&gt;&lt;Year&gt;2017&lt;/Year&gt;&lt;RecNum&gt;1138&lt;/RecNum&gt;&lt;DisplayText&gt;[31]&lt;/DisplayText&gt;&lt;record&gt;&lt;rec-number&gt;1138&lt;/rec-number&gt;&lt;foreign-keys&gt;&lt;key app="EN" db-id="09zedtxs2rsve4eaafv5rvs9w9t9xrzwvt09" timestamp="1627269919"&gt;1138&lt;/key&gt;&lt;/foreign-keys&gt;&lt;ref-type name="Journal Article"&gt;17&lt;/ref-type&gt;&lt;contributors&gt;&lt;authors&gt;&lt;author&gt;Chen, Meichun&lt;/author&gt;&lt;author&gt;Zhu, Yujing&lt;/author&gt;&lt;author&gt;Zhang, Haifeng&lt;/author&gt;&lt;author&gt;Wang, Jieping&lt;/author&gt;&lt;author&gt;Liu, Xiaogang&lt;/author&gt;&lt;author&gt;Chen, Zheng&lt;/author&gt;&lt;author&gt;Zheng, Meixia&lt;/author&gt;&lt;author&gt;Liu, Bo&lt;/author&gt;&lt;/authors&gt;&lt;/contributors&gt;&lt;titles&gt;&lt;title&gt;Phenolic compounds and the biological effects of Pu-erh teas with long-term storage&lt;/title&gt;&lt;secondary-title&gt;International Journal of Food Properties&lt;/secondary-title&gt;&lt;/titles&gt;&lt;periodical&gt;&lt;full-title&gt;International Journal of Food Properties&lt;/full-title&gt;&lt;/periodical&gt;&lt;pages&gt;1715-1728&lt;/pages&gt;&lt;volume&gt;20&lt;/volume&gt;&lt;number&gt;8&lt;/number&gt;&lt;dates&gt;&lt;year&gt;2017&lt;/year&gt;&lt;/dates&gt;&lt;isbn&gt;1094-2912&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31" w:tooltip="Chen, 2017 #1138" w:history="1">
        <w:r w:rsidRPr="00F22166">
          <w:rPr>
            <w:rFonts w:ascii="Times New Roman" w:hAnsi="Times New Roman"/>
            <w:noProof/>
            <w:sz w:val="20"/>
            <w:szCs w:val="20"/>
          </w:rPr>
          <w:t>31</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and Zhou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&lt;EndNote&gt;&lt;Cite&gt;&lt;Author&gt;Zhou&lt;/Author&gt;&lt;Year&gt;2020&lt;/Year&gt;&lt;RecNum&gt;1139&lt;/RecNum&gt;&lt;DisplayText&gt;[32]&lt;/DisplayText&gt;&lt;record&gt;&lt;rec-number&gt;1139&lt;/rec-number&gt;&lt;foreign-keys&gt;&lt;key app="EN" db-id="09zedtxs2rsve4eaafv5rvs9w9t9xrzwvt09" timestamp="1627269966"&gt;1139&lt;/key&gt;&lt;/foreign-keys&gt;&lt;ref-type name="Journal Article"&gt;17&lt;/ref-type&gt;&lt;contributors&gt;&lt;authors&gt;&lt;author&gt;Zhou, Binxing&lt;/author&gt;&lt;author&gt;Ma, Cunqiang&lt;/author&gt;&lt;author&gt;Wu, Tingting&lt;/author&gt;&lt;author&gt;Xu, Chengcheng&lt;/author&gt;&lt;author&gt;Wang, Jiacai&lt;/author&gt;&lt;author&gt;Xia, Tao&lt;/author&gt;&lt;/authors&gt;&lt;/contributors&gt;&lt;titles&gt;&lt;title&gt;Classification of raw Pu-erh teas with different storage time based on characteristic compounds and effect of storage environment&lt;/title&gt;&lt;secondary-title&gt;LWT&lt;/secondary-title&gt;&lt;/titles&gt;&lt;periodical&gt;&lt;full-title&gt;LWT&lt;/full-title&gt;&lt;/periodical&gt;&lt;pages&gt;109914&lt;/pages&gt;&lt;volume&gt;133&lt;/volume&gt;&lt;dates&gt;&lt;year&gt;2020&lt;/year&gt;&lt;/dates&gt;&lt;isbn&gt;0023-6438&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32" w:tooltip="Zhou, 2020 #1139" w:history="1">
        <w:r w:rsidRPr="00F22166">
          <w:rPr>
            <w:rFonts w:ascii="Times New Roman" w:hAnsi="Times New Roman"/>
            <w:noProof/>
            <w:sz w:val="20"/>
            <w:szCs w:val="20"/>
          </w:rPr>
          <w:t>32</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w:t>
      </w:r>
    </w:p>
    <w:p w14:paraId="4A452035" w14:textId="77777777" w:rsidR="00F22166" w:rsidRPr="00F22166" w:rsidRDefault="00F22166" w:rsidP="00F22166">
      <w:pPr>
        <w:spacing w:after="0" w:line="240" w:lineRule="auto"/>
        <w:jc w:val="both"/>
        <w:rPr>
          <w:rFonts w:ascii="Times New Roman" w:hAnsi="Times New Roman"/>
          <w:sz w:val="20"/>
          <w:szCs w:val="20"/>
        </w:rPr>
      </w:pPr>
    </w:p>
    <w:p w14:paraId="58F16818" w14:textId="77777777" w:rsidR="00F22166" w:rsidRPr="00F22166" w:rsidRDefault="00F22166" w:rsidP="00F22166">
      <w:pPr>
        <w:spacing w:after="0" w:line="240" w:lineRule="auto"/>
        <w:jc w:val="both"/>
        <w:rPr>
          <w:rFonts w:ascii="Times New Roman" w:hAnsi="Times New Roman"/>
          <w:sz w:val="20"/>
          <w:szCs w:val="20"/>
        </w:rPr>
      </w:pPr>
      <w:r w:rsidRPr="00F22166">
        <w:rPr>
          <w:rFonts w:ascii="Times New Roman" w:hAnsi="Times New Roman"/>
          <w:sz w:val="20"/>
          <w:szCs w:val="20"/>
        </w:rPr>
        <w:t xml:space="preserve">For green and oolong tea products collected in the Central Highland (the southern Vietnam), they also exhibited a similar trend for non-fermented and fermented tea, in which green tea exhibited higher </w:t>
      </w:r>
      <w:r w:rsidRPr="00F22166">
        <w:rPr>
          <w:rFonts w:ascii="Times New Roman" w:hAnsi="Times New Roman"/>
          <w:sz w:val="20"/>
          <w:szCs w:val="20"/>
        </w:rPr>
        <w:t>TFCs than oolong tea (85.2 ± 1.3 to 96.2 ± 1.8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vs. 42 ± 0.7 to 59.8 ± 0.4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However, the difference in TFCs between green tea products of the North and South might be due to the difference in tea cultivar, soil types, altitude of cultivation, planting conditions, post-harvest storage, leaf quality, processing conditions, and ontogenetic effects </w:t>
      </w:r>
      <w:r w:rsidRPr="00F22166">
        <w:rPr>
          <w:rFonts w:ascii="Times New Roman" w:hAnsi="Times New Roman"/>
          <w:sz w:val="20"/>
          <w:szCs w:val="20"/>
        </w:rPr>
        <w:fldChar w:fldCharType="begin">
          <w:fldData xml:space="preserve">PEVuZE5vdGU+PENpdGU+PEF1dGhvcj5JbXJhbjwvQXV0aG9yPjxZZWFyPjIwMTM8L1llYXI+PFJl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==
</w:fldData>
        </w:fldChar>
      </w:r>
      <w:r w:rsidRPr="00F22166">
        <w:rPr>
          <w:rFonts w:ascii="Times New Roman" w:hAnsi="Times New Roman"/>
          <w:sz w:val="20"/>
          <w:szCs w:val="20"/>
        </w:rPr>
        <w:instrText xml:space="preserve"> ADDIN EN.CITE </w:instrText>
      </w:r>
      <w:r w:rsidRPr="00F22166">
        <w:rPr>
          <w:rFonts w:ascii="Times New Roman" w:hAnsi="Times New Roman"/>
          <w:sz w:val="20"/>
          <w:szCs w:val="20"/>
        </w:rPr>
        <w:fldChar w:fldCharType="begin">
          <w:fldData xml:space="preserve">PEVuZE5vdGU+PENpdGU+PEF1dGhvcj5JbXJhbjwvQXV0aG9yPjxZZWFyPjIwMTM8L1llYXI+PFJl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==
</w:fldData>
        </w:fldChar>
      </w:r>
      <w:r w:rsidRPr="00F22166">
        <w:rPr>
          <w:rFonts w:ascii="Times New Roman" w:hAnsi="Times New Roman"/>
          <w:sz w:val="20"/>
          <w:szCs w:val="20"/>
        </w:rPr>
        <w:instrText xml:space="preserve"> ADDIN EN.CITE.DATA </w:instrText>
      </w:r>
      <w:r w:rsidRPr="00F22166">
        <w:rPr>
          <w:rFonts w:ascii="Times New Roman" w:hAnsi="Times New Roman"/>
          <w:sz w:val="20"/>
          <w:szCs w:val="20"/>
        </w:rPr>
      </w:r>
      <w:r w:rsidRPr="00F22166">
        <w:rPr>
          <w:rFonts w:ascii="Times New Roman" w:hAnsi="Times New Roman"/>
          <w:sz w:val="20"/>
          <w:szCs w:val="20"/>
        </w:rPr>
        <w:fldChar w:fldCharType="end"/>
      </w:r>
      <w:r w:rsidRPr="00F22166">
        <w:rPr>
          <w:rFonts w:ascii="Times New Roman" w:hAnsi="Times New Roman"/>
          <w:sz w:val="20"/>
          <w:szCs w:val="20"/>
        </w:rPr>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2" w:tooltip="Shannon, 2018 #1128" w:history="1">
        <w:r w:rsidRPr="00F22166">
          <w:rPr>
            <w:rFonts w:ascii="Times New Roman" w:hAnsi="Times New Roman"/>
            <w:noProof/>
            <w:sz w:val="20"/>
            <w:szCs w:val="20"/>
          </w:rPr>
          <w:t>22</w:t>
        </w:r>
      </w:hyperlink>
      <w:r w:rsidRPr="00F22166">
        <w:rPr>
          <w:rFonts w:ascii="Times New Roman" w:hAnsi="Times New Roman"/>
          <w:noProof/>
          <w:sz w:val="20"/>
          <w:szCs w:val="20"/>
        </w:rPr>
        <w:t xml:space="preserve">, </w:t>
      </w:r>
      <w:hyperlink w:anchor="_ENREF_33" w:tooltip="Imran, 2013 #1140" w:history="1">
        <w:r w:rsidRPr="00F22166">
          <w:rPr>
            <w:rFonts w:ascii="Times New Roman" w:hAnsi="Times New Roman"/>
            <w:noProof/>
            <w:sz w:val="20"/>
            <w:szCs w:val="20"/>
          </w:rPr>
          <w:t>33-36</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For fermented teas in this study, the black tea products showed higher TFCs than oolong tea (60.8 ± 1.1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to 89.7 ± 1.1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vs. 42 ± 0.7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to 59.8 ± 0.4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which was also reported by Hertog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&lt;EndNote&gt;&lt;Cite&gt;&lt;Author&gt;Hertog&lt;/Author&gt;&lt;Year&gt;1993&lt;/Year&gt;&lt;RecNum&gt;1144&lt;/RecNum&gt;&lt;DisplayText&gt;[37]&lt;/DisplayText&gt;&lt;record&gt;&lt;rec-number&gt;1144&lt;/rec-number&gt;&lt;foreign-keys&gt;&lt;key app="EN" db-id="09zedtxs2rsve4eaafv5rvs9w9t9xrzwvt09" timestamp="1627282574"&gt;1144&lt;/key&gt;&lt;/foreign-keys&gt;&lt;ref-type name="Journal Article"&gt;17&lt;/ref-type&gt;&lt;contributors&gt;&lt;authors&gt;&lt;author&gt;Hertog, Michael GL&lt;/author&gt;&lt;author&gt;Hollman, Peter CH&lt;/author&gt;&lt;author&gt;Van de Putte, Betty&lt;/author&gt;&lt;/authors&gt;&lt;/contributors&gt;&lt;titles&gt;&lt;title&gt;Content of potentially anticarcinogenic flavonoids of tea infusions, wines, and fruit juices&lt;/title&gt;&lt;secondary-title&gt;Journal of agricultural and food chemistry&lt;/secondary-title&gt;&lt;/titles&gt;&lt;periodical&gt;&lt;full-title&gt;Journal of Agricultural and Food Chemistry&lt;/full-title&gt;&lt;/periodical&gt;&lt;pages&gt;1242-1246&lt;/pages&gt;&lt;volume&gt;41&lt;/volume&gt;&lt;number&gt;8&lt;/number&gt;&lt;dates&gt;&lt;year&gt;1993&lt;/year&gt;&lt;/dates&gt;&lt;isbn&gt;0021-8561&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37" w:tooltip="Hertog, 1993 #1144" w:history="1">
        <w:r w:rsidRPr="00F22166">
          <w:rPr>
            <w:rFonts w:ascii="Times New Roman" w:hAnsi="Times New Roman"/>
            <w:noProof/>
            <w:sz w:val="20"/>
            <w:szCs w:val="20"/>
          </w:rPr>
          <w:t>37</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and Zayadi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&lt;EndNote&gt;&lt;Cite&gt;&lt;Author&gt;Zayadi&lt;/Author&gt;&lt;Year&gt;2016&lt;/Year&gt;&lt;RecNum&gt;1133&lt;/RecNum&gt;&lt;DisplayText&gt;[38]&lt;/DisplayText&gt;&lt;record&gt;&lt;rec-number&gt;1133&lt;/rec-number&gt;&lt;foreign-keys&gt;&lt;key app="EN" db-id="09zedtxs2rsve4eaafv5rvs9w9t9xrzwvt09" timestamp="1627269603"&gt;1133&lt;/key&gt;&lt;/foreign-keys&gt;&lt;ref-type name="Journal Article"&gt;17&lt;/ref-type&gt;&lt;contributors&gt;&lt;authors&gt;&lt;author&gt;Zayadi, Rabiatul Adawiyah&lt;/author&gt;&lt;author&gt;Rahim, Nurliyana Abdul&lt;/author&gt;&lt;author&gt;Bakar, Faridah Abu&lt;/author&gt;&lt;/authors&gt;&lt;/contributors&gt;&lt;titles&gt;&lt;title&gt;Determination of flavonoid and caffeine content in black and oolong teas&lt;/title&gt;&lt;secondary-title&gt;Journal of Science and Technology&lt;/secondary-title&gt;&lt;/titles&gt;&lt;periodical&gt;&lt;full-title&gt;Journal of Science and Technology&lt;/full-title&gt;&lt;/periodical&gt;&lt;volume&gt;8&lt;/volume&gt;&lt;number&gt;2&lt;/number&gt;&lt;dates&gt;&lt;year&gt;2016&lt;/year&gt;&lt;/dates&gt;&lt;isbn&gt;2600-7924&lt;/isbn&gt;&lt;urls&gt;&lt;/urls&gt;&lt;/record&gt;&lt;/Cite&gt;&lt;/EndNote&gt;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38" w:tooltip="Zayadi, 2016 #1133" w:history="1">
        <w:r w:rsidRPr="00F22166">
          <w:rPr>
            <w:rFonts w:ascii="Times New Roman" w:hAnsi="Times New Roman"/>
            <w:noProof/>
            <w:sz w:val="20"/>
            <w:szCs w:val="20"/>
          </w:rPr>
          <w:t>38</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for most oolong and black tea samples.</w:t>
      </w:r>
    </w:p>
    <w:p w14:paraId="4299D389" w14:textId="77777777" w:rsidR="00F22166" w:rsidRDefault="00F22166" w:rsidP="00F22166">
      <w:pPr>
        <w:spacing w:after="0" w:line="240" w:lineRule="auto"/>
        <w:jc w:val="both"/>
        <w:rPr>
          <w:rFonts w:ascii="Times New Roman" w:hAnsi="Times New Roman"/>
          <w:sz w:val="20"/>
          <w:szCs w:val="20"/>
        </w:rPr>
      </w:pPr>
    </w:p>
    <w:p w14:paraId="685ED8A7" w14:textId="2395BDA9" w:rsidR="00F22166" w:rsidRDefault="00F22166" w:rsidP="00F22166">
      <w:pPr>
        <w:spacing w:after="0" w:line="240" w:lineRule="auto"/>
        <w:jc w:val="both"/>
        <w:rPr>
          <w:rFonts w:ascii="Times New Roman" w:hAnsi="Times New Roman"/>
          <w:sz w:val="20"/>
          <w:szCs w:val="20"/>
        </w:rPr>
      </w:pPr>
      <w:r w:rsidRPr="001F5A49">
        <w:rPr>
          <w:rFonts w:ascii="Times New Roman" w:hAnsi="Times New Roman"/>
          <w:b/>
          <w:bCs/>
          <w:sz w:val="20"/>
          <w:szCs w:val="20"/>
        </w:rPr>
        <w:t>Effects of temperature and infusion time on TFCs in tea liquors</w:t>
      </w:r>
    </w:p>
    <w:p w14:paraId="19AA5FED" w14:textId="77777777" w:rsidR="00F22166" w:rsidRDefault="00F22166" w:rsidP="00F22166">
      <w:pPr>
        <w:spacing w:after="0" w:line="240" w:lineRule="auto"/>
        <w:jc w:val="both"/>
        <w:rPr>
          <w:rFonts w:ascii="Times New Roman" w:hAnsi="Times New Roman"/>
          <w:sz w:val="20"/>
          <w:szCs w:val="20"/>
        </w:rPr>
      </w:pPr>
      <w:r w:rsidRPr="001F5A49">
        <w:rPr>
          <w:rFonts w:ascii="Times New Roman" w:hAnsi="Times New Roman"/>
          <w:sz w:val="20"/>
          <w:szCs w:val="20"/>
        </w:rPr>
        <w:t>The effects of brewing conditions, including temperature and infusion duration, on TFCs in several tea liquors were evaluated. A quantity of 12 investigated samples belonging to four tea types of white, green, black, and Pu'erh from the same tea plantation area in Ha Giang Province were evaluated for their average extraction percentage for each brewing condition, as presented in Figure 5. There were no results for green and oolong tea samples in Lam Dong Province here due to the limitation of sample availability and experiment time.</w:t>
      </w:r>
    </w:p>
    <w:p w14:paraId="382ED819" w14:textId="77777777" w:rsidR="00F22166" w:rsidRDefault="00F22166" w:rsidP="00F22166">
      <w:pPr>
        <w:spacing w:after="0" w:line="240" w:lineRule="auto"/>
        <w:jc w:val="both"/>
        <w:rPr>
          <w:rFonts w:ascii="Times New Roman" w:hAnsi="Times New Roman"/>
          <w:sz w:val="20"/>
          <w:szCs w:val="20"/>
        </w:rPr>
      </w:pPr>
    </w:p>
    <w:p w14:paraId="7824F81E" w14:textId="77777777" w:rsidR="00F22166" w:rsidRDefault="00F22166" w:rsidP="00F22166">
      <w:pPr>
        <w:spacing w:after="0" w:line="240" w:lineRule="auto"/>
        <w:jc w:val="both"/>
        <w:rPr>
          <w:rFonts w:ascii="Times New Roman" w:hAnsi="Times New Roman"/>
          <w:sz w:val="20"/>
          <w:szCs w:val="20"/>
        </w:rPr>
      </w:pPr>
      <w:r w:rsidRPr="001F5A49">
        <w:rPr>
          <w:rFonts w:ascii="Times New Roman" w:hAnsi="Times New Roman"/>
          <w:sz w:val="20"/>
          <w:szCs w:val="20"/>
        </w:rPr>
        <w:t xml:space="preserve">As can be seen from Figure 5, higher brewing temperature led to the higher extraction percentage of TFCs for the four tea types and reached the highest at 90 </w:t>
      </w:r>
      <w:r w:rsidRPr="001F5A49">
        <w:rPr>
          <w:rFonts w:ascii="Times New Roman" w:hAnsi="Times New Roman"/>
          <w:sz w:val="20"/>
          <w:szCs w:val="20"/>
          <w:lang w:val="pt-BR"/>
        </w:rPr>
        <w:t>°C</w:t>
      </w:r>
      <w:r w:rsidRPr="001F5A49">
        <w:rPr>
          <w:rFonts w:ascii="Times New Roman" w:hAnsi="Times New Roman"/>
          <w:sz w:val="20"/>
          <w:szCs w:val="20"/>
        </w:rPr>
        <w:t xml:space="preserve">. Black tea showed the most apparent increasing trend (1.02 to 42.8% from 10 </w:t>
      </w:r>
      <w:r w:rsidRPr="001F5A49">
        <w:rPr>
          <w:rFonts w:ascii="Times New Roman" w:hAnsi="Times New Roman"/>
          <w:sz w:val="20"/>
          <w:szCs w:val="20"/>
          <w:lang w:val="pt-BR"/>
        </w:rPr>
        <w:t>°C</w:t>
      </w:r>
      <w:r w:rsidRPr="001F5A49">
        <w:rPr>
          <w:rFonts w:ascii="Times New Roman" w:hAnsi="Times New Roman"/>
          <w:sz w:val="20"/>
          <w:szCs w:val="20"/>
        </w:rPr>
        <w:t xml:space="preserve"> to 90 </w:t>
      </w:r>
      <w:r w:rsidRPr="001F5A49">
        <w:rPr>
          <w:rFonts w:ascii="Times New Roman" w:hAnsi="Times New Roman"/>
          <w:sz w:val="20"/>
          <w:szCs w:val="20"/>
          <w:lang w:val="pt-BR"/>
        </w:rPr>
        <w:t>°C</w:t>
      </w:r>
      <w:r w:rsidRPr="001F5A49">
        <w:rPr>
          <w:rFonts w:ascii="Times New Roman" w:hAnsi="Times New Roman"/>
          <w:sz w:val="20"/>
          <w:szCs w:val="20"/>
        </w:rPr>
        <w:t xml:space="preserve">) and required higher temperature to release the flavonoids from the tea leaves to the water. The temperature accelerated the extraction of internal compounds, especially the easily soluble substances such as flavonoids, catechins, and metal(loid)s from the tea products into their liquors, as reported in several publications </w:t>
      </w:r>
      <w:r w:rsidRPr="001F5A49">
        <w:rPr>
          <w:rFonts w:ascii="Times New Roman" w:hAnsi="Times New Roman"/>
          <w:sz w:val="20"/>
          <w:szCs w:val="20"/>
        </w:rPr>
        <w:fldChar w:fldCharType="begin">
          <w:fldData xml:space="preserve">PEVuZE5vdGU+PENpdGU+PEF1dGhvcj5UYW88L0F1dGhvcj48WWVhcj4yMDE2PC9ZZWFyPjxSZWNO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</w:fldData>
        </w:fldChar>
      </w:r>
      <w:r w:rsidRPr="001F5A49">
        <w:rPr>
          <w:rFonts w:ascii="Times New Roman" w:hAnsi="Times New Roman"/>
          <w:sz w:val="20"/>
          <w:szCs w:val="20"/>
        </w:rPr>
        <w:instrText xml:space="preserve"> ADDIN EN.CITE </w:instrText>
      </w:r>
      <w:r w:rsidRPr="001F5A49">
        <w:rPr>
          <w:rFonts w:ascii="Times New Roman" w:hAnsi="Times New Roman"/>
          <w:sz w:val="20"/>
          <w:szCs w:val="20"/>
        </w:rPr>
        <w:fldChar w:fldCharType="begin">
          <w:fldData xml:space="preserve">PEVuZE5vdGU+PENpdGU+PEF1dGhvcj5UYW88L0F1dGhvcj48WWVhcj4yMDE2PC9ZZWFyPjxSZWNO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</w:fldData>
        </w:fldChar>
      </w:r>
      <w:r w:rsidRPr="001F5A49">
        <w:rPr>
          <w:rFonts w:ascii="Times New Roman" w:hAnsi="Times New Roman"/>
          <w:sz w:val="20"/>
          <w:szCs w:val="20"/>
        </w:rPr>
        <w:instrText xml:space="preserve"> ADDIN EN.CITE.DATA </w:instrText>
      </w:r>
      <w:r w:rsidRPr="001F5A49">
        <w:rPr>
          <w:rFonts w:ascii="Times New Roman" w:hAnsi="Times New Roman"/>
          <w:sz w:val="20"/>
          <w:szCs w:val="20"/>
        </w:rPr>
      </w:r>
      <w:r w:rsidRPr="001F5A49">
        <w:rPr>
          <w:rFonts w:ascii="Times New Roman" w:hAnsi="Times New Roman"/>
          <w:sz w:val="20"/>
          <w:szCs w:val="20"/>
        </w:rPr>
        <w:fldChar w:fldCharType="end"/>
      </w:r>
      <w:r w:rsidRPr="001F5A49">
        <w:rPr>
          <w:rFonts w:ascii="Times New Roman" w:hAnsi="Times New Roman"/>
          <w:sz w:val="20"/>
          <w:szCs w:val="20"/>
        </w:rPr>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7" w:tooltip="Tao, 2016 #648" w:history="1">
        <w:r w:rsidRPr="001F5A49">
          <w:rPr>
            <w:rFonts w:ascii="Times New Roman" w:hAnsi="Times New Roman"/>
            <w:noProof/>
            <w:sz w:val="20"/>
            <w:szCs w:val="20"/>
          </w:rPr>
          <w:t>7</w:t>
        </w:r>
      </w:hyperlink>
      <w:r w:rsidRPr="001F5A49">
        <w:rPr>
          <w:rFonts w:ascii="Times New Roman" w:hAnsi="Times New Roman"/>
          <w:noProof/>
          <w:sz w:val="20"/>
          <w:szCs w:val="20"/>
        </w:rPr>
        <w:t xml:space="preserve">, </w:t>
      </w:r>
      <w:hyperlink w:anchor="_ENREF_39" w:tooltip="Chang, 2020 #1099" w:history="1">
        <w:r w:rsidRPr="001F5A49">
          <w:rPr>
            <w:rFonts w:ascii="Times New Roman" w:hAnsi="Times New Roman"/>
            <w:noProof/>
            <w:sz w:val="20"/>
            <w:szCs w:val="20"/>
          </w:rPr>
          <w:t>39-42</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w:t>
      </w:r>
    </w:p>
    <w:p w14:paraId="3D4F8A37" w14:textId="77777777" w:rsidR="00F22166" w:rsidRDefault="00F22166" w:rsidP="00F22166">
      <w:pPr>
        <w:spacing w:after="0" w:line="240" w:lineRule="auto"/>
        <w:jc w:val="both"/>
        <w:rPr>
          <w:rFonts w:ascii="Times New Roman" w:hAnsi="Times New Roman"/>
          <w:sz w:val="20"/>
          <w:szCs w:val="20"/>
        </w:rPr>
      </w:pPr>
    </w:p>
    <w:p w14:paraId="2F762870" w14:textId="77777777" w:rsidR="00F22166" w:rsidRPr="001F5A49" w:rsidRDefault="00F22166" w:rsidP="00F22166">
      <w:pPr>
        <w:spacing w:after="0" w:line="240" w:lineRule="auto"/>
        <w:jc w:val="both"/>
        <w:rPr>
          <w:rFonts w:ascii="Times New Roman" w:hAnsi="Times New Roman"/>
          <w:sz w:val="20"/>
          <w:szCs w:val="20"/>
        </w:rPr>
      </w:pPr>
      <w:r w:rsidRPr="001F5A49">
        <w:rPr>
          <w:rFonts w:ascii="Times New Roman" w:hAnsi="Times New Roman"/>
          <w:sz w:val="20"/>
          <w:szCs w:val="20"/>
        </w:rPr>
        <w:t xml:space="preserve">For infusion time effects, the extraction percentage of TFCs in tea liquors reached the highest at the infusion time of 40 minutes, then decreased in the next 20 minutes (from 40 to 60 minutes). The longer infusion time could have caused the thermal oxidation or decomposition of flavonoid compounds, leading to lower TFCs recorded in tea liquors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&lt;EndNote&gt;&lt;Cite&gt;&lt;Author&gt;Arsyad&lt;/Author&gt;&lt;Year&gt;2014&lt;/Year&gt;&lt;RecNum&gt;1122&lt;/RecNum&gt;&lt;DisplayText&gt;[43, 44]&lt;/DisplayText&gt;&lt;record&gt;&lt;rec-number&gt;1122&lt;/rec-number&gt;&lt;foreign-keys&gt;&lt;key app="EN" db-id="09zedtxs2rsve4eaafv5rvs9w9t9xrzwvt09" timestamp="1627266709"&gt;1122&lt;/key&gt;&lt;/foreign-keys&gt;&lt;ref-type name="Thesis"&gt;32&lt;/ref-type&gt;&lt;contributors&gt;&lt;authors&gt;&lt;author&gt;Arsyad, Akhmad Baihaqi&lt;/author&gt;&lt;/authors&gt;&lt;/contributors&gt;&lt;titles&gt;&lt;title&gt;Analisis pengaruh waktu pemanasan terhadap degradasi aktivitas antioksidan pada daun kangkung air (Ipomoea Aquatica Forsk)&lt;/title&gt;&lt;/titles&gt;&lt;dates&gt;&lt;year&gt;2014&lt;/year&gt;&lt;/dates&gt;&lt;publisher&gt;UIN Walisongo&lt;/publisher&gt;&lt;urls&gt;&lt;/urls&gt;&lt;/record&gt;&lt;/Cite&gt;&lt;Cite&gt;&lt;Author&gt;Susiani&lt;/Author&gt;&lt;Year&gt;2017&lt;/Year&gt;&lt;RecNum&gt;1123&lt;/RecNum&gt;&lt;record&gt;&lt;rec-number&gt;1123&lt;/rec-number&gt;&lt;foreign-keys&gt;&lt;key app="EN" db-id="09zedtxs2rsve4eaafv5rvs9w9t9xrzwvt09" timestamp="1627266734"&gt;1123&lt;/key&gt;&lt;/foreign-keys&gt;&lt;ref-type name="Journal Article"&gt;17&lt;/ref-type&gt;&lt;contributors&gt;&lt;authors&gt;&lt;author&gt;Susiani, Eka Fitri&lt;/author&gt;&lt;author&gt;Guntarti, Any&lt;/author&gt;&lt;author&gt;Kintoko, Kintoko&lt;/author&gt;&lt;/authors&gt;&lt;/contributors&gt;&lt;titles&gt;&lt;title&gt;Pengaruh Suhu Pengeringan Terhadap Kadar Flavonoid Total Ekstrak Etanol Daun Kumis Kucing (Orthosiphon Aristatus (BL) Miq)&lt;/title&gt;&lt;secondary-title&gt;Borneo Journal of Pharmascientech&lt;/secondary-title&gt;&lt;/titles&gt;&lt;periodical&gt;&lt;full-title&gt;Borneo Journal of Pharmascientech&lt;/full-title&gt;&lt;/periodical&gt;&lt;volume&gt;1&lt;/volume&gt;&lt;number&gt;2&lt;/number&gt;&lt;dates&gt;&lt;year&gt;2017&lt;/year&gt;&lt;/dates&gt;&lt;isbn&gt;2548-3897&lt;/isbn&gt;&lt;urls&gt;&lt;/urls&gt;&lt;/record&gt;&lt;/Cite&gt;&lt;/EndNote&gt;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43" w:tooltip="Arsyad, 2014 #1122" w:history="1">
        <w:r w:rsidRPr="001F5A49">
          <w:rPr>
            <w:rFonts w:ascii="Times New Roman" w:hAnsi="Times New Roman"/>
            <w:noProof/>
            <w:sz w:val="20"/>
            <w:szCs w:val="20"/>
          </w:rPr>
          <w:t>43</w:t>
        </w:r>
      </w:hyperlink>
      <w:r w:rsidRPr="001F5A49">
        <w:rPr>
          <w:rFonts w:ascii="Times New Roman" w:hAnsi="Times New Roman"/>
          <w:noProof/>
          <w:sz w:val="20"/>
          <w:szCs w:val="20"/>
        </w:rPr>
        <w:t xml:space="preserve">, </w:t>
      </w:r>
      <w:hyperlink w:anchor="_ENREF_44" w:tooltip="Susiani, 2017 #1123" w:history="1">
        <w:r w:rsidRPr="001F5A49">
          <w:rPr>
            <w:rFonts w:ascii="Times New Roman" w:hAnsi="Times New Roman"/>
            <w:noProof/>
            <w:sz w:val="20"/>
            <w:szCs w:val="20"/>
          </w:rPr>
          <w:t>44</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xml:space="preserve">. As in the situation of brewing time experiment, black tea exhibited the largest variation in the extraction percentage within the investigated infusion time from 3 to 60 minutes (29.93-43.23%). Meanwhile, the recorded fluctuation was smaller for white, green, and Pu'erh tea types with higher extraction percentages </w:t>
      </w:r>
      <w:r w:rsidRPr="001F5A49">
        <w:rPr>
          <w:rFonts w:ascii="Times New Roman" w:hAnsi="Times New Roman"/>
          <w:sz w:val="20"/>
          <w:szCs w:val="20"/>
        </w:rPr>
        <w:lastRenderedPageBreak/>
        <w:t xml:space="preserve">(59.49%, 55.49%, and 51.74%). Besides the TFCs, a longer infusion time at high temperatures might draw out more undesirable compounds, especially potentially toxic metal(loid)s, into the tea liquors. Therefore, tea drinkers could choose a shorter infusion </w:t>
      </w:r>
      <w:r w:rsidRPr="001F5A49">
        <w:rPr>
          <w:rFonts w:ascii="Times New Roman" w:hAnsi="Times New Roman"/>
          <w:sz w:val="20"/>
          <w:szCs w:val="20"/>
        </w:rPr>
        <w:t xml:space="preserve">time without much effect on the TFCs released into tea liquors. For example, green tea had the TFC extraction percentage of 54.31% ± 0.74%, only 8% lower than the most favorable condition (62.29 ± 0.59%). </w:t>
      </w:r>
    </w:p>
    <w:p w14:paraId="1E8A1770" w14:textId="62FA1CF6" w:rsidR="00F22166" w:rsidRDefault="00F22166" w:rsidP="00F22166">
      <w:pPr>
        <w:jc w:val="both"/>
        <w:rPr>
          <w:rFonts w:ascii="Times New Roman" w:hAnsi="Times New Roman"/>
          <w:sz w:val="20"/>
          <w:szCs w:val="20"/>
        </w:rPr>
        <w:sectPr w:rsidR="00F22166" w:rsidSect="00F22166">
          <w:headerReference w:type="even" r:id="rId30"/>
          <w:headerReference w:type="default" r:id="rId31"/>
          <w:footerReference w:type="even" r:id="rId32"/>
          <w:footerReference w:type="default" r:id="rId33"/>
          <w:headerReference w:type="first" r:id="rId34"/>
          <w:type w:val="continuous"/>
          <w:pgSz w:w="12240" w:h="15840" w:code="1"/>
          <w:pgMar w:top="1800" w:right="1469" w:bottom="1699" w:left="1440" w:header="706" w:footer="706" w:gutter="0"/>
          <w:pgNumType w:start="0"/>
          <w:cols w:num="2" w:space="403"/>
          <w:docGrid w:linePitch="360"/>
        </w:sectPr>
      </w:pPr>
    </w:p>
    <w:p w14:paraId="5C4AAFCE" w14:textId="77777777" w:rsidR="00F22166" w:rsidRPr="006D4244" w:rsidRDefault="00F22166" w:rsidP="00F22166">
      <w:pPr>
        <w:jc w:val="both"/>
        <w:rPr>
          <w:rFonts w:ascii="Times New Roman" w:hAnsi="Times New Roman"/>
          <w:sz w:val="20"/>
          <w:szCs w:val="20"/>
        </w:rPr>
      </w:pPr>
    </w:p>
    <w:p w14:paraId="32B0F56F" w14:textId="77777777" w:rsidR="007F5517" w:rsidRPr="00281082" w:rsidRDefault="007F5517" w:rsidP="007F5517">
      <w:pPr>
        <w:jc w:val="center"/>
        <w:rPr>
          <w:rFonts w:ascii="Times New Roman" w:hAnsi="Times New Roman"/>
        </w:rPr>
      </w:pPr>
      <w:r w:rsidRPr="00281082">
        <w:rPr>
          <w:rFonts w:ascii="Times New Roman" w:hAnsi="Times New Roman"/>
          <w:noProof/>
        </w:rPr>
        <w:drawing>
          <wp:inline distT="0" distB="0" distL="0" distR="0" wp14:anchorId="10E908B4" wp14:editId="56FFA80C">
            <wp:extent cx="5208905" cy="2238375"/>
            <wp:effectExtent l="0" t="0" r="1079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CA4DD37" w14:textId="16749DA3" w:rsidR="007F5517" w:rsidRPr="00F22166" w:rsidRDefault="007F5517" w:rsidP="00F22166">
      <w:pPr>
        <w:jc w:val="center"/>
        <w:rPr>
          <w:rFonts w:ascii="Times New Roman" w:hAnsi="Times New Roman"/>
          <w:sz w:val="20"/>
          <w:szCs w:val="20"/>
        </w:rPr>
      </w:pPr>
      <w:r w:rsidRPr="001F5A49">
        <w:rPr>
          <w:rFonts w:ascii="Times New Roman" w:hAnsi="Times New Roman"/>
          <w:sz w:val="20"/>
          <w:szCs w:val="20"/>
        </w:rPr>
        <w:t>Figure 4.</w:t>
      </w:r>
      <w:r w:rsidR="00F22166">
        <w:rPr>
          <w:rFonts w:ascii="Times New Roman" w:hAnsi="Times New Roman"/>
          <w:sz w:val="20"/>
          <w:szCs w:val="20"/>
        </w:rPr>
        <w:t xml:space="preserve">  </w:t>
      </w:r>
      <w:r w:rsidRPr="001F5A49">
        <w:rPr>
          <w:rFonts w:ascii="Times New Roman" w:hAnsi="Times New Roman"/>
          <w:sz w:val="20"/>
          <w:szCs w:val="20"/>
        </w:rPr>
        <w:t>Flavonoid contents in tea samples</w:t>
      </w:r>
    </w:p>
    <w:p w14:paraId="41749EB6" w14:textId="77777777" w:rsidR="00F22166" w:rsidRPr="00B95B49" w:rsidRDefault="00F22166" w:rsidP="00F22166">
      <w:pPr>
        <w:pStyle w:val="Keywords"/>
        <w:spacing w:after="0"/>
        <w:ind w:left="0" w:right="57"/>
        <w:jc w:val="both"/>
        <w:rPr>
          <w:b w:val="0"/>
          <w:szCs w:val="18"/>
        </w:rPr>
      </w:pPr>
    </w:p>
    <w:p w14:paraId="31F97C71" w14:textId="77777777" w:rsidR="00F22166" w:rsidRPr="00281082" w:rsidRDefault="00F22166" w:rsidP="00F22166">
      <w:pPr>
        <w:widowControl w:val="0"/>
        <w:numPr>
          <w:ilvl w:val="0"/>
          <w:numId w:val="2"/>
        </w:numPr>
        <w:wordWrap w:val="0"/>
        <w:autoSpaceDE w:val="0"/>
        <w:autoSpaceDN w:val="0"/>
        <w:spacing w:after="0" w:line="240" w:lineRule="auto"/>
        <w:jc w:val="both"/>
        <w:rPr>
          <w:rFonts w:ascii="Times New Roman" w:hAnsi="Times New Roman"/>
          <w:b/>
          <w:i/>
        </w:rPr>
      </w:pPr>
      <w:r w:rsidRPr="00281082">
        <w:rPr>
          <w:rFonts w:ascii="Times New Roman" w:hAnsi="Times New Roman"/>
          <w:b/>
          <w:i/>
        </w:rPr>
        <w:t>Infusion temperature</w:t>
      </w:r>
    </w:p>
    <w:p w14:paraId="4B27CA1A" w14:textId="77777777" w:rsidR="00F22166" w:rsidRPr="00281082" w:rsidRDefault="00F22166" w:rsidP="00F22166">
      <w:pPr>
        <w:jc w:val="center"/>
        <w:rPr>
          <w:rFonts w:ascii="Times New Roman" w:hAnsi="Times New Roman"/>
        </w:rPr>
      </w:pPr>
      <w:r w:rsidRPr="00281082">
        <w:rPr>
          <w:rFonts w:ascii="Times New Roman" w:hAnsi="Times New Roman"/>
          <w:noProof/>
        </w:rPr>
        <w:drawing>
          <wp:inline distT="0" distB="0" distL="0" distR="0" wp14:anchorId="3687B3B5" wp14:editId="0F05F090">
            <wp:extent cx="5241445" cy="22764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54552" cy="2282168"/>
                    </a:xfrm>
                    <a:prstGeom prst="rect">
                      <a:avLst/>
                    </a:prstGeom>
                  </pic:spPr>
                </pic:pic>
              </a:graphicData>
            </a:graphic>
          </wp:inline>
        </w:drawing>
      </w:r>
    </w:p>
    <w:p w14:paraId="5B236BB3" w14:textId="77777777" w:rsidR="00F22166" w:rsidRPr="00F22166" w:rsidRDefault="00F22166" w:rsidP="00F22166">
      <w:pPr>
        <w:widowControl w:val="0"/>
        <w:wordWrap w:val="0"/>
        <w:autoSpaceDE w:val="0"/>
        <w:autoSpaceDN w:val="0"/>
        <w:spacing w:after="0" w:line="240" w:lineRule="auto"/>
        <w:jc w:val="both"/>
        <w:rPr>
          <w:rFonts w:ascii="Times New Roman" w:hAnsi="Times New Roman"/>
        </w:rPr>
      </w:pPr>
    </w:p>
    <w:p w14:paraId="05F14D62" w14:textId="41E38F09" w:rsidR="00F22166" w:rsidRDefault="00F22166" w:rsidP="00F22166">
      <w:pPr>
        <w:widowControl w:val="0"/>
        <w:wordWrap w:val="0"/>
        <w:autoSpaceDE w:val="0"/>
        <w:autoSpaceDN w:val="0"/>
        <w:spacing w:after="0" w:line="240" w:lineRule="auto"/>
        <w:jc w:val="both"/>
        <w:rPr>
          <w:rFonts w:ascii="Times New Roman" w:hAnsi="Times New Roman"/>
        </w:rPr>
      </w:pPr>
    </w:p>
    <w:p w14:paraId="51F3305F" w14:textId="7993A01F" w:rsidR="00F22166" w:rsidRDefault="00F22166" w:rsidP="00F22166">
      <w:pPr>
        <w:widowControl w:val="0"/>
        <w:wordWrap w:val="0"/>
        <w:autoSpaceDE w:val="0"/>
        <w:autoSpaceDN w:val="0"/>
        <w:spacing w:after="0" w:line="240" w:lineRule="auto"/>
        <w:jc w:val="both"/>
        <w:rPr>
          <w:rFonts w:ascii="Times New Roman" w:hAnsi="Times New Roman"/>
        </w:rPr>
      </w:pPr>
    </w:p>
    <w:p w14:paraId="2F72CFE1" w14:textId="629DC613" w:rsidR="00F22166" w:rsidRDefault="00F22166" w:rsidP="00F22166">
      <w:pPr>
        <w:widowControl w:val="0"/>
        <w:wordWrap w:val="0"/>
        <w:autoSpaceDE w:val="0"/>
        <w:autoSpaceDN w:val="0"/>
        <w:spacing w:after="0" w:line="240" w:lineRule="auto"/>
        <w:jc w:val="both"/>
        <w:rPr>
          <w:rFonts w:ascii="Times New Roman" w:hAnsi="Times New Roman"/>
        </w:rPr>
      </w:pPr>
    </w:p>
    <w:p w14:paraId="59C4B0DA" w14:textId="69C16EE3" w:rsidR="00F22166" w:rsidRDefault="00F22166" w:rsidP="00F22166">
      <w:pPr>
        <w:widowControl w:val="0"/>
        <w:wordWrap w:val="0"/>
        <w:autoSpaceDE w:val="0"/>
        <w:autoSpaceDN w:val="0"/>
        <w:spacing w:after="0" w:line="240" w:lineRule="auto"/>
        <w:jc w:val="both"/>
        <w:rPr>
          <w:rFonts w:ascii="Times New Roman" w:hAnsi="Times New Roman"/>
        </w:rPr>
      </w:pPr>
    </w:p>
    <w:p w14:paraId="3CC7F68C" w14:textId="5E4A2AE8" w:rsidR="00F22166" w:rsidRDefault="00F22166" w:rsidP="00F22166">
      <w:pPr>
        <w:widowControl w:val="0"/>
        <w:wordWrap w:val="0"/>
        <w:autoSpaceDE w:val="0"/>
        <w:autoSpaceDN w:val="0"/>
        <w:spacing w:after="0" w:line="240" w:lineRule="auto"/>
        <w:jc w:val="both"/>
        <w:rPr>
          <w:rFonts w:ascii="Times New Roman" w:hAnsi="Times New Roman"/>
        </w:rPr>
      </w:pPr>
    </w:p>
    <w:p w14:paraId="24672A87" w14:textId="24D73B89" w:rsidR="00F22166" w:rsidRDefault="00F22166" w:rsidP="00F22166">
      <w:pPr>
        <w:widowControl w:val="0"/>
        <w:wordWrap w:val="0"/>
        <w:autoSpaceDE w:val="0"/>
        <w:autoSpaceDN w:val="0"/>
        <w:spacing w:after="0" w:line="240" w:lineRule="auto"/>
        <w:jc w:val="both"/>
        <w:rPr>
          <w:rFonts w:ascii="Times New Roman" w:hAnsi="Times New Roman"/>
        </w:rPr>
      </w:pPr>
    </w:p>
    <w:p w14:paraId="7013BCFA" w14:textId="77777777" w:rsidR="00F22166" w:rsidRPr="00F22166" w:rsidRDefault="00F22166" w:rsidP="00F22166">
      <w:pPr>
        <w:widowControl w:val="0"/>
        <w:wordWrap w:val="0"/>
        <w:autoSpaceDE w:val="0"/>
        <w:autoSpaceDN w:val="0"/>
        <w:spacing w:after="0" w:line="240" w:lineRule="auto"/>
        <w:jc w:val="both"/>
        <w:rPr>
          <w:rFonts w:ascii="Times New Roman" w:hAnsi="Times New Roman"/>
        </w:rPr>
      </w:pPr>
    </w:p>
    <w:p w14:paraId="5081131F" w14:textId="47864AD3" w:rsidR="00F22166" w:rsidRPr="00281082" w:rsidRDefault="00F22166" w:rsidP="00F22166">
      <w:pPr>
        <w:widowControl w:val="0"/>
        <w:numPr>
          <w:ilvl w:val="0"/>
          <w:numId w:val="2"/>
        </w:numPr>
        <w:wordWrap w:val="0"/>
        <w:autoSpaceDE w:val="0"/>
        <w:autoSpaceDN w:val="0"/>
        <w:spacing w:after="0" w:line="240" w:lineRule="auto"/>
        <w:jc w:val="both"/>
        <w:rPr>
          <w:rFonts w:ascii="Times New Roman" w:hAnsi="Times New Roman"/>
        </w:rPr>
      </w:pPr>
      <w:r w:rsidRPr="00281082">
        <w:rPr>
          <w:rFonts w:ascii="Times New Roman" w:hAnsi="Times New Roman"/>
          <w:b/>
          <w:i/>
        </w:rPr>
        <w:lastRenderedPageBreak/>
        <w:t>Infusion time</w:t>
      </w:r>
    </w:p>
    <w:p w14:paraId="02C777A3" w14:textId="77777777" w:rsidR="00F22166" w:rsidRPr="00281082" w:rsidRDefault="00F22166" w:rsidP="00F22166">
      <w:pPr>
        <w:spacing w:after="120"/>
        <w:jc w:val="center"/>
        <w:rPr>
          <w:rFonts w:ascii="Times New Roman" w:hAnsi="Times New Roman"/>
        </w:rPr>
      </w:pPr>
      <w:r w:rsidRPr="00281082">
        <w:rPr>
          <w:rFonts w:ascii="Times New Roman" w:hAnsi="Times New Roman"/>
          <w:noProof/>
        </w:rPr>
        <w:drawing>
          <wp:inline distT="0" distB="0" distL="0" distR="0" wp14:anchorId="71EA7490" wp14:editId="4A86B79E">
            <wp:extent cx="5212800" cy="2386800"/>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12800" cy="2386800"/>
                    </a:xfrm>
                    <a:prstGeom prst="rect">
                      <a:avLst/>
                    </a:prstGeom>
                  </pic:spPr>
                </pic:pic>
              </a:graphicData>
            </a:graphic>
          </wp:inline>
        </w:drawing>
      </w:r>
    </w:p>
    <w:p w14:paraId="394566DB" w14:textId="3EC12F1E" w:rsidR="00F22166" w:rsidRDefault="00F22166" w:rsidP="00F22166">
      <w:pPr>
        <w:spacing w:after="0" w:line="240" w:lineRule="auto"/>
        <w:jc w:val="center"/>
        <w:rPr>
          <w:rFonts w:ascii="Times New Roman" w:hAnsi="Times New Roman"/>
          <w:sz w:val="20"/>
          <w:szCs w:val="20"/>
        </w:rPr>
      </w:pPr>
      <w:r w:rsidRPr="00B95B49">
        <w:rPr>
          <w:rFonts w:ascii="Times New Roman" w:hAnsi="Times New Roman"/>
          <w:sz w:val="20"/>
          <w:szCs w:val="20"/>
        </w:rPr>
        <w:t xml:space="preserve">Figure 5. </w:t>
      </w:r>
      <w:r>
        <w:rPr>
          <w:rFonts w:ascii="Times New Roman" w:hAnsi="Times New Roman"/>
          <w:sz w:val="20"/>
          <w:szCs w:val="20"/>
        </w:rPr>
        <w:t xml:space="preserve"> </w:t>
      </w:r>
      <w:r w:rsidRPr="00B95B49">
        <w:rPr>
          <w:rFonts w:ascii="Times New Roman" w:hAnsi="Times New Roman"/>
          <w:sz w:val="20"/>
          <w:szCs w:val="20"/>
        </w:rPr>
        <w:t>Effect of (a) temperature and (b) infusion time on TFCs in tea liquors</w:t>
      </w:r>
    </w:p>
    <w:p w14:paraId="1CC483AD" w14:textId="39FC342D" w:rsidR="007F5517" w:rsidRDefault="007F5517" w:rsidP="00AD0FBE">
      <w:pPr>
        <w:spacing w:after="0"/>
        <w:jc w:val="both"/>
        <w:rPr>
          <w:rFonts w:ascii="Times New Roman" w:hAnsi="Times New Roman"/>
          <w:noProof/>
          <w:sz w:val="20"/>
          <w:szCs w:val="20"/>
          <w:lang w:bidi="ar-SA"/>
        </w:rPr>
      </w:pPr>
    </w:p>
    <w:p w14:paraId="3839B0B7" w14:textId="77777777" w:rsidR="006768E9" w:rsidRPr="00383C16" w:rsidRDefault="006768E9" w:rsidP="00DF2719">
      <w:pPr>
        <w:spacing w:after="0"/>
        <w:rPr>
          <w:rFonts w:ascii="Times New Roman" w:hAnsi="Times New Roman"/>
          <w:noProof/>
          <w:sz w:val="20"/>
          <w:szCs w:val="20"/>
          <w:lang w:bidi="ar-SA"/>
        </w:rPr>
      </w:pPr>
    </w:p>
    <w:p w14:paraId="2E2D10DA" w14:textId="77777777" w:rsidR="00DF2719" w:rsidRDefault="00DF2719" w:rsidP="00383C16">
      <w:pPr>
        <w:spacing w:after="0"/>
        <w:jc w:val="center"/>
        <w:rPr>
          <w:rFonts w:ascii="Times New Roman" w:hAnsi="Times New Roman"/>
          <w:b/>
          <w:noProof/>
          <w:sz w:val="20"/>
          <w:szCs w:val="20"/>
          <w:lang w:bidi="ar-SA"/>
        </w:rPr>
        <w:sectPr w:rsidR="00DF2719" w:rsidSect="004C6698">
          <w:headerReference w:type="even" r:id="rId38"/>
          <w:headerReference w:type="default" r:id="rId39"/>
          <w:footerReference w:type="even" r:id="rId40"/>
          <w:headerReference w:type="first" r:id="rId41"/>
          <w:type w:val="continuous"/>
          <w:pgSz w:w="12240" w:h="15840" w:code="1"/>
          <w:pgMar w:top="1800" w:right="1469" w:bottom="1699" w:left="1440" w:header="706" w:footer="706" w:gutter="0"/>
          <w:pgNumType w:start="0"/>
          <w:cols w:space="708"/>
          <w:docGrid w:linePitch="360"/>
        </w:sectPr>
      </w:pPr>
    </w:p>
    <w:p w14:paraId="183D362C" w14:textId="3D3ED2E3"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CF46E23" w14:textId="77777777" w:rsidR="00DF2719" w:rsidRDefault="00DF2719" w:rsidP="00DF2719">
      <w:pPr>
        <w:spacing w:after="0" w:line="240" w:lineRule="auto"/>
        <w:jc w:val="both"/>
        <w:rPr>
          <w:rFonts w:ascii="Times New Roman" w:hAnsi="Times New Roman"/>
          <w:sz w:val="20"/>
          <w:szCs w:val="20"/>
          <w:lang w:val="pt-BR"/>
        </w:rPr>
      </w:pPr>
      <w:r w:rsidRPr="001F5A49">
        <w:rPr>
          <w:rFonts w:ascii="Times New Roman" w:hAnsi="Times New Roman"/>
          <w:sz w:val="20"/>
          <w:szCs w:val="20"/>
        </w:rPr>
        <w:t>The analytical method for determining the total flavonoid content in different tea products and their liquors, based on the principle of spectrophotometric assay after forming complexes with AlCl</w:t>
      </w:r>
      <w:r w:rsidRPr="001F5A49">
        <w:rPr>
          <w:rFonts w:ascii="Times New Roman" w:hAnsi="Times New Roman"/>
          <w:sz w:val="20"/>
          <w:szCs w:val="20"/>
          <w:vertAlign w:val="subscript"/>
        </w:rPr>
        <w:t>3</w:t>
      </w:r>
      <w:r w:rsidRPr="001F5A49">
        <w:rPr>
          <w:rFonts w:ascii="Times New Roman" w:hAnsi="Times New Roman"/>
          <w:sz w:val="20"/>
          <w:szCs w:val="20"/>
        </w:rPr>
        <w:t xml:space="preserve"> in alkaline medium, was validated according to the requirements in Appendix F. AOAC (2016). The estimated limit of detection and quantification values were low compared to the TFCs present in tea samples. The calibration curve was built from 50 to 700 mg QE L</w:t>
      </w:r>
      <w:r w:rsidRPr="001F5A49">
        <w:rPr>
          <w:rFonts w:ascii="Times New Roman" w:hAnsi="Times New Roman"/>
          <w:sz w:val="20"/>
          <w:szCs w:val="20"/>
          <w:vertAlign w:val="superscript"/>
        </w:rPr>
        <w:t>–1</w:t>
      </w:r>
      <w:r w:rsidRPr="001F5A49">
        <w:rPr>
          <w:rFonts w:ascii="Times New Roman" w:hAnsi="Times New Roman"/>
          <w:sz w:val="20"/>
          <w:szCs w:val="20"/>
        </w:rPr>
        <w:t xml:space="preserve"> with R</w:t>
      </w:r>
      <w:r w:rsidRPr="001F5A49">
        <w:rPr>
          <w:rFonts w:ascii="Times New Roman" w:hAnsi="Times New Roman"/>
          <w:sz w:val="20"/>
          <w:szCs w:val="20"/>
          <w:vertAlign w:val="superscript"/>
        </w:rPr>
        <w:t>2</w:t>
      </w:r>
      <w:r w:rsidRPr="001F5A49">
        <w:rPr>
          <w:rFonts w:ascii="Times New Roman" w:hAnsi="Times New Roman"/>
          <w:sz w:val="20"/>
          <w:szCs w:val="20"/>
        </w:rPr>
        <w:t xml:space="preserve"> = 0.9981, exhibiting goodness of linearity. Non-fermented and lightly-fermented tea products exhibited higher TFCs than fermented ones, whereby TFCs followed the descending order of green (140.1-155.3 </w:t>
      </w:r>
      <w:r w:rsidRPr="001F5A49">
        <w:rPr>
          <w:rFonts w:ascii="Times New Roman" w:hAnsi="Times New Roman"/>
          <w:sz w:val="20"/>
          <w:szCs w:val="20"/>
          <w:lang w:val="pt-BR"/>
        </w:rPr>
        <w:t>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Pu’erh (108.5-141.8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white (95.3-99.0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black (60.8-89.7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oolong (85.2-96.2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xml:space="preserve">). </w:t>
      </w:r>
    </w:p>
    <w:p w14:paraId="1831E0ED" w14:textId="77777777" w:rsidR="00DF2719" w:rsidRDefault="00DF2719" w:rsidP="00DF2719">
      <w:pPr>
        <w:spacing w:after="0" w:line="240" w:lineRule="auto"/>
        <w:jc w:val="both"/>
        <w:rPr>
          <w:rFonts w:ascii="Times New Roman" w:hAnsi="Times New Roman"/>
          <w:sz w:val="20"/>
          <w:szCs w:val="20"/>
          <w:lang w:val="pt-BR"/>
        </w:rPr>
      </w:pPr>
    </w:p>
    <w:p w14:paraId="4C8E9E04" w14:textId="77777777" w:rsidR="00DF2719" w:rsidRPr="001F5A49" w:rsidRDefault="00DF2719" w:rsidP="00DF2719">
      <w:pPr>
        <w:spacing w:after="0" w:line="240" w:lineRule="auto"/>
        <w:jc w:val="both"/>
        <w:rPr>
          <w:rFonts w:ascii="Times New Roman" w:hAnsi="Times New Roman"/>
          <w:sz w:val="20"/>
          <w:szCs w:val="20"/>
        </w:rPr>
      </w:pPr>
      <w:r w:rsidRPr="001F5A49">
        <w:rPr>
          <w:rFonts w:ascii="Times New Roman" w:hAnsi="Times New Roman"/>
          <w:sz w:val="20"/>
          <w:szCs w:val="20"/>
          <w:lang w:val="pt-BR"/>
        </w:rPr>
        <w:t xml:space="preserve">The temperature and infusion time affected the TFCs in tea liquors. The highest TFCs in tea liquor were recorded at 90 °C within the infusion time of 40 minutes for most tea products. </w:t>
      </w:r>
      <w:r w:rsidRPr="001F5A49">
        <w:rPr>
          <w:rFonts w:ascii="Times New Roman" w:hAnsi="Times New Roman"/>
          <w:sz w:val="20"/>
          <w:szCs w:val="20"/>
        </w:rPr>
        <w:t>However, for a better assessment, more samples belonging to different tea types should be collected, and we could carry out further investigation for catechins, antioxidant capacities, and elemental analysis to discover the most favorable brewing condition for each tea type.</w:t>
      </w:r>
    </w:p>
    <w:p w14:paraId="1650E8F4" w14:textId="77777777" w:rsidR="00DF2719" w:rsidRPr="001F5A49" w:rsidRDefault="00DF2719" w:rsidP="00DF2719">
      <w:pPr>
        <w:spacing w:after="0" w:line="240" w:lineRule="auto"/>
        <w:jc w:val="both"/>
        <w:outlineLvl w:val="0"/>
        <w:rPr>
          <w:rFonts w:ascii="Times New Roman" w:hAnsi="Times New Roman"/>
          <w:sz w:val="20"/>
          <w:szCs w:val="18"/>
        </w:rPr>
      </w:pPr>
    </w:p>
    <w:p w14:paraId="3905A8E4" w14:textId="77777777" w:rsidR="00DF2719" w:rsidRPr="001F5A49" w:rsidRDefault="00DF2719" w:rsidP="00DF2719">
      <w:pPr>
        <w:spacing w:after="0" w:line="240" w:lineRule="auto"/>
        <w:jc w:val="center"/>
        <w:outlineLvl w:val="0"/>
        <w:rPr>
          <w:rFonts w:ascii="Times New Roman" w:hAnsi="Times New Roman"/>
          <w:b/>
          <w:sz w:val="20"/>
          <w:szCs w:val="18"/>
        </w:rPr>
      </w:pPr>
      <w:r w:rsidRPr="001F5A49">
        <w:rPr>
          <w:rFonts w:ascii="Times New Roman" w:hAnsi="Times New Roman"/>
          <w:b/>
          <w:sz w:val="20"/>
          <w:szCs w:val="18"/>
        </w:rPr>
        <w:t>Acknowledgment</w:t>
      </w:r>
    </w:p>
    <w:p w14:paraId="292CFAE9" w14:textId="77777777" w:rsidR="00DF2719" w:rsidRPr="001F5A49" w:rsidRDefault="00DF2719" w:rsidP="00DF2719">
      <w:pPr>
        <w:spacing w:after="0" w:line="240" w:lineRule="auto"/>
        <w:jc w:val="both"/>
        <w:outlineLvl w:val="0"/>
        <w:rPr>
          <w:rFonts w:ascii="Times New Roman" w:hAnsi="Times New Roman"/>
          <w:sz w:val="20"/>
          <w:szCs w:val="18"/>
        </w:rPr>
      </w:pPr>
      <w:r w:rsidRPr="001F5A49">
        <w:rPr>
          <w:rFonts w:ascii="Times New Roman" w:hAnsi="Times New Roman"/>
          <w:bCs/>
          <w:sz w:val="20"/>
          <w:szCs w:val="20"/>
        </w:rPr>
        <w:t>The authors would like to express our thanks and appreciation to Nguyen Tat Thanh University for the assistance and support during this study</w:t>
      </w:r>
      <w:r w:rsidRPr="001F5A49">
        <w:rPr>
          <w:rFonts w:ascii="Times New Roman" w:hAnsi="Times New Roman"/>
          <w:bCs/>
          <w:sz w:val="20"/>
          <w:szCs w:val="20"/>
          <w:lang w:val="x-none"/>
        </w:rPr>
        <w:t xml:space="preserve">. This research </w:t>
      </w:r>
      <w:r w:rsidRPr="001F5A49">
        <w:rPr>
          <w:rFonts w:ascii="Times New Roman" w:hAnsi="Times New Roman"/>
          <w:bCs/>
          <w:sz w:val="20"/>
          <w:szCs w:val="20"/>
          <w:lang w:val="x-none"/>
        </w:rPr>
        <w:t>is funded by Nguyen Tat Thanh University, Ho Chi Minh city, Vietnam, under grant number 2021.01.21/HĐ-KHCN</w:t>
      </w:r>
      <w:r w:rsidRPr="001F5A49">
        <w:rPr>
          <w:rFonts w:ascii="Times New Roman" w:hAnsi="Times New Roman"/>
          <w:sz w:val="20"/>
          <w:szCs w:val="20"/>
          <w:lang w:val="nb-NO"/>
        </w:rPr>
        <w:t>.</w:t>
      </w:r>
    </w:p>
    <w:p w14:paraId="7B226784" w14:textId="77777777" w:rsidR="00DF2719" w:rsidRDefault="00DF2719" w:rsidP="00DF2719">
      <w:pPr>
        <w:spacing w:after="0"/>
        <w:rPr>
          <w:rFonts w:ascii="Times New Roman" w:hAnsi="Times New Roman"/>
          <w:noProof/>
          <w:sz w:val="20"/>
          <w:szCs w:val="20"/>
          <w:lang w:bidi="ar-SA"/>
        </w:rPr>
      </w:pPr>
    </w:p>
    <w:p w14:paraId="5B3C53AB" w14:textId="5E7CD662" w:rsidR="00DF2719" w:rsidRPr="00DF2719" w:rsidRDefault="00DF2719" w:rsidP="00DF271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6D753D99"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Yan, Z., Zhong, Y., Duan, Y., Chen, Q. and Li, F. (2020). Antioxidant mechanism of tea polyphenols and its impact on health benefits. </w:t>
      </w:r>
      <w:r w:rsidRPr="00B95B49">
        <w:rPr>
          <w:rFonts w:ascii="Times New Roman" w:hAnsi="Times New Roman"/>
          <w:i/>
          <w:sz w:val="20"/>
          <w:szCs w:val="20"/>
        </w:rPr>
        <w:t>Animal Nutrition</w:t>
      </w:r>
      <w:r w:rsidRPr="00B95B49">
        <w:rPr>
          <w:rFonts w:ascii="Times New Roman" w:hAnsi="Times New Roman"/>
          <w:sz w:val="20"/>
          <w:szCs w:val="20"/>
        </w:rPr>
        <w:t>, 6(2): 115</w:t>
      </w:r>
      <w:r>
        <w:rPr>
          <w:rFonts w:ascii="Times New Roman" w:hAnsi="Times New Roman"/>
          <w:sz w:val="20"/>
          <w:szCs w:val="20"/>
        </w:rPr>
        <w:t>-</w:t>
      </w:r>
      <w:r w:rsidRPr="00B95B49">
        <w:rPr>
          <w:rFonts w:ascii="Times New Roman" w:hAnsi="Times New Roman"/>
          <w:sz w:val="20"/>
          <w:szCs w:val="20"/>
        </w:rPr>
        <w:t xml:space="preserve">123. </w:t>
      </w:r>
    </w:p>
    <w:p w14:paraId="45C8F5E4"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Zhang, L., Li, N., Ma, Z.-Z. and Tu, P.-F. (2011). Comparison of the chemical constituents of aged pu-erh tea, ripened pu-erh tea, and other teas using HPLC-DAD-ESI-MS. </w:t>
      </w:r>
      <w:r w:rsidRPr="00B95B49">
        <w:rPr>
          <w:rFonts w:ascii="Times New Roman" w:hAnsi="Times New Roman"/>
          <w:i/>
          <w:sz w:val="20"/>
          <w:szCs w:val="20"/>
        </w:rPr>
        <w:t>Journal of Agricultural and Food Chemistry</w:t>
      </w:r>
      <w:r w:rsidRPr="00B95B49">
        <w:rPr>
          <w:rFonts w:ascii="Times New Roman" w:hAnsi="Times New Roman"/>
          <w:sz w:val="20"/>
          <w:szCs w:val="20"/>
        </w:rPr>
        <w:t>, 59 (16): 8754</w:t>
      </w:r>
      <w:r>
        <w:rPr>
          <w:rFonts w:ascii="Times New Roman" w:hAnsi="Times New Roman"/>
          <w:sz w:val="20"/>
          <w:szCs w:val="20"/>
        </w:rPr>
        <w:t>-</w:t>
      </w:r>
      <w:r w:rsidRPr="00B95B49">
        <w:rPr>
          <w:rFonts w:ascii="Times New Roman" w:hAnsi="Times New Roman"/>
          <w:sz w:val="20"/>
          <w:szCs w:val="20"/>
        </w:rPr>
        <w:t xml:space="preserve">8760. </w:t>
      </w:r>
    </w:p>
    <w:p w14:paraId="498E0777"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Kosińska, A. and Andlauer, W. (2014). Antioxidant capacity of tea: Effect of processing and storage. </w:t>
      </w:r>
      <w:r w:rsidRPr="00B95B49">
        <w:rPr>
          <w:rFonts w:ascii="Times New Roman" w:hAnsi="Times New Roman"/>
          <w:i/>
          <w:sz w:val="20"/>
          <w:szCs w:val="20"/>
        </w:rPr>
        <w:t>Processing and impact on antioxidants in beverages</w:t>
      </w:r>
      <w:r>
        <w:rPr>
          <w:rFonts w:ascii="Times New Roman" w:hAnsi="Times New Roman"/>
          <w:sz w:val="20"/>
          <w:szCs w:val="20"/>
        </w:rPr>
        <w:t xml:space="preserve">. Elsevier: pp. </w:t>
      </w:r>
      <w:r w:rsidRPr="00B95B49">
        <w:rPr>
          <w:rFonts w:ascii="Times New Roman" w:hAnsi="Times New Roman"/>
          <w:sz w:val="20"/>
          <w:szCs w:val="20"/>
        </w:rPr>
        <w:t>109-120</w:t>
      </w:r>
      <w:r>
        <w:rPr>
          <w:rFonts w:ascii="Times New Roman" w:hAnsi="Times New Roman"/>
          <w:sz w:val="20"/>
          <w:szCs w:val="20"/>
        </w:rPr>
        <w:t>.</w:t>
      </w:r>
    </w:p>
    <w:p w14:paraId="68C13FB0"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Ahmed, S., Unachukwu, U., Stepp, J. R., Peters, C. M., Long, C. and Kennelly, E. (2010). Pu-erh tea tasting in Yunnan, China: correlation of drinkers' perceptions to phytochemistry. </w:t>
      </w:r>
      <w:r w:rsidRPr="00B95B49">
        <w:rPr>
          <w:rFonts w:ascii="Times New Roman" w:hAnsi="Times New Roman"/>
          <w:i/>
          <w:sz w:val="20"/>
          <w:szCs w:val="20"/>
        </w:rPr>
        <w:t>Journal of Ethnopharmacology</w:t>
      </w:r>
      <w:r w:rsidRPr="00B95B49">
        <w:rPr>
          <w:rFonts w:ascii="Times New Roman" w:hAnsi="Times New Roman"/>
          <w:sz w:val="20"/>
          <w:szCs w:val="20"/>
        </w:rPr>
        <w:t>, 132 (1): 176</w:t>
      </w:r>
      <w:r>
        <w:rPr>
          <w:rFonts w:ascii="Times New Roman" w:hAnsi="Times New Roman"/>
          <w:sz w:val="20"/>
          <w:szCs w:val="20"/>
        </w:rPr>
        <w:t>-</w:t>
      </w:r>
      <w:r w:rsidRPr="00B95B49">
        <w:rPr>
          <w:rFonts w:ascii="Times New Roman" w:hAnsi="Times New Roman"/>
          <w:sz w:val="20"/>
          <w:szCs w:val="20"/>
        </w:rPr>
        <w:t xml:space="preserve">185. </w:t>
      </w:r>
    </w:p>
    <w:p w14:paraId="58B52C83" w14:textId="777E24B4"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Chen, S., Li, M., Zheng, G., Wang, T., Lin, J., Wang, S., Wang, X., Chao, Q., Cao, S. and Yang, Z. (2018). Metabolite profiling of 14 Wuyi Rock tea cultivars using UPLC-QTOF MS and UPLC-QqQ MS combined with chemometrics. </w:t>
      </w:r>
      <w:r w:rsidRPr="00B95B49">
        <w:rPr>
          <w:rFonts w:ascii="Times New Roman" w:hAnsi="Times New Roman"/>
          <w:i/>
          <w:sz w:val="20"/>
          <w:szCs w:val="20"/>
        </w:rPr>
        <w:t>Molecules</w:t>
      </w:r>
      <w:r w:rsidRPr="00B95B49">
        <w:rPr>
          <w:rFonts w:ascii="Times New Roman" w:hAnsi="Times New Roman"/>
          <w:sz w:val="20"/>
          <w:szCs w:val="20"/>
        </w:rPr>
        <w:t xml:space="preserve">, 23(2): 104. </w:t>
      </w:r>
    </w:p>
    <w:p w14:paraId="3D530281" w14:textId="77777777" w:rsidR="00DF2719" w:rsidRPr="00DF2719" w:rsidRDefault="00DF2719" w:rsidP="00DF2719">
      <w:pPr>
        <w:spacing w:after="0" w:line="240" w:lineRule="auto"/>
        <w:jc w:val="both"/>
        <w:rPr>
          <w:rFonts w:ascii="Times New Roman" w:hAnsi="Times New Roman"/>
          <w:sz w:val="20"/>
          <w:szCs w:val="20"/>
        </w:rPr>
      </w:pPr>
    </w:p>
    <w:p w14:paraId="397974CF"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lastRenderedPageBreak/>
        <w:t xml:space="preserve">Kodama, D. H., Gonçalves, A. E. d. S. S., Lajolo, F. M. and Genovese, M. I. (2010). Flavonoids, total phenolics and antioxidant capacity: comparison between commercial green tea preparations. </w:t>
      </w:r>
      <w:r w:rsidRPr="00B95B49">
        <w:rPr>
          <w:rFonts w:ascii="Times New Roman" w:hAnsi="Times New Roman"/>
          <w:i/>
          <w:sz w:val="20"/>
          <w:szCs w:val="20"/>
        </w:rPr>
        <w:t>Food Science and Technology</w:t>
      </w:r>
      <w:r w:rsidRPr="00B95B49">
        <w:rPr>
          <w:rFonts w:ascii="Times New Roman" w:hAnsi="Times New Roman"/>
          <w:sz w:val="20"/>
          <w:szCs w:val="20"/>
        </w:rPr>
        <w:t xml:space="preserve">, 30: 1077 – 1082. </w:t>
      </w:r>
    </w:p>
    <w:p w14:paraId="0382ED2A"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Tao, W., Zhou, Z., Zhao, B. and Wei, T. (2016). Simultaneous determination of eight catechins and four theaflavins in green, black and oolong tea using new HPLC–MS–MS method. </w:t>
      </w:r>
      <w:r w:rsidRPr="00B95B49">
        <w:rPr>
          <w:rFonts w:ascii="Times New Roman" w:hAnsi="Times New Roman"/>
          <w:i/>
          <w:sz w:val="20"/>
          <w:szCs w:val="20"/>
        </w:rPr>
        <w:t>Journal of Pharmaceutical and Biomedical Analysis</w:t>
      </w:r>
      <w:r w:rsidRPr="00B95B49">
        <w:rPr>
          <w:rFonts w:ascii="Times New Roman" w:hAnsi="Times New Roman"/>
          <w:sz w:val="20"/>
          <w:szCs w:val="20"/>
        </w:rPr>
        <w:t>, 131: 140</w:t>
      </w:r>
      <w:r>
        <w:rPr>
          <w:rFonts w:ascii="Times New Roman" w:hAnsi="Times New Roman"/>
          <w:sz w:val="20"/>
          <w:szCs w:val="20"/>
        </w:rPr>
        <w:t>-</w:t>
      </w:r>
      <w:r w:rsidRPr="00B95B49">
        <w:rPr>
          <w:rFonts w:ascii="Times New Roman" w:hAnsi="Times New Roman"/>
          <w:sz w:val="20"/>
          <w:szCs w:val="20"/>
        </w:rPr>
        <w:t xml:space="preserve">145. </w:t>
      </w:r>
    </w:p>
    <w:p w14:paraId="50D10E11"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Higdon, J. V. and Frei, B. (2003). Tea catechins and polyphenols: health effects, metabolism, and antioxidant functions. </w:t>
      </w:r>
      <w:r w:rsidRPr="00B95B49">
        <w:rPr>
          <w:rFonts w:ascii="Times New Roman" w:hAnsi="Times New Roman"/>
          <w:i/>
          <w:sz w:val="20"/>
          <w:szCs w:val="20"/>
        </w:rPr>
        <w:t>Critical Reviews in Food Science and Nutrition</w:t>
      </w:r>
      <w:r w:rsidRPr="00B95B49">
        <w:rPr>
          <w:rFonts w:ascii="Times New Roman" w:hAnsi="Times New Roman"/>
          <w:sz w:val="20"/>
          <w:szCs w:val="20"/>
        </w:rPr>
        <w:t>, 43(1): 89</w:t>
      </w:r>
      <w:r>
        <w:rPr>
          <w:rFonts w:ascii="Times New Roman" w:hAnsi="Times New Roman"/>
          <w:sz w:val="20"/>
          <w:szCs w:val="20"/>
        </w:rPr>
        <w:t>-</w:t>
      </w:r>
      <w:r w:rsidRPr="00B95B49">
        <w:rPr>
          <w:rFonts w:ascii="Times New Roman" w:hAnsi="Times New Roman"/>
          <w:sz w:val="20"/>
          <w:szCs w:val="20"/>
        </w:rPr>
        <w:t xml:space="preserve">143. </w:t>
      </w:r>
    </w:p>
    <w:p w14:paraId="7F1589A6"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Yokozawa, T., Dong, E., Nakagawa, T., Kashiwagi, H., Nakagawa, H., Takeuchi, S. and Chung, H. Y. (1998). In </w:t>
      </w:r>
      <w:r w:rsidRPr="00B95B49">
        <w:rPr>
          <w:rFonts w:ascii="Times New Roman" w:hAnsi="Times New Roman"/>
          <w:i/>
          <w:sz w:val="20"/>
          <w:szCs w:val="20"/>
        </w:rPr>
        <w:t>vitro</w:t>
      </w:r>
      <w:r w:rsidRPr="00B95B49">
        <w:rPr>
          <w:rFonts w:ascii="Times New Roman" w:hAnsi="Times New Roman"/>
          <w:sz w:val="20"/>
          <w:szCs w:val="20"/>
        </w:rPr>
        <w:t xml:space="preserve"> and in </w:t>
      </w:r>
      <w:r w:rsidRPr="00B95B49">
        <w:rPr>
          <w:rFonts w:ascii="Times New Roman" w:hAnsi="Times New Roman"/>
          <w:i/>
          <w:sz w:val="20"/>
          <w:szCs w:val="20"/>
        </w:rPr>
        <w:t>vivo</w:t>
      </w:r>
      <w:r w:rsidRPr="00B95B49">
        <w:rPr>
          <w:rFonts w:ascii="Times New Roman" w:hAnsi="Times New Roman"/>
          <w:sz w:val="20"/>
          <w:szCs w:val="20"/>
        </w:rPr>
        <w:t xml:space="preserve"> studies on the radical-scavenging activity of tea. </w:t>
      </w:r>
      <w:r w:rsidRPr="00B95B49">
        <w:rPr>
          <w:rFonts w:ascii="Times New Roman" w:hAnsi="Times New Roman"/>
          <w:i/>
          <w:sz w:val="20"/>
          <w:szCs w:val="20"/>
        </w:rPr>
        <w:t>Journal of Agricultural and Food Chemistry</w:t>
      </w:r>
      <w:r w:rsidRPr="00B95B49">
        <w:rPr>
          <w:rFonts w:ascii="Times New Roman" w:hAnsi="Times New Roman"/>
          <w:sz w:val="20"/>
          <w:szCs w:val="20"/>
        </w:rPr>
        <w:t>, 46(6): 2143</w:t>
      </w:r>
      <w:r>
        <w:rPr>
          <w:rFonts w:ascii="Times New Roman" w:hAnsi="Times New Roman"/>
          <w:sz w:val="20"/>
          <w:szCs w:val="20"/>
        </w:rPr>
        <w:t>-</w:t>
      </w:r>
      <w:r w:rsidRPr="00B95B49">
        <w:rPr>
          <w:rFonts w:ascii="Times New Roman" w:hAnsi="Times New Roman"/>
          <w:sz w:val="20"/>
          <w:szCs w:val="20"/>
        </w:rPr>
        <w:t xml:space="preserve"> 2150. </w:t>
      </w:r>
    </w:p>
    <w:p w14:paraId="784E9F96"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Ahmad, N., Cheng, P. and Mukhtar, H. (2000). Cell cycle dysregulation by green tea polyphenol epigallocatechin-3-gallate. </w:t>
      </w:r>
      <w:r w:rsidRPr="00B95B49">
        <w:rPr>
          <w:rFonts w:ascii="Times New Roman" w:hAnsi="Times New Roman"/>
          <w:i/>
          <w:sz w:val="20"/>
          <w:szCs w:val="20"/>
        </w:rPr>
        <w:t>Biochemical and Biophysical Research Communications</w:t>
      </w:r>
      <w:r w:rsidRPr="00B95B49">
        <w:rPr>
          <w:rFonts w:ascii="Times New Roman" w:hAnsi="Times New Roman"/>
          <w:sz w:val="20"/>
          <w:szCs w:val="20"/>
        </w:rPr>
        <w:t>, 275(2): 328</w:t>
      </w:r>
      <w:r>
        <w:rPr>
          <w:rFonts w:ascii="Times New Roman" w:hAnsi="Times New Roman"/>
          <w:sz w:val="20"/>
          <w:szCs w:val="20"/>
        </w:rPr>
        <w:t>-</w:t>
      </w:r>
      <w:r w:rsidRPr="00B95B49">
        <w:rPr>
          <w:rFonts w:ascii="Times New Roman" w:hAnsi="Times New Roman"/>
          <w:sz w:val="20"/>
          <w:szCs w:val="20"/>
        </w:rPr>
        <w:t xml:space="preserve">334. </w:t>
      </w:r>
    </w:p>
    <w:p w14:paraId="7B4D281D"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B95B49">
        <w:rPr>
          <w:rFonts w:ascii="Times New Roman" w:hAnsi="Times New Roman"/>
          <w:sz w:val="20"/>
          <w:szCs w:val="20"/>
        </w:rPr>
        <w:t xml:space="preserve">Kundu, J. K., Na, H.-K., Chun, K.-S., Kim, Y.-K., Lee, S. J., Lee, S. S., Lee, O. -S., Sim, Y.-C. and Surh, Y.-J. (2003). Inhibition of phorbol ester–induced COX-2 expression by epigallocatechin gallate in mouse skin and cultured human mammary epithelial cells. </w:t>
      </w:r>
      <w:r w:rsidRPr="00B95B49">
        <w:rPr>
          <w:rFonts w:ascii="Times New Roman" w:hAnsi="Times New Roman"/>
          <w:i/>
          <w:sz w:val="20"/>
          <w:szCs w:val="20"/>
        </w:rPr>
        <w:t>The Journal of nutrition</w:t>
      </w:r>
      <w:r w:rsidRPr="00B95B49">
        <w:rPr>
          <w:rFonts w:ascii="Times New Roman" w:hAnsi="Times New Roman"/>
          <w:sz w:val="20"/>
          <w:szCs w:val="20"/>
        </w:rPr>
        <w:t>, 133 (11): 3805S</w:t>
      </w:r>
      <w:r>
        <w:rPr>
          <w:rFonts w:ascii="Times New Roman" w:hAnsi="Times New Roman"/>
          <w:sz w:val="20"/>
          <w:szCs w:val="20"/>
        </w:rPr>
        <w:t>-</w:t>
      </w:r>
      <w:r w:rsidRPr="00B95B49">
        <w:rPr>
          <w:rFonts w:ascii="Times New Roman" w:hAnsi="Times New Roman"/>
          <w:sz w:val="20"/>
          <w:szCs w:val="20"/>
        </w:rPr>
        <w:t xml:space="preserve">3810S. </w:t>
      </w:r>
    </w:p>
    <w:p w14:paraId="5A08CCA8"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Pękal, A. and Pyrzynska, K. (2014). Evaluation of aluminium complexation reaction for flavonoid content assay. </w:t>
      </w:r>
      <w:r w:rsidRPr="00775B07">
        <w:rPr>
          <w:rFonts w:ascii="Times New Roman" w:hAnsi="Times New Roman"/>
          <w:i/>
          <w:sz w:val="20"/>
          <w:szCs w:val="20"/>
        </w:rPr>
        <w:t>Food Analytical Methods</w:t>
      </w:r>
      <w:r w:rsidRPr="00775B07">
        <w:rPr>
          <w:rFonts w:ascii="Times New Roman" w:hAnsi="Times New Roman"/>
          <w:sz w:val="20"/>
          <w:szCs w:val="20"/>
        </w:rPr>
        <w:t>, 7(9): 1776</w:t>
      </w:r>
      <w:r>
        <w:rPr>
          <w:rFonts w:ascii="Times New Roman" w:hAnsi="Times New Roman"/>
          <w:sz w:val="20"/>
          <w:szCs w:val="20"/>
        </w:rPr>
        <w:t>-</w:t>
      </w:r>
      <w:r w:rsidRPr="00775B07">
        <w:rPr>
          <w:rFonts w:ascii="Times New Roman" w:hAnsi="Times New Roman"/>
          <w:sz w:val="20"/>
          <w:szCs w:val="20"/>
        </w:rPr>
        <w:t xml:space="preserve">1782. </w:t>
      </w:r>
    </w:p>
    <w:p w14:paraId="1EA02712"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Izzreen, N. Q. and Mohd Fadzelly, A. (2013). Phytochemicals and antioxidant properties of different parts of </w:t>
      </w:r>
      <w:r w:rsidRPr="00775B07">
        <w:rPr>
          <w:rFonts w:ascii="Times New Roman" w:hAnsi="Times New Roman"/>
          <w:i/>
          <w:iCs/>
          <w:sz w:val="20"/>
          <w:szCs w:val="20"/>
        </w:rPr>
        <w:t xml:space="preserve">Camellia sinensis </w:t>
      </w:r>
      <w:r w:rsidRPr="00775B07">
        <w:rPr>
          <w:rFonts w:ascii="Times New Roman" w:hAnsi="Times New Roman"/>
          <w:sz w:val="20"/>
          <w:szCs w:val="20"/>
        </w:rPr>
        <w:t xml:space="preserve">leaves from Sabah Tea Plantation in Sabah, Malaysia. </w:t>
      </w:r>
      <w:r w:rsidRPr="00775B07">
        <w:rPr>
          <w:rFonts w:ascii="Times New Roman" w:hAnsi="Times New Roman"/>
          <w:i/>
          <w:sz w:val="20"/>
          <w:szCs w:val="20"/>
        </w:rPr>
        <w:t>International Food Research Journal</w:t>
      </w:r>
      <w:r w:rsidRPr="00775B07">
        <w:rPr>
          <w:rFonts w:ascii="Times New Roman" w:hAnsi="Times New Roman"/>
          <w:sz w:val="20"/>
          <w:szCs w:val="20"/>
        </w:rPr>
        <w:t>, 20(1): 307</w:t>
      </w:r>
      <w:r>
        <w:rPr>
          <w:rFonts w:ascii="Times New Roman" w:hAnsi="Times New Roman"/>
          <w:sz w:val="20"/>
          <w:szCs w:val="20"/>
        </w:rPr>
        <w:t>-</w:t>
      </w:r>
      <w:r w:rsidRPr="00775B07">
        <w:rPr>
          <w:rFonts w:ascii="Times New Roman" w:hAnsi="Times New Roman"/>
          <w:sz w:val="20"/>
          <w:szCs w:val="20"/>
        </w:rPr>
        <w:t xml:space="preserve">312. </w:t>
      </w:r>
    </w:p>
    <w:p w14:paraId="01078F72"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Bansal, S., Syan, N., Mathur, P. and Choudhary, S. (2012). Pharmacological profile of green tea and its polyphenols: A review. </w:t>
      </w:r>
      <w:r w:rsidRPr="00775B07">
        <w:rPr>
          <w:rFonts w:ascii="Times New Roman" w:hAnsi="Times New Roman"/>
          <w:i/>
          <w:sz w:val="20"/>
          <w:szCs w:val="20"/>
        </w:rPr>
        <w:t>Medicinal Chemistry Research</w:t>
      </w:r>
      <w:r w:rsidRPr="00775B07">
        <w:rPr>
          <w:rFonts w:ascii="Times New Roman" w:hAnsi="Times New Roman"/>
          <w:sz w:val="20"/>
          <w:szCs w:val="20"/>
        </w:rPr>
        <w:t>, 21(11): 3347</w:t>
      </w:r>
      <w:r>
        <w:rPr>
          <w:rFonts w:ascii="Times New Roman" w:hAnsi="Times New Roman"/>
          <w:sz w:val="20"/>
          <w:szCs w:val="20"/>
        </w:rPr>
        <w:t>-</w:t>
      </w:r>
      <w:r w:rsidRPr="00775B07">
        <w:rPr>
          <w:rFonts w:ascii="Times New Roman" w:hAnsi="Times New Roman"/>
          <w:sz w:val="20"/>
          <w:szCs w:val="20"/>
        </w:rPr>
        <w:t xml:space="preserve">3360. </w:t>
      </w:r>
    </w:p>
    <w:p w14:paraId="1A16BAD8"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Putri, T. (2015). In </w:t>
      </w:r>
      <w:r w:rsidRPr="00775B07">
        <w:rPr>
          <w:rFonts w:ascii="Times New Roman" w:hAnsi="Times New Roman"/>
          <w:i/>
          <w:sz w:val="20"/>
          <w:szCs w:val="20"/>
        </w:rPr>
        <w:t>vitro</w:t>
      </w:r>
      <w:r w:rsidRPr="00775B07">
        <w:rPr>
          <w:rFonts w:ascii="Times New Roman" w:hAnsi="Times New Roman"/>
          <w:sz w:val="20"/>
          <w:szCs w:val="20"/>
        </w:rPr>
        <w:t xml:space="preserve"> anti-gout activity and phenolic content of "black tea" soursop (</w:t>
      </w:r>
      <w:r w:rsidRPr="00775B07">
        <w:rPr>
          <w:rFonts w:ascii="Times New Roman" w:hAnsi="Times New Roman"/>
          <w:i/>
          <w:sz w:val="20"/>
          <w:szCs w:val="20"/>
        </w:rPr>
        <w:t>Annona muricata</w:t>
      </w:r>
      <w:r w:rsidRPr="00775B07">
        <w:rPr>
          <w:rFonts w:ascii="Times New Roman" w:hAnsi="Times New Roman"/>
          <w:sz w:val="20"/>
          <w:szCs w:val="20"/>
        </w:rPr>
        <w:t xml:space="preserve"> L.) leaves brew. </w:t>
      </w:r>
      <w:r w:rsidRPr="00775B07">
        <w:rPr>
          <w:rFonts w:ascii="Times New Roman" w:hAnsi="Times New Roman"/>
          <w:i/>
          <w:sz w:val="20"/>
          <w:szCs w:val="20"/>
        </w:rPr>
        <w:t xml:space="preserve">Journal of Chemical </w:t>
      </w:r>
      <w:r>
        <w:rPr>
          <w:rFonts w:ascii="Times New Roman" w:hAnsi="Times New Roman"/>
          <w:i/>
          <w:sz w:val="20"/>
          <w:szCs w:val="20"/>
        </w:rPr>
        <w:t>a</w:t>
      </w:r>
      <w:r w:rsidRPr="00775B07">
        <w:rPr>
          <w:rFonts w:ascii="Times New Roman" w:hAnsi="Times New Roman"/>
          <w:i/>
          <w:sz w:val="20"/>
          <w:szCs w:val="20"/>
        </w:rPr>
        <w:t>nd Pharmaceutical Research</w:t>
      </w:r>
      <w:r w:rsidRPr="00775B07">
        <w:rPr>
          <w:rFonts w:ascii="Times New Roman" w:hAnsi="Times New Roman"/>
          <w:sz w:val="20"/>
          <w:szCs w:val="20"/>
        </w:rPr>
        <w:t>, 7(11): 735</w:t>
      </w:r>
      <w:r>
        <w:rPr>
          <w:rFonts w:ascii="Times New Roman" w:hAnsi="Times New Roman"/>
          <w:sz w:val="20"/>
          <w:szCs w:val="20"/>
        </w:rPr>
        <w:t>-</w:t>
      </w:r>
      <w:r w:rsidRPr="00775B07">
        <w:rPr>
          <w:rFonts w:ascii="Times New Roman" w:hAnsi="Times New Roman"/>
          <w:sz w:val="20"/>
          <w:szCs w:val="20"/>
        </w:rPr>
        <w:t xml:space="preserve">743. </w:t>
      </w:r>
    </w:p>
    <w:p w14:paraId="750AAD4F"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Kılıç, C., Can, Z., Yılmaz, A., Yıldız, S. and Turna, H. (2017). Antioxidant properties of some herbal teas (green tea, senna, corn silk, rosemary) brewed at different temperatures. </w:t>
      </w:r>
      <w:r w:rsidRPr="00775B07">
        <w:rPr>
          <w:rFonts w:ascii="Times New Roman" w:hAnsi="Times New Roman"/>
          <w:i/>
          <w:sz w:val="20"/>
          <w:szCs w:val="20"/>
        </w:rPr>
        <w:t>International Journal of Secondary Metabolite</w:t>
      </w:r>
      <w:r w:rsidRPr="00775B07">
        <w:rPr>
          <w:rFonts w:ascii="Times New Roman" w:hAnsi="Times New Roman"/>
          <w:sz w:val="20"/>
          <w:szCs w:val="20"/>
        </w:rPr>
        <w:t>, 4(3): 142</w:t>
      </w:r>
      <w:r>
        <w:rPr>
          <w:rFonts w:ascii="Times New Roman" w:hAnsi="Times New Roman"/>
          <w:sz w:val="20"/>
          <w:szCs w:val="20"/>
        </w:rPr>
        <w:t>-</w:t>
      </w:r>
      <w:r w:rsidRPr="00775B07">
        <w:rPr>
          <w:rFonts w:ascii="Times New Roman" w:hAnsi="Times New Roman"/>
          <w:sz w:val="20"/>
          <w:szCs w:val="20"/>
        </w:rPr>
        <w:t xml:space="preserve">148. </w:t>
      </w:r>
    </w:p>
    <w:p w14:paraId="35A7A7EC"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ISO 1572 (1980). Tea-Preparation of ground sample of known dry matter content. </w:t>
      </w:r>
    </w:p>
    <w:p w14:paraId="7BE1E079"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ISO 14502-1 (2005). Determination of substances characteristic of green and black tea-Part 1: Content of total polyphenols in tea-Colorimetric method using Folin-Ciocalteu reagent. </w:t>
      </w:r>
    </w:p>
    <w:p w14:paraId="236D76B3"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Kim, D.-O., Jeong, S. W. and Lee, C. Y. (2003). Antioxidant capacity of phenolic phytochemicals from various cultivars of plums. </w:t>
      </w:r>
      <w:r w:rsidRPr="00775B07">
        <w:rPr>
          <w:rFonts w:ascii="Times New Roman" w:hAnsi="Times New Roman"/>
          <w:i/>
          <w:sz w:val="20"/>
          <w:szCs w:val="20"/>
        </w:rPr>
        <w:t>Food Chem</w:t>
      </w:r>
      <w:r w:rsidRPr="00775B07">
        <w:rPr>
          <w:rFonts w:ascii="Times New Roman" w:hAnsi="Times New Roman"/>
          <w:sz w:val="20"/>
          <w:szCs w:val="20"/>
        </w:rPr>
        <w:t>istry, 81(3)</w:t>
      </w:r>
      <w:r>
        <w:rPr>
          <w:rFonts w:ascii="Times New Roman" w:hAnsi="Times New Roman"/>
          <w:sz w:val="20"/>
          <w:szCs w:val="20"/>
        </w:rPr>
        <w:t>:</w:t>
      </w:r>
      <w:r w:rsidRPr="00775B07">
        <w:rPr>
          <w:rFonts w:ascii="Times New Roman" w:hAnsi="Times New Roman"/>
          <w:sz w:val="20"/>
          <w:szCs w:val="20"/>
        </w:rPr>
        <w:t xml:space="preserve"> 321</w:t>
      </w:r>
      <w:r>
        <w:rPr>
          <w:rFonts w:ascii="Times New Roman" w:hAnsi="Times New Roman"/>
          <w:sz w:val="20"/>
          <w:szCs w:val="20"/>
        </w:rPr>
        <w:t>-</w:t>
      </w:r>
      <w:r w:rsidRPr="00775B07">
        <w:rPr>
          <w:rFonts w:ascii="Times New Roman" w:hAnsi="Times New Roman"/>
          <w:sz w:val="20"/>
          <w:szCs w:val="20"/>
        </w:rPr>
        <w:t xml:space="preserve">326. </w:t>
      </w:r>
    </w:p>
    <w:p w14:paraId="396F6481"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Appendix F. AOAC (2016). Guidelines for Standard Method Performance Requirements.  </w:t>
      </w:r>
    </w:p>
    <w:p w14:paraId="016F7A8A"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Konieczka, P. and Namiesnik, J. (2016). Quality assurance and quality control in the analytical chemical laboratory: A practical approach, CRC Press.</w:t>
      </w:r>
    </w:p>
    <w:p w14:paraId="2CBCB329"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Shannon, E., Jaiswal, A. K. and Abu-Ghannam, N. (2018). Polyphenolic content and antioxidant capacity of white, green, black, and herbal teas: a kinetic study. </w:t>
      </w:r>
      <w:r w:rsidRPr="00775B07">
        <w:rPr>
          <w:rFonts w:ascii="Times New Roman" w:hAnsi="Times New Roman"/>
          <w:i/>
          <w:sz w:val="20"/>
          <w:szCs w:val="20"/>
        </w:rPr>
        <w:t>Food Research</w:t>
      </w:r>
      <w:r w:rsidRPr="00775B07">
        <w:rPr>
          <w:rFonts w:ascii="Times New Roman" w:hAnsi="Times New Roman"/>
          <w:sz w:val="20"/>
          <w:szCs w:val="20"/>
        </w:rPr>
        <w:t>, 2(1): 1</w:t>
      </w:r>
      <w:r>
        <w:rPr>
          <w:rFonts w:ascii="Times New Roman" w:hAnsi="Times New Roman"/>
          <w:sz w:val="20"/>
          <w:szCs w:val="20"/>
        </w:rPr>
        <w:t>-</w:t>
      </w:r>
      <w:r w:rsidRPr="00775B07">
        <w:rPr>
          <w:rFonts w:ascii="Times New Roman" w:hAnsi="Times New Roman"/>
          <w:sz w:val="20"/>
          <w:szCs w:val="20"/>
        </w:rPr>
        <w:t xml:space="preserve">11. </w:t>
      </w:r>
    </w:p>
    <w:p w14:paraId="5E31FA1F"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Akbay, P., Basaran, A. A., Undeger, U. and Basaran, N. (2003). In </w:t>
      </w:r>
      <w:r w:rsidRPr="00775B07">
        <w:rPr>
          <w:rFonts w:ascii="Times New Roman" w:hAnsi="Times New Roman"/>
          <w:i/>
          <w:sz w:val="20"/>
          <w:szCs w:val="20"/>
        </w:rPr>
        <w:t>vitro</w:t>
      </w:r>
      <w:r w:rsidRPr="00775B07">
        <w:rPr>
          <w:rFonts w:ascii="Times New Roman" w:hAnsi="Times New Roman"/>
          <w:sz w:val="20"/>
          <w:szCs w:val="20"/>
        </w:rPr>
        <w:t xml:space="preserve"> immunomodulatory activity of flavonoid glycosides from </w:t>
      </w:r>
      <w:r w:rsidRPr="00775B07">
        <w:rPr>
          <w:rFonts w:ascii="Times New Roman" w:hAnsi="Times New Roman"/>
          <w:i/>
          <w:sz w:val="20"/>
          <w:szCs w:val="20"/>
        </w:rPr>
        <w:t>Urtica dioica</w:t>
      </w:r>
      <w:r w:rsidRPr="00775B07">
        <w:rPr>
          <w:rFonts w:ascii="Times New Roman" w:hAnsi="Times New Roman"/>
          <w:sz w:val="20"/>
          <w:szCs w:val="20"/>
        </w:rPr>
        <w:t xml:space="preserve"> L. </w:t>
      </w:r>
      <w:r w:rsidRPr="00775B07">
        <w:rPr>
          <w:rFonts w:ascii="Times New Roman" w:hAnsi="Times New Roman"/>
          <w:i/>
          <w:sz w:val="20"/>
          <w:szCs w:val="20"/>
        </w:rPr>
        <w:t>Phytotherapy Research: An International Journal Devoted to Pharmacological and Toxicological Evaluation of Natural Product Derivatives</w:t>
      </w:r>
      <w:r w:rsidRPr="00775B07">
        <w:rPr>
          <w:rFonts w:ascii="Times New Roman" w:hAnsi="Times New Roman"/>
          <w:sz w:val="20"/>
          <w:szCs w:val="20"/>
        </w:rPr>
        <w:t>, 17(1): 34</w:t>
      </w:r>
      <w:r>
        <w:rPr>
          <w:rFonts w:ascii="Times New Roman" w:hAnsi="Times New Roman"/>
          <w:sz w:val="20"/>
          <w:szCs w:val="20"/>
        </w:rPr>
        <w:t>-</w:t>
      </w:r>
      <w:r w:rsidRPr="00775B07">
        <w:rPr>
          <w:rFonts w:ascii="Times New Roman" w:hAnsi="Times New Roman"/>
          <w:sz w:val="20"/>
          <w:szCs w:val="20"/>
        </w:rPr>
        <w:t xml:space="preserve">37. </w:t>
      </w:r>
    </w:p>
    <w:p w14:paraId="3E554E84"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Pokorny, J., Yanishlieva, N. and Gordon, M. H. (2001). Antioxidants in food: Practical applications: CRC press.</w:t>
      </w:r>
    </w:p>
    <w:p w14:paraId="69B1F89D"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Abdeltaif, S. A., SirElkhatim, K. A. and Hassan, A. B. (2018). Estimation of phenolic and flavonoid compounds and antioxidant activity of spent coffee and black tea (processing) waste for potential recovery and reuse in Sudan. </w:t>
      </w:r>
      <w:r w:rsidRPr="00775B07">
        <w:rPr>
          <w:rFonts w:ascii="Times New Roman" w:hAnsi="Times New Roman"/>
          <w:i/>
          <w:sz w:val="20"/>
          <w:szCs w:val="20"/>
        </w:rPr>
        <w:t>Recycling</w:t>
      </w:r>
      <w:r w:rsidRPr="00775B07">
        <w:rPr>
          <w:rFonts w:ascii="Times New Roman" w:hAnsi="Times New Roman"/>
          <w:sz w:val="20"/>
          <w:szCs w:val="20"/>
        </w:rPr>
        <w:t xml:space="preserve">, 3(2): 27. </w:t>
      </w:r>
    </w:p>
    <w:p w14:paraId="6B9B96FE"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Peterson, J., Dwyer, J., Bhagwat, S., Haytowitz, D., Holden, J., Eldridge, A., Beecher, G. and Aladesanmi, J. (2005). Major flavonoids in dry tea. </w:t>
      </w:r>
      <w:r w:rsidRPr="00775B07">
        <w:rPr>
          <w:rFonts w:ascii="Times New Roman" w:hAnsi="Times New Roman"/>
          <w:i/>
          <w:sz w:val="20"/>
          <w:szCs w:val="20"/>
        </w:rPr>
        <w:t>Journal of Food Composition and Analysis</w:t>
      </w:r>
      <w:r w:rsidRPr="00775B07">
        <w:rPr>
          <w:rFonts w:ascii="Times New Roman" w:hAnsi="Times New Roman"/>
          <w:sz w:val="20"/>
          <w:szCs w:val="20"/>
        </w:rPr>
        <w:t>, 18(6): 487</w:t>
      </w:r>
      <w:r>
        <w:rPr>
          <w:rFonts w:ascii="Times New Roman" w:hAnsi="Times New Roman"/>
          <w:sz w:val="20"/>
          <w:szCs w:val="20"/>
        </w:rPr>
        <w:t>-</w:t>
      </w:r>
      <w:r w:rsidRPr="00775B07">
        <w:rPr>
          <w:rFonts w:ascii="Times New Roman" w:hAnsi="Times New Roman"/>
          <w:sz w:val="20"/>
          <w:szCs w:val="20"/>
        </w:rPr>
        <w:t xml:space="preserve">501. </w:t>
      </w:r>
    </w:p>
    <w:p w14:paraId="4AFC870F" w14:textId="745A0822"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Unachukwu, U. J., Ahmed, S., Kavalier, A., Lyles, J. T. and Kennelly, E. J. (2010). White and green teas (</w:t>
      </w:r>
      <w:r w:rsidRPr="00775B07">
        <w:rPr>
          <w:rFonts w:ascii="Times New Roman" w:hAnsi="Times New Roman"/>
          <w:i/>
          <w:sz w:val="20"/>
          <w:szCs w:val="20"/>
        </w:rPr>
        <w:t>Camellia sinensis</w:t>
      </w:r>
      <w:r w:rsidRPr="00775B07">
        <w:rPr>
          <w:rFonts w:ascii="Times New Roman" w:hAnsi="Times New Roman"/>
          <w:sz w:val="20"/>
          <w:szCs w:val="20"/>
        </w:rPr>
        <w:t xml:space="preserve"> var. </w:t>
      </w:r>
      <w:r w:rsidRPr="00775B07">
        <w:rPr>
          <w:rFonts w:ascii="Times New Roman" w:hAnsi="Times New Roman"/>
          <w:i/>
          <w:sz w:val="20"/>
          <w:szCs w:val="20"/>
        </w:rPr>
        <w:t>sinensis</w:t>
      </w:r>
      <w:r w:rsidRPr="00775B07">
        <w:rPr>
          <w:rFonts w:ascii="Times New Roman" w:hAnsi="Times New Roman"/>
          <w:sz w:val="20"/>
          <w:szCs w:val="20"/>
        </w:rPr>
        <w:t xml:space="preserve">): variation in phenolic, methylxanthine, and antioxidant profiles. </w:t>
      </w:r>
      <w:r w:rsidRPr="00775B07">
        <w:rPr>
          <w:rFonts w:ascii="Times New Roman" w:hAnsi="Times New Roman"/>
          <w:i/>
          <w:sz w:val="20"/>
          <w:szCs w:val="20"/>
        </w:rPr>
        <w:t>Journal of Food Science</w:t>
      </w:r>
      <w:r w:rsidRPr="00775B07">
        <w:rPr>
          <w:rFonts w:ascii="Times New Roman" w:hAnsi="Times New Roman"/>
          <w:sz w:val="20"/>
          <w:szCs w:val="20"/>
        </w:rPr>
        <w:t>, 75 (6): C541</w:t>
      </w:r>
      <w:r>
        <w:rPr>
          <w:rFonts w:ascii="Times New Roman" w:hAnsi="Times New Roman"/>
          <w:sz w:val="20"/>
          <w:szCs w:val="20"/>
        </w:rPr>
        <w:t>-</w:t>
      </w:r>
      <w:r w:rsidRPr="00775B07">
        <w:rPr>
          <w:rFonts w:ascii="Times New Roman" w:hAnsi="Times New Roman"/>
          <w:sz w:val="20"/>
          <w:szCs w:val="20"/>
        </w:rPr>
        <w:t xml:space="preserve">C548. </w:t>
      </w:r>
    </w:p>
    <w:p w14:paraId="3CF6FA69" w14:textId="0C35761E" w:rsidR="00DF2719" w:rsidRDefault="00DF2719" w:rsidP="00DF2719">
      <w:pPr>
        <w:spacing w:after="0" w:line="240" w:lineRule="auto"/>
        <w:jc w:val="both"/>
        <w:rPr>
          <w:rFonts w:ascii="Times New Roman" w:hAnsi="Times New Roman"/>
          <w:sz w:val="20"/>
          <w:szCs w:val="20"/>
        </w:rPr>
      </w:pPr>
    </w:p>
    <w:p w14:paraId="7A0121C1" w14:textId="77777777" w:rsidR="00DF2719" w:rsidRPr="00DF2719" w:rsidRDefault="00DF2719" w:rsidP="00DF2719">
      <w:pPr>
        <w:spacing w:after="0" w:line="240" w:lineRule="auto"/>
        <w:jc w:val="both"/>
        <w:rPr>
          <w:rFonts w:ascii="Times New Roman" w:hAnsi="Times New Roman"/>
          <w:sz w:val="20"/>
          <w:szCs w:val="20"/>
        </w:rPr>
      </w:pPr>
    </w:p>
    <w:p w14:paraId="54D61CCB"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lastRenderedPageBreak/>
        <w:t xml:space="preserve">Rusak, G., Komes, D., Likić, S., Horžić, D. and Kovač, M. (2008). Phenolic content and antioxidative capacity of green and white tea extracts depending on extraction conditions and the solvent used. </w:t>
      </w:r>
      <w:r w:rsidRPr="00775B07">
        <w:rPr>
          <w:rFonts w:ascii="Times New Roman" w:hAnsi="Times New Roman"/>
          <w:i/>
          <w:sz w:val="20"/>
          <w:szCs w:val="20"/>
        </w:rPr>
        <w:t>Food Chemistry</w:t>
      </w:r>
      <w:r w:rsidRPr="00775B07">
        <w:rPr>
          <w:rFonts w:ascii="Times New Roman" w:hAnsi="Times New Roman"/>
          <w:sz w:val="20"/>
          <w:szCs w:val="20"/>
        </w:rPr>
        <w:t>, 110(4): 852</w:t>
      </w:r>
      <w:r>
        <w:rPr>
          <w:rFonts w:ascii="Times New Roman" w:hAnsi="Times New Roman"/>
          <w:sz w:val="20"/>
          <w:szCs w:val="20"/>
        </w:rPr>
        <w:t>-</w:t>
      </w:r>
      <w:r w:rsidRPr="00775B07">
        <w:rPr>
          <w:rFonts w:ascii="Times New Roman" w:hAnsi="Times New Roman"/>
          <w:sz w:val="20"/>
          <w:szCs w:val="20"/>
        </w:rPr>
        <w:t xml:space="preserve"> 858. </w:t>
      </w:r>
    </w:p>
    <w:p w14:paraId="351B897D"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Harbowy, M. E., Balentine, D. A., Davies, A. P. and Cai, Y. (1997). Tea chemistry. </w:t>
      </w:r>
      <w:r w:rsidRPr="00775B07">
        <w:rPr>
          <w:rFonts w:ascii="Times New Roman" w:hAnsi="Times New Roman"/>
          <w:i/>
          <w:sz w:val="20"/>
          <w:szCs w:val="20"/>
        </w:rPr>
        <w:t>Critical Reviews in Plant Sciences</w:t>
      </w:r>
      <w:r w:rsidRPr="00775B07">
        <w:rPr>
          <w:rFonts w:ascii="Times New Roman" w:hAnsi="Times New Roman"/>
          <w:sz w:val="20"/>
          <w:szCs w:val="20"/>
        </w:rPr>
        <w:t>, 16(5): 415</w:t>
      </w:r>
      <w:r>
        <w:rPr>
          <w:rFonts w:ascii="Times New Roman" w:hAnsi="Times New Roman"/>
          <w:sz w:val="20"/>
          <w:szCs w:val="20"/>
        </w:rPr>
        <w:t>-</w:t>
      </w:r>
      <w:r w:rsidRPr="00775B07">
        <w:rPr>
          <w:rFonts w:ascii="Times New Roman" w:hAnsi="Times New Roman"/>
          <w:sz w:val="20"/>
          <w:szCs w:val="20"/>
        </w:rPr>
        <w:t xml:space="preserve">480. </w:t>
      </w:r>
    </w:p>
    <w:p w14:paraId="7C764FE8"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Graham, H. N. (1992). Green tea composition, consumption, and polyphenol chemistry. </w:t>
      </w:r>
      <w:r w:rsidRPr="00775B07">
        <w:rPr>
          <w:rFonts w:ascii="Times New Roman" w:hAnsi="Times New Roman"/>
          <w:i/>
          <w:sz w:val="20"/>
          <w:szCs w:val="20"/>
        </w:rPr>
        <w:t>Preventive Medicine</w:t>
      </w:r>
      <w:r w:rsidRPr="00775B07">
        <w:rPr>
          <w:rFonts w:ascii="Times New Roman" w:hAnsi="Times New Roman"/>
          <w:sz w:val="20"/>
          <w:szCs w:val="20"/>
        </w:rPr>
        <w:t>, 21(3): 334</w:t>
      </w:r>
      <w:r>
        <w:rPr>
          <w:rFonts w:ascii="Times New Roman" w:hAnsi="Times New Roman"/>
          <w:sz w:val="20"/>
          <w:szCs w:val="20"/>
        </w:rPr>
        <w:t>-</w:t>
      </w:r>
      <w:r w:rsidRPr="00775B07">
        <w:rPr>
          <w:rFonts w:ascii="Times New Roman" w:hAnsi="Times New Roman"/>
          <w:sz w:val="20"/>
          <w:szCs w:val="20"/>
        </w:rPr>
        <w:t xml:space="preserve">350. </w:t>
      </w:r>
    </w:p>
    <w:p w14:paraId="61E46CC4"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Chen, M., Zhu, Y., Zhang, H., Wang, J., Liu, X., Chen, Z., Zheng, M. and Liu, B. (2017). Phenolic compounds and the biological effects of Pu-erh teas with long-term storage. </w:t>
      </w:r>
      <w:r w:rsidRPr="00775B07">
        <w:rPr>
          <w:rFonts w:ascii="Times New Roman" w:hAnsi="Times New Roman"/>
          <w:i/>
          <w:sz w:val="20"/>
          <w:szCs w:val="20"/>
        </w:rPr>
        <w:t>International Journal of Food Properties</w:t>
      </w:r>
      <w:r w:rsidRPr="00775B07">
        <w:rPr>
          <w:rFonts w:ascii="Times New Roman" w:hAnsi="Times New Roman"/>
          <w:sz w:val="20"/>
          <w:szCs w:val="20"/>
        </w:rPr>
        <w:t>, 20(8): 1715</w:t>
      </w:r>
      <w:r>
        <w:rPr>
          <w:rFonts w:ascii="Times New Roman" w:hAnsi="Times New Roman"/>
          <w:sz w:val="20"/>
          <w:szCs w:val="20"/>
        </w:rPr>
        <w:t>-</w:t>
      </w:r>
      <w:r w:rsidRPr="00775B07">
        <w:rPr>
          <w:rFonts w:ascii="Times New Roman" w:hAnsi="Times New Roman"/>
          <w:sz w:val="20"/>
          <w:szCs w:val="20"/>
        </w:rPr>
        <w:t xml:space="preserve">1728. </w:t>
      </w:r>
    </w:p>
    <w:p w14:paraId="132D9437"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Zhou, B., Ma, C., Wu, T., Xu, C., Wang, J. and Xia, T. (2020). Classification of raw Pu-erh teas with different storage time based on characteristic compounds and effect of storage environment. </w:t>
      </w:r>
      <w:r w:rsidRPr="00775B07">
        <w:rPr>
          <w:rFonts w:ascii="Times New Roman" w:hAnsi="Times New Roman"/>
          <w:i/>
          <w:sz w:val="20"/>
          <w:szCs w:val="20"/>
        </w:rPr>
        <w:t>LWT Food Science and Technology</w:t>
      </w:r>
      <w:r w:rsidRPr="00775B07">
        <w:rPr>
          <w:rFonts w:ascii="Times New Roman" w:hAnsi="Times New Roman"/>
          <w:sz w:val="20"/>
          <w:szCs w:val="20"/>
        </w:rPr>
        <w:t>, 133: 109914.</w:t>
      </w:r>
    </w:p>
    <w:p w14:paraId="569BC2DE"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Imran, A., Butt, M. S., Sharif, M. K. and Sultan, J. I. (2013). Chemical profiling of black tea polyphenols. </w:t>
      </w:r>
      <w:r w:rsidRPr="00775B07">
        <w:rPr>
          <w:rFonts w:ascii="Times New Roman" w:hAnsi="Times New Roman"/>
          <w:i/>
          <w:sz w:val="20"/>
          <w:szCs w:val="20"/>
        </w:rPr>
        <w:t>Pakistan Journal of Nutrition</w:t>
      </w:r>
      <w:r w:rsidRPr="00775B07">
        <w:rPr>
          <w:rFonts w:ascii="Times New Roman" w:hAnsi="Times New Roman"/>
          <w:sz w:val="20"/>
          <w:szCs w:val="20"/>
        </w:rPr>
        <w:t xml:space="preserve">, 12 (3): 261. </w:t>
      </w:r>
    </w:p>
    <w:p w14:paraId="308FA407"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Lee, J.-E., Lee, B.-J., Chung, J.-O., Kim, H.-N., Kim, E.-H., Jung, S., Lee, H., Lee, S.-J and Hong, Y.-S. (2015). Metabolomic unveiling of a diverse range of green tea (</w:t>
      </w:r>
      <w:r w:rsidRPr="00775B07">
        <w:rPr>
          <w:rFonts w:ascii="Times New Roman" w:hAnsi="Times New Roman"/>
          <w:i/>
          <w:sz w:val="20"/>
          <w:szCs w:val="20"/>
        </w:rPr>
        <w:t>Camellia sinensis</w:t>
      </w:r>
      <w:r w:rsidRPr="00775B07">
        <w:rPr>
          <w:rFonts w:ascii="Times New Roman" w:hAnsi="Times New Roman"/>
          <w:sz w:val="20"/>
          <w:szCs w:val="20"/>
        </w:rPr>
        <w:t xml:space="preserve">) metabolites dependent on geography. </w:t>
      </w:r>
      <w:r w:rsidRPr="00775B07">
        <w:rPr>
          <w:rFonts w:ascii="Times New Roman" w:hAnsi="Times New Roman"/>
          <w:i/>
          <w:sz w:val="20"/>
          <w:szCs w:val="20"/>
        </w:rPr>
        <w:t>Food Chemistry</w:t>
      </w:r>
      <w:r w:rsidRPr="00775B07">
        <w:rPr>
          <w:rFonts w:ascii="Times New Roman" w:hAnsi="Times New Roman"/>
          <w:sz w:val="20"/>
          <w:szCs w:val="20"/>
        </w:rPr>
        <w:t>, 174: 452</w:t>
      </w:r>
      <w:r>
        <w:rPr>
          <w:rFonts w:ascii="Times New Roman" w:hAnsi="Times New Roman"/>
          <w:sz w:val="20"/>
          <w:szCs w:val="20"/>
        </w:rPr>
        <w:t>-</w:t>
      </w:r>
      <w:r w:rsidRPr="00775B07">
        <w:rPr>
          <w:rFonts w:ascii="Times New Roman" w:hAnsi="Times New Roman"/>
          <w:sz w:val="20"/>
          <w:szCs w:val="20"/>
        </w:rPr>
        <w:t xml:space="preserve">459. </w:t>
      </w:r>
    </w:p>
    <w:p w14:paraId="1194712B"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Yang, J. and Liu, R. H. (2013). The phenolic profiles and antioxidant activity in different types of tea. </w:t>
      </w:r>
      <w:r w:rsidRPr="00775B07">
        <w:rPr>
          <w:rFonts w:ascii="Times New Roman" w:hAnsi="Times New Roman"/>
          <w:i/>
          <w:sz w:val="20"/>
          <w:szCs w:val="20"/>
        </w:rPr>
        <w:t xml:space="preserve">International Journal </w:t>
      </w:r>
      <w:r>
        <w:rPr>
          <w:rFonts w:ascii="Times New Roman" w:hAnsi="Times New Roman"/>
          <w:i/>
          <w:sz w:val="20"/>
          <w:szCs w:val="20"/>
        </w:rPr>
        <w:t>o</w:t>
      </w:r>
      <w:r w:rsidRPr="00775B07">
        <w:rPr>
          <w:rFonts w:ascii="Times New Roman" w:hAnsi="Times New Roman"/>
          <w:i/>
          <w:sz w:val="20"/>
          <w:szCs w:val="20"/>
        </w:rPr>
        <w:t>f Food Science &amp; Technology</w:t>
      </w:r>
      <w:r w:rsidRPr="00775B07">
        <w:rPr>
          <w:rFonts w:ascii="Times New Roman" w:hAnsi="Times New Roman"/>
          <w:sz w:val="20"/>
          <w:szCs w:val="20"/>
        </w:rPr>
        <w:t>, 48(1): 163</w:t>
      </w:r>
      <w:r>
        <w:rPr>
          <w:rFonts w:ascii="Times New Roman" w:hAnsi="Times New Roman"/>
          <w:sz w:val="20"/>
          <w:szCs w:val="20"/>
        </w:rPr>
        <w:t>-</w:t>
      </w:r>
      <w:r w:rsidRPr="00775B07">
        <w:rPr>
          <w:rFonts w:ascii="Times New Roman" w:hAnsi="Times New Roman"/>
          <w:sz w:val="20"/>
          <w:szCs w:val="20"/>
        </w:rPr>
        <w:t xml:space="preserve">171. </w:t>
      </w:r>
    </w:p>
    <w:p w14:paraId="06C6432F"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Pacheco-Coello, F., Peraza-Marrero, M., Orosco-Vargas, C., Ramirez-Azuaje, D. and Pinto-Catari, I. (2020). Determination of total phenolic compounds and evaluation of the antioxidant activity of commercial and artisanal green tea </w:t>
      </w:r>
      <w:r w:rsidRPr="00775B07">
        <w:rPr>
          <w:rFonts w:ascii="Times New Roman" w:hAnsi="Times New Roman"/>
          <w:sz w:val="20"/>
          <w:szCs w:val="20"/>
        </w:rPr>
        <w:t xml:space="preserve">traded in Maracay, Venezuela. </w:t>
      </w:r>
      <w:r w:rsidRPr="00775B07">
        <w:rPr>
          <w:rFonts w:ascii="Times New Roman" w:hAnsi="Times New Roman"/>
          <w:i/>
          <w:sz w:val="20"/>
          <w:szCs w:val="20"/>
        </w:rPr>
        <w:t>Revista Boliviana de Química</w:t>
      </w:r>
      <w:r w:rsidRPr="00775B07">
        <w:rPr>
          <w:rFonts w:ascii="Times New Roman" w:hAnsi="Times New Roman"/>
          <w:sz w:val="20"/>
          <w:szCs w:val="20"/>
        </w:rPr>
        <w:t>, 37(1): 28</w:t>
      </w:r>
      <w:r>
        <w:rPr>
          <w:rFonts w:ascii="Times New Roman" w:hAnsi="Times New Roman"/>
          <w:sz w:val="20"/>
          <w:szCs w:val="20"/>
        </w:rPr>
        <w:t>-</w:t>
      </w:r>
      <w:r w:rsidRPr="00775B07">
        <w:rPr>
          <w:rFonts w:ascii="Times New Roman" w:hAnsi="Times New Roman"/>
          <w:sz w:val="20"/>
          <w:szCs w:val="20"/>
        </w:rPr>
        <w:t xml:space="preserve">33. </w:t>
      </w:r>
    </w:p>
    <w:p w14:paraId="7F0C1D44"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Hertog, M. G., Hollman, P. C. and Van de Putte, B. (1993). Content of potentially anticarcinogenic flavonoids of tea infusions, wines, and fruit juices. </w:t>
      </w:r>
      <w:r w:rsidRPr="00775B07">
        <w:rPr>
          <w:rFonts w:ascii="Times New Roman" w:hAnsi="Times New Roman"/>
          <w:i/>
          <w:sz w:val="20"/>
          <w:szCs w:val="20"/>
        </w:rPr>
        <w:t>Journal of Agricultural and Food Chemistry</w:t>
      </w:r>
      <w:r w:rsidRPr="00775B07">
        <w:rPr>
          <w:rFonts w:ascii="Times New Roman" w:hAnsi="Times New Roman"/>
          <w:sz w:val="20"/>
          <w:szCs w:val="20"/>
        </w:rPr>
        <w:t>, 41(8): 1242</w:t>
      </w:r>
      <w:r>
        <w:rPr>
          <w:rFonts w:ascii="Times New Roman" w:hAnsi="Times New Roman"/>
          <w:sz w:val="20"/>
          <w:szCs w:val="20"/>
        </w:rPr>
        <w:t>-</w:t>
      </w:r>
      <w:r w:rsidRPr="00775B07">
        <w:rPr>
          <w:rFonts w:ascii="Times New Roman" w:hAnsi="Times New Roman"/>
          <w:sz w:val="20"/>
          <w:szCs w:val="20"/>
        </w:rPr>
        <w:t xml:space="preserve">1246. </w:t>
      </w:r>
    </w:p>
    <w:p w14:paraId="0ECBA694"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Zayadi, R. A., Rahim, N. A. and Bakar, F. A. (2016). Determination of flavonoid and caffeine content in black and oolong teas. </w:t>
      </w:r>
      <w:r w:rsidRPr="00775B07">
        <w:rPr>
          <w:rFonts w:ascii="Times New Roman" w:hAnsi="Times New Roman"/>
          <w:i/>
          <w:sz w:val="20"/>
          <w:szCs w:val="20"/>
        </w:rPr>
        <w:t>Journal of Science and Technology</w:t>
      </w:r>
      <w:r w:rsidRPr="00775B07">
        <w:rPr>
          <w:rFonts w:ascii="Times New Roman" w:hAnsi="Times New Roman"/>
          <w:sz w:val="20"/>
          <w:szCs w:val="20"/>
        </w:rPr>
        <w:t>, 8(2): 18</w:t>
      </w:r>
      <w:r>
        <w:rPr>
          <w:rFonts w:ascii="Times New Roman" w:hAnsi="Times New Roman"/>
          <w:sz w:val="20"/>
          <w:szCs w:val="20"/>
        </w:rPr>
        <w:t>-</w:t>
      </w:r>
      <w:r w:rsidRPr="00775B07">
        <w:rPr>
          <w:rFonts w:ascii="Times New Roman" w:hAnsi="Times New Roman"/>
          <w:sz w:val="20"/>
          <w:szCs w:val="20"/>
        </w:rPr>
        <w:t xml:space="preserve">24.  </w:t>
      </w:r>
    </w:p>
    <w:p w14:paraId="35C22C65"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Chang, M.-Y., Lin, Y.-Y., Chang, Y.-C., Huang, W.-Y., Lin, W.-S., Chen, C.-Y., Huang, S.-L. and Lin, Y.-S. (2020). Effects of infusion and storage on antioxidant activity and total phenolic content of black tea. </w:t>
      </w:r>
      <w:r w:rsidRPr="00775B07">
        <w:rPr>
          <w:rFonts w:ascii="Times New Roman" w:hAnsi="Times New Roman"/>
          <w:i/>
          <w:sz w:val="20"/>
          <w:szCs w:val="20"/>
        </w:rPr>
        <w:t>Applied Sciences</w:t>
      </w:r>
      <w:r w:rsidRPr="00775B07">
        <w:rPr>
          <w:rFonts w:ascii="Times New Roman" w:hAnsi="Times New Roman"/>
          <w:sz w:val="20"/>
          <w:szCs w:val="20"/>
        </w:rPr>
        <w:t xml:space="preserve">, 10(8): 2685. </w:t>
      </w:r>
    </w:p>
    <w:p w14:paraId="752DF41B"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Kelebek, H. (2016). LC-DAD–ESI-MS/MS characterization of phenolic constituents in Turkish black tea: Effect of infusion time and temperature. </w:t>
      </w:r>
      <w:r w:rsidRPr="00775B07">
        <w:rPr>
          <w:rFonts w:ascii="Times New Roman" w:hAnsi="Times New Roman"/>
          <w:i/>
          <w:sz w:val="20"/>
          <w:szCs w:val="20"/>
        </w:rPr>
        <w:t>Food Chemistry</w:t>
      </w:r>
      <w:r w:rsidRPr="00775B07">
        <w:rPr>
          <w:rFonts w:ascii="Times New Roman" w:hAnsi="Times New Roman"/>
          <w:sz w:val="20"/>
          <w:szCs w:val="20"/>
        </w:rPr>
        <w:t>, 204: 227</w:t>
      </w:r>
      <w:r>
        <w:rPr>
          <w:rFonts w:ascii="Times New Roman" w:hAnsi="Times New Roman"/>
          <w:sz w:val="20"/>
          <w:szCs w:val="20"/>
        </w:rPr>
        <w:t>-</w:t>
      </w:r>
      <w:r w:rsidRPr="00775B07">
        <w:rPr>
          <w:rFonts w:ascii="Times New Roman" w:hAnsi="Times New Roman"/>
          <w:sz w:val="20"/>
          <w:szCs w:val="20"/>
        </w:rPr>
        <w:t xml:space="preserve">238. </w:t>
      </w:r>
    </w:p>
    <w:p w14:paraId="7EFAB2B4"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Jamshidpour, S., Faramarzi, E., Mahmoudi, M. and Varmira, K. (2016). The effect of the duration and temperature of infusion on the heavy metal content of green tea. </w:t>
      </w:r>
      <w:r w:rsidRPr="00775B07">
        <w:rPr>
          <w:rFonts w:ascii="Times New Roman" w:hAnsi="Times New Roman"/>
          <w:i/>
          <w:sz w:val="20"/>
          <w:szCs w:val="20"/>
        </w:rPr>
        <w:t>European Online Journal of Natural and Social Sciences</w:t>
      </w:r>
      <w:r w:rsidRPr="00775B07">
        <w:rPr>
          <w:rFonts w:ascii="Times New Roman" w:hAnsi="Times New Roman"/>
          <w:sz w:val="20"/>
          <w:szCs w:val="20"/>
        </w:rPr>
        <w:t>, 5 (4): 980</w:t>
      </w:r>
      <w:r>
        <w:rPr>
          <w:rFonts w:ascii="Times New Roman" w:hAnsi="Times New Roman"/>
          <w:sz w:val="20"/>
          <w:szCs w:val="20"/>
        </w:rPr>
        <w:t>-</w:t>
      </w:r>
      <w:r w:rsidRPr="00775B07">
        <w:rPr>
          <w:rFonts w:ascii="Times New Roman" w:hAnsi="Times New Roman"/>
          <w:sz w:val="20"/>
          <w:szCs w:val="20"/>
        </w:rPr>
        <w:t xml:space="preserve">987. </w:t>
      </w:r>
    </w:p>
    <w:p w14:paraId="72A6B02E"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Asil, M. H., Rabiei, B. and Ansari, R. H. (2012). Optimal fermentation time and temperature to improve biochemical composition and sensory characteristics of black tea. </w:t>
      </w:r>
      <w:r w:rsidRPr="00775B07">
        <w:rPr>
          <w:rFonts w:ascii="Times New Roman" w:hAnsi="Times New Roman"/>
          <w:i/>
          <w:sz w:val="20"/>
          <w:szCs w:val="20"/>
        </w:rPr>
        <w:t>Australian Journal of Crop Science</w:t>
      </w:r>
      <w:r w:rsidRPr="00775B07">
        <w:rPr>
          <w:rFonts w:ascii="Times New Roman" w:hAnsi="Times New Roman"/>
          <w:sz w:val="20"/>
          <w:szCs w:val="20"/>
        </w:rPr>
        <w:t>, 6(3): 550</w:t>
      </w:r>
      <w:r>
        <w:rPr>
          <w:rFonts w:ascii="Times New Roman" w:hAnsi="Times New Roman"/>
          <w:sz w:val="20"/>
          <w:szCs w:val="20"/>
        </w:rPr>
        <w:t>-</w:t>
      </w:r>
      <w:r w:rsidRPr="00775B07">
        <w:rPr>
          <w:rFonts w:ascii="Times New Roman" w:hAnsi="Times New Roman"/>
          <w:sz w:val="20"/>
          <w:szCs w:val="20"/>
        </w:rPr>
        <w:t xml:space="preserve">558. </w:t>
      </w:r>
    </w:p>
    <w:p w14:paraId="7FC1BA3C" w14:textId="77777777" w:rsidR="00DF2719"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Ioannou, I., Chekir, L. and Ghoul, M. (2020). Effect of heat treatment and light exposure on the antioxidant activity of flavonoids. </w:t>
      </w:r>
      <w:r w:rsidRPr="00775B07">
        <w:rPr>
          <w:rFonts w:ascii="Times New Roman" w:hAnsi="Times New Roman"/>
          <w:i/>
          <w:iCs/>
          <w:sz w:val="20"/>
          <w:szCs w:val="20"/>
        </w:rPr>
        <w:t>Processes</w:t>
      </w:r>
      <w:r w:rsidRPr="00775B07">
        <w:rPr>
          <w:rFonts w:ascii="Times New Roman" w:hAnsi="Times New Roman"/>
          <w:sz w:val="20"/>
          <w:szCs w:val="20"/>
        </w:rPr>
        <w:t>, </w:t>
      </w:r>
      <w:r w:rsidRPr="00775B07">
        <w:rPr>
          <w:rFonts w:ascii="Times New Roman" w:hAnsi="Times New Roman"/>
          <w:i/>
          <w:iCs/>
          <w:sz w:val="20"/>
          <w:szCs w:val="20"/>
        </w:rPr>
        <w:t xml:space="preserve">8 </w:t>
      </w:r>
      <w:r w:rsidRPr="00775B07">
        <w:rPr>
          <w:rFonts w:ascii="Times New Roman" w:hAnsi="Times New Roman"/>
          <w:sz w:val="20"/>
          <w:szCs w:val="20"/>
        </w:rPr>
        <w:t>(9): 1078.</w:t>
      </w:r>
    </w:p>
    <w:p w14:paraId="461294CB" w14:textId="77777777" w:rsidR="00DF2719" w:rsidRPr="00775B07" w:rsidRDefault="00DF2719" w:rsidP="00DF2719">
      <w:pPr>
        <w:pStyle w:val="ListParagraph"/>
        <w:numPr>
          <w:ilvl w:val="0"/>
          <w:numId w:val="3"/>
        </w:numPr>
        <w:spacing w:after="0" w:line="240" w:lineRule="auto"/>
        <w:ind w:left="360"/>
        <w:jc w:val="both"/>
        <w:rPr>
          <w:rFonts w:ascii="Times New Roman" w:hAnsi="Times New Roman"/>
          <w:sz w:val="20"/>
          <w:szCs w:val="20"/>
        </w:rPr>
      </w:pPr>
      <w:r w:rsidRPr="00775B07">
        <w:rPr>
          <w:rFonts w:ascii="Times New Roman" w:hAnsi="Times New Roman"/>
          <w:sz w:val="20"/>
          <w:szCs w:val="20"/>
        </w:rPr>
        <w:t xml:space="preserve">Buchner, N., Krumbein, A., Rohn, S. and Kroh, L. (2006). Effect of thermal processing on the flavonols rutin and quercetin. </w:t>
      </w:r>
      <w:r w:rsidRPr="00775B07">
        <w:rPr>
          <w:rFonts w:ascii="Times New Roman" w:hAnsi="Times New Roman"/>
          <w:i/>
          <w:sz w:val="20"/>
          <w:szCs w:val="20"/>
        </w:rPr>
        <w:t>Rapid communications in mass spectrometry</w:t>
      </w:r>
      <w:r>
        <w:rPr>
          <w:rFonts w:ascii="Times New Roman" w:hAnsi="Times New Roman"/>
          <w:i/>
          <w:sz w:val="20"/>
          <w:szCs w:val="20"/>
        </w:rPr>
        <w:t>,</w:t>
      </w:r>
      <w:r w:rsidRPr="00775B07">
        <w:rPr>
          <w:rFonts w:ascii="Times New Roman" w:hAnsi="Times New Roman"/>
          <w:sz w:val="20"/>
          <w:szCs w:val="20"/>
        </w:rPr>
        <w:t xml:space="preserve"> 20: 3229</w:t>
      </w:r>
      <w:r>
        <w:rPr>
          <w:rFonts w:ascii="Times New Roman" w:hAnsi="Times New Roman"/>
          <w:sz w:val="20"/>
          <w:szCs w:val="20"/>
        </w:rPr>
        <w:t>-</w:t>
      </w:r>
      <w:r w:rsidRPr="00775B07">
        <w:rPr>
          <w:rFonts w:ascii="Times New Roman" w:hAnsi="Times New Roman"/>
          <w:sz w:val="20"/>
          <w:szCs w:val="20"/>
        </w:rPr>
        <w:t>3235.</w:t>
      </w:r>
    </w:p>
    <w:p w14:paraId="78EE0683" w14:textId="77777777" w:rsidR="00DF2719" w:rsidRDefault="00DF2719" w:rsidP="00DF2719">
      <w:pPr>
        <w:spacing w:after="0"/>
        <w:rPr>
          <w:rFonts w:ascii="Times New Roman" w:hAnsi="Times New Roman"/>
          <w:noProof/>
          <w:sz w:val="20"/>
          <w:szCs w:val="20"/>
          <w:lang w:bidi="ar-SA"/>
        </w:rPr>
      </w:pPr>
    </w:p>
    <w:p w14:paraId="32255057" w14:textId="26648278" w:rsidR="00DF2719" w:rsidRDefault="00DF2719" w:rsidP="00DF2719">
      <w:pPr>
        <w:spacing w:after="0"/>
        <w:rPr>
          <w:rFonts w:ascii="Times New Roman" w:hAnsi="Times New Roman"/>
          <w:noProof/>
          <w:sz w:val="20"/>
          <w:szCs w:val="20"/>
          <w:lang w:bidi="ar-SA"/>
        </w:rPr>
        <w:sectPr w:rsidR="00DF2719" w:rsidSect="00DF2719">
          <w:headerReference w:type="even" r:id="rId42"/>
          <w:headerReference w:type="default" r:id="rId43"/>
          <w:footerReference w:type="even" r:id="rId44"/>
          <w:footerReference w:type="default" r:id="rId45"/>
          <w:headerReference w:type="first" r:id="rId46"/>
          <w:type w:val="continuous"/>
          <w:pgSz w:w="12240" w:h="15840" w:code="1"/>
          <w:pgMar w:top="1800" w:right="1469" w:bottom="1699" w:left="1440" w:header="706" w:footer="706" w:gutter="0"/>
          <w:pgNumType w:start="0"/>
          <w:cols w:num="2" w:space="403"/>
          <w:docGrid w:linePitch="360"/>
        </w:sectPr>
      </w:pPr>
    </w:p>
    <w:p w14:paraId="5D215AFF" w14:textId="11EC527D" w:rsidR="006768E9" w:rsidRPr="00383C16" w:rsidRDefault="006768E9" w:rsidP="00383C16">
      <w:pPr>
        <w:spacing w:after="0"/>
        <w:jc w:val="center"/>
        <w:rPr>
          <w:rFonts w:ascii="Times New Roman" w:hAnsi="Times New Roman"/>
          <w:noProof/>
          <w:sz w:val="20"/>
          <w:szCs w:val="20"/>
          <w:lang w:bidi="ar-SA"/>
        </w:rPr>
      </w:pPr>
    </w:p>
    <w:p w14:paraId="63ACC625" w14:textId="77777777" w:rsidR="006768E9" w:rsidRPr="00383C16" w:rsidRDefault="006768E9" w:rsidP="00383C16">
      <w:pPr>
        <w:spacing w:after="0"/>
        <w:jc w:val="center"/>
        <w:rPr>
          <w:rFonts w:ascii="Times New Roman" w:hAnsi="Times New Roman"/>
          <w:noProof/>
          <w:sz w:val="20"/>
          <w:szCs w:val="20"/>
          <w:lang w:bidi="ar-SA"/>
        </w:rPr>
      </w:pPr>
    </w:p>
    <w:sectPr w:rsidR="006768E9" w:rsidRPr="00383C16" w:rsidSect="004C6698">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9552" w14:textId="660F535C" w:rsidR="004B4318" w:rsidRDefault="004B4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639A" w14:textId="5AD64229" w:rsidR="004B4318" w:rsidRPr="004B43FF" w:rsidRDefault="004B4318">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9A1C" w14:textId="21450F4E" w:rsidR="004B4318" w:rsidRDefault="004B4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02BA" w14:textId="3C73489C" w:rsidR="004B4318" w:rsidRPr="004B43FF" w:rsidRDefault="004B4318">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F664" w14:textId="38F7984B" w:rsidR="004B4318" w:rsidRDefault="004B4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41E8" w14:textId="7F5F1059" w:rsidR="004B4318" w:rsidRPr="004B43FF" w:rsidRDefault="004B4318">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CEB4" w14:textId="547F1450" w:rsidR="004B4318" w:rsidRDefault="004B4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D328" w14:textId="45467798" w:rsidR="004B4318" w:rsidRPr="004B43FF" w:rsidRDefault="004B4318">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A7AA" w14:textId="06AF7A65" w:rsidR="004B4318" w:rsidRDefault="004B4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03E2FEC" w:rsidR="002B3BD8" w:rsidRDefault="000E590D" w:rsidP="008E6968">
    <w:pPr>
      <w:pStyle w:val="Header"/>
      <w:jc w:val="right"/>
      <w:rPr>
        <w:rFonts w:ascii="Times New Roman" w:hAnsi="Times New Roman"/>
        <w:i/>
        <w:lang w:val="en-US"/>
      </w:rPr>
    </w:pPr>
    <w:r>
      <w:rPr>
        <w:noProof/>
      </w:rPr>
      <w:pict w14:anchorId="31338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38" o:spid="_x0000_s4198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5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4A1191">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B754" w14:textId="33AF722B" w:rsidR="000E590D" w:rsidRDefault="000E590D">
    <w:pPr>
      <w:pStyle w:val="Header"/>
    </w:pPr>
    <w:r>
      <w:rPr>
        <w:noProof/>
      </w:rPr>
      <w:pict w14:anchorId="5C513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7" o:spid="_x0000_s4199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03CC" w14:textId="28C36B46" w:rsidR="000E590D" w:rsidRPr="00160455" w:rsidRDefault="000E590D" w:rsidP="000E590D">
    <w:pPr>
      <w:spacing w:after="0"/>
      <w:ind w:left="1170" w:hanging="117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guyen et al</w:t>
    </w:r>
    <w:r w:rsidRPr="00160455">
      <w:rPr>
        <w:rFonts w:ascii="Times New Roman" w:hAnsi="Times New Roman"/>
        <w:sz w:val="20"/>
        <w:szCs w:val="20"/>
      </w:rPr>
      <w:t xml:space="preserve">: </w:t>
    </w:r>
    <w:r>
      <w:rPr>
        <w:rFonts w:ascii="Times New Roman" w:hAnsi="Times New Roman"/>
        <w:sz w:val="20"/>
        <w:szCs w:val="20"/>
      </w:rPr>
      <w:tab/>
    </w:r>
    <w:r w:rsidRPr="00160455">
      <w:rPr>
        <w:rFonts w:ascii="Times New Roman" w:hAnsi="Times New Roman"/>
        <w:sz w:val="20"/>
        <w:szCs w:val="20"/>
      </w:rPr>
      <w:t xml:space="preserve">SPECTROPHOTOMETRIC DETERMINATION OF TOTAL FLAVONOID CONTENTS IN TEA PRODUCTS AND THEIR LIQUORS UNDER VARIOUS BREWING CONDITIONS </w:t>
    </w:r>
  </w:p>
  <w:p w14:paraId="76C5F1B4" w14:textId="27E794F2" w:rsidR="000E590D" w:rsidRDefault="000E590D">
    <w:pPr>
      <w:pStyle w:val="Header"/>
    </w:pPr>
    <w:r>
      <w:rPr>
        <w:noProof/>
      </w:rPr>
      <w:pict w14:anchorId="6F584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8" o:spid="_x0000_s4199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FDE7" w14:textId="3B5F09EB" w:rsidR="000E590D" w:rsidRDefault="000E590D">
    <w:pPr>
      <w:pStyle w:val="Header"/>
    </w:pPr>
    <w:r>
      <w:rPr>
        <w:noProof/>
      </w:rPr>
      <w:pict w14:anchorId="10482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6" o:spid="_x0000_s4199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05C5" w14:textId="0D6938A7" w:rsidR="000E590D" w:rsidRDefault="000E590D" w:rsidP="000E590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5AA65F3" w14:textId="45B8D881" w:rsidR="000E590D" w:rsidRDefault="000E590D">
    <w:pPr>
      <w:pStyle w:val="Header"/>
    </w:pPr>
    <w:r>
      <w:rPr>
        <w:noProof/>
      </w:rPr>
      <w:pict w14:anchorId="7D9E8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50" o:spid="_x0000_s4199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ED0" w14:textId="02660F39" w:rsidR="000E590D" w:rsidRPr="00160455" w:rsidRDefault="000E590D" w:rsidP="000E590D">
    <w:pPr>
      <w:spacing w:after="0"/>
      <w:ind w:left="1170" w:hanging="117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guyen et al</w:t>
    </w:r>
    <w:r w:rsidRPr="00160455">
      <w:rPr>
        <w:rFonts w:ascii="Times New Roman" w:hAnsi="Times New Roman"/>
        <w:sz w:val="20"/>
        <w:szCs w:val="20"/>
      </w:rPr>
      <w:t xml:space="preserve">: </w:t>
    </w:r>
    <w:r>
      <w:rPr>
        <w:rFonts w:ascii="Times New Roman" w:hAnsi="Times New Roman"/>
        <w:sz w:val="20"/>
        <w:szCs w:val="20"/>
      </w:rPr>
      <w:tab/>
    </w:r>
    <w:r w:rsidRPr="00160455">
      <w:rPr>
        <w:rFonts w:ascii="Times New Roman" w:hAnsi="Times New Roman"/>
        <w:sz w:val="20"/>
        <w:szCs w:val="20"/>
      </w:rPr>
      <w:t xml:space="preserve">SPECTROPHOTOMETRIC DETERMINATION OF TOTAL FLAVONOID CONTENTS IN TEA PRODUCTS AND THEIR LIQUORS UNDER VARIOUS BREWING CONDITIONS </w:t>
    </w:r>
  </w:p>
  <w:p w14:paraId="1CAD3D64" w14:textId="76CEAFDF" w:rsidR="000E590D" w:rsidRDefault="000E590D">
    <w:pPr>
      <w:pStyle w:val="Header"/>
    </w:pPr>
    <w:r>
      <w:rPr>
        <w:noProof/>
      </w:rPr>
      <w:pict w14:anchorId="10004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51" o:spid="_x0000_s4199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0CE3" w14:textId="344A4F3B" w:rsidR="000E590D" w:rsidRDefault="000E590D">
    <w:pPr>
      <w:pStyle w:val="Header"/>
    </w:pPr>
    <w:r>
      <w:rPr>
        <w:noProof/>
      </w:rPr>
      <w:pict w14:anchorId="73D7A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9" o:spid="_x0000_s4199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093B" w14:textId="0E01D682" w:rsidR="000E590D" w:rsidRDefault="000E590D" w:rsidP="000E590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FB26C4B" w14:textId="1CFDAF59" w:rsidR="000E590D" w:rsidRDefault="000E590D">
    <w:pPr>
      <w:pStyle w:val="Header"/>
    </w:pPr>
    <w:r>
      <w:rPr>
        <w:noProof/>
      </w:rPr>
      <w:pict w14:anchorId="5D443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53" o:spid="_x0000_s4200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2EF4" w14:textId="64448F44" w:rsidR="000E590D" w:rsidRDefault="000E590D">
    <w:pPr>
      <w:pStyle w:val="Header"/>
    </w:pPr>
    <w:r>
      <w:rPr>
        <w:noProof/>
      </w:rPr>
      <w:pict w14:anchorId="68B78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54" o:spid="_x0000_s4200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8466" w14:textId="426AB7F5" w:rsidR="000E590D" w:rsidRDefault="000E590D">
    <w:pPr>
      <w:pStyle w:val="Header"/>
    </w:pPr>
    <w:r>
      <w:rPr>
        <w:noProof/>
      </w:rPr>
      <w:pict w14:anchorId="2669C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52" o:spid="_x0000_s4200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E3EF" w14:textId="3FCB3632" w:rsidR="000E590D" w:rsidRDefault="000E590D" w:rsidP="000E590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D37B31A" w14:textId="2C4F1318" w:rsidR="000E590D" w:rsidRDefault="000E590D">
    <w:pPr>
      <w:pStyle w:val="Header"/>
    </w:pPr>
    <w:r>
      <w:rPr>
        <w:noProof/>
      </w:rPr>
      <w:pict w14:anchorId="32957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56" o:spid="_x0000_s4200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12F7" w14:textId="753B4377" w:rsidR="00160455" w:rsidRPr="00160455" w:rsidRDefault="000E590D" w:rsidP="00E773F5">
    <w:pPr>
      <w:spacing w:after="0"/>
      <w:ind w:left="1170" w:hanging="1170"/>
      <w:outlineLvl w:val="0"/>
      <w:rPr>
        <w:rFonts w:ascii="Times New Roman" w:hAnsi="Times New Roman"/>
        <w:sz w:val="20"/>
        <w:szCs w:val="20"/>
      </w:rPr>
    </w:pPr>
    <w:r>
      <w:rPr>
        <w:noProof/>
      </w:rPr>
      <w:pict w14:anchorId="48BF7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39" o:spid="_x0000_s4198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5 (2021)"/>
        </v:shape>
      </w:pict>
    </w:r>
    <w:r w:rsidR="00E773F5">
      <w:rPr>
        <w:rFonts w:ascii="Times New Roman" w:hAnsi="Times New Roman"/>
        <w:sz w:val="20"/>
        <w:szCs w:val="20"/>
      </w:rPr>
      <w:t>Nguyen et al</w:t>
    </w:r>
    <w:r w:rsidR="008E6968" w:rsidRPr="00160455">
      <w:rPr>
        <w:rFonts w:ascii="Times New Roman" w:hAnsi="Times New Roman"/>
        <w:sz w:val="20"/>
        <w:szCs w:val="20"/>
      </w:rPr>
      <w:t xml:space="preserve">: </w:t>
    </w:r>
    <w:r w:rsidR="00E773F5">
      <w:rPr>
        <w:rFonts w:ascii="Times New Roman" w:hAnsi="Times New Roman"/>
        <w:sz w:val="20"/>
        <w:szCs w:val="20"/>
      </w:rPr>
      <w:tab/>
    </w:r>
    <w:r w:rsidR="00160455" w:rsidRPr="00160455">
      <w:rPr>
        <w:rFonts w:ascii="Times New Roman" w:hAnsi="Times New Roman"/>
        <w:sz w:val="20"/>
        <w:szCs w:val="20"/>
      </w:rPr>
      <w:t xml:space="preserve">SPECTROPHOTOMETRIC DETERMINATION OF TOTAL FLAVONOID CONTENTS IN TEA PRODUCTS AND THEIR LIQUORS UNDER VARIOUS BREWING CONDITIONS </w:t>
    </w:r>
  </w:p>
  <w:p w14:paraId="652E6EB3" w14:textId="725C7C3F"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A259" w14:textId="02FB035C" w:rsidR="000E590D" w:rsidRPr="00160455" w:rsidRDefault="000E590D" w:rsidP="000E590D">
    <w:pPr>
      <w:spacing w:after="0"/>
      <w:ind w:left="1170" w:hanging="117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guyen et al</w:t>
    </w:r>
    <w:r w:rsidRPr="00160455">
      <w:rPr>
        <w:rFonts w:ascii="Times New Roman" w:hAnsi="Times New Roman"/>
        <w:sz w:val="20"/>
        <w:szCs w:val="20"/>
      </w:rPr>
      <w:t xml:space="preserve">: </w:t>
    </w:r>
    <w:r>
      <w:rPr>
        <w:rFonts w:ascii="Times New Roman" w:hAnsi="Times New Roman"/>
        <w:sz w:val="20"/>
        <w:szCs w:val="20"/>
      </w:rPr>
      <w:tab/>
    </w:r>
    <w:r w:rsidRPr="00160455">
      <w:rPr>
        <w:rFonts w:ascii="Times New Roman" w:hAnsi="Times New Roman"/>
        <w:sz w:val="20"/>
        <w:szCs w:val="20"/>
      </w:rPr>
      <w:t xml:space="preserve">SPECTROPHOTOMETRIC DETERMINATION OF TOTAL FLAVONOID CONTENTS IN TEA PRODUCTS AND THEIR LIQUORS UNDER VARIOUS BREWING CONDITIONS </w:t>
    </w:r>
  </w:p>
  <w:p w14:paraId="36A95134" w14:textId="31581F5C" w:rsidR="000E590D" w:rsidRDefault="000E590D">
    <w:pPr>
      <w:pStyle w:val="Header"/>
    </w:pPr>
    <w:r>
      <w:rPr>
        <w:noProof/>
      </w:rPr>
      <w:pict w14:anchorId="12891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57" o:spid="_x0000_s4200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0EB4" w14:textId="4971132D" w:rsidR="000E590D" w:rsidRDefault="000E590D">
    <w:pPr>
      <w:pStyle w:val="Header"/>
    </w:pPr>
    <w:r>
      <w:rPr>
        <w:noProof/>
      </w:rPr>
      <w:pict w14:anchorId="5BF10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55" o:spid="_x0000_s4200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8F12" w14:textId="63089A62" w:rsidR="000E590D" w:rsidRDefault="000E590D">
    <w:pPr>
      <w:pStyle w:val="Header"/>
    </w:pPr>
    <w:r>
      <w:rPr>
        <w:noProof/>
      </w:rPr>
      <w:pict w14:anchorId="35679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37" o:spid="_x0000_s4198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F5B8" w14:textId="6F8578B2" w:rsidR="000E590D" w:rsidRDefault="000E590D" w:rsidP="000E590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F45061E" w14:textId="36B1DA2E" w:rsidR="000E590D" w:rsidRDefault="000E590D">
    <w:pPr>
      <w:pStyle w:val="Header"/>
    </w:pPr>
    <w:r>
      <w:rPr>
        <w:noProof/>
      </w:rPr>
      <w:pict w14:anchorId="4E2D3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1" o:spid="_x0000_s4198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B343" w14:textId="7483F55E" w:rsidR="000E590D" w:rsidRPr="00160455" w:rsidRDefault="000E590D" w:rsidP="000E590D">
    <w:pPr>
      <w:spacing w:after="0"/>
      <w:ind w:left="1170" w:hanging="117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guyen et al</w:t>
    </w:r>
    <w:r w:rsidRPr="00160455">
      <w:rPr>
        <w:rFonts w:ascii="Times New Roman" w:hAnsi="Times New Roman"/>
        <w:sz w:val="20"/>
        <w:szCs w:val="20"/>
      </w:rPr>
      <w:t xml:space="preserve">: </w:t>
    </w:r>
    <w:r>
      <w:rPr>
        <w:rFonts w:ascii="Times New Roman" w:hAnsi="Times New Roman"/>
        <w:sz w:val="20"/>
        <w:szCs w:val="20"/>
      </w:rPr>
      <w:tab/>
    </w:r>
    <w:r w:rsidRPr="00160455">
      <w:rPr>
        <w:rFonts w:ascii="Times New Roman" w:hAnsi="Times New Roman"/>
        <w:sz w:val="20"/>
        <w:szCs w:val="20"/>
      </w:rPr>
      <w:t xml:space="preserve">SPECTROPHOTOMETRIC DETERMINATION OF TOTAL FLAVONOID CONTENTS IN TEA PRODUCTS AND THEIR LIQUORS UNDER VARIOUS BREWING CONDITIONS </w:t>
    </w:r>
  </w:p>
  <w:p w14:paraId="45D2FA7D" w14:textId="6A646C6C" w:rsidR="000E590D" w:rsidRDefault="000E590D">
    <w:pPr>
      <w:pStyle w:val="Header"/>
    </w:pPr>
    <w:r>
      <w:rPr>
        <w:noProof/>
      </w:rPr>
      <w:pict w14:anchorId="4C1F5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2" o:spid="_x0000_s4199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DCCC" w14:textId="5347AEF3" w:rsidR="000E590D" w:rsidRDefault="000E590D">
    <w:pPr>
      <w:pStyle w:val="Header"/>
    </w:pPr>
    <w:r>
      <w:rPr>
        <w:noProof/>
      </w:rPr>
      <w:pict w14:anchorId="2CC9C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0" o:spid="_x0000_s4198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313C" w14:textId="7A91AC46" w:rsidR="000E590D" w:rsidRDefault="000E590D" w:rsidP="000E590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4F336DB" w14:textId="3CEA7003" w:rsidR="000E590D" w:rsidRDefault="000E590D">
    <w:pPr>
      <w:pStyle w:val="Header"/>
    </w:pPr>
    <w:r>
      <w:rPr>
        <w:noProof/>
      </w:rPr>
      <w:pict w14:anchorId="1EAF0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4" o:spid="_x0000_s4199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4432" w14:textId="672BD1B8" w:rsidR="000E590D" w:rsidRDefault="000E590D">
    <w:pPr>
      <w:pStyle w:val="Header"/>
    </w:pPr>
    <w:r>
      <w:rPr>
        <w:noProof/>
      </w:rPr>
      <w:pict w14:anchorId="5548D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5" o:spid="_x0000_s4199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245B" w14:textId="7B1265F4" w:rsidR="000E590D" w:rsidRDefault="000E590D">
    <w:pPr>
      <w:pStyle w:val="Header"/>
    </w:pPr>
    <w:r>
      <w:rPr>
        <w:noProof/>
      </w:rPr>
      <w:pict w14:anchorId="49AC8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1443" o:spid="_x0000_s4199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53184"/>
    <w:multiLevelType w:val="hybridMultilevel"/>
    <w:tmpl w:val="8F8A18AA"/>
    <w:lvl w:ilvl="0" w:tplc="A258A6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2E17049"/>
    <w:multiLevelType w:val="hybridMultilevel"/>
    <w:tmpl w:val="C0D2BDB8"/>
    <w:lvl w:ilvl="0" w:tplc="C4E63B9C">
      <w:start w:val="1"/>
      <w:numFmt w:val="decimal"/>
      <w:lvlText w:val="%1."/>
      <w:lvlJc w:val="left"/>
      <w:pPr>
        <w:ind w:left="720" w:hanging="360"/>
      </w:pPr>
      <w:rPr>
        <w:rFonts w:ascii="Times New Roman" w:hAnsi="Times New Roman" w:hint="default"/>
        <w:b w:val="0"/>
        <w:i w:val="0"/>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42006"/>
    <o:shapelayout v:ext="edit">
      <o:idmap v:ext="edit" data="4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90D"/>
    <w:rsid w:val="000E5AF1"/>
    <w:rsid w:val="000F77DA"/>
    <w:rsid w:val="001068E8"/>
    <w:rsid w:val="00117BCD"/>
    <w:rsid w:val="0013035F"/>
    <w:rsid w:val="00160455"/>
    <w:rsid w:val="001B0F9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1F35"/>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4318"/>
    <w:rsid w:val="004B43FF"/>
    <w:rsid w:val="004C6698"/>
    <w:rsid w:val="00502641"/>
    <w:rsid w:val="00510BA6"/>
    <w:rsid w:val="00534441"/>
    <w:rsid w:val="00542CFC"/>
    <w:rsid w:val="00545363"/>
    <w:rsid w:val="00567D9E"/>
    <w:rsid w:val="00583C85"/>
    <w:rsid w:val="00584156"/>
    <w:rsid w:val="005C6768"/>
    <w:rsid w:val="00624C7C"/>
    <w:rsid w:val="0063144D"/>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7F5517"/>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525FB"/>
    <w:rsid w:val="00992776"/>
    <w:rsid w:val="00A14DB9"/>
    <w:rsid w:val="00A4762A"/>
    <w:rsid w:val="00A72CFA"/>
    <w:rsid w:val="00A74A7E"/>
    <w:rsid w:val="00A87399"/>
    <w:rsid w:val="00AD0FBE"/>
    <w:rsid w:val="00AD1B8A"/>
    <w:rsid w:val="00AD76AF"/>
    <w:rsid w:val="00AE713F"/>
    <w:rsid w:val="00B1121C"/>
    <w:rsid w:val="00B25B65"/>
    <w:rsid w:val="00B2770A"/>
    <w:rsid w:val="00B314AD"/>
    <w:rsid w:val="00B36193"/>
    <w:rsid w:val="00B7255A"/>
    <w:rsid w:val="00B75BF6"/>
    <w:rsid w:val="00B95307"/>
    <w:rsid w:val="00B95E42"/>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F2719"/>
    <w:rsid w:val="00E17493"/>
    <w:rsid w:val="00E229C4"/>
    <w:rsid w:val="00E25547"/>
    <w:rsid w:val="00E2773B"/>
    <w:rsid w:val="00E3287E"/>
    <w:rsid w:val="00E66197"/>
    <w:rsid w:val="00E773F5"/>
    <w:rsid w:val="00EB5BA5"/>
    <w:rsid w:val="00EF4195"/>
    <w:rsid w:val="00F202C3"/>
    <w:rsid w:val="00F22166"/>
    <w:rsid w:val="00F23D94"/>
    <w:rsid w:val="00F307D5"/>
    <w:rsid w:val="00F31093"/>
    <w:rsid w:val="00F412AF"/>
    <w:rsid w:val="00F43667"/>
    <w:rsid w:val="00F447A7"/>
    <w:rsid w:val="00F467A2"/>
    <w:rsid w:val="00F567E6"/>
    <w:rsid w:val="00F743E1"/>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2006"/>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4C66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rsid w:val="00AD0FBE"/>
    <w:pPr>
      <w:spacing w:after="120" w:line="240" w:lineRule="auto"/>
      <w:ind w:left="288" w:right="288"/>
    </w:pPr>
    <w:rPr>
      <w:rFonts w:ascii="Times New Roman" w:hAnsi="Times New Roman" w:cs="Angsana New"/>
      <w:b/>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image" Target="media/image5.png"/><Relationship Id="rId40" Type="http://schemas.openxmlformats.org/officeDocument/2006/relationships/footer" Target="footer9.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3.png"/><Relationship Id="rId36"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14.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chart" Target="charts/chart2.xml"/><Relationship Id="rId43" Type="http://schemas.openxmlformats.org/officeDocument/2006/relationships/header" Target="header20.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header" Target="header16.xml"/><Relationship Id="rId46" Type="http://schemas.openxmlformats.org/officeDocument/2006/relationships/header" Target="header21.xml"/><Relationship Id="rId20" Type="http://schemas.openxmlformats.org/officeDocument/2006/relationships/header" Target="header7.xml"/><Relationship Id="rId41" Type="http://schemas.openxmlformats.org/officeDocument/2006/relationships/header" Target="header18.xml"/></Relationships>
</file>

<file path=word/charts/_rels/chart1.xml.rels><?xml version="1.0" encoding="UTF-8" standalone="yes"?>
<Relationships xmlns="http://schemas.openxmlformats.org/package/2006/relationships"><Relationship Id="rId3" Type="http://schemas.openxmlformats.org/officeDocument/2006/relationships/oleObject" Target="file:///D:\K17-KLTN\Copy%20of%20KLTN_Nau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17-KLTN\Copy%20of%20KLTN_Nau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50220515468354"/>
          <c:y val="5.9491617090319089E-2"/>
          <c:w val="0.80900052708575365"/>
          <c:h val="0.7387146914910378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5852406304576791"/>
                  <c:y val="-4.3669054555264646E-3"/>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'Thẩm định'!$C$2:$C$9</c:f>
              <c:numCache>
                <c:formatCode>General</c:formatCode>
                <c:ptCount val="8"/>
                <c:pt idx="0">
                  <c:v>50</c:v>
                </c:pt>
                <c:pt idx="1">
                  <c:v>100</c:v>
                </c:pt>
                <c:pt idx="2">
                  <c:v>200</c:v>
                </c:pt>
                <c:pt idx="3">
                  <c:v>300</c:v>
                </c:pt>
                <c:pt idx="4">
                  <c:v>400</c:v>
                </c:pt>
                <c:pt idx="5">
                  <c:v>500</c:v>
                </c:pt>
                <c:pt idx="6">
                  <c:v>600</c:v>
                </c:pt>
                <c:pt idx="7">
                  <c:v>700</c:v>
                </c:pt>
              </c:numCache>
            </c:numRef>
          </c:xVal>
          <c:yVal>
            <c:numRef>
              <c:f>'Thẩm định'!$E$2:$E$9</c:f>
              <c:numCache>
                <c:formatCode>0.0000</c:formatCode>
                <c:ptCount val="8"/>
                <c:pt idx="0">
                  <c:v>0.15539999999999998</c:v>
                </c:pt>
                <c:pt idx="1">
                  <c:v>0.21819999999999998</c:v>
                </c:pt>
                <c:pt idx="2">
                  <c:v>0.34460000000000002</c:v>
                </c:pt>
                <c:pt idx="3">
                  <c:v>0.46110000000000007</c:v>
                </c:pt>
                <c:pt idx="4">
                  <c:v>0.58560000000000001</c:v>
                </c:pt>
                <c:pt idx="5">
                  <c:v>0.73930000000000007</c:v>
                </c:pt>
                <c:pt idx="6">
                  <c:v>0.88009999999999999</c:v>
                </c:pt>
                <c:pt idx="7">
                  <c:v>0.9708</c:v>
                </c:pt>
              </c:numCache>
            </c:numRef>
          </c:yVal>
          <c:smooth val="0"/>
          <c:extLst>
            <c:ext xmlns:c16="http://schemas.microsoft.com/office/drawing/2014/chart" uri="{C3380CC4-5D6E-409C-BE32-E72D297353CC}">
              <c16:uniqueId val="{00000001-920B-46C9-BC58-DFCC7FD11AC4}"/>
            </c:ext>
          </c:extLst>
        </c:ser>
        <c:dLbls>
          <c:showLegendKey val="0"/>
          <c:showVal val="0"/>
          <c:showCatName val="0"/>
          <c:showSerName val="0"/>
          <c:showPercent val="0"/>
          <c:showBubbleSize val="0"/>
        </c:dLbls>
        <c:axId val="1405588848"/>
        <c:axId val="1405589392"/>
      </c:scatterChart>
      <c:valAx>
        <c:axId val="14055888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a:t>
                </a:r>
                <a:r>
                  <a:rPr lang="en-US" sz="900" b="1" i="0" u="none" strike="noStrike" baseline="0">
                    <a:effectLst/>
                  </a:rPr>
                  <a:t>mg L</a:t>
                </a:r>
                <a:r>
                  <a:rPr lang="en-US" sz="900" b="1" i="0" u="none" strike="noStrike" baseline="30000">
                    <a:effectLst/>
                  </a:rPr>
                  <a:t>–1</a:t>
                </a:r>
                <a:r>
                  <a:rPr lang="en-US" sz="900" b="1" i="0" u="none" strike="noStrike" baseline="0">
                    <a:effectLst/>
                  </a:rPr>
                  <a:t>)</a:t>
                </a:r>
                <a:endParaRPr lang="en-US" sz="900" b="1"/>
              </a:p>
            </c:rich>
          </c:tx>
          <c:layout>
            <c:manualLayout>
              <c:xMode val="edge"/>
              <c:yMode val="edge"/>
              <c:x val="0.38713910761154863"/>
              <c:y val="0.88372093023255816"/>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9392"/>
        <c:crosses val="autoZero"/>
        <c:crossBetween val="midCat"/>
      </c:valAx>
      <c:valAx>
        <c:axId val="14055893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Abs</a:t>
                </a:r>
              </a:p>
            </c:rich>
          </c:tx>
          <c:layout>
            <c:manualLayout>
              <c:xMode val="edge"/>
              <c:yMode val="edge"/>
              <c:x val="1.2428682070478895E-2"/>
              <c:y val="0.3974223138278618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8848"/>
        <c:crosses val="autoZero"/>
        <c:crossBetween val="midCat"/>
        <c:majorUnit val="0.2"/>
      </c:valAx>
      <c:spPr>
        <a:noFill/>
        <a:ln w="9525">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8123720941295"/>
          <c:y val="4.3658009963526652E-2"/>
          <c:w val="0.8731309161468096"/>
          <c:h val="0.68414654862304647"/>
        </c:manualLayout>
      </c:layout>
      <c:barChart>
        <c:barDir val="col"/>
        <c:grouping val="clustered"/>
        <c:varyColors val="0"/>
        <c:ser>
          <c:idx val="0"/>
          <c:order val="0"/>
          <c:spPr>
            <a:solidFill>
              <a:schemeClr val="accent1"/>
            </a:solidFill>
            <a:ln w="6350">
              <a:solidFill>
                <a:sysClr val="windowText" lastClr="000000"/>
              </a:solidFill>
            </a:ln>
            <a:effectLst/>
          </c:spPr>
          <c:invertIfNegative val="0"/>
          <c:dPt>
            <c:idx val="0"/>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1-6F02-4A1B-9F23-6002220B3C14}"/>
              </c:ext>
            </c:extLst>
          </c:dPt>
          <c:dPt>
            <c:idx val="1"/>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3-6F02-4A1B-9F23-6002220B3C14}"/>
              </c:ext>
            </c:extLst>
          </c:dPt>
          <c:dPt>
            <c:idx val="2"/>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5-6F02-4A1B-9F23-6002220B3C14}"/>
              </c:ext>
            </c:extLst>
          </c:dPt>
          <c:dPt>
            <c:idx val="3"/>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7-6F02-4A1B-9F23-6002220B3C14}"/>
              </c:ext>
            </c:extLst>
          </c:dPt>
          <c:dPt>
            <c:idx val="4"/>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9-6F02-4A1B-9F23-6002220B3C14}"/>
              </c:ext>
            </c:extLst>
          </c:dPt>
          <c:dPt>
            <c:idx val="5"/>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B-6F02-4A1B-9F23-6002220B3C14}"/>
              </c:ext>
            </c:extLst>
          </c:dPt>
          <c:dPt>
            <c:idx val="6"/>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D-6F02-4A1B-9F23-6002220B3C14}"/>
              </c:ext>
            </c:extLst>
          </c:dPt>
          <c:dPt>
            <c:idx val="7"/>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F-6F02-4A1B-9F23-6002220B3C14}"/>
              </c:ext>
            </c:extLst>
          </c:dPt>
          <c:dPt>
            <c:idx val="8"/>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1-6F02-4A1B-9F23-6002220B3C14}"/>
              </c:ext>
            </c:extLst>
          </c:dPt>
          <c:dPt>
            <c:idx val="9"/>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3-6F02-4A1B-9F23-6002220B3C14}"/>
              </c:ext>
            </c:extLst>
          </c:dPt>
          <c:dPt>
            <c:idx val="10"/>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5-6F02-4A1B-9F23-6002220B3C14}"/>
              </c:ext>
            </c:extLst>
          </c:dPt>
          <c:dPt>
            <c:idx val="11"/>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7-6F02-4A1B-9F23-6002220B3C14}"/>
              </c:ext>
            </c:extLst>
          </c:dPt>
          <c:dPt>
            <c:idx val="12"/>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9-6F02-4A1B-9F23-6002220B3C14}"/>
              </c:ext>
            </c:extLst>
          </c:dPt>
          <c:dPt>
            <c:idx val="13"/>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B-6F02-4A1B-9F23-6002220B3C14}"/>
              </c:ext>
            </c:extLst>
          </c:dPt>
          <c:dPt>
            <c:idx val="14"/>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D-6F02-4A1B-9F23-6002220B3C14}"/>
              </c:ext>
            </c:extLst>
          </c:dPt>
          <c:dPt>
            <c:idx val="15"/>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F-6F02-4A1B-9F23-6002220B3C14}"/>
              </c:ext>
            </c:extLst>
          </c:dPt>
          <c:dPt>
            <c:idx val="16"/>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21-6F02-4A1B-9F23-6002220B3C14}"/>
              </c:ext>
            </c:extLst>
          </c:dPt>
          <c:dPt>
            <c:idx val="17"/>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23-6F02-4A1B-9F23-6002220B3C14}"/>
              </c:ext>
            </c:extLst>
          </c:dPt>
          <c:errBars>
            <c:errBarType val="both"/>
            <c:errValType val="cust"/>
            <c:noEndCap val="0"/>
            <c:plus>
              <c:numRef>
                <c:f>'Flavonoid tổng'!$D$89:$D$100</c:f>
                <c:numCache>
                  <c:formatCode>General</c:formatCode>
                  <c:ptCount val="12"/>
                  <c:pt idx="0">
                    <c:v>1.1049029359347289</c:v>
                  </c:pt>
                  <c:pt idx="1">
                    <c:v>0.17411991019377257</c:v>
                  </c:pt>
                  <c:pt idx="2">
                    <c:v>1.0856488306971157</c:v>
                  </c:pt>
                  <c:pt idx="3">
                    <c:v>1.6601658878971783</c:v>
                  </c:pt>
                  <c:pt idx="4">
                    <c:v>1.0079117802479318</c:v>
                  </c:pt>
                  <c:pt idx="5">
                    <c:v>1.308609837698109</c:v>
                  </c:pt>
                  <c:pt idx="6">
                    <c:v>1.2041774653075743</c:v>
                  </c:pt>
                  <c:pt idx="7">
                    <c:v>1.0467779710419158</c:v>
                  </c:pt>
                  <c:pt idx="8">
                    <c:v>1.0482593149265225</c:v>
                  </c:pt>
                  <c:pt idx="9">
                    <c:v>0.83953369442771153</c:v>
                  </c:pt>
                  <c:pt idx="10">
                    <c:v>1.5290574865686752</c:v>
                  </c:pt>
                  <c:pt idx="11">
                    <c:v>1.8933745065437717</c:v>
                  </c:pt>
                </c:numCache>
              </c:numRef>
            </c:plus>
            <c:minus>
              <c:numRef>
                <c:f>'Flavonoid tổng'!$D$89:$D$100</c:f>
                <c:numCache>
                  <c:formatCode>General</c:formatCode>
                  <c:ptCount val="12"/>
                  <c:pt idx="0">
                    <c:v>1.1049029359347289</c:v>
                  </c:pt>
                  <c:pt idx="1">
                    <c:v>0.17411991019377257</c:v>
                  </c:pt>
                  <c:pt idx="2">
                    <c:v>1.0856488306971157</c:v>
                  </c:pt>
                  <c:pt idx="3">
                    <c:v>1.6601658878971783</c:v>
                  </c:pt>
                  <c:pt idx="4">
                    <c:v>1.0079117802479318</c:v>
                  </c:pt>
                  <c:pt idx="5">
                    <c:v>1.308609837698109</c:v>
                  </c:pt>
                  <c:pt idx="6">
                    <c:v>1.2041774653075743</c:v>
                  </c:pt>
                  <c:pt idx="7">
                    <c:v>1.0467779710419158</c:v>
                  </c:pt>
                  <c:pt idx="8">
                    <c:v>1.0482593149265225</c:v>
                  </c:pt>
                  <c:pt idx="9">
                    <c:v>0.83953369442771153</c:v>
                  </c:pt>
                  <c:pt idx="10">
                    <c:v>1.5290574865686752</c:v>
                  </c:pt>
                  <c:pt idx="11">
                    <c:v>1.8933745065437717</c:v>
                  </c:pt>
                </c:numCache>
              </c:numRef>
            </c:minus>
            <c:spPr>
              <a:noFill/>
              <a:ln w="9525" cap="flat" cmpd="sng" algn="ctr">
                <a:solidFill>
                  <a:schemeClr val="tx1">
                    <a:lumMod val="65000"/>
                    <a:lumOff val="35000"/>
                  </a:schemeClr>
                </a:solidFill>
                <a:round/>
              </a:ln>
              <a:effectLst/>
            </c:spPr>
          </c:errBars>
          <c:cat>
            <c:strRef>
              <c:f>'Flavonoid tổng'!$B$89:$B$106</c:f>
              <c:strCache>
                <c:ptCount val="18"/>
                <c:pt idx="0">
                  <c:v>Black-1</c:v>
                </c:pt>
                <c:pt idx="1">
                  <c:v>Black-2</c:v>
                </c:pt>
                <c:pt idx="2">
                  <c:v>Black-3</c:v>
                </c:pt>
                <c:pt idx="3">
                  <c:v>Green-1</c:v>
                </c:pt>
                <c:pt idx="4">
                  <c:v>Green-2</c:v>
                </c:pt>
                <c:pt idx="5">
                  <c:v>Green-3</c:v>
                </c:pt>
                <c:pt idx="6">
                  <c:v>White-1</c:v>
                </c:pt>
                <c:pt idx="7">
                  <c:v>White-2</c:v>
                </c:pt>
                <c:pt idx="8">
                  <c:v>White-3</c:v>
                </c:pt>
                <c:pt idx="9">
                  <c:v>Pu'er-1</c:v>
                </c:pt>
                <c:pt idx="10">
                  <c:v>Pu'er-2</c:v>
                </c:pt>
                <c:pt idx="11">
                  <c:v>Pu'er-3</c:v>
                </c:pt>
                <c:pt idx="12">
                  <c:v>Green-4</c:v>
                </c:pt>
                <c:pt idx="13">
                  <c:v>Green-5</c:v>
                </c:pt>
                <c:pt idx="14">
                  <c:v>Green-6</c:v>
                </c:pt>
                <c:pt idx="15">
                  <c:v>Oolong-1</c:v>
                </c:pt>
                <c:pt idx="16">
                  <c:v>Oolong-2</c:v>
                </c:pt>
                <c:pt idx="17">
                  <c:v>Oolong-3</c:v>
                </c:pt>
              </c:strCache>
            </c:strRef>
          </c:cat>
          <c:val>
            <c:numRef>
              <c:f>'Flavonoid tổng'!$C$89:$C$106</c:f>
              <c:numCache>
                <c:formatCode>0.00</c:formatCode>
                <c:ptCount val="18"/>
                <c:pt idx="0">
                  <c:v>60.830722245088907</c:v>
                </c:pt>
                <c:pt idx="1">
                  <c:v>77.000141413546388</c:v>
                </c:pt>
                <c:pt idx="2">
                  <c:v>89.721789178274435</c:v>
                </c:pt>
                <c:pt idx="3">
                  <c:v>142.22314758332161</c:v>
                </c:pt>
                <c:pt idx="4">
                  <c:v>140.14560784545276</c:v>
                </c:pt>
                <c:pt idx="5">
                  <c:v>155.27114480431155</c:v>
                </c:pt>
                <c:pt idx="6">
                  <c:v>96.04608700136987</c:v>
                </c:pt>
                <c:pt idx="7">
                  <c:v>95.346362776068943</c:v>
                </c:pt>
                <c:pt idx="8">
                  <c:v>98.964952320388306</c:v>
                </c:pt>
                <c:pt idx="9">
                  <c:v>108.54358245697786</c:v>
                </c:pt>
                <c:pt idx="10">
                  <c:v>141.82217900513194</c:v>
                </c:pt>
                <c:pt idx="11">
                  <c:v>116.89179974961588</c:v>
                </c:pt>
                <c:pt idx="12">
                  <c:v>96.214448436398982</c:v>
                </c:pt>
                <c:pt idx="13">
                  <c:v>90.342699505505323</c:v>
                </c:pt>
                <c:pt idx="14">
                  <c:v>85.200915958199502</c:v>
                </c:pt>
                <c:pt idx="15">
                  <c:v>59.776414830194305</c:v>
                </c:pt>
                <c:pt idx="16">
                  <c:v>42.007153253085377</c:v>
                </c:pt>
                <c:pt idx="17">
                  <c:v>44.384029958933638</c:v>
                </c:pt>
              </c:numCache>
            </c:numRef>
          </c:val>
          <c:extLst>
            <c:ext xmlns:c16="http://schemas.microsoft.com/office/drawing/2014/chart" uri="{C3380CC4-5D6E-409C-BE32-E72D297353CC}">
              <c16:uniqueId val="{00000024-6F02-4A1B-9F23-6002220B3C14}"/>
            </c:ext>
          </c:extLst>
        </c:ser>
        <c:dLbls>
          <c:showLegendKey val="0"/>
          <c:showVal val="0"/>
          <c:showCatName val="0"/>
          <c:showSerName val="0"/>
          <c:showPercent val="0"/>
          <c:showBubbleSize val="0"/>
        </c:dLbls>
        <c:gapWidth val="150"/>
        <c:axId val="1405585584"/>
        <c:axId val="1405582320"/>
      </c:barChart>
      <c:catAx>
        <c:axId val="1405585584"/>
        <c:scaling>
          <c:orientation val="minMax"/>
        </c:scaling>
        <c:delete val="0"/>
        <c:axPos val="b"/>
        <c:numFmt formatCode="General" sourceLinked="1"/>
        <c:majorTickMark val="none"/>
        <c:minorTickMark val="out"/>
        <c:tickLblPos val="low"/>
        <c:spPr>
          <a:noFill/>
          <a:ln w="12700" cap="flat" cmpd="sng" algn="ctr">
            <a:solidFill>
              <a:sysClr val="windowText" lastClr="000000"/>
            </a:solidFill>
            <a:round/>
          </a:ln>
          <a:effectLst/>
        </c:spPr>
        <c:txPr>
          <a:bodyPr rot="-3000000" spcFirstLastPara="1" vertOverflow="ellipsis" wrap="square" anchor="t" anchorCtr="0"/>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2320"/>
        <c:crosses val="autoZero"/>
        <c:auto val="1"/>
        <c:lblAlgn val="ctr"/>
        <c:lblOffset val="120"/>
        <c:noMultiLvlLbl val="0"/>
      </c:catAx>
      <c:valAx>
        <c:axId val="1405582320"/>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TFCs </a:t>
                </a:r>
                <a:r>
                  <a:rPr lang="en-US" sz="900" b="1" baseline="0"/>
                  <a:t>(</a:t>
                </a:r>
                <a:r>
                  <a:rPr lang="en-US" sz="900" b="1"/>
                  <a:t>mg QE</a:t>
                </a:r>
                <a:r>
                  <a:rPr lang="en-US" sz="900" b="1" baseline="0"/>
                  <a:t> </a:t>
                </a:r>
                <a:r>
                  <a:rPr lang="en-US" sz="900" b="1"/>
                  <a:t>g</a:t>
                </a:r>
                <a:r>
                  <a:rPr lang="en-US" sz="900" b="1" baseline="30000"/>
                  <a:t>-1</a:t>
                </a:r>
                <a:r>
                  <a:rPr lang="en-US" sz="900" b="1"/>
                  <a:t>)</a:t>
                </a:r>
              </a:p>
            </c:rich>
          </c:tx>
          <c:layout>
            <c:manualLayout>
              <c:xMode val="edge"/>
              <c:yMode val="edge"/>
              <c:x val="1.3031326817852892E-2"/>
              <c:y val="0.2083224462413050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558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9170</Words>
  <Characters>52272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UKM</Company>
  <LinksUpToDate>false</LinksUpToDate>
  <CharactersWithSpaces>61320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3</cp:revision>
  <cp:lastPrinted>2021-10-03T08:03:00Z</cp:lastPrinted>
  <dcterms:created xsi:type="dcterms:W3CDTF">2021-10-03T07:58:00Z</dcterms:created>
  <dcterms:modified xsi:type="dcterms:W3CDTF">2021-10-03T08:21:00Z</dcterms:modified>
</cp:coreProperties>
</file>