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1160EE18"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F94289">
        <w:rPr>
          <w:rFonts w:ascii="Times New Roman" w:hAnsi="Times New Roman" w:cs="Times New Roman"/>
          <w:b/>
          <w:i/>
          <w:sz w:val="24"/>
          <w:szCs w:val="24"/>
        </w:rPr>
        <w:t>4</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2C767B">
        <w:rPr>
          <w:rFonts w:ascii="Times New Roman" w:hAnsi="Times New Roman" w:cs="Times New Roman"/>
          <w:b/>
          <w:i/>
          <w:sz w:val="24"/>
          <w:szCs w:val="24"/>
        </w:rPr>
        <w:t>669</w:t>
      </w:r>
      <w:r w:rsidR="00F94289">
        <w:rPr>
          <w:rFonts w:ascii="Times New Roman" w:hAnsi="Times New Roman" w:cs="Times New Roman"/>
          <w:b/>
          <w:i/>
          <w:sz w:val="24"/>
          <w:szCs w:val="24"/>
        </w:rPr>
        <w:t xml:space="preserve"> - </w:t>
      </w:r>
      <w:r w:rsidR="002C767B">
        <w:rPr>
          <w:rFonts w:ascii="Times New Roman" w:hAnsi="Times New Roman" w:cs="Times New Roman"/>
          <w:b/>
          <w:i/>
          <w:sz w:val="24"/>
          <w:szCs w:val="24"/>
        </w:rPr>
        <w:t>677</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4E9AB9E0" w14:textId="77777777" w:rsidR="002C767B" w:rsidRPr="00715172" w:rsidRDefault="002C767B" w:rsidP="002C767B">
      <w:pPr>
        <w:autoSpaceDE w:val="0"/>
        <w:autoSpaceDN w:val="0"/>
        <w:adjustRightInd w:val="0"/>
        <w:spacing w:after="0"/>
        <w:jc w:val="center"/>
        <w:rPr>
          <w:rFonts w:ascii="Times New Roman" w:eastAsia="Calibri" w:hAnsi="Times New Roman"/>
          <w:noProof/>
          <w:sz w:val="28"/>
          <w:szCs w:val="28"/>
        </w:rPr>
      </w:pPr>
      <w:r w:rsidRPr="00B43B8D">
        <w:rPr>
          <w:rFonts w:ascii="Times New Roman" w:eastAsia="Calibri" w:hAnsi="Times New Roman"/>
          <w:noProof/>
          <w:sz w:val="28"/>
          <w:szCs w:val="28"/>
        </w:rPr>
        <w:t>SYNTHESIS AND CHARACTERIZATION OF ACETOL FROM</w:t>
      </w:r>
      <w:r>
        <w:rPr>
          <w:rFonts w:ascii="Times New Roman" w:eastAsia="Calibri" w:hAnsi="Times New Roman"/>
          <w:noProof/>
          <w:sz w:val="28"/>
          <w:szCs w:val="28"/>
        </w:rPr>
        <w:t xml:space="preserve"> </w:t>
      </w:r>
      <w:r w:rsidRPr="00B43B8D">
        <w:rPr>
          <w:rFonts w:ascii="Times New Roman" w:eastAsia="Calibri" w:hAnsi="Times New Roman"/>
          <w:noProof/>
          <w:sz w:val="28"/>
          <w:szCs w:val="28"/>
        </w:rPr>
        <w:t>PALM-BASED GLYCEROL</w:t>
      </w:r>
    </w:p>
    <w:p w14:paraId="20D9B831" w14:textId="77777777" w:rsidR="002C767B" w:rsidRPr="00B43B8D" w:rsidRDefault="002C767B" w:rsidP="002C767B">
      <w:pPr>
        <w:autoSpaceDE w:val="0"/>
        <w:autoSpaceDN w:val="0"/>
        <w:adjustRightInd w:val="0"/>
        <w:spacing w:after="0"/>
        <w:jc w:val="center"/>
        <w:rPr>
          <w:rFonts w:ascii="Times New Roman" w:eastAsia="Calibri" w:hAnsi="Times New Roman"/>
          <w:noProof/>
          <w:sz w:val="24"/>
          <w:szCs w:val="24"/>
        </w:rPr>
      </w:pPr>
    </w:p>
    <w:p w14:paraId="5B7C0644" w14:textId="77777777" w:rsidR="002C767B" w:rsidRPr="00B43B8D" w:rsidRDefault="002C767B" w:rsidP="002C767B">
      <w:pPr>
        <w:autoSpaceDE w:val="0"/>
        <w:autoSpaceDN w:val="0"/>
        <w:adjustRightInd w:val="0"/>
        <w:spacing w:after="0"/>
        <w:jc w:val="center"/>
        <w:rPr>
          <w:rFonts w:ascii="Times New Roman" w:eastAsia="Calibri" w:hAnsi="Times New Roman"/>
          <w:noProof/>
          <w:sz w:val="24"/>
          <w:szCs w:val="24"/>
        </w:rPr>
      </w:pPr>
      <w:r w:rsidRPr="00B43B8D">
        <w:rPr>
          <w:rFonts w:ascii="Times New Roman" w:eastAsia="Calibri" w:hAnsi="Times New Roman"/>
          <w:noProof/>
          <w:sz w:val="24"/>
          <w:szCs w:val="24"/>
        </w:rPr>
        <w:t>(Sintesis dan Pencirian Asetol daripada Gliserol Berasaskan Sawit)</w:t>
      </w:r>
    </w:p>
    <w:p w14:paraId="40095012" w14:textId="77777777" w:rsidR="002C767B" w:rsidRPr="00B43B8D" w:rsidRDefault="002C767B" w:rsidP="002C767B">
      <w:pPr>
        <w:autoSpaceDE w:val="0"/>
        <w:autoSpaceDN w:val="0"/>
        <w:adjustRightInd w:val="0"/>
        <w:spacing w:after="0"/>
        <w:jc w:val="center"/>
        <w:rPr>
          <w:rFonts w:ascii="Times New Roman" w:eastAsia="Calibri" w:hAnsi="Times New Roman"/>
          <w:noProof/>
          <w:sz w:val="20"/>
          <w:szCs w:val="20"/>
        </w:rPr>
      </w:pPr>
    </w:p>
    <w:p w14:paraId="4051958F" w14:textId="05E0C626" w:rsidR="002C767B" w:rsidRPr="00B43B8D" w:rsidRDefault="002C767B" w:rsidP="002C767B">
      <w:pPr>
        <w:autoSpaceDE w:val="0"/>
        <w:autoSpaceDN w:val="0"/>
        <w:adjustRightInd w:val="0"/>
        <w:spacing w:after="0"/>
        <w:jc w:val="center"/>
        <w:rPr>
          <w:rFonts w:ascii="Times New Roman" w:eastAsia="Calibri" w:hAnsi="Times New Roman"/>
          <w:noProof/>
          <w:sz w:val="20"/>
          <w:szCs w:val="20"/>
        </w:rPr>
      </w:pPr>
      <w:r w:rsidRPr="00B43B8D">
        <w:rPr>
          <w:rFonts w:ascii="Times New Roman" w:eastAsia="Calibri" w:hAnsi="Times New Roman"/>
          <w:noProof/>
          <w:sz w:val="20"/>
          <w:szCs w:val="20"/>
        </w:rPr>
        <w:t>Roila Awang</w:t>
      </w:r>
      <w:r w:rsidRPr="00B43B8D">
        <w:rPr>
          <w:rFonts w:ascii="Times New Roman" w:eastAsia="Calibri" w:hAnsi="Times New Roman"/>
          <w:noProof/>
          <w:sz w:val="20"/>
          <w:szCs w:val="20"/>
          <w:vertAlign w:val="superscript"/>
        </w:rPr>
        <w:t>1</w:t>
      </w:r>
      <w:r w:rsidRPr="00B43B8D">
        <w:rPr>
          <w:rFonts w:ascii="Times New Roman" w:eastAsia="Calibri" w:hAnsi="Times New Roman"/>
          <w:noProof/>
          <w:sz w:val="20"/>
          <w:szCs w:val="20"/>
        </w:rPr>
        <w:t>*</w:t>
      </w:r>
      <w:r w:rsidRPr="00B43B8D">
        <w:rPr>
          <w:rFonts w:ascii="Times New Roman" w:eastAsia="Calibri" w:hAnsi="Times New Roman"/>
          <w:noProof/>
          <w:sz w:val="20"/>
          <w:szCs w:val="20"/>
          <w:vertAlign w:val="superscript"/>
        </w:rPr>
        <w:t xml:space="preserve"> </w:t>
      </w:r>
      <w:r w:rsidRPr="00B43B8D">
        <w:rPr>
          <w:rFonts w:ascii="Times New Roman" w:eastAsia="Calibri" w:hAnsi="Times New Roman"/>
          <w:noProof/>
          <w:sz w:val="20"/>
          <w:szCs w:val="20"/>
        </w:rPr>
        <w:t>and</w:t>
      </w:r>
      <w:r w:rsidRPr="00B43B8D">
        <w:rPr>
          <w:rFonts w:ascii="Times New Roman" w:eastAsia="Calibri" w:hAnsi="Times New Roman"/>
          <w:noProof/>
          <w:sz w:val="20"/>
          <w:szCs w:val="20"/>
          <w:vertAlign w:val="superscript"/>
        </w:rPr>
        <w:t xml:space="preserve"> </w:t>
      </w:r>
      <w:r w:rsidRPr="00B43B8D">
        <w:rPr>
          <w:rFonts w:ascii="Times New Roman" w:eastAsia="Calibri" w:hAnsi="Times New Roman"/>
          <w:noProof/>
          <w:sz w:val="20"/>
          <w:szCs w:val="20"/>
        </w:rPr>
        <w:t>Mohamad Hanif Mohamed</w:t>
      </w:r>
      <w:r w:rsidRPr="00B43B8D">
        <w:rPr>
          <w:rFonts w:ascii="Times New Roman" w:eastAsia="Calibri" w:hAnsi="Times New Roman"/>
          <w:noProof/>
          <w:sz w:val="20"/>
          <w:szCs w:val="20"/>
          <w:vertAlign w:val="superscript"/>
        </w:rPr>
        <w:t>2</w:t>
      </w:r>
    </w:p>
    <w:p w14:paraId="14E372AF" w14:textId="77777777" w:rsidR="002C767B" w:rsidRPr="002C767B" w:rsidRDefault="002C767B" w:rsidP="002C767B">
      <w:pPr>
        <w:autoSpaceDE w:val="0"/>
        <w:autoSpaceDN w:val="0"/>
        <w:adjustRightInd w:val="0"/>
        <w:spacing w:after="0"/>
        <w:jc w:val="center"/>
        <w:rPr>
          <w:rFonts w:ascii="Times New Roman" w:eastAsia="Calibri" w:hAnsi="Times New Roman"/>
          <w:noProof/>
          <w:sz w:val="20"/>
          <w:szCs w:val="20"/>
          <w:vertAlign w:val="superscript"/>
        </w:rPr>
      </w:pPr>
    </w:p>
    <w:p w14:paraId="74B34DFB" w14:textId="77777777" w:rsidR="002C767B" w:rsidRPr="002C767B" w:rsidRDefault="002C767B" w:rsidP="002C767B">
      <w:pPr>
        <w:autoSpaceDE w:val="0"/>
        <w:autoSpaceDN w:val="0"/>
        <w:adjustRightInd w:val="0"/>
        <w:spacing w:after="0"/>
        <w:jc w:val="center"/>
        <w:rPr>
          <w:rFonts w:ascii="Times New Roman" w:eastAsia="Calibri" w:hAnsi="Times New Roman"/>
          <w:i/>
          <w:iCs/>
          <w:noProof/>
          <w:sz w:val="20"/>
          <w:szCs w:val="20"/>
        </w:rPr>
      </w:pPr>
      <w:r w:rsidRPr="002C767B">
        <w:rPr>
          <w:rFonts w:ascii="Times New Roman" w:eastAsia="Calibri" w:hAnsi="Times New Roman"/>
          <w:i/>
          <w:iCs/>
          <w:noProof/>
          <w:sz w:val="20"/>
          <w:szCs w:val="20"/>
          <w:vertAlign w:val="superscript"/>
        </w:rPr>
        <w:t>1</w:t>
      </w:r>
      <w:r w:rsidRPr="002C767B">
        <w:rPr>
          <w:rFonts w:ascii="Times New Roman" w:eastAsia="Calibri" w:hAnsi="Times New Roman"/>
          <w:i/>
          <w:iCs/>
          <w:noProof/>
          <w:sz w:val="20"/>
          <w:szCs w:val="20"/>
        </w:rPr>
        <w:t>Engineering and Processing Division,</w:t>
      </w:r>
    </w:p>
    <w:p w14:paraId="1DC38F0C" w14:textId="77777777" w:rsidR="002C767B" w:rsidRPr="002C767B" w:rsidRDefault="002C767B" w:rsidP="002C767B">
      <w:pPr>
        <w:autoSpaceDE w:val="0"/>
        <w:autoSpaceDN w:val="0"/>
        <w:adjustRightInd w:val="0"/>
        <w:spacing w:after="0"/>
        <w:jc w:val="center"/>
        <w:rPr>
          <w:rFonts w:ascii="Times New Roman" w:eastAsia="Calibri" w:hAnsi="Times New Roman"/>
          <w:i/>
          <w:iCs/>
          <w:noProof/>
          <w:sz w:val="20"/>
          <w:szCs w:val="20"/>
        </w:rPr>
      </w:pPr>
      <w:r w:rsidRPr="002C767B">
        <w:rPr>
          <w:rFonts w:ascii="Times New Roman" w:eastAsia="Calibri" w:hAnsi="Times New Roman"/>
          <w:i/>
          <w:iCs/>
          <w:noProof/>
          <w:sz w:val="20"/>
          <w:szCs w:val="20"/>
        </w:rPr>
        <w:t>Malaysian Palm Oil Board No.6, Persiaran Institusi, Bandar Baru Bangi, 43000 Kajang, Selangor, Malaysia</w:t>
      </w:r>
    </w:p>
    <w:p w14:paraId="3081824A" w14:textId="77777777" w:rsidR="00C00C94" w:rsidRDefault="002C767B" w:rsidP="00C00C94">
      <w:pPr>
        <w:autoSpaceDE w:val="0"/>
        <w:autoSpaceDN w:val="0"/>
        <w:adjustRightInd w:val="0"/>
        <w:spacing w:after="0"/>
        <w:jc w:val="center"/>
        <w:rPr>
          <w:rFonts w:ascii="Times New Roman" w:eastAsia="Calibri" w:hAnsi="Times New Roman"/>
          <w:i/>
          <w:iCs/>
          <w:noProof/>
          <w:sz w:val="20"/>
          <w:szCs w:val="20"/>
        </w:rPr>
      </w:pPr>
      <w:r w:rsidRPr="002C767B">
        <w:rPr>
          <w:rFonts w:ascii="Times New Roman" w:eastAsia="Calibri" w:hAnsi="Times New Roman"/>
          <w:i/>
          <w:iCs/>
          <w:noProof/>
          <w:sz w:val="20"/>
          <w:szCs w:val="20"/>
          <w:vertAlign w:val="superscript"/>
        </w:rPr>
        <w:t>2</w:t>
      </w:r>
      <w:r w:rsidRPr="002C767B">
        <w:rPr>
          <w:rFonts w:ascii="Times New Roman" w:eastAsia="Calibri" w:hAnsi="Times New Roman"/>
          <w:i/>
          <w:iCs/>
          <w:noProof/>
          <w:sz w:val="20"/>
          <w:szCs w:val="20"/>
        </w:rPr>
        <w:t>Department of Chemistry,</w:t>
      </w:r>
      <w:r w:rsidR="00C00C94">
        <w:rPr>
          <w:rFonts w:ascii="Times New Roman" w:eastAsia="Calibri" w:hAnsi="Times New Roman"/>
          <w:i/>
          <w:iCs/>
          <w:noProof/>
          <w:sz w:val="20"/>
          <w:szCs w:val="20"/>
        </w:rPr>
        <w:t xml:space="preserve"> </w:t>
      </w:r>
      <w:r w:rsidRPr="002C767B">
        <w:rPr>
          <w:rFonts w:ascii="Times New Roman" w:eastAsia="Calibri" w:hAnsi="Times New Roman"/>
          <w:i/>
          <w:iCs/>
          <w:noProof/>
          <w:sz w:val="20"/>
          <w:szCs w:val="20"/>
        </w:rPr>
        <w:t xml:space="preserve">Faculty of Science, </w:t>
      </w:r>
    </w:p>
    <w:p w14:paraId="06580E32" w14:textId="69D521E0" w:rsidR="002C767B" w:rsidRPr="002C767B" w:rsidRDefault="002C767B" w:rsidP="00C00C94">
      <w:pPr>
        <w:autoSpaceDE w:val="0"/>
        <w:autoSpaceDN w:val="0"/>
        <w:adjustRightInd w:val="0"/>
        <w:spacing w:after="0"/>
        <w:jc w:val="center"/>
        <w:rPr>
          <w:rFonts w:ascii="Times New Roman" w:eastAsia="Calibri" w:hAnsi="Times New Roman"/>
          <w:i/>
          <w:iCs/>
          <w:noProof/>
          <w:sz w:val="20"/>
          <w:szCs w:val="20"/>
        </w:rPr>
      </w:pPr>
      <w:r w:rsidRPr="002C767B">
        <w:rPr>
          <w:rFonts w:ascii="Times New Roman" w:eastAsia="Calibri" w:hAnsi="Times New Roman"/>
          <w:i/>
          <w:iCs/>
          <w:noProof/>
          <w:sz w:val="20"/>
          <w:szCs w:val="20"/>
        </w:rPr>
        <w:t>Universiti Putra Malaysia, 43400 Serdang, Selangor, Malaysia</w:t>
      </w:r>
    </w:p>
    <w:p w14:paraId="7B25398D" w14:textId="77777777" w:rsidR="002C767B" w:rsidRPr="002C767B" w:rsidRDefault="002C767B" w:rsidP="002C767B">
      <w:pPr>
        <w:autoSpaceDE w:val="0"/>
        <w:autoSpaceDN w:val="0"/>
        <w:adjustRightInd w:val="0"/>
        <w:spacing w:after="0"/>
        <w:jc w:val="center"/>
        <w:rPr>
          <w:rFonts w:ascii="Times New Roman" w:eastAsia="Calibri" w:hAnsi="Times New Roman"/>
          <w:noProof/>
          <w:sz w:val="20"/>
          <w:szCs w:val="20"/>
        </w:rPr>
      </w:pPr>
    </w:p>
    <w:p w14:paraId="5E1DC890" w14:textId="77777777" w:rsidR="002C767B" w:rsidRPr="002C767B" w:rsidRDefault="002C767B" w:rsidP="002C767B">
      <w:pPr>
        <w:autoSpaceDE w:val="0"/>
        <w:autoSpaceDN w:val="0"/>
        <w:adjustRightInd w:val="0"/>
        <w:spacing w:after="0"/>
        <w:jc w:val="center"/>
        <w:rPr>
          <w:rFonts w:ascii="Times New Roman" w:eastAsia="Calibri" w:hAnsi="Times New Roman"/>
          <w:noProof/>
          <w:sz w:val="20"/>
          <w:szCs w:val="20"/>
        </w:rPr>
      </w:pPr>
      <w:r w:rsidRPr="002C767B">
        <w:rPr>
          <w:rFonts w:ascii="Times New Roman" w:hAnsi="Times New Roman"/>
          <w:i/>
          <w:iCs/>
          <w:sz w:val="20"/>
          <w:szCs w:val="20"/>
          <w:bdr w:val="none" w:sz="0" w:space="0" w:color="auto" w:frame="1"/>
        </w:rPr>
        <w:t>*Corresponding author:  roila@mpob.gov.my</w:t>
      </w:r>
    </w:p>
    <w:p w14:paraId="37A41D58" w14:textId="77777777" w:rsidR="002C767B" w:rsidRPr="002C767B" w:rsidRDefault="002C767B" w:rsidP="002C767B">
      <w:pPr>
        <w:spacing w:after="0"/>
        <w:jc w:val="center"/>
        <w:rPr>
          <w:rFonts w:ascii="Times New Roman" w:hAnsi="Times New Roman"/>
          <w:noProof/>
          <w:sz w:val="20"/>
          <w:szCs w:val="20"/>
        </w:rPr>
      </w:pPr>
    </w:p>
    <w:p w14:paraId="2E069B6D" w14:textId="77777777" w:rsidR="002C767B" w:rsidRPr="002C767B" w:rsidRDefault="002C767B" w:rsidP="002C767B">
      <w:pPr>
        <w:spacing w:after="0"/>
        <w:jc w:val="center"/>
        <w:rPr>
          <w:rFonts w:ascii="Times New Roman" w:hAnsi="Times New Roman"/>
          <w:noProof/>
          <w:sz w:val="20"/>
          <w:szCs w:val="20"/>
        </w:rPr>
      </w:pPr>
    </w:p>
    <w:p w14:paraId="4E8571FF" w14:textId="77777777" w:rsidR="002C767B" w:rsidRPr="002C767B" w:rsidRDefault="002C767B" w:rsidP="002C767B">
      <w:pPr>
        <w:spacing w:after="0"/>
        <w:jc w:val="center"/>
        <w:rPr>
          <w:rFonts w:ascii="Times New Roman" w:hAnsi="Times New Roman"/>
          <w:noProof/>
          <w:sz w:val="20"/>
          <w:szCs w:val="20"/>
        </w:rPr>
      </w:pPr>
      <w:r w:rsidRPr="002C767B">
        <w:rPr>
          <w:rFonts w:ascii="Times New Roman" w:hAnsi="Times New Roman"/>
          <w:noProof/>
          <w:sz w:val="20"/>
          <w:szCs w:val="20"/>
        </w:rPr>
        <w:t>Received: 10 July 2021; Accepted: 20 August 2021; Published:  29 August 2021</w:t>
      </w:r>
    </w:p>
    <w:p w14:paraId="707335D3" w14:textId="77777777" w:rsidR="002C767B" w:rsidRPr="002C767B" w:rsidRDefault="002C767B" w:rsidP="002C767B">
      <w:pPr>
        <w:spacing w:after="0"/>
        <w:jc w:val="center"/>
        <w:rPr>
          <w:rFonts w:ascii="Times New Roman" w:hAnsi="Times New Roman"/>
          <w:noProof/>
          <w:sz w:val="20"/>
          <w:szCs w:val="20"/>
        </w:rPr>
      </w:pPr>
    </w:p>
    <w:p w14:paraId="0EE4D8F7" w14:textId="77777777" w:rsidR="002C767B" w:rsidRPr="002C767B" w:rsidRDefault="002C767B" w:rsidP="002C767B">
      <w:pPr>
        <w:spacing w:after="0"/>
        <w:jc w:val="center"/>
        <w:rPr>
          <w:rFonts w:ascii="Times New Roman" w:hAnsi="Times New Roman"/>
          <w:noProof/>
          <w:sz w:val="20"/>
          <w:szCs w:val="20"/>
        </w:rPr>
      </w:pPr>
    </w:p>
    <w:p w14:paraId="7C643233" w14:textId="77777777" w:rsidR="002C767B" w:rsidRPr="002C767B" w:rsidRDefault="002C767B" w:rsidP="002C767B">
      <w:pPr>
        <w:spacing w:after="0"/>
        <w:jc w:val="center"/>
        <w:rPr>
          <w:rFonts w:ascii="Times New Roman" w:hAnsi="Times New Roman"/>
          <w:b/>
          <w:noProof/>
          <w:sz w:val="20"/>
          <w:szCs w:val="20"/>
        </w:rPr>
      </w:pPr>
      <w:r w:rsidRPr="002C767B">
        <w:rPr>
          <w:rFonts w:ascii="Times New Roman" w:hAnsi="Times New Roman"/>
          <w:b/>
          <w:noProof/>
          <w:sz w:val="20"/>
          <w:szCs w:val="20"/>
        </w:rPr>
        <w:t>Abstract</w:t>
      </w:r>
    </w:p>
    <w:p w14:paraId="2AE6D0C1" w14:textId="77777777" w:rsidR="002C767B" w:rsidRPr="002C767B" w:rsidRDefault="002C767B" w:rsidP="002C767B">
      <w:pPr>
        <w:spacing w:after="0"/>
        <w:jc w:val="both"/>
        <w:rPr>
          <w:rFonts w:ascii="Times New Roman" w:hAnsi="Times New Roman"/>
          <w:sz w:val="20"/>
          <w:szCs w:val="20"/>
        </w:rPr>
      </w:pPr>
      <w:r w:rsidRPr="002C767B">
        <w:rPr>
          <w:rFonts w:ascii="Times New Roman" w:hAnsi="Times New Roman"/>
          <w:sz w:val="20"/>
          <w:szCs w:val="20"/>
        </w:rPr>
        <w:t xml:space="preserve">Glycerol conversion to value-added product, acetol was studied through the dehydration reaction of glycerol catalyzed by copper chromite in a single step reactive distillation. The physical properties of the synthesized acetol such as its appearance, density and viscosity were compared with those of a commercial product. The effects of reaction temperature </w:t>
      </w:r>
      <w:bookmarkStart w:id="0" w:name="_Hlk80278284"/>
      <w:r w:rsidRPr="002C767B">
        <w:rPr>
          <w:rFonts w:ascii="Times New Roman" w:hAnsi="Times New Roman"/>
          <w:sz w:val="20"/>
          <w:szCs w:val="20"/>
        </w:rPr>
        <w:t xml:space="preserve">(190 </w:t>
      </w:r>
      <w:r w:rsidRPr="002C767B">
        <w:rPr>
          <w:rFonts w:ascii="Times New Roman" w:hAnsi="Times New Roman"/>
          <w:sz w:val="20"/>
          <w:szCs w:val="20"/>
          <w:vertAlign w:val="superscript"/>
        </w:rPr>
        <w:t>o</w:t>
      </w:r>
      <w:r w:rsidRPr="002C767B">
        <w:rPr>
          <w:rFonts w:ascii="Times New Roman" w:hAnsi="Times New Roman"/>
          <w:sz w:val="20"/>
          <w:szCs w:val="20"/>
        </w:rPr>
        <w:t xml:space="preserve">C and 200 </w:t>
      </w:r>
      <w:r w:rsidRPr="002C767B">
        <w:rPr>
          <w:rFonts w:ascii="Times New Roman" w:hAnsi="Times New Roman"/>
          <w:sz w:val="20"/>
          <w:szCs w:val="20"/>
          <w:vertAlign w:val="superscript"/>
        </w:rPr>
        <w:t>o</w:t>
      </w:r>
      <w:r w:rsidRPr="002C767B">
        <w:rPr>
          <w:rFonts w:ascii="Times New Roman" w:hAnsi="Times New Roman"/>
          <w:sz w:val="20"/>
          <w:szCs w:val="20"/>
        </w:rPr>
        <w:t>C)</w:t>
      </w:r>
      <w:bookmarkEnd w:id="0"/>
      <w:r w:rsidRPr="002C767B">
        <w:rPr>
          <w:rFonts w:ascii="Times New Roman" w:hAnsi="Times New Roman"/>
          <w:sz w:val="20"/>
          <w:szCs w:val="20"/>
        </w:rPr>
        <w:t xml:space="preserve">, reaction period (1.5-7 hours), catalyst loading (0.63-7.0%) and water content (2-20% w/w) in the glycerol feedstock were studied to optimize its production. The results show conversion of glycerol increased with the increase of reaction period and catalyst loading while the presence of water in the glycerol feedstock decreased the conversion and also reduced the residue which provided ease of removal and recycles the catalyst. Optimum conditions for the conversion of glycerol to acetol was at a reaction period of 3.5 hours with 2.5% catalyst concentration and 200  </w:t>
      </w:r>
      <w:r w:rsidRPr="002C767B">
        <w:rPr>
          <w:rFonts w:ascii="Times New Roman" w:hAnsi="Times New Roman"/>
          <w:sz w:val="20"/>
          <w:szCs w:val="20"/>
          <w:vertAlign w:val="superscript"/>
        </w:rPr>
        <w:t>o</w:t>
      </w:r>
      <w:r w:rsidRPr="002C767B">
        <w:rPr>
          <w:rFonts w:ascii="Times New Roman" w:hAnsi="Times New Roman"/>
          <w:sz w:val="20"/>
          <w:szCs w:val="20"/>
        </w:rPr>
        <w:t>C reaction temperature without dilution where 64.47% of the product was obtained. Fourier transform infrared (FTIR), gas chromatography (GC) and nuclear magnetic resonance (NMR) were used to characterize and validate the product from the dehydration reaction of glycerol. FTIR spectrum of the product showed stretching of the carbonyl group which suggested that acetol had been successfully synthesized. All of the analyses (GC and NMR) validate that acetol was successfully synthesized.</w:t>
      </w:r>
    </w:p>
    <w:p w14:paraId="73E34A43" w14:textId="77777777" w:rsidR="002C767B" w:rsidRPr="002C767B" w:rsidRDefault="002C767B" w:rsidP="002C767B">
      <w:pPr>
        <w:spacing w:after="0"/>
        <w:jc w:val="both"/>
        <w:rPr>
          <w:rFonts w:ascii="Times New Roman" w:hAnsi="Times New Roman"/>
          <w:sz w:val="20"/>
          <w:szCs w:val="20"/>
        </w:rPr>
      </w:pPr>
    </w:p>
    <w:p w14:paraId="71A4D77C" w14:textId="77777777" w:rsidR="002C767B" w:rsidRPr="002C767B" w:rsidRDefault="002C767B" w:rsidP="002C767B">
      <w:pPr>
        <w:spacing w:after="0"/>
        <w:jc w:val="both"/>
        <w:rPr>
          <w:rFonts w:ascii="Times New Roman" w:hAnsi="Times New Roman"/>
          <w:sz w:val="20"/>
          <w:szCs w:val="20"/>
        </w:rPr>
      </w:pPr>
      <w:r w:rsidRPr="002C767B">
        <w:rPr>
          <w:rFonts w:ascii="Times New Roman" w:hAnsi="Times New Roman"/>
          <w:b/>
          <w:bCs/>
          <w:sz w:val="20"/>
          <w:szCs w:val="20"/>
        </w:rPr>
        <w:t>Keywords:</w:t>
      </w:r>
      <w:r w:rsidRPr="002C767B">
        <w:rPr>
          <w:rFonts w:ascii="Times New Roman" w:hAnsi="Times New Roman"/>
          <w:sz w:val="20"/>
          <w:szCs w:val="20"/>
        </w:rPr>
        <w:t xml:space="preserve">  acetol, dehydration, glycerol, palm-based, synthesis </w:t>
      </w:r>
    </w:p>
    <w:p w14:paraId="5BEBA6A8" w14:textId="77777777" w:rsidR="002C767B" w:rsidRPr="002C767B" w:rsidRDefault="002C767B" w:rsidP="002C767B">
      <w:pPr>
        <w:spacing w:after="0"/>
        <w:jc w:val="center"/>
        <w:rPr>
          <w:rFonts w:ascii="Times New Roman" w:hAnsi="Times New Roman"/>
          <w:sz w:val="20"/>
          <w:szCs w:val="20"/>
        </w:rPr>
      </w:pPr>
    </w:p>
    <w:p w14:paraId="7A65698C" w14:textId="77777777" w:rsidR="002C767B" w:rsidRPr="002C767B" w:rsidRDefault="002C767B" w:rsidP="002C767B">
      <w:pPr>
        <w:spacing w:after="0"/>
        <w:jc w:val="center"/>
        <w:rPr>
          <w:rFonts w:ascii="Times New Roman" w:hAnsi="Times New Roman"/>
          <w:b/>
          <w:bCs/>
          <w:noProof/>
          <w:sz w:val="20"/>
          <w:szCs w:val="20"/>
          <w:lang w:val="ms-MY"/>
        </w:rPr>
      </w:pPr>
      <w:r w:rsidRPr="002C767B">
        <w:rPr>
          <w:rFonts w:ascii="Times New Roman" w:hAnsi="Times New Roman"/>
          <w:b/>
          <w:bCs/>
          <w:noProof/>
          <w:sz w:val="20"/>
          <w:szCs w:val="20"/>
          <w:lang w:val="ms-MY"/>
        </w:rPr>
        <w:t>Abstrak</w:t>
      </w:r>
    </w:p>
    <w:p w14:paraId="1F8F1CFE" w14:textId="77777777" w:rsidR="002C767B" w:rsidRPr="002C767B" w:rsidRDefault="002C767B" w:rsidP="002C767B">
      <w:pPr>
        <w:spacing w:after="0"/>
        <w:jc w:val="both"/>
        <w:rPr>
          <w:rFonts w:ascii="Times New Roman" w:hAnsi="Times New Roman"/>
          <w:noProof/>
          <w:sz w:val="20"/>
          <w:szCs w:val="20"/>
          <w:lang w:val="ms-MY"/>
        </w:rPr>
      </w:pPr>
      <w:r w:rsidRPr="002C767B">
        <w:rPr>
          <w:rFonts w:ascii="Times New Roman" w:hAnsi="Times New Roman"/>
          <w:noProof/>
          <w:sz w:val="20"/>
          <w:szCs w:val="20"/>
          <w:lang w:val="ms-MY"/>
        </w:rPr>
        <w:t xml:space="preserve">Penukaran gliserol kepada produk bernilai tinggi, asetol telah dikaji melalui tindak balas nyah-hidrat gliserol dimangkin oleh kuprum kromit dalam penyulingan reaktif satu langkah. Ciri-ciri fizikal asetol yang dihasilkan seperti </w:t>
      </w:r>
      <w:r w:rsidRPr="002C767B">
        <w:rPr>
          <w:rFonts w:ascii="Times New Roman" w:hAnsi="Times New Roman"/>
          <w:noProof/>
          <w:sz w:val="20"/>
          <w:szCs w:val="20"/>
          <w:lang w:val="ms-MY"/>
        </w:rPr>
        <w:lastRenderedPageBreak/>
        <w:t xml:space="preserve">penampilan, ketumpatan dan kelikatan telah dibandingkan dengan produk komersil. Kesan suhu tindak balas (190 </w:t>
      </w:r>
      <w:r w:rsidRPr="002C767B">
        <w:rPr>
          <w:rFonts w:ascii="Times New Roman" w:hAnsi="Times New Roman"/>
          <w:noProof/>
          <w:sz w:val="20"/>
          <w:szCs w:val="20"/>
          <w:vertAlign w:val="superscript"/>
          <w:lang w:val="ms-MY"/>
        </w:rPr>
        <w:t>o</w:t>
      </w:r>
      <w:r w:rsidRPr="002C767B">
        <w:rPr>
          <w:rFonts w:ascii="Times New Roman" w:hAnsi="Times New Roman"/>
          <w:noProof/>
          <w:sz w:val="20"/>
          <w:szCs w:val="20"/>
          <w:lang w:val="ms-MY"/>
        </w:rPr>
        <w:t xml:space="preserve">C and 200 </w:t>
      </w:r>
      <w:r w:rsidRPr="002C767B">
        <w:rPr>
          <w:rFonts w:ascii="Times New Roman" w:hAnsi="Times New Roman"/>
          <w:noProof/>
          <w:sz w:val="20"/>
          <w:szCs w:val="20"/>
          <w:vertAlign w:val="superscript"/>
          <w:lang w:val="ms-MY"/>
        </w:rPr>
        <w:t>o</w:t>
      </w:r>
      <w:r w:rsidRPr="002C767B">
        <w:rPr>
          <w:rFonts w:ascii="Times New Roman" w:hAnsi="Times New Roman"/>
          <w:noProof/>
          <w:sz w:val="20"/>
          <w:szCs w:val="20"/>
          <w:lang w:val="ms-MY"/>
        </w:rPr>
        <w:t xml:space="preserve">C), tempoh tindak balas (1.5-7jam), kuantiti mangkin (0.63-7.0%) dan kandungan air (2-20% w/w) dalam stok suapan gliserol dikaji untuk mengoptimumkan penghasilannya. Hasil kajian menunjukkan penukaran gliserol meningkat dengan peningkatan tempoh tindak balas dan kuantiti mangkin manakala kehadiran air dalam stok suapan gliserol merendahkan penukaran dan juga mengurangkan sisa dimana memudahkan pengasingan dan kitar semula mangkin. Keadaan optimum untuk penukaran gliserol kepada asetol adalah pada tempoh tindak balas sebanyak 3.5 jam dengan kuantiti mangkin 2.5% dan 200 </w:t>
      </w:r>
      <w:r w:rsidRPr="002C767B">
        <w:rPr>
          <w:rFonts w:ascii="Times New Roman" w:hAnsi="Times New Roman"/>
          <w:noProof/>
          <w:sz w:val="20"/>
          <w:szCs w:val="20"/>
          <w:vertAlign w:val="superscript"/>
          <w:lang w:val="ms-MY"/>
        </w:rPr>
        <w:t>o</w:t>
      </w:r>
      <w:r w:rsidRPr="002C767B">
        <w:rPr>
          <w:rFonts w:ascii="Times New Roman" w:hAnsi="Times New Roman"/>
          <w:noProof/>
          <w:sz w:val="20"/>
          <w:szCs w:val="20"/>
          <w:lang w:val="ms-MY"/>
        </w:rPr>
        <w:t>C suhu tindak balas tanpa pencairan stok suapan dimana ia memperolehi 64.4% produk. Inframerah transformasi Fourier (FTIR), kromatografi gas (GC) dan resonans magnetik nuklear (NMR) telah digunakan untuk mencirikan dan mengesahkan produk daripada tindak balas nyah-hidrat gliserol. Spektrum IR produk menunjukkan regangan kumpulan karbonil menunjukkan asetol telah berjaya dihasilkan. Semua analisis (GC dan NMR) mengesahkan bahawa asetol berjaya disintesis.</w:t>
      </w:r>
    </w:p>
    <w:p w14:paraId="5057FCF0" w14:textId="77777777" w:rsidR="002C767B" w:rsidRPr="002C767B" w:rsidRDefault="002C767B" w:rsidP="002C767B">
      <w:pPr>
        <w:spacing w:after="0"/>
        <w:jc w:val="both"/>
        <w:rPr>
          <w:rFonts w:ascii="Times New Roman" w:hAnsi="Times New Roman"/>
          <w:noProof/>
          <w:sz w:val="20"/>
          <w:szCs w:val="20"/>
          <w:lang w:val="ms-MY"/>
        </w:rPr>
      </w:pPr>
    </w:p>
    <w:p w14:paraId="5A8F53A9" w14:textId="18377B82" w:rsidR="002C767B" w:rsidRDefault="002C767B" w:rsidP="002C767B">
      <w:pPr>
        <w:spacing w:after="0"/>
        <w:jc w:val="both"/>
        <w:rPr>
          <w:rFonts w:ascii="Times New Roman" w:hAnsi="Times New Roman"/>
          <w:noProof/>
          <w:sz w:val="20"/>
          <w:szCs w:val="20"/>
          <w:lang w:val="ms-MY"/>
        </w:rPr>
      </w:pPr>
      <w:r w:rsidRPr="002C767B">
        <w:rPr>
          <w:rFonts w:ascii="Times New Roman" w:hAnsi="Times New Roman"/>
          <w:b/>
          <w:bCs/>
          <w:noProof/>
          <w:sz w:val="20"/>
          <w:szCs w:val="20"/>
          <w:lang w:val="ms-MY"/>
        </w:rPr>
        <w:t>Kata kunci:</w:t>
      </w:r>
      <w:r w:rsidRPr="002C767B">
        <w:rPr>
          <w:rFonts w:ascii="Times New Roman" w:hAnsi="Times New Roman"/>
          <w:noProof/>
          <w:sz w:val="20"/>
          <w:szCs w:val="20"/>
          <w:lang w:val="ms-MY"/>
        </w:rPr>
        <w:t xml:space="preserve">  acetol, dehidrasi, gliserol, berasaskan sawit, sintesis</w:t>
      </w:r>
    </w:p>
    <w:p w14:paraId="2389E8F2" w14:textId="7CBA40A9" w:rsidR="002C767B" w:rsidRDefault="002C767B" w:rsidP="002C767B">
      <w:pPr>
        <w:spacing w:after="0"/>
        <w:jc w:val="both"/>
        <w:rPr>
          <w:rFonts w:ascii="Times New Roman" w:hAnsi="Times New Roman"/>
          <w:noProof/>
          <w:sz w:val="20"/>
          <w:szCs w:val="20"/>
          <w:lang w:val="ms-MY"/>
        </w:rPr>
      </w:pPr>
    </w:p>
    <w:p w14:paraId="522F45A3" w14:textId="77777777" w:rsidR="002C767B" w:rsidRPr="00F447A7" w:rsidRDefault="002C767B" w:rsidP="002C767B">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68967E3B" w14:textId="7B84D1BD" w:rsidR="002C767B" w:rsidRPr="002C767B" w:rsidRDefault="002C767B" w:rsidP="002C767B">
      <w:pPr>
        <w:pStyle w:val="ListParagraph"/>
        <w:numPr>
          <w:ilvl w:val="0"/>
          <w:numId w:val="9"/>
        </w:numPr>
        <w:spacing w:after="0"/>
        <w:ind w:left="360"/>
        <w:contextualSpacing w:val="0"/>
        <w:jc w:val="both"/>
        <w:rPr>
          <w:rFonts w:ascii="Times New Roman" w:hAnsi="Times New Roman"/>
          <w:sz w:val="20"/>
          <w:szCs w:val="20"/>
        </w:rPr>
      </w:pPr>
      <w:r w:rsidRPr="00715172">
        <w:rPr>
          <w:rFonts w:ascii="Times New Roman" w:hAnsi="Times New Roman"/>
          <w:sz w:val="20"/>
          <w:szCs w:val="20"/>
        </w:rPr>
        <w:t xml:space="preserve">Choi, W. J. (2008). Glycerol-based biorefinery for fuels and chemicals. </w:t>
      </w:r>
      <w:r w:rsidRPr="00715172">
        <w:rPr>
          <w:rFonts w:ascii="Times New Roman" w:hAnsi="Times New Roman"/>
          <w:i/>
          <w:iCs/>
          <w:sz w:val="20"/>
          <w:szCs w:val="20"/>
        </w:rPr>
        <w:t>Recent Patents Biotech</w:t>
      </w:r>
      <w:r w:rsidRPr="00715172">
        <w:rPr>
          <w:rFonts w:ascii="Times New Roman" w:hAnsi="Times New Roman"/>
          <w:sz w:val="20"/>
          <w:szCs w:val="20"/>
        </w:rPr>
        <w:t>. 2: 173-180.</w:t>
      </w:r>
    </w:p>
    <w:p w14:paraId="7075801D" w14:textId="77777777" w:rsidR="002C767B" w:rsidRPr="00715172" w:rsidRDefault="002C767B" w:rsidP="002C767B">
      <w:pPr>
        <w:pStyle w:val="ListParagraph"/>
        <w:numPr>
          <w:ilvl w:val="0"/>
          <w:numId w:val="9"/>
        </w:numPr>
        <w:spacing w:after="0"/>
        <w:ind w:left="360"/>
        <w:contextualSpacing w:val="0"/>
        <w:jc w:val="both"/>
        <w:rPr>
          <w:rFonts w:ascii="Times New Roman" w:hAnsi="Times New Roman"/>
          <w:sz w:val="20"/>
          <w:szCs w:val="20"/>
        </w:rPr>
      </w:pPr>
      <w:r w:rsidRPr="00715172">
        <w:rPr>
          <w:rFonts w:ascii="Times New Roman" w:hAnsi="Times New Roman"/>
          <w:sz w:val="20"/>
          <w:szCs w:val="20"/>
        </w:rPr>
        <w:t xml:space="preserve">Pathak, K., Reddy, K. M., Bakhshi, N. N. and Dalai, A. K. (2010). Catalytic conversion of glycerol to value added liquid products. </w:t>
      </w:r>
      <w:r w:rsidRPr="00715172">
        <w:rPr>
          <w:rFonts w:ascii="Times New Roman" w:hAnsi="Times New Roman"/>
          <w:i/>
          <w:iCs/>
          <w:sz w:val="20"/>
          <w:szCs w:val="20"/>
        </w:rPr>
        <w:t>Applied Catalysis A: General</w:t>
      </w:r>
      <w:r w:rsidRPr="00715172">
        <w:rPr>
          <w:rFonts w:ascii="Times New Roman" w:hAnsi="Times New Roman"/>
          <w:sz w:val="20"/>
          <w:szCs w:val="20"/>
        </w:rPr>
        <w:t xml:space="preserve">, 372: 224-238. </w:t>
      </w:r>
    </w:p>
    <w:p w14:paraId="66C0BAD7" w14:textId="77777777" w:rsidR="002C767B" w:rsidRPr="00715172" w:rsidRDefault="002C767B" w:rsidP="002C767B">
      <w:pPr>
        <w:pStyle w:val="ListParagraph"/>
        <w:numPr>
          <w:ilvl w:val="0"/>
          <w:numId w:val="9"/>
        </w:numPr>
        <w:spacing w:after="0"/>
        <w:ind w:left="360"/>
        <w:contextualSpacing w:val="0"/>
        <w:jc w:val="both"/>
        <w:rPr>
          <w:rFonts w:ascii="Times New Roman" w:hAnsi="Times New Roman"/>
          <w:sz w:val="20"/>
          <w:szCs w:val="20"/>
        </w:rPr>
      </w:pPr>
      <w:r w:rsidRPr="00715172">
        <w:rPr>
          <w:rFonts w:ascii="Times New Roman" w:hAnsi="Times New Roman"/>
          <w:sz w:val="20"/>
          <w:szCs w:val="20"/>
        </w:rPr>
        <w:t xml:space="preserve">Dasari, M. A., Kiatsimkul, P., Sutterlin, W. R and Suppes, G. J. (2005). Low-pressure hydrogenolysis of glycerol to propylene glycol. </w:t>
      </w:r>
      <w:r w:rsidRPr="00715172">
        <w:rPr>
          <w:rFonts w:ascii="Times New Roman" w:hAnsi="Times New Roman"/>
          <w:i/>
          <w:iCs/>
          <w:sz w:val="20"/>
          <w:szCs w:val="20"/>
        </w:rPr>
        <w:t>Applied Catalyst A: General</w:t>
      </w:r>
      <w:r w:rsidRPr="00715172">
        <w:rPr>
          <w:rFonts w:ascii="Times New Roman" w:hAnsi="Times New Roman"/>
          <w:sz w:val="20"/>
          <w:szCs w:val="20"/>
        </w:rPr>
        <w:t xml:space="preserve">, 281: 225-231. </w:t>
      </w:r>
    </w:p>
    <w:p w14:paraId="0ACCAFF0" w14:textId="77777777" w:rsidR="002C767B" w:rsidRPr="00715172" w:rsidRDefault="002C767B" w:rsidP="002C767B">
      <w:pPr>
        <w:pStyle w:val="ListParagraph"/>
        <w:numPr>
          <w:ilvl w:val="0"/>
          <w:numId w:val="9"/>
        </w:numPr>
        <w:spacing w:after="0"/>
        <w:ind w:left="360"/>
        <w:contextualSpacing w:val="0"/>
        <w:jc w:val="both"/>
        <w:rPr>
          <w:rFonts w:ascii="Times New Roman" w:hAnsi="Times New Roman"/>
          <w:sz w:val="20"/>
          <w:szCs w:val="20"/>
        </w:rPr>
      </w:pPr>
      <w:r w:rsidRPr="00715172">
        <w:rPr>
          <w:rFonts w:ascii="Times New Roman" w:hAnsi="Times New Roman"/>
          <w:sz w:val="20"/>
          <w:szCs w:val="20"/>
        </w:rPr>
        <w:t xml:space="preserve">Mohamad, M. H., Awang, R. and Yunus, W. M. Z. W. (2011). A review of acetol: Application and production. </w:t>
      </w:r>
      <w:r w:rsidRPr="00715172">
        <w:rPr>
          <w:rFonts w:ascii="Times New Roman" w:hAnsi="Times New Roman"/>
          <w:i/>
          <w:iCs/>
          <w:sz w:val="20"/>
          <w:szCs w:val="20"/>
        </w:rPr>
        <w:t>American Journal of Applied Sciences,</w:t>
      </w:r>
      <w:r w:rsidRPr="00715172">
        <w:rPr>
          <w:rFonts w:ascii="Times New Roman" w:hAnsi="Times New Roman"/>
          <w:sz w:val="20"/>
          <w:szCs w:val="20"/>
        </w:rPr>
        <w:t xml:space="preserve"> 8: 1135-1139.</w:t>
      </w:r>
    </w:p>
    <w:p w14:paraId="698637E4" w14:textId="77777777" w:rsidR="002C767B" w:rsidRPr="00715172" w:rsidRDefault="002C767B" w:rsidP="002C767B">
      <w:pPr>
        <w:pStyle w:val="ListParagraph"/>
        <w:numPr>
          <w:ilvl w:val="0"/>
          <w:numId w:val="9"/>
        </w:numPr>
        <w:spacing w:after="0"/>
        <w:ind w:left="360"/>
        <w:contextualSpacing w:val="0"/>
        <w:jc w:val="both"/>
        <w:rPr>
          <w:rFonts w:ascii="Times New Roman" w:hAnsi="Times New Roman"/>
          <w:sz w:val="20"/>
          <w:szCs w:val="20"/>
        </w:rPr>
      </w:pPr>
      <w:r w:rsidRPr="00715172">
        <w:rPr>
          <w:rFonts w:ascii="Times New Roman" w:hAnsi="Times New Roman"/>
          <w:sz w:val="20"/>
          <w:szCs w:val="20"/>
        </w:rPr>
        <w:t xml:space="preserve">Kinage, A. K., Upare, P. P., Kasinathan, P., Hwang, Y. K. and Chang, J. S. (2010). Selective conversion of glycerol to acetol over sodium-doped metal oxide catalysts. </w:t>
      </w:r>
      <w:r w:rsidRPr="00715172">
        <w:rPr>
          <w:rFonts w:ascii="Times New Roman" w:hAnsi="Times New Roman"/>
          <w:i/>
          <w:iCs/>
          <w:sz w:val="20"/>
          <w:szCs w:val="20"/>
        </w:rPr>
        <w:t>Catalysis Communications,</w:t>
      </w:r>
      <w:r w:rsidRPr="00715172">
        <w:rPr>
          <w:rFonts w:ascii="Times New Roman" w:hAnsi="Times New Roman"/>
          <w:sz w:val="20"/>
          <w:szCs w:val="20"/>
        </w:rPr>
        <w:t xml:space="preserve"> 11: 620-623.</w:t>
      </w:r>
    </w:p>
    <w:p w14:paraId="5D1B1E63" w14:textId="77777777" w:rsidR="002C767B" w:rsidRPr="00715172" w:rsidRDefault="002C767B" w:rsidP="002C767B">
      <w:pPr>
        <w:pStyle w:val="ListParagraph"/>
        <w:numPr>
          <w:ilvl w:val="0"/>
          <w:numId w:val="9"/>
        </w:numPr>
        <w:spacing w:after="0"/>
        <w:ind w:left="360"/>
        <w:contextualSpacing w:val="0"/>
        <w:jc w:val="both"/>
        <w:rPr>
          <w:rFonts w:ascii="Times New Roman" w:hAnsi="Times New Roman"/>
          <w:sz w:val="20"/>
          <w:szCs w:val="20"/>
        </w:rPr>
      </w:pPr>
      <w:r w:rsidRPr="00715172">
        <w:rPr>
          <w:rFonts w:ascii="Times New Roman" w:hAnsi="Times New Roman"/>
          <w:sz w:val="20"/>
          <w:szCs w:val="20"/>
        </w:rPr>
        <w:t>Dasari, M. A. (2006). Catalytic conversion of glycerol and sugar alcohol to value-added products. PhD Thesis, University of Missouri-Columbia.</w:t>
      </w:r>
    </w:p>
    <w:p w14:paraId="74699FC4" w14:textId="77777777" w:rsidR="002C767B" w:rsidRPr="00715172" w:rsidRDefault="002C767B" w:rsidP="002C767B">
      <w:pPr>
        <w:pStyle w:val="ListParagraph"/>
        <w:numPr>
          <w:ilvl w:val="0"/>
          <w:numId w:val="9"/>
        </w:numPr>
        <w:spacing w:after="0"/>
        <w:ind w:left="360"/>
        <w:contextualSpacing w:val="0"/>
        <w:jc w:val="both"/>
        <w:rPr>
          <w:rFonts w:ascii="Times New Roman" w:hAnsi="Times New Roman"/>
          <w:sz w:val="20"/>
          <w:szCs w:val="20"/>
        </w:rPr>
      </w:pPr>
      <w:r w:rsidRPr="00715172">
        <w:rPr>
          <w:rFonts w:ascii="Times New Roman" w:hAnsi="Times New Roman"/>
          <w:sz w:val="20"/>
          <w:szCs w:val="20"/>
        </w:rPr>
        <w:t>American Oil Chemical Society (1993). Official methods and recommended practices. 4</w:t>
      </w:r>
      <w:r w:rsidRPr="00715172">
        <w:rPr>
          <w:rFonts w:ascii="Times New Roman" w:hAnsi="Times New Roman"/>
          <w:sz w:val="20"/>
          <w:szCs w:val="20"/>
          <w:vertAlign w:val="superscript"/>
        </w:rPr>
        <w:t>th</w:t>
      </w:r>
      <w:r w:rsidRPr="00715172">
        <w:rPr>
          <w:rFonts w:ascii="Times New Roman" w:hAnsi="Times New Roman"/>
          <w:sz w:val="20"/>
          <w:szCs w:val="20"/>
        </w:rPr>
        <w:t xml:space="preserve"> Edition. AOCS Press, Champaign.</w:t>
      </w:r>
    </w:p>
    <w:p w14:paraId="1323204F" w14:textId="77777777" w:rsidR="002C767B" w:rsidRDefault="002C767B" w:rsidP="002C767B">
      <w:pPr>
        <w:pStyle w:val="ListParagraph"/>
        <w:numPr>
          <w:ilvl w:val="0"/>
          <w:numId w:val="9"/>
        </w:numPr>
        <w:spacing w:after="0"/>
        <w:ind w:left="360"/>
        <w:contextualSpacing w:val="0"/>
        <w:jc w:val="both"/>
        <w:rPr>
          <w:rFonts w:ascii="Times New Roman" w:hAnsi="Times New Roman"/>
          <w:sz w:val="20"/>
          <w:szCs w:val="20"/>
        </w:rPr>
      </w:pPr>
      <w:r w:rsidRPr="00715172">
        <w:rPr>
          <w:rFonts w:ascii="Times New Roman" w:hAnsi="Times New Roman"/>
          <w:sz w:val="20"/>
          <w:szCs w:val="20"/>
        </w:rPr>
        <w:t xml:space="preserve">Chiu, C. W., Dasari, M. A., Suppes, G. J. and Sutterlin, W. R. (2006). Dehydration of glycerol to acetol via catalytic reactive distillation. </w:t>
      </w:r>
      <w:r w:rsidRPr="00715172">
        <w:rPr>
          <w:rFonts w:ascii="Times New Roman" w:hAnsi="Times New Roman"/>
          <w:i/>
          <w:iCs/>
          <w:sz w:val="20"/>
          <w:szCs w:val="20"/>
        </w:rPr>
        <w:t>American Institute Chemical Engineers Journal,</w:t>
      </w:r>
      <w:r w:rsidRPr="00715172">
        <w:rPr>
          <w:rFonts w:ascii="Times New Roman" w:hAnsi="Times New Roman"/>
          <w:sz w:val="20"/>
          <w:szCs w:val="20"/>
        </w:rPr>
        <w:t xml:space="preserve"> 52: 3543-3548.</w:t>
      </w:r>
    </w:p>
    <w:p w14:paraId="459B4526" w14:textId="77777777" w:rsidR="002C767B" w:rsidRPr="00855225" w:rsidRDefault="002C767B" w:rsidP="002C767B">
      <w:pPr>
        <w:pStyle w:val="ListParagraph"/>
        <w:numPr>
          <w:ilvl w:val="0"/>
          <w:numId w:val="9"/>
        </w:numPr>
        <w:spacing w:after="0"/>
        <w:ind w:left="360"/>
        <w:contextualSpacing w:val="0"/>
        <w:jc w:val="both"/>
        <w:rPr>
          <w:rFonts w:ascii="Times New Roman" w:hAnsi="Times New Roman"/>
          <w:sz w:val="20"/>
          <w:szCs w:val="20"/>
        </w:rPr>
      </w:pPr>
      <w:r w:rsidRPr="00855225">
        <w:rPr>
          <w:rFonts w:ascii="Times New Roman" w:hAnsi="Times New Roman"/>
          <w:sz w:val="20"/>
          <w:szCs w:val="20"/>
        </w:rPr>
        <w:t xml:space="preserve">Chiu, C. W., Tekeei, A., Sutterlin, W. R., Roncho, J. M. and Suppes, G. J. (2008). Low-pressure packed-bed gas phase conversion of glycerol to acetol. </w:t>
      </w:r>
      <w:r w:rsidRPr="00855225">
        <w:rPr>
          <w:rFonts w:ascii="Times New Roman" w:hAnsi="Times New Roman"/>
          <w:i/>
          <w:iCs/>
          <w:sz w:val="20"/>
          <w:szCs w:val="20"/>
        </w:rPr>
        <w:t>American Institute Chemical Engineers Journal,</w:t>
      </w:r>
      <w:r w:rsidRPr="00855225">
        <w:rPr>
          <w:rFonts w:ascii="Times New Roman" w:hAnsi="Times New Roman"/>
          <w:sz w:val="20"/>
          <w:szCs w:val="20"/>
        </w:rPr>
        <w:t xml:space="preserve"> 54: 2456-2463.</w:t>
      </w:r>
    </w:p>
    <w:p w14:paraId="104F8ECE" w14:textId="77777777" w:rsidR="002C767B" w:rsidRPr="002C767B" w:rsidRDefault="002C767B" w:rsidP="002C767B">
      <w:pPr>
        <w:spacing w:after="0"/>
        <w:jc w:val="both"/>
        <w:rPr>
          <w:rFonts w:ascii="Times New Roman" w:hAnsi="Times New Roman"/>
          <w:noProof/>
          <w:sz w:val="20"/>
          <w:szCs w:val="20"/>
          <w:lang w:val="ms-MY"/>
        </w:rPr>
      </w:pPr>
    </w:p>
    <w:p w14:paraId="03B6796F" w14:textId="77777777" w:rsidR="00185EDF" w:rsidRPr="001E55BE" w:rsidRDefault="00185EDF"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C00C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C00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4E2976"/>
    <w:multiLevelType w:val="hybridMultilevel"/>
    <w:tmpl w:val="A36CEB5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8"/>
  </w:num>
  <w:num w:numId="4">
    <w:abstractNumId w:val="1"/>
  </w:num>
  <w:num w:numId="5">
    <w:abstractNumId w:val="5"/>
  </w:num>
  <w:num w:numId="6">
    <w:abstractNumId w:val="7"/>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6372"/>
    <w:rsid w:val="002B425B"/>
    <w:rsid w:val="002C767B"/>
    <w:rsid w:val="002F626B"/>
    <w:rsid w:val="00385369"/>
    <w:rsid w:val="003A1F80"/>
    <w:rsid w:val="0044292C"/>
    <w:rsid w:val="00460C95"/>
    <w:rsid w:val="00473CD4"/>
    <w:rsid w:val="00487993"/>
    <w:rsid w:val="005644C8"/>
    <w:rsid w:val="005F401D"/>
    <w:rsid w:val="006149E4"/>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50D16"/>
    <w:rsid w:val="00B9022C"/>
    <w:rsid w:val="00BE5F5F"/>
    <w:rsid w:val="00C00C94"/>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94289"/>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4 (2021)</dc:title>
  <dc:creator>Harun Hamzah</dc:creator>
  <cp:lastModifiedBy>Harun Hamzah</cp:lastModifiedBy>
  <cp:revision>4</cp:revision>
  <cp:lastPrinted>2020-04-01T04:48:00Z</cp:lastPrinted>
  <dcterms:created xsi:type="dcterms:W3CDTF">2021-08-24T03:12:00Z</dcterms:created>
  <dcterms:modified xsi:type="dcterms:W3CDTF">2021-08-26T03:02:00Z</dcterms:modified>
</cp:coreProperties>
</file>