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540EC82D"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DE20A8" w:rsidRPr="001E55BE">
        <w:rPr>
          <w:rFonts w:ascii="Times New Roman" w:hAnsi="Times New Roman" w:cs="Times New Roman"/>
          <w:b/>
          <w:i/>
          <w:sz w:val="24"/>
          <w:szCs w:val="24"/>
        </w:rPr>
        <w:t>5</w:t>
      </w:r>
      <w:r w:rsidR="009A5A4D" w:rsidRPr="001E55BE">
        <w:rPr>
          <w:rFonts w:ascii="Times New Roman" w:hAnsi="Times New Roman" w:cs="Times New Roman"/>
          <w:b/>
          <w:i/>
          <w:sz w:val="24"/>
          <w:szCs w:val="24"/>
        </w:rPr>
        <w:t xml:space="preserve"> No </w:t>
      </w:r>
      <w:r w:rsidR="00F94289">
        <w:rPr>
          <w:rFonts w:ascii="Times New Roman" w:hAnsi="Times New Roman" w:cs="Times New Roman"/>
          <w:b/>
          <w:i/>
          <w:sz w:val="24"/>
          <w:szCs w:val="24"/>
        </w:rPr>
        <w:t>4</w:t>
      </w:r>
      <w:r w:rsidR="00C72F3E" w:rsidRPr="001E55BE">
        <w:rPr>
          <w:rFonts w:ascii="Times New Roman" w:hAnsi="Times New Roman" w:cs="Times New Roman"/>
          <w:b/>
          <w:i/>
          <w:sz w:val="24"/>
          <w:szCs w:val="24"/>
        </w:rPr>
        <w:t xml:space="preserve"> (202</w:t>
      </w:r>
      <w:r w:rsidR="00DE20A8" w:rsidRPr="001E55BE">
        <w:rPr>
          <w:rFonts w:ascii="Times New Roman" w:hAnsi="Times New Roman" w:cs="Times New Roman"/>
          <w:b/>
          <w:i/>
          <w:sz w:val="24"/>
          <w:szCs w:val="24"/>
        </w:rPr>
        <w:t>1</w:t>
      </w:r>
      <w:r w:rsidRPr="001E55BE">
        <w:rPr>
          <w:rFonts w:ascii="Times New Roman" w:hAnsi="Times New Roman" w:cs="Times New Roman"/>
          <w:b/>
          <w:i/>
          <w:sz w:val="24"/>
          <w:szCs w:val="24"/>
        </w:rPr>
        <w:t xml:space="preserve">): </w:t>
      </w:r>
      <w:r w:rsidR="0092399D">
        <w:rPr>
          <w:rFonts w:ascii="Times New Roman" w:hAnsi="Times New Roman" w:cs="Times New Roman"/>
          <w:b/>
          <w:i/>
          <w:sz w:val="24"/>
          <w:szCs w:val="24"/>
        </w:rPr>
        <w:t>649</w:t>
      </w:r>
      <w:r w:rsidR="00F94289">
        <w:rPr>
          <w:rFonts w:ascii="Times New Roman" w:hAnsi="Times New Roman" w:cs="Times New Roman"/>
          <w:b/>
          <w:i/>
          <w:sz w:val="24"/>
          <w:szCs w:val="24"/>
        </w:rPr>
        <w:t xml:space="preserve"> - </w:t>
      </w:r>
      <w:r w:rsidR="0092399D">
        <w:rPr>
          <w:rFonts w:ascii="Times New Roman" w:hAnsi="Times New Roman" w:cs="Times New Roman"/>
          <w:b/>
          <w:i/>
          <w:sz w:val="24"/>
          <w:szCs w:val="24"/>
        </w:rPr>
        <w:t>660</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01751515" w:rsidR="00185EDF" w:rsidRDefault="00185EDF" w:rsidP="001E55BE">
      <w:pPr>
        <w:spacing w:after="0"/>
        <w:rPr>
          <w:rFonts w:ascii="Times New Roman" w:hAnsi="Times New Roman" w:cs="Times New Roman"/>
          <w:sz w:val="24"/>
          <w:szCs w:val="24"/>
        </w:rPr>
      </w:pPr>
    </w:p>
    <w:p w14:paraId="56225876" w14:textId="77777777" w:rsidR="0092399D" w:rsidRPr="00BF549D" w:rsidRDefault="0092399D" w:rsidP="0092399D">
      <w:pPr>
        <w:pStyle w:val="Heading1"/>
        <w:spacing w:before="0"/>
        <w:contextualSpacing w:val="0"/>
        <w:jc w:val="center"/>
        <w:rPr>
          <w:rFonts w:ascii="Times New Roman" w:hAnsi="Times New Roman"/>
          <w:b/>
          <w:bCs/>
          <w:bdr w:val="none" w:sz="0" w:space="0" w:color="auto" w:frame="1"/>
        </w:rPr>
      </w:pPr>
      <w:r w:rsidRPr="00BF549D">
        <w:rPr>
          <w:rFonts w:ascii="Times New Roman" w:hAnsi="Times New Roman"/>
          <w:sz w:val="28"/>
          <w:szCs w:val="28"/>
        </w:rPr>
        <w:t xml:space="preserve">OPTIMIZATION OF EXTRACTION TEMPERATURE AND TIME ON PHENOLIC COMPOUNDS AND ANTIOXIDANT ACTIVITY OF MALAYSIAN PROPOLIS </w:t>
      </w:r>
      <w:r w:rsidRPr="00C84995">
        <w:rPr>
          <w:rFonts w:ascii="Times New Roman" w:hAnsi="Times New Roman"/>
          <w:i/>
          <w:iCs/>
          <w:smallCaps w:val="0"/>
          <w:sz w:val="28"/>
          <w:szCs w:val="28"/>
        </w:rPr>
        <w:t>Trigona Spp</w:t>
      </w:r>
      <w:r w:rsidRPr="00BF549D">
        <w:rPr>
          <w:rFonts w:ascii="Times New Roman" w:hAnsi="Times New Roman"/>
          <w:sz w:val="28"/>
          <w:szCs w:val="28"/>
        </w:rPr>
        <w:t>. AQUEOUS EXTRACT USING RESPONSE SURFACE METHODOLOGY</w:t>
      </w:r>
    </w:p>
    <w:p w14:paraId="7EA89934" w14:textId="77777777" w:rsidR="0092399D" w:rsidRPr="00C84995" w:rsidRDefault="0092399D" w:rsidP="0092399D">
      <w:pPr>
        <w:pStyle w:val="Heading1"/>
        <w:spacing w:before="0"/>
        <w:contextualSpacing w:val="0"/>
        <w:jc w:val="center"/>
        <w:rPr>
          <w:rFonts w:ascii="Times New Roman" w:hAnsi="Times New Roman"/>
          <w:b/>
          <w:bCs/>
          <w:sz w:val="24"/>
          <w:szCs w:val="24"/>
          <w:bdr w:val="none" w:sz="0" w:space="0" w:color="auto" w:frame="1"/>
        </w:rPr>
      </w:pPr>
    </w:p>
    <w:p w14:paraId="250A6723" w14:textId="658BB6DF" w:rsidR="0092399D" w:rsidRPr="00C84995" w:rsidRDefault="0092399D" w:rsidP="0092399D">
      <w:pPr>
        <w:spacing w:after="0"/>
        <w:jc w:val="center"/>
        <w:outlineLvl w:val="0"/>
        <w:rPr>
          <w:rFonts w:ascii="Times New Roman" w:hAnsi="Times New Roman"/>
          <w:sz w:val="24"/>
          <w:szCs w:val="24"/>
        </w:rPr>
      </w:pPr>
      <w:r w:rsidRPr="00C84995">
        <w:rPr>
          <w:rFonts w:ascii="Times New Roman" w:hAnsi="Times New Roman"/>
          <w:sz w:val="24"/>
          <w:szCs w:val="24"/>
        </w:rPr>
        <w:t>(Pengoptimuman Suhu dan Masa Pengekstrakan pada Sebatian Fenolik dan Aktivikiti</w:t>
      </w:r>
      <w:r>
        <w:rPr>
          <w:rFonts w:ascii="Times New Roman" w:hAnsi="Times New Roman"/>
          <w:sz w:val="24"/>
          <w:szCs w:val="24"/>
        </w:rPr>
        <w:t xml:space="preserve"> </w:t>
      </w:r>
      <w:r w:rsidRPr="00C84995">
        <w:rPr>
          <w:rFonts w:ascii="Times New Roman" w:hAnsi="Times New Roman"/>
          <w:sz w:val="24"/>
          <w:szCs w:val="24"/>
        </w:rPr>
        <w:t>Antioksidan daripada Ekstrak Akues Propolis Kelulut (</w:t>
      </w:r>
      <w:r w:rsidRPr="00C84995">
        <w:rPr>
          <w:rFonts w:ascii="Times New Roman" w:hAnsi="Times New Roman"/>
          <w:i/>
          <w:iCs/>
          <w:sz w:val="24"/>
          <w:szCs w:val="24"/>
        </w:rPr>
        <w:t xml:space="preserve">Trigona </w:t>
      </w:r>
      <w:r w:rsidR="00D533E8">
        <w:rPr>
          <w:rFonts w:ascii="Times New Roman" w:hAnsi="Times New Roman"/>
          <w:i/>
          <w:iCs/>
          <w:sz w:val="24"/>
          <w:szCs w:val="24"/>
        </w:rPr>
        <w:t>S</w:t>
      </w:r>
      <w:r w:rsidRPr="00C84995">
        <w:rPr>
          <w:rFonts w:ascii="Times New Roman" w:hAnsi="Times New Roman"/>
          <w:i/>
          <w:iCs/>
          <w:sz w:val="24"/>
          <w:szCs w:val="24"/>
        </w:rPr>
        <w:t>pp.</w:t>
      </w:r>
      <w:r w:rsidRPr="00C84995">
        <w:rPr>
          <w:rFonts w:ascii="Times New Roman" w:hAnsi="Times New Roman"/>
          <w:sz w:val="24"/>
          <w:szCs w:val="24"/>
        </w:rPr>
        <w:t xml:space="preserve">) Malaysia </w:t>
      </w:r>
      <w:r w:rsidRPr="00C84995">
        <w:rPr>
          <w:rFonts w:ascii="Times New Roman" w:hAnsi="Times New Roman"/>
          <w:i/>
          <w:iCs/>
          <w:sz w:val="24"/>
          <w:szCs w:val="24"/>
        </w:rPr>
        <w:t xml:space="preserve"> </w:t>
      </w:r>
      <w:r w:rsidRPr="00C84995">
        <w:rPr>
          <w:rFonts w:ascii="Times New Roman" w:hAnsi="Times New Roman"/>
          <w:sz w:val="24"/>
          <w:szCs w:val="24"/>
        </w:rPr>
        <w:t xml:space="preserve"> menggunakan Kaedah Gerak Balas Permukaan)</w:t>
      </w:r>
    </w:p>
    <w:p w14:paraId="1B237E50" w14:textId="77777777" w:rsidR="0092399D" w:rsidRPr="00C84995" w:rsidRDefault="0092399D" w:rsidP="0092399D">
      <w:pPr>
        <w:spacing w:after="0"/>
        <w:jc w:val="center"/>
        <w:outlineLvl w:val="0"/>
        <w:rPr>
          <w:rFonts w:ascii="Times New Roman" w:hAnsi="Times New Roman"/>
          <w:b/>
          <w:sz w:val="20"/>
          <w:szCs w:val="20"/>
        </w:rPr>
      </w:pPr>
    </w:p>
    <w:p w14:paraId="3BB17950" w14:textId="77777777" w:rsidR="0092399D" w:rsidRDefault="0092399D" w:rsidP="0092399D">
      <w:pPr>
        <w:pStyle w:val="NormalWeb"/>
        <w:shd w:val="clear" w:color="auto" w:fill="FFFFFF"/>
        <w:spacing w:before="0" w:beforeAutospacing="0" w:after="0" w:afterAutospacing="0" w:line="276" w:lineRule="auto"/>
        <w:ind w:left="720" w:right="720"/>
        <w:jc w:val="center"/>
        <w:textAlignment w:val="baseline"/>
        <w:rPr>
          <w:sz w:val="20"/>
          <w:szCs w:val="20"/>
        </w:rPr>
      </w:pPr>
      <w:r w:rsidRPr="00C84995">
        <w:rPr>
          <w:sz w:val="20"/>
          <w:szCs w:val="20"/>
        </w:rPr>
        <w:t>Abdullah Hagar</w:t>
      </w:r>
      <w:r w:rsidRPr="00C84995">
        <w:rPr>
          <w:sz w:val="20"/>
          <w:szCs w:val="20"/>
          <w:vertAlign w:val="superscript"/>
        </w:rPr>
        <w:t>1</w:t>
      </w:r>
      <w:r w:rsidRPr="00C84995">
        <w:rPr>
          <w:sz w:val="20"/>
          <w:szCs w:val="20"/>
        </w:rPr>
        <w:t>, Nurlisa Fatihah Abd Rani</w:t>
      </w:r>
      <w:r w:rsidRPr="00C84995">
        <w:rPr>
          <w:sz w:val="20"/>
          <w:szCs w:val="20"/>
          <w:vertAlign w:val="superscript"/>
        </w:rPr>
        <w:t>1</w:t>
      </w:r>
      <w:r w:rsidRPr="00C84995">
        <w:rPr>
          <w:sz w:val="20"/>
          <w:szCs w:val="20"/>
        </w:rPr>
        <w:t>, Muhammad Ibrahim</w:t>
      </w:r>
      <w:r w:rsidRPr="00C84995">
        <w:rPr>
          <w:sz w:val="20"/>
          <w:szCs w:val="20"/>
          <w:vertAlign w:val="superscript"/>
        </w:rPr>
        <w:t>1</w:t>
      </w:r>
      <w:r w:rsidRPr="00C84995">
        <w:rPr>
          <w:sz w:val="20"/>
          <w:szCs w:val="20"/>
        </w:rPr>
        <w:t>*, Norazsida Ramli</w:t>
      </w:r>
      <w:r w:rsidRPr="00C84995">
        <w:rPr>
          <w:sz w:val="20"/>
          <w:szCs w:val="20"/>
          <w:vertAlign w:val="superscript"/>
        </w:rPr>
        <w:t>2</w:t>
      </w:r>
      <w:r w:rsidRPr="00C84995">
        <w:rPr>
          <w:sz w:val="20"/>
          <w:szCs w:val="20"/>
        </w:rPr>
        <w:t>,</w:t>
      </w:r>
    </w:p>
    <w:p w14:paraId="2287B906" w14:textId="77777777" w:rsidR="0092399D" w:rsidRPr="00C84995" w:rsidRDefault="0092399D" w:rsidP="0092399D">
      <w:pPr>
        <w:pStyle w:val="NormalWeb"/>
        <w:shd w:val="clear" w:color="auto" w:fill="FFFFFF"/>
        <w:spacing w:before="0" w:beforeAutospacing="0" w:after="0" w:afterAutospacing="0" w:line="276" w:lineRule="auto"/>
        <w:ind w:left="720" w:right="720"/>
        <w:jc w:val="center"/>
        <w:textAlignment w:val="baseline"/>
        <w:rPr>
          <w:sz w:val="20"/>
          <w:szCs w:val="20"/>
        </w:rPr>
      </w:pPr>
      <w:r w:rsidRPr="00C84995">
        <w:rPr>
          <w:sz w:val="20"/>
          <w:szCs w:val="20"/>
        </w:rPr>
        <w:t>Idris Adewale Ahmed</w:t>
      </w:r>
      <w:r w:rsidRPr="00C84995">
        <w:rPr>
          <w:sz w:val="20"/>
          <w:szCs w:val="20"/>
          <w:vertAlign w:val="superscript"/>
        </w:rPr>
        <w:t>3</w:t>
      </w:r>
      <w:r w:rsidRPr="00C84995">
        <w:rPr>
          <w:sz w:val="20"/>
          <w:szCs w:val="20"/>
        </w:rPr>
        <w:t>, Abbe Maleyki Mhd Jalil</w:t>
      </w:r>
      <w:r w:rsidRPr="00C84995">
        <w:rPr>
          <w:sz w:val="20"/>
          <w:szCs w:val="20"/>
          <w:vertAlign w:val="superscript"/>
        </w:rPr>
        <w:t>4</w:t>
      </w:r>
      <w:r w:rsidRPr="00C84995">
        <w:rPr>
          <w:sz w:val="20"/>
          <w:szCs w:val="20"/>
        </w:rPr>
        <w:t>, Mohd Nur Nashriq Anuar</w:t>
      </w:r>
      <w:r w:rsidRPr="00C84995">
        <w:rPr>
          <w:sz w:val="20"/>
          <w:szCs w:val="20"/>
          <w:vertAlign w:val="superscript"/>
        </w:rPr>
        <w:t>1</w:t>
      </w:r>
    </w:p>
    <w:p w14:paraId="4BD1CF2E" w14:textId="77777777" w:rsidR="0092399D" w:rsidRPr="0092399D" w:rsidRDefault="0092399D" w:rsidP="0092399D">
      <w:pPr>
        <w:pStyle w:val="NormalWeb"/>
        <w:shd w:val="clear" w:color="auto" w:fill="FFFFFF"/>
        <w:spacing w:before="0" w:beforeAutospacing="0" w:after="0" w:afterAutospacing="0" w:line="276" w:lineRule="auto"/>
        <w:ind w:left="720" w:right="720"/>
        <w:jc w:val="center"/>
        <w:textAlignment w:val="baseline"/>
        <w:rPr>
          <w:sz w:val="20"/>
          <w:szCs w:val="20"/>
          <w:vertAlign w:val="superscript"/>
        </w:rPr>
      </w:pPr>
    </w:p>
    <w:p w14:paraId="4B05F3CC" w14:textId="77777777" w:rsidR="0092399D" w:rsidRPr="0092399D" w:rsidRDefault="0092399D" w:rsidP="0092399D">
      <w:pPr>
        <w:pStyle w:val="BodyText"/>
        <w:spacing w:line="276" w:lineRule="auto"/>
        <w:ind w:left="440" w:right="645"/>
        <w:jc w:val="center"/>
        <w:rPr>
          <w:i/>
          <w:iCs/>
          <w:sz w:val="20"/>
          <w:szCs w:val="20"/>
        </w:rPr>
      </w:pPr>
      <w:r w:rsidRPr="0092399D">
        <w:rPr>
          <w:i/>
          <w:iCs/>
          <w:sz w:val="20"/>
          <w:szCs w:val="20"/>
          <w:vertAlign w:val="superscript"/>
        </w:rPr>
        <w:t>1</w:t>
      </w:r>
      <w:r w:rsidRPr="0092399D">
        <w:rPr>
          <w:i/>
          <w:iCs/>
          <w:sz w:val="20"/>
          <w:szCs w:val="20"/>
        </w:rPr>
        <w:t>Department of Nutrition Sciences,</w:t>
      </w:r>
    </w:p>
    <w:p w14:paraId="3E66BC04" w14:textId="77777777" w:rsidR="0092399D" w:rsidRPr="0092399D" w:rsidRDefault="0092399D" w:rsidP="0092399D">
      <w:pPr>
        <w:pStyle w:val="BodyText"/>
        <w:spacing w:line="276" w:lineRule="auto"/>
        <w:ind w:left="440" w:right="645"/>
        <w:jc w:val="center"/>
        <w:rPr>
          <w:i/>
          <w:iCs/>
          <w:sz w:val="20"/>
          <w:szCs w:val="20"/>
        </w:rPr>
      </w:pPr>
      <w:r w:rsidRPr="0092399D">
        <w:rPr>
          <w:i/>
          <w:iCs/>
          <w:sz w:val="20"/>
          <w:szCs w:val="20"/>
          <w:vertAlign w:val="superscript"/>
        </w:rPr>
        <w:t>2</w:t>
      </w:r>
      <w:r w:rsidRPr="0092399D">
        <w:rPr>
          <w:i/>
          <w:iCs/>
          <w:sz w:val="20"/>
          <w:szCs w:val="20"/>
        </w:rPr>
        <w:t>Department of Biomedical Science,</w:t>
      </w:r>
    </w:p>
    <w:p w14:paraId="0647B64E" w14:textId="77777777" w:rsidR="0092399D" w:rsidRPr="0092399D" w:rsidRDefault="0092399D" w:rsidP="0092399D">
      <w:pPr>
        <w:pStyle w:val="BodyText"/>
        <w:spacing w:line="276" w:lineRule="auto"/>
        <w:ind w:left="440" w:right="645"/>
        <w:jc w:val="center"/>
        <w:rPr>
          <w:i/>
          <w:iCs/>
          <w:sz w:val="20"/>
          <w:szCs w:val="20"/>
        </w:rPr>
      </w:pPr>
      <w:r w:rsidRPr="0092399D">
        <w:rPr>
          <w:i/>
          <w:iCs/>
          <w:sz w:val="20"/>
          <w:szCs w:val="20"/>
        </w:rPr>
        <w:t>Kulliyyah of Allied Health Sciences,</w:t>
      </w:r>
    </w:p>
    <w:p w14:paraId="08298171" w14:textId="77777777" w:rsidR="0092399D" w:rsidRPr="0092399D" w:rsidRDefault="0092399D" w:rsidP="0092399D">
      <w:pPr>
        <w:pStyle w:val="BodyText"/>
        <w:spacing w:line="276" w:lineRule="auto"/>
        <w:ind w:left="440" w:right="645"/>
        <w:jc w:val="center"/>
        <w:rPr>
          <w:i/>
          <w:iCs/>
          <w:sz w:val="20"/>
          <w:szCs w:val="20"/>
        </w:rPr>
      </w:pPr>
      <w:r w:rsidRPr="0092399D">
        <w:rPr>
          <w:i/>
          <w:iCs/>
          <w:sz w:val="20"/>
          <w:szCs w:val="20"/>
        </w:rPr>
        <w:t>International Islamic University Malaysia, Jalan Istana, Bandar Indera</w:t>
      </w:r>
      <w:r w:rsidRPr="0092399D">
        <w:rPr>
          <w:i/>
          <w:iCs/>
          <w:spacing w:val="-16"/>
          <w:sz w:val="20"/>
          <w:szCs w:val="20"/>
        </w:rPr>
        <w:t xml:space="preserve"> </w:t>
      </w:r>
      <w:r w:rsidRPr="0092399D">
        <w:rPr>
          <w:i/>
          <w:iCs/>
          <w:sz w:val="20"/>
          <w:szCs w:val="20"/>
        </w:rPr>
        <w:t>Mahkota, 25200 Kuantan, Pahang,</w:t>
      </w:r>
      <w:r w:rsidRPr="0092399D">
        <w:rPr>
          <w:i/>
          <w:iCs/>
          <w:spacing w:val="1"/>
          <w:sz w:val="20"/>
          <w:szCs w:val="20"/>
        </w:rPr>
        <w:t xml:space="preserve"> Malaysia</w:t>
      </w:r>
    </w:p>
    <w:p w14:paraId="3B577AE2" w14:textId="77777777" w:rsidR="0092399D" w:rsidRPr="0092399D" w:rsidRDefault="0092399D" w:rsidP="0092399D">
      <w:pPr>
        <w:pStyle w:val="BodyText"/>
        <w:spacing w:line="276" w:lineRule="auto"/>
        <w:ind w:left="440" w:right="717"/>
        <w:jc w:val="center"/>
        <w:rPr>
          <w:i/>
          <w:iCs/>
          <w:sz w:val="20"/>
          <w:szCs w:val="20"/>
        </w:rPr>
      </w:pPr>
      <w:r w:rsidRPr="0092399D">
        <w:rPr>
          <w:i/>
          <w:iCs/>
          <w:sz w:val="20"/>
          <w:szCs w:val="20"/>
          <w:vertAlign w:val="superscript"/>
        </w:rPr>
        <w:t>3</w:t>
      </w:r>
      <w:r w:rsidRPr="0092399D">
        <w:rPr>
          <w:i/>
          <w:iCs/>
          <w:sz w:val="20"/>
          <w:szCs w:val="20"/>
        </w:rPr>
        <w:t>Centre for Natural Products Research and Drug Discovery (CENAR), Level 3, Research Management &amp; Innovation Complex,</w:t>
      </w:r>
    </w:p>
    <w:p w14:paraId="2611F7BC" w14:textId="77777777" w:rsidR="0092399D" w:rsidRPr="0092399D" w:rsidRDefault="0092399D" w:rsidP="0092399D">
      <w:pPr>
        <w:pStyle w:val="BodyText"/>
        <w:spacing w:line="276" w:lineRule="auto"/>
        <w:ind w:left="440" w:right="717"/>
        <w:jc w:val="center"/>
        <w:rPr>
          <w:i/>
          <w:iCs/>
          <w:sz w:val="20"/>
          <w:szCs w:val="20"/>
        </w:rPr>
      </w:pPr>
      <w:r w:rsidRPr="0092399D">
        <w:rPr>
          <w:i/>
          <w:iCs/>
          <w:sz w:val="20"/>
          <w:szCs w:val="20"/>
        </w:rPr>
        <w:t>University of Malaya, 50603 Kuala Lumpur, Malaysia</w:t>
      </w:r>
    </w:p>
    <w:p w14:paraId="1A59B3A7" w14:textId="77777777" w:rsidR="0092399D" w:rsidRPr="0092399D" w:rsidRDefault="0092399D" w:rsidP="0092399D">
      <w:pPr>
        <w:pStyle w:val="BodyText"/>
        <w:spacing w:line="276" w:lineRule="auto"/>
        <w:ind w:left="440" w:right="821"/>
        <w:jc w:val="center"/>
        <w:rPr>
          <w:i/>
          <w:iCs/>
          <w:sz w:val="20"/>
          <w:szCs w:val="20"/>
        </w:rPr>
      </w:pPr>
      <w:r w:rsidRPr="0092399D">
        <w:rPr>
          <w:i/>
          <w:iCs/>
          <w:sz w:val="20"/>
          <w:szCs w:val="20"/>
          <w:vertAlign w:val="superscript"/>
        </w:rPr>
        <w:t>4</w:t>
      </w:r>
      <w:r w:rsidRPr="0092399D">
        <w:rPr>
          <w:i/>
          <w:iCs/>
          <w:sz w:val="20"/>
          <w:szCs w:val="20"/>
        </w:rPr>
        <w:t>School of Nutrition and Dietetics,</w:t>
      </w:r>
    </w:p>
    <w:p w14:paraId="7E4DC4A9" w14:textId="77777777" w:rsidR="0092399D" w:rsidRPr="0092399D" w:rsidRDefault="0092399D" w:rsidP="0092399D">
      <w:pPr>
        <w:pStyle w:val="BodyText"/>
        <w:spacing w:line="276" w:lineRule="auto"/>
        <w:ind w:left="440" w:right="821"/>
        <w:jc w:val="center"/>
        <w:rPr>
          <w:i/>
          <w:iCs/>
          <w:sz w:val="20"/>
          <w:szCs w:val="20"/>
        </w:rPr>
      </w:pPr>
      <w:r w:rsidRPr="0092399D">
        <w:rPr>
          <w:i/>
          <w:iCs/>
          <w:sz w:val="20"/>
          <w:szCs w:val="20"/>
        </w:rPr>
        <w:t>Universiti Sultan Zainal Abidin, 21030 Kuala Terengganu, Terengganu, Malaysia</w:t>
      </w:r>
    </w:p>
    <w:p w14:paraId="087E940A" w14:textId="77777777" w:rsidR="0092399D" w:rsidRPr="0092399D" w:rsidRDefault="0092399D" w:rsidP="0092399D">
      <w:pPr>
        <w:pStyle w:val="BodyText"/>
        <w:spacing w:line="276" w:lineRule="auto"/>
        <w:jc w:val="center"/>
        <w:rPr>
          <w:i/>
          <w:iCs/>
          <w:sz w:val="20"/>
          <w:szCs w:val="20"/>
        </w:rPr>
      </w:pPr>
    </w:p>
    <w:p w14:paraId="7B01F4DC" w14:textId="77777777" w:rsidR="0092399D" w:rsidRPr="0092399D" w:rsidRDefault="0092399D" w:rsidP="0092399D">
      <w:pPr>
        <w:spacing w:after="0"/>
        <w:jc w:val="center"/>
        <w:outlineLvl w:val="0"/>
        <w:rPr>
          <w:rFonts w:ascii="Times New Roman" w:hAnsi="Times New Roman"/>
          <w:i/>
          <w:sz w:val="20"/>
          <w:szCs w:val="20"/>
        </w:rPr>
      </w:pPr>
      <w:r w:rsidRPr="0092399D">
        <w:rPr>
          <w:rFonts w:ascii="Times New Roman" w:hAnsi="Times New Roman"/>
          <w:i/>
          <w:iCs/>
          <w:sz w:val="20"/>
          <w:szCs w:val="20"/>
        </w:rPr>
        <w:t>*Corresponding author.  abumaisarah@iium.edu.my</w:t>
      </w:r>
    </w:p>
    <w:p w14:paraId="151B82BA" w14:textId="77777777" w:rsidR="0092399D" w:rsidRPr="0092399D" w:rsidRDefault="0092399D" w:rsidP="0092399D">
      <w:pPr>
        <w:spacing w:after="0"/>
        <w:jc w:val="center"/>
        <w:rPr>
          <w:rFonts w:ascii="Times New Roman" w:hAnsi="Times New Roman"/>
          <w:noProof/>
          <w:sz w:val="20"/>
          <w:szCs w:val="20"/>
        </w:rPr>
      </w:pPr>
    </w:p>
    <w:p w14:paraId="5B72D523" w14:textId="77777777" w:rsidR="0092399D" w:rsidRPr="0092399D" w:rsidRDefault="0092399D" w:rsidP="0092399D">
      <w:pPr>
        <w:spacing w:after="0"/>
        <w:jc w:val="center"/>
        <w:rPr>
          <w:rFonts w:ascii="Times New Roman" w:hAnsi="Times New Roman"/>
          <w:noProof/>
          <w:sz w:val="20"/>
          <w:szCs w:val="20"/>
        </w:rPr>
      </w:pPr>
    </w:p>
    <w:p w14:paraId="5F678910" w14:textId="28A67E91" w:rsidR="0092399D" w:rsidRPr="0092399D" w:rsidRDefault="0092399D" w:rsidP="0092399D">
      <w:pPr>
        <w:spacing w:after="0"/>
        <w:jc w:val="center"/>
        <w:rPr>
          <w:rFonts w:ascii="Times New Roman" w:hAnsi="Times New Roman"/>
          <w:noProof/>
          <w:sz w:val="20"/>
          <w:szCs w:val="20"/>
        </w:rPr>
      </w:pPr>
      <w:r w:rsidRPr="0092399D">
        <w:rPr>
          <w:rFonts w:ascii="Times New Roman" w:hAnsi="Times New Roman"/>
          <w:noProof/>
          <w:sz w:val="20"/>
          <w:szCs w:val="20"/>
        </w:rPr>
        <w:t xml:space="preserve">Received: 8 July 2021; Accepted: 8 August 2021; Published:  </w:t>
      </w:r>
      <w:r w:rsidR="00FA65B7">
        <w:rPr>
          <w:rFonts w:ascii="Times New Roman" w:hAnsi="Times New Roman"/>
          <w:noProof/>
          <w:sz w:val="20"/>
          <w:szCs w:val="20"/>
        </w:rPr>
        <w:t>29</w:t>
      </w:r>
      <w:r w:rsidRPr="0092399D">
        <w:rPr>
          <w:rFonts w:ascii="Times New Roman" w:hAnsi="Times New Roman"/>
          <w:noProof/>
          <w:sz w:val="20"/>
          <w:szCs w:val="20"/>
        </w:rPr>
        <w:t xml:space="preserve"> August 2021</w:t>
      </w:r>
    </w:p>
    <w:p w14:paraId="2202137D" w14:textId="77777777" w:rsidR="0092399D" w:rsidRPr="0092399D" w:rsidRDefault="0092399D" w:rsidP="0092399D">
      <w:pPr>
        <w:spacing w:after="0"/>
        <w:jc w:val="center"/>
        <w:rPr>
          <w:rFonts w:ascii="Times New Roman" w:hAnsi="Times New Roman"/>
          <w:noProof/>
          <w:sz w:val="20"/>
          <w:szCs w:val="20"/>
        </w:rPr>
      </w:pPr>
    </w:p>
    <w:p w14:paraId="44B272BC" w14:textId="77777777" w:rsidR="0092399D" w:rsidRPr="0092399D" w:rsidRDefault="0092399D" w:rsidP="0092399D">
      <w:pPr>
        <w:spacing w:after="0"/>
        <w:jc w:val="center"/>
        <w:rPr>
          <w:rFonts w:ascii="Times New Roman" w:hAnsi="Times New Roman"/>
          <w:noProof/>
          <w:sz w:val="20"/>
          <w:szCs w:val="20"/>
        </w:rPr>
      </w:pPr>
    </w:p>
    <w:p w14:paraId="0CE8655A" w14:textId="77777777" w:rsidR="0092399D" w:rsidRPr="0092399D" w:rsidRDefault="0092399D" w:rsidP="0092399D">
      <w:pPr>
        <w:spacing w:after="0"/>
        <w:jc w:val="center"/>
        <w:rPr>
          <w:rFonts w:ascii="Times New Roman" w:hAnsi="Times New Roman"/>
          <w:b/>
          <w:noProof/>
          <w:sz w:val="20"/>
          <w:szCs w:val="20"/>
        </w:rPr>
      </w:pPr>
      <w:r w:rsidRPr="0092399D">
        <w:rPr>
          <w:rFonts w:ascii="Times New Roman" w:hAnsi="Times New Roman"/>
          <w:b/>
          <w:noProof/>
          <w:sz w:val="20"/>
          <w:szCs w:val="20"/>
        </w:rPr>
        <w:t>Abstract</w:t>
      </w:r>
    </w:p>
    <w:p w14:paraId="4A84D302" w14:textId="77777777" w:rsidR="0092399D" w:rsidRPr="0092399D" w:rsidRDefault="0092399D" w:rsidP="0092399D">
      <w:pPr>
        <w:pStyle w:val="Default"/>
        <w:spacing w:line="276" w:lineRule="auto"/>
        <w:jc w:val="both"/>
        <w:rPr>
          <w:rFonts w:ascii="Times New Roman" w:hAnsi="Times New Roman" w:cs="Times New Roman"/>
          <w:color w:val="auto"/>
          <w:sz w:val="20"/>
          <w:szCs w:val="20"/>
        </w:rPr>
      </w:pPr>
      <w:r w:rsidRPr="0092399D">
        <w:rPr>
          <w:rFonts w:ascii="Times New Roman" w:hAnsi="Times New Roman" w:cs="Times New Roman"/>
          <w:color w:val="auto"/>
          <w:sz w:val="20"/>
          <w:szCs w:val="20"/>
        </w:rPr>
        <w:t xml:space="preserve">Propolis is a natural product with rich bioactive constituents for medicinal, pharmaceutical, food, and cosmetic uses. It is considered a diet supplement to enhance health and prevent disease. The optimum extraction conditions used to obtain the highest yield of total phenolic content (TPC), total flavonoid content (TFC), and antioxidant capacities for Trigona propolis aqueous extract was analyzed   using </w:t>
      </w:r>
      <w:bookmarkStart w:id="0" w:name="_Hlk79491539"/>
      <w:r w:rsidRPr="0092399D">
        <w:rPr>
          <w:rFonts w:ascii="Times New Roman" w:hAnsi="Times New Roman" w:cs="Times New Roman"/>
          <w:color w:val="auto"/>
          <w:sz w:val="20"/>
          <w:szCs w:val="20"/>
        </w:rPr>
        <w:t xml:space="preserve">  response  </w:t>
      </w:r>
      <w:r w:rsidRPr="0092399D">
        <w:rPr>
          <w:rFonts w:ascii="Times New Roman" w:hAnsi="Times New Roman" w:cs="Times New Roman"/>
          <w:color w:val="auto"/>
          <w:spacing w:val="-3"/>
          <w:sz w:val="20"/>
          <w:szCs w:val="20"/>
        </w:rPr>
        <w:t xml:space="preserve">surface  </w:t>
      </w:r>
      <w:r w:rsidRPr="0092399D">
        <w:rPr>
          <w:rFonts w:ascii="Times New Roman" w:hAnsi="Times New Roman" w:cs="Times New Roman"/>
          <w:color w:val="auto"/>
          <w:sz w:val="20"/>
          <w:szCs w:val="20"/>
        </w:rPr>
        <w:t xml:space="preserve">methodology </w:t>
      </w:r>
      <w:bookmarkEnd w:id="0"/>
      <w:r w:rsidRPr="0092399D">
        <w:rPr>
          <w:rFonts w:ascii="Times New Roman" w:hAnsi="Times New Roman" w:cs="Times New Roman"/>
          <w:color w:val="auto"/>
          <w:sz w:val="20"/>
          <w:szCs w:val="20"/>
        </w:rPr>
        <w:t xml:space="preserve"> and  the  central  composite  design.   The   effects of extraction temperature (X</w:t>
      </w:r>
      <w:r w:rsidRPr="0092399D">
        <w:rPr>
          <w:rFonts w:ascii="Times New Roman" w:hAnsi="Times New Roman" w:cs="Times New Roman"/>
          <w:color w:val="auto"/>
          <w:sz w:val="20"/>
          <w:szCs w:val="20"/>
          <w:vertAlign w:val="subscript"/>
        </w:rPr>
        <w:t>1</w:t>
      </w:r>
      <w:r w:rsidRPr="0092399D">
        <w:rPr>
          <w:rFonts w:ascii="Times New Roman" w:hAnsi="Times New Roman" w:cs="Times New Roman"/>
          <w:color w:val="auto"/>
          <w:sz w:val="20"/>
          <w:szCs w:val="20"/>
        </w:rPr>
        <w:t>: 30 - 60 °C) and extraction time (X</w:t>
      </w:r>
      <w:r w:rsidRPr="0092399D">
        <w:rPr>
          <w:rFonts w:ascii="Times New Roman" w:hAnsi="Times New Roman" w:cs="Times New Roman"/>
          <w:color w:val="auto"/>
          <w:sz w:val="20"/>
          <w:szCs w:val="20"/>
          <w:vertAlign w:val="subscript"/>
        </w:rPr>
        <w:t>2</w:t>
      </w:r>
      <w:r w:rsidRPr="0092399D">
        <w:rPr>
          <w:rFonts w:ascii="Times New Roman" w:hAnsi="Times New Roman" w:cs="Times New Roman"/>
          <w:color w:val="auto"/>
          <w:sz w:val="20"/>
          <w:szCs w:val="20"/>
        </w:rPr>
        <w:t>: 24 - 72 hours) on TPC (Y</w:t>
      </w:r>
      <w:r w:rsidRPr="0092399D">
        <w:rPr>
          <w:rFonts w:ascii="Times New Roman" w:hAnsi="Times New Roman" w:cs="Times New Roman"/>
          <w:color w:val="auto"/>
          <w:sz w:val="20"/>
          <w:szCs w:val="20"/>
          <w:vertAlign w:val="subscript"/>
        </w:rPr>
        <w:t>1</w:t>
      </w:r>
      <w:r w:rsidRPr="0092399D">
        <w:rPr>
          <w:rFonts w:ascii="Times New Roman" w:hAnsi="Times New Roman" w:cs="Times New Roman"/>
          <w:color w:val="auto"/>
          <w:sz w:val="20"/>
          <w:szCs w:val="20"/>
        </w:rPr>
        <w:t>), TFC (Y</w:t>
      </w:r>
      <w:r w:rsidRPr="0092399D">
        <w:rPr>
          <w:rFonts w:ascii="Times New Roman" w:hAnsi="Times New Roman" w:cs="Times New Roman"/>
          <w:color w:val="auto"/>
          <w:sz w:val="20"/>
          <w:szCs w:val="20"/>
          <w:vertAlign w:val="subscript"/>
        </w:rPr>
        <w:t>2</w:t>
      </w:r>
      <w:r w:rsidRPr="0092399D">
        <w:rPr>
          <w:rFonts w:ascii="Times New Roman" w:hAnsi="Times New Roman" w:cs="Times New Roman"/>
          <w:color w:val="auto"/>
          <w:sz w:val="20"/>
          <w:szCs w:val="20"/>
        </w:rPr>
        <w:t>), and antioxidant activities (DPPH (Y</w:t>
      </w:r>
      <w:r w:rsidRPr="0092399D">
        <w:rPr>
          <w:rFonts w:ascii="Times New Roman" w:hAnsi="Times New Roman" w:cs="Times New Roman"/>
          <w:color w:val="auto"/>
          <w:sz w:val="20"/>
          <w:szCs w:val="20"/>
          <w:vertAlign w:val="subscript"/>
        </w:rPr>
        <w:t>3</w:t>
      </w:r>
      <w:r w:rsidRPr="0092399D">
        <w:rPr>
          <w:rFonts w:ascii="Times New Roman" w:hAnsi="Times New Roman" w:cs="Times New Roman"/>
          <w:color w:val="auto"/>
          <w:sz w:val="20"/>
          <w:szCs w:val="20"/>
        </w:rPr>
        <w:t>), ABTS</w:t>
      </w:r>
      <w:r w:rsidRPr="0092399D">
        <w:rPr>
          <w:rFonts w:ascii="Times New Roman" w:hAnsi="Times New Roman" w:cs="Times New Roman"/>
          <w:color w:val="auto"/>
          <w:sz w:val="20"/>
          <w:szCs w:val="20"/>
          <w:vertAlign w:val="superscript"/>
        </w:rPr>
        <w:t>•+</w:t>
      </w:r>
      <w:r w:rsidRPr="0092399D">
        <w:rPr>
          <w:rFonts w:ascii="Times New Roman" w:hAnsi="Times New Roman" w:cs="Times New Roman"/>
          <w:color w:val="auto"/>
          <w:sz w:val="20"/>
          <w:szCs w:val="20"/>
        </w:rPr>
        <w:t> radical scavenging assay (Y</w:t>
      </w:r>
      <w:r w:rsidRPr="0092399D">
        <w:rPr>
          <w:rFonts w:ascii="Times New Roman" w:hAnsi="Times New Roman" w:cs="Times New Roman"/>
          <w:color w:val="auto"/>
          <w:sz w:val="20"/>
          <w:szCs w:val="20"/>
          <w:vertAlign w:val="subscript"/>
        </w:rPr>
        <w:t>4</w:t>
      </w:r>
      <w:r w:rsidRPr="0092399D">
        <w:rPr>
          <w:rFonts w:ascii="Times New Roman" w:hAnsi="Times New Roman" w:cs="Times New Roman"/>
          <w:color w:val="auto"/>
          <w:sz w:val="20"/>
          <w:szCs w:val="20"/>
        </w:rPr>
        <w:t xml:space="preserve">), and ferric reducing antioxidant power (Y5) were investigated. The experimental data were satisfactorily fitted into a second-order </w:t>
      </w:r>
      <w:r w:rsidRPr="0092399D">
        <w:rPr>
          <w:rFonts w:ascii="Times New Roman" w:hAnsi="Times New Roman" w:cs="Times New Roman"/>
          <w:color w:val="auto"/>
          <w:sz w:val="20"/>
          <w:szCs w:val="20"/>
        </w:rPr>
        <w:lastRenderedPageBreak/>
        <w:t>polynomial model with regard to TPC (R</w:t>
      </w:r>
      <w:r w:rsidRPr="0092399D">
        <w:rPr>
          <w:rFonts w:ascii="Times New Roman" w:hAnsi="Times New Roman" w:cs="Times New Roman"/>
          <w:color w:val="auto"/>
          <w:sz w:val="20"/>
          <w:szCs w:val="20"/>
          <w:vertAlign w:val="superscript"/>
        </w:rPr>
        <w:t xml:space="preserve">2 </w:t>
      </w:r>
      <w:r w:rsidRPr="0092399D">
        <w:rPr>
          <w:rFonts w:ascii="Times New Roman" w:hAnsi="Times New Roman" w:cs="Times New Roman"/>
          <w:color w:val="auto"/>
          <w:sz w:val="20"/>
          <w:szCs w:val="20"/>
        </w:rPr>
        <w:t xml:space="preserve">= 0.9461, </w:t>
      </w:r>
      <w:r w:rsidRPr="0092399D">
        <w:rPr>
          <w:rFonts w:ascii="Times New Roman" w:hAnsi="Times New Roman" w:cs="Times New Roman"/>
          <w:i/>
          <w:iCs/>
          <w:color w:val="auto"/>
          <w:sz w:val="20"/>
          <w:szCs w:val="20"/>
        </w:rPr>
        <w:t>p</w:t>
      </w:r>
      <w:r w:rsidRPr="0092399D">
        <w:rPr>
          <w:rFonts w:ascii="Times New Roman" w:hAnsi="Times New Roman" w:cs="Times New Roman"/>
          <w:color w:val="auto"/>
          <w:sz w:val="20"/>
          <w:szCs w:val="20"/>
        </w:rPr>
        <w:t xml:space="preserve"> = 0.0003), TFC (R</w:t>
      </w:r>
      <w:r w:rsidRPr="0092399D">
        <w:rPr>
          <w:rFonts w:ascii="Times New Roman" w:hAnsi="Times New Roman" w:cs="Times New Roman"/>
          <w:color w:val="auto"/>
          <w:sz w:val="20"/>
          <w:szCs w:val="20"/>
          <w:vertAlign w:val="superscript"/>
        </w:rPr>
        <w:t xml:space="preserve">2 </w:t>
      </w:r>
      <w:r w:rsidRPr="0092399D">
        <w:rPr>
          <w:rFonts w:ascii="Times New Roman" w:hAnsi="Times New Roman" w:cs="Times New Roman"/>
          <w:color w:val="auto"/>
          <w:sz w:val="20"/>
          <w:szCs w:val="20"/>
        </w:rPr>
        <w:t xml:space="preserve">= 0.9110, </w:t>
      </w:r>
      <w:r w:rsidRPr="0092399D">
        <w:rPr>
          <w:rFonts w:ascii="Times New Roman" w:hAnsi="Times New Roman" w:cs="Times New Roman"/>
          <w:i/>
          <w:iCs/>
          <w:color w:val="auto"/>
          <w:sz w:val="20"/>
          <w:szCs w:val="20"/>
        </w:rPr>
        <w:t xml:space="preserve">p </w:t>
      </w:r>
      <w:r w:rsidRPr="0092399D">
        <w:rPr>
          <w:rFonts w:ascii="Times New Roman" w:hAnsi="Times New Roman" w:cs="Times New Roman"/>
          <w:color w:val="auto"/>
          <w:sz w:val="20"/>
          <w:szCs w:val="20"/>
        </w:rPr>
        <w:t>= 0.0015), DPPH (R</w:t>
      </w:r>
      <w:r w:rsidRPr="0092399D">
        <w:rPr>
          <w:rFonts w:ascii="Times New Roman" w:hAnsi="Times New Roman" w:cs="Times New Roman"/>
          <w:color w:val="auto"/>
          <w:sz w:val="20"/>
          <w:szCs w:val="20"/>
          <w:vertAlign w:val="superscript"/>
        </w:rPr>
        <w:t xml:space="preserve">2 </w:t>
      </w:r>
      <w:r w:rsidRPr="0092399D">
        <w:rPr>
          <w:rFonts w:ascii="Times New Roman" w:hAnsi="Times New Roman" w:cs="Times New Roman"/>
          <w:color w:val="auto"/>
          <w:sz w:val="20"/>
          <w:szCs w:val="20"/>
        </w:rPr>
        <w:t xml:space="preserve">= 0.9482, </w:t>
      </w:r>
      <w:r w:rsidRPr="0092399D">
        <w:rPr>
          <w:rFonts w:ascii="Times New Roman" w:hAnsi="Times New Roman" w:cs="Times New Roman"/>
          <w:i/>
          <w:iCs/>
          <w:color w:val="auto"/>
          <w:sz w:val="20"/>
          <w:szCs w:val="20"/>
        </w:rPr>
        <w:t xml:space="preserve">p </w:t>
      </w:r>
      <w:r w:rsidRPr="0092399D">
        <w:rPr>
          <w:rFonts w:ascii="Times New Roman" w:hAnsi="Times New Roman" w:cs="Times New Roman"/>
          <w:color w:val="auto"/>
          <w:sz w:val="20"/>
          <w:szCs w:val="20"/>
        </w:rPr>
        <w:t>&lt;0.0001),</w:t>
      </w:r>
      <w:r w:rsidRPr="0092399D">
        <w:rPr>
          <w:rFonts w:ascii="Times New Roman" w:hAnsi="Times New Roman" w:cs="Times New Roman"/>
          <w:color w:val="auto"/>
          <w:spacing w:val="36"/>
          <w:sz w:val="20"/>
          <w:szCs w:val="20"/>
        </w:rPr>
        <w:t xml:space="preserve"> </w:t>
      </w:r>
      <w:r w:rsidRPr="0092399D">
        <w:rPr>
          <w:rFonts w:ascii="Times New Roman" w:hAnsi="Times New Roman" w:cs="Times New Roman"/>
          <w:color w:val="auto"/>
          <w:sz w:val="20"/>
          <w:szCs w:val="20"/>
        </w:rPr>
        <w:t>ABTS (R</w:t>
      </w:r>
      <w:r w:rsidRPr="0092399D">
        <w:rPr>
          <w:rFonts w:ascii="Times New Roman" w:hAnsi="Times New Roman" w:cs="Times New Roman"/>
          <w:color w:val="auto"/>
          <w:sz w:val="20"/>
          <w:szCs w:val="20"/>
          <w:vertAlign w:val="superscript"/>
        </w:rPr>
        <w:t xml:space="preserve">2 </w:t>
      </w:r>
      <w:r w:rsidRPr="0092399D">
        <w:rPr>
          <w:rFonts w:ascii="Times New Roman" w:hAnsi="Times New Roman" w:cs="Times New Roman"/>
          <w:color w:val="auto"/>
          <w:sz w:val="20"/>
          <w:szCs w:val="20"/>
        </w:rPr>
        <w:t xml:space="preserve">= 0.9663, </w:t>
      </w:r>
      <w:r w:rsidRPr="0092399D">
        <w:rPr>
          <w:rFonts w:ascii="Times New Roman" w:hAnsi="Times New Roman" w:cs="Times New Roman"/>
          <w:i/>
          <w:iCs/>
          <w:color w:val="auto"/>
          <w:sz w:val="20"/>
          <w:szCs w:val="20"/>
        </w:rPr>
        <w:t xml:space="preserve">p </w:t>
      </w:r>
      <w:r w:rsidRPr="0092399D">
        <w:rPr>
          <w:rFonts w:ascii="Times New Roman" w:hAnsi="Times New Roman" w:cs="Times New Roman"/>
          <w:color w:val="auto"/>
          <w:sz w:val="20"/>
          <w:szCs w:val="20"/>
        </w:rPr>
        <w:t xml:space="preserve">&lt;0.0001), and </w:t>
      </w:r>
      <w:r w:rsidRPr="0092399D">
        <w:rPr>
          <w:rFonts w:ascii="Times New Roman" w:hAnsi="Times New Roman" w:cs="Times New Roman"/>
          <w:color w:val="auto"/>
          <w:spacing w:val="-5"/>
          <w:sz w:val="20"/>
          <w:szCs w:val="20"/>
        </w:rPr>
        <w:t xml:space="preserve">FRAP </w:t>
      </w:r>
      <w:r w:rsidRPr="0092399D">
        <w:rPr>
          <w:rFonts w:ascii="Times New Roman" w:hAnsi="Times New Roman" w:cs="Times New Roman"/>
          <w:color w:val="auto"/>
          <w:sz w:val="20"/>
          <w:szCs w:val="20"/>
        </w:rPr>
        <w:t>(R</w:t>
      </w:r>
      <w:r w:rsidRPr="0092399D">
        <w:rPr>
          <w:rFonts w:ascii="Times New Roman" w:hAnsi="Times New Roman" w:cs="Times New Roman"/>
          <w:color w:val="auto"/>
          <w:sz w:val="20"/>
          <w:szCs w:val="20"/>
          <w:vertAlign w:val="superscript"/>
        </w:rPr>
        <w:t xml:space="preserve">2 </w:t>
      </w:r>
      <w:r w:rsidRPr="0092399D">
        <w:rPr>
          <w:rFonts w:ascii="Times New Roman" w:hAnsi="Times New Roman" w:cs="Times New Roman"/>
          <w:color w:val="auto"/>
          <w:sz w:val="20"/>
          <w:szCs w:val="20"/>
        </w:rPr>
        <w:t xml:space="preserve">= 0.9058, </w:t>
      </w:r>
      <w:r w:rsidRPr="0092399D">
        <w:rPr>
          <w:rFonts w:ascii="Times New Roman" w:hAnsi="Times New Roman" w:cs="Times New Roman"/>
          <w:i/>
          <w:iCs/>
          <w:color w:val="auto"/>
          <w:sz w:val="20"/>
          <w:szCs w:val="20"/>
        </w:rPr>
        <w:t xml:space="preserve">p </w:t>
      </w:r>
      <w:r w:rsidRPr="0092399D">
        <w:rPr>
          <w:rFonts w:ascii="Times New Roman" w:hAnsi="Times New Roman" w:cs="Times New Roman"/>
          <w:color w:val="auto"/>
          <w:sz w:val="20"/>
          <w:szCs w:val="20"/>
        </w:rPr>
        <w:t>= 0.0018). The optimum extraction temperature and time</w:t>
      </w:r>
      <w:r w:rsidRPr="0092399D">
        <w:rPr>
          <w:rFonts w:ascii="Times New Roman" w:hAnsi="Times New Roman" w:cs="Times New Roman"/>
          <w:color w:val="auto"/>
          <w:spacing w:val="33"/>
          <w:sz w:val="20"/>
          <w:szCs w:val="20"/>
        </w:rPr>
        <w:t xml:space="preserve"> </w:t>
      </w:r>
      <w:r w:rsidRPr="0092399D">
        <w:rPr>
          <w:rFonts w:ascii="Times New Roman" w:hAnsi="Times New Roman" w:cs="Times New Roman"/>
          <w:color w:val="auto"/>
          <w:sz w:val="20"/>
          <w:szCs w:val="20"/>
        </w:rPr>
        <w:t>were 43.75 °C and 52.85 hours. The predicted response values for TPC, TFC, DPPH, ABTS,</w:t>
      </w:r>
      <w:r w:rsidRPr="0092399D">
        <w:rPr>
          <w:rFonts w:ascii="Times New Roman" w:hAnsi="Times New Roman" w:cs="Times New Roman"/>
          <w:color w:val="auto"/>
          <w:spacing w:val="37"/>
          <w:sz w:val="20"/>
          <w:szCs w:val="20"/>
        </w:rPr>
        <w:t xml:space="preserve"> </w:t>
      </w:r>
      <w:r w:rsidRPr="0092399D">
        <w:rPr>
          <w:rFonts w:ascii="Times New Roman" w:hAnsi="Times New Roman" w:cs="Times New Roman"/>
          <w:color w:val="auto"/>
          <w:sz w:val="20"/>
          <w:szCs w:val="20"/>
        </w:rPr>
        <w:t>and</w:t>
      </w:r>
      <w:r w:rsidRPr="0092399D">
        <w:rPr>
          <w:rFonts w:ascii="Times New Roman" w:hAnsi="Times New Roman" w:cs="Times New Roman"/>
          <w:color w:val="auto"/>
          <w:spacing w:val="37"/>
          <w:sz w:val="20"/>
          <w:szCs w:val="20"/>
        </w:rPr>
        <w:t xml:space="preserve"> </w:t>
      </w:r>
      <w:r w:rsidRPr="0092399D">
        <w:rPr>
          <w:rFonts w:ascii="Times New Roman" w:hAnsi="Times New Roman" w:cs="Times New Roman"/>
          <w:color w:val="auto"/>
          <w:sz w:val="20"/>
          <w:szCs w:val="20"/>
        </w:rPr>
        <w:t>FRAP</w:t>
      </w:r>
      <w:r w:rsidRPr="0092399D">
        <w:rPr>
          <w:rFonts w:ascii="Times New Roman" w:hAnsi="Times New Roman" w:cs="Times New Roman"/>
          <w:color w:val="auto"/>
          <w:spacing w:val="38"/>
          <w:sz w:val="20"/>
          <w:szCs w:val="20"/>
        </w:rPr>
        <w:t xml:space="preserve"> </w:t>
      </w:r>
      <w:r w:rsidRPr="0092399D">
        <w:rPr>
          <w:rFonts w:ascii="Times New Roman" w:hAnsi="Times New Roman" w:cs="Times New Roman"/>
          <w:color w:val="auto"/>
          <w:sz w:val="20"/>
          <w:szCs w:val="20"/>
        </w:rPr>
        <w:t>were</w:t>
      </w:r>
      <w:r w:rsidRPr="0092399D">
        <w:rPr>
          <w:rFonts w:ascii="Times New Roman" w:hAnsi="Times New Roman" w:cs="Times New Roman"/>
          <w:color w:val="auto"/>
          <w:spacing w:val="36"/>
          <w:sz w:val="20"/>
          <w:szCs w:val="20"/>
        </w:rPr>
        <w:t xml:space="preserve"> </w:t>
      </w:r>
      <w:r w:rsidRPr="0092399D">
        <w:rPr>
          <w:rFonts w:ascii="Times New Roman" w:hAnsi="Times New Roman" w:cs="Times New Roman"/>
          <w:color w:val="auto"/>
          <w:sz w:val="20"/>
          <w:szCs w:val="20"/>
        </w:rPr>
        <w:t>104.30</w:t>
      </w:r>
      <w:r w:rsidRPr="0092399D">
        <w:rPr>
          <w:rFonts w:ascii="Times New Roman" w:hAnsi="Times New Roman" w:cs="Times New Roman"/>
          <w:color w:val="auto"/>
          <w:spacing w:val="37"/>
          <w:sz w:val="20"/>
          <w:szCs w:val="20"/>
        </w:rPr>
        <w:t xml:space="preserve"> </w:t>
      </w:r>
      <w:r w:rsidRPr="0092399D">
        <w:rPr>
          <w:rFonts w:ascii="Times New Roman" w:hAnsi="Times New Roman" w:cs="Times New Roman"/>
          <w:color w:val="auto"/>
          <w:sz w:val="20"/>
          <w:szCs w:val="20"/>
        </w:rPr>
        <w:t>mg</w:t>
      </w:r>
      <w:r w:rsidRPr="0092399D">
        <w:rPr>
          <w:rFonts w:ascii="Times New Roman" w:hAnsi="Times New Roman" w:cs="Times New Roman"/>
          <w:color w:val="auto"/>
          <w:spacing w:val="38"/>
          <w:sz w:val="20"/>
          <w:szCs w:val="20"/>
        </w:rPr>
        <w:t xml:space="preserve"> </w:t>
      </w:r>
      <w:r w:rsidRPr="0092399D">
        <w:rPr>
          <w:rFonts w:ascii="Times New Roman" w:hAnsi="Times New Roman" w:cs="Times New Roman"/>
          <w:color w:val="auto"/>
          <w:sz w:val="20"/>
          <w:szCs w:val="20"/>
        </w:rPr>
        <w:t>GAE/100g,</w:t>
      </w:r>
      <w:r w:rsidRPr="0092399D">
        <w:rPr>
          <w:rFonts w:ascii="Times New Roman" w:hAnsi="Times New Roman" w:cs="Times New Roman"/>
          <w:color w:val="auto"/>
          <w:spacing w:val="37"/>
          <w:sz w:val="20"/>
          <w:szCs w:val="20"/>
        </w:rPr>
        <w:t xml:space="preserve"> </w:t>
      </w:r>
      <w:r w:rsidRPr="0092399D">
        <w:rPr>
          <w:rFonts w:ascii="Times New Roman" w:hAnsi="Times New Roman" w:cs="Times New Roman"/>
          <w:color w:val="auto"/>
          <w:sz w:val="20"/>
          <w:szCs w:val="20"/>
        </w:rPr>
        <w:t>6.95</w:t>
      </w:r>
      <w:r w:rsidRPr="0092399D">
        <w:rPr>
          <w:rFonts w:ascii="Times New Roman" w:hAnsi="Times New Roman" w:cs="Times New Roman"/>
          <w:color w:val="auto"/>
          <w:spacing w:val="38"/>
          <w:sz w:val="20"/>
          <w:szCs w:val="20"/>
        </w:rPr>
        <w:t xml:space="preserve"> </w:t>
      </w:r>
      <w:r w:rsidRPr="0092399D">
        <w:rPr>
          <w:rFonts w:ascii="Times New Roman" w:hAnsi="Times New Roman" w:cs="Times New Roman"/>
          <w:color w:val="auto"/>
          <w:sz w:val="20"/>
          <w:szCs w:val="20"/>
        </w:rPr>
        <w:t>mg</w:t>
      </w:r>
      <w:r w:rsidRPr="0092399D">
        <w:rPr>
          <w:rFonts w:ascii="Times New Roman" w:hAnsi="Times New Roman" w:cs="Times New Roman"/>
          <w:color w:val="auto"/>
          <w:spacing w:val="36"/>
          <w:sz w:val="20"/>
          <w:szCs w:val="20"/>
        </w:rPr>
        <w:t xml:space="preserve"> </w:t>
      </w:r>
      <w:r w:rsidRPr="0092399D">
        <w:rPr>
          <w:rFonts w:ascii="Times New Roman" w:hAnsi="Times New Roman" w:cs="Times New Roman"/>
          <w:color w:val="auto"/>
          <w:sz w:val="20"/>
          <w:szCs w:val="20"/>
        </w:rPr>
        <w:t>QE/g,</w:t>
      </w:r>
      <w:r w:rsidRPr="0092399D">
        <w:rPr>
          <w:rFonts w:ascii="Times New Roman" w:hAnsi="Times New Roman" w:cs="Times New Roman"/>
          <w:color w:val="auto"/>
          <w:spacing w:val="38"/>
          <w:sz w:val="20"/>
          <w:szCs w:val="20"/>
        </w:rPr>
        <w:t xml:space="preserve"> </w:t>
      </w:r>
      <w:r w:rsidRPr="0092399D">
        <w:rPr>
          <w:rFonts w:ascii="Times New Roman" w:hAnsi="Times New Roman" w:cs="Times New Roman"/>
          <w:color w:val="auto"/>
          <w:sz w:val="20"/>
          <w:szCs w:val="20"/>
        </w:rPr>
        <w:t>3.24</w:t>
      </w:r>
      <w:r w:rsidRPr="0092399D">
        <w:rPr>
          <w:rFonts w:ascii="Times New Roman" w:hAnsi="Times New Roman" w:cs="Times New Roman"/>
          <w:color w:val="auto"/>
          <w:spacing w:val="16"/>
          <w:sz w:val="20"/>
          <w:szCs w:val="20"/>
        </w:rPr>
        <w:t xml:space="preserve"> </w:t>
      </w:r>
      <w:r w:rsidRPr="0092399D">
        <w:rPr>
          <w:rFonts w:ascii="Times New Roman" w:hAnsi="Times New Roman" w:cs="Times New Roman"/>
          <w:color w:val="auto"/>
          <w:sz w:val="20"/>
          <w:szCs w:val="20"/>
        </w:rPr>
        <w:t>mMTE/g, 2.59 mMTE/g, and 4.34 mMTE/g, respectively. The experimental values were close to the predicted values 100.41 ± 2.74 mg GAE/100g, 6.74 ± 0.08 mg QE/g, 3.17 ± 0.08 mMTE/g, 2.76 ± 0.14 mMTE/g, and 4.60 ± 0.14 mMTE/g. As a result, the models generated are suitable, and RSM was successful in optimizing the extraction conditions. Consequently, in this study, it was observed that the optimum extraction temperature and time provided the highest antioxidant yield of aqueous propolis extract which can be used as functional food ingredients.</w:t>
      </w:r>
    </w:p>
    <w:p w14:paraId="649FDF19" w14:textId="77777777" w:rsidR="0092399D" w:rsidRPr="0092399D" w:rsidRDefault="0092399D" w:rsidP="0092399D">
      <w:pPr>
        <w:spacing w:after="0"/>
        <w:ind w:right="435"/>
        <w:jc w:val="both"/>
        <w:rPr>
          <w:rFonts w:ascii="Times New Roman" w:hAnsi="Times New Roman"/>
          <w:b/>
          <w:i/>
          <w:sz w:val="20"/>
          <w:szCs w:val="20"/>
        </w:rPr>
      </w:pPr>
    </w:p>
    <w:p w14:paraId="643EA715" w14:textId="77777777" w:rsidR="0092399D" w:rsidRPr="0092399D" w:rsidRDefault="0092399D" w:rsidP="0092399D">
      <w:pPr>
        <w:spacing w:after="0"/>
        <w:ind w:right="435"/>
        <w:jc w:val="both"/>
        <w:rPr>
          <w:rFonts w:ascii="Times New Roman" w:hAnsi="Times New Roman"/>
          <w:iCs/>
          <w:sz w:val="20"/>
          <w:szCs w:val="20"/>
        </w:rPr>
      </w:pPr>
      <w:r w:rsidRPr="0092399D">
        <w:rPr>
          <w:rFonts w:ascii="Times New Roman" w:hAnsi="Times New Roman"/>
          <w:b/>
          <w:iCs/>
          <w:sz w:val="20"/>
          <w:szCs w:val="20"/>
        </w:rPr>
        <w:t xml:space="preserve">Keywords:  </w:t>
      </w:r>
      <w:r w:rsidRPr="0092399D">
        <w:rPr>
          <w:rFonts w:ascii="Times New Roman" w:hAnsi="Times New Roman"/>
          <w:iCs/>
          <w:sz w:val="20"/>
          <w:szCs w:val="20"/>
        </w:rPr>
        <w:t>phenolic, antioxidant, propolis</w:t>
      </w:r>
    </w:p>
    <w:p w14:paraId="529CCB23" w14:textId="77777777" w:rsidR="0092399D" w:rsidRPr="0092399D" w:rsidRDefault="0092399D" w:rsidP="0092399D">
      <w:pPr>
        <w:spacing w:after="0"/>
        <w:jc w:val="center"/>
        <w:outlineLvl w:val="0"/>
        <w:rPr>
          <w:rFonts w:ascii="Times New Roman" w:hAnsi="Times New Roman"/>
          <w:b/>
          <w:sz w:val="20"/>
          <w:szCs w:val="20"/>
        </w:rPr>
      </w:pPr>
    </w:p>
    <w:p w14:paraId="6429D6E1" w14:textId="77777777" w:rsidR="0092399D" w:rsidRPr="0092399D" w:rsidRDefault="0092399D" w:rsidP="0092399D">
      <w:pPr>
        <w:spacing w:after="0"/>
        <w:jc w:val="center"/>
        <w:outlineLvl w:val="0"/>
        <w:rPr>
          <w:rFonts w:ascii="Times New Roman" w:hAnsi="Times New Roman"/>
          <w:b/>
          <w:sz w:val="20"/>
          <w:szCs w:val="20"/>
        </w:rPr>
      </w:pPr>
      <w:r w:rsidRPr="0092399D">
        <w:rPr>
          <w:rFonts w:ascii="Times New Roman" w:hAnsi="Times New Roman"/>
          <w:b/>
          <w:sz w:val="20"/>
          <w:szCs w:val="20"/>
        </w:rPr>
        <w:t>Abstrak</w:t>
      </w:r>
    </w:p>
    <w:p w14:paraId="3425556C" w14:textId="77777777" w:rsidR="0092399D" w:rsidRPr="0092399D" w:rsidRDefault="0092399D" w:rsidP="0092399D">
      <w:pPr>
        <w:spacing w:after="0"/>
        <w:jc w:val="both"/>
        <w:outlineLvl w:val="0"/>
        <w:rPr>
          <w:rFonts w:ascii="Times New Roman" w:hAnsi="Times New Roman"/>
          <w:b/>
          <w:sz w:val="20"/>
          <w:szCs w:val="20"/>
        </w:rPr>
      </w:pPr>
      <w:r w:rsidRPr="0092399D">
        <w:rPr>
          <w:rFonts w:ascii="Times New Roman" w:hAnsi="Times New Roman"/>
          <w:sz w:val="20"/>
          <w:szCs w:val="20"/>
        </w:rPr>
        <w:t>Propolis merupakan hasil semulajadi yang kaya bahan bioaktif bagi perubatan, farmaseutikal, makanan dan kosmetik. Ia dianggap diet tambahan bagi kesihatan dan mencegah penyakit.</w:t>
      </w:r>
      <w:r w:rsidRPr="0092399D">
        <w:rPr>
          <w:rFonts w:ascii="Times New Roman" w:hAnsi="Times New Roman"/>
          <w:b/>
          <w:sz w:val="20"/>
          <w:szCs w:val="20"/>
        </w:rPr>
        <w:t xml:space="preserve"> </w:t>
      </w:r>
      <w:r w:rsidRPr="0092399D">
        <w:rPr>
          <w:rFonts w:ascii="Times New Roman" w:eastAsia="AdvGulliv-R" w:hAnsi="Times New Roman"/>
          <w:sz w:val="20"/>
          <w:szCs w:val="20"/>
        </w:rPr>
        <w:t>Keadaan pengekstrakan optimum yang telah digunakan untuk hasil jumlah kandungan fenolik (TPC), jumlah kandungan flavonoid (TFC), dan kapasiti antioksidan tertinggi dianalis menggunakan pengekstrakan akues propolis kelulut melalui kaedah gerak balas permukaan, reka bentuk komposit berpusat. Kesan suhu pengekstrakan (X</w:t>
      </w:r>
      <w:r w:rsidRPr="0092399D">
        <w:rPr>
          <w:rFonts w:ascii="Times New Roman" w:eastAsia="AdvGulliv-R" w:hAnsi="Times New Roman"/>
          <w:sz w:val="20"/>
          <w:szCs w:val="20"/>
          <w:vertAlign w:val="subscript"/>
        </w:rPr>
        <w:t>1</w:t>
      </w:r>
      <w:r w:rsidRPr="0092399D">
        <w:rPr>
          <w:rFonts w:ascii="Times New Roman" w:eastAsia="AdvGulliv-R" w:hAnsi="Times New Roman"/>
          <w:sz w:val="20"/>
          <w:szCs w:val="20"/>
        </w:rPr>
        <w:t>: 30 - 60 °C) dan masa pengekstrakan (X</w:t>
      </w:r>
      <w:r w:rsidRPr="0092399D">
        <w:rPr>
          <w:rFonts w:ascii="Times New Roman" w:eastAsia="AdvGulliv-R" w:hAnsi="Times New Roman"/>
          <w:sz w:val="20"/>
          <w:szCs w:val="20"/>
          <w:vertAlign w:val="subscript"/>
        </w:rPr>
        <w:t>2</w:t>
      </w:r>
      <w:r w:rsidRPr="0092399D">
        <w:rPr>
          <w:rFonts w:ascii="Times New Roman" w:eastAsia="AdvGulliv-R" w:hAnsi="Times New Roman"/>
          <w:sz w:val="20"/>
          <w:szCs w:val="20"/>
        </w:rPr>
        <w:t>: 24 - 72 jam) pada aktiviti TPC (Y</w:t>
      </w:r>
      <w:r w:rsidRPr="0092399D">
        <w:rPr>
          <w:rFonts w:ascii="Times New Roman" w:eastAsia="AdvGulliv-R" w:hAnsi="Times New Roman"/>
          <w:sz w:val="20"/>
          <w:szCs w:val="20"/>
          <w:vertAlign w:val="subscript"/>
        </w:rPr>
        <w:t>1</w:t>
      </w:r>
      <w:r w:rsidRPr="0092399D">
        <w:rPr>
          <w:rFonts w:ascii="Times New Roman" w:eastAsia="AdvGulliv-R" w:hAnsi="Times New Roman"/>
          <w:sz w:val="20"/>
          <w:szCs w:val="20"/>
        </w:rPr>
        <w:t>), TFC (Y</w:t>
      </w:r>
      <w:r w:rsidRPr="0092399D">
        <w:rPr>
          <w:rFonts w:ascii="Times New Roman" w:eastAsia="AdvGulliv-R" w:hAnsi="Times New Roman"/>
          <w:sz w:val="20"/>
          <w:szCs w:val="20"/>
          <w:vertAlign w:val="subscript"/>
        </w:rPr>
        <w:t>2</w:t>
      </w:r>
      <w:r w:rsidRPr="0092399D">
        <w:rPr>
          <w:rFonts w:ascii="Times New Roman" w:eastAsia="AdvGulliv-R" w:hAnsi="Times New Roman"/>
          <w:sz w:val="20"/>
          <w:szCs w:val="20"/>
        </w:rPr>
        <w:t>) dan aktiviti antioksidan DPPH (Y</w:t>
      </w:r>
      <w:r w:rsidRPr="0092399D">
        <w:rPr>
          <w:rFonts w:ascii="Times New Roman" w:eastAsia="AdvGulliv-R" w:hAnsi="Times New Roman"/>
          <w:sz w:val="20"/>
          <w:szCs w:val="20"/>
          <w:vertAlign w:val="subscript"/>
        </w:rPr>
        <w:t>3</w:t>
      </w:r>
      <w:r w:rsidRPr="0092399D">
        <w:rPr>
          <w:rFonts w:ascii="Times New Roman" w:eastAsia="AdvGulliv-R" w:hAnsi="Times New Roman"/>
          <w:sz w:val="20"/>
          <w:szCs w:val="20"/>
        </w:rPr>
        <w:t xml:space="preserve">), </w:t>
      </w:r>
      <w:r w:rsidRPr="0092399D">
        <w:rPr>
          <w:rFonts w:ascii="Times New Roman" w:hAnsi="Times New Roman"/>
          <w:sz w:val="20"/>
          <w:szCs w:val="20"/>
        </w:rPr>
        <w:t>ABTS</w:t>
      </w:r>
      <w:r w:rsidRPr="0092399D">
        <w:rPr>
          <w:rFonts w:ascii="Times New Roman" w:hAnsi="Times New Roman"/>
          <w:sz w:val="20"/>
          <w:szCs w:val="20"/>
          <w:vertAlign w:val="superscript"/>
        </w:rPr>
        <w:t>•+</w:t>
      </w:r>
      <w:r w:rsidRPr="0092399D">
        <w:rPr>
          <w:rFonts w:ascii="Times New Roman" w:hAnsi="Times New Roman"/>
          <w:b/>
          <w:bCs/>
          <w:sz w:val="20"/>
          <w:szCs w:val="20"/>
        </w:rPr>
        <w:t> </w:t>
      </w:r>
      <w:r w:rsidRPr="0092399D">
        <w:rPr>
          <w:rFonts w:ascii="Times New Roman" w:eastAsia="AdvGulliv-R" w:hAnsi="Times New Roman"/>
          <w:sz w:val="20"/>
          <w:szCs w:val="20"/>
        </w:rPr>
        <w:t>(Y</w:t>
      </w:r>
      <w:r w:rsidRPr="0092399D">
        <w:rPr>
          <w:rFonts w:ascii="Times New Roman" w:eastAsia="AdvGulliv-R" w:hAnsi="Times New Roman"/>
          <w:sz w:val="20"/>
          <w:szCs w:val="20"/>
          <w:vertAlign w:val="subscript"/>
        </w:rPr>
        <w:t>4</w:t>
      </w:r>
      <w:r w:rsidRPr="0092399D">
        <w:rPr>
          <w:rFonts w:ascii="Times New Roman" w:eastAsia="AdvGulliv-R" w:hAnsi="Times New Roman"/>
          <w:sz w:val="20"/>
          <w:szCs w:val="20"/>
        </w:rPr>
        <w:t>), dan FRAP (Y</w:t>
      </w:r>
      <w:r w:rsidRPr="0092399D">
        <w:rPr>
          <w:rFonts w:ascii="Times New Roman" w:eastAsia="AdvGulliv-R" w:hAnsi="Times New Roman"/>
          <w:sz w:val="20"/>
          <w:szCs w:val="20"/>
          <w:vertAlign w:val="subscript"/>
        </w:rPr>
        <w:t>5</w:t>
      </w:r>
      <w:r w:rsidRPr="0092399D">
        <w:rPr>
          <w:rFonts w:ascii="Times New Roman" w:eastAsia="AdvGulliv-R" w:hAnsi="Times New Roman"/>
          <w:sz w:val="20"/>
          <w:szCs w:val="20"/>
        </w:rPr>
        <w:t>) telah diselidik. Data eksperimen diperolehi adalah sepadan bagi model polinomial peringkat kedua terhadap TPC (R</w:t>
      </w:r>
      <w:r w:rsidRPr="0092399D">
        <w:rPr>
          <w:rFonts w:ascii="Times New Roman" w:eastAsia="AdvGulliv-R" w:hAnsi="Times New Roman"/>
          <w:sz w:val="20"/>
          <w:szCs w:val="20"/>
          <w:vertAlign w:val="superscript"/>
        </w:rPr>
        <w:t xml:space="preserve">2 </w:t>
      </w:r>
      <w:r w:rsidRPr="0092399D">
        <w:rPr>
          <w:rFonts w:ascii="Times New Roman" w:eastAsia="AdvGulliv-R" w:hAnsi="Times New Roman"/>
          <w:sz w:val="20"/>
          <w:szCs w:val="20"/>
        </w:rPr>
        <w:t xml:space="preserve">= 0.9461, </w:t>
      </w:r>
      <w:r w:rsidRPr="0092399D">
        <w:rPr>
          <w:rFonts w:ascii="Times New Roman" w:eastAsia="AdvGulliv-R" w:hAnsi="Times New Roman"/>
          <w:i/>
          <w:iCs/>
          <w:sz w:val="20"/>
          <w:szCs w:val="20"/>
        </w:rPr>
        <w:t>p</w:t>
      </w:r>
      <w:r w:rsidRPr="0092399D">
        <w:rPr>
          <w:rFonts w:ascii="Times New Roman" w:eastAsia="AdvGulliv-R" w:hAnsi="Times New Roman"/>
          <w:sz w:val="20"/>
          <w:szCs w:val="20"/>
        </w:rPr>
        <w:t xml:space="preserve"> = 0.003), TFC (R</w:t>
      </w:r>
      <w:r w:rsidRPr="0092399D">
        <w:rPr>
          <w:rFonts w:ascii="Times New Roman" w:eastAsia="AdvGulliv-R" w:hAnsi="Times New Roman"/>
          <w:sz w:val="20"/>
          <w:szCs w:val="20"/>
          <w:vertAlign w:val="superscript"/>
        </w:rPr>
        <w:t>2</w:t>
      </w:r>
      <w:r w:rsidRPr="0092399D">
        <w:rPr>
          <w:rFonts w:ascii="Times New Roman" w:eastAsia="AdvGulliv-R" w:hAnsi="Times New Roman"/>
          <w:sz w:val="20"/>
          <w:szCs w:val="20"/>
        </w:rPr>
        <w:t xml:space="preserve"> = 0.9110, </w:t>
      </w:r>
      <w:r w:rsidRPr="0092399D">
        <w:rPr>
          <w:rFonts w:ascii="Times New Roman" w:eastAsia="AdvGulliv-R" w:hAnsi="Times New Roman"/>
          <w:i/>
          <w:iCs/>
          <w:sz w:val="20"/>
          <w:szCs w:val="20"/>
        </w:rPr>
        <w:t xml:space="preserve">p </w:t>
      </w:r>
      <w:r w:rsidRPr="0092399D">
        <w:rPr>
          <w:rFonts w:ascii="Times New Roman" w:eastAsia="AdvGulliv-R" w:hAnsi="Times New Roman"/>
          <w:sz w:val="20"/>
          <w:szCs w:val="20"/>
        </w:rPr>
        <w:t>= 0.0015), DPPH (R</w:t>
      </w:r>
      <w:r w:rsidRPr="0092399D">
        <w:rPr>
          <w:rFonts w:ascii="Times New Roman" w:eastAsia="AdvGulliv-R" w:hAnsi="Times New Roman"/>
          <w:sz w:val="20"/>
          <w:szCs w:val="20"/>
          <w:vertAlign w:val="superscript"/>
        </w:rPr>
        <w:t xml:space="preserve">2 </w:t>
      </w:r>
      <w:r w:rsidRPr="0092399D">
        <w:rPr>
          <w:rFonts w:ascii="Times New Roman" w:eastAsia="AdvGulliv-R" w:hAnsi="Times New Roman"/>
          <w:sz w:val="20"/>
          <w:szCs w:val="20"/>
        </w:rPr>
        <w:t xml:space="preserve">= 0.9482, </w:t>
      </w:r>
      <w:r w:rsidRPr="0092399D">
        <w:rPr>
          <w:rFonts w:ascii="Times New Roman" w:eastAsia="AdvGulliv-R" w:hAnsi="Times New Roman"/>
          <w:i/>
          <w:iCs/>
          <w:sz w:val="20"/>
          <w:szCs w:val="20"/>
        </w:rPr>
        <w:t xml:space="preserve">p </w:t>
      </w:r>
      <w:r w:rsidRPr="0092399D">
        <w:rPr>
          <w:rFonts w:ascii="Times New Roman" w:eastAsia="AdvGulliv-R" w:hAnsi="Times New Roman"/>
          <w:sz w:val="20"/>
          <w:szCs w:val="20"/>
        </w:rPr>
        <w:t>&lt;0.0001), ABTS (R</w:t>
      </w:r>
      <w:r w:rsidRPr="0092399D">
        <w:rPr>
          <w:rFonts w:ascii="Times New Roman" w:eastAsia="AdvGulliv-R" w:hAnsi="Times New Roman"/>
          <w:sz w:val="20"/>
          <w:szCs w:val="20"/>
          <w:vertAlign w:val="superscript"/>
        </w:rPr>
        <w:t xml:space="preserve">2 </w:t>
      </w:r>
      <w:r w:rsidRPr="0092399D">
        <w:rPr>
          <w:rFonts w:ascii="Times New Roman" w:eastAsia="AdvGulliv-R" w:hAnsi="Times New Roman"/>
          <w:sz w:val="20"/>
          <w:szCs w:val="20"/>
        </w:rPr>
        <w:t xml:space="preserve">= 0.9663, </w:t>
      </w:r>
      <w:r w:rsidRPr="0092399D">
        <w:rPr>
          <w:rFonts w:ascii="Times New Roman" w:eastAsia="AdvGulliv-R" w:hAnsi="Times New Roman"/>
          <w:i/>
          <w:iCs/>
          <w:sz w:val="20"/>
          <w:szCs w:val="20"/>
        </w:rPr>
        <w:t xml:space="preserve">p </w:t>
      </w:r>
      <w:r w:rsidRPr="0092399D">
        <w:rPr>
          <w:rFonts w:ascii="Times New Roman" w:eastAsia="AdvGulliv-R" w:hAnsi="Times New Roman"/>
          <w:sz w:val="20"/>
          <w:szCs w:val="20"/>
        </w:rPr>
        <w:t>&lt;0.0001), dan FRAP (R</w:t>
      </w:r>
      <w:r w:rsidRPr="0092399D">
        <w:rPr>
          <w:rFonts w:ascii="Times New Roman" w:eastAsia="AdvGulliv-R" w:hAnsi="Times New Roman"/>
          <w:sz w:val="20"/>
          <w:szCs w:val="20"/>
          <w:vertAlign w:val="superscript"/>
        </w:rPr>
        <w:t xml:space="preserve">2 </w:t>
      </w:r>
      <w:r w:rsidRPr="0092399D">
        <w:rPr>
          <w:rFonts w:ascii="Times New Roman" w:eastAsia="AdvGulliv-R" w:hAnsi="Times New Roman"/>
          <w:sz w:val="20"/>
          <w:szCs w:val="20"/>
        </w:rPr>
        <w:t xml:space="preserve">= 0.9058, </w:t>
      </w:r>
      <w:r w:rsidRPr="0092399D">
        <w:rPr>
          <w:rFonts w:ascii="Times New Roman" w:eastAsia="AdvGulliv-R" w:hAnsi="Times New Roman"/>
          <w:i/>
          <w:iCs/>
          <w:sz w:val="20"/>
          <w:szCs w:val="20"/>
        </w:rPr>
        <w:t>p</w:t>
      </w:r>
      <w:r w:rsidRPr="0092399D">
        <w:rPr>
          <w:rFonts w:ascii="Times New Roman" w:eastAsia="AdvGulliv-R" w:hAnsi="Times New Roman"/>
          <w:sz w:val="20"/>
          <w:szCs w:val="20"/>
        </w:rPr>
        <w:t>=0.0018). Suhu dan masa pengekstrakan yang optimum ialah 43.75 °C dan 52.85 jam. Nilai tindak balas yang diramalkan untuk TPC, TFC, DPPH, ABTS, dan FRAP adalah 104.30 mg GAE/100g, 6.95 mg QE/g, 3.24 mMTE/g, 2.59 mMTE/g, dan 4.34 mMTE/g. Nilai eksperimen hampir dengan nilai yang diramalkan iaitu 100.41 ± 2.74 mg GAE/100g, 6.74 ± 0,08 mg QE/g, 3.17 ± 0.08 mMTE/g, 2.76 ± 0,14 mMTE/g, dan 60 ± 0,14 mMTE/g. Dalam kajian ini, diperhatikan bahawa suhu dan masa pengekstrakan yang optimum memberikan hasil antioksidan tertinggi ekstrak propolis dan dapat digunakan sebagai bahan makanan</w:t>
      </w:r>
    </w:p>
    <w:p w14:paraId="174AE85A" w14:textId="77777777" w:rsidR="0092399D" w:rsidRPr="0092399D" w:rsidRDefault="0092399D" w:rsidP="0092399D">
      <w:pPr>
        <w:spacing w:after="0"/>
        <w:jc w:val="both"/>
        <w:rPr>
          <w:rFonts w:ascii="Times New Roman" w:eastAsia="AdvGulliv-R" w:hAnsi="Times New Roman"/>
          <w:sz w:val="20"/>
          <w:szCs w:val="20"/>
        </w:rPr>
      </w:pPr>
    </w:p>
    <w:p w14:paraId="03B6796F" w14:textId="45244995" w:rsidR="00185EDF" w:rsidRDefault="0092399D" w:rsidP="0092399D">
      <w:pPr>
        <w:spacing w:after="0"/>
        <w:jc w:val="both"/>
        <w:outlineLvl w:val="0"/>
        <w:rPr>
          <w:rFonts w:ascii="Times New Roman" w:eastAsia="AdvGulliv-R" w:hAnsi="Times New Roman"/>
          <w:sz w:val="20"/>
          <w:szCs w:val="20"/>
        </w:rPr>
      </w:pPr>
      <w:r w:rsidRPr="0092399D">
        <w:rPr>
          <w:rFonts w:ascii="Times New Roman" w:hAnsi="Times New Roman"/>
          <w:b/>
          <w:sz w:val="20"/>
          <w:szCs w:val="20"/>
        </w:rPr>
        <w:t xml:space="preserve">Kata kunci:  </w:t>
      </w:r>
      <w:r w:rsidRPr="0092399D">
        <w:rPr>
          <w:rFonts w:ascii="Times New Roman" w:eastAsia="AdvGulliv-R" w:hAnsi="Times New Roman"/>
          <w:sz w:val="20"/>
          <w:szCs w:val="20"/>
        </w:rPr>
        <w:t>fenolik, antioksida, propolis</w:t>
      </w:r>
    </w:p>
    <w:p w14:paraId="1C27B6F1" w14:textId="3AA1FEE9" w:rsidR="0092399D" w:rsidRDefault="0092399D" w:rsidP="0092399D">
      <w:pPr>
        <w:spacing w:after="0"/>
        <w:jc w:val="both"/>
        <w:outlineLvl w:val="0"/>
        <w:rPr>
          <w:rFonts w:ascii="Times New Roman" w:eastAsia="AdvGulliv-R" w:hAnsi="Times New Roman"/>
          <w:sz w:val="20"/>
          <w:szCs w:val="20"/>
        </w:rPr>
      </w:pPr>
    </w:p>
    <w:p w14:paraId="11E6BBB8" w14:textId="77777777" w:rsidR="0092399D" w:rsidRPr="00F447A7" w:rsidRDefault="0092399D" w:rsidP="0092399D">
      <w:pPr>
        <w:spacing w:after="0"/>
        <w:jc w:val="center"/>
        <w:rPr>
          <w:rFonts w:ascii="Times New Roman" w:hAnsi="Times New Roman"/>
          <w:b/>
          <w:noProof/>
          <w:sz w:val="20"/>
          <w:szCs w:val="20"/>
        </w:rPr>
      </w:pPr>
      <w:r w:rsidRPr="00F447A7">
        <w:rPr>
          <w:rFonts w:ascii="Times New Roman" w:hAnsi="Times New Roman"/>
          <w:b/>
          <w:noProof/>
          <w:sz w:val="20"/>
          <w:szCs w:val="20"/>
        </w:rPr>
        <w:t>References</w:t>
      </w:r>
    </w:p>
    <w:p w14:paraId="5BBC40A2" w14:textId="77777777" w:rsidR="0092399D" w:rsidRPr="00382F81" w:rsidRDefault="0092399D" w:rsidP="0092399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Oryan, A., Alemzadeh, E. and Moshiri, A. (2018). Potential role of propolis in wound healing: Biological properties and therapeutic activities. </w:t>
      </w:r>
      <w:r w:rsidRPr="00382F81">
        <w:rPr>
          <w:rFonts w:ascii="Times New Roman" w:hAnsi="Times New Roman"/>
          <w:i/>
          <w:iCs/>
          <w:noProof/>
          <w:sz w:val="20"/>
          <w:szCs w:val="20"/>
        </w:rPr>
        <w:t>Biomedicine and Pharmacotherapy</w:t>
      </w:r>
      <w:r w:rsidRPr="00382F81">
        <w:rPr>
          <w:rFonts w:ascii="Times New Roman" w:hAnsi="Times New Roman"/>
          <w:noProof/>
          <w:sz w:val="20"/>
          <w:szCs w:val="20"/>
        </w:rPr>
        <w:t>, 98(2017): 469-483.</w:t>
      </w:r>
    </w:p>
    <w:p w14:paraId="600868EE" w14:textId="77777777" w:rsidR="0092399D" w:rsidRPr="00382F81" w:rsidRDefault="0092399D" w:rsidP="0092399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Freires, I. A., Queiroz, V. C. P. P., Furletti, V. F., Ikegaki, M., de Alencar, S. M., Duarte, M. C. T. and  Rosalen, P. L. (2016). Chemical composition and antifungal potential of Brazilian propolis against Candida spp. </w:t>
      </w:r>
      <w:r w:rsidRPr="00382F81">
        <w:rPr>
          <w:rFonts w:ascii="Times New Roman" w:hAnsi="Times New Roman"/>
          <w:i/>
          <w:iCs/>
          <w:noProof/>
          <w:sz w:val="20"/>
          <w:szCs w:val="20"/>
        </w:rPr>
        <w:t>Journal de Mycologie Medicale</w:t>
      </w:r>
      <w:r w:rsidRPr="00382F81">
        <w:rPr>
          <w:rFonts w:ascii="Times New Roman" w:hAnsi="Times New Roman"/>
          <w:noProof/>
          <w:sz w:val="20"/>
          <w:szCs w:val="20"/>
        </w:rPr>
        <w:t>, 26(2): 122-132.</w:t>
      </w:r>
    </w:p>
    <w:p w14:paraId="3DAE69BF" w14:textId="77777777" w:rsidR="0092399D" w:rsidRPr="00382F81" w:rsidRDefault="0092399D" w:rsidP="0092399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Freires, Irlan Almeida, De Alencar, S. M. and Rosalen, P. L. (2016). A pharmacological perspective on the use of Brazilian Red Propolis and its isolated compounds against human diseases. </w:t>
      </w:r>
      <w:r w:rsidRPr="00382F81">
        <w:rPr>
          <w:rFonts w:ascii="Times New Roman" w:hAnsi="Times New Roman"/>
          <w:i/>
          <w:iCs/>
          <w:noProof/>
          <w:sz w:val="20"/>
          <w:szCs w:val="20"/>
        </w:rPr>
        <w:t>European Journal of Medicinal Chemistry</w:t>
      </w:r>
      <w:r w:rsidRPr="00382F81">
        <w:rPr>
          <w:rFonts w:ascii="Times New Roman" w:hAnsi="Times New Roman"/>
          <w:noProof/>
          <w:sz w:val="20"/>
          <w:szCs w:val="20"/>
        </w:rPr>
        <w:t>, 110: 267-279.</w:t>
      </w:r>
    </w:p>
    <w:p w14:paraId="671BA4D1" w14:textId="77777777" w:rsidR="0092399D" w:rsidRPr="00382F81" w:rsidRDefault="0092399D" w:rsidP="0092399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Pobiega, K., Kraśniewska, K. and Gniewosz, M. (2019). Application of propolis in antimicrobial and antioxidative protection of food quality – A review. </w:t>
      </w:r>
      <w:r w:rsidRPr="00382F81">
        <w:rPr>
          <w:rFonts w:ascii="Times New Roman" w:hAnsi="Times New Roman"/>
          <w:i/>
          <w:iCs/>
          <w:noProof/>
          <w:sz w:val="20"/>
          <w:szCs w:val="20"/>
        </w:rPr>
        <w:t>Trends in Food Science and Technology</w:t>
      </w:r>
      <w:r w:rsidRPr="00382F81">
        <w:rPr>
          <w:rFonts w:ascii="Times New Roman" w:hAnsi="Times New Roman"/>
          <w:noProof/>
          <w:sz w:val="20"/>
          <w:szCs w:val="20"/>
        </w:rPr>
        <w:t>, 83(2018): 53-62.</w:t>
      </w:r>
    </w:p>
    <w:p w14:paraId="2A8EDD5D" w14:textId="77777777" w:rsidR="0092399D" w:rsidRPr="00382F81" w:rsidRDefault="0092399D" w:rsidP="0092399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Farooqui, T. (2012). Beneficial effects of propolis on human health and neurological diseases. </w:t>
      </w:r>
      <w:r w:rsidRPr="00382F81">
        <w:rPr>
          <w:rFonts w:ascii="Times New Roman" w:hAnsi="Times New Roman"/>
          <w:i/>
          <w:iCs/>
          <w:noProof/>
          <w:sz w:val="20"/>
          <w:szCs w:val="20"/>
        </w:rPr>
        <w:t>Frontiers in Bioscience</w:t>
      </w:r>
      <w:r w:rsidRPr="00382F81">
        <w:rPr>
          <w:rFonts w:ascii="Times New Roman" w:hAnsi="Times New Roman"/>
          <w:noProof/>
          <w:sz w:val="20"/>
          <w:szCs w:val="20"/>
        </w:rPr>
        <w:t>, E4(1): 779.</w:t>
      </w:r>
    </w:p>
    <w:p w14:paraId="45CF00CB" w14:textId="77777777" w:rsidR="0092399D" w:rsidRPr="00382F81" w:rsidRDefault="0092399D" w:rsidP="0092399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Salas, A., Mercado, M. I., Zampini, I. C., Ponessa, G. I. and Isla, M. I. (2016). Determination of botanical origin of propolis from Monte Region of Argentina by histological and chemical methods. </w:t>
      </w:r>
      <w:r w:rsidRPr="00382F81">
        <w:rPr>
          <w:rFonts w:ascii="Times New Roman" w:hAnsi="Times New Roman"/>
          <w:i/>
          <w:iCs/>
          <w:noProof/>
          <w:sz w:val="20"/>
          <w:szCs w:val="20"/>
        </w:rPr>
        <w:t>Natural Product Communications</w:t>
      </w:r>
      <w:r w:rsidRPr="00382F81">
        <w:rPr>
          <w:rFonts w:ascii="Times New Roman" w:hAnsi="Times New Roman"/>
          <w:noProof/>
          <w:sz w:val="20"/>
          <w:szCs w:val="20"/>
        </w:rPr>
        <w:t>, 11(5): 627-630.</w:t>
      </w:r>
    </w:p>
    <w:p w14:paraId="315E3494" w14:textId="77777777" w:rsidR="0092399D" w:rsidRPr="00382F81" w:rsidRDefault="0092399D" w:rsidP="0092399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lastRenderedPageBreak/>
        <w:t xml:space="preserve">Kubiliene, L., Laugaliene, V., Pavilonis, A., Maruska, A., Majiene, D., Barcauskaite, K., Kubilius, R., Kasparaviciene, G. and Savickas, A. (2015). Alternative preparation of propolis extracts: Comparison of their composition and biological activities. </w:t>
      </w:r>
      <w:r w:rsidRPr="00382F81">
        <w:rPr>
          <w:rFonts w:ascii="Times New Roman" w:hAnsi="Times New Roman"/>
          <w:i/>
          <w:iCs/>
          <w:noProof/>
          <w:sz w:val="20"/>
          <w:szCs w:val="20"/>
        </w:rPr>
        <w:t>BMC Complementary and Alternative Medicine</w:t>
      </w:r>
      <w:r w:rsidRPr="00382F81">
        <w:rPr>
          <w:rFonts w:ascii="Times New Roman" w:hAnsi="Times New Roman"/>
          <w:noProof/>
          <w:sz w:val="20"/>
          <w:szCs w:val="20"/>
        </w:rPr>
        <w:t>, 15(1): 1-7.</w:t>
      </w:r>
    </w:p>
    <w:p w14:paraId="0613DA86" w14:textId="77777777" w:rsidR="0092399D" w:rsidRPr="00382F81" w:rsidRDefault="0092399D" w:rsidP="0092399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Yang, W., Wu, Z., Huang, Z. Y. and Miao, X. (2017). Preservation of orange juice using propolis. </w:t>
      </w:r>
      <w:r w:rsidRPr="00382F81">
        <w:rPr>
          <w:rFonts w:ascii="Times New Roman" w:hAnsi="Times New Roman"/>
          <w:i/>
          <w:iCs/>
          <w:noProof/>
          <w:sz w:val="20"/>
          <w:szCs w:val="20"/>
        </w:rPr>
        <w:t>Journal of Food Science and Technology</w:t>
      </w:r>
      <w:r w:rsidRPr="00382F81">
        <w:rPr>
          <w:rFonts w:ascii="Times New Roman" w:hAnsi="Times New Roman"/>
          <w:noProof/>
          <w:sz w:val="20"/>
          <w:szCs w:val="20"/>
        </w:rPr>
        <w:t>, 54(11): 3375-3383.</w:t>
      </w:r>
    </w:p>
    <w:p w14:paraId="42B30878" w14:textId="77777777" w:rsidR="0092399D" w:rsidRPr="00382F81" w:rsidRDefault="0092399D" w:rsidP="0092399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Luis-Villaroya, A., Espina, L., García-Gonzalo, D., Bayarri, S., Pérez, C. and Pagán, R. (2015). Bioactive properties of a propolis-based dietary supplement and its use in combination with mild heat for apple juice preservation. </w:t>
      </w:r>
      <w:r w:rsidRPr="00382F81">
        <w:rPr>
          <w:rFonts w:ascii="Times New Roman" w:hAnsi="Times New Roman"/>
          <w:i/>
          <w:iCs/>
          <w:noProof/>
          <w:sz w:val="20"/>
          <w:szCs w:val="20"/>
        </w:rPr>
        <w:t>International Journal of Food Microbiology</w:t>
      </w:r>
      <w:r w:rsidRPr="00382F81">
        <w:rPr>
          <w:rFonts w:ascii="Times New Roman" w:hAnsi="Times New Roman"/>
          <w:noProof/>
          <w:sz w:val="20"/>
          <w:szCs w:val="20"/>
        </w:rPr>
        <w:t>, 205: 90-97.</w:t>
      </w:r>
    </w:p>
    <w:p w14:paraId="6958A980" w14:textId="77777777" w:rsidR="0092399D" w:rsidRPr="00382F81" w:rsidRDefault="0092399D" w:rsidP="0092399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Viera, V. B., Piovesan, N., Moro, K. I. B., Rodrigues, A. S., Scapin, G., Rosa, C. S. da. and Kubota, E. H. (2016). Preparation and microbiological analysis of Tuscan sausage. </w:t>
      </w:r>
      <w:r w:rsidRPr="00382F81">
        <w:rPr>
          <w:rFonts w:ascii="Times New Roman" w:hAnsi="Times New Roman"/>
          <w:i/>
          <w:iCs/>
          <w:noProof/>
          <w:sz w:val="20"/>
          <w:szCs w:val="20"/>
        </w:rPr>
        <w:t>Food Science and Technology</w:t>
      </w:r>
      <w:r w:rsidRPr="00382F81">
        <w:rPr>
          <w:rFonts w:ascii="Times New Roman" w:hAnsi="Times New Roman"/>
          <w:noProof/>
          <w:sz w:val="20"/>
          <w:szCs w:val="20"/>
        </w:rPr>
        <w:t>, 36: 37-41.</w:t>
      </w:r>
    </w:p>
    <w:p w14:paraId="096B7F67" w14:textId="77777777" w:rsidR="0092399D" w:rsidRPr="00382F81" w:rsidRDefault="0092399D" w:rsidP="0092399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Mello, B. C. B. S., Petrus, J. C. C. and Hubinger, M. D. (2010). Concentration of flavonoids and phenolic compounds in aqueous and ethanolic propolis extracts through nanofiltration. </w:t>
      </w:r>
      <w:r w:rsidRPr="00382F81">
        <w:rPr>
          <w:rFonts w:ascii="Times New Roman" w:hAnsi="Times New Roman"/>
          <w:i/>
          <w:iCs/>
          <w:noProof/>
          <w:sz w:val="20"/>
          <w:szCs w:val="20"/>
        </w:rPr>
        <w:t>Journal of Food Engineering</w:t>
      </w:r>
      <w:r w:rsidRPr="00382F81">
        <w:rPr>
          <w:rFonts w:ascii="Times New Roman" w:hAnsi="Times New Roman"/>
          <w:noProof/>
          <w:sz w:val="20"/>
          <w:szCs w:val="20"/>
        </w:rPr>
        <w:t>,</w:t>
      </w:r>
      <w:r w:rsidRPr="00382F81">
        <w:rPr>
          <w:rFonts w:ascii="Times New Roman" w:hAnsi="Times New Roman"/>
          <w:i/>
          <w:iCs/>
          <w:noProof/>
          <w:sz w:val="20"/>
          <w:szCs w:val="20"/>
        </w:rPr>
        <w:t xml:space="preserve"> </w:t>
      </w:r>
      <w:r w:rsidRPr="00382F81">
        <w:rPr>
          <w:rFonts w:ascii="Times New Roman" w:hAnsi="Times New Roman"/>
          <w:noProof/>
          <w:sz w:val="20"/>
          <w:szCs w:val="20"/>
        </w:rPr>
        <w:t>96(4): 533-539.</w:t>
      </w:r>
    </w:p>
    <w:p w14:paraId="7C03351B" w14:textId="77777777" w:rsidR="0092399D" w:rsidRPr="00382F81" w:rsidRDefault="0092399D" w:rsidP="0092399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Bachir Bey, M., Meziant, L., Benchikh, Y. and Louaileche, H. (2014). Deployment of response surface methodology to optimize recovery of dark fresh fig (</w:t>
      </w:r>
      <w:r w:rsidRPr="00382F81">
        <w:rPr>
          <w:rFonts w:ascii="Times New Roman" w:hAnsi="Times New Roman"/>
          <w:i/>
          <w:iCs/>
          <w:noProof/>
          <w:sz w:val="20"/>
          <w:szCs w:val="20"/>
        </w:rPr>
        <w:t>Ficus carica</w:t>
      </w:r>
      <w:r w:rsidRPr="00382F81">
        <w:rPr>
          <w:rFonts w:ascii="Times New Roman" w:hAnsi="Times New Roman"/>
          <w:noProof/>
          <w:sz w:val="20"/>
          <w:szCs w:val="20"/>
        </w:rPr>
        <w:t xml:space="preserve"> L., var. Azenjar) total phenolic compounds and antioxidant activity. </w:t>
      </w:r>
      <w:r w:rsidRPr="00382F81">
        <w:rPr>
          <w:rFonts w:ascii="Times New Roman" w:hAnsi="Times New Roman"/>
          <w:i/>
          <w:iCs/>
          <w:noProof/>
          <w:sz w:val="20"/>
          <w:szCs w:val="20"/>
        </w:rPr>
        <w:t>Food Chemistry</w:t>
      </w:r>
      <w:r w:rsidRPr="00382F81">
        <w:rPr>
          <w:rFonts w:ascii="Times New Roman" w:hAnsi="Times New Roman"/>
          <w:noProof/>
          <w:sz w:val="20"/>
          <w:szCs w:val="20"/>
        </w:rPr>
        <w:t>, 162: 277-282.</w:t>
      </w:r>
    </w:p>
    <w:p w14:paraId="221950D6" w14:textId="77777777" w:rsidR="0092399D" w:rsidRPr="0072421E" w:rsidRDefault="0092399D" w:rsidP="0092399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sectPr w:rsidR="0092399D" w:rsidRPr="0072421E" w:rsidSect="0092399D">
          <w:headerReference w:type="even" r:id="rId12"/>
          <w:headerReference w:type="default" r:id="rId13"/>
          <w:footerReference w:type="even" r:id="rId14"/>
          <w:footerReference w:type="default" r:id="rId15"/>
          <w:headerReference w:type="first" r:id="rId16"/>
          <w:type w:val="continuous"/>
          <w:pgSz w:w="12240" w:h="15840" w:code="1"/>
          <w:pgMar w:top="1800" w:right="1469" w:bottom="1699" w:left="1440" w:header="706" w:footer="706" w:gutter="0"/>
          <w:pgNumType w:start="649"/>
          <w:cols w:space="403"/>
          <w:docGrid w:linePitch="360"/>
        </w:sectPr>
      </w:pPr>
      <w:r w:rsidRPr="00382F81">
        <w:rPr>
          <w:rFonts w:ascii="Times New Roman" w:hAnsi="Times New Roman"/>
          <w:noProof/>
          <w:sz w:val="20"/>
          <w:szCs w:val="20"/>
        </w:rPr>
        <w:t>Durling, N. E., Catchpole, O. J., Grey, J. B., Webby, R. F., Mitchell, K. A., Foo, L. Y. and Perry, N. B. (2007). Extraction of phenolics and essential oil from dried sage (</w:t>
      </w:r>
      <w:r w:rsidRPr="00382F81">
        <w:rPr>
          <w:rFonts w:ascii="Times New Roman" w:hAnsi="Times New Roman"/>
          <w:i/>
          <w:iCs/>
          <w:noProof/>
          <w:sz w:val="20"/>
          <w:szCs w:val="20"/>
        </w:rPr>
        <w:t>Salvia officinalis</w:t>
      </w:r>
      <w:r w:rsidRPr="00382F81">
        <w:rPr>
          <w:rFonts w:ascii="Times New Roman" w:hAnsi="Times New Roman"/>
          <w:noProof/>
          <w:sz w:val="20"/>
          <w:szCs w:val="20"/>
        </w:rPr>
        <w:t xml:space="preserve">) using ethanol-water mixtures. </w:t>
      </w:r>
      <w:r w:rsidRPr="00382F81">
        <w:rPr>
          <w:rFonts w:ascii="Times New Roman" w:hAnsi="Times New Roman"/>
          <w:i/>
          <w:iCs/>
          <w:noProof/>
          <w:sz w:val="20"/>
          <w:szCs w:val="20"/>
        </w:rPr>
        <w:t>Food Chemistry</w:t>
      </w:r>
      <w:r w:rsidRPr="00382F81">
        <w:rPr>
          <w:rFonts w:ascii="Times New Roman" w:hAnsi="Times New Roman"/>
          <w:noProof/>
          <w:sz w:val="20"/>
          <w:szCs w:val="20"/>
        </w:rPr>
        <w:t>, 101(4): 1417-1424.</w:t>
      </w:r>
    </w:p>
    <w:p w14:paraId="403ED751" w14:textId="77777777" w:rsidR="0092399D" w:rsidRPr="0072421E" w:rsidRDefault="0092399D" w:rsidP="0092399D">
      <w:pPr>
        <w:pStyle w:val="ListParagraph"/>
        <w:widowControl w:val="0"/>
        <w:numPr>
          <w:ilvl w:val="0"/>
          <w:numId w:val="9"/>
        </w:numPr>
        <w:autoSpaceDE w:val="0"/>
        <w:autoSpaceDN w:val="0"/>
        <w:adjustRightInd w:val="0"/>
        <w:spacing w:after="0"/>
        <w:ind w:left="360"/>
        <w:jc w:val="both"/>
        <w:rPr>
          <w:rFonts w:ascii="Times New Roman" w:hAnsi="Times New Roman"/>
          <w:noProof/>
          <w:sz w:val="20"/>
          <w:szCs w:val="20"/>
        </w:rPr>
      </w:pPr>
      <w:r w:rsidRPr="0072421E">
        <w:rPr>
          <w:rFonts w:ascii="Times New Roman" w:hAnsi="Times New Roman"/>
          <w:noProof/>
          <w:sz w:val="20"/>
          <w:szCs w:val="20"/>
        </w:rPr>
        <w:t xml:space="preserve">Erdogan, S., Ates, B., Durmaz, G., Yilmaz, I. and Seckin, T. (2011a). Pressurized liquid extraction of phenolic compounds from Anatolia propolis and their radical scavenging capacities. </w:t>
      </w:r>
      <w:r w:rsidRPr="0072421E">
        <w:rPr>
          <w:rFonts w:ascii="Times New Roman" w:hAnsi="Times New Roman"/>
          <w:i/>
          <w:iCs/>
          <w:noProof/>
          <w:sz w:val="20"/>
          <w:szCs w:val="20"/>
        </w:rPr>
        <w:t>Food and Chemical Toxicology</w:t>
      </w:r>
      <w:r w:rsidRPr="0072421E">
        <w:rPr>
          <w:rFonts w:ascii="Times New Roman" w:hAnsi="Times New Roman"/>
          <w:noProof/>
          <w:sz w:val="20"/>
          <w:szCs w:val="20"/>
        </w:rPr>
        <w:t>, 49(7): 1592-1597.</w:t>
      </w:r>
    </w:p>
    <w:p w14:paraId="45D71365" w14:textId="77777777" w:rsidR="0092399D" w:rsidRPr="00382F81" w:rsidRDefault="0092399D" w:rsidP="0092399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Yusof, N., Munaim, M. S. A. and Veloo Kutty, R. (2021). Optimization of total phenolic compounds extracted from propolis by ultrasound- assisted extraction. </w:t>
      </w:r>
      <w:r w:rsidRPr="00382F81">
        <w:rPr>
          <w:rFonts w:ascii="Times New Roman" w:hAnsi="Times New Roman"/>
          <w:i/>
          <w:iCs/>
          <w:noProof/>
          <w:sz w:val="20"/>
          <w:szCs w:val="20"/>
        </w:rPr>
        <w:t>Chemical Engineering Communications</w:t>
      </w:r>
      <w:r w:rsidRPr="00382F81">
        <w:rPr>
          <w:rFonts w:ascii="Times New Roman" w:hAnsi="Times New Roman"/>
          <w:noProof/>
          <w:sz w:val="20"/>
          <w:szCs w:val="20"/>
        </w:rPr>
        <w:t>, 208(4), 564-572.</w:t>
      </w:r>
    </w:p>
    <w:p w14:paraId="670FE2C7" w14:textId="77777777" w:rsidR="0092399D" w:rsidRPr="00382F81" w:rsidRDefault="0092399D" w:rsidP="0092399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Oldoni, T. L. C., Oliveira, S. C., Andolfatto, S., Karling, M., Calegari, M. A., Sado, R. Y., Maia, F. M. C., Alencar, S. M. and Lima, V. A. (2015). Chemical characterization and optimization of the extraction process of bioactive compounds from propolis produced by selected bees Apis mellifera. </w:t>
      </w:r>
      <w:r w:rsidRPr="00382F81">
        <w:rPr>
          <w:rFonts w:ascii="Times New Roman" w:hAnsi="Times New Roman"/>
          <w:i/>
          <w:iCs/>
          <w:noProof/>
          <w:sz w:val="20"/>
          <w:szCs w:val="20"/>
        </w:rPr>
        <w:t>Journal of the Brazilian</w:t>
      </w:r>
      <w:r w:rsidRPr="00382F81">
        <w:rPr>
          <w:rFonts w:ascii="Times New Roman" w:hAnsi="Times New Roman"/>
          <w:noProof/>
          <w:sz w:val="20"/>
          <w:szCs w:val="20"/>
        </w:rPr>
        <w:t xml:space="preserve"> </w:t>
      </w:r>
      <w:r w:rsidRPr="00382F81">
        <w:rPr>
          <w:rFonts w:ascii="Times New Roman" w:hAnsi="Times New Roman"/>
          <w:i/>
          <w:iCs/>
          <w:noProof/>
          <w:sz w:val="20"/>
          <w:szCs w:val="20"/>
        </w:rPr>
        <w:t>Chemical Society</w:t>
      </w:r>
      <w:r w:rsidRPr="00382F81">
        <w:rPr>
          <w:rFonts w:ascii="Times New Roman" w:hAnsi="Times New Roman"/>
          <w:noProof/>
          <w:sz w:val="20"/>
          <w:szCs w:val="20"/>
        </w:rPr>
        <w:t>, 26(10): 2054-2062.</w:t>
      </w:r>
    </w:p>
    <w:p w14:paraId="677BEB5F" w14:textId="77777777" w:rsidR="0092399D" w:rsidRPr="00382F81" w:rsidRDefault="0092399D" w:rsidP="0092399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González-Montelongo, R., Lobo, M. G. and González, M. (2010). The effect of extraction temperature,  time and number of steps on the antioxidant capacity of methanolic banana peel extracts. </w:t>
      </w:r>
      <w:r w:rsidRPr="00382F81">
        <w:rPr>
          <w:rFonts w:ascii="Times New Roman" w:hAnsi="Times New Roman"/>
          <w:i/>
          <w:iCs/>
          <w:noProof/>
          <w:sz w:val="20"/>
          <w:szCs w:val="20"/>
        </w:rPr>
        <w:t>Separation and Purification Technology</w:t>
      </w:r>
      <w:r w:rsidRPr="00382F81">
        <w:rPr>
          <w:rFonts w:ascii="Times New Roman" w:hAnsi="Times New Roman"/>
          <w:noProof/>
          <w:sz w:val="20"/>
          <w:szCs w:val="20"/>
        </w:rPr>
        <w:t>, 71(3): 347-355.</w:t>
      </w:r>
    </w:p>
    <w:p w14:paraId="180177C0" w14:textId="77777777" w:rsidR="0092399D" w:rsidRPr="00382F81" w:rsidRDefault="0092399D" w:rsidP="0092399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Olczyk, P., Komosinska-Vassev, K., Ramos, P., Mencner, L., Olczyk, K. and Pilawa, B. (2017). Free radical scavenging activity of drops and spray containing propolis - An EPR examination. </w:t>
      </w:r>
      <w:r w:rsidRPr="00382F81">
        <w:rPr>
          <w:rFonts w:ascii="Times New Roman" w:hAnsi="Times New Roman"/>
          <w:i/>
          <w:iCs/>
          <w:noProof/>
          <w:sz w:val="20"/>
          <w:szCs w:val="20"/>
        </w:rPr>
        <w:t>Molecules</w:t>
      </w:r>
      <w:r w:rsidRPr="00382F81">
        <w:rPr>
          <w:rFonts w:ascii="Times New Roman" w:hAnsi="Times New Roman"/>
          <w:noProof/>
          <w:sz w:val="20"/>
          <w:szCs w:val="20"/>
        </w:rPr>
        <w:t>, 22(1): 128.</w:t>
      </w:r>
    </w:p>
    <w:p w14:paraId="0B5BCB3B" w14:textId="77777777" w:rsidR="0092399D" w:rsidRPr="00382F81" w:rsidRDefault="0092399D" w:rsidP="0092399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Yim, H. S., Chye, F. Y., Rao, V., Low, J. Y., Matanjun, P., How, S. E. and Ho, C. W. (2013). Optimization of extraction time and temperature on antioxidant activity of Schizophyllum commune aqueous extract using response surface methodology. </w:t>
      </w:r>
      <w:r w:rsidRPr="00382F81">
        <w:rPr>
          <w:rFonts w:ascii="Times New Roman" w:hAnsi="Times New Roman"/>
          <w:i/>
          <w:iCs/>
          <w:noProof/>
          <w:sz w:val="20"/>
          <w:szCs w:val="20"/>
        </w:rPr>
        <w:t>Journal of Food Science and Technology</w:t>
      </w:r>
      <w:r w:rsidRPr="00382F81">
        <w:rPr>
          <w:rFonts w:ascii="Times New Roman" w:hAnsi="Times New Roman"/>
          <w:noProof/>
          <w:sz w:val="20"/>
          <w:szCs w:val="20"/>
        </w:rPr>
        <w:t>, 50(2): 275-283.</w:t>
      </w:r>
    </w:p>
    <w:p w14:paraId="5B905F0A" w14:textId="77777777" w:rsidR="0092399D" w:rsidRPr="00382F81" w:rsidRDefault="0092399D" w:rsidP="0092399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Trusheva, B., Trunkova, D. and Bankova, V. (2007). Different extraction methods of biologically active     components from propolis; A preliminary study. </w:t>
      </w:r>
      <w:r w:rsidRPr="00382F81">
        <w:rPr>
          <w:rFonts w:ascii="Times New Roman" w:hAnsi="Times New Roman"/>
          <w:i/>
          <w:iCs/>
          <w:noProof/>
          <w:sz w:val="20"/>
          <w:szCs w:val="20"/>
        </w:rPr>
        <w:t>Chemistry Central Journal</w:t>
      </w:r>
      <w:r w:rsidRPr="00382F81">
        <w:rPr>
          <w:rFonts w:ascii="Times New Roman" w:hAnsi="Times New Roman"/>
          <w:noProof/>
          <w:sz w:val="20"/>
          <w:szCs w:val="20"/>
        </w:rPr>
        <w:t>, 1(1): 1–4.</w:t>
      </w:r>
    </w:p>
    <w:p w14:paraId="4C9ADCD9" w14:textId="77777777" w:rsidR="0092399D" w:rsidRPr="00382F81" w:rsidRDefault="0092399D" w:rsidP="0092399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Margeretha, I., Suniarti, D. F., Herda, E. and Alim, Z. (2012). Optimization and comparative study of different extraction methods of biologically active components of Indonesian propolis Trigona spp. </w:t>
      </w:r>
      <w:r w:rsidRPr="00382F81">
        <w:rPr>
          <w:rFonts w:ascii="Times New Roman" w:hAnsi="Times New Roman"/>
          <w:i/>
          <w:iCs/>
          <w:noProof/>
          <w:sz w:val="20"/>
          <w:szCs w:val="20"/>
        </w:rPr>
        <w:t>Journal of Natural Products</w:t>
      </w:r>
      <w:r w:rsidRPr="00382F81">
        <w:rPr>
          <w:rFonts w:ascii="Times New Roman" w:hAnsi="Times New Roman"/>
          <w:noProof/>
          <w:sz w:val="20"/>
          <w:szCs w:val="20"/>
        </w:rPr>
        <w:t>, 5: 233-242.</w:t>
      </w:r>
    </w:p>
    <w:p w14:paraId="6C173EFB" w14:textId="77777777" w:rsidR="0092399D" w:rsidRPr="00382F81" w:rsidRDefault="0092399D" w:rsidP="0092399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Tiveron, A. P., Rosalen, P. L., Franchin, M., Lacerda, R. C. C., Bueno-Silva, B., Benso, B., Denny, C., Ikegaki, M. and De Alencar, S. M. (2016). Chemical characterization and antioxidant, antimicrobial, and anti-inflammatory activities of South Brazilian organic propolis. </w:t>
      </w:r>
      <w:r w:rsidRPr="00382F81">
        <w:rPr>
          <w:rFonts w:ascii="Times New Roman" w:hAnsi="Times New Roman"/>
          <w:i/>
          <w:iCs/>
          <w:noProof/>
          <w:sz w:val="20"/>
          <w:szCs w:val="20"/>
        </w:rPr>
        <w:t>PLoS ONE</w:t>
      </w:r>
      <w:r w:rsidRPr="00382F81">
        <w:rPr>
          <w:rFonts w:ascii="Times New Roman" w:hAnsi="Times New Roman"/>
          <w:noProof/>
          <w:sz w:val="20"/>
          <w:szCs w:val="20"/>
        </w:rPr>
        <w:t>, 11(11): 1-18.</w:t>
      </w:r>
    </w:p>
    <w:p w14:paraId="52D80E55" w14:textId="77777777" w:rsidR="0092399D" w:rsidRPr="00382F81" w:rsidRDefault="0092399D" w:rsidP="0092399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sz w:val="20"/>
          <w:szCs w:val="20"/>
        </w:rPr>
        <w:fldChar w:fldCharType="begin" w:fldLock="1"/>
      </w:r>
      <w:r w:rsidRPr="00382F81">
        <w:rPr>
          <w:rFonts w:ascii="Times New Roman" w:hAnsi="Times New Roman"/>
          <w:sz w:val="20"/>
          <w:szCs w:val="20"/>
        </w:rPr>
        <w:instrText xml:space="preserve">ADDIN Mendeley Bibliography CSL_BIBLIOGRAPHY </w:instrText>
      </w:r>
      <w:r w:rsidRPr="00382F81">
        <w:rPr>
          <w:rFonts w:ascii="Times New Roman" w:hAnsi="Times New Roman"/>
          <w:sz w:val="20"/>
          <w:szCs w:val="20"/>
        </w:rPr>
        <w:fldChar w:fldCharType="separate"/>
      </w:r>
      <w:r w:rsidRPr="00382F81">
        <w:rPr>
          <w:rFonts w:ascii="Times New Roman" w:hAnsi="Times New Roman"/>
          <w:noProof/>
          <w:sz w:val="20"/>
          <w:szCs w:val="20"/>
        </w:rPr>
        <w:t xml:space="preserve">Ahmed, I. A., Mikail, M. A., Bin Ibrahim, M., Bin Hazali, N., Rasad, M. S. B. A., Ghani, R. A., Wahab, R. A., Arief, S. J. and Yahya, M. N. A. (2015). Antioxidant activity and phenolic profile of various morphological parts </w:t>
      </w:r>
      <w:r w:rsidRPr="00382F81">
        <w:rPr>
          <w:rFonts w:ascii="Times New Roman" w:hAnsi="Times New Roman"/>
          <w:noProof/>
          <w:sz w:val="20"/>
          <w:szCs w:val="20"/>
        </w:rPr>
        <w:lastRenderedPageBreak/>
        <w:t xml:space="preserve">of underutilised Baccaurea angulata fruit. </w:t>
      </w:r>
      <w:r w:rsidRPr="00382F81">
        <w:rPr>
          <w:rFonts w:ascii="Times New Roman" w:hAnsi="Times New Roman"/>
          <w:i/>
          <w:iCs/>
          <w:noProof/>
          <w:sz w:val="20"/>
          <w:szCs w:val="20"/>
        </w:rPr>
        <w:t>Food Chemistry</w:t>
      </w:r>
      <w:r w:rsidRPr="00382F81">
        <w:rPr>
          <w:rFonts w:ascii="Times New Roman" w:hAnsi="Times New Roman"/>
          <w:noProof/>
          <w:sz w:val="20"/>
          <w:szCs w:val="20"/>
        </w:rPr>
        <w:t>, 172: 778-787.</w:t>
      </w:r>
    </w:p>
    <w:p w14:paraId="45AAA321" w14:textId="77777777" w:rsidR="0092399D" w:rsidRPr="00382F81" w:rsidRDefault="0092399D" w:rsidP="0092399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Meda, A., Lamien, C. E., Romito, M., Millogo, J. and Nacoulma, O. G. (2005). Determination of the total phenolic, flavonoid and proline contents in Burkina Fasan honey, as well as their radical scavenging activity. </w:t>
      </w:r>
      <w:r w:rsidRPr="00382F81">
        <w:rPr>
          <w:rFonts w:ascii="Times New Roman" w:hAnsi="Times New Roman"/>
          <w:i/>
          <w:iCs/>
          <w:noProof/>
          <w:sz w:val="20"/>
          <w:szCs w:val="20"/>
        </w:rPr>
        <w:t>Food Chemistry</w:t>
      </w:r>
      <w:r w:rsidRPr="00382F81">
        <w:rPr>
          <w:rFonts w:ascii="Times New Roman" w:hAnsi="Times New Roman"/>
          <w:noProof/>
          <w:sz w:val="20"/>
          <w:szCs w:val="20"/>
        </w:rPr>
        <w:t>, 91(3): 571-577.</w:t>
      </w:r>
    </w:p>
    <w:p w14:paraId="3E40F112" w14:textId="77777777" w:rsidR="0092399D" w:rsidRPr="00382F81" w:rsidRDefault="0092399D" w:rsidP="0092399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Hatano, A., Nonaka, T., Yoshino, M., Ahn, M. R., Tazawa, S., Araki, Y. and Kumazawa, S. (2012). Antioxidant activity and phenolic constituents of red propolis from Shandong, China. </w:t>
      </w:r>
      <w:r w:rsidRPr="00382F81">
        <w:rPr>
          <w:rFonts w:ascii="Times New Roman" w:hAnsi="Times New Roman"/>
          <w:i/>
          <w:iCs/>
          <w:noProof/>
          <w:sz w:val="20"/>
          <w:szCs w:val="20"/>
        </w:rPr>
        <w:t>Food Science and Technology Research</w:t>
      </w:r>
      <w:r w:rsidRPr="00382F81">
        <w:rPr>
          <w:rFonts w:ascii="Times New Roman" w:hAnsi="Times New Roman"/>
          <w:noProof/>
          <w:sz w:val="20"/>
          <w:szCs w:val="20"/>
        </w:rPr>
        <w:t>, 18(4): 577-584.</w:t>
      </w:r>
    </w:p>
    <w:p w14:paraId="5C6D0F56" w14:textId="77777777" w:rsidR="0092399D" w:rsidRPr="00382F81" w:rsidRDefault="0092399D" w:rsidP="0092399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Alvarez-Suarez, J. M., Tulipani, S., Díaz, D., Estevez, Y., Romandini, S., Giampieri, F., Damiani, E.,Astolfi, P., Bompadre, S. and Battino, M. (2010). Antioxidant and antimicrobial capacity of several monofloral Cuban honeys and their correlation with color, polyphenol content and other chemical compounds. </w:t>
      </w:r>
      <w:r w:rsidRPr="00382F81">
        <w:rPr>
          <w:rFonts w:ascii="Times New Roman" w:hAnsi="Times New Roman"/>
          <w:i/>
          <w:iCs/>
          <w:noProof/>
          <w:sz w:val="20"/>
          <w:szCs w:val="20"/>
        </w:rPr>
        <w:t>Food and Chemical Toxicology</w:t>
      </w:r>
      <w:r w:rsidRPr="00382F81">
        <w:rPr>
          <w:rFonts w:ascii="Times New Roman" w:hAnsi="Times New Roman"/>
          <w:noProof/>
          <w:sz w:val="20"/>
          <w:szCs w:val="20"/>
        </w:rPr>
        <w:t>, 48(8–9): 2490-2499.</w:t>
      </w:r>
    </w:p>
    <w:p w14:paraId="5EF2413D" w14:textId="77777777" w:rsidR="0092399D" w:rsidRPr="00382F81" w:rsidRDefault="0092399D" w:rsidP="0092399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Spigno, G., Tramelli, L. and De Faveri, D. M. (2007). Effects of extraction time, temperature and solvent on concentration and antioxidant activity of grape marc phenolics. </w:t>
      </w:r>
      <w:r w:rsidRPr="00382F81">
        <w:rPr>
          <w:rFonts w:ascii="Times New Roman" w:hAnsi="Times New Roman"/>
          <w:i/>
          <w:iCs/>
          <w:noProof/>
          <w:sz w:val="20"/>
          <w:szCs w:val="20"/>
        </w:rPr>
        <w:t>Journal of Food Engineering</w:t>
      </w:r>
      <w:r w:rsidRPr="00382F81">
        <w:rPr>
          <w:rFonts w:ascii="Times New Roman" w:hAnsi="Times New Roman"/>
          <w:noProof/>
          <w:sz w:val="20"/>
          <w:szCs w:val="20"/>
        </w:rPr>
        <w:t>, 81(1), 200-208.</w:t>
      </w:r>
    </w:p>
    <w:p w14:paraId="0866AA59" w14:textId="58FB2E24" w:rsidR="0092399D" w:rsidRPr="0092399D" w:rsidRDefault="0092399D" w:rsidP="0092399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Baharuddin, N. A. F., Nordin, M. F. M., Morad, N. A., Aris, N. I. A. and Yunus, M. A. C. (2018). Total phenolic, flavonoid content and antioxidant activity of </w:t>
      </w:r>
      <w:r w:rsidRPr="00382F81">
        <w:rPr>
          <w:rFonts w:ascii="Times New Roman" w:hAnsi="Times New Roman"/>
          <w:i/>
          <w:iCs/>
          <w:noProof/>
          <w:sz w:val="20"/>
          <w:szCs w:val="20"/>
        </w:rPr>
        <w:t>Clinacanthus nutans</w:t>
      </w:r>
      <w:r w:rsidRPr="00382F81">
        <w:rPr>
          <w:rFonts w:ascii="Times New Roman" w:hAnsi="Times New Roman"/>
          <w:noProof/>
          <w:sz w:val="20"/>
          <w:szCs w:val="20"/>
        </w:rPr>
        <w:t xml:space="preserve"> leaves by water-based ultrasonic assisted extraction. </w:t>
      </w:r>
      <w:r w:rsidRPr="00382F81">
        <w:rPr>
          <w:rFonts w:ascii="Times New Roman" w:hAnsi="Times New Roman"/>
          <w:i/>
          <w:iCs/>
          <w:noProof/>
          <w:sz w:val="20"/>
          <w:szCs w:val="20"/>
        </w:rPr>
        <w:t>Malaysian Journal of Analytical Sciences</w:t>
      </w:r>
      <w:r w:rsidRPr="00382F81">
        <w:rPr>
          <w:rFonts w:ascii="Times New Roman" w:hAnsi="Times New Roman"/>
          <w:noProof/>
          <w:sz w:val="20"/>
          <w:szCs w:val="20"/>
        </w:rPr>
        <w:t>, 22(4): 659-666.</w:t>
      </w:r>
    </w:p>
    <w:p w14:paraId="65A1BE05" w14:textId="77777777" w:rsidR="0092399D" w:rsidRPr="00382F81" w:rsidRDefault="0092399D" w:rsidP="0092399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Dent, M., Dragović-Uzelac, V., Penić, M., Brñić, M., Bosiljkov, T. and Levaj, B. (2013). The effect of extraction solvents, temperature and time on the composition and mass fraction of polyphenols in dalmatian wild sage (</w:t>
      </w:r>
      <w:r w:rsidRPr="00382F81">
        <w:rPr>
          <w:rFonts w:ascii="Times New Roman" w:hAnsi="Times New Roman"/>
          <w:i/>
          <w:iCs/>
          <w:noProof/>
          <w:sz w:val="20"/>
          <w:szCs w:val="20"/>
        </w:rPr>
        <w:t>Salvia officinalis</w:t>
      </w:r>
      <w:r w:rsidRPr="00382F81">
        <w:rPr>
          <w:rFonts w:ascii="Times New Roman" w:hAnsi="Times New Roman"/>
          <w:noProof/>
          <w:sz w:val="20"/>
          <w:szCs w:val="20"/>
        </w:rPr>
        <w:t xml:space="preserve"> L.) extracts. </w:t>
      </w:r>
      <w:r w:rsidRPr="00382F81">
        <w:rPr>
          <w:rFonts w:ascii="Times New Roman" w:hAnsi="Times New Roman"/>
          <w:i/>
          <w:iCs/>
          <w:noProof/>
          <w:sz w:val="20"/>
          <w:szCs w:val="20"/>
        </w:rPr>
        <w:t>Food Technology and Biotechnology</w:t>
      </w:r>
      <w:r w:rsidRPr="00382F81">
        <w:rPr>
          <w:rFonts w:ascii="Times New Roman" w:hAnsi="Times New Roman"/>
          <w:noProof/>
          <w:sz w:val="20"/>
          <w:szCs w:val="20"/>
        </w:rPr>
        <w:t>, 51(1): 84-91.</w:t>
      </w:r>
    </w:p>
    <w:p w14:paraId="0903ADAC" w14:textId="77777777" w:rsidR="0092399D" w:rsidRPr="00382F81" w:rsidRDefault="0092399D" w:rsidP="0092399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Dranca, F. and  Oroian, M. (2017). Total monomeric anthocyanin, total phenolic content and antioxidant activity of extracts from eggplant (</w:t>
      </w:r>
      <w:r w:rsidRPr="00382F81">
        <w:rPr>
          <w:rFonts w:ascii="Times New Roman" w:hAnsi="Times New Roman"/>
          <w:i/>
          <w:iCs/>
          <w:noProof/>
          <w:sz w:val="20"/>
          <w:szCs w:val="20"/>
        </w:rPr>
        <w:t>Solanum Melongena</w:t>
      </w:r>
      <w:r w:rsidRPr="00382F81">
        <w:rPr>
          <w:rFonts w:ascii="Times New Roman" w:hAnsi="Times New Roman"/>
          <w:noProof/>
          <w:sz w:val="20"/>
          <w:szCs w:val="20"/>
        </w:rPr>
        <w:t xml:space="preserve"> L.) peel using ultrasonic treatments. </w:t>
      </w:r>
      <w:r w:rsidRPr="00382F81">
        <w:rPr>
          <w:rFonts w:ascii="Times New Roman" w:hAnsi="Times New Roman"/>
          <w:i/>
          <w:iCs/>
          <w:noProof/>
          <w:sz w:val="20"/>
          <w:szCs w:val="20"/>
        </w:rPr>
        <w:t>Journal of Food Process Engineering</w:t>
      </w:r>
      <w:r w:rsidRPr="00382F81">
        <w:rPr>
          <w:rFonts w:ascii="Times New Roman" w:hAnsi="Times New Roman"/>
          <w:noProof/>
          <w:sz w:val="20"/>
          <w:szCs w:val="20"/>
        </w:rPr>
        <w:t>, 40(1): 12312.</w:t>
      </w:r>
    </w:p>
    <w:p w14:paraId="6D2A4984" w14:textId="77777777" w:rsidR="0092399D" w:rsidRPr="00382F81" w:rsidRDefault="0092399D" w:rsidP="0092399D">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382F81">
        <w:rPr>
          <w:rFonts w:ascii="Times New Roman" w:hAnsi="Times New Roman"/>
          <w:noProof/>
          <w:sz w:val="20"/>
          <w:szCs w:val="20"/>
        </w:rPr>
        <w:t xml:space="preserve">Miron, T. L., Plaza, M., Bahrim, G., Ibáñez, E. and Herrero, M. (2011). Chemical composition of bioactive pressurized extracts of Romanian aromatic plants. </w:t>
      </w:r>
      <w:r w:rsidRPr="00382F81">
        <w:rPr>
          <w:rFonts w:ascii="Times New Roman" w:hAnsi="Times New Roman"/>
          <w:i/>
          <w:iCs/>
          <w:noProof/>
          <w:sz w:val="20"/>
          <w:szCs w:val="20"/>
        </w:rPr>
        <w:t>Journal of Chromatography A</w:t>
      </w:r>
      <w:r w:rsidRPr="00382F81">
        <w:rPr>
          <w:rFonts w:ascii="Times New Roman" w:hAnsi="Times New Roman"/>
          <w:noProof/>
          <w:sz w:val="20"/>
          <w:szCs w:val="20"/>
        </w:rPr>
        <w:t>, 1218(30): 4918-4927.</w:t>
      </w:r>
    </w:p>
    <w:p w14:paraId="0A534956" w14:textId="77777777" w:rsidR="0092399D" w:rsidRPr="00BF549D" w:rsidRDefault="0092399D" w:rsidP="0092399D">
      <w:pPr>
        <w:pStyle w:val="ListParagraph"/>
        <w:widowControl w:val="0"/>
        <w:numPr>
          <w:ilvl w:val="0"/>
          <w:numId w:val="9"/>
        </w:numPr>
        <w:autoSpaceDE w:val="0"/>
        <w:autoSpaceDN w:val="0"/>
        <w:spacing w:after="0"/>
        <w:ind w:left="360"/>
        <w:contextualSpacing w:val="0"/>
        <w:jc w:val="both"/>
        <w:rPr>
          <w:rFonts w:ascii="Times New Roman" w:hAnsi="Times New Roman"/>
        </w:rPr>
      </w:pPr>
      <w:r w:rsidRPr="00382F81">
        <w:rPr>
          <w:rFonts w:ascii="Times New Roman" w:hAnsi="Times New Roman"/>
          <w:sz w:val="20"/>
          <w:szCs w:val="20"/>
        </w:rPr>
        <w:fldChar w:fldCharType="end"/>
      </w:r>
      <w:r w:rsidRPr="00382F81">
        <w:rPr>
          <w:rFonts w:ascii="Times New Roman" w:hAnsi="Times New Roman"/>
          <w:noProof/>
          <w:sz w:val="20"/>
          <w:szCs w:val="20"/>
        </w:rPr>
        <w:t xml:space="preserve">Gan, C. Y. and Latiff, A. A. (2011). Optimisation of the solvent extraction of bioactive compounds from </w:t>
      </w:r>
      <w:r w:rsidRPr="00382F81">
        <w:rPr>
          <w:rFonts w:ascii="Times New Roman" w:hAnsi="Times New Roman"/>
          <w:i/>
          <w:iCs/>
          <w:noProof/>
          <w:sz w:val="20"/>
          <w:szCs w:val="20"/>
        </w:rPr>
        <w:t>Parkia speciosa</w:t>
      </w:r>
      <w:r w:rsidRPr="00382F81">
        <w:rPr>
          <w:rFonts w:ascii="Times New Roman" w:hAnsi="Times New Roman"/>
          <w:noProof/>
          <w:sz w:val="20"/>
          <w:szCs w:val="20"/>
        </w:rPr>
        <w:t xml:space="preserve"> pod using response surface methodology. </w:t>
      </w:r>
      <w:r w:rsidRPr="00382F81">
        <w:rPr>
          <w:rFonts w:ascii="Times New Roman" w:hAnsi="Times New Roman"/>
          <w:i/>
          <w:iCs/>
          <w:noProof/>
          <w:sz w:val="20"/>
          <w:szCs w:val="20"/>
        </w:rPr>
        <w:t>Food Chemistry</w:t>
      </w:r>
      <w:r w:rsidRPr="00382F81">
        <w:rPr>
          <w:rFonts w:ascii="Times New Roman" w:hAnsi="Times New Roman"/>
          <w:noProof/>
          <w:sz w:val="20"/>
          <w:szCs w:val="20"/>
        </w:rPr>
        <w:t>, 124(3): 1277-1283.</w:t>
      </w:r>
    </w:p>
    <w:p w14:paraId="73BD15CB" w14:textId="77777777" w:rsidR="0092399D" w:rsidRPr="0092399D" w:rsidRDefault="0092399D" w:rsidP="0092399D">
      <w:pPr>
        <w:spacing w:after="0"/>
        <w:jc w:val="both"/>
        <w:outlineLvl w:val="0"/>
        <w:rPr>
          <w:rFonts w:ascii="Times New Roman" w:hAnsi="Times New Roman"/>
          <w:b/>
          <w:sz w:val="20"/>
          <w:szCs w:val="20"/>
        </w:rPr>
      </w:pPr>
    </w:p>
    <w:p w14:paraId="6280E4A5" w14:textId="77777777" w:rsidR="003A1F80" w:rsidRPr="001E55BE" w:rsidRDefault="003A1F80" w:rsidP="001E55BE">
      <w:pPr>
        <w:spacing w:after="0"/>
        <w:rPr>
          <w:rFonts w:ascii="Times New Roman" w:hAnsi="Times New Roman" w:cs="Times New Roman"/>
          <w:sz w:val="24"/>
          <w:szCs w:val="24"/>
        </w:rPr>
      </w:pPr>
    </w:p>
    <w:p w14:paraId="05D0713A" w14:textId="77777777" w:rsidR="003A1F80" w:rsidRPr="001E55BE" w:rsidRDefault="003A1F80" w:rsidP="001E55BE">
      <w:pPr>
        <w:spacing w:after="0"/>
        <w:rPr>
          <w:rFonts w:ascii="Times New Roman" w:hAnsi="Times New Roman" w:cs="Times New Roman"/>
          <w:sz w:val="24"/>
          <w:szCs w:val="24"/>
        </w:rPr>
      </w:pPr>
    </w:p>
    <w:p w14:paraId="28946509" w14:textId="77777777" w:rsidR="00B40E61" w:rsidRPr="001E55BE" w:rsidRDefault="00B40E61" w:rsidP="001E55BE">
      <w:pPr>
        <w:spacing w:after="0"/>
        <w:rPr>
          <w:rFonts w:ascii="Times New Roman" w:hAnsi="Times New Roman" w:cs="Times New Roman"/>
          <w:sz w:val="24"/>
          <w:szCs w:val="24"/>
        </w:rPr>
      </w:pPr>
    </w:p>
    <w:p w14:paraId="28AF9B97" w14:textId="65BCE6EA" w:rsidR="009C3305" w:rsidRDefault="009C3305" w:rsidP="00950912">
      <w:pPr>
        <w:tabs>
          <w:tab w:val="left" w:pos="5059"/>
        </w:tabs>
        <w:spacing w:after="0"/>
        <w:ind w:left="1260" w:hanging="1260"/>
        <w:jc w:val="both"/>
        <w:rPr>
          <w:rFonts w:ascii="Times New Roman" w:hAnsi="Times New Roman"/>
          <w:noProof/>
          <w:sz w:val="20"/>
          <w:szCs w:val="20"/>
        </w:rPr>
        <w:sectPr w:rsidR="009C3305" w:rsidSect="001E55BE">
          <w:footerReference w:type="even" r:id="rId17"/>
          <w:footerReference w:type="default" r:id="rId18"/>
          <w:type w:val="continuous"/>
          <w:pgSz w:w="12240" w:h="15840" w:code="1"/>
          <w:pgMar w:top="1800" w:right="1469" w:bottom="1699" w:left="1440" w:header="706" w:footer="706" w:gutter="0"/>
          <w:pgNumType w:start="1"/>
          <w:cols w:space="403"/>
          <w:docGrid w:linePitch="360"/>
        </w:sectPr>
      </w:pPr>
    </w:p>
    <w:p w14:paraId="299D3E74" w14:textId="440A35BA" w:rsidR="00EC5D90" w:rsidRPr="00385369" w:rsidRDefault="00EC5D90" w:rsidP="001E55BE">
      <w:pPr>
        <w:tabs>
          <w:tab w:val="left" w:pos="5059"/>
        </w:tabs>
        <w:spacing w:after="0"/>
        <w:jc w:val="both"/>
        <w:rPr>
          <w:rFonts w:ascii="Times New Roman" w:hAnsi="Times New Roman"/>
          <w:sz w:val="20"/>
          <w:szCs w:val="20"/>
        </w:rPr>
        <w:sectPr w:rsidR="00EC5D90" w:rsidRPr="00385369" w:rsidSect="00385369">
          <w:type w:val="continuous"/>
          <w:pgSz w:w="12240" w:h="15840" w:code="1"/>
          <w:pgMar w:top="1800" w:right="1469" w:bottom="1699" w:left="1440" w:header="706" w:footer="706" w:gutter="0"/>
          <w:pgNumType w:start="1"/>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9"/>
      <w:headerReference w:type="default" r:id="rId20"/>
      <w:footerReference w:type="even" r:id="rId21"/>
      <w:headerReference w:type="first" r:id="rId22"/>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dvGulliv-R">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BC946" w14:textId="77777777" w:rsidR="0092399D" w:rsidRDefault="0092399D">
    <w:pPr>
      <w:pStyle w:val="Footer"/>
    </w:pPr>
    <w:r>
      <w:rPr>
        <w:rFonts w:ascii="Times New Roman" w:hAnsi="Times New Roman"/>
        <w:lang w:val="en-US"/>
      </w:rPr>
      <w:t>658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E42E5" w14:textId="77777777" w:rsidR="0092399D" w:rsidRPr="007D4BAB" w:rsidRDefault="0092399D" w:rsidP="007D4BAB">
    <w:pPr>
      <w:pStyle w:val="Footer"/>
      <w:jc w:val="right"/>
    </w:pPr>
    <w:r w:rsidRPr="002F1D31">
      <w:rPr>
        <w:lang w:val="en-US"/>
      </w:rPr>
      <w:ptab w:relativeTo="margin" w:alignment="center" w:leader="none"/>
    </w:r>
    <w:r w:rsidRPr="002F1D31">
      <w:rPr>
        <w:lang w:val="en-US"/>
      </w:rPr>
      <w:ptab w:relativeTo="margin" w:alignment="right" w:leader="none"/>
    </w:r>
    <w:r w:rsidRPr="00CE203C">
      <w:rPr>
        <w:rFonts w:ascii="Times New Roman" w:hAnsi="Times New Roman"/>
        <w:lang w:val="en-US"/>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755F" w14:textId="77777777" w:rsidR="001E55BE" w:rsidRDefault="001E55BE">
    <w:pPr>
      <w:pStyle w:val="Footer"/>
    </w:pPr>
    <w:r>
      <w:rPr>
        <w:rFonts w:ascii="Times New Roman" w:hAnsi="Times New Roman"/>
        <w:lang w:val="en-US"/>
      </w:rPr>
      <w:t>266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7713" w14:textId="533E9CE9" w:rsidR="001E55BE" w:rsidRPr="007D4BAB" w:rsidRDefault="001E55BE" w:rsidP="007D4BAB">
    <w:pPr>
      <w:pStyle w:val="Footer"/>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12FCD" w14:textId="77777777" w:rsidR="0092399D" w:rsidRPr="00C84995" w:rsidRDefault="0092399D" w:rsidP="005375EE">
    <w:pPr>
      <w:pStyle w:val="Heading1"/>
      <w:spacing w:before="0"/>
      <w:ind w:left="1440" w:hanging="1440"/>
      <w:contextualSpacing w:val="0"/>
      <w:rPr>
        <w:rFonts w:ascii="Times New Roman" w:hAnsi="Times New Roman"/>
        <w:b/>
        <w:bCs/>
        <w:sz w:val="20"/>
        <w:szCs w:val="20"/>
        <w:bdr w:val="none" w:sz="0" w:space="0" w:color="auto" w:frame="1"/>
      </w:rPr>
    </w:pPr>
    <w:r>
      <w:rPr>
        <w:rFonts w:ascii="Times New Roman" w:hAnsi="Times New Roman"/>
        <w:smallCaps w:val="0"/>
        <w:sz w:val="20"/>
        <w:szCs w:val="20"/>
        <w:lang w:val="en-US"/>
      </w:rPr>
      <w:t>A</w:t>
    </w:r>
    <w:r w:rsidRPr="00C84995">
      <w:rPr>
        <w:rFonts w:ascii="Times New Roman" w:hAnsi="Times New Roman"/>
        <w:smallCaps w:val="0"/>
        <w:sz w:val="20"/>
        <w:szCs w:val="20"/>
        <w:lang w:val="en-US"/>
      </w:rPr>
      <w:t>bdullah</w:t>
    </w:r>
    <w:r>
      <w:rPr>
        <w:rFonts w:ascii="Times New Roman" w:hAnsi="Times New Roman"/>
        <w:sz w:val="20"/>
        <w:szCs w:val="20"/>
        <w:lang w:val="en-US"/>
      </w:rPr>
      <w:t xml:space="preserve"> </w:t>
    </w:r>
    <w:r w:rsidRPr="00C84995">
      <w:rPr>
        <w:rFonts w:ascii="Times New Roman" w:hAnsi="Times New Roman"/>
        <w:smallCaps w:val="0"/>
        <w:sz w:val="20"/>
        <w:szCs w:val="20"/>
        <w:lang w:val="en-US"/>
      </w:rPr>
      <w:t>et al</w:t>
    </w:r>
    <w:r w:rsidRPr="00C84995">
      <w:rPr>
        <w:rFonts w:ascii="Times New Roman" w:hAnsi="Times New Roman"/>
        <w:sz w:val="20"/>
        <w:szCs w:val="20"/>
        <w:lang w:val="en-US"/>
      </w:rPr>
      <w:t xml:space="preserve">:   </w:t>
    </w:r>
    <w:r>
      <w:rPr>
        <w:rFonts w:ascii="Times New Roman" w:hAnsi="Times New Roman"/>
        <w:sz w:val="20"/>
        <w:szCs w:val="20"/>
        <w:lang w:val="en-US"/>
      </w:rPr>
      <w:tab/>
    </w:r>
    <w:r w:rsidRPr="00C84995">
      <w:rPr>
        <w:rFonts w:ascii="Times New Roman" w:hAnsi="Times New Roman"/>
        <w:sz w:val="20"/>
        <w:szCs w:val="20"/>
      </w:rPr>
      <w:t xml:space="preserve">OPTIMIZATION OF EXTRACTION TEMPERATURE AND TIME ON PHENOLIC COMPOUNDS AND ANTIOXIDANT ACTIVITY OF MALAYSIAN PROPOLIS </w:t>
    </w:r>
    <w:r w:rsidRPr="00C84995">
      <w:rPr>
        <w:rFonts w:ascii="Times New Roman" w:hAnsi="Times New Roman"/>
        <w:i/>
        <w:iCs/>
        <w:smallCaps w:val="0"/>
        <w:sz w:val="20"/>
        <w:szCs w:val="20"/>
      </w:rPr>
      <w:t>Trigona Spp</w:t>
    </w:r>
    <w:r w:rsidRPr="00C84995">
      <w:rPr>
        <w:rFonts w:ascii="Times New Roman" w:hAnsi="Times New Roman"/>
        <w:sz w:val="20"/>
        <w:szCs w:val="20"/>
      </w:rPr>
      <w:t>. AQUEOUS EXTRACT USING RESPONSE SURFACE METHODOLOGY</w:t>
    </w:r>
  </w:p>
  <w:p w14:paraId="520390DB" w14:textId="77777777" w:rsidR="0092399D" w:rsidRDefault="0092399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67C89" w14:textId="77777777" w:rsidR="0092399D" w:rsidRDefault="0092399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2CEE" w14:textId="77777777" w:rsidR="0092399D" w:rsidRDefault="0092399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FA65B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FA65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1FF4DAC"/>
    <w:multiLevelType w:val="hybridMultilevel"/>
    <w:tmpl w:val="EFD8D81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2"/>
  </w:num>
  <w:num w:numId="3">
    <w:abstractNumId w:val="8"/>
  </w:num>
  <w:num w:numId="4">
    <w:abstractNumId w:val="1"/>
  </w:num>
  <w:num w:numId="5">
    <w:abstractNumId w:val="5"/>
  </w:num>
  <w:num w:numId="6">
    <w:abstractNumId w:val="7"/>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184405"/>
    <w:rsid w:val="00185EDF"/>
    <w:rsid w:val="001E55BE"/>
    <w:rsid w:val="00226372"/>
    <w:rsid w:val="002B425B"/>
    <w:rsid w:val="002F626B"/>
    <w:rsid w:val="00385369"/>
    <w:rsid w:val="003A1F80"/>
    <w:rsid w:val="0044292C"/>
    <w:rsid w:val="00460C95"/>
    <w:rsid w:val="00473CD4"/>
    <w:rsid w:val="00487993"/>
    <w:rsid w:val="005644C8"/>
    <w:rsid w:val="005F401D"/>
    <w:rsid w:val="006149E4"/>
    <w:rsid w:val="006E79D9"/>
    <w:rsid w:val="006F3FC1"/>
    <w:rsid w:val="007761C2"/>
    <w:rsid w:val="007D0E7F"/>
    <w:rsid w:val="007F7EB3"/>
    <w:rsid w:val="00832F59"/>
    <w:rsid w:val="00834CDE"/>
    <w:rsid w:val="00863F22"/>
    <w:rsid w:val="00900BAC"/>
    <w:rsid w:val="0092399D"/>
    <w:rsid w:val="00950912"/>
    <w:rsid w:val="00975E1A"/>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E5F5F"/>
    <w:rsid w:val="00C71438"/>
    <w:rsid w:val="00C72F3E"/>
    <w:rsid w:val="00C73A4A"/>
    <w:rsid w:val="00CE6DF3"/>
    <w:rsid w:val="00D04BC8"/>
    <w:rsid w:val="00D0718B"/>
    <w:rsid w:val="00D40B1F"/>
    <w:rsid w:val="00D414B9"/>
    <w:rsid w:val="00D533E8"/>
    <w:rsid w:val="00DE20A8"/>
    <w:rsid w:val="00E67FF6"/>
    <w:rsid w:val="00EA6DE5"/>
    <w:rsid w:val="00EC5D90"/>
    <w:rsid w:val="00F10961"/>
    <w:rsid w:val="00F437F2"/>
    <w:rsid w:val="00F94289"/>
    <w:rsid w:val="00FA1675"/>
    <w:rsid w:val="00FA65B7"/>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92399D"/>
    <w:pPr>
      <w:spacing w:before="480" w:after="0"/>
      <w:contextualSpacing/>
      <w:outlineLvl w:val="0"/>
    </w:pPr>
    <w:rPr>
      <w:rFonts w:ascii="Cambria" w:eastAsia="Times New Roman" w:hAnsi="Cambria" w:cs="Times New Roman"/>
      <w:smallCaps/>
      <w:spacing w:val="5"/>
      <w:sz w:val="36"/>
      <w:szCs w:val="36"/>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character" w:customStyle="1" w:styleId="Heading1Char">
    <w:name w:val="Heading 1 Char"/>
    <w:basedOn w:val="DefaultParagraphFont"/>
    <w:link w:val="Heading1"/>
    <w:uiPriority w:val="1"/>
    <w:rsid w:val="0092399D"/>
    <w:rPr>
      <w:rFonts w:ascii="Cambria" w:eastAsia="Times New Roman" w:hAnsi="Cambria" w:cs="Times New Roman"/>
      <w:smallCaps/>
      <w:spacing w:val="5"/>
      <w:sz w:val="36"/>
      <w:szCs w:val="36"/>
      <w:lang w:val="x-none" w:eastAsia="x-none" w:bidi="en-US"/>
    </w:rPr>
  </w:style>
  <w:style w:type="paragraph" w:styleId="NormalWeb">
    <w:name w:val="Normal (Web)"/>
    <w:basedOn w:val="Normal"/>
    <w:uiPriority w:val="99"/>
    <w:unhideWhenUsed/>
    <w:rsid w:val="0092399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2399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2399D"/>
    <w:rPr>
      <w:rFonts w:ascii="Times New Roman" w:eastAsia="Times New Roman" w:hAnsi="Times New Roman" w:cs="Times New Roman"/>
      <w:sz w:val="24"/>
      <w:szCs w:val="24"/>
    </w:rPr>
  </w:style>
  <w:style w:type="paragraph" w:customStyle="1" w:styleId="Default">
    <w:name w:val="Default"/>
    <w:rsid w:val="0092399D"/>
    <w:pPr>
      <w:autoSpaceDE w:val="0"/>
      <w:autoSpaceDN w:val="0"/>
      <w:adjustRightInd w:val="0"/>
      <w:spacing w:after="0" w:line="240" w:lineRule="auto"/>
    </w:pPr>
    <w:rPr>
      <w:rFonts w:ascii="Times" w:hAnsi="Times" w:cs="Time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1869</Words>
  <Characters>10658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Abstract &amp; References Vol 25 No 3 (2021)</vt:lpstr>
    </vt:vector>
  </TitlesOfParts>
  <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4 (2021)</dc:title>
  <dc:creator>Harun Hamzah</dc:creator>
  <cp:lastModifiedBy>Harun Hamzah</cp:lastModifiedBy>
  <cp:revision>4</cp:revision>
  <cp:lastPrinted>2020-04-01T04:48:00Z</cp:lastPrinted>
  <dcterms:created xsi:type="dcterms:W3CDTF">2021-08-15T09:55:00Z</dcterms:created>
  <dcterms:modified xsi:type="dcterms:W3CDTF">2021-08-18T10:06:00Z</dcterms:modified>
</cp:coreProperties>
</file>