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02DB907D" w14:textId="5E1E397E" w:rsidR="002115E6" w:rsidRPr="0086344B" w:rsidRDefault="002115E6" w:rsidP="002115E6">
      <w:pPr>
        <w:spacing w:after="0"/>
        <w:jc w:val="center"/>
        <w:outlineLvl w:val="0"/>
        <w:rPr>
          <w:rFonts w:ascii="Times New Roman" w:hAnsi="Times New Roman"/>
          <w:sz w:val="28"/>
          <w:lang w:val="en-GB"/>
        </w:rPr>
      </w:pPr>
      <w:r w:rsidRPr="0086344B">
        <w:rPr>
          <w:rFonts w:ascii="Times New Roman" w:hAnsi="Times New Roman"/>
          <w:sz w:val="28"/>
          <w:lang w:val="en-GB"/>
        </w:rPr>
        <w:t>A SHORT REVIEW ON THE SYNTHESIS OF AZAMACROCYCLIC</w:t>
      </w:r>
      <w:r>
        <w:rPr>
          <w:rFonts w:ascii="Times New Roman" w:hAnsi="Times New Roman"/>
          <w:sz w:val="28"/>
          <w:lang w:val="en-GB"/>
        </w:rPr>
        <w:t xml:space="preserve"> </w:t>
      </w:r>
      <w:r w:rsidRPr="0086344B">
        <w:rPr>
          <w:rFonts w:ascii="Times New Roman" w:hAnsi="Times New Roman"/>
          <w:sz w:val="28"/>
          <w:lang w:val="en-GB"/>
        </w:rPr>
        <w:t>LIGAND: CONVENTIONAL AND NON-TEMPLATE METHODS</w:t>
      </w:r>
    </w:p>
    <w:p w14:paraId="3C42B36C" w14:textId="61A3A5D8" w:rsidR="002115E6" w:rsidRPr="0086344B" w:rsidRDefault="002115E6" w:rsidP="002115E6">
      <w:pPr>
        <w:spacing w:after="0"/>
        <w:jc w:val="center"/>
        <w:outlineLvl w:val="0"/>
        <w:rPr>
          <w:rFonts w:ascii="Times New Roman" w:hAnsi="Times New Roman"/>
          <w:b/>
          <w:sz w:val="24"/>
        </w:rPr>
      </w:pPr>
      <w:r>
        <w:rPr>
          <w:rFonts w:ascii="Times New Roman" w:hAnsi="Times New Roman"/>
          <w:b/>
          <w:sz w:val="24"/>
        </w:rPr>
        <w:t xml:space="preserve">  </w:t>
      </w:r>
    </w:p>
    <w:p w14:paraId="65EA0FED" w14:textId="77777777" w:rsidR="002115E6" w:rsidRPr="0086344B" w:rsidRDefault="002115E6" w:rsidP="002115E6">
      <w:pPr>
        <w:spacing w:after="0"/>
        <w:jc w:val="center"/>
        <w:outlineLvl w:val="0"/>
        <w:rPr>
          <w:rFonts w:ascii="Times New Roman" w:hAnsi="Times New Roman"/>
          <w:sz w:val="24"/>
        </w:rPr>
      </w:pPr>
      <w:r w:rsidRPr="0086344B">
        <w:rPr>
          <w:rFonts w:ascii="Times New Roman" w:hAnsi="Times New Roman"/>
          <w:sz w:val="24"/>
        </w:rPr>
        <w:t>(</w:t>
      </w:r>
      <w:r w:rsidRPr="0086344B">
        <w:rPr>
          <w:rFonts w:ascii="Times New Roman" w:hAnsi="Times New Roman"/>
          <w:noProof/>
          <w:sz w:val="24"/>
          <w:lang w:val="ms-MY"/>
        </w:rPr>
        <w:t>Ulasan Pendek Sintesis Ligan Aza Makrosilik: Kaedah Konvensional dan Tanpa Templat</w:t>
      </w:r>
      <w:r w:rsidRPr="0086344B">
        <w:rPr>
          <w:rFonts w:ascii="Times New Roman" w:hAnsi="Times New Roman"/>
          <w:sz w:val="24"/>
        </w:rPr>
        <w:t>)</w:t>
      </w:r>
    </w:p>
    <w:p w14:paraId="5F71D1D6" w14:textId="77777777" w:rsidR="002115E6" w:rsidRPr="002115E6" w:rsidRDefault="002115E6" w:rsidP="002115E6">
      <w:pPr>
        <w:spacing w:after="0"/>
        <w:jc w:val="center"/>
        <w:outlineLvl w:val="0"/>
        <w:rPr>
          <w:rFonts w:ascii="Times New Roman" w:hAnsi="Times New Roman"/>
          <w:b/>
          <w:sz w:val="20"/>
          <w:szCs w:val="20"/>
        </w:rPr>
      </w:pPr>
    </w:p>
    <w:p w14:paraId="2C8BD74F" w14:textId="55CA775E" w:rsidR="002115E6" w:rsidRPr="002115E6" w:rsidRDefault="002115E6" w:rsidP="002115E6">
      <w:pPr>
        <w:spacing w:after="0"/>
        <w:jc w:val="center"/>
        <w:outlineLvl w:val="0"/>
        <w:rPr>
          <w:rFonts w:ascii="Times New Roman" w:hAnsi="Times New Roman"/>
          <w:noProof/>
          <w:sz w:val="20"/>
          <w:szCs w:val="20"/>
          <w:vertAlign w:val="superscript"/>
          <w:lang w:val="ms-MY"/>
        </w:rPr>
      </w:pPr>
      <w:r w:rsidRPr="002115E6">
        <w:rPr>
          <w:rFonts w:ascii="Times New Roman" w:hAnsi="Times New Roman"/>
          <w:noProof/>
          <w:sz w:val="20"/>
          <w:szCs w:val="20"/>
          <w:lang w:val="ms-MY"/>
        </w:rPr>
        <w:t>Nur Halimatus Saadiah Abdullah</w:t>
      </w:r>
      <w:r w:rsidRPr="002115E6">
        <w:rPr>
          <w:rFonts w:ascii="Times New Roman" w:hAnsi="Times New Roman"/>
          <w:noProof/>
          <w:sz w:val="20"/>
          <w:szCs w:val="20"/>
          <w:vertAlign w:val="superscript"/>
          <w:lang w:val="ms-MY"/>
        </w:rPr>
        <w:t>1</w:t>
      </w:r>
      <w:r w:rsidRPr="002115E6">
        <w:rPr>
          <w:rFonts w:ascii="Times New Roman" w:hAnsi="Times New Roman"/>
          <w:noProof/>
          <w:sz w:val="20"/>
          <w:szCs w:val="20"/>
          <w:lang w:val="ms-MY"/>
        </w:rPr>
        <w:t>, Lailatun Nazirah Ozair</w:t>
      </w:r>
      <w:r w:rsidRPr="002115E6">
        <w:rPr>
          <w:rFonts w:ascii="Times New Roman" w:hAnsi="Times New Roman"/>
          <w:noProof/>
          <w:sz w:val="20"/>
          <w:szCs w:val="20"/>
          <w:vertAlign w:val="superscript"/>
          <w:lang w:val="ms-MY"/>
        </w:rPr>
        <w:t>1</w:t>
      </w:r>
      <w:r w:rsidRPr="005C01BD">
        <w:rPr>
          <w:rFonts w:ascii="Times New Roman" w:hAnsi="Times New Roman"/>
          <w:noProof/>
          <w:sz w:val="20"/>
          <w:szCs w:val="20"/>
          <w:lang w:val="ms-MY"/>
        </w:rPr>
        <w:t>*</w:t>
      </w:r>
      <w:r w:rsidRPr="002115E6">
        <w:rPr>
          <w:rFonts w:ascii="Times New Roman" w:hAnsi="Times New Roman"/>
          <w:noProof/>
          <w:sz w:val="20"/>
          <w:szCs w:val="20"/>
          <w:lang w:val="ms-MY"/>
        </w:rPr>
        <w:t>, Bohari Mohd Yamin</w:t>
      </w:r>
      <w:r w:rsidRPr="002115E6">
        <w:rPr>
          <w:rFonts w:ascii="Times New Roman" w:hAnsi="Times New Roman"/>
          <w:noProof/>
          <w:sz w:val="20"/>
          <w:szCs w:val="20"/>
          <w:vertAlign w:val="superscript"/>
          <w:lang w:val="ms-MY"/>
        </w:rPr>
        <w:t>2</w:t>
      </w:r>
    </w:p>
    <w:p w14:paraId="0BCFC001" w14:textId="77777777" w:rsidR="002115E6" w:rsidRPr="0086344B" w:rsidRDefault="002115E6" w:rsidP="002115E6">
      <w:pPr>
        <w:spacing w:after="0"/>
        <w:jc w:val="center"/>
        <w:outlineLvl w:val="0"/>
        <w:rPr>
          <w:rFonts w:ascii="Times New Roman" w:hAnsi="Times New Roman"/>
          <w:b/>
          <w:noProof/>
          <w:sz w:val="18"/>
          <w:szCs w:val="18"/>
          <w:lang w:val="ms-MY"/>
        </w:rPr>
      </w:pPr>
    </w:p>
    <w:p w14:paraId="3C0592B9" w14:textId="77777777" w:rsidR="002115E6" w:rsidRPr="0086344B" w:rsidRDefault="002115E6" w:rsidP="002115E6">
      <w:pPr>
        <w:spacing w:after="0"/>
        <w:jc w:val="center"/>
        <w:outlineLvl w:val="0"/>
        <w:rPr>
          <w:rFonts w:ascii="Times New Roman" w:hAnsi="Times New Roman"/>
          <w:i/>
          <w:noProof/>
          <w:sz w:val="18"/>
          <w:szCs w:val="18"/>
          <w:lang w:val="ms-MY"/>
        </w:rPr>
      </w:pPr>
      <w:r w:rsidRPr="0086344B">
        <w:rPr>
          <w:rFonts w:ascii="Times New Roman" w:hAnsi="Times New Roman"/>
          <w:i/>
          <w:noProof/>
          <w:sz w:val="18"/>
          <w:szCs w:val="18"/>
          <w:vertAlign w:val="superscript"/>
          <w:lang w:val="ms-MY"/>
        </w:rPr>
        <w:t>1</w:t>
      </w:r>
      <w:r w:rsidRPr="0086344B">
        <w:rPr>
          <w:rFonts w:ascii="Times New Roman" w:hAnsi="Times New Roman"/>
          <w:i/>
          <w:noProof/>
          <w:sz w:val="18"/>
          <w:szCs w:val="18"/>
          <w:lang w:val="ms-MY"/>
        </w:rPr>
        <w:t xml:space="preserve">Faculty of Science and Technology, </w:t>
      </w:r>
    </w:p>
    <w:p w14:paraId="3CDA8B10" w14:textId="77777777" w:rsidR="002115E6" w:rsidRPr="0086344B" w:rsidRDefault="002115E6" w:rsidP="002115E6">
      <w:pPr>
        <w:spacing w:after="0"/>
        <w:jc w:val="center"/>
        <w:outlineLvl w:val="0"/>
        <w:rPr>
          <w:rFonts w:ascii="Times New Roman" w:hAnsi="Times New Roman"/>
          <w:i/>
          <w:noProof/>
          <w:sz w:val="18"/>
          <w:szCs w:val="18"/>
          <w:lang w:val="ms-MY"/>
        </w:rPr>
      </w:pPr>
      <w:r w:rsidRPr="0086344B">
        <w:rPr>
          <w:rFonts w:ascii="Times New Roman" w:hAnsi="Times New Roman"/>
          <w:i/>
          <w:noProof/>
          <w:sz w:val="18"/>
          <w:szCs w:val="18"/>
          <w:lang w:val="ms-MY"/>
        </w:rPr>
        <w:t>Universiti Sains Islam Malaysia, 71800 Bandar Baru Nilai, Negeri Sembilan, Malaysia</w:t>
      </w:r>
    </w:p>
    <w:p w14:paraId="2715C612" w14:textId="77777777" w:rsidR="002115E6" w:rsidRPr="0086344B" w:rsidRDefault="002115E6" w:rsidP="002115E6">
      <w:pPr>
        <w:spacing w:after="0"/>
        <w:jc w:val="center"/>
        <w:outlineLvl w:val="0"/>
        <w:rPr>
          <w:rFonts w:ascii="Times New Roman" w:hAnsi="Times New Roman"/>
          <w:i/>
          <w:noProof/>
          <w:sz w:val="18"/>
          <w:szCs w:val="18"/>
          <w:lang w:val="ms-MY"/>
        </w:rPr>
      </w:pPr>
      <w:r w:rsidRPr="0086344B">
        <w:rPr>
          <w:rFonts w:ascii="Times New Roman" w:hAnsi="Times New Roman"/>
          <w:i/>
          <w:noProof/>
          <w:sz w:val="18"/>
          <w:szCs w:val="18"/>
          <w:vertAlign w:val="superscript"/>
          <w:lang w:val="ms-MY"/>
        </w:rPr>
        <w:t>2</w:t>
      </w:r>
      <w:r w:rsidRPr="0086344B">
        <w:rPr>
          <w:rFonts w:ascii="Times New Roman" w:hAnsi="Times New Roman"/>
          <w:i/>
          <w:noProof/>
          <w:sz w:val="18"/>
          <w:szCs w:val="18"/>
          <w:lang w:val="ms-MY"/>
        </w:rPr>
        <w:t>Faculty of Science and Technology</w:t>
      </w:r>
    </w:p>
    <w:p w14:paraId="095C718A" w14:textId="77777777" w:rsidR="002115E6" w:rsidRPr="0086344B" w:rsidRDefault="002115E6" w:rsidP="002115E6">
      <w:pPr>
        <w:spacing w:after="0"/>
        <w:jc w:val="center"/>
        <w:outlineLvl w:val="0"/>
        <w:rPr>
          <w:rFonts w:ascii="Times New Roman" w:hAnsi="Times New Roman"/>
          <w:i/>
          <w:noProof/>
          <w:sz w:val="18"/>
          <w:szCs w:val="18"/>
          <w:lang w:val="ms-MY"/>
        </w:rPr>
      </w:pPr>
      <w:r w:rsidRPr="0086344B">
        <w:rPr>
          <w:rFonts w:ascii="Times New Roman" w:hAnsi="Times New Roman"/>
          <w:i/>
          <w:noProof/>
          <w:sz w:val="18"/>
          <w:szCs w:val="18"/>
          <w:lang w:val="ms-MY"/>
        </w:rPr>
        <w:t>Universiti Kebangsaan Malaysia, 43600 UKM Bangi, Selangor, Malaysia</w:t>
      </w:r>
    </w:p>
    <w:p w14:paraId="3A7C7C2C" w14:textId="77777777" w:rsidR="002115E6" w:rsidRPr="0086344B" w:rsidRDefault="002115E6" w:rsidP="002115E6">
      <w:pPr>
        <w:spacing w:after="0"/>
        <w:jc w:val="center"/>
        <w:outlineLvl w:val="0"/>
        <w:rPr>
          <w:rFonts w:ascii="Times New Roman" w:hAnsi="Times New Roman"/>
          <w:b/>
          <w:noProof/>
          <w:sz w:val="18"/>
          <w:szCs w:val="18"/>
          <w:lang w:val="ms-MY"/>
        </w:rPr>
      </w:pPr>
    </w:p>
    <w:p w14:paraId="54B470EF" w14:textId="34FE4602" w:rsidR="002115E6" w:rsidRPr="0086344B" w:rsidRDefault="002115E6" w:rsidP="002115E6">
      <w:pPr>
        <w:spacing w:after="0"/>
        <w:jc w:val="center"/>
        <w:outlineLvl w:val="0"/>
        <w:rPr>
          <w:rFonts w:ascii="Times New Roman" w:hAnsi="Times New Roman"/>
          <w:i/>
          <w:noProof/>
          <w:sz w:val="18"/>
          <w:lang w:val="ms-MY"/>
        </w:rPr>
      </w:pPr>
      <w:r w:rsidRPr="0086344B">
        <w:rPr>
          <w:rFonts w:ascii="Times New Roman" w:hAnsi="Times New Roman"/>
          <w:i/>
          <w:noProof/>
          <w:sz w:val="18"/>
          <w:lang w:val="ms-MY"/>
        </w:rPr>
        <w:t>*Corresponding author:</w:t>
      </w:r>
      <w:r>
        <w:rPr>
          <w:rFonts w:ascii="Times New Roman" w:hAnsi="Times New Roman"/>
          <w:i/>
          <w:noProof/>
          <w:sz w:val="18"/>
          <w:lang w:val="ms-MY"/>
        </w:rPr>
        <w:t xml:space="preserve">  </w:t>
      </w:r>
      <w:r w:rsidRPr="0086344B">
        <w:rPr>
          <w:rFonts w:ascii="Times New Roman" w:hAnsi="Times New Roman"/>
          <w:i/>
          <w:noProof/>
          <w:sz w:val="18"/>
          <w:lang w:val="ms-MY"/>
        </w:rPr>
        <w:t>lailatunnazirah@usim.edu.my</w:t>
      </w:r>
      <w:r w:rsidRPr="0086344B">
        <w:rPr>
          <w:rFonts w:ascii="Times New Roman" w:hAnsi="Times New Roman"/>
          <w:b/>
          <w:i/>
          <w:noProof/>
          <w:sz w:val="18"/>
          <w:lang w:val="ms-MY"/>
        </w:rPr>
        <w:t xml:space="preserve">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01BBCC10"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115E6">
        <w:rPr>
          <w:rFonts w:ascii="Times New Roman" w:hAnsi="Times New Roman"/>
          <w:noProof/>
          <w:sz w:val="18"/>
          <w:szCs w:val="18"/>
          <w:lang w:bidi="ar-SA"/>
        </w:rPr>
        <w:t>21 June 2021</w:t>
      </w:r>
      <w:r>
        <w:rPr>
          <w:rFonts w:ascii="Times New Roman" w:hAnsi="Times New Roman"/>
          <w:noProof/>
          <w:sz w:val="18"/>
          <w:szCs w:val="18"/>
          <w:lang w:bidi="ar-SA"/>
        </w:rPr>
        <w:t xml:space="preserve">; Accepted: </w:t>
      </w:r>
      <w:r w:rsidR="002115E6">
        <w:rPr>
          <w:rFonts w:ascii="Times New Roman" w:hAnsi="Times New Roman"/>
          <w:noProof/>
          <w:sz w:val="18"/>
          <w:szCs w:val="18"/>
          <w:lang w:bidi="ar-SA"/>
        </w:rPr>
        <w:t>26 July 2021</w:t>
      </w:r>
      <w:r w:rsidR="00F82059">
        <w:rPr>
          <w:rFonts w:ascii="Times New Roman" w:hAnsi="Times New Roman"/>
          <w:noProof/>
          <w:sz w:val="18"/>
          <w:szCs w:val="18"/>
          <w:lang w:bidi="ar-SA"/>
        </w:rPr>
        <w:t xml:space="preserve">; Published:  </w:t>
      </w:r>
      <w:r w:rsidR="000218D7">
        <w:rPr>
          <w:rFonts w:ascii="Times New Roman" w:hAnsi="Times New Roman"/>
          <w:noProof/>
          <w:sz w:val="18"/>
          <w:szCs w:val="18"/>
          <w:lang w:bidi="ar-SA"/>
        </w:rPr>
        <w:t>29</w:t>
      </w:r>
      <w:r w:rsidR="002115E6">
        <w:rPr>
          <w:rFonts w:ascii="Times New Roman" w:hAnsi="Times New Roman"/>
          <w:noProof/>
          <w:sz w:val="18"/>
          <w:szCs w:val="18"/>
          <w:lang w:bidi="ar-SA"/>
        </w:rPr>
        <w:t xml:space="preserve"> August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77596BF" w14:textId="77777777" w:rsidR="002115E6" w:rsidRPr="0086344B" w:rsidRDefault="002115E6" w:rsidP="002115E6">
      <w:pPr>
        <w:spacing w:after="0"/>
        <w:jc w:val="both"/>
        <w:outlineLvl w:val="0"/>
        <w:rPr>
          <w:rFonts w:ascii="Times New Roman" w:hAnsi="Times New Roman"/>
          <w:sz w:val="18"/>
          <w:szCs w:val="18"/>
          <w:lang w:val="en-GB"/>
        </w:rPr>
      </w:pPr>
      <w:r w:rsidRPr="0086344B">
        <w:rPr>
          <w:rFonts w:ascii="Times New Roman" w:hAnsi="Times New Roman"/>
          <w:sz w:val="18"/>
          <w:szCs w:val="18"/>
          <w:lang w:val="en-GB"/>
        </w:rPr>
        <w:t xml:space="preserve">Various methods have been developed for the synthesis of azamacrocyclic ligands and their derivatives, which varies from the selection of amino group, ionic compound, and solvent. Among the popular methods include the rigid group method, high dilution method, and the template metal effect method. Recently, researchers have considered the non-template method as a promising and effective approach to produce a higher yield of metal-free azamacrocyclic ligands compared to the conventional approaches. Hence, this review presented an overview of the synthesis and structure of azamacrocyclic compounds through conventional methods and the newly developed non-template method. The advantages and disadvantages related to each technique were also highlighted. </w:t>
      </w:r>
    </w:p>
    <w:p w14:paraId="55250F6D" w14:textId="77777777" w:rsidR="002115E6" w:rsidRPr="0086344B" w:rsidRDefault="002115E6" w:rsidP="002115E6">
      <w:pPr>
        <w:spacing w:after="0"/>
        <w:jc w:val="both"/>
        <w:outlineLvl w:val="0"/>
        <w:rPr>
          <w:rFonts w:ascii="Times New Roman" w:hAnsi="Times New Roman"/>
          <w:sz w:val="18"/>
          <w:szCs w:val="18"/>
          <w:lang w:val="en-GB"/>
        </w:rPr>
      </w:pPr>
    </w:p>
    <w:p w14:paraId="09CDB3F9" w14:textId="5A0A8953" w:rsidR="002115E6" w:rsidRPr="0086344B" w:rsidRDefault="002115E6" w:rsidP="002115E6">
      <w:pPr>
        <w:spacing w:after="0"/>
        <w:jc w:val="both"/>
        <w:outlineLvl w:val="0"/>
        <w:rPr>
          <w:rFonts w:ascii="Times New Roman" w:hAnsi="Times New Roman"/>
          <w:sz w:val="18"/>
          <w:szCs w:val="18"/>
        </w:rPr>
      </w:pPr>
      <w:r w:rsidRPr="0086344B">
        <w:rPr>
          <w:rFonts w:ascii="Times New Roman" w:hAnsi="Times New Roman"/>
          <w:b/>
          <w:sz w:val="18"/>
          <w:szCs w:val="18"/>
        </w:rPr>
        <w:t>Keywords:</w:t>
      </w:r>
      <w:r w:rsidRPr="0086344B">
        <w:rPr>
          <w:rFonts w:ascii="Times New Roman" w:hAnsi="Times New Roman"/>
          <w:sz w:val="18"/>
          <w:szCs w:val="18"/>
        </w:rPr>
        <w:t xml:space="preserve"> </w:t>
      </w:r>
      <w:r>
        <w:rPr>
          <w:rFonts w:ascii="Times New Roman" w:hAnsi="Times New Roman"/>
          <w:sz w:val="18"/>
          <w:szCs w:val="18"/>
        </w:rPr>
        <w:t xml:space="preserve"> </w:t>
      </w:r>
      <w:r w:rsidRPr="0086344B">
        <w:rPr>
          <w:rFonts w:ascii="Times New Roman" w:hAnsi="Times New Roman"/>
          <w:bCs/>
          <w:sz w:val="18"/>
          <w:szCs w:val="18"/>
        </w:rPr>
        <w:t>azamacrocyclic ligand, non-template method, cyclisation, metal ion</w:t>
      </w:r>
    </w:p>
    <w:p w14:paraId="337E1619" w14:textId="77777777" w:rsidR="002115E6" w:rsidRPr="0086344B" w:rsidRDefault="002115E6" w:rsidP="002115E6">
      <w:pPr>
        <w:spacing w:after="0"/>
        <w:jc w:val="center"/>
        <w:outlineLvl w:val="0"/>
        <w:rPr>
          <w:rFonts w:ascii="Times New Roman" w:hAnsi="Times New Roman"/>
          <w:b/>
          <w:noProof/>
          <w:sz w:val="18"/>
          <w:szCs w:val="18"/>
          <w:lang w:val="ms-MY"/>
        </w:rPr>
      </w:pPr>
    </w:p>
    <w:p w14:paraId="0722913B" w14:textId="77777777" w:rsidR="002115E6" w:rsidRPr="0086344B" w:rsidRDefault="002115E6" w:rsidP="002115E6">
      <w:pPr>
        <w:spacing w:after="0"/>
        <w:jc w:val="center"/>
        <w:outlineLvl w:val="0"/>
        <w:rPr>
          <w:rFonts w:ascii="Times New Roman" w:hAnsi="Times New Roman"/>
          <w:b/>
          <w:noProof/>
          <w:sz w:val="18"/>
          <w:szCs w:val="18"/>
          <w:lang w:val="ms-MY"/>
        </w:rPr>
      </w:pPr>
      <w:r w:rsidRPr="0086344B">
        <w:rPr>
          <w:rFonts w:ascii="Times New Roman" w:hAnsi="Times New Roman"/>
          <w:b/>
          <w:noProof/>
          <w:sz w:val="18"/>
          <w:szCs w:val="18"/>
          <w:lang w:val="ms-MY"/>
        </w:rPr>
        <w:t>Abstrak</w:t>
      </w:r>
    </w:p>
    <w:p w14:paraId="542A373C" w14:textId="77777777" w:rsidR="002115E6" w:rsidRPr="0086344B" w:rsidRDefault="002115E6" w:rsidP="002115E6">
      <w:pPr>
        <w:spacing w:after="0"/>
        <w:jc w:val="both"/>
        <w:outlineLvl w:val="0"/>
        <w:rPr>
          <w:rFonts w:ascii="Times New Roman" w:hAnsi="Times New Roman"/>
          <w:noProof/>
          <w:sz w:val="18"/>
          <w:szCs w:val="18"/>
          <w:lang w:val="ms-MY"/>
        </w:rPr>
      </w:pPr>
      <w:r w:rsidRPr="0086344B">
        <w:rPr>
          <w:rFonts w:ascii="Times New Roman" w:hAnsi="Times New Roman"/>
          <w:noProof/>
          <w:sz w:val="18"/>
          <w:szCs w:val="18"/>
          <w:lang w:val="ms-MY"/>
        </w:rPr>
        <w:t xml:space="preserve">Pelbagai kaedah dikembangkan untuk sintesis ligan aza makrosilik dan terbitannya yang berbeza daripada pemilihan kumpulan amino, sebatian ion dan pelarut. Antara pelbagai kaedah yang terkenal termasuklah kaedah kumpulan tegar, kaedah percairan tinggi, dan kaedah kesan templat logam. Baru-baru ini, penyelidik telah mengenal pasti kaedah tanpa templat sebagai pendekatan berkesan untuk menghasilkan ligan aza makrosilik yang bebas logam dengan hasil yang tinggi, berbanding dengan kaedah konvensional. Oleh itu, ulasan ini membincangkan sintesis dan struktur sebatian aza makrosilik dengan kaedah konvensional dan tanpa templat. Di samping itu, kelebihan dan kekurangan setiap teknik juga dibincangkan untuk penambahbaikan pada masa hadapan.     </w:t>
      </w:r>
    </w:p>
    <w:p w14:paraId="7295D87A" w14:textId="77777777" w:rsidR="002115E6" w:rsidRPr="0086344B" w:rsidRDefault="002115E6" w:rsidP="002115E6">
      <w:pPr>
        <w:spacing w:after="0"/>
        <w:jc w:val="both"/>
        <w:outlineLvl w:val="0"/>
        <w:rPr>
          <w:rFonts w:ascii="Times New Roman" w:hAnsi="Times New Roman"/>
          <w:noProof/>
          <w:sz w:val="18"/>
          <w:szCs w:val="18"/>
          <w:lang w:val="ms-MY"/>
        </w:rPr>
      </w:pPr>
    </w:p>
    <w:p w14:paraId="15FFFF64" w14:textId="614320AC" w:rsidR="006768E9" w:rsidRDefault="002115E6" w:rsidP="002115E6">
      <w:pPr>
        <w:spacing w:after="0"/>
        <w:rPr>
          <w:rFonts w:ascii="Times New Roman" w:hAnsi="Times New Roman"/>
          <w:noProof/>
          <w:sz w:val="20"/>
          <w:szCs w:val="20"/>
          <w:lang w:bidi="ar-SA"/>
        </w:rPr>
      </w:pPr>
      <w:r w:rsidRPr="0086344B">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86344B">
        <w:rPr>
          <w:rFonts w:ascii="Times New Roman" w:hAnsi="Times New Roman"/>
          <w:bCs/>
          <w:noProof/>
          <w:sz w:val="18"/>
          <w:szCs w:val="18"/>
          <w:lang w:val="ms-MY"/>
        </w:rPr>
        <w:t>ligan aza makrosilik, kaedah tanpa templat, perkitaran, logam ion</w:t>
      </w:r>
    </w:p>
    <w:p w14:paraId="18F54A31" w14:textId="6749596C" w:rsidR="00494C46" w:rsidRDefault="00494C46" w:rsidP="002B412F">
      <w:pPr>
        <w:spacing w:after="0"/>
        <w:jc w:val="center"/>
        <w:rPr>
          <w:rFonts w:ascii="Times New Roman" w:hAnsi="Times New Roman"/>
          <w:noProof/>
          <w:sz w:val="20"/>
          <w:szCs w:val="20"/>
          <w:lang w:bidi="ar-SA"/>
        </w:rPr>
      </w:pPr>
    </w:p>
    <w:p w14:paraId="03F87681" w14:textId="77777777" w:rsidR="002115E6" w:rsidRPr="00BE7C30" w:rsidRDefault="002115E6" w:rsidP="002B412F">
      <w:pPr>
        <w:spacing w:after="0"/>
        <w:jc w:val="center"/>
        <w:rPr>
          <w:rFonts w:ascii="Times New Roman" w:hAnsi="Times New Roman"/>
          <w:noProof/>
          <w:sz w:val="20"/>
          <w:szCs w:val="20"/>
          <w:lang w:bidi="ar-SA"/>
        </w:rPr>
      </w:pPr>
    </w:p>
    <w:p w14:paraId="48816B02" w14:textId="77777777" w:rsidR="000E4C45" w:rsidRDefault="000E4C45" w:rsidP="002B412F">
      <w:pPr>
        <w:spacing w:after="0"/>
        <w:jc w:val="center"/>
        <w:rPr>
          <w:rFonts w:ascii="Times New Roman" w:hAnsi="Times New Roman"/>
          <w:b/>
          <w:noProof/>
          <w:sz w:val="20"/>
          <w:szCs w:val="20"/>
          <w:lang w:bidi="ar-SA"/>
        </w:rPr>
        <w:sectPr w:rsidR="000E4C45"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34CA1B2D"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6C79266" w14:textId="77777777"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 xml:space="preserve">A macrocyclic ligand is defined as a cyclic compound with a minimum of nine heteroatoms and consists of </w:t>
      </w:r>
      <w:r w:rsidRPr="002115E6">
        <w:rPr>
          <w:rFonts w:ascii="Times New Roman" w:hAnsi="Times New Roman"/>
          <w:sz w:val="20"/>
          <w:szCs w:val="20"/>
          <w:lang w:val="en-GB"/>
        </w:rPr>
        <w:t xml:space="preserve">three or more potential donor atoms for ligating. To date, donor atoms found in macrocycles include nitrogen, oxygen, and sulphur. Since its discovery by Busch and </w:t>
      </w:r>
      <w:r w:rsidRPr="002115E6">
        <w:rPr>
          <w:rFonts w:ascii="Times New Roman" w:hAnsi="Times New Roman"/>
          <w:sz w:val="20"/>
          <w:szCs w:val="20"/>
          <w:lang w:val="en-GB"/>
        </w:rPr>
        <w:lastRenderedPageBreak/>
        <w:t xml:space="preserve">Curtis in the 1960s [1], studies on macrocyclic ligand has undergone tremendous development and progress in various field of application. The pioneering work has also been adopted in the synthesis of oxygen-based ligand for biological processes by Pedersen where cyclic polyether showed good interaction towards alkali and alkaline earth metal ions [2]. </w:t>
      </w:r>
    </w:p>
    <w:p w14:paraId="41483E47" w14:textId="77777777" w:rsidR="002115E6" w:rsidRPr="002115E6" w:rsidRDefault="002115E6" w:rsidP="002115E6">
      <w:pPr>
        <w:spacing w:after="0"/>
        <w:jc w:val="both"/>
        <w:outlineLvl w:val="0"/>
        <w:rPr>
          <w:rFonts w:ascii="Times New Roman" w:hAnsi="Times New Roman"/>
          <w:sz w:val="20"/>
          <w:szCs w:val="20"/>
          <w:lang w:val="en-GB"/>
        </w:rPr>
      </w:pPr>
    </w:p>
    <w:p w14:paraId="0B8A00DD" w14:textId="77777777"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Macrocyclic ligands are classified based on their donor types (Figure 1) and chemical structures (Figure 2). The aza crowns class is the most diverse and studied macrocyclic compound compared to the crown ethers and thiacrowns [3]. This is because nitrogen is available naturally in many common groups, including pyridine, porphyrins, ammonium, thiourea, amino, and others, which forms the basic structure of azamacrocyclic ligands [4-10]. Moreover, ligand containing nitrogen atoms has a high possibility to interact and form a coordination bond with transition metal ion to produce complex compounds [11].</w:t>
      </w:r>
    </w:p>
    <w:p w14:paraId="484FD44F" w14:textId="77777777" w:rsidR="002115E6" w:rsidRPr="002115E6" w:rsidRDefault="002115E6" w:rsidP="002115E6">
      <w:pPr>
        <w:spacing w:after="0"/>
        <w:jc w:val="both"/>
        <w:outlineLvl w:val="0"/>
        <w:rPr>
          <w:rFonts w:ascii="Times New Roman" w:hAnsi="Times New Roman"/>
          <w:sz w:val="20"/>
          <w:szCs w:val="20"/>
          <w:lang w:val="en-GB"/>
        </w:rPr>
      </w:pPr>
    </w:p>
    <w:p w14:paraId="3990B31E" w14:textId="77777777"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The utilisation of azamacrocyclic ligand has been studied by chemists thoroughly by focusing on its complexation towards a variety of metal ions [12]. In addition, they have been applied in various fields, such as biomimetics, the removal of heavy metal in waste treatment, as a contrasting agent in medical imaging, and also as an anti-cancer agent [13-15].</w:t>
      </w:r>
    </w:p>
    <w:p w14:paraId="7F344642" w14:textId="77777777" w:rsidR="002115E6" w:rsidRPr="002115E6" w:rsidRDefault="002115E6" w:rsidP="002115E6">
      <w:pPr>
        <w:spacing w:after="0"/>
        <w:jc w:val="both"/>
        <w:outlineLvl w:val="0"/>
        <w:rPr>
          <w:rFonts w:ascii="Times New Roman" w:hAnsi="Times New Roman"/>
          <w:sz w:val="20"/>
          <w:szCs w:val="20"/>
          <w:lang w:val="en-GB"/>
        </w:rPr>
      </w:pPr>
    </w:p>
    <w:p w14:paraId="1378534E" w14:textId="77777777"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 xml:space="preserve">Realising the significance of azamacrocyclic ligand, various methods were proposed for the synthesis of </w:t>
      </w:r>
      <w:r w:rsidRPr="002115E6">
        <w:rPr>
          <w:rFonts w:ascii="Times New Roman" w:hAnsi="Times New Roman"/>
          <w:sz w:val="20"/>
          <w:szCs w:val="20"/>
          <w:lang w:val="en-GB"/>
        </w:rPr>
        <w:t>macrocyclic compounds. The most crucial and difficult step in the synthesis of azamacrocyclic ligand is the assemblymen of the macrocyclic compound. As the research field expands, continuous efforts and progress have led to the establishment of simpler and cheaper methods with higher yield. Currently, there are three established methods for the synthesis of azamacrocyclic ligand [16]. The first approach, known as the rigid group method, restricts the rotation of the open-chain precursors [17]. Secondly, the high dilution method is performed under high temperature and inert atmosphere [18]. The third method is the selective metal template effect method, which introduces transition metal ions to promote the formation of macrocyclic compounds [19].</w:t>
      </w:r>
    </w:p>
    <w:p w14:paraId="0A209E99" w14:textId="77777777" w:rsidR="002115E6" w:rsidRPr="002115E6" w:rsidRDefault="002115E6" w:rsidP="002115E6">
      <w:pPr>
        <w:spacing w:after="0"/>
        <w:jc w:val="both"/>
        <w:outlineLvl w:val="0"/>
        <w:rPr>
          <w:rFonts w:ascii="Times New Roman" w:hAnsi="Times New Roman"/>
          <w:sz w:val="20"/>
          <w:szCs w:val="20"/>
          <w:lang w:val="en-GB"/>
        </w:rPr>
      </w:pPr>
    </w:p>
    <w:p w14:paraId="2070FD18" w14:textId="77777777"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The non-template method is a newly introduced method to synthesis macrocyclic compounds in the absence of metal ions during cyclisation. Recently, Borisova et al. stated that the suitable selection of reaction conditions such as solvent, concentration, and temperature in the non-template method plays a vital role in obtaining the target product with various structures at a considerable yield [33]. Therefore, this study aimed to analyse and discuss the process and speciality of the non-template method for the synthesis of azamacrocyclic ligand compared to the conventional approaches. The fundamental understanding of the macrocyclisation process is important towards the synthesis of a diverse range of ligands as artificial cationic, anionic, and neutral guest receptors.</w:t>
      </w:r>
    </w:p>
    <w:p w14:paraId="317419FD" w14:textId="77777777" w:rsidR="000E4C45" w:rsidRDefault="000E4C45" w:rsidP="002115E6">
      <w:pPr>
        <w:spacing w:after="0"/>
        <w:jc w:val="both"/>
        <w:outlineLvl w:val="0"/>
        <w:rPr>
          <w:rFonts w:ascii="Times New Roman" w:hAnsi="Times New Roman"/>
          <w:sz w:val="20"/>
          <w:szCs w:val="20"/>
          <w:lang w:val="en-GB"/>
        </w:rPr>
        <w:sectPr w:rsidR="000E4C45" w:rsidSect="000E4C45">
          <w:footerReference w:type="even" r:id="rId13"/>
          <w:type w:val="continuous"/>
          <w:pgSz w:w="12240" w:h="15840" w:code="1"/>
          <w:pgMar w:top="1800" w:right="1469" w:bottom="1699" w:left="1440" w:header="706" w:footer="706" w:gutter="0"/>
          <w:pgNumType w:start="1"/>
          <w:cols w:num="2" w:space="403"/>
          <w:docGrid w:linePitch="360"/>
        </w:sectPr>
      </w:pPr>
    </w:p>
    <w:p w14:paraId="4F3C8832" w14:textId="6041D1FC" w:rsidR="002115E6" w:rsidRDefault="002115E6" w:rsidP="002115E6">
      <w:pPr>
        <w:spacing w:after="0"/>
        <w:jc w:val="both"/>
        <w:outlineLvl w:val="0"/>
        <w:rPr>
          <w:rFonts w:ascii="Times New Roman" w:hAnsi="Times New Roman"/>
          <w:sz w:val="20"/>
          <w:szCs w:val="20"/>
          <w:lang w:val="en-GB"/>
        </w:rPr>
      </w:pPr>
    </w:p>
    <w:p w14:paraId="582198FF" w14:textId="77777777" w:rsidR="002115E6" w:rsidRPr="002115E6" w:rsidRDefault="002115E6" w:rsidP="002115E6">
      <w:pPr>
        <w:spacing w:after="0"/>
        <w:jc w:val="both"/>
        <w:outlineLvl w:val="0"/>
        <w:rPr>
          <w:rFonts w:ascii="Times New Roman" w:hAnsi="Times New Roman"/>
          <w:sz w:val="20"/>
          <w:szCs w:val="20"/>
          <w:lang w:val="en-GB"/>
        </w:rPr>
      </w:pPr>
    </w:p>
    <w:p w14:paraId="149D6BEE" w14:textId="5EBE4ABF" w:rsidR="002115E6" w:rsidRPr="002E61AE" w:rsidRDefault="002E61AE" w:rsidP="002E61AE">
      <w:pPr>
        <w:spacing w:after="120"/>
        <w:jc w:val="both"/>
        <w:outlineLvl w:val="0"/>
        <w:rPr>
          <w:rFonts w:ascii="Times New Roman" w:hAnsi="Times New Roman"/>
          <w:sz w:val="20"/>
          <w:szCs w:val="20"/>
          <w:lang w:val="en-GB"/>
        </w:rPr>
      </w:pPr>
      <w:r>
        <w:rPr>
          <w:rFonts w:ascii="Times New Roman" w:hAnsi="Times New Roman"/>
          <w:sz w:val="20"/>
          <w:szCs w:val="20"/>
          <w:lang w:val="en-GB"/>
        </w:rPr>
        <w:t xml:space="preserve">                            </w:t>
      </w:r>
      <w:r w:rsidR="002115E6" w:rsidRPr="002115E6">
        <w:rPr>
          <w:rFonts w:ascii="Times New Roman" w:hAnsi="Times New Roman"/>
          <w:noProof/>
          <w:sz w:val="20"/>
          <w:szCs w:val="20"/>
          <w:lang w:val="en-MY" w:eastAsia="en-MY"/>
        </w:rPr>
        <w:drawing>
          <wp:inline distT="0" distB="0" distL="0" distR="0" wp14:anchorId="337E1036" wp14:editId="64C82B8D">
            <wp:extent cx="4067251" cy="1777492"/>
            <wp:effectExtent l="0" t="0" r="0" b="13335"/>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64236DD" w14:textId="42092F3A" w:rsidR="002115E6" w:rsidRPr="002115E6" w:rsidRDefault="002115E6" w:rsidP="002E61AE">
      <w:pPr>
        <w:spacing w:after="0"/>
        <w:jc w:val="center"/>
        <w:outlineLvl w:val="0"/>
        <w:rPr>
          <w:rFonts w:ascii="Times New Roman" w:hAnsi="Times New Roman"/>
          <w:sz w:val="20"/>
          <w:szCs w:val="20"/>
          <w:lang w:val="en-GB"/>
        </w:rPr>
      </w:pPr>
      <w:r w:rsidRPr="002115E6">
        <w:rPr>
          <w:rFonts w:ascii="Times New Roman" w:hAnsi="Times New Roman"/>
          <w:sz w:val="20"/>
          <w:szCs w:val="20"/>
          <w:lang w:val="en-GB"/>
        </w:rPr>
        <w:t xml:space="preserve">Figure 1. </w:t>
      </w:r>
      <w:r w:rsidR="002E61AE">
        <w:rPr>
          <w:rFonts w:ascii="Times New Roman" w:hAnsi="Times New Roman"/>
          <w:sz w:val="20"/>
          <w:szCs w:val="20"/>
          <w:lang w:val="en-GB"/>
        </w:rPr>
        <w:t xml:space="preserve"> </w:t>
      </w:r>
      <w:r w:rsidRPr="002115E6">
        <w:rPr>
          <w:rFonts w:ascii="Times New Roman" w:hAnsi="Times New Roman"/>
          <w:sz w:val="20"/>
          <w:szCs w:val="20"/>
          <w:lang w:val="en-GB"/>
        </w:rPr>
        <w:t>Classification of predominantly macrocyclic ligands</w:t>
      </w:r>
    </w:p>
    <w:p w14:paraId="653FBF55" w14:textId="77777777" w:rsidR="002115E6" w:rsidRPr="002115E6" w:rsidRDefault="002115E6" w:rsidP="002115E6">
      <w:pPr>
        <w:spacing w:after="0"/>
        <w:jc w:val="both"/>
        <w:outlineLvl w:val="0"/>
        <w:rPr>
          <w:rFonts w:ascii="Times New Roman" w:hAnsi="Times New Roman"/>
          <w:sz w:val="20"/>
          <w:szCs w:val="20"/>
          <w:lang w:val="en-GB"/>
        </w:rPr>
      </w:pPr>
    </w:p>
    <w:p w14:paraId="599C143E" w14:textId="77777777" w:rsidR="002115E6" w:rsidRPr="002115E6" w:rsidRDefault="002115E6" w:rsidP="002115E6">
      <w:pPr>
        <w:spacing w:after="0"/>
        <w:jc w:val="both"/>
        <w:outlineLvl w:val="0"/>
        <w:rPr>
          <w:rFonts w:ascii="Times New Roman" w:hAnsi="Times New Roman"/>
          <w:sz w:val="20"/>
          <w:szCs w:val="20"/>
          <w:lang w:val="en-GB"/>
        </w:rPr>
      </w:pPr>
    </w:p>
    <w:p w14:paraId="53C16BBC" w14:textId="77777777" w:rsidR="002115E6" w:rsidRPr="002115E6" w:rsidRDefault="002115E6" w:rsidP="002E61AE">
      <w:pPr>
        <w:spacing w:after="120"/>
        <w:jc w:val="center"/>
        <w:outlineLvl w:val="0"/>
        <w:rPr>
          <w:rFonts w:ascii="Times New Roman" w:hAnsi="Times New Roman"/>
          <w:sz w:val="20"/>
          <w:szCs w:val="20"/>
          <w:lang w:val="en-GB"/>
        </w:rPr>
      </w:pPr>
      <w:r w:rsidRPr="002115E6">
        <w:rPr>
          <w:rFonts w:ascii="Times New Roman" w:hAnsi="Times New Roman"/>
          <w:noProof/>
          <w:sz w:val="20"/>
          <w:szCs w:val="20"/>
          <w:lang w:val="en-MY" w:eastAsia="en-MY"/>
        </w:rPr>
        <w:drawing>
          <wp:inline distT="0" distB="0" distL="0" distR="0" wp14:anchorId="7D365814" wp14:editId="28DDED81">
            <wp:extent cx="2863970" cy="13842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0699" cy="1387504"/>
                    </a:xfrm>
                    <a:prstGeom prst="rect">
                      <a:avLst/>
                    </a:prstGeom>
                    <a:noFill/>
                    <a:ln>
                      <a:noFill/>
                    </a:ln>
                  </pic:spPr>
                </pic:pic>
              </a:graphicData>
            </a:graphic>
          </wp:inline>
        </w:drawing>
      </w:r>
    </w:p>
    <w:p w14:paraId="3E4EE3A3" w14:textId="7D7F8A38" w:rsidR="002115E6" w:rsidRPr="002115E6" w:rsidRDefault="002115E6" w:rsidP="002E61AE">
      <w:pPr>
        <w:spacing w:after="0"/>
        <w:jc w:val="center"/>
        <w:outlineLvl w:val="0"/>
        <w:rPr>
          <w:rFonts w:ascii="Times New Roman" w:hAnsi="Times New Roman"/>
          <w:sz w:val="20"/>
          <w:szCs w:val="20"/>
          <w:lang w:val="en-GB"/>
        </w:rPr>
      </w:pPr>
      <w:r w:rsidRPr="002115E6">
        <w:rPr>
          <w:rFonts w:ascii="Times New Roman" w:hAnsi="Times New Roman"/>
          <w:sz w:val="20"/>
          <w:szCs w:val="20"/>
          <w:lang w:val="en-GB"/>
        </w:rPr>
        <w:t xml:space="preserve">Figure 2. </w:t>
      </w:r>
      <w:r w:rsidR="002E61AE">
        <w:rPr>
          <w:rFonts w:ascii="Times New Roman" w:hAnsi="Times New Roman"/>
          <w:sz w:val="20"/>
          <w:szCs w:val="20"/>
          <w:lang w:val="en-GB"/>
        </w:rPr>
        <w:t xml:space="preserve"> </w:t>
      </w:r>
      <w:r w:rsidRPr="002115E6">
        <w:rPr>
          <w:rFonts w:ascii="Times New Roman" w:hAnsi="Times New Roman"/>
          <w:sz w:val="20"/>
          <w:szCs w:val="20"/>
          <w:lang w:val="en-GB"/>
        </w:rPr>
        <w:t>Chemical structures of a) azacrowns b) crown ethers c) thiacrowns</w:t>
      </w:r>
    </w:p>
    <w:p w14:paraId="737FC3F8" w14:textId="20E674E7" w:rsidR="002115E6" w:rsidRDefault="002115E6" w:rsidP="002115E6">
      <w:pPr>
        <w:spacing w:after="0"/>
        <w:jc w:val="both"/>
        <w:outlineLvl w:val="0"/>
        <w:rPr>
          <w:rFonts w:ascii="Times New Roman" w:hAnsi="Times New Roman"/>
          <w:sz w:val="20"/>
          <w:szCs w:val="20"/>
        </w:rPr>
      </w:pPr>
    </w:p>
    <w:p w14:paraId="441F8906" w14:textId="77777777" w:rsidR="002E61AE" w:rsidRPr="002115E6" w:rsidRDefault="002E61AE" w:rsidP="002115E6">
      <w:pPr>
        <w:spacing w:after="0"/>
        <w:jc w:val="both"/>
        <w:outlineLvl w:val="0"/>
        <w:rPr>
          <w:rFonts w:ascii="Times New Roman" w:hAnsi="Times New Roman"/>
          <w:sz w:val="20"/>
          <w:szCs w:val="20"/>
        </w:rPr>
      </w:pPr>
    </w:p>
    <w:p w14:paraId="40AEF14D" w14:textId="77777777" w:rsidR="000E4C45" w:rsidRDefault="000E4C45" w:rsidP="002115E6">
      <w:pPr>
        <w:spacing w:after="0"/>
        <w:jc w:val="both"/>
        <w:outlineLvl w:val="0"/>
        <w:rPr>
          <w:rFonts w:ascii="Times New Roman" w:hAnsi="Times New Roman"/>
          <w:b/>
          <w:bCs/>
          <w:sz w:val="20"/>
          <w:szCs w:val="20"/>
          <w:lang w:val="en-GB"/>
        </w:rPr>
        <w:sectPr w:rsidR="000E4C45" w:rsidSect="000E4C45">
          <w:footerReference w:type="default" r:id="rId20"/>
          <w:type w:val="continuous"/>
          <w:pgSz w:w="12240" w:h="15840" w:code="1"/>
          <w:pgMar w:top="1800" w:right="1469" w:bottom="1699" w:left="1440" w:header="706" w:footer="706" w:gutter="0"/>
          <w:pgNumType w:start="1"/>
          <w:cols w:space="708"/>
          <w:docGrid w:linePitch="360"/>
        </w:sectPr>
      </w:pPr>
    </w:p>
    <w:p w14:paraId="078E068B" w14:textId="2FD8D094" w:rsidR="002115E6" w:rsidRPr="002115E6" w:rsidRDefault="002115E6" w:rsidP="002115E6">
      <w:pPr>
        <w:spacing w:after="0"/>
        <w:jc w:val="both"/>
        <w:outlineLvl w:val="0"/>
        <w:rPr>
          <w:rFonts w:ascii="Times New Roman" w:hAnsi="Times New Roman"/>
          <w:b/>
          <w:bCs/>
          <w:sz w:val="20"/>
          <w:szCs w:val="20"/>
          <w:lang w:val="en-GB"/>
        </w:rPr>
      </w:pPr>
      <w:r w:rsidRPr="002115E6">
        <w:rPr>
          <w:rFonts w:ascii="Times New Roman" w:hAnsi="Times New Roman"/>
          <w:b/>
          <w:bCs/>
          <w:sz w:val="20"/>
          <w:szCs w:val="20"/>
          <w:lang w:val="en-GB"/>
        </w:rPr>
        <w:t>Rigid Group Method</w:t>
      </w:r>
    </w:p>
    <w:p w14:paraId="6E9DC94D" w14:textId="77777777"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The Richman-Atkins reaction is reaction of dimetal salts of sulphonamide with a terminal dihalide in preparation of polyamines with a yield of up to 90% [20]. The cyclisation process is performed in a low dilution medium through the condensation of a tosylamide and tosylated alcohol in dimethyl formamide (DMF) (Scheme 1). Each precursor compound has two reactive functional groups at the end. The use of the tosyl group is more complicated because it requires the preparation of arduous reagents with a limited scope of substrates [21].</w:t>
      </w:r>
    </w:p>
    <w:p w14:paraId="364081C4" w14:textId="77777777" w:rsidR="002115E6" w:rsidRPr="002115E6" w:rsidRDefault="002115E6" w:rsidP="002115E6">
      <w:pPr>
        <w:spacing w:after="0"/>
        <w:jc w:val="both"/>
        <w:outlineLvl w:val="0"/>
        <w:rPr>
          <w:rFonts w:ascii="Times New Roman" w:hAnsi="Times New Roman"/>
          <w:sz w:val="20"/>
          <w:szCs w:val="20"/>
          <w:lang w:val="en-GB"/>
        </w:rPr>
      </w:pPr>
    </w:p>
    <w:p w14:paraId="588B52F1" w14:textId="5D8FD81E" w:rsidR="000E4C45" w:rsidRDefault="002115E6" w:rsidP="000E4C45">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The rigid group method is used of condensation catalysts such as dicyclohexylcarbodiimide (DCC) and 4-(dimethylamino) pyridine (DMAP) for the condensation of primary amines. Previously, this technique was applied using different rigid groups, including DCC and DMAP in Richman-Atkins reaction. The study reported the successful synthesis of 14-22-membered tetraoxomacrocyclic tetramines with 50% yield from dicarboxylic acids and primary diamines [22]. The presence of rigid groups serves as a good condensing agent to reduce the number of conformational degree of freedom by preventing bond rotation. Hence, minimising the condensation pathway allows the formation of macrocyclic compounds. This method is still widely used but only limited to the synthesis of macrocyclic polyamines and alkyl halides</w:t>
      </w:r>
      <w:r w:rsidR="000E4C45">
        <w:rPr>
          <w:rFonts w:ascii="Times New Roman" w:hAnsi="Times New Roman"/>
          <w:sz w:val="20"/>
          <w:szCs w:val="20"/>
          <w:lang w:val="en-GB"/>
        </w:rPr>
        <w:t xml:space="preserve"> </w:t>
      </w:r>
      <w:r w:rsidRPr="002115E6">
        <w:rPr>
          <w:rFonts w:ascii="Times New Roman" w:hAnsi="Times New Roman"/>
          <w:sz w:val="20"/>
          <w:szCs w:val="20"/>
          <w:lang w:val="en-GB"/>
        </w:rPr>
        <w:t xml:space="preserve">because </w:t>
      </w:r>
      <w:r w:rsidR="000E4C45">
        <w:rPr>
          <w:rFonts w:ascii="Times New Roman" w:hAnsi="Times New Roman"/>
          <w:sz w:val="20"/>
          <w:szCs w:val="20"/>
          <w:lang w:val="en-GB"/>
        </w:rPr>
        <w:t xml:space="preserve"> </w:t>
      </w:r>
      <w:r w:rsidRPr="002115E6">
        <w:rPr>
          <w:rFonts w:ascii="Times New Roman" w:hAnsi="Times New Roman"/>
          <w:sz w:val="20"/>
          <w:szCs w:val="20"/>
          <w:lang w:val="en-GB"/>
        </w:rPr>
        <w:t xml:space="preserve">sometimes </w:t>
      </w:r>
      <w:r w:rsidR="000E4C45">
        <w:rPr>
          <w:rFonts w:ascii="Times New Roman" w:hAnsi="Times New Roman"/>
          <w:sz w:val="20"/>
          <w:szCs w:val="20"/>
          <w:lang w:val="en-GB"/>
        </w:rPr>
        <w:t xml:space="preserve"> </w:t>
      </w:r>
      <w:r w:rsidRPr="002115E6">
        <w:rPr>
          <w:rFonts w:ascii="Times New Roman" w:hAnsi="Times New Roman"/>
          <w:sz w:val="20"/>
          <w:szCs w:val="20"/>
          <w:lang w:val="en-GB"/>
        </w:rPr>
        <w:t xml:space="preserve">difficult </w:t>
      </w:r>
      <w:r w:rsidR="000E4C45">
        <w:rPr>
          <w:rFonts w:ascii="Times New Roman" w:hAnsi="Times New Roman"/>
          <w:sz w:val="20"/>
          <w:szCs w:val="20"/>
          <w:lang w:val="en-GB"/>
        </w:rPr>
        <w:t xml:space="preserve"> </w:t>
      </w:r>
      <w:r w:rsidRPr="002115E6">
        <w:rPr>
          <w:rFonts w:ascii="Times New Roman" w:hAnsi="Times New Roman"/>
          <w:sz w:val="20"/>
          <w:szCs w:val="20"/>
          <w:lang w:val="en-GB"/>
        </w:rPr>
        <w:t>to obtain the desired pure</w:t>
      </w:r>
    </w:p>
    <w:p w14:paraId="519C328E" w14:textId="77777777" w:rsidR="000E4C45" w:rsidRDefault="000E4C45" w:rsidP="000E4C45">
      <w:pPr>
        <w:spacing w:after="0"/>
        <w:jc w:val="both"/>
        <w:outlineLvl w:val="0"/>
        <w:rPr>
          <w:rFonts w:ascii="Times New Roman" w:hAnsi="Times New Roman"/>
          <w:sz w:val="20"/>
          <w:szCs w:val="20"/>
          <w:lang w:val="en-GB"/>
        </w:rPr>
      </w:pPr>
    </w:p>
    <w:p w14:paraId="1ABC85C4" w14:textId="73F9CF8C" w:rsidR="000E4C45" w:rsidRDefault="002115E6" w:rsidP="000E4C45">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 xml:space="preserve"> product [23].</w:t>
      </w:r>
      <w:r w:rsidR="000E4C45">
        <w:rPr>
          <w:rFonts w:ascii="Times New Roman" w:hAnsi="Times New Roman"/>
          <w:sz w:val="20"/>
          <w:szCs w:val="20"/>
          <w:lang w:val="en-GB"/>
        </w:rPr>
        <w:t xml:space="preserve"> </w:t>
      </w:r>
    </w:p>
    <w:p w14:paraId="7956DA2C" w14:textId="77777777" w:rsidR="000E4C45" w:rsidRDefault="000E4C45" w:rsidP="000E4C45">
      <w:pPr>
        <w:spacing w:after="0"/>
        <w:jc w:val="both"/>
        <w:outlineLvl w:val="0"/>
        <w:rPr>
          <w:rFonts w:ascii="Times New Roman" w:hAnsi="Times New Roman"/>
          <w:sz w:val="20"/>
          <w:szCs w:val="20"/>
          <w:lang w:val="en-GB"/>
        </w:rPr>
      </w:pPr>
    </w:p>
    <w:p w14:paraId="0F39E452" w14:textId="3D54CD5A" w:rsidR="000E4C45" w:rsidRDefault="000E4C45" w:rsidP="000E4C45">
      <w:pPr>
        <w:spacing w:after="0"/>
        <w:jc w:val="both"/>
        <w:outlineLvl w:val="0"/>
        <w:rPr>
          <w:rFonts w:ascii="Times New Roman" w:hAnsi="Times New Roman"/>
          <w:b/>
          <w:sz w:val="20"/>
          <w:szCs w:val="20"/>
        </w:rPr>
      </w:pPr>
      <w:r w:rsidRPr="002115E6">
        <w:rPr>
          <w:rFonts w:ascii="Times New Roman" w:hAnsi="Times New Roman"/>
          <w:b/>
          <w:sz w:val="20"/>
          <w:szCs w:val="20"/>
        </w:rPr>
        <w:t>High Dilution Technique</w:t>
      </w:r>
    </w:p>
    <w:p w14:paraId="3AF8CA99" w14:textId="288B806E" w:rsidR="000E4C45" w:rsidRPr="002115E6" w:rsidRDefault="000E4C45" w:rsidP="000E4C45">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 xml:space="preserve">The rate of formation of linear polymers is higher in a concentrated solution due to the presence of many active sites and frequent contacts between polymers and reagents. Therefore, diluting the solution to achieve an exceedingly low concentration of the reacting reagents subsequently reduces the rate of contact between polymers and additional reagent. This process, known as the high dilution technique, enhances intramolecular reactions and increases the possibility of the formation of macrocyclic ligands. </w:t>
      </w:r>
    </w:p>
    <w:p w14:paraId="75811AE2" w14:textId="77777777" w:rsidR="000E4C45" w:rsidRPr="002115E6" w:rsidRDefault="000E4C45" w:rsidP="000E4C45">
      <w:pPr>
        <w:spacing w:after="0"/>
        <w:ind w:firstLine="720"/>
        <w:jc w:val="both"/>
        <w:outlineLvl w:val="0"/>
        <w:rPr>
          <w:rFonts w:ascii="Times New Roman" w:hAnsi="Times New Roman"/>
          <w:sz w:val="20"/>
          <w:szCs w:val="20"/>
          <w:lang w:val="en-GB"/>
        </w:rPr>
      </w:pPr>
    </w:p>
    <w:p w14:paraId="74F13EFE" w14:textId="77777777" w:rsidR="000E4C45" w:rsidRPr="002115E6" w:rsidRDefault="000E4C45" w:rsidP="000E4C45">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Rosen and Busch first reported the synthesis of 14-thiacrown-4 (14aneS</w:t>
      </w:r>
      <w:r w:rsidRPr="002115E6">
        <w:rPr>
          <w:rFonts w:ascii="Times New Roman" w:hAnsi="Times New Roman"/>
          <w:sz w:val="20"/>
          <w:szCs w:val="20"/>
          <w:vertAlign w:val="subscript"/>
          <w:lang w:val="en-GB"/>
        </w:rPr>
        <w:t>4</w:t>
      </w:r>
      <w:r w:rsidRPr="002115E6">
        <w:rPr>
          <w:rFonts w:ascii="Times New Roman" w:hAnsi="Times New Roman"/>
          <w:sz w:val="20"/>
          <w:szCs w:val="20"/>
          <w:lang w:val="en-GB"/>
        </w:rPr>
        <w:t xml:space="preserve">) with a very low yield of 7.5% as a result of the competitive formation of polymeric compounds [24]. However, when Travis applied the high dilution technique, the yield recorded an increase up to 50% as more sulphur donor atoms were available in the reaction, as shown in Scheme 2 [25]. This remarkable discovery demonstrated that the production of the macrocyclic ligand was improved with the increasing dilution of the solution. However, certain drawbacks of the method remain a concern, particularly the long reaction time and the ability to synthesis many ring system [46]. For example, many-membered ring ketones should be synthesized on different reaction paths such as the dinitrile reaction and acyloin condensation [46]. </w:t>
      </w:r>
    </w:p>
    <w:p w14:paraId="5269A894" w14:textId="6C7D07F5" w:rsidR="000E4C45" w:rsidRDefault="000E4C45" w:rsidP="002115E6">
      <w:pPr>
        <w:spacing w:after="0"/>
        <w:jc w:val="both"/>
        <w:outlineLvl w:val="0"/>
        <w:rPr>
          <w:rFonts w:ascii="Times New Roman" w:hAnsi="Times New Roman"/>
          <w:sz w:val="20"/>
          <w:szCs w:val="20"/>
          <w:lang w:val="en-GB"/>
        </w:rPr>
        <w:sectPr w:rsidR="000E4C45" w:rsidSect="000E4C45">
          <w:type w:val="continuous"/>
          <w:pgSz w:w="12240" w:h="15840" w:code="1"/>
          <w:pgMar w:top="1800" w:right="1469" w:bottom="1699" w:left="1440" w:header="706" w:footer="706" w:gutter="0"/>
          <w:pgNumType w:start="1"/>
          <w:cols w:num="2" w:space="403"/>
          <w:docGrid w:linePitch="360"/>
        </w:sectPr>
      </w:pPr>
    </w:p>
    <w:p w14:paraId="3288C4B5" w14:textId="126BF383" w:rsidR="000E4C45" w:rsidRDefault="000E4C45" w:rsidP="002115E6">
      <w:pPr>
        <w:spacing w:after="0"/>
        <w:jc w:val="both"/>
        <w:outlineLvl w:val="0"/>
        <w:rPr>
          <w:rFonts w:ascii="Times New Roman" w:hAnsi="Times New Roman"/>
          <w:sz w:val="20"/>
          <w:szCs w:val="20"/>
          <w:lang w:val="en-GB"/>
        </w:rPr>
      </w:pPr>
    </w:p>
    <w:p w14:paraId="455F63CF" w14:textId="77777777" w:rsidR="000E4C45" w:rsidRPr="002115E6" w:rsidRDefault="000E4C45" w:rsidP="002115E6">
      <w:pPr>
        <w:spacing w:after="0"/>
        <w:jc w:val="both"/>
        <w:outlineLvl w:val="0"/>
        <w:rPr>
          <w:rFonts w:ascii="Times New Roman" w:hAnsi="Times New Roman"/>
          <w:sz w:val="20"/>
          <w:szCs w:val="20"/>
          <w:lang w:val="en-GB"/>
        </w:rPr>
      </w:pPr>
    </w:p>
    <w:p w14:paraId="309025C7" w14:textId="77777777" w:rsidR="002115E6" w:rsidRPr="002115E6" w:rsidRDefault="002115E6" w:rsidP="002E61AE">
      <w:pPr>
        <w:spacing w:after="120"/>
        <w:jc w:val="center"/>
        <w:outlineLvl w:val="0"/>
        <w:rPr>
          <w:rFonts w:ascii="Times New Roman" w:hAnsi="Times New Roman"/>
          <w:sz w:val="20"/>
          <w:szCs w:val="20"/>
          <w:lang w:val="en-GB"/>
        </w:rPr>
      </w:pPr>
      <w:r w:rsidRPr="002115E6">
        <w:rPr>
          <w:rFonts w:ascii="Times New Roman" w:hAnsi="Times New Roman"/>
          <w:noProof/>
          <w:sz w:val="20"/>
          <w:szCs w:val="20"/>
          <w:lang w:val="en-MY" w:eastAsia="en-MY"/>
        </w:rPr>
        <w:lastRenderedPageBreak/>
        <w:drawing>
          <wp:inline distT="0" distB="0" distL="0" distR="0" wp14:anchorId="64ED399D" wp14:editId="7BC82E5F">
            <wp:extent cx="3414885"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14885" cy="1133475"/>
                    </a:xfrm>
                    <a:prstGeom prst="rect">
                      <a:avLst/>
                    </a:prstGeom>
                    <a:noFill/>
                    <a:ln>
                      <a:noFill/>
                    </a:ln>
                  </pic:spPr>
                </pic:pic>
              </a:graphicData>
            </a:graphic>
          </wp:inline>
        </w:drawing>
      </w:r>
    </w:p>
    <w:p w14:paraId="25061B30" w14:textId="110608BE" w:rsidR="002115E6" w:rsidRPr="002115E6" w:rsidRDefault="002115E6" w:rsidP="002E61AE">
      <w:pPr>
        <w:spacing w:after="0"/>
        <w:jc w:val="center"/>
        <w:outlineLvl w:val="0"/>
        <w:rPr>
          <w:rFonts w:ascii="Times New Roman" w:hAnsi="Times New Roman"/>
          <w:sz w:val="20"/>
          <w:szCs w:val="20"/>
          <w:lang w:val="en-GB"/>
        </w:rPr>
      </w:pPr>
      <w:r w:rsidRPr="002115E6">
        <w:rPr>
          <w:rFonts w:ascii="Times New Roman" w:hAnsi="Times New Roman"/>
          <w:sz w:val="20"/>
          <w:szCs w:val="20"/>
          <w:lang w:val="en-GB"/>
        </w:rPr>
        <w:t xml:space="preserve">Scheme 1. </w:t>
      </w:r>
      <w:r w:rsidR="002E61AE">
        <w:rPr>
          <w:rFonts w:ascii="Times New Roman" w:hAnsi="Times New Roman"/>
          <w:sz w:val="20"/>
          <w:szCs w:val="20"/>
          <w:lang w:val="en-GB"/>
        </w:rPr>
        <w:t xml:space="preserve"> </w:t>
      </w:r>
      <w:r w:rsidRPr="002115E6">
        <w:rPr>
          <w:rFonts w:ascii="Times New Roman" w:hAnsi="Times New Roman"/>
          <w:sz w:val="20"/>
          <w:szCs w:val="20"/>
          <w:lang w:val="en-GB"/>
        </w:rPr>
        <w:t>The Richman-Atkins reaction [20]</w:t>
      </w:r>
    </w:p>
    <w:p w14:paraId="7705695C" w14:textId="25A7E82F" w:rsidR="002E61AE" w:rsidRDefault="002E61AE" w:rsidP="002115E6">
      <w:pPr>
        <w:spacing w:after="0"/>
        <w:jc w:val="both"/>
        <w:outlineLvl w:val="0"/>
        <w:rPr>
          <w:rFonts w:ascii="Times New Roman" w:hAnsi="Times New Roman"/>
          <w:sz w:val="20"/>
          <w:szCs w:val="20"/>
          <w:lang w:val="en-GB"/>
        </w:rPr>
      </w:pPr>
    </w:p>
    <w:p w14:paraId="35830CFF" w14:textId="77777777" w:rsidR="002E61AE" w:rsidRPr="002115E6" w:rsidRDefault="002E61AE" w:rsidP="002115E6">
      <w:pPr>
        <w:spacing w:after="0"/>
        <w:jc w:val="both"/>
        <w:outlineLvl w:val="0"/>
        <w:rPr>
          <w:rFonts w:ascii="Times New Roman" w:hAnsi="Times New Roman"/>
          <w:sz w:val="20"/>
          <w:szCs w:val="20"/>
          <w:lang w:val="en-GB"/>
        </w:rPr>
      </w:pPr>
    </w:p>
    <w:p w14:paraId="30775691" w14:textId="77777777" w:rsidR="002115E6" w:rsidRPr="002115E6" w:rsidRDefault="002115E6" w:rsidP="002E61AE">
      <w:pPr>
        <w:spacing w:after="120"/>
        <w:jc w:val="center"/>
        <w:outlineLvl w:val="0"/>
        <w:rPr>
          <w:rFonts w:ascii="Times New Roman" w:hAnsi="Times New Roman"/>
          <w:sz w:val="20"/>
          <w:szCs w:val="20"/>
          <w:lang w:val="en-GB"/>
        </w:rPr>
      </w:pPr>
      <w:r w:rsidRPr="002115E6">
        <w:rPr>
          <w:rFonts w:ascii="Times New Roman" w:hAnsi="Times New Roman"/>
          <w:noProof/>
          <w:sz w:val="20"/>
          <w:szCs w:val="20"/>
          <w:lang w:val="en-MY" w:eastAsia="en-MY"/>
        </w:rPr>
        <w:drawing>
          <wp:inline distT="0" distB="0" distL="0" distR="0" wp14:anchorId="49A7F9C2" wp14:editId="4C255C12">
            <wp:extent cx="5226927" cy="69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67285" cy="697494"/>
                    </a:xfrm>
                    <a:prstGeom prst="rect">
                      <a:avLst/>
                    </a:prstGeom>
                    <a:noFill/>
                    <a:ln>
                      <a:noFill/>
                    </a:ln>
                  </pic:spPr>
                </pic:pic>
              </a:graphicData>
            </a:graphic>
          </wp:inline>
        </w:drawing>
      </w:r>
    </w:p>
    <w:p w14:paraId="6D40B30B" w14:textId="21EF7563" w:rsidR="002115E6" w:rsidRPr="002115E6" w:rsidRDefault="002115E6" w:rsidP="002E61AE">
      <w:pPr>
        <w:spacing w:after="0"/>
        <w:jc w:val="center"/>
        <w:outlineLvl w:val="0"/>
        <w:rPr>
          <w:rFonts w:ascii="Times New Roman" w:hAnsi="Times New Roman"/>
          <w:sz w:val="20"/>
          <w:szCs w:val="20"/>
          <w:lang w:val="en-GB"/>
        </w:rPr>
      </w:pPr>
      <w:r w:rsidRPr="002115E6">
        <w:rPr>
          <w:rFonts w:ascii="Times New Roman" w:hAnsi="Times New Roman"/>
          <w:sz w:val="20"/>
          <w:szCs w:val="20"/>
          <w:lang w:val="en-GB"/>
        </w:rPr>
        <w:t xml:space="preserve">Scheme 2. </w:t>
      </w:r>
      <w:r w:rsidR="002E61AE">
        <w:rPr>
          <w:rFonts w:ascii="Times New Roman" w:hAnsi="Times New Roman"/>
          <w:sz w:val="20"/>
          <w:szCs w:val="20"/>
          <w:lang w:val="en-GB"/>
        </w:rPr>
        <w:t xml:space="preserve"> </w:t>
      </w:r>
      <w:r w:rsidRPr="002115E6">
        <w:rPr>
          <w:rFonts w:ascii="Times New Roman" w:hAnsi="Times New Roman"/>
          <w:sz w:val="20"/>
          <w:szCs w:val="20"/>
          <w:lang w:val="en-GB"/>
        </w:rPr>
        <w:t>High dilution method for the synthesis of 14-thiacrown-4 [25]</w:t>
      </w:r>
    </w:p>
    <w:p w14:paraId="662199F1" w14:textId="7A77197F" w:rsidR="002115E6" w:rsidRDefault="002115E6" w:rsidP="002115E6">
      <w:pPr>
        <w:spacing w:after="0"/>
        <w:jc w:val="both"/>
        <w:outlineLvl w:val="0"/>
        <w:rPr>
          <w:rFonts w:ascii="Times New Roman" w:hAnsi="Times New Roman"/>
          <w:sz w:val="20"/>
          <w:szCs w:val="20"/>
          <w:lang w:val="en-GB"/>
        </w:rPr>
      </w:pPr>
    </w:p>
    <w:p w14:paraId="461A28BA" w14:textId="749950B1" w:rsidR="002E61AE" w:rsidRDefault="002E61AE" w:rsidP="002115E6">
      <w:pPr>
        <w:spacing w:after="0"/>
        <w:jc w:val="both"/>
        <w:outlineLvl w:val="0"/>
        <w:rPr>
          <w:rFonts w:ascii="Times New Roman" w:hAnsi="Times New Roman"/>
          <w:sz w:val="20"/>
          <w:szCs w:val="20"/>
          <w:lang w:val="en-GB"/>
        </w:rPr>
      </w:pPr>
    </w:p>
    <w:p w14:paraId="3DF2B5E8" w14:textId="77777777" w:rsidR="000202AC" w:rsidRDefault="000202AC" w:rsidP="002115E6">
      <w:pPr>
        <w:spacing w:after="0"/>
        <w:jc w:val="both"/>
        <w:outlineLvl w:val="0"/>
        <w:rPr>
          <w:rFonts w:ascii="Times New Roman" w:hAnsi="Times New Roman"/>
          <w:b/>
          <w:sz w:val="20"/>
          <w:szCs w:val="20"/>
        </w:rPr>
        <w:sectPr w:rsidR="000202AC" w:rsidSect="000E4C45">
          <w:footerReference w:type="even" r:id="rId23"/>
          <w:type w:val="continuous"/>
          <w:pgSz w:w="12240" w:h="15840" w:code="1"/>
          <w:pgMar w:top="1800" w:right="1469" w:bottom="1699" w:left="1440" w:header="706" w:footer="706" w:gutter="0"/>
          <w:pgNumType w:start="1"/>
          <w:cols w:space="708"/>
          <w:docGrid w:linePitch="360"/>
        </w:sectPr>
      </w:pPr>
    </w:p>
    <w:p w14:paraId="321B9096" w14:textId="3DAA00EF" w:rsidR="002115E6" w:rsidRPr="002115E6" w:rsidRDefault="002115E6" w:rsidP="002115E6">
      <w:pPr>
        <w:spacing w:after="0"/>
        <w:jc w:val="both"/>
        <w:outlineLvl w:val="0"/>
        <w:rPr>
          <w:rFonts w:ascii="Times New Roman" w:hAnsi="Times New Roman"/>
          <w:b/>
          <w:sz w:val="20"/>
          <w:szCs w:val="20"/>
        </w:rPr>
      </w:pPr>
      <w:r w:rsidRPr="002115E6">
        <w:rPr>
          <w:rFonts w:ascii="Times New Roman" w:hAnsi="Times New Roman"/>
          <w:b/>
          <w:sz w:val="20"/>
          <w:szCs w:val="20"/>
        </w:rPr>
        <w:t>Metal Template Effect Method</w:t>
      </w:r>
    </w:p>
    <w:p w14:paraId="6686A2C1" w14:textId="7911B07D"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The term template is broadly used in coordination chemistry to indicate a substance that acts as a mould to amplify the chemical reaction. The transition metal templates are commonly used as a guide for the cyclisation process and are a powerful tool in inorganic chemistry [26]. In this method, the synthetic route of macrocyclic ligands involves the use of a metal ion template to orient the reacting groups of ligands in the desired conformation for optimum ring closure. The favourable enthalpy for the formation of the metal-ligand bonds dominated over the unfavourable entropy from the ordering of the multidentate ligand around the metal ion, thereby enhancing the cyclisation reaction [27]. Hence, the synthesis of macrocyclic compounds through the template</w:t>
      </w:r>
      <w:r w:rsidR="000202AC">
        <w:rPr>
          <w:rFonts w:ascii="Times New Roman" w:hAnsi="Times New Roman"/>
          <w:sz w:val="20"/>
          <w:szCs w:val="20"/>
          <w:lang w:val="en-GB"/>
        </w:rPr>
        <w:t xml:space="preserve"> </w:t>
      </w:r>
      <w:r w:rsidRPr="002115E6">
        <w:rPr>
          <w:rFonts w:ascii="Times New Roman" w:hAnsi="Times New Roman"/>
          <w:sz w:val="20"/>
          <w:szCs w:val="20"/>
          <w:lang w:val="en-GB"/>
        </w:rPr>
        <w:t xml:space="preserve"> effect </w:t>
      </w:r>
      <w:r w:rsidR="000202AC">
        <w:rPr>
          <w:rFonts w:ascii="Times New Roman" w:hAnsi="Times New Roman"/>
          <w:sz w:val="20"/>
          <w:szCs w:val="20"/>
          <w:lang w:val="en-GB"/>
        </w:rPr>
        <w:t xml:space="preserve"> </w:t>
      </w:r>
      <w:r w:rsidRPr="002115E6">
        <w:rPr>
          <w:rFonts w:ascii="Times New Roman" w:hAnsi="Times New Roman"/>
          <w:sz w:val="20"/>
          <w:szCs w:val="20"/>
          <w:lang w:val="en-GB"/>
        </w:rPr>
        <w:t>method is contributed by the combination of pre-ligand and metal ions, as illustrated in Scheme 3 [28]. The macrocyclic product is electrophilically alkylated with 1,2-bis(bromomethyl)</w:t>
      </w:r>
      <w:r w:rsidR="000202AC">
        <w:rPr>
          <w:rFonts w:ascii="Times New Roman" w:hAnsi="Times New Roman"/>
          <w:sz w:val="20"/>
          <w:szCs w:val="20"/>
          <w:lang w:val="en-GB"/>
        </w:rPr>
        <w:t xml:space="preserve"> </w:t>
      </w:r>
      <w:r w:rsidRPr="002115E6">
        <w:rPr>
          <w:rFonts w:ascii="Times New Roman" w:hAnsi="Times New Roman"/>
          <w:sz w:val="20"/>
          <w:szCs w:val="20"/>
          <w:lang w:val="en-GB"/>
        </w:rPr>
        <w:t>benzene, while [Ni(L4)] acts as the template.</w:t>
      </w:r>
    </w:p>
    <w:p w14:paraId="764CA64A" w14:textId="77777777" w:rsidR="000202AC" w:rsidRDefault="000202AC" w:rsidP="000202AC">
      <w:pPr>
        <w:spacing w:after="0"/>
        <w:jc w:val="both"/>
        <w:outlineLvl w:val="0"/>
        <w:rPr>
          <w:rFonts w:ascii="Times New Roman" w:hAnsi="Times New Roman"/>
          <w:sz w:val="20"/>
          <w:szCs w:val="20"/>
          <w:lang w:val="en-GB"/>
        </w:rPr>
      </w:pPr>
    </w:p>
    <w:p w14:paraId="65A8EF9A" w14:textId="77777777" w:rsidR="000202AC" w:rsidRPr="002115E6" w:rsidRDefault="000202AC" w:rsidP="000202AC">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 xml:space="preserve">In terms of template synthesis, the macrocyclic complex can be useful to remove or replace the templated metal with different transition metal ions. The metal complex can be demetallated using specific reagents for the release of metal-free macrocyclic ligand [30]. For example, a hydrated hexaaza macrocyclic ligand was prepared through the demetallation of nickel [Ni(II)] </w:t>
      </w:r>
      <w:r w:rsidRPr="002115E6">
        <w:rPr>
          <w:rFonts w:ascii="Times New Roman" w:hAnsi="Times New Roman"/>
          <w:sz w:val="20"/>
          <w:szCs w:val="20"/>
          <w:lang w:val="en-GB"/>
        </w:rPr>
        <w:t xml:space="preserve">complex of 6,6’-dihydrazino-2,2’-bipyridil using sodium cyanide in methanol to provide a free macrocyclic ligand, as presented in Scheme 4 [29]. </w:t>
      </w:r>
    </w:p>
    <w:p w14:paraId="1CFCC73B" w14:textId="77777777" w:rsidR="000202AC" w:rsidRPr="002115E6" w:rsidRDefault="000202AC" w:rsidP="000202AC">
      <w:pPr>
        <w:spacing w:after="0"/>
        <w:ind w:firstLine="720"/>
        <w:jc w:val="both"/>
        <w:outlineLvl w:val="0"/>
        <w:rPr>
          <w:rFonts w:ascii="Times New Roman" w:hAnsi="Times New Roman"/>
          <w:sz w:val="20"/>
          <w:szCs w:val="20"/>
          <w:lang w:val="en-GB"/>
        </w:rPr>
      </w:pPr>
    </w:p>
    <w:p w14:paraId="2873E592" w14:textId="271194D1" w:rsidR="000202AC" w:rsidRDefault="000202AC" w:rsidP="000202AC">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However, the template cyclisation technique lacks the consistency to isolate azamacrocycles. The major drawback of the technique is contributed by the demetallation process in which the macrocycles become unstable in the uncoordinated state or the complex formation is too strong for the decomplexation process [31]. The high stability of the metal-ligand coordination and macrocyclic effect maintains the metal complex from releasing the free ligand. Thus, the direct synthesis or non-template method offers the best approach to overcome this problem.</w:t>
      </w:r>
    </w:p>
    <w:p w14:paraId="6886EC17" w14:textId="77777777" w:rsidR="000202AC" w:rsidRDefault="000202AC" w:rsidP="000202AC">
      <w:pPr>
        <w:spacing w:after="0"/>
        <w:jc w:val="both"/>
        <w:outlineLvl w:val="0"/>
        <w:rPr>
          <w:rFonts w:ascii="Times New Roman" w:hAnsi="Times New Roman"/>
          <w:sz w:val="20"/>
          <w:szCs w:val="20"/>
          <w:lang w:val="en-GB"/>
        </w:rPr>
      </w:pPr>
    </w:p>
    <w:p w14:paraId="4208CB4F" w14:textId="77777777" w:rsidR="000202AC" w:rsidRPr="002E61AE" w:rsidRDefault="000202AC" w:rsidP="000202AC">
      <w:pPr>
        <w:spacing w:after="0"/>
        <w:jc w:val="both"/>
        <w:outlineLvl w:val="0"/>
        <w:rPr>
          <w:rFonts w:ascii="Times New Roman" w:hAnsi="Times New Roman"/>
          <w:b/>
          <w:sz w:val="20"/>
          <w:szCs w:val="20"/>
        </w:rPr>
      </w:pPr>
      <w:r w:rsidRPr="002E61AE">
        <w:rPr>
          <w:rFonts w:ascii="Times New Roman" w:hAnsi="Times New Roman"/>
          <w:b/>
          <w:sz w:val="20"/>
          <w:szCs w:val="20"/>
        </w:rPr>
        <w:t>Non-Template Method</w:t>
      </w:r>
    </w:p>
    <w:p w14:paraId="666C67F8" w14:textId="77777777" w:rsidR="000202AC" w:rsidRPr="002E61AE" w:rsidRDefault="000202AC" w:rsidP="000202AC">
      <w:pPr>
        <w:spacing w:after="0"/>
        <w:jc w:val="both"/>
        <w:outlineLvl w:val="0"/>
        <w:rPr>
          <w:rFonts w:ascii="Times New Roman" w:hAnsi="Times New Roman"/>
          <w:sz w:val="20"/>
          <w:szCs w:val="20"/>
          <w:lang w:val="en-GB"/>
        </w:rPr>
      </w:pPr>
      <w:r w:rsidRPr="002E61AE">
        <w:rPr>
          <w:rFonts w:ascii="Times New Roman" w:hAnsi="Times New Roman"/>
          <w:sz w:val="20"/>
          <w:szCs w:val="20"/>
          <w:lang w:val="en-GB"/>
        </w:rPr>
        <w:t>In contrast to the metal template reaction, the ligand is synthesised first in the direct or non-template method, followed by the combination with a transition metal to form the complex compound. In 1971, Holm reported the first straightforward non-template synthesis of a basic macrocyclic 14-membered tetraaza ring system [32]. The moderate yield of 50% crystalline product from reaction of carbonyl-containing group and ketone group inspired other researchers to further explore this technique.</w:t>
      </w:r>
    </w:p>
    <w:p w14:paraId="67DD7FDD" w14:textId="77777777" w:rsidR="000202AC" w:rsidRPr="002E61AE" w:rsidRDefault="000202AC" w:rsidP="000202AC">
      <w:pPr>
        <w:spacing w:after="0"/>
        <w:ind w:firstLine="720"/>
        <w:jc w:val="both"/>
        <w:outlineLvl w:val="0"/>
        <w:rPr>
          <w:rFonts w:ascii="Times New Roman" w:hAnsi="Times New Roman"/>
          <w:sz w:val="20"/>
          <w:szCs w:val="20"/>
          <w:lang w:val="en-GB"/>
        </w:rPr>
      </w:pPr>
      <w:r w:rsidRPr="002E61AE">
        <w:rPr>
          <w:rFonts w:ascii="Times New Roman" w:hAnsi="Times New Roman"/>
          <w:sz w:val="20"/>
          <w:szCs w:val="20"/>
          <w:lang w:val="en-GB"/>
        </w:rPr>
        <w:t xml:space="preserve"> </w:t>
      </w:r>
    </w:p>
    <w:p w14:paraId="377F3B45" w14:textId="1E132F95" w:rsidR="000202AC" w:rsidRDefault="000202AC" w:rsidP="000202AC">
      <w:pPr>
        <w:spacing w:after="0"/>
        <w:jc w:val="both"/>
        <w:outlineLvl w:val="0"/>
        <w:rPr>
          <w:rFonts w:ascii="Times New Roman" w:hAnsi="Times New Roman"/>
          <w:sz w:val="20"/>
          <w:szCs w:val="20"/>
          <w:lang w:val="en-GB"/>
        </w:rPr>
      </w:pPr>
      <w:r w:rsidRPr="002E61AE">
        <w:rPr>
          <w:rFonts w:ascii="Times New Roman" w:hAnsi="Times New Roman"/>
          <w:sz w:val="20"/>
          <w:szCs w:val="20"/>
          <w:lang w:val="en-GB"/>
        </w:rPr>
        <w:lastRenderedPageBreak/>
        <w:t xml:space="preserve">In 1980, Owston and co-workers proposed the preparation of a metal-free tetraaza macrocycle under various condensation conditions [34]. The selected solvents allowed the free ligands to separate from the solution and structure formation based on the stability of the imine bond during the cyclisation process. However, the reaction of dialdehyde group with 1,2-diaminoethane, 1,2-diaminobenzene, and 1,3-diaminopropane produced different arrangements of linear products instead of macrocyclic di-imines. This due to the absence of aniline-hydrogen in the reactant that affecting the stabilization of the imine bond by hydrogen-bonding. </w:t>
      </w:r>
    </w:p>
    <w:p w14:paraId="61152AF0" w14:textId="77777777" w:rsidR="00A2489E" w:rsidRDefault="00A2489E" w:rsidP="000202AC">
      <w:pPr>
        <w:spacing w:after="0"/>
        <w:jc w:val="both"/>
        <w:outlineLvl w:val="0"/>
        <w:rPr>
          <w:rFonts w:ascii="Times New Roman" w:hAnsi="Times New Roman"/>
          <w:sz w:val="20"/>
          <w:szCs w:val="20"/>
          <w:lang w:val="en-GB"/>
        </w:rPr>
      </w:pPr>
    </w:p>
    <w:p w14:paraId="558C0F08" w14:textId="4F4006D6" w:rsidR="000202AC" w:rsidRDefault="000202AC" w:rsidP="000202AC">
      <w:pPr>
        <w:spacing w:after="0"/>
        <w:jc w:val="both"/>
        <w:outlineLvl w:val="0"/>
        <w:rPr>
          <w:rFonts w:ascii="Times New Roman" w:hAnsi="Times New Roman"/>
          <w:sz w:val="20"/>
          <w:szCs w:val="20"/>
          <w:lang w:val="en-GB"/>
        </w:rPr>
      </w:pPr>
      <w:r w:rsidRPr="002E61AE">
        <w:rPr>
          <w:rFonts w:ascii="Times New Roman" w:hAnsi="Times New Roman"/>
          <w:sz w:val="20"/>
          <w:szCs w:val="20"/>
          <w:lang w:val="en-GB"/>
        </w:rPr>
        <w:t>Swamy et al. carried out further studies by reacting to different groups of amines with diacid chlorides and diesters in the presence of anhydrous sodium carbonate during the isolation of pure macrocycles [35]. The results obtained revealed the formation of 14-, 15-, or 16-membered rings with four amide nitrogen atoms in Figure 3 (left). In addition, the diamines-diamides also reacted with alkyl dichlorides to form two amide and two secondary amine nitrogen atoms in the ring in Figure 3 (right). The success of the cyclisation process indicates that the lone pair repulsions were reduced in the presence of at least two secondary amine hydrogen atoms, as shown in Figure 3 (right).</w:t>
      </w:r>
    </w:p>
    <w:p w14:paraId="665312C3" w14:textId="77777777" w:rsidR="00A2489E" w:rsidRDefault="00A2489E" w:rsidP="000202AC">
      <w:pPr>
        <w:spacing w:after="0"/>
        <w:jc w:val="both"/>
        <w:outlineLvl w:val="0"/>
        <w:rPr>
          <w:rFonts w:ascii="Times New Roman" w:hAnsi="Times New Roman"/>
          <w:sz w:val="20"/>
          <w:szCs w:val="20"/>
          <w:lang w:val="en-GB"/>
        </w:rPr>
      </w:pPr>
    </w:p>
    <w:p w14:paraId="2411EE41" w14:textId="77777777" w:rsidR="00A2489E" w:rsidRPr="002E61AE" w:rsidRDefault="00A2489E" w:rsidP="00A2489E">
      <w:pPr>
        <w:spacing w:after="0"/>
        <w:jc w:val="both"/>
        <w:outlineLvl w:val="0"/>
        <w:rPr>
          <w:rFonts w:ascii="Times New Roman" w:hAnsi="Times New Roman"/>
          <w:sz w:val="20"/>
          <w:szCs w:val="20"/>
          <w:lang w:val="en-GB"/>
        </w:rPr>
      </w:pPr>
      <w:r w:rsidRPr="002E61AE">
        <w:rPr>
          <w:rFonts w:ascii="Times New Roman" w:hAnsi="Times New Roman"/>
          <w:sz w:val="20"/>
          <w:szCs w:val="20"/>
          <w:lang w:val="en-GB"/>
        </w:rPr>
        <w:t xml:space="preserve">Alternative steps for the synthesis of novel tetraaza macrocyclic ligand were proposed by Swamy et al. through the non-template condensation reaction between ethylenediamine and ethyl acetoacetate, as in Scheme 5 [35]. The formation of crystalline ligand at an approximate yield of 75% was contributed by the effective coordination of amide nitrogen with metal chlorides from the </w:t>
      </w:r>
      <w:r w:rsidRPr="002E61AE">
        <w:rPr>
          <w:rFonts w:ascii="Times New Roman" w:hAnsi="Times New Roman"/>
          <w:i/>
          <w:iCs/>
          <w:sz w:val="20"/>
          <w:szCs w:val="20"/>
          <w:lang w:val="en-GB"/>
        </w:rPr>
        <w:t>d</w:t>
      </w:r>
      <w:r w:rsidRPr="002E61AE">
        <w:rPr>
          <w:rFonts w:ascii="Times New Roman" w:hAnsi="Times New Roman"/>
          <w:sz w:val="20"/>
          <w:szCs w:val="20"/>
          <w:lang w:val="en-GB"/>
        </w:rPr>
        <w:t xml:space="preserve">-block elements, including </w:t>
      </w:r>
      <w:r w:rsidRPr="002E61AE">
        <w:rPr>
          <w:rFonts w:ascii="Times New Roman" w:hAnsi="Times New Roman"/>
          <w:sz w:val="20"/>
          <w:szCs w:val="20"/>
          <w:lang w:val="en-GB"/>
        </w:rPr>
        <w:t>ruthenium [Ru(III)], platinum [Pt(II)], and palladium [Pd(II)] metal ions. These interactions were demonstrated through the presence of peaks of medium bands in the Infra-Red (IR) spectra around the region of 450–470 cm</w:t>
      </w:r>
      <w:r w:rsidRPr="002E61AE">
        <w:rPr>
          <w:rFonts w:ascii="Times New Roman" w:hAnsi="Times New Roman"/>
          <w:sz w:val="20"/>
          <w:szCs w:val="20"/>
          <w:vertAlign w:val="superscript"/>
          <w:lang w:val="en-GB"/>
        </w:rPr>
        <w:t>-1</w:t>
      </w:r>
      <w:r w:rsidRPr="002E61AE">
        <w:rPr>
          <w:rFonts w:ascii="Times New Roman" w:hAnsi="Times New Roman"/>
          <w:sz w:val="20"/>
          <w:szCs w:val="20"/>
          <w:lang w:val="en-GB"/>
        </w:rPr>
        <w:t>, which were assigned to the metal-nitrogen vibrations.</w:t>
      </w:r>
    </w:p>
    <w:p w14:paraId="5EEDF45A" w14:textId="77777777" w:rsidR="00A2489E" w:rsidRPr="002E61AE" w:rsidRDefault="00A2489E" w:rsidP="00A2489E">
      <w:pPr>
        <w:spacing w:after="0"/>
        <w:ind w:firstLine="720"/>
        <w:jc w:val="both"/>
        <w:outlineLvl w:val="0"/>
        <w:rPr>
          <w:rFonts w:ascii="Times New Roman" w:hAnsi="Times New Roman"/>
          <w:sz w:val="20"/>
          <w:szCs w:val="20"/>
          <w:lang w:val="en-GB"/>
        </w:rPr>
      </w:pPr>
      <w:r w:rsidRPr="002E61AE">
        <w:rPr>
          <w:rFonts w:ascii="Times New Roman" w:hAnsi="Times New Roman"/>
          <w:sz w:val="20"/>
          <w:szCs w:val="20"/>
          <w:lang w:val="en-GB"/>
        </w:rPr>
        <w:t xml:space="preserve"> </w:t>
      </w:r>
    </w:p>
    <w:p w14:paraId="69C3F822" w14:textId="41798F11" w:rsidR="00A2489E" w:rsidRDefault="00A2489E" w:rsidP="00A2489E">
      <w:pPr>
        <w:spacing w:after="0"/>
        <w:jc w:val="both"/>
        <w:outlineLvl w:val="0"/>
        <w:rPr>
          <w:rFonts w:ascii="Times New Roman" w:hAnsi="Times New Roman"/>
          <w:sz w:val="20"/>
          <w:szCs w:val="20"/>
          <w:lang w:val="en-GB"/>
        </w:rPr>
      </w:pPr>
      <w:r w:rsidRPr="002E61AE">
        <w:rPr>
          <w:rFonts w:ascii="Times New Roman" w:hAnsi="Times New Roman"/>
          <w:sz w:val="20"/>
          <w:szCs w:val="20"/>
          <w:lang w:val="en-GB"/>
        </w:rPr>
        <w:t>Besides, Ni(II) complex was synthesised using the same non-template condensation technique in the presence of acetic acid [11]. Tetraaza cyclotetradeca ligand was obtained from the reaction of diaminoethane in ethanol with ethyl acetoacetate, resulting in a high yield of 75% crystalline product. Moreover, the presence of nitrogen with lone pairs in macrocyclic makes it a versatile coordinating agent with a high possibility to form stable complexes with transition metals. Hence, Ni(II) ion was able to fit in the centre of the ring while attached to the (CH</w:t>
      </w:r>
      <w:r w:rsidRPr="002E61AE">
        <w:rPr>
          <w:rFonts w:ascii="Times New Roman" w:hAnsi="Times New Roman"/>
          <w:sz w:val="20"/>
          <w:szCs w:val="20"/>
          <w:vertAlign w:val="subscript"/>
          <w:lang w:val="en-GB"/>
        </w:rPr>
        <w:t>3</w:t>
      </w:r>
      <w:r w:rsidRPr="002E61AE">
        <w:rPr>
          <w:rFonts w:ascii="Times New Roman" w:hAnsi="Times New Roman"/>
          <w:sz w:val="20"/>
          <w:szCs w:val="20"/>
          <w:lang w:val="en-GB"/>
        </w:rPr>
        <w:t>COO)</w:t>
      </w:r>
      <w:r w:rsidRPr="002E61AE">
        <w:rPr>
          <w:rFonts w:ascii="Times New Roman" w:hAnsi="Times New Roman"/>
          <w:sz w:val="20"/>
          <w:szCs w:val="20"/>
          <w:vertAlign w:val="subscript"/>
          <w:lang w:val="en-GB"/>
        </w:rPr>
        <w:t>2</w:t>
      </w:r>
      <w:r w:rsidRPr="002E61AE">
        <w:rPr>
          <w:rFonts w:ascii="Times New Roman" w:hAnsi="Times New Roman"/>
          <w:sz w:val="20"/>
          <w:szCs w:val="20"/>
          <w:lang w:val="en-GB"/>
        </w:rPr>
        <w:t xml:space="preserve"> groups in an octahedral configuration. </w:t>
      </w:r>
    </w:p>
    <w:p w14:paraId="6F7263E0" w14:textId="77777777" w:rsidR="00A2489E" w:rsidRPr="002E61AE" w:rsidRDefault="00A2489E" w:rsidP="00A2489E">
      <w:pPr>
        <w:spacing w:after="0"/>
        <w:jc w:val="both"/>
        <w:outlineLvl w:val="0"/>
        <w:rPr>
          <w:rFonts w:ascii="Times New Roman" w:hAnsi="Times New Roman"/>
          <w:sz w:val="20"/>
          <w:szCs w:val="20"/>
          <w:lang w:val="en-GB"/>
        </w:rPr>
      </w:pPr>
    </w:p>
    <w:p w14:paraId="2E1ACAD5" w14:textId="54E423D8" w:rsidR="00A2489E" w:rsidRPr="002E61AE" w:rsidRDefault="00A2489E" w:rsidP="00A2489E">
      <w:pPr>
        <w:spacing w:after="0"/>
        <w:jc w:val="both"/>
        <w:outlineLvl w:val="0"/>
        <w:rPr>
          <w:rFonts w:ascii="Times New Roman" w:hAnsi="Times New Roman"/>
          <w:sz w:val="20"/>
          <w:szCs w:val="20"/>
          <w:lang w:val="en-GB"/>
        </w:rPr>
      </w:pPr>
      <w:r w:rsidRPr="002E61AE">
        <w:rPr>
          <w:rFonts w:ascii="Times New Roman" w:hAnsi="Times New Roman"/>
          <w:sz w:val="20"/>
          <w:szCs w:val="20"/>
          <w:lang w:val="en-GB"/>
        </w:rPr>
        <w:t>In addition, a tetraaza macrocyclic nitrogen donor ligand, C</w:t>
      </w:r>
      <w:r w:rsidRPr="002E61AE">
        <w:rPr>
          <w:rFonts w:ascii="Times New Roman" w:hAnsi="Times New Roman"/>
          <w:sz w:val="20"/>
          <w:szCs w:val="20"/>
          <w:vertAlign w:val="subscript"/>
          <w:lang w:val="en-GB"/>
        </w:rPr>
        <w:t>24</w:t>
      </w:r>
      <w:r w:rsidRPr="002E61AE">
        <w:rPr>
          <w:rFonts w:ascii="Times New Roman" w:hAnsi="Times New Roman"/>
          <w:sz w:val="20"/>
          <w:szCs w:val="20"/>
          <w:lang w:val="en-GB"/>
        </w:rPr>
        <w:t>H</w:t>
      </w:r>
      <w:r w:rsidRPr="002E61AE">
        <w:rPr>
          <w:rFonts w:ascii="Times New Roman" w:hAnsi="Times New Roman"/>
          <w:sz w:val="20"/>
          <w:szCs w:val="20"/>
          <w:vertAlign w:val="subscript"/>
          <w:lang w:val="en-GB"/>
        </w:rPr>
        <w:t>28</w:t>
      </w:r>
      <w:r w:rsidRPr="002E61AE">
        <w:rPr>
          <w:rFonts w:ascii="Times New Roman" w:hAnsi="Times New Roman"/>
          <w:sz w:val="20"/>
          <w:szCs w:val="20"/>
          <w:lang w:val="en-GB"/>
        </w:rPr>
        <w:t>N</w:t>
      </w:r>
      <w:r w:rsidRPr="002E61AE">
        <w:rPr>
          <w:rFonts w:ascii="Times New Roman" w:hAnsi="Times New Roman"/>
          <w:sz w:val="20"/>
          <w:szCs w:val="20"/>
          <w:vertAlign w:val="subscript"/>
          <w:lang w:val="en-GB"/>
        </w:rPr>
        <w:t>4</w:t>
      </w:r>
      <w:r w:rsidRPr="002E61AE">
        <w:rPr>
          <w:rFonts w:ascii="Times New Roman" w:hAnsi="Times New Roman"/>
          <w:sz w:val="20"/>
          <w:szCs w:val="20"/>
          <w:lang w:val="en-GB"/>
        </w:rPr>
        <w:t xml:space="preserve"> was prepared by Chandra </w:t>
      </w:r>
      <w:r w:rsidRPr="002E61AE">
        <w:rPr>
          <w:rFonts w:ascii="Times New Roman" w:hAnsi="Times New Roman"/>
          <w:iCs/>
          <w:sz w:val="20"/>
          <w:szCs w:val="20"/>
          <w:lang w:val="en-GB"/>
        </w:rPr>
        <w:t xml:space="preserve">et al. </w:t>
      </w:r>
      <w:r w:rsidRPr="002E61AE">
        <w:rPr>
          <w:rFonts w:ascii="Times New Roman" w:hAnsi="Times New Roman"/>
          <w:sz w:val="20"/>
          <w:szCs w:val="20"/>
          <w:lang w:val="en-GB"/>
        </w:rPr>
        <w:t xml:space="preserve">[3] through a simple two-step synthesis. Firstly, the 2,3-hexanedione reacts with </w:t>
      </w:r>
      <w:r w:rsidRPr="002E61AE">
        <w:rPr>
          <w:rFonts w:ascii="Times New Roman" w:hAnsi="Times New Roman"/>
          <w:i/>
          <w:iCs/>
          <w:sz w:val="20"/>
          <w:szCs w:val="20"/>
          <w:lang w:val="en-GB"/>
        </w:rPr>
        <w:t>m</w:t>
      </w:r>
      <w:r w:rsidRPr="002E61AE">
        <w:rPr>
          <w:rFonts w:ascii="Times New Roman" w:hAnsi="Times New Roman"/>
          <w:sz w:val="20"/>
          <w:szCs w:val="20"/>
          <w:lang w:val="en-GB"/>
        </w:rPr>
        <w:t>-phenylenediamine in the presence of hydrochloric acid (HCl) to develop a macrocyclic moiety. This is followed by the complexation of Co(II), Cu(II), and Ni(II) complexes for antibacterial and antifungal screening activity. The study also used different types of counter anion, X = chloride (Cl</w:t>
      </w:r>
      <w:r w:rsidRPr="002E61AE">
        <w:rPr>
          <w:rFonts w:ascii="Times New Roman" w:hAnsi="Times New Roman"/>
          <w:sz w:val="20"/>
          <w:szCs w:val="20"/>
          <w:vertAlign w:val="superscript"/>
          <w:lang w:val="en-GB"/>
        </w:rPr>
        <w:t>-</w:t>
      </w:r>
      <w:r w:rsidRPr="002E61AE">
        <w:rPr>
          <w:rFonts w:ascii="Times New Roman" w:hAnsi="Times New Roman"/>
          <w:sz w:val="20"/>
          <w:szCs w:val="20"/>
          <w:lang w:val="en-GB"/>
        </w:rPr>
        <w:t>), nitrate (NO</w:t>
      </w:r>
      <w:r w:rsidRPr="002E61AE">
        <w:rPr>
          <w:rFonts w:ascii="Times New Roman" w:hAnsi="Times New Roman"/>
          <w:sz w:val="20"/>
          <w:szCs w:val="20"/>
          <w:vertAlign w:val="superscript"/>
          <w:lang w:val="en-GB"/>
        </w:rPr>
        <w:t>3-</w:t>
      </w:r>
      <w:r w:rsidRPr="002E61AE">
        <w:rPr>
          <w:rFonts w:ascii="Times New Roman" w:hAnsi="Times New Roman"/>
          <w:sz w:val="20"/>
          <w:szCs w:val="20"/>
          <w:lang w:val="en-GB"/>
        </w:rPr>
        <w:t>), and isothiocyanate(NCS</w:t>
      </w:r>
      <w:r w:rsidRPr="002E61AE">
        <w:rPr>
          <w:rFonts w:ascii="Times New Roman" w:hAnsi="Times New Roman"/>
          <w:sz w:val="20"/>
          <w:szCs w:val="20"/>
          <w:vertAlign w:val="superscript"/>
          <w:lang w:val="en-GB"/>
        </w:rPr>
        <w:t>-</w:t>
      </w:r>
      <w:r w:rsidRPr="002E61AE">
        <w:rPr>
          <w:rFonts w:ascii="Times New Roman" w:hAnsi="Times New Roman"/>
          <w:sz w:val="20"/>
          <w:szCs w:val="20"/>
          <w:lang w:val="en-GB"/>
        </w:rPr>
        <w:t>), resulting in the formation of different geometry due to the metal-ligand interaction. The magnetic moment values corresponded to the high spin configuration, indicating the tetrahedral square pyramidal with anions occupied the axial positions and octahedral geometry of complexes (Figure 4).</w:t>
      </w:r>
    </w:p>
    <w:p w14:paraId="4AF952D2" w14:textId="77777777" w:rsidR="000202AC" w:rsidRPr="002E61AE" w:rsidRDefault="000202AC" w:rsidP="000202AC">
      <w:pPr>
        <w:spacing w:after="0"/>
        <w:jc w:val="both"/>
        <w:outlineLvl w:val="0"/>
        <w:rPr>
          <w:rFonts w:ascii="Times New Roman" w:hAnsi="Times New Roman"/>
          <w:sz w:val="20"/>
          <w:szCs w:val="20"/>
          <w:lang w:val="en-GB"/>
        </w:rPr>
      </w:pPr>
    </w:p>
    <w:p w14:paraId="68E6923F" w14:textId="013AE24B" w:rsidR="000202AC" w:rsidRDefault="000202AC" w:rsidP="000202AC">
      <w:pPr>
        <w:spacing w:after="0"/>
        <w:jc w:val="both"/>
        <w:outlineLvl w:val="0"/>
        <w:rPr>
          <w:rFonts w:ascii="Times New Roman" w:hAnsi="Times New Roman"/>
          <w:sz w:val="20"/>
          <w:szCs w:val="20"/>
          <w:lang w:val="en-GB"/>
        </w:rPr>
        <w:sectPr w:rsidR="000202AC" w:rsidSect="000202AC">
          <w:footerReference w:type="default" r:id="rId24"/>
          <w:type w:val="continuous"/>
          <w:pgSz w:w="12240" w:h="15840" w:code="1"/>
          <w:pgMar w:top="1800" w:right="1469" w:bottom="1699" w:left="1440" w:header="706" w:footer="706" w:gutter="0"/>
          <w:pgNumType w:start="1"/>
          <w:cols w:num="2" w:space="403"/>
          <w:docGrid w:linePitch="360"/>
        </w:sectPr>
      </w:pPr>
    </w:p>
    <w:p w14:paraId="19EED065" w14:textId="77777777" w:rsidR="00A2489E" w:rsidRDefault="00A2489E" w:rsidP="00A2489E">
      <w:pPr>
        <w:spacing w:after="0"/>
        <w:jc w:val="center"/>
        <w:outlineLvl w:val="0"/>
        <w:rPr>
          <w:rFonts w:ascii="Times New Roman" w:hAnsi="Times New Roman"/>
          <w:sz w:val="20"/>
          <w:szCs w:val="20"/>
          <w:lang w:val="en-GB"/>
        </w:rPr>
      </w:pPr>
    </w:p>
    <w:p w14:paraId="7582A4E8" w14:textId="79BD82A3" w:rsidR="002115E6" w:rsidRPr="00A2489E" w:rsidRDefault="00A2489E" w:rsidP="00A2489E">
      <w:pPr>
        <w:spacing w:after="0"/>
        <w:jc w:val="center"/>
        <w:outlineLvl w:val="0"/>
        <w:rPr>
          <w:rFonts w:ascii="Times New Roman" w:hAnsi="Times New Roman"/>
          <w:sz w:val="20"/>
          <w:szCs w:val="20"/>
          <w:lang w:val="en-GB"/>
        </w:rPr>
      </w:pPr>
      <w:r w:rsidRPr="002115E6">
        <w:rPr>
          <w:rFonts w:ascii="Times New Roman" w:hAnsi="Times New Roman"/>
          <w:noProof/>
          <w:sz w:val="20"/>
          <w:szCs w:val="20"/>
          <w:lang w:val="en-MY" w:eastAsia="en-MY"/>
        </w:rPr>
        <w:drawing>
          <wp:inline distT="0" distB="0" distL="0" distR="0" wp14:anchorId="1E0CC347" wp14:editId="6AAC35D6">
            <wp:extent cx="3714152" cy="133709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90534" cy="1364593"/>
                    </a:xfrm>
                    <a:prstGeom prst="rect">
                      <a:avLst/>
                    </a:prstGeom>
                    <a:noFill/>
                    <a:ln>
                      <a:noFill/>
                    </a:ln>
                  </pic:spPr>
                </pic:pic>
              </a:graphicData>
            </a:graphic>
          </wp:inline>
        </w:drawing>
      </w:r>
    </w:p>
    <w:p w14:paraId="74B85EDE" w14:textId="7649A025" w:rsidR="002E61AE" w:rsidRPr="002115E6" w:rsidRDefault="002115E6" w:rsidP="00A2489E">
      <w:pPr>
        <w:spacing w:after="0"/>
        <w:jc w:val="center"/>
        <w:outlineLvl w:val="0"/>
        <w:rPr>
          <w:rFonts w:ascii="Times New Roman" w:hAnsi="Times New Roman"/>
          <w:sz w:val="20"/>
          <w:szCs w:val="20"/>
          <w:lang w:val="en-GB"/>
        </w:rPr>
      </w:pPr>
      <w:r w:rsidRPr="002115E6">
        <w:rPr>
          <w:rFonts w:ascii="Times New Roman" w:hAnsi="Times New Roman"/>
          <w:sz w:val="20"/>
          <w:szCs w:val="20"/>
          <w:lang w:val="en-GB"/>
        </w:rPr>
        <w:t xml:space="preserve">Scheme 3. </w:t>
      </w:r>
      <w:r w:rsidR="002E61AE">
        <w:rPr>
          <w:rFonts w:ascii="Times New Roman" w:hAnsi="Times New Roman"/>
          <w:sz w:val="20"/>
          <w:szCs w:val="20"/>
          <w:lang w:val="en-GB"/>
        </w:rPr>
        <w:t xml:space="preserve"> </w:t>
      </w:r>
      <w:r w:rsidRPr="002115E6">
        <w:rPr>
          <w:rFonts w:ascii="Times New Roman" w:hAnsi="Times New Roman"/>
          <w:sz w:val="20"/>
          <w:szCs w:val="20"/>
          <w:lang w:val="en-GB"/>
        </w:rPr>
        <w:t>The preparation of [Ni(L5)Br</w:t>
      </w:r>
      <w:r w:rsidRPr="002115E6">
        <w:rPr>
          <w:rFonts w:ascii="Times New Roman" w:hAnsi="Times New Roman"/>
          <w:sz w:val="20"/>
          <w:szCs w:val="20"/>
          <w:vertAlign w:val="subscript"/>
          <w:lang w:val="en-GB"/>
        </w:rPr>
        <w:t>2</w:t>
      </w:r>
      <w:r w:rsidRPr="002115E6">
        <w:rPr>
          <w:rFonts w:ascii="Times New Roman" w:hAnsi="Times New Roman"/>
          <w:sz w:val="20"/>
          <w:szCs w:val="20"/>
          <w:lang w:val="en-GB"/>
        </w:rPr>
        <w:t>] through kinetic coordination template effect [28]</w:t>
      </w:r>
    </w:p>
    <w:p w14:paraId="547C2401" w14:textId="3BD1CF3D" w:rsidR="002115E6" w:rsidRPr="002E61AE" w:rsidRDefault="002115E6" w:rsidP="002E61AE">
      <w:pPr>
        <w:spacing w:after="120"/>
        <w:jc w:val="center"/>
        <w:outlineLvl w:val="0"/>
        <w:rPr>
          <w:rFonts w:ascii="Times New Roman" w:hAnsi="Times New Roman"/>
          <w:sz w:val="20"/>
          <w:szCs w:val="20"/>
          <w:lang w:val="en-GB"/>
        </w:rPr>
      </w:pPr>
      <w:r w:rsidRPr="002115E6">
        <w:rPr>
          <w:rFonts w:ascii="Times New Roman" w:hAnsi="Times New Roman"/>
          <w:noProof/>
          <w:sz w:val="20"/>
          <w:szCs w:val="20"/>
          <w:lang w:val="en-MY" w:eastAsia="en-MY"/>
        </w:rPr>
        <w:lastRenderedPageBreak/>
        <w:drawing>
          <wp:inline distT="0" distB="0" distL="0" distR="0" wp14:anchorId="21D47BFE" wp14:editId="6FA574FF">
            <wp:extent cx="5669280" cy="932815"/>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69280" cy="932815"/>
                    </a:xfrm>
                    <a:prstGeom prst="rect">
                      <a:avLst/>
                    </a:prstGeom>
                    <a:noFill/>
                    <a:ln>
                      <a:noFill/>
                    </a:ln>
                  </pic:spPr>
                </pic:pic>
              </a:graphicData>
            </a:graphic>
          </wp:inline>
        </w:drawing>
      </w:r>
    </w:p>
    <w:p w14:paraId="397E0B23" w14:textId="601C6168" w:rsidR="002115E6" w:rsidRPr="002115E6" w:rsidRDefault="002115E6" w:rsidP="002E61AE">
      <w:pPr>
        <w:spacing w:after="0"/>
        <w:jc w:val="center"/>
        <w:outlineLvl w:val="0"/>
        <w:rPr>
          <w:rFonts w:ascii="Times New Roman" w:hAnsi="Times New Roman"/>
          <w:sz w:val="20"/>
          <w:szCs w:val="20"/>
          <w:lang w:val="en-GB"/>
        </w:rPr>
      </w:pPr>
      <w:r w:rsidRPr="000202AC">
        <w:rPr>
          <w:rFonts w:ascii="Times New Roman" w:hAnsi="Times New Roman"/>
          <w:sz w:val="20"/>
          <w:szCs w:val="20"/>
          <w:lang w:val="en-GB"/>
        </w:rPr>
        <w:t xml:space="preserve">Scheme 4. </w:t>
      </w:r>
      <w:r w:rsidR="002E61AE">
        <w:rPr>
          <w:rFonts w:ascii="Times New Roman" w:hAnsi="Times New Roman"/>
          <w:sz w:val="20"/>
          <w:szCs w:val="20"/>
          <w:lang w:val="en-GB"/>
        </w:rPr>
        <w:t xml:space="preserve"> </w:t>
      </w:r>
      <w:r w:rsidRPr="002115E6">
        <w:rPr>
          <w:rFonts w:ascii="Times New Roman" w:hAnsi="Times New Roman"/>
          <w:sz w:val="20"/>
          <w:szCs w:val="20"/>
          <w:lang w:val="en-GB"/>
        </w:rPr>
        <w:t>Demetallation of Ni(II) to obtain metal-free macrocyclic ligand [29]</w:t>
      </w:r>
    </w:p>
    <w:p w14:paraId="72AF3896" w14:textId="0322C7F4" w:rsidR="006768E9" w:rsidRDefault="006768E9" w:rsidP="002B412F">
      <w:pPr>
        <w:spacing w:after="0"/>
        <w:jc w:val="center"/>
        <w:rPr>
          <w:rFonts w:ascii="Times New Roman" w:hAnsi="Times New Roman"/>
          <w:noProof/>
          <w:sz w:val="20"/>
          <w:szCs w:val="20"/>
          <w:lang w:bidi="ar-SA"/>
        </w:rPr>
      </w:pPr>
    </w:p>
    <w:p w14:paraId="543D29A7" w14:textId="77777777" w:rsidR="002E61AE" w:rsidRPr="002E61AE" w:rsidRDefault="002E61AE" w:rsidP="002E61AE">
      <w:pPr>
        <w:spacing w:after="0"/>
        <w:jc w:val="both"/>
        <w:outlineLvl w:val="0"/>
        <w:rPr>
          <w:rFonts w:ascii="Times New Roman" w:hAnsi="Times New Roman"/>
          <w:sz w:val="20"/>
          <w:szCs w:val="20"/>
          <w:lang w:val="en-GB"/>
        </w:rPr>
      </w:pPr>
    </w:p>
    <w:p w14:paraId="47415AE8" w14:textId="77777777" w:rsidR="002E61AE" w:rsidRPr="002E61AE" w:rsidRDefault="002E61AE" w:rsidP="002E61AE">
      <w:pPr>
        <w:spacing w:after="0"/>
        <w:jc w:val="center"/>
        <w:outlineLvl w:val="0"/>
        <w:rPr>
          <w:rFonts w:ascii="Times New Roman" w:hAnsi="Times New Roman"/>
          <w:sz w:val="20"/>
          <w:szCs w:val="20"/>
          <w:lang w:val="en-GB"/>
        </w:rPr>
      </w:pPr>
      <w:r w:rsidRPr="002E61AE">
        <w:rPr>
          <w:rFonts w:ascii="Times New Roman" w:hAnsi="Times New Roman"/>
          <w:noProof/>
          <w:sz w:val="20"/>
          <w:szCs w:val="20"/>
          <w:lang w:val="en-MY" w:eastAsia="en-MY"/>
        </w:rPr>
        <w:drawing>
          <wp:inline distT="0" distB="0" distL="0" distR="0" wp14:anchorId="5335497E" wp14:editId="3E514496">
            <wp:extent cx="3333750" cy="1322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3.png"/>
                    <pic:cNvPicPr/>
                  </pic:nvPicPr>
                  <pic:blipFill rotWithShape="1">
                    <a:blip r:embed="rId27">
                      <a:extLst>
                        <a:ext uri="{28A0092B-C50C-407E-A947-70E740481C1C}">
                          <a14:useLocalDpi xmlns:a14="http://schemas.microsoft.com/office/drawing/2010/main" val="0"/>
                        </a:ext>
                      </a:extLst>
                    </a:blip>
                    <a:srcRect r="50817" b="65296"/>
                    <a:stretch/>
                  </pic:blipFill>
                  <pic:spPr bwMode="auto">
                    <a:xfrm>
                      <a:off x="0" y="0"/>
                      <a:ext cx="3379515" cy="1340351"/>
                    </a:xfrm>
                    <a:prstGeom prst="rect">
                      <a:avLst/>
                    </a:prstGeom>
                    <a:ln>
                      <a:noFill/>
                    </a:ln>
                    <a:extLst>
                      <a:ext uri="{53640926-AAD7-44D8-BBD7-CCE9431645EC}">
                        <a14:shadowObscured xmlns:a14="http://schemas.microsoft.com/office/drawing/2010/main"/>
                      </a:ext>
                    </a:extLst>
                  </pic:spPr>
                </pic:pic>
              </a:graphicData>
            </a:graphic>
          </wp:inline>
        </w:drawing>
      </w:r>
    </w:p>
    <w:p w14:paraId="6ADE37C8" w14:textId="0191B23E" w:rsidR="002E61AE" w:rsidRPr="002E61AE" w:rsidRDefault="002E61AE" w:rsidP="00A2489E">
      <w:pPr>
        <w:spacing w:after="0"/>
        <w:ind w:left="810" w:hanging="810"/>
        <w:jc w:val="both"/>
        <w:outlineLvl w:val="0"/>
        <w:rPr>
          <w:rFonts w:ascii="Times New Roman" w:hAnsi="Times New Roman"/>
          <w:sz w:val="20"/>
          <w:szCs w:val="20"/>
          <w:lang w:val="en-GB"/>
        </w:rPr>
      </w:pPr>
      <w:r w:rsidRPr="002E61AE">
        <w:rPr>
          <w:rFonts w:ascii="Times New Roman" w:hAnsi="Times New Roman"/>
          <w:sz w:val="20"/>
          <w:szCs w:val="20"/>
          <w:lang w:val="en-GB"/>
        </w:rPr>
        <w:t xml:space="preserve">Figure 3. </w:t>
      </w:r>
      <w:r>
        <w:rPr>
          <w:rFonts w:ascii="Times New Roman" w:hAnsi="Times New Roman"/>
          <w:sz w:val="20"/>
          <w:szCs w:val="20"/>
          <w:lang w:val="en-GB"/>
        </w:rPr>
        <w:tab/>
      </w:r>
      <w:r w:rsidRPr="002E61AE">
        <w:rPr>
          <w:rFonts w:ascii="Times New Roman" w:hAnsi="Times New Roman"/>
          <w:sz w:val="20"/>
          <w:szCs w:val="20"/>
          <w:lang w:val="en-GB"/>
        </w:rPr>
        <w:t>14-, 15-, or 16-membered rings with four amide nitrogen atoms (left) with two amide and two secondary amine nitrogen atoms in the ring (right) [35]</w:t>
      </w:r>
    </w:p>
    <w:p w14:paraId="58B9E72C" w14:textId="52B4BDB4" w:rsidR="002E61AE" w:rsidRDefault="002E61AE" w:rsidP="002E61AE">
      <w:pPr>
        <w:spacing w:after="0"/>
        <w:jc w:val="both"/>
        <w:outlineLvl w:val="0"/>
        <w:rPr>
          <w:rFonts w:ascii="Times New Roman" w:hAnsi="Times New Roman"/>
          <w:sz w:val="20"/>
          <w:szCs w:val="20"/>
          <w:lang w:val="en-GB"/>
        </w:rPr>
      </w:pPr>
    </w:p>
    <w:p w14:paraId="7ADE91BB" w14:textId="77777777" w:rsidR="002E61AE" w:rsidRPr="002E61AE" w:rsidRDefault="002E61AE" w:rsidP="002E61AE">
      <w:pPr>
        <w:spacing w:after="0"/>
        <w:jc w:val="both"/>
        <w:outlineLvl w:val="0"/>
        <w:rPr>
          <w:rFonts w:ascii="Times New Roman" w:hAnsi="Times New Roman"/>
          <w:sz w:val="20"/>
          <w:szCs w:val="20"/>
          <w:lang w:val="en-GB"/>
        </w:rPr>
      </w:pPr>
    </w:p>
    <w:p w14:paraId="6EE65780" w14:textId="77777777" w:rsidR="002E61AE" w:rsidRPr="002E61AE" w:rsidRDefault="002E61AE" w:rsidP="002E61AE">
      <w:pPr>
        <w:spacing w:after="120"/>
        <w:jc w:val="center"/>
        <w:outlineLvl w:val="0"/>
        <w:rPr>
          <w:rFonts w:ascii="Times New Roman" w:hAnsi="Times New Roman"/>
          <w:bCs/>
          <w:sz w:val="20"/>
          <w:szCs w:val="20"/>
          <w:lang w:val="en-MY"/>
        </w:rPr>
      </w:pPr>
      <w:r w:rsidRPr="002E61AE">
        <w:rPr>
          <w:rFonts w:ascii="Times New Roman" w:hAnsi="Times New Roman"/>
          <w:bCs/>
          <w:noProof/>
          <w:sz w:val="20"/>
          <w:szCs w:val="20"/>
          <w:lang w:val="en-MY" w:eastAsia="en-MY"/>
        </w:rPr>
        <w:drawing>
          <wp:inline distT="0" distB="0" distL="0" distR="0" wp14:anchorId="4EC0F1DA" wp14:editId="5B0B1D59">
            <wp:extent cx="5581650" cy="2506047"/>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heme 5.png"/>
                    <pic:cNvPicPr/>
                  </pic:nvPicPr>
                  <pic:blipFill>
                    <a:blip r:embed="rId28">
                      <a:extLst>
                        <a:ext uri="{28A0092B-C50C-407E-A947-70E740481C1C}">
                          <a14:useLocalDpi xmlns:a14="http://schemas.microsoft.com/office/drawing/2010/main" val="0"/>
                        </a:ext>
                      </a:extLst>
                    </a:blip>
                    <a:stretch>
                      <a:fillRect/>
                    </a:stretch>
                  </pic:blipFill>
                  <pic:spPr>
                    <a:xfrm>
                      <a:off x="0" y="0"/>
                      <a:ext cx="5595461" cy="2512248"/>
                    </a:xfrm>
                    <a:prstGeom prst="rect">
                      <a:avLst/>
                    </a:prstGeom>
                  </pic:spPr>
                </pic:pic>
              </a:graphicData>
            </a:graphic>
          </wp:inline>
        </w:drawing>
      </w:r>
    </w:p>
    <w:p w14:paraId="15B7C582" w14:textId="199B9DFB" w:rsidR="002E61AE" w:rsidRPr="002E61AE" w:rsidRDefault="002E61AE" w:rsidP="002E61AE">
      <w:pPr>
        <w:spacing w:after="0"/>
        <w:ind w:left="993" w:hanging="993"/>
        <w:jc w:val="both"/>
        <w:outlineLvl w:val="0"/>
        <w:rPr>
          <w:rFonts w:ascii="Times New Roman" w:hAnsi="Times New Roman"/>
          <w:bCs/>
          <w:sz w:val="20"/>
          <w:szCs w:val="20"/>
          <w:lang w:val="en-MY"/>
        </w:rPr>
      </w:pPr>
      <w:r w:rsidRPr="002E61AE">
        <w:rPr>
          <w:rFonts w:ascii="Times New Roman" w:hAnsi="Times New Roman"/>
          <w:bCs/>
          <w:sz w:val="20"/>
          <w:szCs w:val="20"/>
          <w:lang w:val="en-MY"/>
        </w:rPr>
        <w:t xml:space="preserve">Scheme 5. </w:t>
      </w:r>
      <w:r>
        <w:rPr>
          <w:rFonts w:ascii="Times New Roman" w:hAnsi="Times New Roman"/>
          <w:bCs/>
          <w:sz w:val="20"/>
          <w:szCs w:val="20"/>
          <w:lang w:val="en-MY"/>
        </w:rPr>
        <w:tab/>
      </w:r>
      <w:r w:rsidRPr="002E61AE">
        <w:rPr>
          <w:rFonts w:ascii="Times New Roman" w:hAnsi="Times New Roman"/>
          <w:bCs/>
          <w:sz w:val="20"/>
          <w:szCs w:val="20"/>
          <w:lang w:val="en-GB"/>
        </w:rPr>
        <w:t>Synthesis of tetraaza macrocyclic ligand and its complexes where M= Ru(III), Pt(II) and Pd(II) and X= Cl</w:t>
      </w:r>
      <w:r w:rsidRPr="002E61AE">
        <w:rPr>
          <w:rFonts w:ascii="Times New Roman" w:hAnsi="Times New Roman"/>
          <w:bCs/>
          <w:sz w:val="20"/>
          <w:szCs w:val="20"/>
          <w:vertAlign w:val="superscript"/>
          <w:lang w:val="en-GB"/>
        </w:rPr>
        <w:t>-</w:t>
      </w:r>
      <w:r w:rsidRPr="002E61AE">
        <w:rPr>
          <w:rFonts w:ascii="Times New Roman" w:hAnsi="Times New Roman"/>
          <w:bCs/>
          <w:sz w:val="20"/>
          <w:szCs w:val="20"/>
          <w:lang w:val="en-GB"/>
        </w:rPr>
        <w:t xml:space="preserve"> </w:t>
      </w:r>
      <w:r w:rsidRPr="002E61AE">
        <w:rPr>
          <w:rFonts w:ascii="Times New Roman" w:hAnsi="Times New Roman"/>
          <w:bCs/>
          <w:sz w:val="20"/>
          <w:szCs w:val="20"/>
          <w:lang w:val="en-MY"/>
        </w:rPr>
        <w:t>[35]</w:t>
      </w:r>
    </w:p>
    <w:p w14:paraId="4620D761" w14:textId="02085DDC" w:rsidR="002E61AE" w:rsidRDefault="002E61AE" w:rsidP="002E61AE">
      <w:pPr>
        <w:spacing w:after="0"/>
        <w:jc w:val="both"/>
        <w:outlineLvl w:val="0"/>
        <w:rPr>
          <w:rFonts w:ascii="Times New Roman" w:hAnsi="Times New Roman"/>
          <w:sz w:val="20"/>
          <w:szCs w:val="20"/>
          <w:lang w:val="en-MY"/>
        </w:rPr>
      </w:pPr>
    </w:p>
    <w:p w14:paraId="160572D4" w14:textId="6A12E171" w:rsidR="002E61AE" w:rsidRDefault="002E61AE" w:rsidP="002E61AE">
      <w:pPr>
        <w:spacing w:after="0"/>
        <w:jc w:val="both"/>
        <w:outlineLvl w:val="0"/>
        <w:rPr>
          <w:rFonts w:ascii="Times New Roman" w:hAnsi="Times New Roman"/>
          <w:sz w:val="20"/>
          <w:szCs w:val="20"/>
          <w:lang w:val="en-MY"/>
        </w:rPr>
      </w:pPr>
    </w:p>
    <w:p w14:paraId="715FA642" w14:textId="77777777" w:rsidR="002E61AE" w:rsidRPr="002E61AE" w:rsidRDefault="002E61AE" w:rsidP="002E61AE">
      <w:pPr>
        <w:spacing w:after="0"/>
        <w:jc w:val="both"/>
        <w:outlineLvl w:val="0"/>
        <w:rPr>
          <w:rFonts w:ascii="Times New Roman" w:hAnsi="Times New Roman"/>
          <w:sz w:val="20"/>
          <w:szCs w:val="20"/>
          <w:lang w:val="en-MY"/>
        </w:rPr>
      </w:pPr>
    </w:p>
    <w:p w14:paraId="74F38531" w14:textId="77777777" w:rsidR="002E61AE" w:rsidRPr="002E61AE" w:rsidRDefault="002E61AE" w:rsidP="002E61AE">
      <w:pPr>
        <w:spacing w:after="120"/>
        <w:jc w:val="center"/>
        <w:outlineLvl w:val="0"/>
        <w:rPr>
          <w:rFonts w:ascii="Times New Roman" w:hAnsi="Times New Roman"/>
          <w:bCs/>
          <w:sz w:val="20"/>
          <w:szCs w:val="20"/>
          <w:lang w:val="en-GB"/>
        </w:rPr>
      </w:pPr>
      <w:r w:rsidRPr="002E61AE">
        <w:rPr>
          <w:rFonts w:ascii="Times New Roman" w:hAnsi="Times New Roman"/>
          <w:bCs/>
          <w:noProof/>
          <w:sz w:val="20"/>
          <w:szCs w:val="20"/>
          <w:lang w:val="en-MY" w:eastAsia="en-MY"/>
        </w:rPr>
        <w:lastRenderedPageBreak/>
        <w:drawing>
          <wp:inline distT="0" distB="0" distL="0" distR="0" wp14:anchorId="5471C16A" wp14:editId="2B15D06F">
            <wp:extent cx="2838450" cy="3039786"/>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48988" cy="3051071"/>
                    </a:xfrm>
                    <a:prstGeom prst="rect">
                      <a:avLst/>
                    </a:prstGeom>
                    <a:noFill/>
                    <a:ln>
                      <a:noFill/>
                    </a:ln>
                  </pic:spPr>
                </pic:pic>
              </a:graphicData>
            </a:graphic>
          </wp:inline>
        </w:drawing>
      </w:r>
    </w:p>
    <w:p w14:paraId="3D49AAA7" w14:textId="7F864AF5" w:rsidR="002E61AE" w:rsidRPr="002E61AE" w:rsidRDefault="002E61AE" w:rsidP="002E61AE">
      <w:pPr>
        <w:spacing w:after="0"/>
        <w:ind w:left="851" w:hanging="851"/>
        <w:jc w:val="both"/>
        <w:outlineLvl w:val="0"/>
        <w:rPr>
          <w:rFonts w:ascii="Times New Roman" w:hAnsi="Times New Roman"/>
          <w:sz w:val="20"/>
          <w:szCs w:val="20"/>
          <w:lang w:val="en-GB"/>
        </w:rPr>
      </w:pPr>
      <w:r w:rsidRPr="002E61AE">
        <w:rPr>
          <w:rFonts w:ascii="Times New Roman" w:hAnsi="Times New Roman"/>
          <w:sz w:val="20"/>
          <w:szCs w:val="20"/>
          <w:lang w:val="en-GB"/>
        </w:rPr>
        <w:t xml:space="preserve">Figure 4. </w:t>
      </w:r>
      <w:r>
        <w:rPr>
          <w:rFonts w:ascii="Times New Roman" w:hAnsi="Times New Roman"/>
          <w:sz w:val="20"/>
          <w:szCs w:val="20"/>
          <w:lang w:val="en-GB"/>
        </w:rPr>
        <w:tab/>
      </w:r>
      <w:r w:rsidRPr="002E61AE">
        <w:rPr>
          <w:rFonts w:ascii="Times New Roman" w:hAnsi="Times New Roman"/>
          <w:sz w:val="20"/>
          <w:szCs w:val="20"/>
          <w:lang w:val="en-GB"/>
        </w:rPr>
        <w:t>Structures of the tetradentate macrocyclic nitrogen donor ligand complexes where M = Co(II), Ni(II), and Cu(II) and X = Cl</w:t>
      </w:r>
      <w:r w:rsidRPr="002E61AE">
        <w:rPr>
          <w:rFonts w:ascii="Times New Roman" w:hAnsi="Times New Roman"/>
          <w:sz w:val="20"/>
          <w:szCs w:val="20"/>
          <w:vertAlign w:val="superscript"/>
          <w:lang w:val="en-GB"/>
        </w:rPr>
        <w:t>-</w:t>
      </w:r>
      <w:r w:rsidRPr="002E61AE">
        <w:rPr>
          <w:rFonts w:ascii="Times New Roman" w:hAnsi="Times New Roman"/>
          <w:sz w:val="20"/>
          <w:szCs w:val="20"/>
          <w:lang w:val="en-GB"/>
        </w:rPr>
        <w:t>, NO</w:t>
      </w:r>
      <w:r w:rsidRPr="002E61AE">
        <w:rPr>
          <w:rFonts w:ascii="Times New Roman" w:hAnsi="Times New Roman"/>
          <w:sz w:val="20"/>
          <w:szCs w:val="20"/>
          <w:vertAlign w:val="subscript"/>
          <w:lang w:val="en-GB"/>
        </w:rPr>
        <w:t>3</w:t>
      </w:r>
      <w:r w:rsidRPr="002E61AE">
        <w:rPr>
          <w:rFonts w:ascii="Times New Roman" w:hAnsi="Times New Roman"/>
          <w:sz w:val="20"/>
          <w:szCs w:val="20"/>
          <w:vertAlign w:val="superscript"/>
          <w:lang w:val="en-GB"/>
        </w:rPr>
        <w:t>-</w:t>
      </w:r>
      <w:r w:rsidRPr="002E61AE">
        <w:rPr>
          <w:rFonts w:ascii="Times New Roman" w:hAnsi="Times New Roman"/>
          <w:sz w:val="20"/>
          <w:szCs w:val="20"/>
          <w:lang w:val="en-GB"/>
        </w:rPr>
        <w:t>, and NCS</w:t>
      </w:r>
      <w:r w:rsidRPr="002E61AE">
        <w:rPr>
          <w:rFonts w:ascii="Times New Roman" w:hAnsi="Times New Roman"/>
          <w:sz w:val="20"/>
          <w:szCs w:val="20"/>
          <w:vertAlign w:val="superscript"/>
          <w:lang w:val="en-GB"/>
        </w:rPr>
        <w:t>-</w:t>
      </w:r>
      <w:r w:rsidRPr="002E61AE">
        <w:rPr>
          <w:rFonts w:ascii="Times New Roman" w:hAnsi="Times New Roman"/>
          <w:sz w:val="20"/>
          <w:szCs w:val="20"/>
          <w:lang w:val="en-GB"/>
        </w:rPr>
        <w:t xml:space="preserve"> [3]</w:t>
      </w:r>
    </w:p>
    <w:p w14:paraId="4E3F68AD" w14:textId="77777777" w:rsidR="00A2489E" w:rsidRDefault="00A2489E" w:rsidP="002E61AE">
      <w:pPr>
        <w:spacing w:after="0"/>
        <w:jc w:val="both"/>
        <w:outlineLvl w:val="0"/>
        <w:rPr>
          <w:rFonts w:ascii="Times New Roman" w:hAnsi="Times New Roman"/>
          <w:bCs/>
          <w:sz w:val="20"/>
          <w:szCs w:val="20"/>
          <w:lang w:val="en-GB"/>
        </w:rPr>
      </w:pPr>
    </w:p>
    <w:p w14:paraId="0FBEF84C" w14:textId="77777777" w:rsidR="00A2489E" w:rsidRDefault="00A2489E" w:rsidP="002E61AE">
      <w:pPr>
        <w:spacing w:after="0"/>
        <w:jc w:val="both"/>
        <w:outlineLvl w:val="0"/>
        <w:rPr>
          <w:rFonts w:ascii="Times New Roman" w:hAnsi="Times New Roman"/>
          <w:bCs/>
          <w:sz w:val="20"/>
          <w:szCs w:val="20"/>
          <w:lang w:val="en-GB"/>
        </w:rPr>
      </w:pPr>
    </w:p>
    <w:p w14:paraId="331B06BB" w14:textId="77777777" w:rsidR="00A2489E" w:rsidRDefault="00A2489E" w:rsidP="002E61AE">
      <w:pPr>
        <w:spacing w:after="0"/>
        <w:jc w:val="both"/>
        <w:outlineLvl w:val="0"/>
        <w:rPr>
          <w:rFonts w:ascii="Times New Roman" w:hAnsi="Times New Roman"/>
          <w:bCs/>
          <w:sz w:val="20"/>
          <w:szCs w:val="20"/>
          <w:lang w:val="en-GB"/>
        </w:rPr>
      </w:pPr>
    </w:p>
    <w:p w14:paraId="6762FAC0" w14:textId="3BD69B92" w:rsidR="008A27A9" w:rsidRDefault="008A27A9" w:rsidP="002E61AE">
      <w:pPr>
        <w:spacing w:after="0"/>
        <w:jc w:val="both"/>
        <w:outlineLvl w:val="0"/>
        <w:rPr>
          <w:rFonts w:ascii="Times New Roman" w:hAnsi="Times New Roman"/>
          <w:bCs/>
          <w:sz w:val="20"/>
          <w:szCs w:val="20"/>
          <w:lang w:val="en-GB"/>
        </w:rPr>
        <w:sectPr w:rsidR="008A27A9" w:rsidSect="000E4C45">
          <w:footerReference w:type="even" r:id="rId30"/>
          <w:footerReference w:type="default" r:id="rId31"/>
          <w:type w:val="continuous"/>
          <w:pgSz w:w="12240" w:h="15840" w:code="1"/>
          <w:pgMar w:top="1800" w:right="1469" w:bottom="1699" w:left="1440" w:header="706" w:footer="706" w:gutter="0"/>
          <w:pgNumType w:start="1"/>
          <w:cols w:space="708"/>
          <w:docGrid w:linePitch="360"/>
        </w:sectPr>
      </w:pPr>
    </w:p>
    <w:p w14:paraId="4E249A44" w14:textId="2C48293E" w:rsidR="002E61AE" w:rsidRDefault="002E61AE" w:rsidP="002E61AE">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The successful development in the previous research [3] has facilitated other studies to investigate different diamines groups for the synthesis of tetraaza macrocyclic ligands. Recently, a hot ethanolic solution of benzyl was mixed with 2,6-diaminopyridine, </w:t>
      </w:r>
      <m:oMath>
        <m:r>
          <w:rPr>
            <w:rFonts w:ascii="Cambria Math" w:hAnsi="Cambria Math"/>
            <w:sz w:val="20"/>
            <w:szCs w:val="20"/>
            <w:lang w:val="en-GB"/>
          </w:rPr>
          <m:t>ο</m:t>
        </m:r>
      </m:oMath>
      <w:r w:rsidRPr="002E61AE">
        <w:rPr>
          <w:rFonts w:ascii="Times New Roman" w:hAnsi="Times New Roman"/>
          <w:bCs/>
          <w:sz w:val="20"/>
          <w:szCs w:val="20"/>
          <w:lang w:val="en-GB"/>
        </w:rPr>
        <w:t>-phenylenediamine, and ethylenediamine, respectively [45]. An IR band corresponding to C=N at a range of 1650–1660 cm</w:t>
      </w:r>
      <w:r w:rsidRPr="002E61AE">
        <w:rPr>
          <w:rFonts w:ascii="Times New Roman" w:hAnsi="Times New Roman"/>
          <w:bCs/>
          <w:sz w:val="20"/>
          <w:szCs w:val="20"/>
          <w:vertAlign w:val="superscript"/>
          <w:lang w:val="en-GB"/>
        </w:rPr>
        <w:t>-1</w:t>
      </w:r>
      <w:r w:rsidRPr="002E61AE">
        <w:rPr>
          <w:rFonts w:ascii="Times New Roman" w:hAnsi="Times New Roman"/>
          <w:bCs/>
          <w:sz w:val="20"/>
          <w:szCs w:val="20"/>
          <w:lang w:val="en-GB"/>
        </w:rPr>
        <w:t xml:space="preserve"> in the ligands, which was referred to as the azomethine linkage, was observed to shift to the lower band due to the complex formation [30]. The ligands provided the binding sites towards the Pd(II) and Pt(II) metal ions through four nitrogen atoms of the azomethine groups. The structure of the complexes was diamagnetic and exhibited a square-planar geometry of </w:t>
      </w:r>
      <w:r w:rsidRPr="002E61AE">
        <w:rPr>
          <w:rFonts w:ascii="Times New Roman" w:hAnsi="Times New Roman"/>
          <w:bCs/>
          <w:i/>
          <w:iCs/>
          <w:sz w:val="20"/>
          <w:szCs w:val="20"/>
          <w:lang w:val="en-GB"/>
        </w:rPr>
        <w:t>N,N,N,N</w:t>
      </w:r>
      <w:r w:rsidRPr="002E61AE">
        <w:rPr>
          <w:rFonts w:ascii="Times New Roman" w:hAnsi="Times New Roman"/>
          <w:bCs/>
          <w:sz w:val="20"/>
          <w:szCs w:val="20"/>
          <w:lang w:val="en-GB"/>
        </w:rPr>
        <w:t>-pattern.</w:t>
      </w:r>
    </w:p>
    <w:p w14:paraId="58F8B112" w14:textId="77777777" w:rsidR="002E61AE" w:rsidRPr="002E61AE" w:rsidRDefault="002E61AE" w:rsidP="002E61AE">
      <w:pPr>
        <w:spacing w:after="0"/>
        <w:jc w:val="both"/>
        <w:outlineLvl w:val="0"/>
        <w:rPr>
          <w:rFonts w:ascii="Times New Roman" w:hAnsi="Times New Roman"/>
          <w:bCs/>
          <w:sz w:val="20"/>
          <w:szCs w:val="20"/>
          <w:lang w:val="en-GB"/>
        </w:rPr>
      </w:pPr>
    </w:p>
    <w:p w14:paraId="6D3EF51F" w14:textId="77777777" w:rsidR="002E61AE" w:rsidRPr="002E61AE" w:rsidRDefault="002E61AE" w:rsidP="002E61AE">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In another study, the reaction between </w:t>
      </w:r>
      <m:oMath>
        <m:r>
          <w:rPr>
            <w:rFonts w:ascii="Cambria Math" w:hAnsi="Cambria Math"/>
            <w:sz w:val="20"/>
            <w:szCs w:val="20"/>
            <w:lang w:val="en-GB"/>
          </w:rPr>
          <m:t>ο</m:t>
        </m:r>
      </m:oMath>
      <w:r w:rsidRPr="002E61AE">
        <w:rPr>
          <w:rFonts w:ascii="Times New Roman" w:hAnsi="Times New Roman"/>
          <w:bCs/>
          <w:sz w:val="20"/>
          <w:szCs w:val="20"/>
          <w:lang w:val="en-GB"/>
        </w:rPr>
        <w:t>-phenylenediamine and benzoylacetone in ethanolic solution led to the formation of tetraazacyclotetradecine [36]. The Hydrogen-1 Nuclear Magnetic Resonance (</w:t>
      </w:r>
      <w:r w:rsidRPr="002E61AE">
        <w:rPr>
          <w:rFonts w:ascii="Times New Roman" w:hAnsi="Times New Roman"/>
          <w:bCs/>
          <w:sz w:val="20"/>
          <w:szCs w:val="20"/>
          <w:vertAlign w:val="superscript"/>
          <w:lang w:val="en-GB"/>
        </w:rPr>
        <w:t>1</w:t>
      </w:r>
      <w:r w:rsidRPr="002E61AE">
        <w:rPr>
          <w:rFonts w:ascii="Times New Roman" w:hAnsi="Times New Roman"/>
          <w:bCs/>
          <w:sz w:val="20"/>
          <w:szCs w:val="20"/>
          <w:lang w:val="en-GB"/>
        </w:rPr>
        <w:t xml:space="preserve">H-NMR) spectrum confirmed the existence of imine methyl and methylene protons of benzoyl acetone ranging at 2.20–2.64 ppm, suggested the free ligand is </w:t>
      </w:r>
      <w:r w:rsidRPr="002E61AE">
        <w:rPr>
          <w:rFonts w:ascii="Times New Roman" w:hAnsi="Times New Roman"/>
          <w:bCs/>
          <w:sz w:val="20"/>
          <w:szCs w:val="20"/>
          <w:lang w:val="en-GB"/>
        </w:rPr>
        <w:t>formed. The antifungal screening action was evaluated by performing complexation with Co(II), Ni(II), and Cu(II) metal ions attached to four nitrogen donor. Co and Cu atoms were formulated as [M(L)Cl</w:t>
      </w:r>
      <w:r w:rsidRPr="002E61AE">
        <w:rPr>
          <w:rFonts w:ascii="Times New Roman" w:hAnsi="Times New Roman"/>
          <w:bCs/>
          <w:sz w:val="20"/>
          <w:szCs w:val="20"/>
          <w:vertAlign w:val="subscript"/>
          <w:lang w:val="en-GB"/>
        </w:rPr>
        <w:t>2</w:t>
      </w:r>
      <w:r w:rsidRPr="002E61AE">
        <w:rPr>
          <w:rFonts w:ascii="Times New Roman" w:hAnsi="Times New Roman"/>
          <w:bCs/>
          <w:sz w:val="20"/>
          <w:szCs w:val="20"/>
          <w:lang w:val="en-GB"/>
        </w:rPr>
        <w:t>], while Ni atoms were formulated as [M’(L)]Cl</w:t>
      </w:r>
      <w:r w:rsidRPr="002E61AE">
        <w:rPr>
          <w:rFonts w:ascii="Times New Roman" w:hAnsi="Times New Roman"/>
          <w:bCs/>
          <w:sz w:val="20"/>
          <w:szCs w:val="20"/>
          <w:vertAlign w:val="subscript"/>
          <w:lang w:val="en-GB"/>
        </w:rPr>
        <w:t xml:space="preserve">2 </w:t>
      </w:r>
      <w:r w:rsidRPr="002E61AE">
        <w:rPr>
          <w:rFonts w:ascii="Times New Roman" w:hAnsi="Times New Roman"/>
          <w:bCs/>
          <w:sz w:val="20"/>
          <w:szCs w:val="20"/>
          <w:lang w:val="en-GB"/>
        </w:rPr>
        <w:t xml:space="preserve">due to their non-electrolytic and electrolytic nature, respectively. Based on the spectral studies, each metal complex displayed different coordination, as depicted in Figure 5. The Co(II) complex exhibited octahedral geometry with chlorine atoms at the axial position, whereas Ni(II) and Cu(II) complexes were arranged in a square-planar and tetragonal geometry, respectively. </w:t>
      </w:r>
    </w:p>
    <w:p w14:paraId="18AC0C21" w14:textId="77777777" w:rsidR="00A2489E" w:rsidRDefault="00A2489E" w:rsidP="002E61AE">
      <w:pPr>
        <w:spacing w:after="0"/>
        <w:jc w:val="both"/>
        <w:outlineLvl w:val="0"/>
        <w:rPr>
          <w:rFonts w:ascii="Times New Roman" w:hAnsi="Times New Roman"/>
          <w:bCs/>
          <w:sz w:val="20"/>
          <w:szCs w:val="20"/>
          <w:lang w:val="en-GB"/>
        </w:rPr>
      </w:pPr>
    </w:p>
    <w:p w14:paraId="7FCC5C3B" w14:textId="5169A3C2" w:rsidR="008A27A9"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The type and ring size of macrocyclic ligands are very useful in the application of biological process, which is termed as the metalloenzymes. Previously in 2010, Patil and Akkasali reported the non-template synthesis of tetraaza macrocyclic compound with variable ring sizes and higher yield [37]. The starting materials were prepared by reacting diketone with ethylenediamine, </w:t>
      </w:r>
      <m:oMath>
        <m:r>
          <w:rPr>
            <w:rFonts w:ascii="Cambria Math" w:hAnsi="Cambria Math"/>
            <w:sz w:val="20"/>
            <w:szCs w:val="20"/>
            <w:lang w:val="en-GB"/>
          </w:rPr>
          <m:t>ο</m:t>
        </m:r>
      </m:oMath>
      <w:r w:rsidRPr="002E61AE">
        <w:rPr>
          <w:rFonts w:ascii="Times New Roman" w:hAnsi="Times New Roman"/>
          <w:bCs/>
          <w:sz w:val="20"/>
          <w:szCs w:val="20"/>
          <w:lang w:val="en-GB"/>
        </w:rPr>
        <w:t xml:space="preserve">-phenylenediamine, and diaminopropane. As a result of the ring closure reaction, 14- and 16-membered nitrogen groups of tetraaza macrocycles were successfully </w:t>
      </w:r>
      <w:r w:rsidRPr="002E61AE">
        <w:rPr>
          <w:rFonts w:ascii="Times New Roman" w:hAnsi="Times New Roman"/>
          <w:bCs/>
          <w:sz w:val="20"/>
          <w:szCs w:val="20"/>
          <w:lang w:val="en-GB"/>
        </w:rPr>
        <w:lastRenderedPageBreak/>
        <w:t>isolated. All the free ligands exhibited moderate biological activity, thus, signifying the stability and effectiveness of this method.</w:t>
      </w:r>
    </w:p>
    <w:p w14:paraId="5CBC1E4B" w14:textId="77777777" w:rsidR="008A27A9" w:rsidRPr="002E61AE" w:rsidRDefault="008A27A9" w:rsidP="008A27A9">
      <w:pPr>
        <w:spacing w:after="0"/>
        <w:jc w:val="both"/>
        <w:outlineLvl w:val="0"/>
        <w:rPr>
          <w:rFonts w:ascii="Times New Roman" w:hAnsi="Times New Roman"/>
          <w:bCs/>
          <w:sz w:val="20"/>
          <w:szCs w:val="20"/>
          <w:lang w:val="en-GB"/>
        </w:rPr>
      </w:pPr>
    </w:p>
    <w:p w14:paraId="458B00E2" w14:textId="4B2CDD6D" w:rsidR="008A27A9"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Furthermore, Sen et al. synthesised a novel tetraaza macrocyclic ligand ranging from 14 to 15 rings [38]. The study involved the reaction of diethyl malonate with three different amino groups comprising 1,2-Bis{(2-aminobenzoyl)amino}propane, 2-amino-N-[3-(2-aminobenzoilamino)propil] benzamide, and 1,4-Bis{(2-aminobenzoil)amino}butane. The results were in agreement with Swamy et al. where three ligands with particular macrocyclic members were obtained </w:t>
      </w:r>
      <w:r w:rsidRPr="002E61AE">
        <w:rPr>
          <w:rFonts w:ascii="Times New Roman" w:hAnsi="Times New Roman"/>
          <w:sz w:val="20"/>
          <w:szCs w:val="20"/>
          <w:lang w:val="en-GB"/>
        </w:rPr>
        <w:t>through the non-template condensation reaction</w:t>
      </w:r>
      <w:r w:rsidRPr="002E61AE">
        <w:rPr>
          <w:rFonts w:ascii="Times New Roman" w:hAnsi="Times New Roman"/>
          <w:bCs/>
          <w:sz w:val="20"/>
          <w:szCs w:val="20"/>
          <w:lang w:val="en-GB"/>
        </w:rPr>
        <w:t xml:space="preserve"> [35]. The reaction between various amino groups is summarized in Table 1.</w:t>
      </w:r>
    </w:p>
    <w:p w14:paraId="133788ED" w14:textId="77777777" w:rsidR="008A27A9" w:rsidRPr="002E61AE" w:rsidRDefault="008A27A9" w:rsidP="008A27A9">
      <w:pPr>
        <w:spacing w:after="0"/>
        <w:jc w:val="both"/>
        <w:outlineLvl w:val="0"/>
        <w:rPr>
          <w:rFonts w:ascii="Times New Roman" w:hAnsi="Times New Roman"/>
          <w:bCs/>
          <w:sz w:val="20"/>
          <w:szCs w:val="20"/>
          <w:lang w:val="en-GB"/>
        </w:rPr>
      </w:pPr>
    </w:p>
    <w:p w14:paraId="76AA5D1A" w14:textId="77777777" w:rsidR="008A27A9" w:rsidRPr="002E61AE"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Recently, the metal complexes comprising Mn(II), Co(II), Ni(II), Cu(II), and Zn(II) were reported to exhibit as ionic compounds in the presence of chloride ions [39]. The tetraaza macrocyclic ligands were synthesised from </w:t>
      </w:r>
      <w:r w:rsidRPr="002E61AE">
        <w:rPr>
          <w:rFonts w:ascii="Times New Roman" w:hAnsi="Times New Roman"/>
          <w:bCs/>
          <w:i/>
          <w:iCs/>
          <w:sz w:val="20"/>
          <w:szCs w:val="20"/>
          <w:lang w:val="en-GB"/>
        </w:rPr>
        <w:t>N,N’</w:t>
      </w:r>
      <w:r w:rsidRPr="002E61AE">
        <w:rPr>
          <w:rFonts w:ascii="Times New Roman" w:hAnsi="Times New Roman"/>
          <w:bCs/>
          <w:sz w:val="20"/>
          <w:szCs w:val="20"/>
          <w:lang w:val="en-GB"/>
        </w:rPr>
        <w:t xml:space="preserve">-bis(2-aminoethyl)hexanediamide, which served as the starting material that originated from the reaction between adipic acid and ethylenediamine, followed by diethyloxalate and diethylmalonate, </w:t>
      </w:r>
      <w:r w:rsidRPr="002E61AE">
        <w:rPr>
          <w:rFonts w:ascii="Times New Roman" w:hAnsi="Times New Roman"/>
          <w:bCs/>
          <w:sz w:val="20"/>
          <w:szCs w:val="20"/>
          <w:lang w:val="en-GB"/>
        </w:rPr>
        <w:t>respectively (Scheme 6). This new approach was focused on antimicrobial activity against various microorganisms. The results showed that all metal complexes displayed efficient functionality compared to their parent ligands under the same experimental conditions due to the polarity of the metal ion.</w:t>
      </w:r>
    </w:p>
    <w:p w14:paraId="06B18ACB" w14:textId="77777777" w:rsidR="008A27A9" w:rsidRDefault="008A27A9" w:rsidP="002E61AE">
      <w:pPr>
        <w:spacing w:after="0"/>
        <w:jc w:val="both"/>
        <w:outlineLvl w:val="0"/>
        <w:rPr>
          <w:rFonts w:ascii="Times New Roman" w:hAnsi="Times New Roman"/>
          <w:bCs/>
          <w:sz w:val="20"/>
          <w:szCs w:val="20"/>
          <w:lang w:val="en-GB"/>
        </w:rPr>
      </w:pPr>
    </w:p>
    <w:p w14:paraId="2B788FAE" w14:textId="77777777" w:rsidR="008A27A9"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According to Scheme 7, the cyclocondensation of ethylenediamine with acetone produced isomeric macrocyclic compounds [40]. The isomeric macrocycles were formed when ethylenediamine reacted with methyl ethyl ketone, which was 2a and 2b. Further reactions of 1a and 1b with monoperchlorate salt of ethylenediamine and acetone produced the stable free ligand in addition to the perchlorate salt. Further studies were performed based on the insights of this study, which involved the synthesis of an 18- and 22-membered azamacrocyclic compound containing two azomethine and amine nitrogen atoms in the ring. The ability of </w:t>
      </w:r>
      <m:oMath>
        <m:r>
          <w:rPr>
            <w:rFonts w:ascii="Cambria Math" w:hAnsi="Cambria Math"/>
            <w:sz w:val="20"/>
            <w:szCs w:val="20"/>
            <w:lang w:val="en-GB"/>
          </w:rPr>
          <m:t>α,ω</m:t>
        </m:r>
      </m:oMath>
      <w:r w:rsidRPr="002E61AE">
        <w:rPr>
          <w:rFonts w:ascii="Times New Roman" w:hAnsi="Times New Roman"/>
          <w:bCs/>
          <w:sz w:val="20"/>
          <w:szCs w:val="20"/>
          <w:lang w:val="en-GB"/>
        </w:rPr>
        <w:t>-diamine to develop azamacrocyclic mixture depended on the length of the carbon chain since the 16-membered compound only</w:t>
      </w:r>
      <w:r w:rsidRPr="002E61AE" w:rsidDel="00F64F37">
        <w:rPr>
          <w:rFonts w:ascii="Times New Roman" w:hAnsi="Times New Roman"/>
          <w:bCs/>
          <w:sz w:val="20"/>
          <w:szCs w:val="20"/>
          <w:lang w:val="en-GB"/>
        </w:rPr>
        <w:t xml:space="preserve"> </w:t>
      </w:r>
      <w:r w:rsidRPr="002E61AE">
        <w:rPr>
          <w:rFonts w:ascii="Times New Roman" w:hAnsi="Times New Roman"/>
          <w:bCs/>
          <w:sz w:val="20"/>
          <w:szCs w:val="20"/>
          <w:lang w:val="en-GB"/>
        </w:rPr>
        <w:t xml:space="preserve">recorded a low yield of 25% [41]. In contrast, the reaction of 1,3-diaminopropane with acetone achieved a 100% yield. </w:t>
      </w:r>
    </w:p>
    <w:p w14:paraId="6E40E736" w14:textId="57AC43CA" w:rsidR="008A27A9" w:rsidRDefault="008A27A9" w:rsidP="002E61AE">
      <w:pPr>
        <w:spacing w:after="0"/>
        <w:jc w:val="both"/>
        <w:outlineLvl w:val="0"/>
        <w:rPr>
          <w:rFonts w:ascii="Times New Roman" w:hAnsi="Times New Roman"/>
          <w:bCs/>
          <w:sz w:val="20"/>
          <w:szCs w:val="20"/>
          <w:lang w:val="en-GB"/>
        </w:rPr>
        <w:sectPr w:rsidR="008A27A9" w:rsidSect="00A2489E">
          <w:footerReference w:type="even" r:id="rId32"/>
          <w:type w:val="continuous"/>
          <w:pgSz w:w="12240" w:h="15840" w:code="1"/>
          <w:pgMar w:top="1800" w:right="1469" w:bottom="1699" w:left="1440" w:header="706" w:footer="706" w:gutter="0"/>
          <w:pgNumType w:start="1"/>
          <w:cols w:num="2" w:space="403"/>
          <w:docGrid w:linePitch="360"/>
        </w:sectPr>
      </w:pPr>
    </w:p>
    <w:p w14:paraId="234E9EF9" w14:textId="5B3A7FAD" w:rsidR="002E61AE" w:rsidRDefault="002E61AE" w:rsidP="002E61AE">
      <w:pPr>
        <w:spacing w:after="0"/>
        <w:jc w:val="both"/>
        <w:outlineLvl w:val="0"/>
        <w:rPr>
          <w:rFonts w:ascii="Times New Roman" w:hAnsi="Times New Roman"/>
          <w:bCs/>
          <w:sz w:val="20"/>
          <w:szCs w:val="20"/>
          <w:lang w:val="en-GB"/>
        </w:rPr>
      </w:pPr>
    </w:p>
    <w:p w14:paraId="452B3C62" w14:textId="26B84C87" w:rsidR="002E61AE" w:rsidRDefault="002E61AE" w:rsidP="002E61AE">
      <w:pPr>
        <w:spacing w:after="0"/>
        <w:jc w:val="both"/>
        <w:outlineLvl w:val="0"/>
        <w:rPr>
          <w:rFonts w:ascii="Times New Roman" w:hAnsi="Times New Roman"/>
          <w:bCs/>
          <w:sz w:val="20"/>
          <w:szCs w:val="20"/>
          <w:lang w:val="en-GB"/>
        </w:rPr>
      </w:pPr>
    </w:p>
    <w:p w14:paraId="075C911E" w14:textId="77777777" w:rsidR="002E61AE" w:rsidRPr="002E61AE" w:rsidRDefault="002E61AE" w:rsidP="002E61AE">
      <w:pPr>
        <w:spacing w:after="0"/>
        <w:jc w:val="both"/>
        <w:outlineLvl w:val="0"/>
        <w:rPr>
          <w:rFonts w:ascii="Times New Roman" w:hAnsi="Times New Roman"/>
          <w:bCs/>
          <w:sz w:val="20"/>
          <w:szCs w:val="20"/>
          <w:lang w:val="en-GB"/>
        </w:rPr>
      </w:pPr>
    </w:p>
    <w:p w14:paraId="1A3581EA" w14:textId="77777777" w:rsidR="002E61AE" w:rsidRPr="002E61AE" w:rsidRDefault="002E61AE" w:rsidP="002E61AE">
      <w:pPr>
        <w:spacing w:after="120"/>
        <w:jc w:val="center"/>
        <w:outlineLvl w:val="0"/>
        <w:rPr>
          <w:rFonts w:ascii="Times New Roman" w:hAnsi="Times New Roman"/>
          <w:bCs/>
          <w:sz w:val="20"/>
          <w:szCs w:val="20"/>
          <w:lang w:val="en-GB"/>
        </w:rPr>
      </w:pPr>
      <w:r w:rsidRPr="002E61AE">
        <w:rPr>
          <w:rFonts w:ascii="Times New Roman" w:hAnsi="Times New Roman"/>
          <w:bCs/>
          <w:noProof/>
          <w:sz w:val="20"/>
          <w:szCs w:val="20"/>
          <w:lang w:val="en-MY" w:eastAsia="en-MY"/>
        </w:rPr>
        <w:drawing>
          <wp:inline distT="0" distB="0" distL="0" distR="0" wp14:anchorId="7EE9EC64" wp14:editId="6F1EAFC3">
            <wp:extent cx="3569818" cy="158759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00279" cy="1601140"/>
                    </a:xfrm>
                    <a:prstGeom prst="rect">
                      <a:avLst/>
                    </a:prstGeom>
                    <a:noFill/>
                    <a:ln>
                      <a:noFill/>
                    </a:ln>
                  </pic:spPr>
                </pic:pic>
              </a:graphicData>
            </a:graphic>
          </wp:inline>
        </w:drawing>
      </w:r>
    </w:p>
    <w:p w14:paraId="11C59E1D" w14:textId="724EDDE6" w:rsidR="002E61AE" w:rsidRPr="002E61AE" w:rsidRDefault="002E61AE" w:rsidP="002E61AE">
      <w:pPr>
        <w:spacing w:after="0"/>
        <w:jc w:val="center"/>
        <w:outlineLvl w:val="0"/>
        <w:rPr>
          <w:rFonts w:ascii="Times New Roman" w:hAnsi="Times New Roman"/>
          <w:sz w:val="20"/>
          <w:szCs w:val="20"/>
          <w:lang w:val="en-GB"/>
        </w:rPr>
      </w:pPr>
      <w:r w:rsidRPr="002E61AE">
        <w:rPr>
          <w:rFonts w:ascii="Times New Roman" w:hAnsi="Times New Roman"/>
          <w:sz w:val="20"/>
          <w:szCs w:val="20"/>
          <w:lang w:val="en-GB"/>
        </w:rPr>
        <w:t xml:space="preserve">Figure 5. </w:t>
      </w:r>
      <w:r>
        <w:rPr>
          <w:rFonts w:ascii="Times New Roman" w:hAnsi="Times New Roman"/>
          <w:sz w:val="20"/>
          <w:szCs w:val="20"/>
          <w:lang w:val="en-GB"/>
        </w:rPr>
        <w:t xml:space="preserve"> </w:t>
      </w:r>
      <w:r w:rsidRPr="002E61AE">
        <w:rPr>
          <w:rFonts w:ascii="Times New Roman" w:hAnsi="Times New Roman"/>
          <w:sz w:val="20"/>
          <w:szCs w:val="20"/>
          <w:lang w:val="en-GB"/>
        </w:rPr>
        <w:t>Proposed structures of the metal complexes, where M = Co(II), Cu(II) and M’ = Ni(II) [36]</w:t>
      </w:r>
    </w:p>
    <w:p w14:paraId="654F8989" w14:textId="56A3ACD3" w:rsidR="002E61AE" w:rsidRDefault="002E61AE" w:rsidP="002E61AE">
      <w:pPr>
        <w:spacing w:after="0"/>
        <w:jc w:val="both"/>
        <w:outlineLvl w:val="0"/>
        <w:rPr>
          <w:rFonts w:ascii="Times New Roman" w:hAnsi="Times New Roman"/>
          <w:sz w:val="20"/>
          <w:szCs w:val="20"/>
          <w:lang w:val="en-GB"/>
        </w:rPr>
      </w:pPr>
    </w:p>
    <w:p w14:paraId="602A069F" w14:textId="548C95E8" w:rsidR="002E61AE" w:rsidRDefault="002E61AE" w:rsidP="002E61AE">
      <w:pPr>
        <w:spacing w:after="0"/>
        <w:jc w:val="both"/>
        <w:outlineLvl w:val="0"/>
        <w:rPr>
          <w:rFonts w:ascii="Times New Roman" w:hAnsi="Times New Roman"/>
          <w:sz w:val="20"/>
          <w:szCs w:val="20"/>
          <w:lang w:val="en-GB"/>
        </w:rPr>
      </w:pPr>
    </w:p>
    <w:p w14:paraId="305FCCC2" w14:textId="663F0265" w:rsidR="008A27A9" w:rsidRDefault="008A27A9" w:rsidP="002E61AE">
      <w:pPr>
        <w:spacing w:after="0"/>
        <w:jc w:val="both"/>
        <w:outlineLvl w:val="0"/>
        <w:rPr>
          <w:rFonts w:ascii="Times New Roman" w:hAnsi="Times New Roman"/>
          <w:sz w:val="20"/>
          <w:szCs w:val="20"/>
          <w:lang w:val="en-GB"/>
        </w:rPr>
      </w:pPr>
    </w:p>
    <w:p w14:paraId="1A4BC751" w14:textId="682A341B" w:rsidR="008A27A9" w:rsidRDefault="008A27A9" w:rsidP="002E61AE">
      <w:pPr>
        <w:spacing w:after="0"/>
        <w:jc w:val="both"/>
        <w:outlineLvl w:val="0"/>
        <w:rPr>
          <w:rFonts w:ascii="Times New Roman" w:hAnsi="Times New Roman"/>
          <w:sz w:val="20"/>
          <w:szCs w:val="20"/>
          <w:lang w:val="en-GB"/>
        </w:rPr>
      </w:pPr>
    </w:p>
    <w:p w14:paraId="361DED2A" w14:textId="77777777" w:rsidR="008A27A9" w:rsidRDefault="008A27A9" w:rsidP="002E61AE">
      <w:pPr>
        <w:spacing w:after="0"/>
        <w:jc w:val="both"/>
        <w:outlineLvl w:val="0"/>
        <w:rPr>
          <w:rFonts w:ascii="Times New Roman" w:hAnsi="Times New Roman"/>
          <w:sz w:val="20"/>
          <w:szCs w:val="20"/>
          <w:lang w:val="en-GB"/>
        </w:rPr>
      </w:pPr>
    </w:p>
    <w:p w14:paraId="6ED8A357" w14:textId="77777777" w:rsidR="002E61AE" w:rsidRPr="002E61AE" w:rsidRDefault="002E61AE" w:rsidP="002E61AE">
      <w:pPr>
        <w:spacing w:after="0"/>
        <w:jc w:val="both"/>
        <w:outlineLvl w:val="0"/>
        <w:rPr>
          <w:rFonts w:ascii="Times New Roman" w:hAnsi="Times New Roman"/>
          <w:sz w:val="20"/>
          <w:szCs w:val="20"/>
          <w:lang w:val="en-GB"/>
        </w:rPr>
      </w:pPr>
    </w:p>
    <w:p w14:paraId="72269467" w14:textId="77777777" w:rsidR="002E61AE" w:rsidRPr="002E61AE" w:rsidRDefault="002E61AE" w:rsidP="002E61AE">
      <w:pPr>
        <w:spacing w:after="0"/>
        <w:jc w:val="both"/>
        <w:outlineLvl w:val="0"/>
        <w:rPr>
          <w:rFonts w:ascii="Times New Roman" w:hAnsi="Times New Roman"/>
          <w:bCs/>
          <w:sz w:val="20"/>
          <w:szCs w:val="20"/>
          <w:lang w:val="en-GB"/>
        </w:rPr>
      </w:pPr>
    </w:p>
    <w:p w14:paraId="4D183678" w14:textId="07FF4322" w:rsidR="002E61AE" w:rsidRPr="002E61AE" w:rsidRDefault="002E61AE" w:rsidP="002E61AE">
      <w:pPr>
        <w:spacing w:after="120"/>
        <w:jc w:val="center"/>
        <w:outlineLvl w:val="0"/>
        <w:rPr>
          <w:rFonts w:ascii="Times New Roman" w:hAnsi="Times New Roman"/>
          <w:sz w:val="20"/>
          <w:szCs w:val="20"/>
        </w:rPr>
      </w:pPr>
      <w:r w:rsidRPr="002E61AE">
        <w:rPr>
          <w:rFonts w:ascii="Times New Roman" w:hAnsi="Times New Roman"/>
          <w:sz w:val="20"/>
          <w:szCs w:val="20"/>
        </w:rPr>
        <w:lastRenderedPageBreak/>
        <w:t xml:space="preserve">Table 1. </w:t>
      </w:r>
      <w:r>
        <w:rPr>
          <w:rFonts w:ascii="Times New Roman" w:hAnsi="Times New Roman"/>
          <w:sz w:val="20"/>
          <w:szCs w:val="20"/>
        </w:rPr>
        <w:t xml:space="preserve"> </w:t>
      </w:r>
      <w:r w:rsidRPr="002E61AE">
        <w:rPr>
          <w:rFonts w:ascii="Times New Roman" w:hAnsi="Times New Roman"/>
          <w:sz w:val="20"/>
          <w:szCs w:val="20"/>
        </w:rPr>
        <w:t>Structural compounds of tetraaza macrocyclic ligand by non-template synthesis</w:t>
      </w:r>
    </w:p>
    <w:tbl>
      <w:tblPr>
        <w:tblStyle w:val="LightShading1"/>
        <w:tblW w:w="4966" w:type="pct"/>
        <w:tblLayout w:type="fixed"/>
        <w:tblLook w:val="04A0" w:firstRow="1" w:lastRow="0" w:firstColumn="1" w:lastColumn="0" w:noHBand="0" w:noVBand="1"/>
      </w:tblPr>
      <w:tblGrid>
        <w:gridCol w:w="2545"/>
        <w:gridCol w:w="3576"/>
        <w:gridCol w:w="1861"/>
        <w:gridCol w:w="1286"/>
      </w:tblGrid>
      <w:tr w:rsidR="002E61AE" w:rsidRPr="002E61AE" w14:paraId="70370B9F" w14:textId="77777777" w:rsidTr="00AE4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pct"/>
            <w:tcBorders>
              <w:bottom w:val="single" w:sz="4" w:space="0" w:color="auto"/>
            </w:tcBorders>
            <w:shd w:val="clear" w:color="auto" w:fill="auto"/>
          </w:tcPr>
          <w:p w14:paraId="34EE6798" w14:textId="77777777" w:rsidR="002E61AE" w:rsidRPr="002E61AE" w:rsidRDefault="002E61AE" w:rsidP="002E61AE">
            <w:pPr>
              <w:spacing w:after="0"/>
              <w:outlineLvl w:val="0"/>
              <w:rPr>
                <w:rFonts w:ascii="Times New Roman" w:hAnsi="Times New Roman" w:cs="Times New Roman"/>
                <w:color w:val="auto"/>
                <w:sz w:val="20"/>
                <w:szCs w:val="20"/>
              </w:rPr>
            </w:pPr>
            <w:r w:rsidRPr="002E61AE">
              <w:rPr>
                <w:rFonts w:ascii="Times New Roman" w:hAnsi="Times New Roman" w:cs="Times New Roman"/>
                <w:color w:val="auto"/>
                <w:sz w:val="20"/>
                <w:szCs w:val="20"/>
              </w:rPr>
              <w:t>Structural Compounds</w:t>
            </w:r>
          </w:p>
        </w:tc>
        <w:tc>
          <w:tcPr>
            <w:tcW w:w="1929" w:type="pct"/>
            <w:tcBorders>
              <w:bottom w:val="single" w:sz="4" w:space="0" w:color="auto"/>
            </w:tcBorders>
            <w:shd w:val="clear" w:color="auto" w:fill="auto"/>
          </w:tcPr>
          <w:p w14:paraId="39090F6E" w14:textId="77777777" w:rsidR="002E61AE" w:rsidRPr="002E61AE" w:rsidRDefault="002E61AE" w:rsidP="002E61AE">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Experiment Condition</w:t>
            </w:r>
          </w:p>
        </w:tc>
        <w:tc>
          <w:tcPr>
            <w:tcW w:w="1004" w:type="pct"/>
            <w:tcBorders>
              <w:bottom w:val="single" w:sz="4" w:space="0" w:color="auto"/>
            </w:tcBorders>
            <w:shd w:val="clear" w:color="auto" w:fill="auto"/>
          </w:tcPr>
          <w:p w14:paraId="2BA1C74E" w14:textId="2598C17B" w:rsidR="002E61AE" w:rsidRPr="002E61AE" w:rsidRDefault="002E61AE" w:rsidP="002E61AE">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2E61AE">
              <w:rPr>
                <w:rFonts w:ascii="Times New Roman" w:hAnsi="Times New Roman" w:cs="Times New Roman"/>
                <w:color w:val="auto"/>
                <w:sz w:val="20"/>
                <w:szCs w:val="20"/>
              </w:rPr>
              <w:t>Wavenumber</w:t>
            </w:r>
          </w:p>
          <w:p w14:paraId="7867B4BA" w14:textId="77777777" w:rsidR="002E61AE" w:rsidRPr="002E61AE" w:rsidRDefault="002E61AE" w:rsidP="002E61AE">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(cm</w:t>
            </w:r>
            <w:r w:rsidRPr="002E61AE">
              <w:rPr>
                <w:rFonts w:ascii="Times New Roman" w:hAnsi="Times New Roman" w:cs="Times New Roman"/>
                <w:color w:val="auto"/>
                <w:sz w:val="20"/>
                <w:szCs w:val="20"/>
                <w:vertAlign w:val="superscript"/>
              </w:rPr>
              <w:t>-1</w:t>
            </w:r>
            <w:r w:rsidRPr="002E61AE">
              <w:rPr>
                <w:rFonts w:ascii="Times New Roman" w:hAnsi="Times New Roman" w:cs="Times New Roman"/>
                <w:color w:val="auto"/>
                <w:sz w:val="20"/>
                <w:szCs w:val="20"/>
              </w:rPr>
              <w:t>)</w:t>
            </w:r>
          </w:p>
        </w:tc>
        <w:tc>
          <w:tcPr>
            <w:tcW w:w="694" w:type="pct"/>
            <w:tcBorders>
              <w:bottom w:val="single" w:sz="4" w:space="0" w:color="auto"/>
            </w:tcBorders>
            <w:shd w:val="clear" w:color="auto" w:fill="auto"/>
          </w:tcPr>
          <w:p w14:paraId="3D8D4905" w14:textId="77777777" w:rsidR="002E61AE" w:rsidRPr="002E61AE" w:rsidRDefault="002E61AE" w:rsidP="002E61AE">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References</w:t>
            </w:r>
          </w:p>
        </w:tc>
      </w:tr>
      <w:tr w:rsidR="002E61AE" w:rsidRPr="002E61AE" w14:paraId="5A1B1BA2" w14:textId="77777777" w:rsidTr="00AE4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pct"/>
            <w:tcBorders>
              <w:top w:val="single" w:sz="4" w:space="0" w:color="auto"/>
              <w:bottom w:val="nil"/>
            </w:tcBorders>
            <w:shd w:val="clear" w:color="auto" w:fill="auto"/>
          </w:tcPr>
          <w:p w14:paraId="0AC5C58E" w14:textId="77777777" w:rsidR="002E61AE" w:rsidRPr="002E61AE" w:rsidRDefault="002E61AE" w:rsidP="008A27A9">
            <w:pPr>
              <w:spacing w:before="120" w:after="0"/>
              <w:outlineLvl w:val="0"/>
              <w:rPr>
                <w:rFonts w:ascii="Times New Roman" w:hAnsi="Times New Roman" w:cs="Times New Roman"/>
                <w:color w:val="auto"/>
                <w:sz w:val="20"/>
                <w:szCs w:val="20"/>
              </w:rPr>
            </w:pPr>
            <w:r w:rsidRPr="002E61AE">
              <w:rPr>
                <w:rFonts w:ascii="Times New Roman" w:hAnsi="Times New Roman"/>
                <w:noProof/>
                <w:sz w:val="20"/>
                <w:szCs w:val="20"/>
                <w:lang w:val="en-MY" w:eastAsia="en-MY"/>
              </w:rPr>
              <w:drawing>
                <wp:inline distT="0" distB="0" distL="0" distR="0" wp14:anchorId="0749BA5D" wp14:editId="327F3244">
                  <wp:extent cx="962025" cy="12284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9922" cy="1251284"/>
                          </a:xfrm>
                          <a:prstGeom prst="rect">
                            <a:avLst/>
                          </a:prstGeom>
                          <a:noFill/>
                          <a:ln>
                            <a:noFill/>
                          </a:ln>
                        </pic:spPr>
                      </pic:pic>
                    </a:graphicData>
                  </a:graphic>
                </wp:inline>
              </w:drawing>
            </w:r>
          </w:p>
        </w:tc>
        <w:tc>
          <w:tcPr>
            <w:tcW w:w="1929" w:type="pct"/>
            <w:tcBorders>
              <w:top w:val="single" w:sz="4" w:space="0" w:color="auto"/>
              <w:bottom w:val="nil"/>
            </w:tcBorders>
            <w:shd w:val="clear" w:color="auto" w:fill="auto"/>
          </w:tcPr>
          <w:p w14:paraId="6038968D" w14:textId="77777777" w:rsidR="002E61AE" w:rsidRPr="002E61AE" w:rsidRDefault="002E61AE" w:rsidP="008A27A9">
            <w:pPr>
              <w:spacing w:before="12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 xml:space="preserve">Hot ethanolic solution of 2,3-hexanedione and hot ethanolic solution of </w:t>
            </w:r>
            <w:r w:rsidRPr="002E61AE">
              <w:rPr>
                <w:rFonts w:ascii="Times New Roman" w:hAnsi="Times New Roman" w:cs="Times New Roman"/>
                <w:i/>
                <w:iCs/>
                <w:color w:val="auto"/>
                <w:sz w:val="20"/>
                <w:szCs w:val="20"/>
              </w:rPr>
              <w:t>m</w:t>
            </w:r>
            <w:r w:rsidRPr="002E61AE">
              <w:rPr>
                <w:rFonts w:ascii="Times New Roman" w:hAnsi="Times New Roman" w:cs="Times New Roman"/>
                <w:color w:val="auto"/>
                <w:sz w:val="20"/>
                <w:szCs w:val="20"/>
              </w:rPr>
              <w:t>-phenylenediamine were mixed at 75</w:t>
            </w:r>
            <w:r w:rsidRPr="002E61AE">
              <w:rPr>
                <w:rFonts w:ascii="Times New Roman" w:hAnsi="Times New Roman" w:cs="Times New Roman"/>
                <w:color w:val="auto"/>
                <w:sz w:val="20"/>
                <w:szCs w:val="20"/>
                <w:vertAlign w:val="superscript"/>
              </w:rPr>
              <w:t>o</w:t>
            </w:r>
            <w:r w:rsidRPr="002E61AE">
              <w:rPr>
                <w:rFonts w:ascii="Times New Roman" w:hAnsi="Times New Roman" w:cs="Times New Roman"/>
                <w:color w:val="auto"/>
                <w:sz w:val="20"/>
                <w:szCs w:val="20"/>
              </w:rPr>
              <w:t>C for 9 hr in the presence of few drops of concentrated hydrochloric acid (pH~3)</w:t>
            </w:r>
          </w:p>
        </w:tc>
        <w:tc>
          <w:tcPr>
            <w:tcW w:w="1004" w:type="pct"/>
            <w:tcBorders>
              <w:top w:val="single" w:sz="4" w:space="0" w:color="auto"/>
              <w:bottom w:val="nil"/>
            </w:tcBorders>
            <w:shd w:val="clear" w:color="auto" w:fill="auto"/>
          </w:tcPr>
          <w:p w14:paraId="75F48160" w14:textId="7043570F" w:rsidR="002E61AE" w:rsidRPr="002E61AE" w:rsidRDefault="002E61AE" w:rsidP="008A27A9">
            <w:pPr>
              <w:spacing w:before="12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1618</w:t>
            </w:r>
          </w:p>
          <w:p w14:paraId="40143E21" w14:textId="626FD04F" w:rsidR="002E61AE" w:rsidRPr="002E61AE" w:rsidRDefault="002E61AE" w:rsidP="002E61AE">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730-768</w:t>
            </w:r>
          </w:p>
          <w:p w14:paraId="63A0545F" w14:textId="76975C42" w:rsidR="002E61AE" w:rsidRPr="002E61AE" w:rsidRDefault="002E61AE" w:rsidP="002E61AE">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1441-1590</w:t>
            </w:r>
          </w:p>
        </w:tc>
        <w:tc>
          <w:tcPr>
            <w:tcW w:w="694" w:type="pct"/>
            <w:tcBorders>
              <w:top w:val="single" w:sz="4" w:space="0" w:color="auto"/>
              <w:bottom w:val="nil"/>
            </w:tcBorders>
            <w:shd w:val="clear" w:color="auto" w:fill="auto"/>
          </w:tcPr>
          <w:p w14:paraId="18D1BF4B" w14:textId="77777777" w:rsidR="002E61AE" w:rsidRPr="002E61AE" w:rsidRDefault="002E61AE" w:rsidP="002E61AE">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14:paraId="41A4609C" w14:textId="77777777" w:rsidR="002E61AE" w:rsidRPr="002E61AE" w:rsidRDefault="002E61AE" w:rsidP="008A27A9">
            <w:pPr>
              <w:spacing w:before="12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[3]</w:t>
            </w:r>
          </w:p>
        </w:tc>
      </w:tr>
      <w:tr w:rsidR="002E61AE" w:rsidRPr="002E61AE" w14:paraId="1A4FBCC8" w14:textId="77777777" w:rsidTr="00AE4DC0">
        <w:tc>
          <w:tcPr>
            <w:cnfStyle w:val="001000000000" w:firstRow="0" w:lastRow="0" w:firstColumn="1" w:lastColumn="0" w:oddVBand="0" w:evenVBand="0" w:oddHBand="0" w:evenHBand="0" w:firstRowFirstColumn="0" w:firstRowLastColumn="0" w:lastRowFirstColumn="0" w:lastRowLastColumn="0"/>
            <w:tcW w:w="1373" w:type="pct"/>
            <w:tcBorders>
              <w:top w:val="nil"/>
              <w:left w:val="nil"/>
              <w:bottom w:val="nil"/>
              <w:right w:val="nil"/>
            </w:tcBorders>
            <w:shd w:val="clear" w:color="auto" w:fill="auto"/>
          </w:tcPr>
          <w:p w14:paraId="5D000352" w14:textId="77777777" w:rsidR="002E61AE" w:rsidRPr="002E61AE" w:rsidRDefault="002E61AE" w:rsidP="008A27A9">
            <w:pPr>
              <w:spacing w:before="60" w:after="0"/>
              <w:outlineLvl w:val="0"/>
              <w:rPr>
                <w:rFonts w:ascii="Times New Roman" w:hAnsi="Times New Roman" w:cs="Times New Roman"/>
                <w:color w:val="auto"/>
                <w:sz w:val="20"/>
                <w:szCs w:val="20"/>
              </w:rPr>
            </w:pPr>
            <w:r w:rsidRPr="002E61AE">
              <w:rPr>
                <w:rFonts w:ascii="Times New Roman" w:hAnsi="Times New Roman"/>
                <w:noProof/>
                <w:sz w:val="20"/>
                <w:szCs w:val="20"/>
                <w:lang w:val="en-MY" w:eastAsia="en-MY"/>
              </w:rPr>
              <w:drawing>
                <wp:inline distT="0" distB="0" distL="0" distR="0" wp14:anchorId="54B8222F" wp14:editId="370449DB">
                  <wp:extent cx="1460500" cy="9010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60500" cy="901065"/>
                          </a:xfrm>
                          <a:prstGeom prst="rect">
                            <a:avLst/>
                          </a:prstGeom>
                          <a:noFill/>
                          <a:ln>
                            <a:noFill/>
                          </a:ln>
                        </pic:spPr>
                      </pic:pic>
                    </a:graphicData>
                  </a:graphic>
                </wp:inline>
              </w:drawing>
            </w:r>
          </w:p>
        </w:tc>
        <w:tc>
          <w:tcPr>
            <w:tcW w:w="1929" w:type="pct"/>
            <w:tcBorders>
              <w:top w:val="nil"/>
              <w:left w:val="nil"/>
              <w:bottom w:val="nil"/>
              <w:right w:val="nil"/>
            </w:tcBorders>
            <w:shd w:val="clear" w:color="auto" w:fill="auto"/>
          </w:tcPr>
          <w:p w14:paraId="648C4916" w14:textId="77777777" w:rsidR="002E61AE" w:rsidRPr="002E61AE" w:rsidRDefault="002E61AE" w:rsidP="008A27A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 xml:space="preserve">Hot ethanolic solution of benzil and hot ethanolic solution of ethylene diamine were mixed at 75 </w:t>
            </w:r>
            <w:r w:rsidRPr="002E61AE">
              <w:rPr>
                <w:rFonts w:ascii="Times New Roman" w:hAnsi="Times New Roman" w:cs="Times New Roman"/>
                <w:color w:val="auto"/>
                <w:sz w:val="20"/>
                <w:szCs w:val="20"/>
                <w:vertAlign w:val="superscript"/>
              </w:rPr>
              <w:t>o</w:t>
            </w:r>
            <w:r w:rsidRPr="002E61AE">
              <w:rPr>
                <w:rFonts w:ascii="Times New Roman" w:hAnsi="Times New Roman" w:cs="Times New Roman"/>
                <w:color w:val="auto"/>
                <w:sz w:val="20"/>
                <w:szCs w:val="20"/>
              </w:rPr>
              <w:t>C for 8 hr in the presence of few drops of concentrated hydrochloric acid (pH~3)</w:t>
            </w:r>
          </w:p>
        </w:tc>
        <w:tc>
          <w:tcPr>
            <w:tcW w:w="1004" w:type="pct"/>
            <w:tcBorders>
              <w:top w:val="nil"/>
              <w:left w:val="nil"/>
              <w:bottom w:val="nil"/>
              <w:right w:val="nil"/>
            </w:tcBorders>
            <w:shd w:val="clear" w:color="auto" w:fill="auto"/>
          </w:tcPr>
          <w:p w14:paraId="74DCCB33" w14:textId="77777777" w:rsidR="002E61AE" w:rsidRPr="002E61AE" w:rsidRDefault="002E61AE" w:rsidP="002E61AE">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556C472E" w14:textId="27BB4FF5" w:rsidR="002E61AE" w:rsidRPr="002E61AE" w:rsidRDefault="002E61AE" w:rsidP="008A27A9">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1650-1660</w:t>
            </w:r>
          </w:p>
        </w:tc>
        <w:tc>
          <w:tcPr>
            <w:tcW w:w="694" w:type="pct"/>
            <w:tcBorders>
              <w:top w:val="nil"/>
              <w:left w:val="nil"/>
              <w:bottom w:val="nil"/>
              <w:right w:val="nil"/>
            </w:tcBorders>
            <w:shd w:val="clear" w:color="auto" w:fill="auto"/>
          </w:tcPr>
          <w:p w14:paraId="35F3A008"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5E4F1118" w14:textId="77777777" w:rsidR="002E61AE" w:rsidRPr="002E61AE" w:rsidRDefault="002E61AE" w:rsidP="008A27A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[45]</w:t>
            </w:r>
          </w:p>
        </w:tc>
      </w:tr>
      <w:tr w:rsidR="002E61AE" w:rsidRPr="002E61AE" w14:paraId="4654F7AB" w14:textId="77777777" w:rsidTr="00AE4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pct"/>
            <w:tcBorders>
              <w:top w:val="nil"/>
              <w:bottom w:val="nil"/>
            </w:tcBorders>
            <w:shd w:val="clear" w:color="auto" w:fill="auto"/>
          </w:tcPr>
          <w:p w14:paraId="000A1030" w14:textId="77777777" w:rsidR="002E61AE" w:rsidRPr="002E61AE" w:rsidRDefault="002E61AE" w:rsidP="008A27A9">
            <w:pPr>
              <w:spacing w:before="60" w:after="0"/>
              <w:outlineLvl w:val="0"/>
              <w:rPr>
                <w:rFonts w:ascii="Times New Roman" w:hAnsi="Times New Roman" w:cs="Times New Roman"/>
                <w:color w:val="auto"/>
                <w:sz w:val="20"/>
                <w:szCs w:val="20"/>
              </w:rPr>
            </w:pPr>
            <w:r w:rsidRPr="002E61AE">
              <w:rPr>
                <w:rFonts w:ascii="Times New Roman" w:hAnsi="Times New Roman"/>
                <w:noProof/>
                <w:sz w:val="20"/>
                <w:szCs w:val="20"/>
                <w:lang w:val="en-MY" w:eastAsia="en-MY"/>
              </w:rPr>
              <w:drawing>
                <wp:inline distT="0" distB="0" distL="0" distR="0" wp14:anchorId="3A9215CC" wp14:editId="115B18A4">
                  <wp:extent cx="1479387" cy="1123950"/>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83689" cy="1127219"/>
                          </a:xfrm>
                          <a:prstGeom prst="rect">
                            <a:avLst/>
                          </a:prstGeom>
                          <a:noFill/>
                          <a:ln>
                            <a:noFill/>
                          </a:ln>
                        </pic:spPr>
                      </pic:pic>
                    </a:graphicData>
                  </a:graphic>
                </wp:inline>
              </w:drawing>
            </w:r>
          </w:p>
        </w:tc>
        <w:tc>
          <w:tcPr>
            <w:tcW w:w="1929" w:type="pct"/>
            <w:tcBorders>
              <w:top w:val="nil"/>
              <w:bottom w:val="nil"/>
            </w:tcBorders>
            <w:shd w:val="clear" w:color="auto" w:fill="auto"/>
          </w:tcPr>
          <w:p w14:paraId="1D1BB883" w14:textId="77777777" w:rsidR="002E61AE" w:rsidRPr="002E61AE" w:rsidRDefault="002E61AE" w:rsidP="008A27A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 xml:space="preserve">Hot ethanolic solution of benzoylacetone and hot ethanolic solution of </w:t>
            </w:r>
            <w:r w:rsidRPr="002E61AE">
              <w:rPr>
                <w:rFonts w:ascii="Times New Roman" w:hAnsi="Times New Roman" w:cs="Times New Roman"/>
                <w:i/>
                <w:iCs/>
                <w:color w:val="auto"/>
                <w:sz w:val="20"/>
                <w:szCs w:val="20"/>
              </w:rPr>
              <w:t>o</w:t>
            </w:r>
            <w:r w:rsidRPr="002E61AE">
              <w:rPr>
                <w:rFonts w:ascii="Times New Roman" w:hAnsi="Times New Roman" w:cs="Times New Roman"/>
                <w:color w:val="auto"/>
                <w:sz w:val="20"/>
                <w:szCs w:val="20"/>
              </w:rPr>
              <w:t xml:space="preserve">-phenylenediamine were mixed at 85 </w:t>
            </w:r>
            <w:r w:rsidRPr="002E61AE">
              <w:rPr>
                <w:rFonts w:ascii="Times New Roman" w:hAnsi="Times New Roman" w:cs="Times New Roman"/>
                <w:color w:val="auto"/>
                <w:sz w:val="20"/>
                <w:szCs w:val="20"/>
                <w:vertAlign w:val="superscript"/>
              </w:rPr>
              <w:t>o</w:t>
            </w:r>
            <w:r w:rsidRPr="002E61AE">
              <w:rPr>
                <w:rFonts w:ascii="Times New Roman" w:hAnsi="Times New Roman" w:cs="Times New Roman"/>
                <w:color w:val="auto"/>
                <w:sz w:val="20"/>
                <w:szCs w:val="20"/>
              </w:rPr>
              <w:t>C for 15 hr in the presence of few drops of concentrated hydrochloric acid (pH~3)</w:t>
            </w:r>
          </w:p>
        </w:tc>
        <w:tc>
          <w:tcPr>
            <w:tcW w:w="1004" w:type="pct"/>
            <w:tcBorders>
              <w:top w:val="nil"/>
              <w:bottom w:val="nil"/>
            </w:tcBorders>
            <w:shd w:val="clear" w:color="auto" w:fill="auto"/>
          </w:tcPr>
          <w:p w14:paraId="4B824079" w14:textId="57F726C5" w:rsidR="002E61AE" w:rsidRPr="002E61AE" w:rsidRDefault="002E61AE" w:rsidP="008A27A9">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1594</w:t>
            </w:r>
          </w:p>
          <w:p w14:paraId="5EF042FD" w14:textId="277ECBE4" w:rsidR="002E61AE" w:rsidRPr="002E61AE" w:rsidRDefault="002E61AE" w:rsidP="002E61AE">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1566</w:t>
            </w:r>
          </w:p>
          <w:p w14:paraId="4246C65E" w14:textId="77777777" w:rsidR="002E61AE" w:rsidRPr="002E61AE" w:rsidRDefault="002E61AE" w:rsidP="002E61AE">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694" w:type="pct"/>
            <w:tcBorders>
              <w:top w:val="nil"/>
              <w:bottom w:val="nil"/>
            </w:tcBorders>
            <w:shd w:val="clear" w:color="auto" w:fill="auto"/>
          </w:tcPr>
          <w:p w14:paraId="3034D18D" w14:textId="77777777" w:rsidR="002E61AE" w:rsidRPr="002E61AE" w:rsidRDefault="002E61AE" w:rsidP="002E61AE">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14:paraId="7557DA0C" w14:textId="77777777" w:rsidR="002E61AE" w:rsidRPr="002E61AE" w:rsidRDefault="002E61AE" w:rsidP="008A27A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[36]</w:t>
            </w:r>
          </w:p>
        </w:tc>
      </w:tr>
      <w:tr w:rsidR="002E61AE" w:rsidRPr="002E61AE" w14:paraId="05D98241" w14:textId="77777777" w:rsidTr="00AE4DC0">
        <w:tc>
          <w:tcPr>
            <w:cnfStyle w:val="001000000000" w:firstRow="0" w:lastRow="0" w:firstColumn="1" w:lastColumn="0" w:oddVBand="0" w:evenVBand="0" w:oddHBand="0" w:evenHBand="0" w:firstRowFirstColumn="0" w:firstRowLastColumn="0" w:lastRowFirstColumn="0" w:lastRowLastColumn="0"/>
            <w:tcW w:w="1373" w:type="pct"/>
            <w:tcBorders>
              <w:top w:val="nil"/>
              <w:left w:val="nil"/>
              <w:bottom w:val="single" w:sz="4" w:space="0" w:color="auto"/>
              <w:right w:val="nil"/>
            </w:tcBorders>
            <w:shd w:val="clear" w:color="auto" w:fill="auto"/>
          </w:tcPr>
          <w:p w14:paraId="44AE37F5" w14:textId="77777777" w:rsidR="002E61AE" w:rsidRPr="002E61AE" w:rsidRDefault="002E61AE" w:rsidP="002E61AE">
            <w:pPr>
              <w:spacing w:after="0"/>
              <w:outlineLvl w:val="0"/>
              <w:rPr>
                <w:rFonts w:ascii="Times New Roman" w:hAnsi="Times New Roman" w:cs="Times New Roman"/>
                <w:bCs w:val="0"/>
                <w:noProof/>
                <w:color w:val="auto"/>
                <w:sz w:val="20"/>
                <w:szCs w:val="20"/>
                <w:lang w:val="en-MY" w:eastAsia="en-MY"/>
              </w:rPr>
            </w:pPr>
            <w:r w:rsidRPr="002E61AE">
              <w:rPr>
                <w:rFonts w:ascii="Times New Roman" w:hAnsi="Times New Roman"/>
                <w:noProof/>
                <w:sz w:val="20"/>
                <w:szCs w:val="20"/>
                <w:lang w:val="en-MY" w:eastAsia="en-MY"/>
              </w:rPr>
              <w:drawing>
                <wp:inline distT="0" distB="0" distL="0" distR="0" wp14:anchorId="6ECD03C6" wp14:editId="4A16A59C">
                  <wp:extent cx="1485900" cy="101819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7">
                            <a:extLst>
                              <a:ext uri="{28A0092B-C50C-407E-A947-70E740481C1C}">
                                <a14:useLocalDpi xmlns:a14="http://schemas.microsoft.com/office/drawing/2010/main" val="0"/>
                              </a:ext>
                            </a:extLst>
                          </a:blip>
                          <a:srcRect r="44326"/>
                          <a:stretch/>
                        </pic:blipFill>
                        <pic:spPr bwMode="auto">
                          <a:xfrm>
                            <a:off x="0" y="0"/>
                            <a:ext cx="1500597" cy="1028264"/>
                          </a:xfrm>
                          <a:prstGeom prst="rect">
                            <a:avLst/>
                          </a:prstGeom>
                          <a:noFill/>
                          <a:ln>
                            <a:noFill/>
                          </a:ln>
                          <a:extLst>
                            <a:ext uri="{53640926-AAD7-44D8-BBD7-CCE9431645EC}">
                              <a14:shadowObscured xmlns:a14="http://schemas.microsoft.com/office/drawing/2010/main"/>
                            </a:ext>
                          </a:extLst>
                        </pic:spPr>
                      </pic:pic>
                    </a:graphicData>
                  </a:graphic>
                </wp:inline>
              </w:drawing>
            </w:r>
          </w:p>
          <w:p w14:paraId="6AA58DDD" w14:textId="77777777" w:rsidR="002E61AE" w:rsidRPr="002E61AE" w:rsidRDefault="002E61AE" w:rsidP="002E61AE">
            <w:pPr>
              <w:spacing w:after="0"/>
              <w:outlineLvl w:val="0"/>
              <w:rPr>
                <w:rFonts w:ascii="Times New Roman" w:hAnsi="Times New Roman" w:cs="Times New Roman"/>
                <w:bCs w:val="0"/>
                <w:noProof/>
                <w:color w:val="auto"/>
                <w:sz w:val="20"/>
                <w:szCs w:val="20"/>
                <w:lang w:val="en-MY" w:eastAsia="en-MY"/>
              </w:rPr>
            </w:pPr>
            <w:r w:rsidRPr="002E61AE">
              <w:rPr>
                <w:rFonts w:ascii="Times New Roman" w:hAnsi="Times New Roman"/>
                <w:noProof/>
                <w:sz w:val="20"/>
                <w:szCs w:val="20"/>
                <w:lang w:val="en-MY" w:eastAsia="en-MY"/>
              </w:rPr>
              <w:drawing>
                <wp:inline distT="0" distB="0" distL="0" distR="0" wp14:anchorId="61DC340D" wp14:editId="57C5C384">
                  <wp:extent cx="1133475" cy="9840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7">
                            <a:extLst>
                              <a:ext uri="{28A0092B-C50C-407E-A947-70E740481C1C}">
                                <a14:useLocalDpi xmlns:a14="http://schemas.microsoft.com/office/drawing/2010/main" val="0"/>
                              </a:ext>
                            </a:extLst>
                          </a:blip>
                          <a:srcRect l="59366"/>
                          <a:stretch/>
                        </pic:blipFill>
                        <pic:spPr bwMode="auto">
                          <a:xfrm>
                            <a:off x="0" y="0"/>
                            <a:ext cx="1137274" cy="9873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29" w:type="pct"/>
            <w:tcBorders>
              <w:top w:val="nil"/>
              <w:left w:val="nil"/>
              <w:bottom w:val="single" w:sz="4" w:space="0" w:color="auto"/>
              <w:right w:val="nil"/>
            </w:tcBorders>
            <w:shd w:val="clear" w:color="auto" w:fill="auto"/>
          </w:tcPr>
          <w:p w14:paraId="6C404BA5"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MY"/>
              </w:rPr>
            </w:pPr>
          </w:p>
          <w:p w14:paraId="79A2FC83"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MY"/>
              </w:rPr>
            </w:pPr>
            <w:r w:rsidRPr="002E61AE">
              <w:rPr>
                <w:rFonts w:ascii="Times New Roman" w:hAnsi="Times New Roman" w:cs="Times New Roman"/>
                <w:color w:val="auto"/>
                <w:sz w:val="20"/>
                <w:szCs w:val="20"/>
                <w:lang w:val="en-MY"/>
              </w:rPr>
              <w:t xml:space="preserve">Diethyl malonate in methanol was mixed with three different amino groups: 1,2-Bis{(2-aminobenzoyl)amino}propane,2-amino-N-[3-(2-aminobenzoilamino)propil] benzamide, 1,4-Bis{(2-aminobenzoil)amino}butane respectively at 60-70 </w:t>
            </w:r>
            <w:r w:rsidRPr="002E61AE">
              <w:rPr>
                <w:rFonts w:ascii="Times New Roman" w:hAnsi="Times New Roman" w:cs="Times New Roman"/>
                <w:color w:val="auto"/>
                <w:sz w:val="20"/>
                <w:szCs w:val="20"/>
                <w:vertAlign w:val="superscript"/>
                <w:lang w:val="en-MY"/>
              </w:rPr>
              <w:t>o</w:t>
            </w:r>
            <w:r w:rsidRPr="002E61AE">
              <w:rPr>
                <w:rFonts w:ascii="Times New Roman" w:hAnsi="Times New Roman" w:cs="Times New Roman"/>
                <w:color w:val="auto"/>
                <w:sz w:val="20"/>
                <w:szCs w:val="20"/>
                <w:lang w:val="en-MY"/>
              </w:rPr>
              <w:t>C for 4-5 hr</w:t>
            </w:r>
          </w:p>
          <w:p w14:paraId="7CBE2C4A"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1004" w:type="pct"/>
            <w:tcBorders>
              <w:top w:val="nil"/>
              <w:left w:val="nil"/>
              <w:bottom w:val="single" w:sz="4" w:space="0" w:color="auto"/>
              <w:right w:val="nil"/>
            </w:tcBorders>
            <w:shd w:val="clear" w:color="auto" w:fill="auto"/>
          </w:tcPr>
          <w:p w14:paraId="26B61915" w14:textId="4660C025" w:rsidR="002E61AE" w:rsidRPr="002E61AE" w:rsidRDefault="002E61AE" w:rsidP="008A27A9">
            <w:pPr>
              <w:spacing w:before="24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3468-3480</w:t>
            </w:r>
          </w:p>
          <w:p w14:paraId="32ECFA65" w14:textId="08B82EE0" w:rsidR="002E61AE" w:rsidRPr="002E61AE" w:rsidRDefault="002E61AE" w:rsidP="002E61AE">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3292-3053</w:t>
            </w:r>
          </w:p>
          <w:p w14:paraId="484EBE45" w14:textId="1CEAFC47" w:rsidR="002E61AE" w:rsidRPr="002E61AE" w:rsidRDefault="002E61AE" w:rsidP="002E61AE">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1603-1626</w:t>
            </w:r>
          </w:p>
          <w:p w14:paraId="0FE64525" w14:textId="7DDCEC68" w:rsidR="002E61AE" w:rsidRPr="002E61AE" w:rsidRDefault="002E61AE" w:rsidP="002E61AE">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1532-1579</w:t>
            </w:r>
          </w:p>
          <w:p w14:paraId="0FF75B62" w14:textId="1F664FF6" w:rsidR="002E61AE" w:rsidRPr="002E61AE" w:rsidRDefault="002E61AE" w:rsidP="002E61AE">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1433-1489</w:t>
            </w:r>
          </w:p>
        </w:tc>
        <w:tc>
          <w:tcPr>
            <w:tcW w:w="694" w:type="pct"/>
            <w:tcBorders>
              <w:top w:val="nil"/>
              <w:left w:val="nil"/>
              <w:bottom w:val="single" w:sz="4" w:space="0" w:color="auto"/>
              <w:right w:val="nil"/>
            </w:tcBorders>
            <w:shd w:val="clear" w:color="auto" w:fill="auto"/>
          </w:tcPr>
          <w:p w14:paraId="1F798842"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146D14A9"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37BE5237" w14:textId="77777777" w:rsidR="002E61AE" w:rsidRPr="002E61AE" w:rsidRDefault="002E61AE" w:rsidP="008A27A9">
            <w:pPr>
              <w:spacing w:before="12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[38]</w:t>
            </w:r>
          </w:p>
          <w:p w14:paraId="1B64D203"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bl>
    <w:p w14:paraId="04669DD5" w14:textId="331665B6" w:rsidR="002E61AE" w:rsidRDefault="002E61AE" w:rsidP="002E61AE">
      <w:pPr>
        <w:spacing w:after="0"/>
        <w:jc w:val="both"/>
        <w:outlineLvl w:val="0"/>
        <w:rPr>
          <w:rFonts w:ascii="Times New Roman" w:hAnsi="Times New Roman"/>
          <w:bCs/>
          <w:sz w:val="20"/>
          <w:szCs w:val="20"/>
          <w:lang w:val="en-GB"/>
        </w:rPr>
      </w:pPr>
    </w:p>
    <w:p w14:paraId="7D48CCAF" w14:textId="6CE1400B" w:rsidR="002E61AE" w:rsidRDefault="002E61AE" w:rsidP="002E61AE">
      <w:pPr>
        <w:spacing w:after="0"/>
        <w:jc w:val="both"/>
        <w:outlineLvl w:val="0"/>
        <w:rPr>
          <w:rFonts w:ascii="Times New Roman" w:hAnsi="Times New Roman"/>
          <w:bCs/>
          <w:sz w:val="20"/>
          <w:szCs w:val="20"/>
          <w:lang w:val="en-GB"/>
        </w:rPr>
      </w:pPr>
    </w:p>
    <w:p w14:paraId="1862EA8C" w14:textId="77777777" w:rsidR="002E61AE" w:rsidRPr="002E61AE" w:rsidRDefault="002E61AE" w:rsidP="002E61AE">
      <w:pPr>
        <w:spacing w:after="0"/>
        <w:jc w:val="both"/>
        <w:outlineLvl w:val="0"/>
        <w:rPr>
          <w:rFonts w:ascii="Times New Roman" w:hAnsi="Times New Roman"/>
          <w:bCs/>
          <w:sz w:val="20"/>
          <w:szCs w:val="20"/>
          <w:lang w:val="en-GB"/>
        </w:rPr>
      </w:pPr>
    </w:p>
    <w:p w14:paraId="713AA648" w14:textId="77777777" w:rsidR="002E61AE" w:rsidRPr="002E61AE" w:rsidRDefault="002E61AE" w:rsidP="002E61AE">
      <w:pPr>
        <w:spacing w:after="0"/>
        <w:jc w:val="both"/>
        <w:outlineLvl w:val="0"/>
        <w:rPr>
          <w:rFonts w:ascii="Times New Roman" w:hAnsi="Times New Roman"/>
          <w:bCs/>
          <w:sz w:val="20"/>
          <w:szCs w:val="20"/>
          <w:lang w:val="en-GB"/>
        </w:rPr>
      </w:pPr>
    </w:p>
    <w:p w14:paraId="720A1728" w14:textId="77777777" w:rsidR="002E61AE" w:rsidRPr="002E61AE" w:rsidRDefault="002E61AE" w:rsidP="002E61AE">
      <w:pPr>
        <w:spacing w:after="120"/>
        <w:jc w:val="center"/>
        <w:outlineLvl w:val="0"/>
        <w:rPr>
          <w:rFonts w:ascii="Times New Roman" w:hAnsi="Times New Roman"/>
          <w:bCs/>
          <w:sz w:val="20"/>
          <w:szCs w:val="20"/>
          <w:lang w:val="en-GB"/>
        </w:rPr>
      </w:pPr>
      <w:r w:rsidRPr="002E61AE">
        <w:rPr>
          <w:rFonts w:ascii="Times New Roman" w:hAnsi="Times New Roman"/>
          <w:bCs/>
          <w:noProof/>
          <w:sz w:val="20"/>
          <w:szCs w:val="20"/>
          <w:lang w:val="en-MY" w:eastAsia="en-MY"/>
        </w:rPr>
        <w:lastRenderedPageBreak/>
        <w:drawing>
          <wp:inline distT="0" distB="0" distL="0" distR="0" wp14:anchorId="58EA9544" wp14:editId="3A6D2446">
            <wp:extent cx="5020574" cy="22110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36764" cy="2218163"/>
                    </a:xfrm>
                    <a:prstGeom prst="rect">
                      <a:avLst/>
                    </a:prstGeom>
                    <a:noFill/>
                    <a:ln>
                      <a:noFill/>
                    </a:ln>
                  </pic:spPr>
                </pic:pic>
              </a:graphicData>
            </a:graphic>
          </wp:inline>
        </w:drawing>
      </w:r>
    </w:p>
    <w:p w14:paraId="0827553E" w14:textId="25CCBCC6" w:rsidR="002E61AE" w:rsidRPr="002E61AE" w:rsidRDefault="002E61AE" w:rsidP="002E61AE">
      <w:pPr>
        <w:spacing w:after="0"/>
        <w:jc w:val="center"/>
        <w:outlineLvl w:val="0"/>
        <w:rPr>
          <w:rFonts w:ascii="Times New Roman" w:hAnsi="Times New Roman"/>
          <w:bCs/>
          <w:sz w:val="20"/>
          <w:szCs w:val="20"/>
          <w:lang w:val="en-GB"/>
        </w:rPr>
      </w:pPr>
      <w:r w:rsidRPr="002E61AE">
        <w:rPr>
          <w:rFonts w:ascii="Times New Roman" w:hAnsi="Times New Roman"/>
          <w:sz w:val="20"/>
          <w:szCs w:val="20"/>
          <w:lang w:val="en-GB"/>
        </w:rPr>
        <w:t xml:space="preserve">Scheme 6. </w:t>
      </w:r>
      <w:r>
        <w:rPr>
          <w:rFonts w:ascii="Times New Roman" w:hAnsi="Times New Roman"/>
          <w:sz w:val="20"/>
          <w:szCs w:val="20"/>
          <w:lang w:val="en-GB"/>
        </w:rPr>
        <w:t xml:space="preserve"> </w:t>
      </w:r>
      <w:r w:rsidRPr="002E61AE">
        <w:rPr>
          <w:rFonts w:ascii="Times New Roman" w:hAnsi="Times New Roman"/>
          <w:sz w:val="20"/>
          <w:szCs w:val="20"/>
          <w:lang w:val="en-GB"/>
        </w:rPr>
        <w:t>The final step of synthesis of macrocyclic ligands [39</w:t>
      </w:r>
      <w:r w:rsidRPr="002E61AE">
        <w:rPr>
          <w:rFonts w:ascii="Times New Roman" w:hAnsi="Times New Roman"/>
          <w:bCs/>
          <w:sz w:val="20"/>
          <w:szCs w:val="20"/>
          <w:lang w:val="en-GB"/>
        </w:rPr>
        <w:t>]</w:t>
      </w:r>
    </w:p>
    <w:p w14:paraId="1E06D1AD" w14:textId="06A69306" w:rsidR="002E61AE" w:rsidRDefault="002E61AE" w:rsidP="002E61AE">
      <w:pPr>
        <w:spacing w:after="0"/>
        <w:jc w:val="both"/>
        <w:outlineLvl w:val="0"/>
        <w:rPr>
          <w:rFonts w:ascii="Times New Roman" w:hAnsi="Times New Roman"/>
          <w:bCs/>
          <w:sz w:val="20"/>
          <w:szCs w:val="20"/>
          <w:lang w:val="en-GB"/>
        </w:rPr>
      </w:pPr>
    </w:p>
    <w:p w14:paraId="3F62F0FF" w14:textId="77777777" w:rsidR="002E61AE" w:rsidRPr="002E61AE" w:rsidRDefault="002E61AE" w:rsidP="002E61AE">
      <w:pPr>
        <w:spacing w:after="0"/>
        <w:jc w:val="both"/>
        <w:outlineLvl w:val="0"/>
        <w:rPr>
          <w:rFonts w:ascii="Times New Roman" w:hAnsi="Times New Roman"/>
          <w:bCs/>
          <w:sz w:val="20"/>
          <w:szCs w:val="20"/>
          <w:lang w:val="en-GB"/>
        </w:rPr>
      </w:pPr>
    </w:p>
    <w:p w14:paraId="10BFDBEB" w14:textId="77777777" w:rsidR="002E61AE" w:rsidRPr="002E61AE" w:rsidRDefault="002E61AE" w:rsidP="002E61AE">
      <w:pPr>
        <w:spacing w:after="120"/>
        <w:jc w:val="center"/>
        <w:outlineLvl w:val="0"/>
        <w:rPr>
          <w:rFonts w:ascii="Times New Roman" w:hAnsi="Times New Roman"/>
          <w:bCs/>
          <w:sz w:val="20"/>
          <w:szCs w:val="20"/>
          <w:lang w:val="en-GB"/>
        </w:rPr>
      </w:pPr>
      <w:r w:rsidRPr="002E61AE">
        <w:rPr>
          <w:rFonts w:ascii="Times New Roman" w:hAnsi="Times New Roman"/>
          <w:b/>
          <w:bCs/>
          <w:noProof/>
          <w:sz w:val="20"/>
          <w:szCs w:val="20"/>
          <w:lang w:val="en-MY" w:eastAsia="en-MY"/>
        </w:rPr>
        <w:drawing>
          <wp:inline distT="0" distB="0" distL="0" distR="0" wp14:anchorId="081571B7" wp14:editId="39B83C9E">
            <wp:extent cx="3740409" cy="27527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extLst>
                        <a:ext uri="{28A0092B-C50C-407E-A947-70E740481C1C}">
                          <a14:useLocalDpi xmlns:a14="http://schemas.microsoft.com/office/drawing/2010/main" val="0"/>
                        </a:ext>
                      </a:extLst>
                    </a:blip>
                    <a:srcRect t="2309"/>
                    <a:stretch/>
                  </pic:blipFill>
                  <pic:spPr bwMode="auto">
                    <a:xfrm>
                      <a:off x="0" y="0"/>
                      <a:ext cx="3764887" cy="2770739"/>
                    </a:xfrm>
                    <a:prstGeom prst="rect">
                      <a:avLst/>
                    </a:prstGeom>
                    <a:ln>
                      <a:noFill/>
                    </a:ln>
                    <a:extLst>
                      <a:ext uri="{53640926-AAD7-44D8-BBD7-CCE9431645EC}">
                        <a14:shadowObscured xmlns:a14="http://schemas.microsoft.com/office/drawing/2010/main"/>
                      </a:ext>
                    </a:extLst>
                  </pic:spPr>
                </pic:pic>
              </a:graphicData>
            </a:graphic>
          </wp:inline>
        </w:drawing>
      </w:r>
    </w:p>
    <w:p w14:paraId="2B647A00" w14:textId="3F3530F6" w:rsidR="002E61AE" w:rsidRPr="002E61AE" w:rsidRDefault="002E61AE" w:rsidP="002E61AE">
      <w:pPr>
        <w:spacing w:after="0"/>
        <w:jc w:val="center"/>
        <w:outlineLvl w:val="0"/>
        <w:rPr>
          <w:rFonts w:ascii="Times New Roman" w:hAnsi="Times New Roman"/>
          <w:sz w:val="20"/>
          <w:szCs w:val="20"/>
          <w:lang w:val="en-GB"/>
        </w:rPr>
      </w:pPr>
      <w:r w:rsidRPr="002E61AE">
        <w:rPr>
          <w:rFonts w:ascii="Times New Roman" w:hAnsi="Times New Roman"/>
          <w:sz w:val="20"/>
          <w:szCs w:val="20"/>
          <w:lang w:val="en-GB"/>
        </w:rPr>
        <w:t xml:space="preserve">Scheme 7. </w:t>
      </w:r>
      <w:r>
        <w:rPr>
          <w:rFonts w:ascii="Times New Roman" w:hAnsi="Times New Roman"/>
          <w:sz w:val="20"/>
          <w:szCs w:val="20"/>
          <w:lang w:val="en-GB"/>
        </w:rPr>
        <w:t xml:space="preserve"> </w:t>
      </w:r>
      <w:r w:rsidRPr="002E61AE">
        <w:rPr>
          <w:rFonts w:ascii="Times New Roman" w:hAnsi="Times New Roman"/>
          <w:i/>
          <w:sz w:val="20"/>
          <w:szCs w:val="20"/>
          <w:lang w:val="en-GB"/>
        </w:rPr>
        <w:t>Trans</w:t>
      </w:r>
      <w:r w:rsidRPr="002E61AE">
        <w:rPr>
          <w:rFonts w:ascii="Times New Roman" w:hAnsi="Times New Roman"/>
          <w:sz w:val="20"/>
          <w:szCs w:val="20"/>
          <w:lang w:val="en-GB"/>
        </w:rPr>
        <w:t xml:space="preserve">- and </w:t>
      </w:r>
      <w:r w:rsidRPr="002E61AE">
        <w:rPr>
          <w:rFonts w:ascii="Times New Roman" w:hAnsi="Times New Roman"/>
          <w:i/>
          <w:sz w:val="20"/>
          <w:szCs w:val="20"/>
          <w:lang w:val="en-GB"/>
        </w:rPr>
        <w:t>cis</w:t>
      </w:r>
      <w:r w:rsidRPr="002E61AE">
        <w:rPr>
          <w:rFonts w:ascii="Times New Roman" w:hAnsi="Times New Roman"/>
          <w:sz w:val="20"/>
          <w:szCs w:val="20"/>
          <w:lang w:val="en-GB"/>
        </w:rPr>
        <w:t>-isomers of tetraaza macrocycles [40]</w:t>
      </w:r>
    </w:p>
    <w:p w14:paraId="630A6DAC" w14:textId="77777777" w:rsidR="008A27A9" w:rsidRDefault="008A27A9" w:rsidP="002E61AE">
      <w:pPr>
        <w:spacing w:after="0"/>
        <w:jc w:val="both"/>
        <w:outlineLvl w:val="0"/>
        <w:rPr>
          <w:rFonts w:ascii="Times New Roman" w:hAnsi="Times New Roman"/>
          <w:bCs/>
          <w:sz w:val="20"/>
          <w:szCs w:val="20"/>
          <w:lang w:val="en-GB"/>
        </w:rPr>
      </w:pPr>
    </w:p>
    <w:p w14:paraId="7CA0F5C9" w14:textId="77777777" w:rsidR="008A27A9" w:rsidRDefault="008A27A9" w:rsidP="002E61AE">
      <w:pPr>
        <w:spacing w:after="0"/>
        <w:jc w:val="both"/>
        <w:outlineLvl w:val="0"/>
        <w:rPr>
          <w:rFonts w:ascii="Times New Roman" w:hAnsi="Times New Roman"/>
          <w:bCs/>
          <w:sz w:val="20"/>
          <w:szCs w:val="20"/>
          <w:lang w:val="en-GB"/>
        </w:rPr>
      </w:pPr>
    </w:p>
    <w:p w14:paraId="55FA0E5D" w14:textId="77777777" w:rsidR="008A27A9" w:rsidRDefault="008A27A9" w:rsidP="002E61AE">
      <w:pPr>
        <w:spacing w:after="0"/>
        <w:jc w:val="both"/>
        <w:outlineLvl w:val="0"/>
        <w:rPr>
          <w:rFonts w:ascii="Times New Roman" w:hAnsi="Times New Roman"/>
          <w:bCs/>
          <w:sz w:val="20"/>
          <w:szCs w:val="20"/>
          <w:lang w:val="en-GB"/>
        </w:rPr>
        <w:sectPr w:rsidR="008A27A9" w:rsidSect="000E4C45">
          <w:footerReference w:type="even" r:id="rId40"/>
          <w:footerReference w:type="default" r:id="rId41"/>
          <w:type w:val="continuous"/>
          <w:pgSz w:w="12240" w:h="15840" w:code="1"/>
          <w:pgMar w:top="1800" w:right="1469" w:bottom="1699" w:left="1440" w:header="706" w:footer="706" w:gutter="0"/>
          <w:pgNumType w:start="1"/>
          <w:cols w:space="708"/>
          <w:docGrid w:linePitch="360"/>
        </w:sectPr>
      </w:pPr>
    </w:p>
    <w:p w14:paraId="48A90B3F" w14:textId="57D9B4CD" w:rsidR="002E61AE" w:rsidRPr="008A27A9" w:rsidRDefault="002E61AE" w:rsidP="002E61AE">
      <w:pPr>
        <w:spacing w:after="0"/>
        <w:jc w:val="both"/>
        <w:outlineLvl w:val="0"/>
        <w:rPr>
          <w:rFonts w:ascii="Times New Roman" w:hAnsi="Times New Roman"/>
          <w:bCs/>
          <w:sz w:val="20"/>
          <w:szCs w:val="20"/>
          <w:lang w:val="en-GB"/>
        </w:rPr>
      </w:pPr>
      <w:r w:rsidRPr="008A27A9">
        <w:rPr>
          <w:rFonts w:ascii="Times New Roman" w:hAnsi="Times New Roman"/>
          <w:bCs/>
          <w:sz w:val="20"/>
          <w:szCs w:val="20"/>
          <w:lang w:val="en-GB"/>
        </w:rPr>
        <w:t xml:space="preserve">Furthermore, the condensation between 1,4-diaminobutane and 1,6-diaminohaxane with acetone obtained a 75-85% yield of </w:t>
      </w:r>
      <w:r w:rsidRPr="008A27A9">
        <w:rPr>
          <w:rFonts w:ascii="Times New Roman" w:hAnsi="Times New Roman"/>
          <w:bCs/>
          <w:i/>
          <w:sz w:val="20"/>
          <w:szCs w:val="20"/>
          <w:lang w:val="en-GB"/>
        </w:rPr>
        <w:t>trans-</w:t>
      </w:r>
      <w:r w:rsidRPr="008A27A9">
        <w:rPr>
          <w:rFonts w:ascii="Times New Roman" w:hAnsi="Times New Roman"/>
          <w:bCs/>
          <w:sz w:val="20"/>
          <w:szCs w:val="20"/>
          <w:lang w:val="en-GB"/>
        </w:rPr>
        <w:t xml:space="preserve">azamacrocyclic compound [41]. In comparison with the cyclocondensation process, the outcome of the experiment was similar in the reaction of </w:t>
      </w:r>
      <m:oMath>
        <m:r>
          <w:rPr>
            <w:rFonts w:ascii="Cambria Math" w:hAnsi="Cambria Math"/>
            <w:sz w:val="20"/>
            <w:szCs w:val="20"/>
            <w:lang w:val="en-GB"/>
          </w:rPr>
          <m:t>α,ω</m:t>
        </m:r>
      </m:oMath>
      <w:r w:rsidRPr="008A27A9">
        <w:rPr>
          <w:rFonts w:ascii="Times New Roman" w:hAnsi="Times New Roman"/>
          <w:bCs/>
          <w:sz w:val="20"/>
          <w:szCs w:val="20"/>
          <w:lang w:val="en-GB"/>
        </w:rPr>
        <w:t xml:space="preserve">-diamine using acetone or hydrated/dehydrated alcohol and ketone. Nonetheless, an exothermic effect was detected when anhydrous alcohol and ketone reacted with the </w:t>
      </w:r>
      <m:oMath>
        <m:r>
          <w:rPr>
            <w:rFonts w:ascii="Cambria Math" w:hAnsi="Cambria Math"/>
            <w:sz w:val="20"/>
            <w:szCs w:val="20"/>
            <w:lang w:val="en-GB"/>
          </w:rPr>
          <m:t>α,ω</m:t>
        </m:r>
      </m:oMath>
      <w:r w:rsidRPr="008A27A9">
        <w:rPr>
          <w:rFonts w:ascii="Times New Roman" w:hAnsi="Times New Roman"/>
          <w:bCs/>
          <w:sz w:val="20"/>
          <w:szCs w:val="20"/>
          <w:lang w:val="en-GB"/>
        </w:rPr>
        <w:t>-diamine.</w:t>
      </w:r>
    </w:p>
    <w:p w14:paraId="18214109" w14:textId="6599FDA2" w:rsidR="002E61AE" w:rsidRPr="008A27A9" w:rsidRDefault="002E61AE" w:rsidP="002E61AE">
      <w:pPr>
        <w:spacing w:after="0"/>
        <w:jc w:val="both"/>
        <w:outlineLvl w:val="0"/>
        <w:rPr>
          <w:rFonts w:ascii="Times New Roman" w:hAnsi="Times New Roman"/>
          <w:bCs/>
          <w:sz w:val="20"/>
          <w:szCs w:val="20"/>
          <w:lang w:val="en-GB"/>
        </w:rPr>
      </w:pPr>
      <w:r w:rsidRPr="008A27A9">
        <w:rPr>
          <w:rFonts w:ascii="Times New Roman" w:hAnsi="Times New Roman"/>
          <w:bCs/>
          <w:sz w:val="20"/>
          <w:szCs w:val="20"/>
          <w:lang w:val="en-GB"/>
        </w:rPr>
        <w:t xml:space="preserve">A preliminary study conducted by Yamin </w:t>
      </w:r>
      <w:r w:rsidRPr="008A27A9">
        <w:rPr>
          <w:rFonts w:ascii="Times New Roman" w:hAnsi="Times New Roman"/>
          <w:bCs/>
          <w:iCs/>
          <w:sz w:val="20"/>
          <w:szCs w:val="20"/>
          <w:lang w:val="en-GB"/>
        </w:rPr>
        <w:t xml:space="preserve">et al. </w:t>
      </w:r>
      <w:r w:rsidRPr="008A27A9">
        <w:rPr>
          <w:rFonts w:ascii="Times New Roman" w:hAnsi="Times New Roman"/>
          <w:bCs/>
          <w:sz w:val="20"/>
          <w:szCs w:val="20"/>
          <w:lang w:val="en-GB"/>
        </w:rPr>
        <w:t>[42] showed that tetraaza macrocyclic ligands were successfully synthesised via the non-template method at a higher yield. Scheme 8 shows the path of synthesis of the Cu(II) complex from its macrocyclic ligand. The technique</w:t>
      </w:r>
      <w:r w:rsidRPr="008A27A9" w:rsidDel="008A7DC4">
        <w:rPr>
          <w:rFonts w:ascii="Times New Roman" w:hAnsi="Times New Roman"/>
          <w:bCs/>
          <w:sz w:val="20"/>
          <w:szCs w:val="20"/>
          <w:lang w:val="en-GB"/>
        </w:rPr>
        <w:t xml:space="preserve"> </w:t>
      </w:r>
      <w:r w:rsidRPr="008A27A9">
        <w:rPr>
          <w:rFonts w:ascii="Times New Roman" w:hAnsi="Times New Roman"/>
          <w:bCs/>
          <w:sz w:val="20"/>
          <w:szCs w:val="20"/>
          <w:lang w:val="en-GB"/>
        </w:rPr>
        <w:t>to produce the tetraaza ligand and non-template complexation was considered a novel approach through the application of ammonium perchlorate that reacts with ethylenediamine to produce a free ionic tetraaza ligand and ClO</w:t>
      </w:r>
      <w:r w:rsidRPr="008A27A9">
        <w:rPr>
          <w:rFonts w:ascii="Times New Roman" w:hAnsi="Times New Roman"/>
          <w:bCs/>
          <w:sz w:val="20"/>
          <w:szCs w:val="20"/>
          <w:vertAlign w:val="subscript"/>
          <w:lang w:val="en-GB"/>
        </w:rPr>
        <w:t>4</w:t>
      </w:r>
      <w:r w:rsidRPr="008A27A9">
        <w:rPr>
          <w:rFonts w:ascii="Times New Roman" w:hAnsi="Times New Roman"/>
          <w:bCs/>
          <w:sz w:val="20"/>
          <w:szCs w:val="20"/>
          <w:vertAlign w:val="superscript"/>
          <w:lang w:val="en-GB"/>
        </w:rPr>
        <w:t>-</w:t>
      </w:r>
      <w:r w:rsidRPr="008A27A9">
        <w:rPr>
          <w:rFonts w:ascii="Times New Roman" w:hAnsi="Times New Roman"/>
          <w:bCs/>
          <w:sz w:val="20"/>
          <w:szCs w:val="20"/>
          <w:lang w:val="en-GB"/>
        </w:rPr>
        <w:t xml:space="preserve"> counter anion. In addition, the </w:t>
      </w:r>
      <w:r w:rsidRPr="008A27A9">
        <w:rPr>
          <w:rFonts w:ascii="Times New Roman" w:hAnsi="Times New Roman"/>
          <w:bCs/>
          <w:sz w:val="20"/>
          <w:szCs w:val="20"/>
          <w:lang w:val="en-GB"/>
        </w:rPr>
        <w:lastRenderedPageBreak/>
        <w:t>utilisation of this new method for the synthesis of ligand demonstrated a potentially</w:t>
      </w:r>
      <w:r w:rsidRPr="008A27A9" w:rsidDel="0019554B">
        <w:rPr>
          <w:rFonts w:ascii="Times New Roman" w:hAnsi="Times New Roman"/>
          <w:bCs/>
          <w:sz w:val="20"/>
          <w:szCs w:val="20"/>
          <w:lang w:val="en-GB"/>
        </w:rPr>
        <w:t xml:space="preserve"> </w:t>
      </w:r>
      <w:r w:rsidRPr="008A27A9">
        <w:rPr>
          <w:rFonts w:ascii="Times New Roman" w:hAnsi="Times New Roman"/>
          <w:bCs/>
          <w:sz w:val="20"/>
          <w:szCs w:val="20"/>
          <w:lang w:val="en-GB"/>
        </w:rPr>
        <w:t>simple and cheap alternative pathway for large scale production of macrocyclic ligand since the yield</w:t>
      </w:r>
      <w:r w:rsidRPr="008A27A9" w:rsidDel="00DC229A">
        <w:rPr>
          <w:rFonts w:ascii="Times New Roman" w:hAnsi="Times New Roman"/>
          <w:bCs/>
          <w:sz w:val="20"/>
          <w:szCs w:val="20"/>
          <w:lang w:val="en-GB"/>
        </w:rPr>
        <w:t xml:space="preserve"> </w:t>
      </w:r>
      <w:r w:rsidRPr="008A27A9">
        <w:rPr>
          <w:rFonts w:ascii="Times New Roman" w:hAnsi="Times New Roman"/>
          <w:bCs/>
          <w:sz w:val="20"/>
          <w:szCs w:val="20"/>
          <w:lang w:val="en-GB"/>
        </w:rPr>
        <w:t xml:space="preserve">was recorded at 78%. </w:t>
      </w:r>
    </w:p>
    <w:p w14:paraId="25346347" w14:textId="77777777" w:rsidR="008A27A9" w:rsidRDefault="008A27A9" w:rsidP="002E61AE">
      <w:pPr>
        <w:spacing w:after="0"/>
        <w:jc w:val="both"/>
        <w:outlineLvl w:val="0"/>
        <w:rPr>
          <w:rFonts w:ascii="Times New Roman" w:hAnsi="Times New Roman"/>
          <w:bCs/>
          <w:sz w:val="20"/>
          <w:szCs w:val="20"/>
          <w:lang w:val="en-GB"/>
        </w:rPr>
      </w:pPr>
    </w:p>
    <w:p w14:paraId="0D0DF6A0" w14:textId="77777777" w:rsidR="008A27A9"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Based on the results from the magnetic moment, electronic spectral studies, and X-ray crystallography, the Cu(II) complex exhibited a square-planar geometry. However, when the same method was applied in the ionic liquid [Bmim] [PF</w:t>
      </w:r>
      <w:r w:rsidRPr="002E61AE">
        <w:rPr>
          <w:rFonts w:ascii="Times New Roman" w:hAnsi="Times New Roman"/>
          <w:bCs/>
          <w:sz w:val="20"/>
          <w:szCs w:val="20"/>
          <w:vertAlign w:val="subscript"/>
          <w:lang w:val="en-GB"/>
        </w:rPr>
        <w:t>6</w:t>
      </w:r>
      <w:r w:rsidRPr="002E61AE">
        <w:rPr>
          <w:rFonts w:ascii="Times New Roman" w:hAnsi="Times New Roman"/>
          <w:bCs/>
          <w:sz w:val="20"/>
          <w:szCs w:val="20"/>
          <w:lang w:val="en-GB"/>
        </w:rPr>
        <w:t>], which is a different solvent, the complex displayed a different structural agreement where the Cu(II) complex exhibited an octahedral geometry bonded to two ethylenediamine ligands and two oxygen from the perchlorate ion with 79% yield [43]. These phenomena were strongly associated with the interaction or mechanism between metal/ligands during the synthesis reaction.</w:t>
      </w:r>
    </w:p>
    <w:p w14:paraId="6BBB0C46" w14:textId="77777777" w:rsidR="008A27A9" w:rsidRPr="002E61AE" w:rsidRDefault="008A27A9" w:rsidP="008A27A9">
      <w:pPr>
        <w:spacing w:after="0"/>
        <w:jc w:val="both"/>
        <w:outlineLvl w:val="0"/>
        <w:rPr>
          <w:rFonts w:ascii="Times New Roman" w:hAnsi="Times New Roman"/>
          <w:bCs/>
          <w:sz w:val="20"/>
          <w:szCs w:val="20"/>
          <w:lang w:val="en-GB"/>
        </w:rPr>
      </w:pPr>
    </w:p>
    <w:p w14:paraId="01D2C375" w14:textId="1FBF12FC" w:rsidR="008A27A9"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The discovery of new and simple method of preparation of </w:t>
      </w:r>
      <w:r w:rsidRPr="002E61AE">
        <w:rPr>
          <w:rFonts w:ascii="Times New Roman" w:hAnsi="Times New Roman"/>
          <w:sz w:val="20"/>
          <w:szCs w:val="20"/>
          <w:lang w:val="en-MY"/>
        </w:rPr>
        <w:t>5,5,7,12,12,14-hexamethyl-1,4,8,11-tetraazacyclo</w:t>
      </w:r>
      <w:r w:rsidR="0044613D">
        <w:rPr>
          <w:rFonts w:ascii="Times New Roman" w:hAnsi="Times New Roman"/>
          <w:sz w:val="20"/>
          <w:szCs w:val="20"/>
          <w:lang w:val="en-MY"/>
        </w:rPr>
        <w:t xml:space="preserve"> </w:t>
      </w:r>
      <w:r w:rsidRPr="002E61AE">
        <w:rPr>
          <w:rFonts w:ascii="Times New Roman" w:hAnsi="Times New Roman"/>
          <w:sz w:val="20"/>
          <w:szCs w:val="20"/>
          <w:lang w:val="en-MY"/>
        </w:rPr>
        <w:t xml:space="preserve">tetradeca-7,14-dienium salts </w:t>
      </w:r>
      <w:r w:rsidRPr="002E61AE">
        <w:rPr>
          <w:rFonts w:ascii="Times New Roman" w:hAnsi="Times New Roman"/>
          <w:bCs/>
          <w:sz w:val="20"/>
          <w:szCs w:val="20"/>
          <w:lang w:val="en-GB"/>
        </w:rPr>
        <w:t xml:space="preserve">ligand has enabled the detailed study on the complexation reaction with various transition metal ions such as copper, nickel, and zinc complexes were carried out [44]. The analytical and </w:t>
      </w:r>
      <w:r w:rsidRPr="002E61AE">
        <w:rPr>
          <w:rFonts w:ascii="Times New Roman" w:hAnsi="Times New Roman"/>
          <w:bCs/>
          <w:sz w:val="20"/>
          <w:szCs w:val="20"/>
          <w:lang w:val="en-GB"/>
        </w:rPr>
        <w:t xml:space="preserve">physical data showed that up to 88% yield of the complexes were generated. In addition, the ultraviolet (UV)-visible spectrometric analysis indicated the existence of the azomethine chromophore and the </w:t>
      </w:r>
      <w:r w:rsidRPr="002E61AE">
        <w:rPr>
          <w:rFonts w:ascii="Times New Roman" w:hAnsi="Times New Roman"/>
          <w:bCs/>
          <w:i/>
          <w:iCs/>
          <w:sz w:val="20"/>
          <w:szCs w:val="20"/>
          <w:lang w:val="en-GB"/>
        </w:rPr>
        <w:t>d-d</w:t>
      </w:r>
      <w:r w:rsidRPr="002E61AE">
        <w:rPr>
          <w:rFonts w:ascii="Times New Roman" w:hAnsi="Times New Roman"/>
          <w:bCs/>
          <w:sz w:val="20"/>
          <w:szCs w:val="20"/>
          <w:lang w:val="en-GB"/>
        </w:rPr>
        <w:t xml:space="preserve"> transition intensely indicate that the metal complex was successfully maintained in its original tetraaza ligand structure. The biological activity studies of the complexes were also reported. </w:t>
      </w:r>
    </w:p>
    <w:p w14:paraId="0DA113E2" w14:textId="77777777" w:rsidR="008A27A9" w:rsidRPr="002E61AE" w:rsidRDefault="008A27A9" w:rsidP="008A27A9">
      <w:pPr>
        <w:spacing w:after="0"/>
        <w:jc w:val="both"/>
        <w:outlineLvl w:val="0"/>
        <w:rPr>
          <w:rFonts w:ascii="Times New Roman" w:hAnsi="Times New Roman"/>
          <w:bCs/>
          <w:sz w:val="20"/>
          <w:szCs w:val="20"/>
          <w:lang w:val="en-GB"/>
        </w:rPr>
      </w:pPr>
    </w:p>
    <w:p w14:paraId="7784774E" w14:textId="77777777" w:rsidR="008A27A9" w:rsidRPr="002E61AE"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The emerging non-template method using the various reaction of amino groups under several conditions shows significant results where free neutral and ionic ligands with their complexes are successfully synthesized. The presence of at least two secondary amine hydrogen atoms help to alleviate the lone pair repulsion on nitrogen donor atoms during cyclisation process. Apart from that, the cyclisation process of the tetraaza macrocyclic ligand has advantages which are inexpensive starting materials, high overall yield and desired product can be obtained easily since not involving difficult process of removing nitrogen-protecting groups [35]. </w:t>
      </w:r>
    </w:p>
    <w:p w14:paraId="050DED3D" w14:textId="77777777" w:rsidR="008A27A9" w:rsidRDefault="008A27A9" w:rsidP="002E61AE">
      <w:pPr>
        <w:spacing w:after="0"/>
        <w:jc w:val="both"/>
        <w:outlineLvl w:val="0"/>
        <w:rPr>
          <w:rFonts w:ascii="Times New Roman" w:hAnsi="Times New Roman"/>
          <w:bCs/>
          <w:sz w:val="20"/>
          <w:szCs w:val="20"/>
          <w:lang w:val="en-GB"/>
        </w:rPr>
      </w:pPr>
    </w:p>
    <w:p w14:paraId="7DEAC896" w14:textId="2FE1D0A4" w:rsidR="008A27A9" w:rsidRDefault="008A27A9" w:rsidP="002E61AE">
      <w:pPr>
        <w:spacing w:after="0"/>
        <w:jc w:val="both"/>
        <w:outlineLvl w:val="0"/>
        <w:rPr>
          <w:rFonts w:ascii="Times New Roman" w:hAnsi="Times New Roman"/>
          <w:bCs/>
          <w:sz w:val="20"/>
          <w:szCs w:val="20"/>
          <w:lang w:val="en-GB"/>
        </w:rPr>
        <w:sectPr w:rsidR="008A27A9" w:rsidSect="008A27A9">
          <w:footerReference w:type="default" r:id="rId42"/>
          <w:type w:val="continuous"/>
          <w:pgSz w:w="12240" w:h="15840" w:code="1"/>
          <w:pgMar w:top="1800" w:right="1469" w:bottom="1699" w:left="1440" w:header="706" w:footer="706" w:gutter="0"/>
          <w:pgNumType w:start="1"/>
          <w:cols w:num="2" w:space="403"/>
          <w:docGrid w:linePitch="360"/>
        </w:sectPr>
      </w:pPr>
    </w:p>
    <w:p w14:paraId="5FA41A66" w14:textId="7505E338" w:rsidR="002E61AE" w:rsidRDefault="002E61AE" w:rsidP="002E61AE">
      <w:pPr>
        <w:spacing w:after="0"/>
        <w:jc w:val="both"/>
        <w:outlineLvl w:val="0"/>
        <w:rPr>
          <w:rFonts w:ascii="Times New Roman" w:hAnsi="Times New Roman"/>
          <w:bCs/>
          <w:sz w:val="20"/>
          <w:szCs w:val="20"/>
          <w:lang w:val="en-GB"/>
        </w:rPr>
      </w:pPr>
    </w:p>
    <w:p w14:paraId="482D1377" w14:textId="77777777" w:rsidR="002E61AE" w:rsidRPr="002E61AE" w:rsidRDefault="002E61AE" w:rsidP="002E61AE">
      <w:pPr>
        <w:spacing w:after="0"/>
        <w:jc w:val="both"/>
        <w:outlineLvl w:val="0"/>
        <w:rPr>
          <w:rFonts w:ascii="Times New Roman" w:hAnsi="Times New Roman"/>
          <w:bCs/>
          <w:sz w:val="20"/>
          <w:szCs w:val="20"/>
          <w:lang w:val="en-GB"/>
        </w:rPr>
      </w:pPr>
    </w:p>
    <w:p w14:paraId="4EC8C53E" w14:textId="77777777" w:rsidR="002E61AE" w:rsidRPr="002E61AE" w:rsidRDefault="002E61AE" w:rsidP="002E61AE">
      <w:pPr>
        <w:spacing w:after="120"/>
        <w:jc w:val="center"/>
        <w:outlineLvl w:val="0"/>
        <w:rPr>
          <w:rFonts w:ascii="Times New Roman" w:hAnsi="Times New Roman"/>
          <w:bCs/>
          <w:sz w:val="20"/>
          <w:szCs w:val="20"/>
          <w:lang w:val="en-GB"/>
        </w:rPr>
      </w:pPr>
      <w:r w:rsidRPr="002E61AE">
        <w:rPr>
          <w:rFonts w:ascii="Times New Roman" w:hAnsi="Times New Roman"/>
          <w:bCs/>
          <w:noProof/>
          <w:sz w:val="20"/>
          <w:szCs w:val="20"/>
          <w:lang w:val="en-MY" w:eastAsia="en-MY"/>
        </w:rPr>
        <w:drawing>
          <wp:inline distT="0" distB="0" distL="0" distR="0" wp14:anchorId="6BFA49A5" wp14:editId="7BE82D62">
            <wp:extent cx="5011420" cy="12617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11420" cy="1261745"/>
                    </a:xfrm>
                    <a:prstGeom prst="rect">
                      <a:avLst/>
                    </a:prstGeom>
                    <a:noFill/>
                  </pic:spPr>
                </pic:pic>
              </a:graphicData>
            </a:graphic>
          </wp:inline>
        </w:drawing>
      </w:r>
    </w:p>
    <w:p w14:paraId="0743C69A" w14:textId="658A39C7" w:rsidR="002E61AE" w:rsidRPr="002E61AE" w:rsidRDefault="002E61AE" w:rsidP="002E61AE">
      <w:pPr>
        <w:spacing w:after="0"/>
        <w:jc w:val="center"/>
        <w:outlineLvl w:val="0"/>
        <w:rPr>
          <w:rFonts w:ascii="Times New Roman" w:hAnsi="Times New Roman"/>
          <w:sz w:val="20"/>
          <w:szCs w:val="20"/>
          <w:lang w:val="en-GB"/>
        </w:rPr>
      </w:pPr>
      <w:r w:rsidRPr="002E61AE">
        <w:rPr>
          <w:rFonts w:ascii="Times New Roman" w:hAnsi="Times New Roman"/>
          <w:sz w:val="20"/>
          <w:szCs w:val="20"/>
          <w:lang w:val="en-GB"/>
        </w:rPr>
        <w:t xml:space="preserve">Scheme 8. </w:t>
      </w:r>
      <w:r>
        <w:rPr>
          <w:rFonts w:ascii="Times New Roman" w:hAnsi="Times New Roman"/>
          <w:sz w:val="20"/>
          <w:szCs w:val="20"/>
          <w:lang w:val="en-GB"/>
        </w:rPr>
        <w:t xml:space="preserve"> </w:t>
      </w:r>
      <w:r w:rsidRPr="002E61AE">
        <w:rPr>
          <w:rFonts w:ascii="Times New Roman" w:hAnsi="Times New Roman"/>
          <w:sz w:val="20"/>
          <w:szCs w:val="20"/>
          <w:lang w:val="en-GB"/>
        </w:rPr>
        <w:t>Synthetic route of Cu(II) complex from metal-free tetraaza ligand [42]</w:t>
      </w:r>
    </w:p>
    <w:p w14:paraId="29367A30" w14:textId="29FA4FF1" w:rsidR="002E61AE" w:rsidRDefault="002E61AE" w:rsidP="0044613D">
      <w:pPr>
        <w:spacing w:after="0"/>
        <w:rPr>
          <w:rFonts w:ascii="Times New Roman" w:hAnsi="Times New Roman"/>
          <w:noProof/>
          <w:sz w:val="20"/>
          <w:szCs w:val="20"/>
          <w:lang w:bidi="ar-SA"/>
        </w:rPr>
      </w:pPr>
    </w:p>
    <w:p w14:paraId="02D9957D" w14:textId="77777777" w:rsidR="002E61AE" w:rsidRPr="00F447A7" w:rsidRDefault="002E61AE" w:rsidP="002B412F">
      <w:pPr>
        <w:spacing w:after="0"/>
        <w:jc w:val="center"/>
        <w:rPr>
          <w:rFonts w:ascii="Times New Roman" w:hAnsi="Times New Roman"/>
          <w:noProof/>
          <w:sz w:val="20"/>
          <w:szCs w:val="20"/>
          <w:lang w:bidi="ar-SA"/>
        </w:rPr>
      </w:pPr>
    </w:p>
    <w:p w14:paraId="694187F9" w14:textId="77777777" w:rsidR="0044613D" w:rsidRDefault="0044613D" w:rsidP="002B412F">
      <w:pPr>
        <w:spacing w:after="0"/>
        <w:jc w:val="center"/>
        <w:rPr>
          <w:rFonts w:ascii="Times New Roman" w:hAnsi="Times New Roman"/>
          <w:b/>
          <w:noProof/>
          <w:sz w:val="20"/>
          <w:szCs w:val="20"/>
          <w:lang w:bidi="ar-SA"/>
        </w:rPr>
        <w:sectPr w:rsidR="0044613D" w:rsidSect="000E4C45">
          <w:type w:val="continuous"/>
          <w:pgSz w:w="12240" w:h="15840" w:code="1"/>
          <w:pgMar w:top="1800" w:right="1469" w:bottom="1699" w:left="1440" w:header="706" w:footer="706" w:gutter="0"/>
          <w:pgNumType w:start="1"/>
          <w:cols w:space="708"/>
          <w:docGrid w:linePitch="360"/>
        </w:sectPr>
      </w:pPr>
    </w:p>
    <w:p w14:paraId="471ACF9F" w14:textId="00481B0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CE511EA" w14:textId="506B8505" w:rsidR="00531062" w:rsidRDefault="00531062" w:rsidP="00531062">
      <w:pPr>
        <w:spacing w:after="0"/>
        <w:jc w:val="both"/>
        <w:outlineLvl w:val="0"/>
        <w:rPr>
          <w:rFonts w:ascii="Times New Roman" w:hAnsi="Times New Roman"/>
          <w:bCs/>
          <w:sz w:val="20"/>
          <w:szCs w:val="20"/>
          <w:lang w:val="en-GB"/>
        </w:rPr>
      </w:pPr>
      <w:r w:rsidRPr="00531062">
        <w:rPr>
          <w:rFonts w:ascii="Times New Roman" w:hAnsi="Times New Roman"/>
          <w:bCs/>
          <w:sz w:val="20"/>
          <w:szCs w:val="20"/>
        </w:rPr>
        <w:t>Several</w:t>
      </w:r>
      <w:r w:rsidRPr="00531062">
        <w:rPr>
          <w:rFonts w:ascii="Times New Roman" w:hAnsi="Times New Roman"/>
          <w:bCs/>
          <w:sz w:val="20"/>
          <w:szCs w:val="20"/>
          <w:lang w:val="en-GB"/>
        </w:rPr>
        <w:t xml:space="preserve"> modifications and improvements</w:t>
      </w:r>
      <w:r w:rsidRPr="00531062" w:rsidDel="00570E23">
        <w:rPr>
          <w:rFonts w:ascii="Times New Roman" w:hAnsi="Times New Roman"/>
          <w:bCs/>
          <w:sz w:val="20"/>
          <w:szCs w:val="20"/>
          <w:lang w:val="en-GB"/>
        </w:rPr>
        <w:t xml:space="preserve"> </w:t>
      </w:r>
      <w:r w:rsidRPr="00531062">
        <w:rPr>
          <w:rFonts w:ascii="Times New Roman" w:hAnsi="Times New Roman"/>
          <w:bCs/>
          <w:sz w:val="20"/>
          <w:szCs w:val="20"/>
          <w:lang w:val="en-GB"/>
        </w:rPr>
        <w:t>have been conducted to prepare and provide</w:t>
      </w:r>
      <w:r w:rsidRPr="00531062" w:rsidDel="00570E23">
        <w:rPr>
          <w:rFonts w:ascii="Times New Roman" w:hAnsi="Times New Roman"/>
          <w:bCs/>
          <w:sz w:val="20"/>
          <w:szCs w:val="20"/>
          <w:lang w:val="en-GB"/>
        </w:rPr>
        <w:t xml:space="preserve"> </w:t>
      </w:r>
      <w:r w:rsidRPr="00531062">
        <w:rPr>
          <w:rFonts w:ascii="Times New Roman" w:hAnsi="Times New Roman"/>
          <w:bCs/>
          <w:sz w:val="20"/>
          <w:szCs w:val="20"/>
          <w:lang w:val="en-GB"/>
        </w:rPr>
        <w:t>an efficient mechanism</w:t>
      </w:r>
      <w:r w:rsidRPr="00531062" w:rsidDel="00570E23">
        <w:rPr>
          <w:rFonts w:ascii="Times New Roman" w:hAnsi="Times New Roman"/>
          <w:bCs/>
          <w:sz w:val="20"/>
          <w:szCs w:val="20"/>
          <w:lang w:val="en-GB"/>
        </w:rPr>
        <w:t xml:space="preserve"> </w:t>
      </w:r>
      <w:r w:rsidRPr="00531062">
        <w:rPr>
          <w:rFonts w:ascii="Times New Roman" w:hAnsi="Times New Roman"/>
          <w:bCs/>
          <w:sz w:val="20"/>
          <w:szCs w:val="20"/>
          <w:lang w:val="en-GB"/>
        </w:rPr>
        <w:t xml:space="preserve">for the synthesis of tetraaza macrocyclic ligand and its complexes. Based on the brief comparison of conventional method synthesis and the elaborative discussion on the new direct technique for the preparation of free tetraaza macrocyclic ligand, this paper highlighted the non-template method as the </w:t>
      </w:r>
      <w:r w:rsidRPr="00531062">
        <w:rPr>
          <w:rFonts w:ascii="Times New Roman" w:hAnsi="Times New Roman"/>
          <w:bCs/>
          <w:sz w:val="20"/>
          <w:szCs w:val="20"/>
          <w:lang w:val="en-GB"/>
        </w:rPr>
        <w:t>efficient method for the production of tetraaza macrocyclic ligands in the absence of metal ions during cyclisation with significantly high</w:t>
      </w:r>
      <w:r w:rsidRPr="00531062" w:rsidDel="00AF15CF">
        <w:rPr>
          <w:rFonts w:ascii="Times New Roman" w:hAnsi="Times New Roman"/>
          <w:bCs/>
          <w:sz w:val="20"/>
          <w:szCs w:val="20"/>
          <w:lang w:val="en-GB"/>
        </w:rPr>
        <w:t xml:space="preserve"> </w:t>
      </w:r>
      <w:r w:rsidRPr="00531062">
        <w:rPr>
          <w:rFonts w:ascii="Times New Roman" w:hAnsi="Times New Roman"/>
          <w:bCs/>
          <w:sz w:val="20"/>
          <w:szCs w:val="20"/>
          <w:lang w:val="en-GB"/>
        </w:rPr>
        <w:t xml:space="preserve">yield. In addition, the response between amide nitrogen atoms and alcohol functional group with the solvent provided a guideline for various ring size and ligand/complex nature. Given the limited studies of complexation reaction in the non-template method, future studies should focus on investigating the effect of various metal salts in the </w:t>
      </w:r>
      <w:r w:rsidRPr="00531062">
        <w:rPr>
          <w:rFonts w:ascii="Times New Roman" w:hAnsi="Times New Roman"/>
          <w:bCs/>
          <w:sz w:val="20"/>
          <w:szCs w:val="20"/>
          <w:lang w:val="en-GB"/>
        </w:rPr>
        <w:lastRenderedPageBreak/>
        <w:t xml:space="preserve">complexation reaction at different conditions for a potential application such as catalyst in industrial activity and biomedical application. </w:t>
      </w:r>
    </w:p>
    <w:p w14:paraId="47DAFCA3" w14:textId="77777777" w:rsidR="00531062" w:rsidRPr="00531062" w:rsidRDefault="00531062" w:rsidP="00531062">
      <w:pPr>
        <w:spacing w:after="0"/>
        <w:jc w:val="center"/>
        <w:outlineLvl w:val="0"/>
        <w:rPr>
          <w:rFonts w:ascii="Times New Roman" w:hAnsi="Times New Roman"/>
          <w:bCs/>
          <w:sz w:val="20"/>
          <w:szCs w:val="20"/>
          <w:lang w:val="en-GB"/>
        </w:rPr>
      </w:pPr>
    </w:p>
    <w:p w14:paraId="7AED2C86" w14:textId="77777777" w:rsidR="00531062" w:rsidRPr="00531062" w:rsidRDefault="00531062" w:rsidP="00531062">
      <w:pPr>
        <w:spacing w:after="0"/>
        <w:jc w:val="center"/>
        <w:outlineLvl w:val="0"/>
        <w:rPr>
          <w:rFonts w:ascii="Times New Roman" w:hAnsi="Times New Roman"/>
          <w:b/>
          <w:bCs/>
          <w:sz w:val="20"/>
          <w:szCs w:val="20"/>
        </w:rPr>
      </w:pPr>
      <w:r w:rsidRPr="00531062">
        <w:rPr>
          <w:rFonts w:ascii="Times New Roman" w:hAnsi="Times New Roman"/>
          <w:b/>
          <w:bCs/>
          <w:sz w:val="20"/>
          <w:szCs w:val="20"/>
        </w:rPr>
        <w:t>Acknowledgement</w:t>
      </w:r>
    </w:p>
    <w:p w14:paraId="3FCB933D" w14:textId="057262D0" w:rsidR="006768E9" w:rsidRPr="00531062" w:rsidRDefault="00531062" w:rsidP="00531062">
      <w:pPr>
        <w:spacing w:after="0"/>
        <w:jc w:val="both"/>
        <w:outlineLvl w:val="0"/>
        <w:rPr>
          <w:rFonts w:ascii="Times New Roman" w:hAnsi="Times New Roman"/>
          <w:bCs/>
          <w:sz w:val="20"/>
          <w:szCs w:val="20"/>
          <w:lang w:val="en-GB"/>
        </w:rPr>
      </w:pPr>
      <w:r w:rsidRPr="00531062">
        <w:rPr>
          <w:rFonts w:ascii="Times New Roman" w:hAnsi="Times New Roman"/>
          <w:bCs/>
          <w:sz w:val="20"/>
          <w:szCs w:val="20"/>
          <w:lang w:val="en-GB"/>
        </w:rPr>
        <w:t>This research was funded by the Ministry of Higher Education of Malaysia</w:t>
      </w:r>
      <w:r w:rsidRPr="00531062" w:rsidDel="005F6876">
        <w:rPr>
          <w:rFonts w:ascii="Times New Roman" w:hAnsi="Times New Roman"/>
          <w:bCs/>
          <w:sz w:val="20"/>
          <w:szCs w:val="20"/>
          <w:lang w:val="en-GB"/>
        </w:rPr>
        <w:t xml:space="preserve"> </w:t>
      </w:r>
      <w:r w:rsidRPr="00531062">
        <w:rPr>
          <w:rFonts w:ascii="Times New Roman" w:hAnsi="Times New Roman"/>
          <w:bCs/>
          <w:sz w:val="20"/>
          <w:szCs w:val="20"/>
          <w:lang w:val="en-GB"/>
        </w:rPr>
        <w:t>through the Fundamental Research Grant Scheme (USIM/FRGS/FST/</w:t>
      </w:r>
      <w:r w:rsidR="0044613D">
        <w:rPr>
          <w:rFonts w:ascii="Times New Roman" w:hAnsi="Times New Roman"/>
          <w:bCs/>
          <w:sz w:val="20"/>
          <w:szCs w:val="20"/>
          <w:lang w:val="en-GB"/>
        </w:rPr>
        <w:t xml:space="preserve"> </w:t>
      </w:r>
      <w:r w:rsidRPr="00531062">
        <w:rPr>
          <w:rFonts w:ascii="Times New Roman" w:hAnsi="Times New Roman"/>
          <w:bCs/>
          <w:sz w:val="20"/>
          <w:szCs w:val="20"/>
          <w:lang w:val="en-GB"/>
        </w:rPr>
        <w:t>055002/53419).</w:t>
      </w:r>
    </w:p>
    <w:p w14:paraId="7FDC64FF" w14:textId="77777777" w:rsidR="006768E9" w:rsidRPr="00F447A7" w:rsidRDefault="006768E9" w:rsidP="002B412F">
      <w:pPr>
        <w:spacing w:after="0"/>
        <w:jc w:val="center"/>
        <w:rPr>
          <w:rFonts w:ascii="Times New Roman" w:hAnsi="Times New Roman"/>
          <w:noProof/>
          <w:sz w:val="20"/>
          <w:szCs w:val="20"/>
          <w:lang w:bidi="ar-SA"/>
        </w:rPr>
      </w:pPr>
    </w:p>
    <w:p w14:paraId="451B82AC" w14:textId="777777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400B759F"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Curtis, N. F. (1968). Macrocyclic coordination compounds formed by condensation of metal-amine complexes with aliphatic carbonyl compounds. </w:t>
      </w:r>
      <w:r w:rsidRPr="00531062">
        <w:rPr>
          <w:rFonts w:ascii="Times New Roman" w:hAnsi="Times New Roman"/>
          <w:i/>
          <w:iCs/>
          <w:sz w:val="20"/>
          <w:szCs w:val="20"/>
          <w:lang w:val="en-MY"/>
        </w:rPr>
        <w:t>Coordination Chemistry Reviews</w:t>
      </w:r>
      <w:r w:rsidRPr="00531062">
        <w:rPr>
          <w:rFonts w:ascii="Times New Roman" w:hAnsi="Times New Roman"/>
          <w:sz w:val="20"/>
          <w:szCs w:val="20"/>
          <w:lang w:val="en-MY"/>
        </w:rPr>
        <w:t>, 3(1): 3-47.</w:t>
      </w:r>
    </w:p>
    <w:p w14:paraId="12AC2C81"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Pedersen, C. J. (1967). Cyclic polythers and their complexes with metals salts. </w:t>
      </w:r>
      <w:r w:rsidRPr="00531062">
        <w:rPr>
          <w:rFonts w:ascii="Times New Roman" w:hAnsi="Times New Roman"/>
          <w:i/>
          <w:iCs/>
          <w:sz w:val="20"/>
          <w:szCs w:val="20"/>
          <w:lang w:val="en-MY"/>
        </w:rPr>
        <w:t>Journal of the American Chemical Society</w:t>
      </w:r>
      <w:r w:rsidRPr="00531062">
        <w:rPr>
          <w:rFonts w:ascii="Times New Roman" w:hAnsi="Times New Roman"/>
          <w:sz w:val="20"/>
          <w:szCs w:val="20"/>
          <w:lang w:val="en-MY"/>
        </w:rPr>
        <w:t>, 89(I): 2495-2496.</w:t>
      </w:r>
    </w:p>
    <w:p w14:paraId="72341F3C"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Chandra, S. and Gupta, L. K. (2005). Spectroscopic studies on Co(II), Ni(II) and Cu(II) complexes with a new macrocyclic ligand: 2,9-dipropyl-3,10-dimethyl-1,4,8,11-tetraaza-5,7:12,14-dibenzocyclotetradeca-1, 3,8,10-tetraene. </w:t>
      </w:r>
      <w:r w:rsidRPr="00531062">
        <w:rPr>
          <w:rFonts w:ascii="Times New Roman" w:hAnsi="Times New Roman"/>
          <w:i/>
          <w:iCs/>
          <w:sz w:val="20"/>
          <w:szCs w:val="20"/>
          <w:lang w:val="en-MY"/>
        </w:rPr>
        <w:t>Spectrochimica Acta - Part A: Molecular and Biomolecular Spectroscopy</w:t>
      </w:r>
      <w:r w:rsidRPr="00531062">
        <w:rPr>
          <w:rFonts w:ascii="Times New Roman" w:hAnsi="Times New Roman"/>
          <w:sz w:val="20"/>
          <w:szCs w:val="20"/>
          <w:lang w:val="en-MY"/>
        </w:rPr>
        <w:t>, 61(6): 1181-1188.</w:t>
      </w:r>
    </w:p>
    <w:p w14:paraId="549F40D9"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Tseberlidis, G., Demonti, L., Pirovano, V., Scavini, M., Cappelli, S., Rizzato, S. and Caselli, A. (2019). Controlling selectivity in alkene oxidation: anion driven epoxidation or dihydroxylation catalysed by [iron(iii)(pyridine-containing ligand)] complexes. </w:t>
      </w:r>
      <w:r w:rsidRPr="00531062">
        <w:rPr>
          <w:rFonts w:ascii="Times New Roman" w:hAnsi="Times New Roman"/>
          <w:i/>
          <w:iCs/>
          <w:sz w:val="20"/>
          <w:szCs w:val="20"/>
          <w:lang w:val="en-MY"/>
        </w:rPr>
        <w:t>ChemCatChem</w:t>
      </w:r>
      <w:r w:rsidRPr="00531062">
        <w:rPr>
          <w:rFonts w:ascii="Times New Roman" w:hAnsi="Times New Roman"/>
          <w:sz w:val="20"/>
          <w:szCs w:val="20"/>
          <w:lang w:val="en-MY"/>
        </w:rPr>
        <w:t>, 11(19): 4907-4915.</w:t>
      </w:r>
    </w:p>
    <w:p w14:paraId="7C87AF01"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Chizhova, N. V., Ivanova, Y. B., Rusanov, A. I., Khrushkova, Y. V. and Mamardashvili, N. Z. (2019). Synthesis and spectral and fluorescent properties of metal complexes of octakis(4-flurophenyl)tetraazaporphyrins. </w:t>
      </w:r>
      <w:r w:rsidRPr="00531062">
        <w:rPr>
          <w:rFonts w:ascii="Times New Roman" w:hAnsi="Times New Roman"/>
          <w:i/>
          <w:iCs/>
          <w:sz w:val="20"/>
          <w:szCs w:val="20"/>
          <w:lang w:val="en-MY"/>
        </w:rPr>
        <w:t>Russian Journal of Organic Chemistry</w:t>
      </w:r>
      <w:r w:rsidRPr="00531062">
        <w:rPr>
          <w:rFonts w:ascii="Times New Roman" w:hAnsi="Times New Roman"/>
          <w:sz w:val="20"/>
          <w:szCs w:val="20"/>
          <w:lang w:val="en-MY"/>
        </w:rPr>
        <w:t>, 55(5): 655-661.</w:t>
      </w:r>
    </w:p>
    <w:p w14:paraId="7C51A1F6"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Yamazaki, S. Ichi, Asahi, M., Taguchi, N. and Ioroi, T. (2019). Electrochemical analysis of the porphyrazine-induced enhancement of orr activity of pt catalysts for the development of porphyrazine-adsorbed Pt catalysts. </w:t>
      </w:r>
      <w:r w:rsidRPr="00531062">
        <w:rPr>
          <w:rFonts w:ascii="Times New Roman" w:hAnsi="Times New Roman"/>
          <w:i/>
          <w:iCs/>
          <w:sz w:val="20"/>
          <w:szCs w:val="20"/>
          <w:lang w:val="en-MY"/>
        </w:rPr>
        <w:t>Journal of Electroanalytical Chemistry</w:t>
      </w:r>
      <w:r w:rsidRPr="00531062">
        <w:rPr>
          <w:rFonts w:ascii="Times New Roman" w:hAnsi="Times New Roman"/>
          <w:sz w:val="20"/>
          <w:szCs w:val="20"/>
          <w:lang w:val="en-MY"/>
        </w:rPr>
        <w:t>, 848(113321): 3-10.</w:t>
      </w:r>
    </w:p>
    <w:p w14:paraId="62BF4A15"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Tahir, M. N., Abdulhamied, E., Nyayachavadi, A., Selivanova, M., Eichhorn, S. H. and Rondeau-</w:t>
      </w:r>
      <w:r w:rsidRPr="00531062">
        <w:rPr>
          <w:rFonts w:ascii="Times New Roman" w:hAnsi="Times New Roman"/>
          <w:sz w:val="20"/>
          <w:szCs w:val="20"/>
          <w:lang w:val="en-MY"/>
        </w:rPr>
        <w:t xml:space="preserve">Gagné, S. (2019). Topochemical polymerization of a nematic tetraazaporphyrin derivative to generate soluble polydiacetylene nanowires. </w:t>
      </w:r>
      <w:r w:rsidRPr="00531062">
        <w:rPr>
          <w:rFonts w:ascii="Times New Roman" w:hAnsi="Times New Roman"/>
          <w:i/>
          <w:iCs/>
          <w:sz w:val="20"/>
          <w:szCs w:val="20"/>
          <w:lang w:val="en-MY"/>
        </w:rPr>
        <w:t>Langmuir</w:t>
      </w:r>
      <w:r w:rsidRPr="00531062">
        <w:rPr>
          <w:rFonts w:ascii="Times New Roman" w:hAnsi="Times New Roman"/>
          <w:sz w:val="20"/>
          <w:szCs w:val="20"/>
          <w:lang w:val="en-MY"/>
        </w:rPr>
        <w:t>, 35(47):15158-15167.</w:t>
      </w:r>
    </w:p>
    <w:p w14:paraId="5F8A013C"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Boudebouz, I., Arrous, S., Plotnikov, E., Voronova, O. and Bakibaev, A. (2019). Synthesis and antioxidant activity of some new thioglycoluril derivatives. </w:t>
      </w:r>
      <w:r w:rsidRPr="00531062">
        <w:rPr>
          <w:rFonts w:ascii="Times New Roman" w:hAnsi="Times New Roman"/>
          <w:i/>
          <w:iCs/>
          <w:sz w:val="20"/>
          <w:szCs w:val="20"/>
          <w:lang w:val="en-MY"/>
        </w:rPr>
        <w:t>Journal of Sulfur Chemistry</w:t>
      </w:r>
      <w:r w:rsidRPr="00531062">
        <w:rPr>
          <w:rFonts w:ascii="Times New Roman" w:hAnsi="Times New Roman"/>
          <w:sz w:val="20"/>
          <w:szCs w:val="20"/>
          <w:lang w:val="en-MY"/>
        </w:rPr>
        <w:t>, 40(4): 389-399.</w:t>
      </w:r>
    </w:p>
    <w:p w14:paraId="4C5E536E"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Khabibullina, G. R., Zaynullina, F. T., Tyumkina, T. V., Yanybin, V. M. and Ibragimov, A. G. (2019). Catalytic aminomethylation of α,ω-diacetylenes with secondary diamines and aldehydes as an efficient approach to diaza alkatetraynes and tetraaza tetraacetylenic macrocycles. </w:t>
      </w:r>
      <w:r w:rsidRPr="00531062">
        <w:rPr>
          <w:rFonts w:ascii="Times New Roman" w:hAnsi="Times New Roman"/>
          <w:i/>
          <w:iCs/>
          <w:sz w:val="20"/>
          <w:szCs w:val="20"/>
          <w:lang w:val="en-MY"/>
        </w:rPr>
        <w:t>Russian Chemical Bulletin</w:t>
      </w:r>
      <w:r w:rsidRPr="00531062">
        <w:rPr>
          <w:rFonts w:ascii="Times New Roman" w:hAnsi="Times New Roman"/>
          <w:sz w:val="20"/>
          <w:szCs w:val="20"/>
          <w:lang w:val="en-MY"/>
        </w:rPr>
        <w:t>, 68(7): 1407-1413.</w:t>
      </w:r>
    </w:p>
    <w:p w14:paraId="59B38DBC"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Chen, J., Zhang, T., Liu, X. and Shen, L. (2019). Enantioselective synthesis of (S)-Γ-amino alcohols by Ru/Rh/Ir catalyzed asymmetric transfer hydrogenation (ATH) with tunable chiral tetraaza ligands in water. </w:t>
      </w:r>
      <w:r w:rsidRPr="00531062">
        <w:rPr>
          <w:rFonts w:ascii="Times New Roman" w:hAnsi="Times New Roman"/>
          <w:i/>
          <w:iCs/>
          <w:sz w:val="20"/>
          <w:szCs w:val="20"/>
          <w:lang w:val="en-MY"/>
        </w:rPr>
        <w:t>Catalysis Letters</w:t>
      </w:r>
      <w:r w:rsidRPr="00531062">
        <w:rPr>
          <w:rFonts w:ascii="Times New Roman" w:hAnsi="Times New Roman"/>
          <w:sz w:val="20"/>
          <w:szCs w:val="20"/>
          <w:lang w:val="en-MY"/>
        </w:rPr>
        <w:t>, 149(2): 601-609.</w:t>
      </w:r>
    </w:p>
    <w:p w14:paraId="585138EA"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Panchbhai, M. A. and Bhave, N. S. (2009). Novel Ni (II) tetraaza macrocyclic complex: Synthesis and characterization. </w:t>
      </w:r>
      <w:r w:rsidRPr="00531062">
        <w:rPr>
          <w:rFonts w:ascii="Times New Roman" w:hAnsi="Times New Roman"/>
          <w:i/>
          <w:iCs/>
          <w:sz w:val="20"/>
          <w:szCs w:val="20"/>
          <w:lang w:val="en-MY"/>
        </w:rPr>
        <w:t>International Journal of Chemical Sciences</w:t>
      </w:r>
      <w:r w:rsidRPr="00531062">
        <w:rPr>
          <w:rFonts w:ascii="Times New Roman" w:hAnsi="Times New Roman"/>
          <w:sz w:val="20"/>
          <w:szCs w:val="20"/>
          <w:lang w:val="en-MY"/>
        </w:rPr>
        <w:t>, 7(2): 997-1003.</w:t>
      </w:r>
    </w:p>
    <w:p w14:paraId="3F015E1F"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Savastano, M., Arranz-Mascarós, P., Bazzicalupi, C., Clares, M. P., Godino-Salido, M. L., Guijarro, L. and López-Garzón, R. (2017). Polyfunctional tetraaza-macrocyclic ligands: Zn(II), Cu(II) binding and formation of hybrid materials with multiwalled carbon nanotubes. </w:t>
      </w:r>
      <w:r w:rsidRPr="00531062">
        <w:rPr>
          <w:rFonts w:ascii="Times New Roman" w:hAnsi="Times New Roman"/>
          <w:i/>
          <w:iCs/>
          <w:sz w:val="20"/>
          <w:szCs w:val="20"/>
          <w:lang w:val="en-MY"/>
        </w:rPr>
        <w:t>ACS Omega</w:t>
      </w:r>
      <w:r w:rsidRPr="00531062">
        <w:rPr>
          <w:rFonts w:ascii="Times New Roman" w:hAnsi="Times New Roman"/>
          <w:sz w:val="20"/>
          <w:szCs w:val="20"/>
          <w:lang w:val="en-MY"/>
        </w:rPr>
        <w:t>, 2(7): 3868-3877.</w:t>
      </w:r>
    </w:p>
    <w:p w14:paraId="3284A16E"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El-boraey, H. A., El-Salamony, M.E. and Hathout, A. A. (2016). Macrocyclic [N5] transition metal complexes: Synthesis, characterization and biological activities. </w:t>
      </w:r>
      <w:r w:rsidRPr="00531062">
        <w:rPr>
          <w:rFonts w:ascii="Times New Roman" w:hAnsi="Times New Roman"/>
          <w:i/>
          <w:iCs/>
          <w:sz w:val="20"/>
          <w:szCs w:val="20"/>
          <w:lang w:val="en-MY"/>
        </w:rPr>
        <w:t>Journal of Inclusion Phenomena and Macrocyclic Chemistry</w:t>
      </w:r>
      <w:r w:rsidRPr="00531062">
        <w:rPr>
          <w:rFonts w:ascii="Times New Roman" w:hAnsi="Times New Roman"/>
          <w:sz w:val="20"/>
          <w:szCs w:val="20"/>
          <w:lang w:val="en-MY"/>
        </w:rPr>
        <w:t>, 86: 153-166.</w:t>
      </w:r>
    </w:p>
    <w:p w14:paraId="2531CE75" w14:textId="10456B1B" w:rsidR="00D72F1F"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Ramadan, A. E. M. M., Shaban, S. Y., Khalil, S. M. E., Shebl, M. and El-Naem, R. A. S. (2017).  Synthesis and characterization of N</w:t>
      </w:r>
      <w:r w:rsidRPr="00531062">
        <w:rPr>
          <w:rFonts w:ascii="Times New Roman" w:hAnsi="Times New Roman"/>
          <w:sz w:val="20"/>
          <w:szCs w:val="20"/>
          <w:vertAlign w:val="subscript"/>
          <w:lang w:val="en-MY"/>
        </w:rPr>
        <w:t>3</w:t>
      </w:r>
      <w:r w:rsidRPr="00531062">
        <w:rPr>
          <w:rFonts w:ascii="Times New Roman" w:hAnsi="Times New Roman"/>
          <w:sz w:val="20"/>
          <w:szCs w:val="20"/>
          <w:lang w:val="en-MY"/>
        </w:rPr>
        <w:t>S</w:t>
      </w:r>
      <w:r w:rsidRPr="00531062">
        <w:rPr>
          <w:rFonts w:ascii="Times New Roman" w:hAnsi="Times New Roman"/>
          <w:sz w:val="20"/>
          <w:szCs w:val="20"/>
          <w:vertAlign w:val="subscript"/>
          <w:lang w:val="en-MY"/>
        </w:rPr>
        <w:t>2</w:t>
      </w:r>
      <w:r w:rsidRPr="00531062">
        <w:rPr>
          <w:rFonts w:ascii="Times New Roman" w:hAnsi="Times New Roman"/>
          <w:sz w:val="20"/>
          <w:szCs w:val="20"/>
          <w:lang w:val="en-MY"/>
        </w:rPr>
        <w:t xml:space="preserve"> donors macrocyclic copper (II) complexes. Catechol oxidase and phenoxazinone synthase biomimetic catalytic activity. </w:t>
      </w:r>
      <w:r w:rsidRPr="00531062">
        <w:rPr>
          <w:rFonts w:ascii="Times New Roman" w:hAnsi="Times New Roman"/>
          <w:i/>
          <w:iCs/>
          <w:sz w:val="20"/>
          <w:szCs w:val="20"/>
          <w:lang w:val="en-MY"/>
        </w:rPr>
        <w:t>Journal of the Chinese Advanced Materials Society</w:t>
      </w:r>
      <w:r w:rsidRPr="00531062">
        <w:rPr>
          <w:rFonts w:ascii="Times New Roman" w:hAnsi="Times New Roman"/>
          <w:sz w:val="20"/>
          <w:szCs w:val="20"/>
          <w:lang w:val="en-MY"/>
        </w:rPr>
        <w:t>, 5(4): 215-240.</w:t>
      </w:r>
    </w:p>
    <w:p w14:paraId="522A9E5C" w14:textId="77777777" w:rsidR="0044613D" w:rsidRPr="0044613D" w:rsidRDefault="0044613D" w:rsidP="0044613D">
      <w:pPr>
        <w:widowControl w:val="0"/>
        <w:autoSpaceDE w:val="0"/>
        <w:autoSpaceDN w:val="0"/>
        <w:spacing w:after="0"/>
        <w:jc w:val="both"/>
        <w:outlineLvl w:val="0"/>
        <w:rPr>
          <w:rFonts w:ascii="Times New Roman" w:hAnsi="Times New Roman"/>
          <w:sz w:val="20"/>
          <w:szCs w:val="20"/>
          <w:lang w:val="en-MY"/>
        </w:rPr>
      </w:pPr>
    </w:p>
    <w:p w14:paraId="02CA1BA6"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lastRenderedPageBreak/>
        <w:t xml:space="preserve">Yusuf, M. M. and Salga, M. S. (2019). Synthesis and study of the efficacies of tetraaza macrocyclic ligand for the adsorption of heavy metals from wastewater. </w:t>
      </w:r>
      <w:r w:rsidRPr="00531062">
        <w:rPr>
          <w:rFonts w:ascii="Times New Roman" w:hAnsi="Times New Roman"/>
          <w:i/>
          <w:iCs/>
          <w:sz w:val="20"/>
          <w:szCs w:val="20"/>
          <w:lang w:val="en-MY"/>
        </w:rPr>
        <w:t>Bayero Journal of Pure and Applied Sciences</w:t>
      </w:r>
      <w:r w:rsidRPr="00531062">
        <w:rPr>
          <w:rFonts w:ascii="Times New Roman" w:hAnsi="Times New Roman"/>
          <w:sz w:val="20"/>
          <w:szCs w:val="20"/>
          <w:lang w:val="en-MY"/>
        </w:rPr>
        <w:t>, 11(1): 126.</w:t>
      </w:r>
    </w:p>
    <w:p w14:paraId="1E936B2D"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Chaudhary, A. and Rawat, E. (2014). Macrocyclic assembly: A dive into the pecking order and applied aspects of multitalented metallomacrocycles. </w:t>
      </w:r>
      <w:r w:rsidRPr="00531062">
        <w:rPr>
          <w:rFonts w:ascii="Times New Roman" w:hAnsi="Times New Roman"/>
          <w:i/>
          <w:iCs/>
          <w:sz w:val="20"/>
          <w:szCs w:val="20"/>
          <w:lang w:val="en-MY"/>
        </w:rPr>
        <w:t>International Journal of Inorganic Chemistry</w:t>
      </w:r>
      <w:r w:rsidRPr="00531062">
        <w:rPr>
          <w:rFonts w:ascii="Times New Roman" w:hAnsi="Times New Roman"/>
          <w:sz w:val="20"/>
          <w:szCs w:val="20"/>
          <w:lang w:val="en-MY"/>
        </w:rPr>
        <w:t>, 2014: 1-30.</w:t>
      </w:r>
    </w:p>
    <w:p w14:paraId="188355D9"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Wankhede, D. S., Wagh, P. B. and Hangirgekar, S. P. (2015). Synthesis and characterization of tetraazamacrocyclic complexes using silica supported perchloric acid (HClO</w:t>
      </w:r>
      <w:r w:rsidRPr="00531062">
        <w:rPr>
          <w:rFonts w:ascii="Times New Roman" w:hAnsi="Times New Roman"/>
          <w:sz w:val="20"/>
          <w:szCs w:val="20"/>
          <w:vertAlign w:val="subscript"/>
          <w:lang w:val="en-MY"/>
        </w:rPr>
        <w:t>4</w:t>
      </w:r>
      <w:r w:rsidRPr="00531062">
        <w:rPr>
          <w:rFonts w:ascii="Times New Roman" w:hAnsi="Times New Roman"/>
          <w:sz w:val="20"/>
          <w:szCs w:val="20"/>
          <w:lang w:val="en-MY"/>
        </w:rPr>
        <w:t>:SiO</w:t>
      </w:r>
      <w:r w:rsidRPr="00531062">
        <w:rPr>
          <w:rFonts w:ascii="Times New Roman" w:hAnsi="Times New Roman"/>
          <w:sz w:val="20"/>
          <w:szCs w:val="20"/>
          <w:vertAlign w:val="subscript"/>
          <w:lang w:val="en-MY"/>
        </w:rPr>
        <w:t>2</w:t>
      </w:r>
      <w:r w:rsidRPr="00531062">
        <w:rPr>
          <w:rFonts w:ascii="Times New Roman" w:hAnsi="Times New Roman"/>
          <w:sz w:val="20"/>
          <w:szCs w:val="20"/>
          <w:lang w:val="en-MY"/>
        </w:rPr>
        <w:t xml:space="preserve">) as catalyst. </w:t>
      </w:r>
      <w:r w:rsidRPr="00531062">
        <w:rPr>
          <w:rFonts w:ascii="Times New Roman" w:hAnsi="Times New Roman"/>
          <w:i/>
          <w:iCs/>
          <w:sz w:val="20"/>
          <w:szCs w:val="20"/>
          <w:lang w:val="en-MY"/>
        </w:rPr>
        <w:t>Journal of Chemical and Pharmaceutical Research</w:t>
      </w:r>
      <w:r w:rsidRPr="00531062">
        <w:rPr>
          <w:rFonts w:ascii="Times New Roman" w:hAnsi="Times New Roman"/>
          <w:sz w:val="20"/>
          <w:szCs w:val="20"/>
          <w:lang w:val="en-MY"/>
        </w:rPr>
        <w:t>, 7(12): 1153-1159.</w:t>
      </w:r>
    </w:p>
    <w:p w14:paraId="01812EAB"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Knops, P., Sendhoff, N., Mekelburger, H. B. and Vögtle, F. (1992). Cyclophanes I. Springer Berlin Heidelberg, Berlin. 161: pp. 1-36.</w:t>
      </w:r>
    </w:p>
    <w:p w14:paraId="53E7F883"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Bhake, A., Shastri, S. and Limaye, N. (2014). A review on macrocyclic complexes. </w:t>
      </w:r>
      <w:r w:rsidRPr="00531062">
        <w:rPr>
          <w:rFonts w:ascii="Times New Roman" w:hAnsi="Times New Roman"/>
          <w:i/>
          <w:iCs/>
          <w:sz w:val="20"/>
          <w:szCs w:val="20"/>
          <w:lang w:val="en-MY"/>
        </w:rPr>
        <w:t>Chemical Science Review and Letters</w:t>
      </w:r>
      <w:r w:rsidRPr="00531062">
        <w:rPr>
          <w:rFonts w:ascii="Times New Roman" w:hAnsi="Times New Roman"/>
          <w:sz w:val="20"/>
          <w:szCs w:val="20"/>
          <w:lang w:val="en-MY"/>
        </w:rPr>
        <w:t>, 2(6): 449-455.</w:t>
      </w:r>
    </w:p>
    <w:p w14:paraId="0535A1BF"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Cole, R. J., Kirksey, J. W., Hill, R. K., Carlson, R. M. and Isidor, J. L. (1974). Nitrogen analogs of crown ethers. </w:t>
      </w:r>
      <w:r w:rsidRPr="00531062">
        <w:rPr>
          <w:rFonts w:ascii="Times New Roman" w:hAnsi="Times New Roman"/>
          <w:i/>
          <w:iCs/>
          <w:sz w:val="20"/>
          <w:szCs w:val="20"/>
          <w:lang w:val="en-MY"/>
        </w:rPr>
        <w:t>Journal of the American Chemical Society</w:t>
      </w:r>
      <w:r w:rsidRPr="00531062">
        <w:rPr>
          <w:rFonts w:ascii="Times New Roman" w:hAnsi="Times New Roman"/>
          <w:sz w:val="20"/>
          <w:szCs w:val="20"/>
          <w:lang w:val="en-MY"/>
        </w:rPr>
        <w:t>, 1(1): 2268-2270.</w:t>
      </w:r>
    </w:p>
    <w:p w14:paraId="758AC765"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Hoye, R. C., Hoye, R. C., Richman, J. E., Dantas, G. A., Lightbourne, M. F. and Scott Shinneman, L. (2001). Synthesis of polyazamacrocyclic compounds via modified richman-atkins cyclization of β-trimethylsilylethanesulfonamides. </w:t>
      </w:r>
      <w:r w:rsidRPr="00531062">
        <w:rPr>
          <w:rFonts w:ascii="Times New Roman" w:hAnsi="Times New Roman"/>
          <w:i/>
          <w:iCs/>
          <w:sz w:val="20"/>
          <w:szCs w:val="20"/>
          <w:lang w:val="en-MY"/>
        </w:rPr>
        <w:t>Journal of Organic Chemistry</w:t>
      </w:r>
      <w:r w:rsidRPr="00531062">
        <w:rPr>
          <w:rFonts w:ascii="Times New Roman" w:hAnsi="Times New Roman"/>
          <w:sz w:val="20"/>
          <w:szCs w:val="20"/>
          <w:lang w:val="en-MY"/>
        </w:rPr>
        <w:t>, 66(8): 2722-2725.</w:t>
      </w:r>
    </w:p>
    <w:p w14:paraId="68105192"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Shakir, M. and Varkey, S. P. (1995). A new synthetic route for the preparation of a new series of 14-22-membered tetraoxomacrocyclic tetraamines and their transition metal complexes. </w:t>
      </w:r>
      <w:r w:rsidRPr="00531062">
        <w:rPr>
          <w:rFonts w:ascii="Times New Roman" w:hAnsi="Times New Roman"/>
          <w:i/>
          <w:iCs/>
          <w:sz w:val="20"/>
          <w:szCs w:val="20"/>
          <w:lang w:val="en-MY"/>
        </w:rPr>
        <w:t>Polyhedron</w:t>
      </w:r>
      <w:r w:rsidRPr="00531062">
        <w:rPr>
          <w:rFonts w:ascii="Times New Roman" w:hAnsi="Times New Roman"/>
          <w:sz w:val="20"/>
          <w:szCs w:val="20"/>
          <w:lang w:val="en-MY"/>
        </w:rPr>
        <w:t>, 14(9): 1117-1127.</w:t>
      </w:r>
    </w:p>
    <w:p w14:paraId="55162CD3"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Yu, X. and Zhang, J. (2018). Macrocyclic polyamines:</w:t>
      </w:r>
      <w:r w:rsidRPr="00531062">
        <w:rPr>
          <w:rFonts w:ascii="Times New Roman" w:hAnsi="Times New Roman"/>
          <w:i/>
          <w:iCs/>
          <w:sz w:val="20"/>
          <w:szCs w:val="20"/>
          <w:lang w:val="en-MY"/>
        </w:rPr>
        <w:t xml:space="preserve"> </w:t>
      </w:r>
      <w:r w:rsidRPr="00531062">
        <w:rPr>
          <w:rFonts w:ascii="Times New Roman" w:hAnsi="Times New Roman"/>
          <w:sz w:val="20"/>
          <w:szCs w:val="20"/>
          <w:lang w:val="en-MY"/>
        </w:rPr>
        <w:t>Synthesis and applications. Wiley-VCH Verlag GMbH &amp; Co. KGaA: pp. 7-44.</w:t>
      </w:r>
    </w:p>
    <w:p w14:paraId="4EC26BE0"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Rosen, W. and Busch, D. H. (1969). Nickel (II) complexes of cyclic tetradentate thioethers. </w:t>
      </w:r>
      <w:r w:rsidRPr="00531062">
        <w:rPr>
          <w:rFonts w:ascii="Times New Roman" w:hAnsi="Times New Roman"/>
          <w:i/>
          <w:iCs/>
          <w:sz w:val="20"/>
          <w:szCs w:val="20"/>
          <w:lang w:val="en-MY"/>
        </w:rPr>
        <w:t>Journal of the American Chemical Society</w:t>
      </w:r>
      <w:r w:rsidRPr="00531062">
        <w:rPr>
          <w:rFonts w:ascii="Times New Roman" w:hAnsi="Times New Roman"/>
          <w:sz w:val="20"/>
          <w:szCs w:val="20"/>
          <w:lang w:val="en-MY"/>
        </w:rPr>
        <w:t>, 91(17): 4694-4697.</w:t>
      </w:r>
    </w:p>
    <w:p w14:paraId="13B14652"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Travis, K. and Busch, D. H. (1974). Cobalt(III) and Rhodium(III) complexes of cyclic tetradentate </w:t>
      </w:r>
      <w:r w:rsidRPr="00531062">
        <w:rPr>
          <w:rFonts w:ascii="Times New Roman" w:hAnsi="Times New Roman"/>
          <w:sz w:val="20"/>
          <w:szCs w:val="20"/>
          <w:lang w:val="en-MY"/>
        </w:rPr>
        <w:t xml:space="preserve">thioethers. </w:t>
      </w:r>
      <w:r w:rsidRPr="00531062">
        <w:rPr>
          <w:rFonts w:ascii="Times New Roman" w:hAnsi="Times New Roman"/>
          <w:i/>
          <w:iCs/>
          <w:sz w:val="20"/>
          <w:szCs w:val="20"/>
          <w:lang w:val="en-MY"/>
        </w:rPr>
        <w:t>Inorganic Chemistry</w:t>
      </w:r>
      <w:r w:rsidRPr="00531062">
        <w:rPr>
          <w:rFonts w:ascii="Times New Roman" w:hAnsi="Times New Roman"/>
          <w:sz w:val="20"/>
          <w:szCs w:val="20"/>
          <w:lang w:val="en-MY"/>
        </w:rPr>
        <w:t xml:space="preserve">, </w:t>
      </w:r>
      <w:r w:rsidRPr="00531062">
        <w:rPr>
          <w:rFonts w:ascii="Times New Roman" w:hAnsi="Times New Roman"/>
          <w:i/>
          <w:iCs/>
          <w:sz w:val="20"/>
          <w:szCs w:val="20"/>
          <w:lang w:val="en-MY"/>
        </w:rPr>
        <w:t>13</w:t>
      </w:r>
      <w:r w:rsidRPr="00531062">
        <w:rPr>
          <w:rFonts w:ascii="Times New Roman" w:hAnsi="Times New Roman"/>
          <w:sz w:val="20"/>
          <w:szCs w:val="20"/>
          <w:lang w:val="en-MY"/>
        </w:rPr>
        <w:t>(11), 2591-2597.</w:t>
      </w:r>
    </w:p>
    <w:p w14:paraId="12E37861"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Sues, P. E., Cai, K., Mcintosh, D. F. and Morris, R. H. (2014). Template effect and ligand substitution methods for the synthesis of iron catalysts: A two-part experiment for inorganic chemistry. </w:t>
      </w:r>
      <w:r w:rsidRPr="00531062">
        <w:rPr>
          <w:rFonts w:ascii="Times New Roman" w:hAnsi="Times New Roman"/>
          <w:i/>
          <w:iCs/>
          <w:sz w:val="20"/>
          <w:szCs w:val="20"/>
          <w:lang w:val="en-MY"/>
        </w:rPr>
        <w:t>Journal of Chemical Education</w:t>
      </w:r>
      <w:r w:rsidRPr="00531062">
        <w:rPr>
          <w:rFonts w:ascii="Times New Roman" w:hAnsi="Times New Roman"/>
          <w:sz w:val="20"/>
          <w:szCs w:val="20"/>
          <w:lang w:val="en-MY"/>
        </w:rPr>
        <w:t>, 92(2): 378-381.</w:t>
      </w:r>
    </w:p>
    <w:p w14:paraId="3B8DEABE"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Cameron, J. H. (1995). Template synthesis of macrocyclic complexes: A laboratory project for advanced undergraduate students. </w:t>
      </w:r>
      <w:r w:rsidRPr="00531062">
        <w:rPr>
          <w:rFonts w:ascii="Times New Roman" w:hAnsi="Times New Roman"/>
          <w:i/>
          <w:iCs/>
          <w:sz w:val="20"/>
          <w:szCs w:val="20"/>
          <w:lang w:val="en-MY"/>
        </w:rPr>
        <w:t>Journal of Chemical Education</w:t>
      </w:r>
      <w:r w:rsidRPr="00531062">
        <w:rPr>
          <w:rFonts w:ascii="Times New Roman" w:hAnsi="Times New Roman"/>
          <w:sz w:val="20"/>
          <w:szCs w:val="20"/>
          <w:lang w:val="en-MY"/>
        </w:rPr>
        <w:t>, 72(11): 1033-1036.</w:t>
      </w:r>
    </w:p>
    <w:p w14:paraId="4E735C21"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Arion, B. (1999). Template synthesis of macrocyclic compounds. Wiley-VCH Verlag GMbH: pp. 1-27.</w:t>
      </w:r>
    </w:p>
    <w:p w14:paraId="3AA2476A"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Haque, A., Ilmi, R., Al-Busaidi, I. J. and Khan, M. S. (2017). Coordination chemistry and application of mono- and oligopyridine-based macrocycles. </w:t>
      </w:r>
      <w:r w:rsidRPr="00531062">
        <w:rPr>
          <w:rFonts w:ascii="Times New Roman" w:hAnsi="Times New Roman"/>
          <w:i/>
          <w:iCs/>
          <w:sz w:val="20"/>
          <w:szCs w:val="20"/>
          <w:lang w:val="en-MY"/>
        </w:rPr>
        <w:t>Coordination Chemistry Reviews</w:t>
      </w:r>
      <w:r w:rsidRPr="00531062">
        <w:rPr>
          <w:rFonts w:ascii="Times New Roman" w:hAnsi="Times New Roman"/>
          <w:sz w:val="20"/>
          <w:szCs w:val="20"/>
          <w:lang w:val="en-MY"/>
        </w:rPr>
        <w:t>, 350: 320-339.</w:t>
      </w:r>
    </w:p>
    <w:p w14:paraId="7E9A76C9"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Alam, M. M. (2011). Template synthesis of new type of macrocyclic molecule derived from pyridine-2, 6-decarboxaldehyde and 1,2-bis(2-aminoethoxy) ethane. </w:t>
      </w:r>
      <w:r w:rsidRPr="00531062">
        <w:rPr>
          <w:rFonts w:ascii="Times New Roman" w:hAnsi="Times New Roman"/>
          <w:i/>
          <w:iCs/>
          <w:sz w:val="20"/>
          <w:szCs w:val="20"/>
          <w:lang w:val="en-MY"/>
        </w:rPr>
        <w:t>Journal of Bangladesh Academy of Sciences</w:t>
      </w:r>
      <w:r w:rsidRPr="00531062">
        <w:rPr>
          <w:rFonts w:ascii="Times New Roman" w:hAnsi="Times New Roman"/>
          <w:sz w:val="20"/>
          <w:szCs w:val="20"/>
          <w:lang w:val="en-MY"/>
        </w:rPr>
        <w:t>, 35(1): 61-65.</w:t>
      </w:r>
    </w:p>
    <w:p w14:paraId="06CBEF97"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Edwards. F. and Hahn, P.G. (2011). Synthesis and coordination chemistry of macrocyclic ligands featuring NHC donor groups. </w:t>
      </w:r>
      <w:r w:rsidRPr="00531062">
        <w:rPr>
          <w:rFonts w:ascii="Times New Roman" w:hAnsi="Times New Roman"/>
          <w:i/>
          <w:iCs/>
          <w:sz w:val="20"/>
          <w:szCs w:val="20"/>
          <w:lang w:val="en-MY"/>
        </w:rPr>
        <w:t>The Royal Society of Chemistry</w:t>
      </w:r>
      <w:r w:rsidRPr="00531062">
        <w:rPr>
          <w:rFonts w:ascii="Times New Roman" w:hAnsi="Times New Roman"/>
          <w:sz w:val="20"/>
          <w:szCs w:val="20"/>
          <w:lang w:val="en-MY"/>
        </w:rPr>
        <w:t>, 40: 10278-10288.</w:t>
      </w:r>
    </w:p>
    <w:p w14:paraId="58B31CFD"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Truex, T. J. and Holm, R. H. (1971). Nontemplate synthesis of an unsaturated tetraaza[14] macrocycle and its metal(II) complexes. </w:t>
      </w:r>
      <w:r w:rsidRPr="00531062">
        <w:rPr>
          <w:rFonts w:ascii="Times New Roman" w:hAnsi="Times New Roman"/>
          <w:i/>
          <w:iCs/>
          <w:sz w:val="20"/>
          <w:szCs w:val="20"/>
          <w:lang w:val="en-MY"/>
        </w:rPr>
        <w:t>Journal of the American Chemical Society</w:t>
      </w:r>
      <w:r w:rsidRPr="00531062">
        <w:rPr>
          <w:rFonts w:ascii="Times New Roman" w:hAnsi="Times New Roman"/>
          <w:sz w:val="20"/>
          <w:szCs w:val="20"/>
          <w:lang w:val="en-MY"/>
        </w:rPr>
        <w:t>, 93(1): 285-286.</w:t>
      </w:r>
    </w:p>
    <w:p w14:paraId="6A6C0B65"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Borisova, N. E., Reshetova, M. D. and Ustynyuk, Y. A. (2007). Metal-free methods in the synthesis of macrocyclic Schiff bases. </w:t>
      </w:r>
      <w:r w:rsidRPr="00531062">
        <w:rPr>
          <w:rFonts w:ascii="Times New Roman" w:hAnsi="Times New Roman"/>
          <w:i/>
          <w:iCs/>
          <w:sz w:val="20"/>
          <w:szCs w:val="20"/>
          <w:lang w:val="en-MY"/>
        </w:rPr>
        <w:t>Chemical Reviews</w:t>
      </w:r>
      <w:r w:rsidRPr="00531062">
        <w:rPr>
          <w:rFonts w:ascii="Times New Roman" w:hAnsi="Times New Roman"/>
          <w:sz w:val="20"/>
          <w:szCs w:val="20"/>
          <w:lang w:val="en-MY"/>
        </w:rPr>
        <w:t>, 107(1): 46-79.</w:t>
      </w:r>
    </w:p>
    <w:p w14:paraId="0EFE91A3" w14:textId="21E5CFCA" w:rsidR="00E03D91" w:rsidRPr="00E03D91" w:rsidRDefault="00D72F1F" w:rsidP="0044613D">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sectPr w:rsidR="00E03D91" w:rsidRPr="00E03D91" w:rsidSect="0044613D">
          <w:footerReference w:type="even" r:id="rId44"/>
          <w:footerReference w:type="default" r:id="rId45"/>
          <w:type w:val="continuous"/>
          <w:pgSz w:w="12240" w:h="15840" w:code="1"/>
          <w:pgMar w:top="1800" w:right="1469" w:bottom="1699" w:left="1440" w:header="706" w:footer="706" w:gutter="0"/>
          <w:pgNumType w:start="1"/>
          <w:cols w:num="2" w:space="403"/>
          <w:docGrid w:linePitch="360"/>
        </w:sectPr>
      </w:pPr>
      <w:r w:rsidRPr="00531062">
        <w:rPr>
          <w:rFonts w:ascii="Times New Roman" w:hAnsi="Times New Roman"/>
          <w:sz w:val="20"/>
          <w:szCs w:val="20"/>
          <w:lang w:val="en-MY"/>
        </w:rPr>
        <w:t xml:space="preserve">Owston, P. G., Peters, R., Ramsammy, E., Tasker, P. A. and Trotter, J. (1980). Non-template synthesis of “N4” macrocyclic imine ligands with variable ring sizes: The importance of intramolecular hydrogen-bonding. X-ray crystal structures of three macrocyclic and two open-chain ligands. </w:t>
      </w:r>
      <w:r w:rsidRPr="00531062">
        <w:rPr>
          <w:rFonts w:ascii="Times New Roman" w:hAnsi="Times New Roman"/>
          <w:i/>
          <w:iCs/>
          <w:sz w:val="20"/>
          <w:szCs w:val="20"/>
          <w:lang w:val="en-MY"/>
        </w:rPr>
        <w:t>Journal of the Chemical Society, Chemical Communications</w:t>
      </w:r>
      <w:r w:rsidRPr="00531062">
        <w:rPr>
          <w:rFonts w:ascii="Times New Roman" w:hAnsi="Times New Roman"/>
          <w:sz w:val="20"/>
          <w:szCs w:val="20"/>
          <w:lang w:val="en-MY"/>
        </w:rPr>
        <w:t>, (24): 1218-1220.</w:t>
      </w:r>
    </w:p>
    <w:p w14:paraId="28532C48" w14:textId="12C4CC29" w:rsidR="00D72F1F" w:rsidRPr="00E03D91" w:rsidRDefault="00D72F1F" w:rsidP="00E03D91">
      <w:pPr>
        <w:pStyle w:val="ListParagraph"/>
        <w:widowControl w:val="0"/>
        <w:numPr>
          <w:ilvl w:val="0"/>
          <w:numId w:val="3"/>
        </w:numPr>
        <w:autoSpaceDE w:val="0"/>
        <w:autoSpaceDN w:val="0"/>
        <w:spacing w:after="0"/>
        <w:ind w:left="360"/>
        <w:jc w:val="both"/>
        <w:outlineLvl w:val="0"/>
        <w:rPr>
          <w:rFonts w:ascii="Times New Roman" w:hAnsi="Times New Roman"/>
          <w:sz w:val="20"/>
          <w:szCs w:val="20"/>
          <w:lang w:val="en-MY"/>
        </w:rPr>
      </w:pPr>
      <w:r w:rsidRPr="00E03D91">
        <w:rPr>
          <w:rFonts w:ascii="Times New Roman" w:hAnsi="Times New Roman"/>
          <w:sz w:val="20"/>
          <w:szCs w:val="20"/>
          <w:lang w:val="en-MY"/>
        </w:rPr>
        <w:lastRenderedPageBreak/>
        <w:t xml:space="preserve">Swamy, S. J., Veerapratap, B., Nagaraju, D., Suresh, K. and Someshwar, P. (2003). Non-template synthesis of “N4” di- and tetra-amide macrocylic ligands with variable ring sizes. </w:t>
      </w:r>
      <w:r w:rsidRPr="00E03D91">
        <w:rPr>
          <w:rFonts w:ascii="Times New Roman" w:hAnsi="Times New Roman"/>
          <w:i/>
          <w:iCs/>
          <w:sz w:val="20"/>
          <w:szCs w:val="20"/>
          <w:lang w:val="en-MY"/>
        </w:rPr>
        <w:t>Tetrahedron</w:t>
      </w:r>
      <w:r w:rsidRPr="00E03D91">
        <w:rPr>
          <w:rFonts w:ascii="Times New Roman" w:hAnsi="Times New Roman"/>
          <w:sz w:val="20"/>
          <w:szCs w:val="20"/>
          <w:lang w:val="en-MY"/>
        </w:rPr>
        <w:t>, 59(50): 10093-10096.</w:t>
      </w:r>
    </w:p>
    <w:p w14:paraId="19D6852C"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Chandra, S., Tyagi, M. and Agrawal, S. (2010). Synthesis and characterization of a tetraaza macrocyclic ligand and its cobalt(II), Nickel(II) and Copper(II) complexes. </w:t>
      </w:r>
      <w:r w:rsidRPr="00531062">
        <w:rPr>
          <w:rFonts w:ascii="Times New Roman" w:hAnsi="Times New Roman"/>
          <w:i/>
          <w:iCs/>
          <w:sz w:val="20"/>
          <w:szCs w:val="20"/>
          <w:lang w:val="en-MY"/>
        </w:rPr>
        <w:t>Journal of the Serbian Chemical Society</w:t>
      </w:r>
      <w:r w:rsidRPr="00531062">
        <w:rPr>
          <w:rFonts w:ascii="Times New Roman" w:hAnsi="Times New Roman"/>
          <w:sz w:val="20"/>
          <w:szCs w:val="20"/>
          <w:lang w:val="en-MY"/>
        </w:rPr>
        <w:t xml:space="preserve">, </w:t>
      </w:r>
      <w:r w:rsidRPr="00531062">
        <w:rPr>
          <w:rFonts w:ascii="Times New Roman" w:hAnsi="Times New Roman"/>
          <w:i/>
          <w:iCs/>
          <w:sz w:val="20"/>
          <w:szCs w:val="20"/>
          <w:lang w:val="en-MY"/>
        </w:rPr>
        <w:t>75</w:t>
      </w:r>
      <w:r w:rsidRPr="00531062">
        <w:rPr>
          <w:rFonts w:ascii="Times New Roman" w:hAnsi="Times New Roman"/>
          <w:sz w:val="20"/>
          <w:szCs w:val="20"/>
          <w:lang w:val="en-MY"/>
        </w:rPr>
        <w:t>(7): 935-941.</w:t>
      </w:r>
    </w:p>
    <w:p w14:paraId="55BFB99B"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Patil, N. and Akkasali, R. (2010). Non-template synthesis and antimicrobial activities of tetraazamacrocyclic ligands with variable ring sizes. </w:t>
      </w:r>
      <w:r w:rsidRPr="00531062">
        <w:rPr>
          <w:rFonts w:ascii="Times New Roman" w:hAnsi="Times New Roman"/>
          <w:i/>
          <w:iCs/>
          <w:sz w:val="20"/>
          <w:szCs w:val="20"/>
          <w:lang w:val="en-MY"/>
        </w:rPr>
        <w:t>International Journal of Pharma and Bio Sciences</w:t>
      </w:r>
      <w:r w:rsidRPr="00531062">
        <w:rPr>
          <w:rFonts w:ascii="Times New Roman" w:hAnsi="Times New Roman"/>
          <w:sz w:val="20"/>
          <w:szCs w:val="20"/>
          <w:lang w:val="en-MY"/>
        </w:rPr>
        <w:t>, 1(2): 1-6.</w:t>
      </w:r>
    </w:p>
    <w:p w14:paraId="37405A3B"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Sen, I., Yildiz, C. B. and Azizoglu, A. (2013). Non template synthesis, characterization and theoretical study of tetraazamacrocycles. </w:t>
      </w:r>
      <w:r w:rsidRPr="00531062">
        <w:rPr>
          <w:rFonts w:ascii="Times New Roman" w:hAnsi="Times New Roman"/>
          <w:i/>
          <w:iCs/>
          <w:sz w:val="20"/>
          <w:szCs w:val="20"/>
          <w:lang w:val="en-MY"/>
        </w:rPr>
        <w:t>Ovidius University Annals of Chemistry</w:t>
      </w:r>
      <w:r w:rsidRPr="00531062">
        <w:rPr>
          <w:rFonts w:ascii="Times New Roman" w:hAnsi="Times New Roman"/>
          <w:sz w:val="20"/>
          <w:szCs w:val="20"/>
          <w:lang w:val="en-MY"/>
        </w:rPr>
        <w:t>, 23(1): 121-127.</w:t>
      </w:r>
    </w:p>
    <w:p w14:paraId="3AD26AFE"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Nishat, N., Bhat, S. A., Kareem, A., Dhyani, S., Mohammad, A. and Mirza, A. U. (2018). Synthesis, characterization and biological analysis of transition metal complexes with macro cyclic ligands derived from adipic acid, ethylenediamine with diethyloxalate and diethylmalonate. </w:t>
      </w:r>
      <w:r w:rsidRPr="00531062">
        <w:rPr>
          <w:rFonts w:ascii="Times New Roman" w:hAnsi="Times New Roman"/>
          <w:i/>
          <w:iCs/>
          <w:sz w:val="20"/>
          <w:szCs w:val="20"/>
          <w:lang w:val="en-MY"/>
        </w:rPr>
        <w:t>Journal of Inclusion Phenomena and Macrocyclic Chemistry</w:t>
      </w:r>
      <w:r w:rsidRPr="00531062">
        <w:rPr>
          <w:rFonts w:ascii="Times New Roman" w:hAnsi="Times New Roman"/>
          <w:sz w:val="20"/>
          <w:szCs w:val="20"/>
          <w:lang w:val="en-MY"/>
        </w:rPr>
        <w:t>, 92(3–4): 395-409.</w:t>
      </w:r>
    </w:p>
    <w:p w14:paraId="355F58C8"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Anisimova, N. A., Khristoforova, E. I. and Trishin, Y. G. (2015). Cyclocondensation of ethylenediamine with acetone and methyl ethyl ketone as a synthetic route to 14-membered azamacrocyclic compounds. </w:t>
      </w:r>
      <w:r w:rsidRPr="00531062">
        <w:rPr>
          <w:rFonts w:ascii="Times New Roman" w:hAnsi="Times New Roman"/>
          <w:i/>
          <w:iCs/>
          <w:sz w:val="20"/>
          <w:szCs w:val="20"/>
          <w:lang w:val="en-MY"/>
        </w:rPr>
        <w:t>Russian Journal of General Chemistry</w:t>
      </w:r>
      <w:r w:rsidRPr="00531062">
        <w:rPr>
          <w:rFonts w:ascii="Times New Roman" w:hAnsi="Times New Roman"/>
          <w:sz w:val="20"/>
          <w:szCs w:val="20"/>
          <w:lang w:val="en-MY"/>
        </w:rPr>
        <w:t>, 85(9): 2080-2086.</w:t>
      </w:r>
    </w:p>
    <w:p w14:paraId="25DDC793"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Anisimova, N. A., Khristoforova, E. I. and Trishin, Y. G. (2016). Synthesis of azamacrocyclic compounds by cyclocondensation of aliphatic </w:t>
      </w:r>
      <w:r w:rsidRPr="00531062">
        <w:rPr>
          <w:rFonts w:ascii="Times New Roman" w:hAnsi="Times New Roman"/>
          <w:i/>
          <w:iCs/>
          <w:sz w:val="20"/>
          <w:szCs w:val="20"/>
          <w:lang w:val="en-MY"/>
        </w:rPr>
        <w:t>α,ω</w:t>
      </w:r>
      <w:r w:rsidRPr="00531062">
        <w:rPr>
          <w:rFonts w:ascii="Times New Roman" w:hAnsi="Times New Roman"/>
          <w:sz w:val="20"/>
          <w:szCs w:val="20"/>
          <w:lang w:val="en-MY"/>
        </w:rPr>
        <w:t xml:space="preserve">-diamines with acetone. </w:t>
      </w:r>
      <w:r w:rsidRPr="00531062">
        <w:rPr>
          <w:rFonts w:ascii="Times New Roman" w:hAnsi="Times New Roman"/>
          <w:i/>
          <w:iCs/>
          <w:sz w:val="20"/>
          <w:szCs w:val="20"/>
          <w:lang w:val="en-MY"/>
        </w:rPr>
        <w:t>Russian Journal of General Chemistry</w:t>
      </w:r>
      <w:r w:rsidRPr="00531062">
        <w:rPr>
          <w:rFonts w:ascii="Times New Roman" w:hAnsi="Times New Roman"/>
          <w:sz w:val="20"/>
          <w:szCs w:val="20"/>
          <w:lang w:val="en-MY"/>
        </w:rPr>
        <w:t>, 86(9): 2047-2051.</w:t>
      </w:r>
    </w:p>
    <w:p w14:paraId="483E20DA"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Hassan, N. H., Ali, N. M., Yamin, B. M., Karim, N. H. A. and Ghani, N. A. A. (2014). Synthesis and characterization of </w:t>
      </w:r>
      <w:bookmarkStart w:id="0" w:name="_Hlk75672222"/>
      <w:r w:rsidRPr="00531062">
        <w:rPr>
          <w:rFonts w:ascii="Times New Roman" w:hAnsi="Times New Roman"/>
          <w:sz w:val="20"/>
          <w:szCs w:val="20"/>
          <w:lang w:val="en-MY"/>
        </w:rPr>
        <w:t xml:space="preserve">5,5,7,12,12,14-hexamethyl-1,4,8,11-tetraazacyclotetradeca-7,14-dienium diperchlorate </w:t>
      </w:r>
      <w:bookmarkEnd w:id="0"/>
      <w:r w:rsidRPr="00531062">
        <w:rPr>
          <w:rFonts w:ascii="Times New Roman" w:hAnsi="Times New Roman"/>
          <w:sz w:val="20"/>
          <w:szCs w:val="20"/>
          <w:lang w:val="en-MY"/>
        </w:rPr>
        <w:t xml:space="preserve">copper(II) complex. </w:t>
      </w:r>
      <w:r w:rsidRPr="00531062">
        <w:rPr>
          <w:rFonts w:ascii="Times New Roman" w:hAnsi="Times New Roman"/>
          <w:i/>
          <w:iCs/>
          <w:sz w:val="20"/>
          <w:szCs w:val="20"/>
          <w:lang w:val="en-MY"/>
        </w:rPr>
        <w:t>Malaysian Journal of Analytical Sciences</w:t>
      </w:r>
      <w:r w:rsidRPr="00531062">
        <w:rPr>
          <w:rFonts w:ascii="Times New Roman" w:hAnsi="Times New Roman"/>
          <w:sz w:val="20"/>
          <w:szCs w:val="20"/>
          <w:lang w:val="en-MY"/>
        </w:rPr>
        <w:t>, 18(3): 562-571.</w:t>
      </w:r>
    </w:p>
    <w:p w14:paraId="127F2BDB"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Ali, N. M., Zaid, N. A. M., Karim, N. H. A., Yamin, B. M. and Hassan, N. H. (2018). Pengkompleksan 5,5,7,12,12,14-heksametil-1,4,8,11-tetraazasiklo tetraazadeka-7,14-dienium diperklorat dengan kuprum(II) asetat monohidrat dalam cecair ionik. </w:t>
      </w:r>
      <w:r w:rsidRPr="00531062">
        <w:rPr>
          <w:rFonts w:ascii="Times New Roman" w:hAnsi="Times New Roman"/>
          <w:i/>
          <w:iCs/>
          <w:sz w:val="20"/>
          <w:szCs w:val="20"/>
          <w:lang w:val="en-MY"/>
        </w:rPr>
        <w:t>Malaysian Journal of Analytical Sciences</w:t>
      </w:r>
      <w:r w:rsidRPr="00531062">
        <w:rPr>
          <w:rFonts w:ascii="Times New Roman" w:hAnsi="Times New Roman"/>
          <w:sz w:val="20"/>
          <w:szCs w:val="20"/>
          <w:lang w:val="en-MY"/>
        </w:rPr>
        <w:t>, 22(1): 27-34.</w:t>
      </w:r>
    </w:p>
    <w:p w14:paraId="33C2302C"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Fairus, S., Yusoff, M., Yamin, B. M. and Leng, O. W. (2015). Synthesis, characterization, and antibacterial activity of Cu(II), Ni(II), and Zn(II) complexes of 14-membered macrocyclic tetraaza ligand. </w:t>
      </w:r>
      <w:r w:rsidRPr="00531062">
        <w:rPr>
          <w:rFonts w:ascii="Times New Roman" w:hAnsi="Times New Roman"/>
          <w:i/>
          <w:iCs/>
          <w:sz w:val="20"/>
          <w:szCs w:val="20"/>
          <w:lang w:val="en-MY"/>
        </w:rPr>
        <w:t>Oriental Journal of Chemistry</w:t>
      </w:r>
      <w:r w:rsidRPr="00531062">
        <w:rPr>
          <w:rFonts w:ascii="Times New Roman" w:hAnsi="Times New Roman"/>
          <w:sz w:val="20"/>
          <w:szCs w:val="20"/>
          <w:lang w:val="en-MY"/>
        </w:rPr>
        <w:t>, 31(3): 1751-1758.</w:t>
      </w:r>
    </w:p>
    <w:p w14:paraId="3BBEE9FE"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Chandra, S., Raizada, S. and Rani, S. (2008). Structural and spectral studies of palladium(II) and platinum(II) complexes derived from N,N,N,N-tetradentate macrocyclic ligands. </w:t>
      </w:r>
      <w:r w:rsidRPr="00531062">
        <w:rPr>
          <w:rFonts w:ascii="Times New Roman" w:hAnsi="Times New Roman"/>
          <w:i/>
          <w:iCs/>
          <w:sz w:val="20"/>
          <w:szCs w:val="20"/>
          <w:lang w:val="en-MY"/>
        </w:rPr>
        <w:t xml:space="preserve">Spectrochimica Acta - Part A: Molecular and Biomolecular Spectroscopy, </w:t>
      </w:r>
      <w:r w:rsidRPr="00531062">
        <w:rPr>
          <w:rFonts w:ascii="Times New Roman" w:hAnsi="Times New Roman"/>
          <w:sz w:val="20"/>
          <w:szCs w:val="20"/>
          <w:lang w:val="en-MY"/>
        </w:rPr>
        <w:t>71(2): 720-724.</w:t>
      </w:r>
    </w:p>
    <w:p w14:paraId="26237F3B"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Rossa, L. and Vögtle, F. (1983). Cyclophanes I. Springer Berlin Heidelberg, Berlin. 113: pp. 1-86.</w:t>
      </w:r>
    </w:p>
    <w:p w14:paraId="30C4B577" w14:textId="77777777" w:rsidR="0044613D" w:rsidRDefault="0044613D" w:rsidP="00A74A7E">
      <w:pPr>
        <w:spacing w:after="0" w:line="240" w:lineRule="auto"/>
        <w:jc w:val="both"/>
        <w:rPr>
          <w:rFonts w:ascii="Times New Roman" w:hAnsi="Times New Roman"/>
          <w:noProof/>
          <w:sz w:val="20"/>
          <w:szCs w:val="20"/>
          <w:lang w:bidi="ar-SA"/>
        </w:rPr>
        <w:sectPr w:rsidR="0044613D" w:rsidSect="00E03D91">
          <w:footerReference w:type="even" r:id="rId46"/>
          <w:type w:val="evenPage"/>
          <w:pgSz w:w="12240" w:h="15840" w:code="1"/>
          <w:pgMar w:top="1800" w:right="1469" w:bottom="1699" w:left="1440" w:header="706" w:footer="706" w:gutter="0"/>
          <w:pgNumType w:start="1"/>
          <w:cols w:num="2" w:space="403"/>
          <w:docGrid w:linePitch="360"/>
        </w:sectPr>
      </w:pPr>
    </w:p>
    <w:p w14:paraId="40AA93FC" w14:textId="120A50A6" w:rsidR="00A74A7E" w:rsidRDefault="00A74A7E" w:rsidP="00A74A7E">
      <w:pPr>
        <w:spacing w:after="0" w:line="240" w:lineRule="auto"/>
        <w:jc w:val="both"/>
        <w:rPr>
          <w:rFonts w:ascii="Times New Roman" w:hAnsi="Times New Roman"/>
          <w:noProof/>
          <w:sz w:val="20"/>
          <w:szCs w:val="20"/>
          <w:lang w:bidi="ar-SA"/>
        </w:rPr>
      </w:pPr>
    </w:p>
    <w:p w14:paraId="6AFBFC37" w14:textId="77777777" w:rsidR="00637469" w:rsidRDefault="00637469" w:rsidP="00A74A7E">
      <w:pPr>
        <w:spacing w:after="0" w:line="240" w:lineRule="auto"/>
        <w:jc w:val="both"/>
        <w:rPr>
          <w:rFonts w:ascii="Times New Roman" w:hAnsi="Times New Roman"/>
          <w:noProof/>
          <w:sz w:val="20"/>
          <w:szCs w:val="20"/>
          <w:lang w:bidi="ar-SA"/>
        </w:rPr>
      </w:pPr>
    </w:p>
    <w:p w14:paraId="6007C9BB" w14:textId="77777777" w:rsidR="00637469" w:rsidRDefault="00637469" w:rsidP="00A74A7E">
      <w:pPr>
        <w:spacing w:after="0" w:line="240" w:lineRule="auto"/>
        <w:jc w:val="both"/>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0E4C45">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51DAD48" w:rsidR="00A14DB9" w:rsidRDefault="00E03D91">
    <w:pPr>
      <w:pStyle w:val="Footer"/>
    </w:pPr>
    <w:r>
      <w:rPr>
        <w:rFonts w:ascii="Times New Roman" w:hAnsi="Times New Roman"/>
        <w:lang w:val="en-US"/>
      </w:rPr>
      <w:t>548</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3FF0" w14:textId="5EC700CF" w:rsidR="00E03D91" w:rsidRDefault="00E03D91">
    <w:pPr>
      <w:pStyle w:val="Footer"/>
    </w:pPr>
    <w:r>
      <w:rPr>
        <w:rFonts w:ascii="Times New Roman" w:hAnsi="Times New Roman"/>
        <w:lang w:val="en-US"/>
      </w:rPr>
      <w:t>556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2FEA" w14:textId="50064B17" w:rsidR="00E03D91" w:rsidRPr="007D4BAB" w:rsidRDefault="00E03D9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555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EAD2" w14:textId="6C15022B" w:rsidR="00E03D91" w:rsidRPr="007D4BAB" w:rsidRDefault="00E03D9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557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CE12" w14:textId="623599B2" w:rsidR="00E03D91" w:rsidRDefault="00E03D91">
    <w:pPr>
      <w:pStyle w:val="Footer"/>
    </w:pPr>
    <w:r>
      <w:rPr>
        <w:rFonts w:ascii="Times New Roman" w:hAnsi="Times New Roman"/>
        <w:lang w:val="en-US"/>
      </w:rPr>
      <w:t>558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863C" w14:textId="2361AE15" w:rsidR="00E03D91" w:rsidRPr="007D4BAB" w:rsidRDefault="00E03D9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559</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E836" w14:textId="3A7F437D" w:rsidR="002A3642" w:rsidRDefault="002A3642">
    <w:pPr>
      <w:pStyle w:val="Footer"/>
    </w:pPr>
    <w:r>
      <w:rPr>
        <w:rFonts w:ascii="Times New Roman" w:hAnsi="Times New Roman"/>
        <w:lang w:val="en-US"/>
      </w:rPr>
      <w:t>560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301D4515"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E03D91">
      <w:rPr>
        <w:rFonts w:ascii="Times New Roman" w:hAnsi="Times New Roman"/>
        <w:lang w:val="en-US"/>
      </w:rPr>
      <w:t>547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2E21" w14:textId="77777777" w:rsidR="00E03D91" w:rsidRDefault="00E03D91">
    <w:pPr>
      <w:pStyle w:val="Footer"/>
    </w:pPr>
    <w:r>
      <w:rPr>
        <w:rFonts w:ascii="Times New Roman" w:hAnsi="Times New Roman"/>
        <w:lang w:val="en-US"/>
      </w:rPr>
      <w:t>548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99F2" w14:textId="6F1BA74E" w:rsidR="00E03D91" w:rsidRPr="007D4BAB" w:rsidRDefault="00E03D9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549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DCAE" w14:textId="31112B43" w:rsidR="00E03D91" w:rsidRDefault="00E03D91">
    <w:pPr>
      <w:pStyle w:val="Footer"/>
    </w:pPr>
    <w:r>
      <w:rPr>
        <w:rFonts w:ascii="Times New Roman" w:hAnsi="Times New Roman"/>
        <w:lang w:val="en-US"/>
      </w:rPr>
      <w:t>550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5704" w14:textId="7C7BAACE" w:rsidR="00E03D91" w:rsidRPr="007D4BAB" w:rsidRDefault="00E03D9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551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8577" w14:textId="3D1ADC44" w:rsidR="00E03D91" w:rsidRDefault="00E03D91">
    <w:pPr>
      <w:pStyle w:val="Footer"/>
    </w:pPr>
    <w:r>
      <w:rPr>
        <w:rFonts w:ascii="Times New Roman" w:hAnsi="Times New Roman"/>
        <w:lang w:val="en-US"/>
      </w:rPr>
      <w:t>552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20C2" w14:textId="0BA20D47" w:rsidR="00E03D91" w:rsidRPr="007D4BAB" w:rsidRDefault="00E03D9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553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7D0B" w14:textId="56F576F0" w:rsidR="00E03D91" w:rsidRDefault="00E03D91">
    <w:pPr>
      <w:pStyle w:val="Footer"/>
    </w:pPr>
    <w:r>
      <w:rPr>
        <w:rFonts w:ascii="Times New Roman" w:hAnsi="Times New Roman"/>
        <w:lang w:val="en-US"/>
      </w:rPr>
      <w:t>554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06D7" w14:textId="23C4A732" w:rsidR="002115E6" w:rsidRPr="0086344B" w:rsidRDefault="002115E6" w:rsidP="002115E6">
    <w:pPr>
      <w:spacing w:after="0"/>
      <w:ind w:left="2700" w:hanging="2700"/>
      <w:outlineLvl w:val="0"/>
      <w:rPr>
        <w:rFonts w:ascii="Times New Roman" w:hAnsi="Times New Roman"/>
        <w:sz w:val="28"/>
        <w:lang w:val="en-GB"/>
      </w:rPr>
    </w:pPr>
    <w:r>
      <w:rPr>
        <w:rFonts w:ascii="Times New Roman" w:hAnsi="Times New Roman"/>
      </w:rPr>
      <w:t>Nur Halimatus Saadiah et al</w:t>
    </w:r>
    <w:r w:rsidR="006B72B0" w:rsidRPr="006B72B0">
      <w:rPr>
        <w:rFonts w:ascii="Times New Roman" w:hAnsi="Times New Roman"/>
      </w:rPr>
      <w:t xml:space="preserve">: </w:t>
    </w:r>
    <w:r w:rsidR="009B0F4A">
      <w:rPr>
        <w:rFonts w:ascii="Times New Roman" w:hAnsi="Times New Roman"/>
      </w:rPr>
      <w:t xml:space="preserve"> </w:t>
    </w:r>
    <w:r>
      <w:rPr>
        <w:rFonts w:ascii="Times New Roman" w:hAnsi="Times New Roman"/>
      </w:rPr>
      <w:tab/>
    </w:r>
    <w:r w:rsidRPr="002115E6">
      <w:rPr>
        <w:rFonts w:ascii="Times New Roman" w:hAnsi="Times New Roman"/>
        <w:sz w:val="20"/>
        <w:szCs w:val="20"/>
        <w:lang w:val="en-GB"/>
      </w:rPr>
      <w:t>A SHORT REVIEW ON THE SYNTHESIS OF AZAMACROCYCLIC LIGAND: CONVENTIONAL AND NON-TEMPLATE METHODS</w:t>
    </w:r>
  </w:p>
  <w:p w14:paraId="4AE9CF7A" w14:textId="5BC448DC"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0285599F"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222C18">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E03D91">
      <w:rPr>
        <w:rFonts w:ascii="Times New Roman" w:hAnsi="Times New Roman"/>
        <w:i/>
        <w:lang w:val="en-US"/>
      </w:rPr>
      <w:t>547</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2A3642">
      <w:rPr>
        <w:rFonts w:ascii="Times New Roman" w:hAnsi="Times New Roman"/>
        <w:i/>
        <w:lang w:val="en-US"/>
      </w:rPr>
      <w:t>560</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202AC"/>
    <w:rsid w:val="000218D7"/>
    <w:rsid w:val="00041111"/>
    <w:rsid w:val="00084936"/>
    <w:rsid w:val="000C49FF"/>
    <w:rsid w:val="000D16A1"/>
    <w:rsid w:val="000D2B0C"/>
    <w:rsid w:val="000E4C45"/>
    <w:rsid w:val="000F77DA"/>
    <w:rsid w:val="001068E8"/>
    <w:rsid w:val="001106D8"/>
    <w:rsid w:val="00117BCD"/>
    <w:rsid w:val="00152CEC"/>
    <w:rsid w:val="001A3275"/>
    <w:rsid w:val="001D035A"/>
    <w:rsid w:val="001D3855"/>
    <w:rsid w:val="001D6F2C"/>
    <w:rsid w:val="002115E6"/>
    <w:rsid w:val="00222C18"/>
    <w:rsid w:val="00233177"/>
    <w:rsid w:val="002627A2"/>
    <w:rsid w:val="00277498"/>
    <w:rsid w:val="002860B7"/>
    <w:rsid w:val="00290F4D"/>
    <w:rsid w:val="002A2FC0"/>
    <w:rsid w:val="002A3642"/>
    <w:rsid w:val="002B188F"/>
    <w:rsid w:val="002B3BD8"/>
    <w:rsid w:val="002B412F"/>
    <w:rsid w:val="002E61AE"/>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4613D"/>
    <w:rsid w:val="004760D4"/>
    <w:rsid w:val="00482180"/>
    <w:rsid w:val="00494C46"/>
    <w:rsid w:val="004B43FF"/>
    <w:rsid w:val="004C070C"/>
    <w:rsid w:val="004C7089"/>
    <w:rsid w:val="004D7E25"/>
    <w:rsid w:val="004F265B"/>
    <w:rsid w:val="00502641"/>
    <w:rsid w:val="00531062"/>
    <w:rsid w:val="0054578F"/>
    <w:rsid w:val="0056630A"/>
    <w:rsid w:val="005C00F7"/>
    <w:rsid w:val="005C01BD"/>
    <w:rsid w:val="005C6768"/>
    <w:rsid w:val="005E43AF"/>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A27A9"/>
    <w:rsid w:val="008B470E"/>
    <w:rsid w:val="008B5904"/>
    <w:rsid w:val="008D1880"/>
    <w:rsid w:val="008D29BF"/>
    <w:rsid w:val="008E1211"/>
    <w:rsid w:val="008E5BBF"/>
    <w:rsid w:val="008E6968"/>
    <w:rsid w:val="008F45FE"/>
    <w:rsid w:val="0091237C"/>
    <w:rsid w:val="009211AF"/>
    <w:rsid w:val="00921742"/>
    <w:rsid w:val="009357B8"/>
    <w:rsid w:val="009866F6"/>
    <w:rsid w:val="009B0F4A"/>
    <w:rsid w:val="009B3139"/>
    <w:rsid w:val="009D030D"/>
    <w:rsid w:val="00A049C6"/>
    <w:rsid w:val="00A14DB9"/>
    <w:rsid w:val="00A2489E"/>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74D67"/>
    <w:rsid w:val="00C94D92"/>
    <w:rsid w:val="00C97340"/>
    <w:rsid w:val="00CA513F"/>
    <w:rsid w:val="00CB2763"/>
    <w:rsid w:val="00CB3AA6"/>
    <w:rsid w:val="00CE203C"/>
    <w:rsid w:val="00CE2BC6"/>
    <w:rsid w:val="00CF05FF"/>
    <w:rsid w:val="00D10C6A"/>
    <w:rsid w:val="00D257FB"/>
    <w:rsid w:val="00D340BB"/>
    <w:rsid w:val="00D34708"/>
    <w:rsid w:val="00D505D5"/>
    <w:rsid w:val="00D613A2"/>
    <w:rsid w:val="00D6781A"/>
    <w:rsid w:val="00D72F1F"/>
    <w:rsid w:val="00D75B35"/>
    <w:rsid w:val="00D76E09"/>
    <w:rsid w:val="00D9736F"/>
    <w:rsid w:val="00D9792A"/>
    <w:rsid w:val="00DD0CD5"/>
    <w:rsid w:val="00DD377F"/>
    <w:rsid w:val="00DD7C38"/>
    <w:rsid w:val="00DF1E96"/>
    <w:rsid w:val="00E03D91"/>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image" Target="media/image6.emf"/><Relationship Id="rId39" Type="http://schemas.openxmlformats.org/officeDocument/2006/relationships/image" Target="media/image16.png"/><Relationship Id="rId21" Type="http://schemas.openxmlformats.org/officeDocument/2006/relationships/image" Target="media/image3.png"/><Relationship Id="rId34" Type="http://schemas.openxmlformats.org/officeDocument/2006/relationships/image" Target="media/image11.emf"/><Relationship Id="rId42" Type="http://schemas.openxmlformats.org/officeDocument/2006/relationships/footer" Target="footer1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image" Target="media/image14.emf"/><Relationship Id="rId40" Type="http://schemas.openxmlformats.org/officeDocument/2006/relationships/footer" Target="footer10.xml"/><Relationship Id="rId45"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5.xml"/><Relationship Id="rId28" Type="http://schemas.openxmlformats.org/officeDocument/2006/relationships/image" Target="media/image8.png"/><Relationship Id="rId36" Type="http://schemas.openxmlformats.org/officeDocument/2006/relationships/image" Target="media/image13.emf"/><Relationship Id="rId10" Type="http://schemas.openxmlformats.org/officeDocument/2006/relationships/header" Target="header2.xml"/><Relationship Id="rId19" Type="http://schemas.openxmlformats.org/officeDocument/2006/relationships/image" Target="media/image2.emf"/><Relationship Id="rId31" Type="http://schemas.openxmlformats.org/officeDocument/2006/relationships/footer" Target="footer8.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image" Target="media/image4.emf"/><Relationship Id="rId27" Type="http://schemas.openxmlformats.org/officeDocument/2006/relationships/image" Target="media/image7.png"/><Relationship Id="rId30" Type="http://schemas.openxmlformats.org/officeDocument/2006/relationships/footer" Target="footer7.xml"/><Relationship Id="rId35" Type="http://schemas.openxmlformats.org/officeDocument/2006/relationships/image" Target="media/image12.emf"/><Relationship Id="rId43" Type="http://schemas.openxmlformats.org/officeDocument/2006/relationships/image" Target="media/image17.pn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diagramColors" Target="diagrams/colors1.xml"/><Relationship Id="rId25" Type="http://schemas.openxmlformats.org/officeDocument/2006/relationships/image" Target="media/image5.emf"/><Relationship Id="rId33" Type="http://schemas.openxmlformats.org/officeDocument/2006/relationships/image" Target="media/image10.emf"/><Relationship Id="rId38" Type="http://schemas.openxmlformats.org/officeDocument/2006/relationships/image" Target="media/image15.emf"/><Relationship Id="rId46" Type="http://schemas.openxmlformats.org/officeDocument/2006/relationships/footer" Target="footer15.xml"/><Relationship Id="rId20" Type="http://schemas.openxmlformats.org/officeDocument/2006/relationships/footer" Target="footer4.xml"/><Relationship Id="rId41" Type="http://schemas.openxmlformats.org/officeDocument/2006/relationships/footer" Target="footer1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9052B3-1DB7-4250-B822-9F2F5A6E079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41EC097E-6BC9-4044-9C61-BF263D3DDFC2}">
      <dgm:prSet phldrT="[Text]" custT="1"/>
      <dgm:spPr>
        <a:xfrm>
          <a:off x="1518368" y="1180"/>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Macrocyclic ligands</a:t>
          </a:r>
        </a:p>
      </dgm:t>
    </dgm:pt>
    <dgm:pt modelId="{972AAD6E-7BF0-470A-99BB-FF361650792A}" type="parTrans" cxnId="{C09E6925-07B3-43B3-AEB7-74F4447D234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81896CF-AE3A-4232-B996-4C0CFC9D95CD}" type="sibTrans" cxnId="{C09E6925-07B3-43B3-AEB7-74F4447D234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E669CEC-B1B9-47EF-B3A0-24E87A74F2CC}">
      <dgm:prSet phldrT="[Text]" custT="1"/>
      <dgm:spPr>
        <a:xfrm>
          <a:off x="115216" y="824517"/>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Aza crowns</a:t>
          </a:r>
        </a:p>
      </dgm:t>
    </dgm:pt>
    <dgm:pt modelId="{52E5641B-2B95-4C19-8ADE-87880CD8E6C1}" type="parTrans" cxnId="{7B275B7A-C165-4A21-BF7A-017FAFEFD605}">
      <dgm:prSet/>
      <dgm:spPr>
        <a:xfrm>
          <a:off x="695031" y="580995"/>
          <a:ext cx="1403152" cy="243522"/>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840D16FC-A4F4-4971-AC6A-9E66D2952D74}" type="sibTrans" cxnId="{7B275B7A-C165-4A21-BF7A-017FAFEFD60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6E82396-44D8-401B-BF0A-8C681C0455C2}">
      <dgm:prSet phldrT="[Text]" custT="1"/>
      <dgm:spPr>
        <a:xfrm>
          <a:off x="1518368" y="824517"/>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Crown ethers</a:t>
          </a:r>
        </a:p>
      </dgm:t>
    </dgm:pt>
    <dgm:pt modelId="{1FD0057A-6E8A-4B47-A8CE-C7B37F2110A1}" type="parTrans" cxnId="{2AFA08B2-54AE-4E52-96D5-88692A61A0AB}">
      <dgm:prSet/>
      <dgm:spPr>
        <a:xfrm>
          <a:off x="2052463" y="580995"/>
          <a:ext cx="91440" cy="243522"/>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8BC91230-D5C8-4258-8497-EA3CC953B434}" type="sibTrans" cxnId="{2AFA08B2-54AE-4E52-96D5-88692A61A0A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2F70F0A-888A-4424-9F2F-CEFB97DF8782}">
      <dgm:prSet phldrT="[Text]" custT="1"/>
      <dgm:spPr>
        <a:xfrm>
          <a:off x="2921520" y="824517"/>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Thiacrowns</a:t>
          </a:r>
        </a:p>
      </dgm:t>
    </dgm:pt>
    <dgm:pt modelId="{306E88D5-3C2C-4119-86D7-889EEB730153}" type="parTrans" cxnId="{DC0C080B-BF45-448F-AF92-46AE9ABD59C5}">
      <dgm:prSet/>
      <dgm:spPr>
        <a:xfrm>
          <a:off x="2098183" y="580995"/>
          <a:ext cx="1403152" cy="243522"/>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5A937E88-C078-44B7-A532-B249BB70A7E6}" type="sibTrans" cxnId="{DC0C080B-BF45-448F-AF92-46AE9ABD59C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1C1521A-FD8A-4BDD-8129-44875C21784B}">
      <dgm:prSet custT="1"/>
      <dgm:spPr>
        <a:xfrm>
          <a:off x="405124" y="1647854"/>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Nitrogen donor atoms</a:t>
          </a:r>
        </a:p>
      </dgm:t>
    </dgm:pt>
    <dgm:pt modelId="{D222FBDF-4475-4287-9466-4404459F4350}" type="parTrans" cxnId="{62B5CBFC-1F78-42CD-B2DA-F0125405ABEA}">
      <dgm:prSet/>
      <dgm:spPr>
        <a:xfrm>
          <a:off x="231179" y="1404332"/>
          <a:ext cx="173944" cy="533429"/>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6918BCB4-9455-470A-8BC5-DB38DEFB85B9}" type="sibTrans" cxnId="{62B5CBFC-1F78-42CD-B2DA-F0125405ABE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AFC041B-38B0-4C72-A746-BF966CEA6AC8}">
      <dgm:prSet custT="1"/>
      <dgm:spPr>
        <a:xfrm>
          <a:off x="1808276" y="1647854"/>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Oxygen donor atoms</a:t>
          </a:r>
        </a:p>
      </dgm:t>
    </dgm:pt>
    <dgm:pt modelId="{CEF72474-FD7E-4A35-850E-C1A30FCC6A97}" type="parTrans" cxnId="{06CDCCBF-A61D-4404-9C75-15B7CBEC4856}">
      <dgm:prSet/>
      <dgm:spPr>
        <a:xfrm>
          <a:off x="1634331" y="1404332"/>
          <a:ext cx="173944" cy="533429"/>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506C89B3-E38F-4E0F-99BE-2D9623F69568}" type="sibTrans" cxnId="{06CDCCBF-A61D-4404-9C75-15B7CBEC485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27EEC59-F8FB-44CB-8E54-C76FFFFA1B69}">
      <dgm:prSet custT="1"/>
      <dgm:spPr>
        <a:xfrm>
          <a:off x="3211428" y="1647854"/>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Sulphur donor atoms</a:t>
          </a:r>
        </a:p>
      </dgm:t>
    </dgm:pt>
    <dgm:pt modelId="{28E7DAD1-26EE-440B-9DF1-337EF5A161F5}" type="parTrans" cxnId="{AAC47F44-03DA-425C-8FD3-D133D979B29A}">
      <dgm:prSet/>
      <dgm:spPr>
        <a:xfrm>
          <a:off x="3037483" y="1404332"/>
          <a:ext cx="173944" cy="533429"/>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20B45AA5-0831-46BF-8988-0BBD98B3BD88}" type="sibTrans" cxnId="{AAC47F44-03DA-425C-8FD3-D133D979B29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47CBB0C-05B0-468D-B084-12F850DDEE18}" type="pres">
      <dgm:prSet presAssocID="{F09052B3-1DB7-4250-B822-9F2F5A6E0799}" presName="hierChild1" presStyleCnt="0">
        <dgm:presLayoutVars>
          <dgm:orgChart val="1"/>
          <dgm:chPref val="1"/>
          <dgm:dir/>
          <dgm:animOne val="branch"/>
          <dgm:animLvl val="lvl"/>
          <dgm:resizeHandles/>
        </dgm:presLayoutVars>
      </dgm:prSet>
      <dgm:spPr/>
    </dgm:pt>
    <dgm:pt modelId="{BE4F5FC4-B0C6-4957-ABC3-54C7611EFF04}" type="pres">
      <dgm:prSet presAssocID="{41EC097E-6BC9-4044-9C61-BF263D3DDFC2}" presName="hierRoot1" presStyleCnt="0">
        <dgm:presLayoutVars>
          <dgm:hierBranch val="init"/>
        </dgm:presLayoutVars>
      </dgm:prSet>
      <dgm:spPr/>
    </dgm:pt>
    <dgm:pt modelId="{942A4EBB-311A-40C3-BBDE-BF2738E5B9E8}" type="pres">
      <dgm:prSet presAssocID="{41EC097E-6BC9-4044-9C61-BF263D3DDFC2}" presName="rootComposite1" presStyleCnt="0"/>
      <dgm:spPr/>
    </dgm:pt>
    <dgm:pt modelId="{B0F3A16A-2EB8-4ACD-BDFD-552FCC0CE947}" type="pres">
      <dgm:prSet presAssocID="{41EC097E-6BC9-4044-9C61-BF263D3DDFC2}" presName="rootText1" presStyleLbl="node0" presStyleIdx="0" presStyleCnt="1">
        <dgm:presLayoutVars>
          <dgm:chPref val="3"/>
        </dgm:presLayoutVars>
      </dgm:prSet>
      <dgm:spPr>
        <a:prstGeom prst="rect">
          <a:avLst/>
        </a:prstGeom>
      </dgm:spPr>
    </dgm:pt>
    <dgm:pt modelId="{1A806AAE-BAD2-4A1F-857A-F89F447678E5}" type="pres">
      <dgm:prSet presAssocID="{41EC097E-6BC9-4044-9C61-BF263D3DDFC2}" presName="rootConnector1" presStyleLbl="node1" presStyleIdx="0" presStyleCnt="0"/>
      <dgm:spPr/>
    </dgm:pt>
    <dgm:pt modelId="{4736BF96-35AD-410F-8B1F-D6745BC1BE98}" type="pres">
      <dgm:prSet presAssocID="{41EC097E-6BC9-4044-9C61-BF263D3DDFC2}" presName="hierChild2" presStyleCnt="0"/>
      <dgm:spPr/>
    </dgm:pt>
    <dgm:pt modelId="{17710D61-F968-4852-B775-7814A30B963D}" type="pres">
      <dgm:prSet presAssocID="{52E5641B-2B95-4C19-8ADE-87880CD8E6C1}" presName="Name37" presStyleLbl="parChTrans1D2" presStyleIdx="0" presStyleCnt="3"/>
      <dgm:spPr>
        <a:custGeom>
          <a:avLst/>
          <a:gdLst/>
          <a:ahLst/>
          <a:cxnLst/>
          <a:rect l="0" t="0" r="0" b="0"/>
          <a:pathLst>
            <a:path>
              <a:moveTo>
                <a:pt x="1403152" y="0"/>
              </a:moveTo>
              <a:lnTo>
                <a:pt x="1403152" y="121761"/>
              </a:lnTo>
              <a:lnTo>
                <a:pt x="0" y="121761"/>
              </a:lnTo>
              <a:lnTo>
                <a:pt x="0" y="243522"/>
              </a:lnTo>
            </a:path>
          </a:pathLst>
        </a:custGeom>
      </dgm:spPr>
    </dgm:pt>
    <dgm:pt modelId="{8F3A1BE0-9263-46C8-9AB9-D998BF070A28}" type="pres">
      <dgm:prSet presAssocID="{EE669CEC-B1B9-47EF-B3A0-24E87A74F2CC}" presName="hierRoot2" presStyleCnt="0">
        <dgm:presLayoutVars>
          <dgm:hierBranch val="init"/>
        </dgm:presLayoutVars>
      </dgm:prSet>
      <dgm:spPr/>
    </dgm:pt>
    <dgm:pt modelId="{9453FBFC-C087-4878-9ED2-BBF6D1A4E9DA}" type="pres">
      <dgm:prSet presAssocID="{EE669CEC-B1B9-47EF-B3A0-24E87A74F2CC}" presName="rootComposite" presStyleCnt="0"/>
      <dgm:spPr/>
    </dgm:pt>
    <dgm:pt modelId="{92A5A27F-7BBE-4B8E-B6D1-D356F881F9A1}" type="pres">
      <dgm:prSet presAssocID="{EE669CEC-B1B9-47EF-B3A0-24E87A74F2CC}" presName="rootText" presStyleLbl="node2" presStyleIdx="0" presStyleCnt="3">
        <dgm:presLayoutVars>
          <dgm:chPref val="3"/>
        </dgm:presLayoutVars>
      </dgm:prSet>
      <dgm:spPr>
        <a:prstGeom prst="rect">
          <a:avLst/>
        </a:prstGeom>
      </dgm:spPr>
    </dgm:pt>
    <dgm:pt modelId="{B55BD687-EE71-4E33-B72F-C757BFF86871}" type="pres">
      <dgm:prSet presAssocID="{EE669CEC-B1B9-47EF-B3A0-24E87A74F2CC}" presName="rootConnector" presStyleLbl="node2" presStyleIdx="0" presStyleCnt="3"/>
      <dgm:spPr/>
    </dgm:pt>
    <dgm:pt modelId="{5D1C405C-804A-4E0C-A120-0E52C0507F51}" type="pres">
      <dgm:prSet presAssocID="{EE669CEC-B1B9-47EF-B3A0-24E87A74F2CC}" presName="hierChild4" presStyleCnt="0"/>
      <dgm:spPr/>
    </dgm:pt>
    <dgm:pt modelId="{52D5CADA-1760-448F-8285-9B32A1AEECCF}" type="pres">
      <dgm:prSet presAssocID="{D222FBDF-4475-4287-9466-4404459F4350}" presName="Name37" presStyleLbl="parChTrans1D3" presStyleIdx="0" presStyleCnt="3"/>
      <dgm:spPr>
        <a:custGeom>
          <a:avLst/>
          <a:gdLst/>
          <a:ahLst/>
          <a:cxnLst/>
          <a:rect l="0" t="0" r="0" b="0"/>
          <a:pathLst>
            <a:path>
              <a:moveTo>
                <a:pt x="0" y="0"/>
              </a:moveTo>
              <a:lnTo>
                <a:pt x="0" y="533429"/>
              </a:lnTo>
              <a:lnTo>
                <a:pt x="173944" y="533429"/>
              </a:lnTo>
            </a:path>
          </a:pathLst>
        </a:custGeom>
      </dgm:spPr>
    </dgm:pt>
    <dgm:pt modelId="{87AB9BB4-9098-4E3C-B0BB-9BFF402B6A48}" type="pres">
      <dgm:prSet presAssocID="{A1C1521A-FD8A-4BDD-8129-44875C21784B}" presName="hierRoot2" presStyleCnt="0">
        <dgm:presLayoutVars>
          <dgm:hierBranch val="init"/>
        </dgm:presLayoutVars>
      </dgm:prSet>
      <dgm:spPr/>
    </dgm:pt>
    <dgm:pt modelId="{4BE9400C-367C-4E25-BC9C-D7617152995A}" type="pres">
      <dgm:prSet presAssocID="{A1C1521A-FD8A-4BDD-8129-44875C21784B}" presName="rootComposite" presStyleCnt="0"/>
      <dgm:spPr/>
    </dgm:pt>
    <dgm:pt modelId="{D3E15643-D991-4F79-B2B9-128A5E59EC94}" type="pres">
      <dgm:prSet presAssocID="{A1C1521A-FD8A-4BDD-8129-44875C21784B}" presName="rootText" presStyleLbl="node3" presStyleIdx="0" presStyleCnt="3">
        <dgm:presLayoutVars>
          <dgm:chPref val="3"/>
        </dgm:presLayoutVars>
      </dgm:prSet>
      <dgm:spPr>
        <a:prstGeom prst="rect">
          <a:avLst/>
        </a:prstGeom>
      </dgm:spPr>
    </dgm:pt>
    <dgm:pt modelId="{6088D4BD-D34A-4B7F-944B-7661EBFD60A9}" type="pres">
      <dgm:prSet presAssocID="{A1C1521A-FD8A-4BDD-8129-44875C21784B}" presName="rootConnector" presStyleLbl="node3" presStyleIdx="0" presStyleCnt="3"/>
      <dgm:spPr/>
    </dgm:pt>
    <dgm:pt modelId="{6C6A9748-3E67-4FA7-8523-DAD37878B235}" type="pres">
      <dgm:prSet presAssocID="{A1C1521A-FD8A-4BDD-8129-44875C21784B}" presName="hierChild4" presStyleCnt="0"/>
      <dgm:spPr/>
    </dgm:pt>
    <dgm:pt modelId="{737A0DC3-5367-4E5C-906A-B06A75516A99}" type="pres">
      <dgm:prSet presAssocID="{A1C1521A-FD8A-4BDD-8129-44875C21784B}" presName="hierChild5" presStyleCnt="0"/>
      <dgm:spPr/>
    </dgm:pt>
    <dgm:pt modelId="{D77FD034-176C-4E89-A46F-2FDFAD018EF1}" type="pres">
      <dgm:prSet presAssocID="{EE669CEC-B1B9-47EF-B3A0-24E87A74F2CC}" presName="hierChild5" presStyleCnt="0"/>
      <dgm:spPr/>
    </dgm:pt>
    <dgm:pt modelId="{0E1D6D84-C3CF-4DD5-8D75-A7D35727D986}" type="pres">
      <dgm:prSet presAssocID="{1FD0057A-6E8A-4B47-A8CE-C7B37F2110A1}" presName="Name37" presStyleLbl="parChTrans1D2" presStyleIdx="1" presStyleCnt="3"/>
      <dgm:spPr>
        <a:custGeom>
          <a:avLst/>
          <a:gdLst/>
          <a:ahLst/>
          <a:cxnLst/>
          <a:rect l="0" t="0" r="0" b="0"/>
          <a:pathLst>
            <a:path>
              <a:moveTo>
                <a:pt x="45720" y="0"/>
              </a:moveTo>
              <a:lnTo>
                <a:pt x="45720" y="243522"/>
              </a:lnTo>
            </a:path>
          </a:pathLst>
        </a:custGeom>
      </dgm:spPr>
    </dgm:pt>
    <dgm:pt modelId="{4E26C39F-1039-4800-AFFE-68015F8AD928}" type="pres">
      <dgm:prSet presAssocID="{46E82396-44D8-401B-BF0A-8C681C0455C2}" presName="hierRoot2" presStyleCnt="0">
        <dgm:presLayoutVars>
          <dgm:hierBranch val="init"/>
        </dgm:presLayoutVars>
      </dgm:prSet>
      <dgm:spPr/>
    </dgm:pt>
    <dgm:pt modelId="{4930ED83-D4E1-4F7D-83EB-12A2DAFEB6AE}" type="pres">
      <dgm:prSet presAssocID="{46E82396-44D8-401B-BF0A-8C681C0455C2}" presName="rootComposite" presStyleCnt="0"/>
      <dgm:spPr/>
    </dgm:pt>
    <dgm:pt modelId="{FA7BB756-5994-4BE9-AF0C-CA05CF9CDEB3}" type="pres">
      <dgm:prSet presAssocID="{46E82396-44D8-401B-BF0A-8C681C0455C2}" presName="rootText" presStyleLbl="node2" presStyleIdx="1" presStyleCnt="3">
        <dgm:presLayoutVars>
          <dgm:chPref val="3"/>
        </dgm:presLayoutVars>
      </dgm:prSet>
      <dgm:spPr>
        <a:prstGeom prst="rect">
          <a:avLst/>
        </a:prstGeom>
      </dgm:spPr>
    </dgm:pt>
    <dgm:pt modelId="{D5007164-9AA8-4521-90BF-5DC9A4CE7569}" type="pres">
      <dgm:prSet presAssocID="{46E82396-44D8-401B-BF0A-8C681C0455C2}" presName="rootConnector" presStyleLbl="node2" presStyleIdx="1" presStyleCnt="3"/>
      <dgm:spPr/>
    </dgm:pt>
    <dgm:pt modelId="{16C950F2-324D-4838-AAE6-994A1A64ABC1}" type="pres">
      <dgm:prSet presAssocID="{46E82396-44D8-401B-BF0A-8C681C0455C2}" presName="hierChild4" presStyleCnt="0"/>
      <dgm:spPr/>
    </dgm:pt>
    <dgm:pt modelId="{CABD8F19-A19E-4DA2-81ED-BA9BAF47E59E}" type="pres">
      <dgm:prSet presAssocID="{CEF72474-FD7E-4A35-850E-C1A30FCC6A97}" presName="Name37" presStyleLbl="parChTrans1D3" presStyleIdx="1" presStyleCnt="3"/>
      <dgm:spPr>
        <a:custGeom>
          <a:avLst/>
          <a:gdLst/>
          <a:ahLst/>
          <a:cxnLst/>
          <a:rect l="0" t="0" r="0" b="0"/>
          <a:pathLst>
            <a:path>
              <a:moveTo>
                <a:pt x="0" y="0"/>
              </a:moveTo>
              <a:lnTo>
                <a:pt x="0" y="533429"/>
              </a:lnTo>
              <a:lnTo>
                <a:pt x="173944" y="533429"/>
              </a:lnTo>
            </a:path>
          </a:pathLst>
        </a:custGeom>
      </dgm:spPr>
    </dgm:pt>
    <dgm:pt modelId="{8F014089-FC0D-4BAC-A08E-25BB70503217}" type="pres">
      <dgm:prSet presAssocID="{4AFC041B-38B0-4C72-A746-BF966CEA6AC8}" presName="hierRoot2" presStyleCnt="0">
        <dgm:presLayoutVars>
          <dgm:hierBranch val="init"/>
        </dgm:presLayoutVars>
      </dgm:prSet>
      <dgm:spPr/>
    </dgm:pt>
    <dgm:pt modelId="{C7C49D42-DE3F-4411-85B6-B59C940303F9}" type="pres">
      <dgm:prSet presAssocID="{4AFC041B-38B0-4C72-A746-BF966CEA6AC8}" presName="rootComposite" presStyleCnt="0"/>
      <dgm:spPr/>
    </dgm:pt>
    <dgm:pt modelId="{6807B37B-A836-4662-9D62-06C77FDD24E9}" type="pres">
      <dgm:prSet presAssocID="{4AFC041B-38B0-4C72-A746-BF966CEA6AC8}" presName="rootText" presStyleLbl="node3" presStyleIdx="1" presStyleCnt="3">
        <dgm:presLayoutVars>
          <dgm:chPref val="3"/>
        </dgm:presLayoutVars>
      </dgm:prSet>
      <dgm:spPr>
        <a:prstGeom prst="rect">
          <a:avLst/>
        </a:prstGeom>
      </dgm:spPr>
    </dgm:pt>
    <dgm:pt modelId="{4D5DB6EF-18B6-4700-9698-0AFD44180DCC}" type="pres">
      <dgm:prSet presAssocID="{4AFC041B-38B0-4C72-A746-BF966CEA6AC8}" presName="rootConnector" presStyleLbl="node3" presStyleIdx="1" presStyleCnt="3"/>
      <dgm:spPr/>
    </dgm:pt>
    <dgm:pt modelId="{AEE61304-741D-4C12-AE8F-2B759B837A1B}" type="pres">
      <dgm:prSet presAssocID="{4AFC041B-38B0-4C72-A746-BF966CEA6AC8}" presName="hierChild4" presStyleCnt="0"/>
      <dgm:spPr/>
    </dgm:pt>
    <dgm:pt modelId="{620FCD88-1841-43AA-8F97-9E77D1D07F5E}" type="pres">
      <dgm:prSet presAssocID="{4AFC041B-38B0-4C72-A746-BF966CEA6AC8}" presName="hierChild5" presStyleCnt="0"/>
      <dgm:spPr/>
    </dgm:pt>
    <dgm:pt modelId="{3612DCEC-57DA-48B9-9924-32A2D24205BE}" type="pres">
      <dgm:prSet presAssocID="{46E82396-44D8-401B-BF0A-8C681C0455C2}" presName="hierChild5" presStyleCnt="0"/>
      <dgm:spPr/>
    </dgm:pt>
    <dgm:pt modelId="{A0639943-A711-4B5F-AF57-C238AF0C17F7}" type="pres">
      <dgm:prSet presAssocID="{306E88D5-3C2C-4119-86D7-889EEB730153}" presName="Name37" presStyleLbl="parChTrans1D2" presStyleIdx="2" presStyleCnt="3"/>
      <dgm:spPr>
        <a:custGeom>
          <a:avLst/>
          <a:gdLst/>
          <a:ahLst/>
          <a:cxnLst/>
          <a:rect l="0" t="0" r="0" b="0"/>
          <a:pathLst>
            <a:path>
              <a:moveTo>
                <a:pt x="0" y="0"/>
              </a:moveTo>
              <a:lnTo>
                <a:pt x="0" y="121761"/>
              </a:lnTo>
              <a:lnTo>
                <a:pt x="1403152" y="121761"/>
              </a:lnTo>
              <a:lnTo>
                <a:pt x="1403152" y="243522"/>
              </a:lnTo>
            </a:path>
          </a:pathLst>
        </a:custGeom>
      </dgm:spPr>
    </dgm:pt>
    <dgm:pt modelId="{2F8BE178-FB29-43DF-BC92-5656BAB134A4}" type="pres">
      <dgm:prSet presAssocID="{C2F70F0A-888A-4424-9F2F-CEFB97DF8782}" presName="hierRoot2" presStyleCnt="0">
        <dgm:presLayoutVars>
          <dgm:hierBranch val="init"/>
        </dgm:presLayoutVars>
      </dgm:prSet>
      <dgm:spPr/>
    </dgm:pt>
    <dgm:pt modelId="{640D3FA1-772C-4A30-A00D-4D4DD140944D}" type="pres">
      <dgm:prSet presAssocID="{C2F70F0A-888A-4424-9F2F-CEFB97DF8782}" presName="rootComposite" presStyleCnt="0"/>
      <dgm:spPr/>
    </dgm:pt>
    <dgm:pt modelId="{FA9C3211-741B-4CB5-8ABD-2D65A353BBB8}" type="pres">
      <dgm:prSet presAssocID="{C2F70F0A-888A-4424-9F2F-CEFB97DF8782}" presName="rootText" presStyleLbl="node2" presStyleIdx="2" presStyleCnt="3">
        <dgm:presLayoutVars>
          <dgm:chPref val="3"/>
        </dgm:presLayoutVars>
      </dgm:prSet>
      <dgm:spPr>
        <a:prstGeom prst="rect">
          <a:avLst/>
        </a:prstGeom>
      </dgm:spPr>
    </dgm:pt>
    <dgm:pt modelId="{7469631C-426F-4FF9-A0CF-33CC22E42CDF}" type="pres">
      <dgm:prSet presAssocID="{C2F70F0A-888A-4424-9F2F-CEFB97DF8782}" presName="rootConnector" presStyleLbl="node2" presStyleIdx="2" presStyleCnt="3"/>
      <dgm:spPr/>
    </dgm:pt>
    <dgm:pt modelId="{27D7FD29-D9EE-43F8-A684-F48111E59329}" type="pres">
      <dgm:prSet presAssocID="{C2F70F0A-888A-4424-9F2F-CEFB97DF8782}" presName="hierChild4" presStyleCnt="0"/>
      <dgm:spPr/>
    </dgm:pt>
    <dgm:pt modelId="{FB65BA40-C2A0-4AF2-933E-DDF4A4A63497}" type="pres">
      <dgm:prSet presAssocID="{28E7DAD1-26EE-440B-9DF1-337EF5A161F5}" presName="Name37" presStyleLbl="parChTrans1D3" presStyleIdx="2" presStyleCnt="3"/>
      <dgm:spPr>
        <a:custGeom>
          <a:avLst/>
          <a:gdLst/>
          <a:ahLst/>
          <a:cxnLst/>
          <a:rect l="0" t="0" r="0" b="0"/>
          <a:pathLst>
            <a:path>
              <a:moveTo>
                <a:pt x="0" y="0"/>
              </a:moveTo>
              <a:lnTo>
                <a:pt x="0" y="533429"/>
              </a:lnTo>
              <a:lnTo>
                <a:pt x="173944" y="533429"/>
              </a:lnTo>
            </a:path>
          </a:pathLst>
        </a:custGeom>
      </dgm:spPr>
    </dgm:pt>
    <dgm:pt modelId="{B62D2194-B226-4791-A518-E3E86512EDF4}" type="pres">
      <dgm:prSet presAssocID="{127EEC59-F8FB-44CB-8E54-C76FFFFA1B69}" presName="hierRoot2" presStyleCnt="0">
        <dgm:presLayoutVars>
          <dgm:hierBranch val="init"/>
        </dgm:presLayoutVars>
      </dgm:prSet>
      <dgm:spPr/>
    </dgm:pt>
    <dgm:pt modelId="{EECDC6C6-E7CE-4647-95BC-0C42C0B83182}" type="pres">
      <dgm:prSet presAssocID="{127EEC59-F8FB-44CB-8E54-C76FFFFA1B69}" presName="rootComposite" presStyleCnt="0"/>
      <dgm:spPr/>
    </dgm:pt>
    <dgm:pt modelId="{4B55B3AF-40F8-4B14-A7F7-CA36CF2A67A2}" type="pres">
      <dgm:prSet presAssocID="{127EEC59-F8FB-44CB-8E54-C76FFFFA1B69}" presName="rootText" presStyleLbl="node3" presStyleIdx="2" presStyleCnt="3">
        <dgm:presLayoutVars>
          <dgm:chPref val="3"/>
        </dgm:presLayoutVars>
      </dgm:prSet>
      <dgm:spPr>
        <a:prstGeom prst="rect">
          <a:avLst/>
        </a:prstGeom>
      </dgm:spPr>
    </dgm:pt>
    <dgm:pt modelId="{BA250A2F-688A-40BD-84B1-13F0DA2D6C19}" type="pres">
      <dgm:prSet presAssocID="{127EEC59-F8FB-44CB-8E54-C76FFFFA1B69}" presName="rootConnector" presStyleLbl="node3" presStyleIdx="2" presStyleCnt="3"/>
      <dgm:spPr/>
    </dgm:pt>
    <dgm:pt modelId="{F71FEC32-EBAF-4C52-B98F-FE38ED179B0E}" type="pres">
      <dgm:prSet presAssocID="{127EEC59-F8FB-44CB-8E54-C76FFFFA1B69}" presName="hierChild4" presStyleCnt="0"/>
      <dgm:spPr/>
    </dgm:pt>
    <dgm:pt modelId="{D9A17169-88D2-4489-901E-47EAC617AACA}" type="pres">
      <dgm:prSet presAssocID="{127EEC59-F8FB-44CB-8E54-C76FFFFA1B69}" presName="hierChild5" presStyleCnt="0"/>
      <dgm:spPr/>
    </dgm:pt>
    <dgm:pt modelId="{6144B275-7B0B-42AA-9C24-52E18CA22BE5}" type="pres">
      <dgm:prSet presAssocID="{C2F70F0A-888A-4424-9F2F-CEFB97DF8782}" presName="hierChild5" presStyleCnt="0"/>
      <dgm:spPr/>
    </dgm:pt>
    <dgm:pt modelId="{6F545942-F93C-4CC4-AEAD-BD312D713560}" type="pres">
      <dgm:prSet presAssocID="{41EC097E-6BC9-4044-9C61-BF263D3DDFC2}" presName="hierChild3" presStyleCnt="0"/>
      <dgm:spPr/>
    </dgm:pt>
  </dgm:ptLst>
  <dgm:cxnLst>
    <dgm:cxn modelId="{DC0C080B-BF45-448F-AF92-46AE9ABD59C5}" srcId="{41EC097E-6BC9-4044-9C61-BF263D3DDFC2}" destId="{C2F70F0A-888A-4424-9F2F-CEFB97DF8782}" srcOrd="2" destOrd="0" parTransId="{306E88D5-3C2C-4119-86D7-889EEB730153}" sibTransId="{5A937E88-C078-44B7-A532-B249BB70A7E6}"/>
    <dgm:cxn modelId="{8B89DF10-DDBE-4133-9A7B-23D08AADAB2B}" type="presOf" srcId="{A1C1521A-FD8A-4BDD-8129-44875C21784B}" destId="{6088D4BD-D34A-4B7F-944B-7661EBFD60A9}" srcOrd="1" destOrd="0" presId="urn:microsoft.com/office/officeart/2005/8/layout/orgChart1"/>
    <dgm:cxn modelId="{2F173D11-4271-4B30-BAC9-EEA0FAD98475}" type="presOf" srcId="{A1C1521A-FD8A-4BDD-8129-44875C21784B}" destId="{D3E15643-D991-4F79-B2B9-128A5E59EC94}" srcOrd="0" destOrd="0" presId="urn:microsoft.com/office/officeart/2005/8/layout/orgChart1"/>
    <dgm:cxn modelId="{46E1D418-99F2-43FB-B10C-55CBC9D11CF1}" type="presOf" srcId="{C2F70F0A-888A-4424-9F2F-CEFB97DF8782}" destId="{FA9C3211-741B-4CB5-8ABD-2D65A353BBB8}" srcOrd="0" destOrd="0" presId="urn:microsoft.com/office/officeart/2005/8/layout/orgChart1"/>
    <dgm:cxn modelId="{7881EA1F-E5A0-4B11-BEC1-CBDBAAA389BC}" type="presOf" srcId="{4AFC041B-38B0-4C72-A746-BF966CEA6AC8}" destId="{6807B37B-A836-4662-9D62-06C77FDD24E9}" srcOrd="0" destOrd="0" presId="urn:microsoft.com/office/officeart/2005/8/layout/orgChart1"/>
    <dgm:cxn modelId="{C09E6925-07B3-43B3-AEB7-74F4447D2346}" srcId="{F09052B3-1DB7-4250-B822-9F2F5A6E0799}" destId="{41EC097E-6BC9-4044-9C61-BF263D3DDFC2}" srcOrd="0" destOrd="0" parTransId="{972AAD6E-7BF0-470A-99BB-FF361650792A}" sibTransId="{C81896CF-AE3A-4232-B996-4C0CFC9D95CD}"/>
    <dgm:cxn modelId="{A4446660-F939-43D3-989E-928C816B1A9B}" type="presOf" srcId="{127EEC59-F8FB-44CB-8E54-C76FFFFA1B69}" destId="{4B55B3AF-40F8-4B14-A7F7-CA36CF2A67A2}" srcOrd="0" destOrd="0" presId="urn:microsoft.com/office/officeart/2005/8/layout/orgChart1"/>
    <dgm:cxn modelId="{AAC47F44-03DA-425C-8FD3-D133D979B29A}" srcId="{C2F70F0A-888A-4424-9F2F-CEFB97DF8782}" destId="{127EEC59-F8FB-44CB-8E54-C76FFFFA1B69}" srcOrd="0" destOrd="0" parTransId="{28E7DAD1-26EE-440B-9DF1-337EF5A161F5}" sibTransId="{20B45AA5-0831-46BF-8988-0BBD98B3BD88}"/>
    <dgm:cxn modelId="{D0498F44-E3CC-4BE9-B258-FB8B89D00E5D}" type="presOf" srcId="{127EEC59-F8FB-44CB-8E54-C76FFFFA1B69}" destId="{BA250A2F-688A-40BD-84B1-13F0DA2D6C19}" srcOrd="1" destOrd="0" presId="urn:microsoft.com/office/officeart/2005/8/layout/orgChart1"/>
    <dgm:cxn modelId="{AADA4B66-AC3C-4A47-B38C-DCA4C97E0683}" type="presOf" srcId="{306E88D5-3C2C-4119-86D7-889EEB730153}" destId="{A0639943-A711-4B5F-AF57-C238AF0C17F7}" srcOrd="0" destOrd="0" presId="urn:microsoft.com/office/officeart/2005/8/layout/orgChart1"/>
    <dgm:cxn modelId="{D73ED346-E8BB-4687-9BCA-802BC985FA0A}" type="presOf" srcId="{46E82396-44D8-401B-BF0A-8C681C0455C2}" destId="{D5007164-9AA8-4521-90BF-5DC9A4CE7569}" srcOrd="1" destOrd="0" presId="urn:microsoft.com/office/officeart/2005/8/layout/orgChart1"/>
    <dgm:cxn modelId="{6EEB5D4A-9AAC-4845-BF77-E93096F8C808}" type="presOf" srcId="{F09052B3-1DB7-4250-B822-9F2F5A6E0799}" destId="{547CBB0C-05B0-468D-B084-12F850DDEE18}" srcOrd="0" destOrd="0" presId="urn:microsoft.com/office/officeart/2005/8/layout/orgChart1"/>
    <dgm:cxn modelId="{D5F27E6A-2B42-45F5-B643-06368EC81C76}" type="presOf" srcId="{41EC097E-6BC9-4044-9C61-BF263D3DDFC2}" destId="{B0F3A16A-2EB8-4ACD-BDFD-552FCC0CE947}" srcOrd="0" destOrd="0" presId="urn:microsoft.com/office/officeart/2005/8/layout/orgChart1"/>
    <dgm:cxn modelId="{CA36E96F-1667-43A7-94F8-64BA24DDDA8F}" type="presOf" srcId="{EE669CEC-B1B9-47EF-B3A0-24E87A74F2CC}" destId="{B55BD687-EE71-4E33-B72F-C757BFF86871}" srcOrd="1" destOrd="0" presId="urn:microsoft.com/office/officeart/2005/8/layout/orgChart1"/>
    <dgm:cxn modelId="{5C2A0175-233A-4B28-8805-1D688FB9B6B1}" type="presOf" srcId="{4AFC041B-38B0-4C72-A746-BF966CEA6AC8}" destId="{4D5DB6EF-18B6-4700-9698-0AFD44180DCC}" srcOrd="1" destOrd="0" presId="urn:microsoft.com/office/officeart/2005/8/layout/orgChart1"/>
    <dgm:cxn modelId="{7B275B7A-C165-4A21-BF7A-017FAFEFD605}" srcId="{41EC097E-6BC9-4044-9C61-BF263D3DDFC2}" destId="{EE669CEC-B1B9-47EF-B3A0-24E87A74F2CC}" srcOrd="0" destOrd="0" parTransId="{52E5641B-2B95-4C19-8ADE-87880CD8E6C1}" sibTransId="{840D16FC-A4F4-4971-AC6A-9E66D2952D74}"/>
    <dgm:cxn modelId="{8E771983-4411-47C7-B605-F996A8F906B3}" type="presOf" srcId="{52E5641B-2B95-4C19-8ADE-87880CD8E6C1}" destId="{17710D61-F968-4852-B775-7814A30B963D}" srcOrd="0" destOrd="0" presId="urn:microsoft.com/office/officeart/2005/8/layout/orgChart1"/>
    <dgm:cxn modelId="{CDB0828F-442B-4F2A-9926-86FCA3F7D1C7}" type="presOf" srcId="{46E82396-44D8-401B-BF0A-8C681C0455C2}" destId="{FA7BB756-5994-4BE9-AF0C-CA05CF9CDEB3}" srcOrd="0" destOrd="0" presId="urn:microsoft.com/office/officeart/2005/8/layout/orgChart1"/>
    <dgm:cxn modelId="{8DB83294-498D-41BB-8D98-A754BA42AC21}" type="presOf" srcId="{1FD0057A-6E8A-4B47-A8CE-C7B37F2110A1}" destId="{0E1D6D84-C3CF-4DD5-8D75-A7D35727D986}" srcOrd="0" destOrd="0" presId="urn:microsoft.com/office/officeart/2005/8/layout/orgChart1"/>
    <dgm:cxn modelId="{2F3112A2-337C-4785-802A-FCFDA7E8C2CF}" type="presOf" srcId="{C2F70F0A-888A-4424-9F2F-CEFB97DF8782}" destId="{7469631C-426F-4FF9-A0CF-33CC22E42CDF}" srcOrd="1" destOrd="0" presId="urn:microsoft.com/office/officeart/2005/8/layout/orgChart1"/>
    <dgm:cxn modelId="{2AFA08B2-54AE-4E52-96D5-88692A61A0AB}" srcId="{41EC097E-6BC9-4044-9C61-BF263D3DDFC2}" destId="{46E82396-44D8-401B-BF0A-8C681C0455C2}" srcOrd="1" destOrd="0" parTransId="{1FD0057A-6E8A-4B47-A8CE-C7B37F2110A1}" sibTransId="{8BC91230-D5C8-4258-8497-EA3CC953B434}"/>
    <dgm:cxn modelId="{88FD89BA-7CA8-4CFE-89E4-98D127D51915}" type="presOf" srcId="{28E7DAD1-26EE-440B-9DF1-337EF5A161F5}" destId="{FB65BA40-C2A0-4AF2-933E-DDF4A4A63497}" srcOrd="0" destOrd="0" presId="urn:microsoft.com/office/officeart/2005/8/layout/orgChart1"/>
    <dgm:cxn modelId="{B08D68BF-E570-4D9F-9A0C-FDB8E4D0908E}" type="presOf" srcId="{EE669CEC-B1B9-47EF-B3A0-24E87A74F2CC}" destId="{92A5A27F-7BBE-4B8E-B6D1-D356F881F9A1}" srcOrd="0" destOrd="0" presId="urn:microsoft.com/office/officeart/2005/8/layout/orgChart1"/>
    <dgm:cxn modelId="{F20FC1BF-FFEF-41C1-8A8B-E3313C58AC3D}" type="presOf" srcId="{41EC097E-6BC9-4044-9C61-BF263D3DDFC2}" destId="{1A806AAE-BAD2-4A1F-857A-F89F447678E5}" srcOrd="1" destOrd="0" presId="urn:microsoft.com/office/officeart/2005/8/layout/orgChart1"/>
    <dgm:cxn modelId="{06CDCCBF-A61D-4404-9C75-15B7CBEC4856}" srcId="{46E82396-44D8-401B-BF0A-8C681C0455C2}" destId="{4AFC041B-38B0-4C72-A746-BF966CEA6AC8}" srcOrd="0" destOrd="0" parTransId="{CEF72474-FD7E-4A35-850E-C1A30FCC6A97}" sibTransId="{506C89B3-E38F-4E0F-99BE-2D9623F69568}"/>
    <dgm:cxn modelId="{020E9BE5-BE0C-42AD-AAA0-EDD127C4E507}" type="presOf" srcId="{CEF72474-FD7E-4A35-850E-C1A30FCC6A97}" destId="{CABD8F19-A19E-4DA2-81ED-BA9BAF47E59E}" srcOrd="0" destOrd="0" presId="urn:microsoft.com/office/officeart/2005/8/layout/orgChart1"/>
    <dgm:cxn modelId="{30C95BF1-BDD1-4A35-9118-52672CE8ACA0}" type="presOf" srcId="{D222FBDF-4475-4287-9466-4404459F4350}" destId="{52D5CADA-1760-448F-8285-9B32A1AEECCF}" srcOrd="0" destOrd="0" presId="urn:microsoft.com/office/officeart/2005/8/layout/orgChart1"/>
    <dgm:cxn modelId="{62B5CBFC-1F78-42CD-B2DA-F0125405ABEA}" srcId="{EE669CEC-B1B9-47EF-B3A0-24E87A74F2CC}" destId="{A1C1521A-FD8A-4BDD-8129-44875C21784B}" srcOrd="0" destOrd="0" parTransId="{D222FBDF-4475-4287-9466-4404459F4350}" sibTransId="{6918BCB4-9455-470A-8BC5-DB38DEFB85B9}"/>
    <dgm:cxn modelId="{4ABF858F-C2F4-4AB4-8AFB-0ECFAF926BDE}" type="presParOf" srcId="{547CBB0C-05B0-468D-B084-12F850DDEE18}" destId="{BE4F5FC4-B0C6-4957-ABC3-54C7611EFF04}" srcOrd="0" destOrd="0" presId="urn:microsoft.com/office/officeart/2005/8/layout/orgChart1"/>
    <dgm:cxn modelId="{9EDD4841-E64D-4436-BABB-8A73D3CBFA6D}" type="presParOf" srcId="{BE4F5FC4-B0C6-4957-ABC3-54C7611EFF04}" destId="{942A4EBB-311A-40C3-BBDE-BF2738E5B9E8}" srcOrd="0" destOrd="0" presId="urn:microsoft.com/office/officeart/2005/8/layout/orgChart1"/>
    <dgm:cxn modelId="{F92538DC-482B-4F90-B4B0-9167AE9359AD}" type="presParOf" srcId="{942A4EBB-311A-40C3-BBDE-BF2738E5B9E8}" destId="{B0F3A16A-2EB8-4ACD-BDFD-552FCC0CE947}" srcOrd="0" destOrd="0" presId="urn:microsoft.com/office/officeart/2005/8/layout/orgChart1"/>
    <dgm:cxn modelId="{020D4B12-C4AA-478D-B418-12361233D42C}" type="presParOf" srcId="{942A4EBB-311A-40C3-BBDE-BF2738E5B9E8}" destId="{1A806AAE-BAD2-4A1F-857A-F89F447678E5}" srcOrd="1" destOrd="0" presId="urn:microsoft.com/office/officeart/2005/8/layout/orgChart1"/>
    <dgm:cxn modelId="{7F1A26E7-F6C4-4E8D-B777-28B68EAD2983}" type="presParOf" srcId="{BE4F5FC4-B0C6-4957-ABC3-54C7611EFF04}" destId="{4736BF96-35AD-410F-8B1F-D6745BC1BE98}" srcOrd="1" destOrd="0" presId="urn:microsoft.com/office/officeart/2005/8/layout/orgChart1"/>
    <dgm:cxn modelId="{6D2478E7-D259-40D5-913C-C2CB0CE844B0}" type="presParOf" srcId="{4736BF96-35AD-410F-8B1F-D6745BC1BE98}" destId="{17710D61-F968-4852-B775-7814A30B963D}" srcOrd="0" destOrd="0" presId="urn:microsoft.com/office/officeart/2005/8/layout/orgChart1"/>
    <dgm:cxn modelId="{749C8895-4165-423F-B1DB-BE1B1D1BC187}" type="presParOf" srcId="{4736BF96-35AD-410F-8B1F-D6745BC1BE98}" destId="{8F3A1BE0-9263-46C8-9AB9-D998BF070A28}" srcOrd="1" destOrd="0" presId="urn:microsoft.com/office/officeart/2005/8/layout/orgChart1"/>
    <dgm:cxn modelId="{EA48174C-CE48-4013-A42D-2F10B1F4B6CD}" type="presParOf" srcId="{8F3A1BE0-9263-46C8-9AB9-D998BF070A28}" destId="{9453FBFC-C087-4878-9ED2-BBF6D1A4E9DA}" srcOrd="0" destOrd="0" presId="urn:microsoft.com/office/officeart/2005/8/layout/orgChart1"/>
    <dgm:cxn modelId="{A2A6D74F-FFF8-4B50-BB15-B51661B1BA69}" type="presParOf" srcId="{9453FBFC-C087-4878-9ED2-BBF6D1A4E9DA}" destId="{92A5A27F-7BBE-4B8E-B6D1-D356F881F9A1}" srcOrd="0" destOrd="0" presId="urn:microsoft.com/office/officeart/2005/8/layout/orgChart1"/>
    <dgm:cxn modelId="{25896406-8CD3-47A8-970C-D92565F4B09F}" type="presParOf" srcId="{9453FBFC-C087-4878-9ED2-BBF6D1A4E9DA}" destId="{B55BD687-EE71-4E33-B72F-C757BFF86871}" srcOrd="1" destOrd="0" presId="urn:microsoft.com/office/officeart/2005/8/layout/orgChart1"/>
    <dgm:cxn modelId="{44E594E0-0AB8-4BBC-8A40-0C386B8112E6}" type="presParOf" srcId="{8F3A1BE0-9263-46C8-9AB9-D998BF070A28}" destId="{5D1C405C-804A-4E0C-A120-0E52C0507F51}" srcOrd="1" destOrd="0" presId="urn:microsoft.com/office/officeart/2005/8/layout/orgChart1"/>
    <dgm:cxn modelId="{BE8609F3-F5EF-4D7D-9769-5E4CBB462298}" type="presParOf" srcId="{5D1C405C-804A-4E0C-A120-0E52C0507F51}" destId="{52D5CADA-1760-448F-8285-9B32A1AEECCF}" srcOrd="0" destOrd="0" presId="urn:microsoft.com/office/officeart/2005/8/layout/orgChart1"/>
    <dgm:cxn modelId="{F4F81B35-9119-4359-A48F-8346D0E9F144}" type="presParOf" srcId="{5D1C405C-804A-4E0C-A120-0E52C0507F51}" destId="{87AB9BB4-9098-4E3C-B0BB-9BFF402B6A48}" srcOrd="1" destOrd="0" presId="urn:microsoft.com/office/officeart/2005/8/layout/orgChart1"/>
    <dgm:cxn modelId="{313FE074-17CE-4892-A336-44EFE874FB5F}" type="presParOf" srcId="{87AB9BB4-9098-4E3C-B0BB-9BFF402B6A48}" destId="{4BE9400C-367C-4E25-BC9C-D7617152995A}" srcOrd="0" destOrd="0" presId="urn:microsoft.com/office/officeart/2005/8/layout/orgChart1"/>
    <dgm:cxn modelId="{3B144405-626D-421F-8F76-88A13D0CEAFC}" type="presParOf" srcId="{4BE9400C-367C-4E25-BC9C-D7617152995A}" destId="{D3E15643-D991-4F79-B2B9-128A5E59EC94}" srcOrd="0" destOrd="0" presId="urn:microsoft.com/office/officeart/2005/8/layout/orgChart1"/>
    <dgm:cxn modelId="{AF225A75-BA98-4BCB-B228-22308454A488}" type="presParOf" srcId="{4BE9400C-367C-4E25-BC9C-D7617152995A}" destId="{6088D4BD-D34A-4B7F-944B-7661EBFD60A9}" srcOrd="1" destOrd="0" presId="urn:microsoft.com/office/officeart/2005/8/layout/orgChart1"/>
    <dgm:cxn modelId="{10149B45-69D9-4708-B6C4-08379A0E631E}" type="presParOf" srcId="{87AB9BB4-9098-4E3C-B0BB-9BFF402B6A48}" destId="{6C6A9748-3E67-4FA7-8523-DAD37878B235}" srcOrd="1" destOrd="0" presId="urn:microsoft.com/office/officeart/2005/8/layout/orgChart1"/>
    <dgm:cxn modelId="{5D4D87A8-A46F-45DD-82A9-F2F6C8A68469}" type="presParOf" srcId="{87AB9BB4-9098-4E3C-B0BB-9BFF402B6A48}" destId="{737A0DC3-5367-4E5C-906A-B06A75516A99}" srcOrd="2" destOrd="0" presId="urn:microsoft.com/office/officeart/2005/8/layout/orgChart1"/>
    <dgm:cxn modelId="{1E7D2C98-EBB4-43C4-B870-5639050B1B68}" type="presParOf" srcId="{8F3A1BE0-9263-46C8-9AB9-D998BF070A28}" destId="{D77FD034-176C-4E89-A46F-2FDFAD018EF1}" srcOrd="2" destOrd="0" presId="urn:microsoft.com/office/officeart/2005/8/layout/orgChart1"/>
    <dgm:cxn modelId="{9E5D16DC-5123-4249-9CD3-41A829D6A3FC}" type="presParOf" srcId="{4736BF96-35AD-410F-8B1F-D6745BC1BE98}" destId="{0E1D6D84-C3CF-4DD5-8D75-A7D35727D986}" srcOrd="2" destOrd="0" presId="urn:microsoft.com/office/officeart/2005/8/layout/orgChart1"/>
    <dgm:cxn modelId="{74E9484B-7BEC-4217-9EF3-BCBC76A5D9D8}" type="presParOf" srcId="{4736BF96-35AD-410F-8B1F-D6745BC1BE98}" destId="{4E26C39F-1039-4800-AFFE-68015F8AD928}" srcOrd="3" destOrd="0" presId="urn:microsoft.com/office/officeart/2005/8/layout/orgChart1"/>
    <dgm:cxn modelId="{0CB1B72F-F146-4595-BCB2-796F7A0AB36A}" type="presParOf" srcId="{4E26C39F-1039-4800-AFFE-68015F8AD928}" destId="{4930ED83-D4E1-4F7D-83EB-12A2DAFEB6AE}" srcOrd="0" destOrd="0" presId="urn:microsoft.com/office/officeart/2005/8/layout/orgChart1"/>
    <dgm:cxn modelId="{0EE22852-97EE-4732-BBE0-D6F4795B4842}" type="presParOf" srcId="{4930ED83-D4E1-4F7D-83EB-12A2DAFEB6AE}" destId="{FA7BB756-5994-4BE9-AF0C-CA05CF9CDEB3}" srcOrd="0" destOrd="0" presId="urn:microsoft.com/office/officeart/2005/8/layout/orgChart1"/>
    <dgm:cxn modelId="{DC5D4737-26BF-4A69-87F5-3036427B7F7B}" type="presParOf" srcId="{4930ED83-D4E1-4F7D-83EB-12A2DAFEB6AE}" destId="{D5007164-9AA8-4521-90BF-5DC9A4CE7569}" srcOrd="1" destOrd="0" presId="urn:microsoft.com/office/officeart/2005/8/layout/orgChart1"/>
    <dgm:cxn modelId="{78B2D985-60ED-41CD-8FAD-60331B04192B}" type="presParOf" srcId="{4E26C39F-1039-4800-AFFE-68015F8AD928}" destId="{16C950F2-324D-4838-AAE6-994A1A64ABC1}" srcOrd="1" destOrd="0" presId="urn:microsoft.com/office/officeart/2005/8/layout/orgChart1"/>
    <dgm:cxn modelId="{9764004A-5AF5-4FDF-B13C-8D4321751D0E}" type="presParOf" srcId="{16C950F2-324D-4838-AAE6-994A1A64ABC1}" destId="{CABD8F19-A19E-4DA2-81ED-BA9BAF47E59E}" srcOrd="0" destOrd="0" presId="urn:microsoft.com/office/officeart/2005/8/layout/orgChart1"/>
    <dgm:cxn modelId="{E141BD07-658E-449E-963F-04ADF3233697}" type="presParOf" srcId="{16C950F2-324D-4838-AAE6-994A1A64ABC1}" destId="{8F014089-FC0D-4BAC-A08E-25BB70503217}" srcOrd="1" destOrd="0" presId="urn:microsoft.com/office/officeart/2005/8/layout/orgChart1"/>
    <dgm:cxn modelId="{9CD8FBD6-8FC6-4160-9A1F-73485102169D}" type="presParOf" srcId="{8F014089-FC0D-4BAC-A08E-25BB70503217}" destId="{C7C49D42-DE3F-4411-85B6-B59C940303F9}" srcOrd="0" destOrd="0" presId="urn:microsoft.com/office/officeart/2005/8/layout/orgChart1"/>
    <dgm:cxn modelId="{D141A163-2C80-4C7A-A187-BADFCD2354B9}" type="presParOf" srcId="{C7C49D42-DE3F-4411-85B6-B59C940303F9}" destId="{6807B37B-A836-4662-9D62-06C77FDD24E9}" srcOrd="0" destOrd="0" presId="urn:microsoft.com/office/officeart/2005/8/layout/orgChart1"/>
    <dgm:cxn modelId="{EC1725D8-DB05-4955-A477-40D245B92871}" type="presParOf" srcId="{C7C49D42-DE3F-4411-85B6-B59C940303F9}" destId="{4D5DB6EF-18B6-4700-9698-0AFD44180DCC}" srcOrd="1" destOrd="0" presId="urn:microsoft.com/office/officeart/2005/8/layout/orgChart1"/>
    <dgm:cxn modelId="{DA4EBD6E-D054-45F3-AD76-FD8AC6CEA41A}" type="presParOf" srcId="{8F014089-FC0D-4BAC-A08E-25BB70503217}" destId="{AEE61304-741D-4C12-AE8F-2B759B837A1B}" srcOrd="1" destOrd="0" presId="urn:microsoft.com/office/officeart/2005/8/layout/orgChart1"/>
    <dgm:cxn modelId="{3D9681BC-8865-4790-B381-4A3417D12213}" type="presParOf" srcId="{8F014089-FC0D-4BAC-A08E-25BB70503217}" destId="{620FCD88-1841-43AA-8F97-9E77D1D07F5E}" srcOrd="2" destOrd="0" presId="urn:microsoft.com/office/officeart/2005/8/layout/orgChart1"/>
    <dgm:cxn modelId="{04FB0FD0-20A0-4102-8B4D-FA93B8A75783}" type="presParOf" srcId="{4E26C39F-1039-4800-AFFE-68015F8AD928}" destId="{3612DCEC-57DA-48B9-9924-32A2D24205BE}" srcOrd="2" destOrd="0" presId="urn:microsoft.com/office/officeart/2005/8/layout/orgChart1"/>
    <dgm:cxn modelId="{BD1558FD-E4CA-4198-B941-927B9203C114}" type="presParOf" srcId="{4736BF96-35AD-410F-8B1F-D6745BC1BE98}" destId="{A0639943-A711-4B5F-AF57-C238AF0C17F7}" srcOrd="4" destOrd="0" presId="urn:microsoft.com/office/officeart/2005/8/layout/orgChart1"/>
    <dgm:cxn modelId="{8E941E36-7FB0-4075-8639-C3BFFC437343}" type="presParOf" srcId="{4736BF96-35AD-410F-8B1F-D6745BC1BE98}" destId="{2F8BE178-FB29-43DF-BC92-5656BAB134A4}" srcOrd="5" destOrd="0" presId="urn:microsoft.com/office/officeart/2005/8/layout/orgChart1"/>
    <dgm:cxn modelId="{9C1BC4A7-638B-4F4A-9071-7C8F83A974FE}" type="presParOf" srcId="{2F8BE178-FB29-43DF-BC92-5656BAB134A4}" destId="{640D3FA1-772C-4A30-A00D-4D4DD140944D}" srcOrd="0" destOrd="0" presId="urn:microsoft.com/office/officeart/2005/8/layout/orgChart1"/>
    <dgm:cxn modelId="{6F4A0FD2-2F2E-4F4A-AC7B-104192D81DC2}" type="presParOf" srcId="{640D3FA1-772C-4A30-A00D-4D4DD140944D}" destId="{FA9C3211-741B-4CB5-8ABD-2D65A353BBB8}" srcOrd="0" destOrd="0" presId="urn:microsoft.com/office/officeart/2005/8/layout/orgChart1"/>
    <dgm:cxn modelId="{736DB30A-4A6C-4E28-9AEE-65438B4390B8}" type="presParOf" srcId="{640D3FA1-772C-4A30-A00D-4D4DD140944D}" destId="{7469631C-426F-4FF9-A0CF-33CC22E42CDF}" srcOrd="1" destOrd="0" presId="urn:microsoft.com/office/officeart/2005/8/layout/orgChart1"/>
    <dgm:cxn modelId="{7064137A-2416-46C6-B5E9-0E6D2900ABD2}" type="presParOf" srcId="{2F8BE178-FB29-43DF-BC92-5656BAB134A4}" destId="{27D7FD29-D9EE-43F8-A684-F48111E59329}" srcOrd="1" destOrd="0" presId="urn:microsoft.com/office/officeart/2005/8/layout/orgChart1"/>
    <dgm:cxn modelId="{A80BB917-9D7C-45FA-A73D-6F1F5A693F66}" type="presParOf" srcId="{27D7FD29-D9EE-43F8-A684-F48111E59329}" destId="{FB65BA40-C2A0-4AF2-933E-DDF4A4A63497}" srcOrd="0" destOrd="0" presId="urn:microsoft.com/office/officeart/2005/8/layout/orgChart1"/>
    <dgm:cxn modelId="{E98E4889-C889-4059-BC84-62A51F1A5FEE}" type="presParOf" srcId="{27D7FD29-D9EE-43F8-A684-F48111E59329}" destId="{B62D2194-B226-4791-A518-E3E86512EDF4}" srcOrd="1" destOrd="0" presId="urn:microsoft.com/office/officeart/2005/8/layout/orgChart1"/>
    <dgm:cxn modelId="{52A9DC6E-AC22-4B8F-BDDF-A43228E4E757}" type="presParOf" srcId="{B62D2194-B226-4791-A518-E3E86512EDF4}" destId="{EECDC6C6-E7CE-4647-95BC-0C42C0B83182}" srcOrd="0" destOrd="0" presId="urn:microsoft.com/office/officeart/2005/8/layout/orgChart1"/>
    <dgm:cxn modelId="{9E103A26-FB8B-4BD2-A275-9D6021139F55}" type="presParOf" srcId="{EECDC6C6-E7CE-4647-95BC-0C42C0B83182}" destId="{4B55B3AF-40F8-4B14-A7F7-CA36CF2A67A2}" srcOrd="0" destOrd="0" presId="urn:microsoft.com/office/officeart/2005/8/layout/orgChart1"/>
    <dgm:cxn modelId="{A0B21660-276F-4FC9-8099-125AC14AE3E4}" type="presParOf" srcId="{EECDC6C6-E7CE-4647-95BC-0C42C0B83182}" destId="{BA250A2F-688A-40BD-84B1-13F0DA2D6C19}" srcOrd="1" destOrd="0" presId="urn:microsoft.com/office/officeart/2005/8/layout/orgChart1"/>
    <dgm:cxn modelId="{F492348F-8655-4279-A1F9-95E76B550DC6}" type="presParOf" srcId="{B62D2194-B226-4791-A518-E3E86512EDF4}" destId="{F71FEC32-EBAF-4C52-B98F-FE38ED179B0E}" srcOrd="1" destOrd="0" presId="urn:microsoft.com/office/officeart/2005/8/layout/orgChart1"/>
    <dgm:cxn modelId="{A6F6EF83-BFBE-4F54-9827-622307193F40}" type="presParOf" srcId="{B62D2194-B226-4791-A518-E3E86512EDF4}" destId="{D9A17169-88D2-4489-901E-47EAC617AACA}" srcOrd="2" destOrd="0" presId="urn:microsoft.com/office/officeart/2005/8/layout/orgChart1"/>
    <dgm:cxn modelId="{2F93CE99-95C2-4179-8042-5F5D3933D46E}" type="presParOf" srcId="{2F8BE178-FB29-43DF-BC92-5656BAB134A4}" destId="{6144B275-7B0B-42AA-9C24-52E18CA22BE5}" srcOrd="2" destOrd="0" presId="urn:microsoft.com/office/officeart/2005/8/layout/orgChart1"/>
    <dgm:cxn modelId="{D4F64909-A920-4A86-A562-D930B8BBDBBF}" type="presParOf" srcId="{BE4F5FC4-B0C6-4957-ABC3-54C7611EFF04}" destId="{6F545942-F93C-4CC4-AEAD-BD312D713560}"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5BA40-C2A0-4AF2-933E-DDF4A4A63497}">
      <dsp:nvSpPr>
        <dsp:cNvPr id="0" name=""/>
        <dsp:cNvSpPr/>
      </dsp:nvSpPr>
      <dsp:spPr>
        <a:xfrm>
          <a:off x="2667054" y="1119924"/>
          <a:ext cx="138707" cy="425368"/>
        </a:xfrm>
        <a:custGeom>
          <a:avLst/>
          <a:gdLst/>
          <a:ahLst/>
          <a:cxnLst/>
          <a:rect l="0" t="0" r="0" b="0"/>
          <a:pathLst>
            <a:path>
              <a:moveTo>
                <a:pt x="0" y="0"/>
              </a:moveTo>
              <a:lnTo>
                <a:pt x="0" y="533429"/>
              </a:lnTo>
              <a:lnTo>
                <a:pt x="173944" y="53342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0639943-A711-4B5F-AF57-C238AF0C17F7}">
      <dsp:nvSpPr>
        <dsp:cNvPr id="0" name=""/>
        <dsp:cNvSpPr/>
      </dsp:nvSpPr>
      <dsp:spPr>
        <a:xfrm>
          <a:off x="1918036" y="463377"/>
          <a:ext cx="1118903" cy="194189"/>
        </a:xfrm>
        <a:custGeom>
          <a:avLst/>
          <a:gdLst/>
          <a:ahLst/>
          <a:cxnLst/>
          <a:rect l="0" t="0" r="0" b="0"/>
          <a:pathLst>
            <a:path>
              <a:moveTo>
                <a:pt x="0" y="0"/>
              </a:moveTo>
              <a:lnTo>
                <a:pt x="0" y="121761"/>
              </a:lnTo>
              <a:lnTo>
                <a:pt x="1403152" y="121761"/>
              </a:lnTo>
              <a:lnTo>
                <a:pt x="1403152" y="24352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ABD8F19-A19E-4DA2-81ED-BA9BAF47E59E}">
      <dsp:nvSpPr>
        <dsp:cNvPr id="0" name=""/>
        <dsp:cNvSpPr/>
      </dsp:nvSpPr>
      <dsp:spPr>
        <a:xfrm>
          <a:off x="1548150" y="1119924"/>
          <a:ext cx="138707" cy="425368"/>
        </a:xfrm>
        <a:custGeom>
          <a:avLst/>
          <a:gdLst/>
          <a:ahLst/>
          <a:cxnLst/>
          <a:rect l="0" t="0" r="0" b="0"/>
          <a:pathLst>
            <a:path>
              <a:moveTo>
                <a:pt x="0" y="0"/>
              </a:moveTo>
              <a:lnTo>
                <a:pt x="0" y="533429"/>
              </a:lnTo>
              <a:lnTo>
                <a:pt x="173944" y="53342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E1D6D84-C3CF-4DD5-8D75-A7D35727D986}">
      <dsp:nvSpPr>
        <dsp:cNvPr id="0" name=""/>
        <dsp:cNvSpPr/>
      </dsp:nvSpPr>
      <dsp:spPr>
        <a:xfrm>
          <a:off x="1872316" y="463377"/>
          <a:ext cx="91440" cy="194189"/>
        </a:xfrm>
        <a:custGeom>
          <a:avLst/>
          <a:gdLst/>
          <a:ahLst/>
          <a:cxnLst/>
          <a:rect l="0" t="0" r="0" b="0"/>
          <a:pathLst>
            <a:path>
              <a:moveTo>
                <a:pt x="45720" y="0"/>
              </a:moveTo>
              <a:lnTo>
                <a:pt x="45720" y="24352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2D5CADA-1760-448F-8285-9B32A1AEECCF}">
      <dsp:nvSpPr>
        <dsp:cNvPr id="0" name=""/>
        <dsp:cNvSpPr/>
      </dsp:nvSpPr>
      <dsp:spPr>
        <a:xfrm>
          <a:off x="429247" y="1119924"/>
          <a:ext cx="138707" cy="425368"/>
        </a:xfrm>
        <a:custGeom>
          <a:avLst/>
          <a:gdLst/>
          <a:ahLst/>
          <a:cxnLst/>
          <a:rect l="0" t="0" r="0" b="0"/>
          <a:pathLst>
            <a:path>
              <a:moveTo>
                <a:pt x="0" y="0"/>
              </a:moveTo>
              <a:lnTo>
                <a:pt x="0" y="533429"/>
              </a:lnTo>
              <a:lnTo>
                <a:pt x="173944" y="53342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7710D61-F968-4852-B775-7814A30B963D}">
      <dsp:nvSpPr>
        <dsp:cNvPr id="0" name=""/>
        <dsp:cNvSpPr/>
      </dsp:nvSpPr>
      <dsp:spPr>
        <a:xfrm>
          <a:off x="799132" y="463377"/>
          <a:ext cx="1118903" cy="194189"/>
        </a:xfrm>
        <a:custGeom>
          <a:avLst/>
          <a:gdLst/>
          <a:ahLst/>
          <a:cxnLst/>
          <a:rect l="0" t="0" r="0" b="0"/>
          <a:pathLst>
            <a:path>
              <a:moveTo>
                <a:pt x="1403152" y="0"/>
              </a:moveTo>
              <a:lnTo>
                <a:pt x="1403152" y="121761"/>
              </a:lnTo>
              <a:lnTo>
                <a:pt x="0" y="121761"/>
              </a:lnTo>
              <a:lnTo>
                <a:pt x="0" y="24352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0F3A16A-2EB8-4ACD-BDFD-552FCC0CE947}">
      <dsp:nvSpPr>
        <dsp:cNvPr id="0" name=""/>
        <dsp:cNvSpPr/>
      </dsp:nvSpPr>
      <dsp:spPr>
        <a:xfrm>
          <a:off x="1455679" y="1020"/>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Macrocyclic ligands</a:t>
          </a:r>
        </a:p>
      </dsp:txBody>
      <dsp:txXfrm>
        <a:off x="1455679" y="1020"/>
        <a:ext cx="924713" cy="462356"/>
      </dsp:txXfrm>
    </dsp:sp>
    <dsp:sp modelId="{92A5A27F-7BBE-4B8E-B6D1-D356F881F9A1}">
      <dsp:nvSpPr>
        <dsp:cNvPr id="0" name=""/>
        <dsp:cNvSpPr/>
      </dsp:nvSpPr>
      <dsp:spPr>
        <a:xfrm>
          <a:off x="336775" y="657567"/>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Aza crowns</a:t>
          </a:r>
        </a:p>
      </dsp:txBody>
      <dsp:txXfrm>
        <a:off x="336775" y="657567"/>
        <a:ext cx="924713" cy="462356"/>
      </dsp:txXfrm>
    </dsp:sp>
    <dsp:sp modelId="{D3E15643-D991-4F79-B2B9-128A5E59EC94}">
      <dsp:nvSpPr>
        <dsp:cNvPr id="0" name=""/>
        <dsp:cNvSpPr/>
      </dsp:nvSpPr>
      <dsp:spPr>
        <a:xfrm>
          <a:off x="567954" y="1314114"/>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Nitrogen donor atoms</a:t>
          </a:r>
        </a:p>
      </dsp:txBody>
      <dsp:txXfrm>
        <a:off x="567954" y="1314114"/>
        <a:ext cx="924713" cy="462356"/>
      </dsp:txXfrm>
    </dsp:sp>
    <dsp:sp modelId="{FA7BB756-5994-4BE9-AF0C-CA05CF9CDEB3}">
      <dsp:nvSpPr>
        <dsp:cNvPr id="0" name=""/>
        <dsp:cNvSpPr/>
      </dsp:nvSpPr>
      <dsp:spPr>
        <a:xfrm>
          <a:off x="1455679" y="657567"/>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Crown ethers</a:t>
          </a:r>
        </a:p>
      </dsp:txBody>
      <dsp:txXfrm>
        <a:off x="1455679" y="657567"/>
        <a:ext cx="924713" cy="462356"/>
      </dsp:txXfrm>
    </dsp:sp>
    <dsp:sp modelId="{6807B37B-A836-4662-9D62-06C77FDD24E9}">
      <dsp:nvSpPr>
        <dsp:cNvPr id="0" name=""/>
        <dsp:cNvSpPr/>
      </dsp:nvSpPr>
      <dsp:spPr>
        <a:xfrm>
          <a:off x="1686857" y="1314114"/>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Oxygen donor atoms</a:t>
          </a:r>
        </a:p>
      </dsp:txBody>
      <dsp:txXfrm>
        <a:off x="1686857" y="1314114"/>
        <a:ext cx="924713" cy="462356"/>
      </dsp:txXfrm>
    </dsp:sp>
    <dsp:sp modelId="{FA9C3211-741B-4CB5-8ABD-2D65A353BBB8}">
      <dsp:nvSpPr>
        <dsp:cNvPr id="0" name=""/>
        <dsp:cNvSpPr/>
      </dsp:nvSpPr>
      <dsp:spPr>
        <a:xfrm>
          <a:off x="2574583" y="657567"/>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Thiacrowns</a:t>
          </a:r>
        </a:p>
      </dsp:txBody>
      <dsp:txXfrm>
        <a:off x="2574583" y="657567"/>
        <a:ext cx="924713" cy="462356"/>
      </dsp:txXfrm>
    </dsp:sp>
    <dsp:sp modelId="{4B55B3AF-40F8-4B14-A7F7-CA36CF2A67A2}">
      <dsp:nvSpPr>
        <dsp:cNvPr id="0" name=""/>
        <dsp:cNvSpPr/>
      </dsp:nvSpPr>
      <dsp:spPr>
        <a:xfrm>
          <a:off x="2805761" y="1314114"/>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Sulphur donor atoms</a:t>
          </a:r>
        </a:p>
      </dsp:txBody>
      <dsp:txXfrm>
        <a:off x="2805761" y="1314114"/>
        <a:ext cx="924713" cy="4623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5370</Words>
  <Characters>30614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Persatuan Sains Analisis Malaysia</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5</cp:revision>
  <cp:lastPrinted>2021-08-18T09:57:00Z</cp:lastPrinted>
  <dcterms:created xsi:type="dcterms:W3CDTF">2021-08-02T06:48:00Z</dcterms:created>
  <dcterms:modified xsi:type="dcterms:W3CDTF">2021-08-18T09:59:00Z</dcterms:modified>
</cp:coreProperties>
</file>