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147CF028"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9B31A6">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6503D5">
        <w:rPr>
          <w:rFonts w:ascii="Times New Roman" w:hAnsi="Times New Roman" w:cs="Times New Roman"/>
          <w:b/>
          <w:i/>
          <w:sz w:val="24"/>
          <w:szCs w:val="24"/>
        </w:rPr>
        <w:t>432</w:t>
      </w:r>
      <w:r w:rsidR="009B31A6">
        <w:rPr>
          <w:rFonts w:ascii="Times New Roman" w:hAnsi="Times New Roman" w:cs="Times New Roman"/>
          <w:b/>
          <w:i/>
          <w:sz w:val="24"/>
          <w:szCs w:val="24"/>
        </w:rPr>
        <w:t xml:space="preserve"> - </w:t>
      </w:r>
      <w:r w:rsidR="006503D5">
        <w:rPr>
          <w:rFonts w:ascii="Times New Roman" w:hAnsi="Times New Roman" w:cs="Times New Roman"/>
          <w:b/>
          <w:i/>
          <w:sz w:val="24"/>
          <w:szCs w:val="24"/>
        </w:rPr>
        <w:t>445</w:t>
      </w:r>
    </w:p>
    <w:p w14:paraId="1FF05887" w14:textId="77777777" w:rsidR="00095557" w:rsidRPr="001E55BE" w:rsidRDefault="00095557"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24863831" w14:textId="77777777" w:rsidR="006503D5" w:rsidRPr="00DF7DEC" w:rsidRDefault="006503D5" w:rsidP="006503D5">
      <w:pPr>
        <w:spacing w:after="0"/>
        <w:ind w:right="71"/>
        <w:jc w:val="center"/>
        <w:rPr>
          <w:rFonts w:ascii="Times New Roman" w:hAnsi="Times New Roman"/>
          <w:bCs/>
          <w:sz w:val="28"/>
          <w:szCs w:val="28"/>
        </w:rPr>
      </w:pPr>
      <w:r w:rsidRPr="002C4A18">
        <w:rPr>
          <w:rFonts w:ascii="Times New Roman" w:hAnsi="Times New Roman"/>
          <w:bCs/>
          <w:sz w:val="28"/>
          <w:szCs w:val="28"/>
        </w:rPr>
        <w:t>CO</w:t>
      </w:r>
      <w:r w:rsidRPr="002C4A18">
        <w:rPr>
          <w:rFonts w:ascii="Times New Roman" w:hAnsi="Times New Roman"/>
          <w:bCs/>
          <w:sz w:val="28"/>
          <w:szCs w:val="28"/>
          <w:vertAlign w:val="subscript"/>
        </w:rPr>
        <w:t>2</w:t>
      </w:r>
      <w:r w:rsidRPr="002C4A18">
        <w:rPr>
          <w:rFonts w:ascii="Times New Roman" w:hAnsi="Times New Roman"/>
          <w:bCs/>
          <w:sz w:val="28"/>
          <w:szCs w:val="28"/>
        </w:rPr>
        <w:t>-EFFERVESCENT TABLET-ASSISTED DISPERSIVE LIQUID-LIQUID MICROEXTRACTION WITH CENTRAL COMPOSITE DESIGN FOR PRE-CONCENTRATION OF ACETAMINOPHEN DRUG: METHOD DEVELOPMENT, VALIDATION AND GREEN ASSESSMENT PROFILE</w:t>
      </w:r>
    </w:p>
    <w:p w14:paraId="4C267E66" w14:textId="77777777" w:rsidR="006503D5" w:rsidRPr="002C4A18" w:rsidRDefault="006503D5" w:rsidP="006503D5">
      <w:pPr>
        <w:spacing w:after="0"/>
        <w:ind w:right="71"/>
        <w:jc w:val="center"/>
        <w:rPr>
          <w:rFonts w:ascii="Times New Roman" w:hAnsi="Times New Roman"/>
          <w:bCs/>
          <w:sz w:val="24"/>
          <w:szCs w:val="24"/>
        </w:rPr>
      </w:pPr>
    </w:p>
    <w:p w14:paraId="7BCBFDA5" w14:textId="77777777" w:rsidR="006503D5" w:rsidRPr="002C4A18" w:rsidRDefault="006503D5" w:rsidP="006503D5">
      <w:pPr>
        <w:spacing w:after="0"/>
        <w:ind w:right="71"/>
        <w:jc w:val="center"/>
        <w:rPr>
          <w:rFonts w:ascii="Times New Roman" w:hAnsi="Times New Roman"/>
          <w:bCs/>
          <w:noProof/>
          <w:sz w:val="24"/>
          <w:szCs w:val="24"/>
          <w:lang w:val="ms-MY"/>
        </w:rPr>
      </w:pPr>
      <w:r w:rsidRPr="002C4A18">
        <w:rPr>
          <w:rFonts w:ascii="Times New Roman" w:hAnsi="Times New Roman"/>
          <w:bCs/>
          <w:sz w:val="24"/>
          <w:szCs w:val="24"/>
        </w:rPr>
        <w:t>(</w:t>
      </w:r>
      <w:bookmarkStart w:id="0" w:name="_Hlk73739555"/>
      <w:r w:rsidRPr="002C4A18">
        <w:rPr>
          <w:rFonts w:ascii="Times New Roman" w:hAnsi="Times New Roman"/>
          <w:bCs/>
          <w:noProof/>
          <w:sz w:val="24"/>
          <w:szCs w:val="24"/>
          <w:lang w:val="ms-MY"/>
        </w:rPr>
        <w:t>Tablet Berbuak-CO</w:t>
      </w:r>
      <w:r w:rsidRPr="002C4A18">
        <w:rPr>
          <w:rFonts w:ascii="Times New Roman" w:hAnsi="Times New Roman"/>
          <w:bCs/>
          <w:noProof/>
          <w:sz w:val="24"/>
          <w:szCs w:val="24"/>
          <w:vertAlign w:val="subscript"/>
          <w:lang w:val="ms-MY"/>
        </w:rPr>
        <w:t>2</w:t>
      </w:r>
      <w:r w:rsidRPr="002C4A18">
        <w:rPr>
          <w:rFonts w:ascii="Times New Roman" w:hAnsi="Times New Roman"/>
          <w:bCs/>
          <w:noProof/>
          <w:sz w:val="24"/>
          <w:szCs w:val="24"/>
          <w:lang w:val="ms-MY"/>
        </w:rPr>
        <w:t xml:space="preserve"> Berbantukan Sebaran Pengekstrakan Mikro Cecair-Cecair </w:t>
      </w:r>
      <w:bookmarkEnd w:id="0"/>
      <w:r w:rsidRPr="002C4A18">
        <w:rPr>
          <w:rFonts w:ascii="Times New Roman" w:hAnsi="Times New Roman"/>
          <w:bCs/>
          <w:noProof/>
          <w:sz w:val="24"/>
          <w:szCs w:val="24"/>
          <w:lang w:val="ms-MY"/>
        </w:rPr>
        <w:t>dengan Reka Bentuk Komposit Berpusat untuk Kepekatan Awalan Dadah Acetaminophen: Pembangunan Kaedah, Validasi dan Profil Penilaian Hijau</w:t>
      </w:r>
      <w:r w:rsidRPr="002C4A18">
        <w:rPr>
          <w:rFonts w:ascii="Times New Roman" w:hAnsi="Times New Roman"/>
          <w:bCs/>
          <w:sz w:val="24"/>
          <w:szCs w:val="24"/>
        </w:rPr>
        <w:t>)</w:t>
      </w:r>
    </w:p>
    <w:p w14:paraId="5BCEA70A" w14:textId="77777777" w:rsidR="006503D5" w:rsidRPr="002C4A18" w:rsidRDefault="006503D5" w:rsidP="006503D5">
      <w:pPr>
        <w:spacing w:after="0"/>
        <w:ind w:right="71"/>
        <w:jc w:val="center"/>
        <w:rPr>
          <w:rFonts w:ascii="Times New Roman" w:hAnsi="Times New Roman"/>
          <w:bCs/>
          <w:noProof/>
          <w:sz w:val="20"/>
          <w:szCs w:val="20"/>
          <w:lang w:val="ms-MY"/>
        </w:rPr>
      </w:pPr>
    </w:p>
    <w:p w14:paraId="21EB0D77" w14:textId="77777777" w:rsidR="006503D5" w:rsidRDefault="006503D5" w:rsidP="006503D5">
      <w:pPr>
        <w:spacing w:after="0"/>
        <w:ind w:right="71"/>
        <w:jc w:val="center"/>
        <w:rPr>
          <w:rFonts w:ascii="Times New Roman" w:hAnsi="Times New Roman"/>
          <w:noProof/>
          <w:sz w:val="20"/>
          <w:szCs w:val="20"/>
        </w:rPr>
      </w:pPr>
      <w:r w:rsidRPr="002C4A18">
        <w:rPr>
          <w:rFonts w:ascii="Times New Roman" w:hAnsi="Times New Roman"/>
          <w:noProof/>
          <w:sz w:val="20"/>
          <w:szCs w:val="20"/>
        </w:rPr>
        <w:t xml:space="preserve">Priya Murugan, Sarveishwhary Rajendran, Saw Hong Loh, Marinah Mohd Ariffin, </w:t>
      </w:r>
    </w:p>
    <w:p w14:paraId="5170581C" w14:textId="77777777" w:rsidR="006503D5" w:rsidRPr="002C4A18" w:rsidRDefault="006503D5" w:rsidP="006503D5">
      <w:pPr>
        <w:spacing w:after="0"/>
        <w:ind w:right="71"/>
        <w:jc w:val="center"/>
        <w:rPr>
          <w:rFonts w:ascii="Times New Roman" w:hAnsi="Times New Roman"/>
          <w:noProof/>
          <w:sz w:val="20"/>
          <w:szCs w:val="20"/>
        </w:rPr>
      </w:pPr>
      <w:r w:rsidRPr="002C4A18">
        <w:rPr>
          <w:rFonts w:ascii="Times New Roman" w:hAnsi="Times New Roman"/>
          <w:noProof/>
          <w:sz w:val="20"/>
          <w:szCs w:val="20"/>
        </w:rPr>
        <w:t>Wan Mohd Afiq Wan Mohd Khalik*</w:t>
      </w:r>
    </w:p>
    <w:p w14:paraId="5DF107C1" w14:textId="77777777" w:rsidR="006503D5" w:rsidRPr="006503D5" w:rsidRDefault="006503D5" w:rsidP="006503D5">
      <w:pPr>
        <w:spacing w:after="0"/>
        <w:ind w:right="71"/>
        <w:jc w:val="center"/>
        <w:rPr>
          <w:rFonts w:ascii="Times New Roman" w:hAnsi="Times New Roman"/>
          <w:noProof/>
          <w:sz w:val="20"/>
          <w:szCs w:val="20"/>
        </w:rPr>
      </w:pPr>
    </w:p>
    <w:p w14:paraId="02C3724D" w14:textId="77777777" w:rsidR="006503D5" w:rsidRPr="006503D5" w:rsidRDefault="006503D5" w:rsidP="006503D5">
      <w:pPr>
        <w:spacing w:after="0"/>
        <w:ind w:right="-71"/>
        <w:jc w:val="center"/>
        <w:rPr>
          <w:rFonts w:ascii="Times New Roman" w:hAnsi="Times New Roman"/>
          <w:i/>
          <w:sz w:val="20"/>
          <w:szCs w:val="20"/>
        </w:rPr>
      </w:pPr>
      <w:r w:rsidRPr="006503D5">
        <w:rPr>
          <w:rFonts w:ascii="Times New Roman" w:hAnsi="Times New Roman"/>
          <w:i/>
          <w:sz w:val="20"/>
          <w:szCs w:val="20"/>
        </w:rPr>
        <w:t xml:space="preserve">Faculty of Science and Marine Environment, </w:t>
      </w:r>
    </w:p>
    <w:p w14:paraId="1F0498C4" w14:textId="77777777" w:rsidR="006503D5" w:rsidRPr="006503D5" w:rsidRDefault="006503D5" w:rsidP="006503D5">
      <w:pPr>
        <w:spacing w:after="0"/>
        <w:ind w:right="-71"/>
        <w:jc w:val="center"/>
        <w:rPr>
          <w:rFonts w:ascii="Times New Roman" w:hAnsi="Times New Roman"/>
          <w:i/>
          <w:sz w:val="20"/>
          <w:szCs w:val="20"/>
        </w:rPr>
      </w:pPr>
      <w:r w:rsidRPr="006503D5">
        <w:rPr>
          <w:rFonts w:ascii="Times New Roman" w:hAnsi="Times New Roman"/>
          <w:i/>
          <w:sz w:val="20"/>
          <w:szCs w:val="20"/>
        </w:rPr>
        <w:t>Universiti Malaysia Terengganu, 21030 Kuala Nerus, Malaysia</w:t>
      </w:r>
    </w:p>
    <w:p w14:paraId="0E6551CE" w14:textId="77777777" w:rsidR="006503D5" w:rsidRPr="006503D5" w:rsidRDefault="006503D5" w:rsidP="006503D5">
      <w:pPr>
        <w:spacing w:after="0"/>
        <w:ind w:right="-71"/>
        <w:jc w:val="center"/>
        <w:rPr>
          <w:rFonts w:ascii="Times New Roman" w:hAnsi="Times New Roman"/>
          <w:sz w:val="20"/>
          <w:szCs w:val="20"/>
        </w:rPr>
      </w:pPr>
    </w:p>
    <w:p w14:paraId="5FFFF199" w14:textId="77777777" w:rsidR="006503D5" w:rsidRPr="006503D5" w:rsidRDefault="006503D5" w:rsidP="006503D5">
      <w:pPr>
        <w:spacing w:after="0"/>
        <w:ind w:right="-71"/>
        <w:jc w:val="center"/>
        <w:rPr>
          <w:rFonts w:ascii="Times New Roman" w:hAnsi="Times New Roman"/>
          <w:sz w:val="20"/>
          <w:szCs w:val="20"/>
        </w:rPr>
      </w:pPr>
      <w:r w:rsidRPr="006503D5">
        <w:rPr>
          <w:rFonts w:ascii="Times New Roman" w:hAnsi="Times New Roman"/>
          <w:i/>
          <w:sz w:val="20"/>
          <w:szCs w:val="20"/>
        </w:rPr>
        <w:t>*Corresponding author:  wan.afiq@umt.edu.my</w:t>
      </w:r>
    </w:p>
    <w:p w14:paraId="78E46966" w14:textId="77777777" w:rsidR="006503D5" w:rsidRPr="006503D5" w:rsidRDefault="006503D5" w:rsidP="006503D5">
      <w:pPr>
        <w:spacing w:after="0"/>
        <w:jc w:val="center"/>
        <w:rPr>
          <w:rFonts w:ascii="Times New Roman" w:hAnsi="Times New Roman"/>
          <w:noProof/>
          <w:sz w:val="20"/>
          <w:szCs w:val="20"/>
        </w:rPr>
      </w:pPr>
    </w:p>
    <w:p w14:paraId="6DAC60B1" w14:textId="77777777" w:rsidR="006503D5" w:rsidRPr="006503D5" w:rsidRDefault="006503D5" w:rsidP="006503D5">
      <w:pPr>
        <w:spacing w:after="0"/>
        <w:jc w:val="center"/>
        <w:rPr>
          <w:rFonts w:ascii="Times New Roman" w:hAnsi="Times New Roman"/>
          <w:noProof/>
          <w:sz w:val="20"/>
          <w:szCs w:val="20"/>
        </w:rPr>
      </w:pPr>
    </w:p>
    <w:p w14:paraId="09066336" w14:textId="77777777" w:rsidR="006503D5" w:rsidRPr="006503D5" w:rsidRDefault="006503D5" w:rsidP="006503D5">
      <w:pPr>
        <w:spacing w:after="0"/>
        <w:jc w:val="center"/>
        <w:rPr>
          <w:rFonts w:ascii="Times New Roman" w:hAnsi="Times New Roman"/>
          <w:noProof/>
          <w:sz w:val="20"/>
          <w:szCs w:val="20"/>
        </w:rPr>
      </w:pPr>
      <w:r w:rsidRPr="006503D5">
        <w:rPr>
          <w:rFonts w:ascii="Times New Roman" w:hAnsi="Times New Roman"/>
          <w:noProof/>
          <w:sz w:val="20"/>
          <w:szCs w:val="20"/>
        </w:rPr>
        <w:t>Received:  15 April 2021; Accepted: 2 June 2021; Published:  xx June 2021</w:t>
      </w:r>
    </w:p>
    <w:p w14:paraId="5518BA4D" w14:textId="77777777" w:rsidR="006503D5" w:rsidRPr="006503D5" w:rsidRDefault="006503D5" w:rsidP="006503D5">
      <w:pPr>
        <w:spacing w:after="0"/>
        <w:jc w:val="center"/>
        <w:rPr>
          <w:rFonts w:ascii="Times New Roman" w:hAnsi="Times New Roman"/>
          <w:noProof/>
          <w:sz w:val="20"/>
          <w:szCs w:val="20"/>
        </w:rPr>
      </w:pPr>
    </w:p>
    <w:p w14:paraId="30AFF1D7" w14:textId="77777777" w:rsidR="006503D5" w:rsidRPr="006503D5" w:rsidRDefault="006503D5" w:rsidP="006503D5">
      <w:pPr>
        <w:spacing w:after="0"/>
        <w:jc w:val="center"/>
        <w:rPr>
          <w:rFonts w:ascii="Times New Roman" w:hAnsi="Times New Roman"/>
          <w:noProof/>
          <w:sz w:val="20"/>
          <w:szCs w:val="20"/>
        </w:rPr>
      </w:pPr>
    </w:p>
    <w:p w14:paraId="68DDA516" w14:textId="77777777" w:rsidR="006503D5" w:rsidRPr="006503D5" w:rsidRDefault="006503D5" w:rsidP="006503D5">
      <w:pPr>
        <w:spacing w:after="0"/>
        <w:jc w:val="center"/>
        <w:rPr>
          <w:rFonts w:ascii="Times New Roman" w:hAnsi="Times New Roman"/>
          <w:b/>
          <w:noProof/>
          <w:sz w:val="20"/>
          <w:szCs w:val="20"/>
        </w:rPr>
      </w:pPr>
      <w:r w:rsidRPr="006503D5">
        <w:rPr>
          <w:rFonts w:ascii="Times New Roman" w:hAnsi="Times New Roman"/>
          <w:b/>
          <w:noProof/>
          <w:sz w:val="20"/>
          <w:szCs w:val="20"/>
        </w:rPr>
        <w:t>Abstract</w:t>
      </w:r>
    </w:p>
    <w:p w14:paraId="1A1330FC" w14:textId="77777777" w:rsidR="006503D5" w:rsidRPr="006503D5" w:rsidRDefault="006503D5" w:rsidP="006503D5">
      <w:pPr>
        <w:spacing w:after="0"/>
        <w:ind w:right="101"/>
        <w:jc w:val="both"/>
        <w:rPr>
          <w:rFonts w:ascii="Times New Roman" w:hAnsi="Times New Roman"/>
          <w:sz w:val="20"/>
          <w:szCs w:val="20"/>
        </w:rPr>
      </w:pPr>
      <w:r w:rsidRPr="006503D5">
        <w:rPr>
          <w:rFonts w:ascii="Times New Roman" w:hAnsi="Times New Roman"/>
          <w:sz w:val="20"/>
          <w:szCs w:val="20"/>
        </w:rPr>
        <w:t>This study discovered the extraction procedure of acetaminophen from water samples using the effervescent tablet-assisted dispersive liquid-liquid microextraction (DLLME) method. The effervescent tablet that is composed of sodium dihydrogen phosphate (proton donor) and sodium carbonate (CO</w:t>
      </w:r>
      <w:r w:rsidRPr="006503D5">
        <w:rPr>
          <w:rFonts w:ascii="Times New Roman" w:hAnsi="Times New Roman"/>
          <w:sz w:val="20"/>
          <w:szCs w:val="20"/>
          <w:vertAlign w:val="subscript"/>
        </w:rPr>
        <w:t>2</w:t>
      </w:r>
      <w:r w:rsidRPr="006503D5">
        <w:rPr>
          <w:rFonts w:ascii="Times New Roman" w:hAnsi="Times New Roman"/>
          <w:sz w:val="20"/>
          <w:szCs w:val="20"/>
        </w:rPr>
        <w:t xml:space="preserve"> source) was formulated using the wet granulation technique. In this study, high performance liquid chromatography coupled with ultraviolet visible detection (HPLC-UV) was used for qualitative and quantitative analysis of the targeted analyte. The chromatographic separation was conducted in less than 6 min (R</w:t>
      </w:r>
      <w:r w:rsidRPr="006503D5">
        <w:rPr>
          <w:rFonts w:ascii="Times New Roman" w:hAnsi="Times New Roman"/>
          <w:sz w:val="20"/>
          <w:szCs w:val="20"/>
          <w:vertAlign w:val="subscript"/>
        </w:rPr>
        <w:t>t</w:t>
      </w:r>
      <w:r w:rsidRPr="006503D5">
        <w:rPr>
          <w:rFonts w:ascii="Times New Roman" w:hAnsi="Times New Roman"/>
          <w:sz w:val="20"/>
          <w:szCs w:val="20"/>
        </w:rPr>
        <w:t xml:space="preserve"> 5.10 min) using a non-polar C</w:t>
      </w:r>
      <w:r w:rsidRPr="006503D5">
        <w:rPr>
          <w:rFonts w:ascii="Times New Roman" w:hAnsi="Times New Roman"/>
          <w:sz w:val="20"/>
          <w:szCs w:val="20"/>
          <w:vertAlign w:val="subscript"/>
        </w:rPr>
        <w:t xml:space="preserve">18 </w:t>
      </w:r>
      <w:r w:rsidRPr="006503D5">
        <w:rPr>
          <w:rFonts w:ascii="Times New Roman" w:hAnsi="Times New Roman"/>
          <w:sz w:val="20"/>
          <w:szCs w:val="20"/>
        </w:rPr>
        <w:t>column and an isocratic elution (methanol: water of 40: 60 (v/v)) at a controlled flowrate of 1 mL min</w:t>
      </w:r>
      <w:r w:rsidRPr="006503D5">
        <w:rPr>
          <w:rFonts w:ascii="Times New Roman" w:hAnsi="Times New Roman"/>
          <w:sz w:val="20"/>
          <w:szCs w:val="20"/>
          <w:vertAlign w:val="superscript"/>
        </w:rPr>
        <w:t>-1</w:t>
      </w:r>
      <w:r w:rsidRPr="006503D5">
        <w:rPr>
          <w:rFonts w:ascii="Times New Roman" w:hAnsi="Times New Roman"/>
          <w:sz w:val="20"/>
          <w:szCs w:val="20"/>
        </w:rPr>
        <w:t>. Optimum wavelength was set at 264 nm. Main variables that influenced the extraction efficiency namely the amount of extraction solvent (X</w:t>
      </w:r>
      <w:r w:rsidRPr="006503D5">
        <w:rPr>
          <w:rFonts w:ascii="Times New Roman" w:hAnsi="Times New Roman"/>
          <w:sz w:val="20"/>
          <w:szCs w:val="20"/>
          <w:vertAlign w:val="subscript"/>
        </w:rPr>
        <w:t>1</w:t>
      </w:r>
      <w:r w:rsidRPr="006503D5">
        <w:rPr>
          <w:rFonts w:ascii="Times New Roman" w:hAnsi="Times New Roman"/>
          <w:sz w:val="20"/>
          <w:szCs w:val="20"/>
        </w:rPr>
        <w:t>), the number of tablets consumed (X</w:t>
      </w:r>
      <w:r w:rsidRPr="006503D5">
        <w:rPr>
          <w:rFonts w:ascii="Times New Roman" w:hAnsi="Times New Roman"/>
          <w:sz w:val="20"/>
          <w:szCs w:val="20"/>
          <w:vertAlign w:val="subscript"/>
        </w:rPr>
        <w:t>2</w:t>
      </w:r>
      <w:r w:rsidRPr="006503D5">
        <w:rPr>
          <w:rFonts w:ascii="Times New Roman" w:hAnsi="Times New Roman"/>
          <w:sz w:val="20"/>
          <w:szCs w:val="20"/>
        </w:rPr>
        <w:t>) and the effect of extraction temperature (X</w:t>
      </w:r>
      <w:r w:rsidRPr="006503D5">
        <w:rPr>
          <w:rFonts w:ascii="Times New Roman" w:hAnsi="Times New Roman"/>
          <w:sz w:val="20"/>
          <w:szCs w:val="20"/>
          <w:vertAlign w:val="subscript"/>
        </w:rPr>
        <w:t>3</w:t>
      </w:r>
      <w:r w:rsidRPr="006503D5">
        <w:rPr>
          <w:rFonts w:ascii="Times New Roman" w:hAnsi="Times New Roman"/>
          <w:sz w:val="20"/>
          <w:szCs w:val="20"/>
        </w:rPr>
        <w:t>) were tested during optimization work. Operation setting for extraction procedure was optimized using a 2</w:t>
      </w:r>
      <w:r w:rsidRPr="006503D5">
        <w:rPr>
          <w:rFonts w:ascii="Times New Roman" w:hAnsi="Times New Roman"/>
          <w:sz w:val="20"/>
          <w:szCs w:val="20"/>
          <w:vertAlign w:val="superscript"/>
        </w:rPr>
        <w:t xml:space="preserve">3 </w:t>
      </w:r>
      <w:r w:rsidRPr="006503D5">
        <w:rPr>
          <w:rFonts w:ascii="Times New Roman" w:hAnsi="Times New Roman"/>
          <w:sz w:val="20"/>
          <w:szCs w:val="20"/>
        </w:rPr>
        <w:t>full factorial central composite design, CCD (STATISTICA Version 10). The values of optimum extraction condition were set as 215 µL of extraction solvent, 5 pieces of tablets and 47 °C extraction temperature. Under optimal condition, a good linearity with determination coefficient R</w:t>
      </w:r>
      <w:r w:rsidRPr="006503D5">
        <w:rPr>
          <w:rFonts w:ascii="Times New Roman" w:hAnsi="Times New Roman"/>
          <w:sz w:val="20"/>
          <w:szCs w:val="20"/>
          <w:vertAlign w:val="superscript"/>
        </w:rPr>
        <w:t>2</w:t>
      </w:r>
      <w:r w:rsidRPr="006503D5">
        <w:rPr>
          <w:rFonts w:ascii="Times New Roman" w:hAnsi="Times New Roman"/>
          <w:sz w:val="20"/>
          <w:szCs w:val="20"/>
        </w:rPr>
        <w:t xml:space="preserve"> = 0.995 was obtained. Extraction recoveries at spiked concentrations (500 ng mL</w:t>
      </w:r>
      <w:r w:rsidRPr="006503D5">
        <w:rPr>
          <w:rFonts w:ascii="Times New Roman" w:hAnsi="Times New Roman"/>
          <w:sz w:val="20"/>
          <w:szCs w:val="20"/>
          <w:vertAlign w:val="superscript"/>
        </w:rPr>
        <w:t>-1</w:t>
      </w:r>
      <w:r w:rsidRPr="006503D5">
        <w:rPr>
          <w:rFonts w:ascii="Times New Roman" w:hAnsi="Times New Roman"/>
          <w:sz w:val="20"/>
          <w:szCs w:val="20"/>
        </w:rPr>
        <w:t xml:space="preserve"> and 100 ng mL</w:t>
      </w:r>
      <w:r w:rsidRPr="006503D5">
        <w:rPr>
          <w:rFonts w:ascii="Times New Roman" w:hAnsi="Times New Roman"/>
          <w:sz w:val="20"/>
          <w:szCs w:val="20"/>
          <w:vertAlign w:val="superscript"/>
        </w:rPr>
        <w:t>-1</w:t>
      </w:r>
      <w:r w:rsidRPr="006503D5">
        <w:rPr>
          <w:rFonts w:ascii="Times New Roman" w:hAnsi="Times New Roman"/>
          <w:sz w:val="20"/>
          <w:szCs w:val="20"/>
        </w:rPr>
        <w:t>) were recorded ranging from 83% to 94.1%. The detection and quantification limits of the proposed method were calculated at 8.62 ng mL</w:t>
      </w:r>
      <w:r w:rsidRPr="006503D5">
        <w:rPr>
          <w:rFonts w:ascii="Times New Roman" w:hAnsi="Times New Roman"/>
          <w:sz w:val="20"/>
          <w:szCs w:val="20"/>
          <w:vertAlign w:val="superscript"/>
        </w:rPr>
        <w:t>-1</w:t>
      </w:r>
      <w:r w:rsidRPr="006503D5">
        <w:rPr>
          <w:rFonts w:ascii="Times New Roman" w:hAnsi="Times New Roman"/>
          <w:sz w:val="20"/>
          <w:szCs w:val="20"/>
        </w:rPr>
        <w:t xml:space="preserve"> and 28 ng mL</w:t>
      </w:r>
      <w:r w:rsidRPr="006503D5">
        <w:rPr>
          <w:rFonts w:ascii="Times New Roman" w:hAnsi="Times New Roman"/>
          <w:sz w:val="20"/>
          <w:szCs w:val="20"/>
          <w:vertAlign w:val="superscript"/>
        </w:rPr>
        <w:t>-1</w:t>
      </w:r>
      <w:r w:rsidRPr="006503D5">
        <w:rPr>
          <w:rFonts w:ascii="Times New Roman" w:hAnsi="Times New Roman"/>
          <w:sz w:val="20"/>
          <w:szCs w:val="20"/>
        </w:rPr>
        <w:t xml:space="preserve">, respectively. In terms of the precision method, the relative </w:t>
      </w:r>
      <w:r w:rsidRPr="006503D5">
        <w:rPr>
          <w:rFonts w:ascii="Times New Roman" w:hAnsi="Times New Roman"/>
          <w:sz w:val="20"/>
          <w:szCs w:val="20"/>
        </w:rPr>
        <w:lastRenderedPageBreak/>
        <w:t>standard deviation was recorded ˂ 5%. Real analysis samples were performed, which fortified with commercial drugs dissolved in 80 mL of deionized water. The concentration levels were determined at 5.60 mg L</w:t>
      </w:r>
      <w:r w:rsidRPr="006503D5">
        <w:rPr>
          <w:rFonts w:ascii="Times New Roman" w:hAnsi="Times New Roman"/>
          <w:sz w:val="20"/>
          <w:szCs w:val="20"/>
          <w:vertAlign w:val="superscript"/>
        </w:rPr>
        <w:t>-1</w:t>
      </w:r>
      <w:r w:rsidRPr="006503D5">
        <w:rPr>
          <w:rFonts w:ascii="Times New Roman" w:hAnsi="Times New Roman"/>
          <w:sz w:val="20"/>
          <w:szCs w:val="20"/>
        </w:rPr>
        <w:t xml:space="preserve"> (sample A) and 5.47 mg L</w:t>
      </w:r>
      <w:r w:rsidRPr="006503D5">
        <w:rPr>
          <w:rFonts w:ascii="Times New Roman" w:hAnsi="Times New Roman"/>
          <w:sz w:val="20"/>
          <w:szCs w:val="20"/>
          <w:vertAlign w:val="superscript"/>
        </w:rPr>
        <w:t>-1</w:t>
      </w:r>
      <w:r w:rsidRPr="006503D5">
        <w:rPr>
          <w:rFonts w:ascii="Times New Roman" w:hAnsi="Times New Roman"/>
          <w:sz w:val="20"/>
          <w:szCs w:val="20"/>
        </w:rPr>
        <w:t xml:space="preserve"> (sample B) respectively.</w:t>
      </w:r>
    </w:p>
    <w:p w14:paraId="6D4AEDEA" w14:textId="77777777" w:rsidR="006503D5" w:rsidRPr="006503D5" w:rsidRDefault="006503D5" w:rsidP="006503D5">
      <w:pPr>
        <w:spacing w:after="0"/>
        <w:ind w:right="101"/>
        <w:jc w:val="both"/>
        <w:rPr>
          <w:rFonts w:ascii="Times New Roman" w:hAnsi="Times New Roman"/>
          <w:sz w:val="20"/>
          <w:szCs w:val="20"/>
        </w:rPr>
      </w:pPr>
      <w:r w:rsidRPr="006503D5">
        <w:rPr>
          <w:rFonts w:ascii="Times New Roman" w:hAnsi="Times New Roman"/>
          <w:sz w:val="20"/>
          <w:szCs w:val="20"/>
        </w:rPr>
        <w:t xml:space="preserve"> </w:t>
      </w:r>
    </w:p>
    <w:p w14:paraId="6E9616F3" w14:textId="77777777" w:rsidR="006503D5" w:rsidRPr="006503D5" w:rsidRDefault="006503D5" w:rsidP="006503D5">
      <w:pPr>
        <w:spacing w:after="0"/>
        <w:ind w:right="71"/>
        <w:jc w:val="both"/>
        <w:rPr>
          <w:rFonts w:ascii="Times New Roman" w:hAnsi="Times New Roman"/>
          <w:sz w:val="20"/>
          <w:szCs w:val="20"/>
        </w:rPr>
      </w:pPr>
      <w:r w:rsidRPr="006503D5">
        <w:rPr>
          <w:rFonts w:ascii="Times New Roman" w:hAnsi="Times New Roman"/>
          <w:b/>
          <w:iCs/>
          <w:sz w:val="20"/>
          <w:szCs w:val="20"/>
        </w:rPr>
        <w:t>Keywords:</w:t>
      </w:r>
      <w:r w:rsidRPr="006503D5">
        <w:rPr>
          <w:rFonts w:ascii="Times New Roman" w:hAnsi="Times New Roman"/>
          <w:b/>
          <w:sz w:val="20"/>
          <w:szCs w:val="20"/>
        </w:rPr>
        <w:t xml:space="preserve">  </w:t>
      </w:r>
      <w:r w:rsidRPr="006503D5">
        <w:rPr>
          <w:rFonts w:ascii="Times New Roman" w:hAnsi="Times New Roman"/>
          <w:sz w:val="20"/>
          <w:szCs w:val="20"/>
        </w:rPr>
        <w:t>analgesic drug, CO</w:t>
      </w:r>
      <w:r w:rsidRPr="006503D5">
        <w:rPr>
          <w:rFonts w:ascii="Times New Roman" w:hAnsi="Times New Roman"/>
          <w:sz w:val="20"/>
          <w:szCs w:val="20"/>
          <w:vertAlign w:val="subscript"/>
        </w:rPr>
        <w:t>2</w:t>
      </w:r>
      <w:r w:rsidRPr="006503D5">
        <w:rPr>
          <w:rFonts w:ascii="Times New Roman" w:hAnsi="Times New Roman"/>
          <w:sz w:val="20"/>
          <w:szCs w:val="20"/>
        </w:rPr>
        <w:t>-effervescence, central composite design, liquid phase microextraction</w:t>
      </w:r>
    </w:p>
    <w:p w14:paraId="0EFB6CAE" w14:textId="77777777" w:rsidR="006503D5" w:rsidRPr="006503D5" w:rsidRDefault="006503D5" w:rsidP="006503D5">
      <w:pPr>
        <w:spacing w:after="0"/>
        <w:ind w:right="71"/>
        <w:jc w:val="center"/>
        <w:rPr>
          <w:rFonts w:ascii="Times New Roman" w:hAnsi="Times New Roman"/>
          <w:sz w:val="20"/>
          <w:szCs w:val="20"/>
        </w:rPr>
      </w:pPr>
    </w:p>
    <w:p w14:paraId="5E850130" w14:textId="77777777" w:rsidR="006503D5" w:rsidRPr="006503D5" w:rsidRDefault="006503D5" w:rsidP="006503D5">
      <w:pPr>
        <w:spacing w:after="0"/>
        <w:ind w:right="71"/>
        <w:jc w:val="center"/>
        <w:rPr>
          <w:rFonts w:ascii="Times New Roman" w:hAnsi="Times New Roman"/>
          <w:sz w:val="20"/>
          <w:szCs w:val="20"/>
        </w:rPr>
      </w:pPr>
    </w:p>
    <w:p w14:paraId="2F8B6E32" w14:textId="77777777" w:rsidR="006503D5" w:rsidRPr="006503D5" w:rsidRDefault="006503D5" w:rsidP="006503D5">
      <w:pPr>
        <w:spacing w:after="0"/>
        <w:ind w:right="101"/>
        <w:jc w:val="center"/>
        <w:rPr>
          <w:rFonts w:ascii="Times New Roman" w:hAnsi="Times New Roman"/>
          <w:b/>
          <w:iCs/>
          <w:sz w:val="20"/>
          <w:szCs w:val="20"/>
        </w:rPr>
      </w:pPr>
      <w:r w:rsidRPr="006503D5">
        <w:rPr>
          <w:rFonts w:ascii="Times New Roman" w:hAnsi="Times New Roman"/>
          <w:b/>
          <w:iCs/>
          <w:sz w:val="20"/>
          <w:szCs w:val="20"/>
        </w:rPr>
        <w:t>Abstrak</w:t>
      </w:r>
    </w:p>
    <w:p w14:paraId="130F5340" w14:textId="77777777" w:rsidR="006503D5" w:rsidRPr="006503D5" w:rsidRDefault="006503D5" w:rsidP="006503D5">
      <w:pPr>
        <w:spacing w:after="0"/>
        <w:ind w:right="101"/>
        <w:jc w:val="both"/>
        <w:rPr>
          <w:rFonts w:ascii="Times New Roman" w:hAnsi="Times New Roman"/>
          <w:sz w:val="20"/>
          <w:szCs w:val="20"/>
        </w:rPr>
      </w:pPr>
      <w:r w:rsidRPr="006503D5">
        <w:rPr>
          <w:rFonts w:ascii="Times New Roman" w:hAnsi="Times New Roman"/>
          <w:noProof/>
          <w:sz w:val="20"/>
          <w:szCs w:val="20"/>
          <w:lang w:val="ms-MY"/>
        </w:rPr>
        <w:t>Kajian ini meneroka prosedur pengekstrakan bagi acetaminophen dari sampel air mengunakan kaedah tablet berbuak berbantukan sebaran pengekstrakan mikro cecair-cecair (DLLME). Tablet berbuak terdiri dari sodium dihidrogen fosfat (penderma proton) dan sodium karbonat (sumber CO</w:t>
      </w:r>
      <w:r w:rsidRPr="006503D5">
        <w:rPr>
          <w:rFonts w:ascii="Times New Roman" w:hAnsi="Times New Roman"/>
          <w:noProof/>
          <w:sz w:val="20"/>
          <w:szCs w:val="20"/>
          <w:vertAlign w:val="subscript"/>
          <w:lang w:val="ms-MY"/>
        </w:rPr>
        <w:t>2</w:t>
      </w:r>
      <w:r w:rsidRPr="006503D5">
        <w:rPr>
          <w:rFonts w:ascii="Times New Roman" w:hAnsi="Times New Roman"/>
          <w:noProof/>
          <w:sz w:val="20"/>
          <w:szCs w:val="20"/>
          <w:lang w:val="ms-MY"/>
        </w:rPr>
        <w:t>) di formulasi mengunakan teknik penggranulan basah. Dalam kajian ini, kromatografi cecair berprestasi tinggi gabungan pengesan ultralembayung nampak (HPLC-UV) telah digunapakai bagi analisis kuantitatif dan kualitatif terhadap analit sasaran. Pemisahan kromatografi berlaku dalam masa kurang 6 min (R</w:t>
      </w:r>
      <w:r w:rsidRPr="006503D5">
        <w:rPr>
          <w:rFonts w:ascii="Times New Roman" w:hAnsi="Times New Roman"/>
          <w:noProof/>
          <w:sz w:val="20"/>
          <w:szCs w:val="20"/>
          <w:vertAlign w:val="subscript"/>
          <w:lang w:val="ms-MY"/>
        </w:rPr>
        <w:t>t</w:t>
      </w:r>
      <w:r w:rsidRPr="006503D5">
        <w:rPr>
          <w:rFonts w:ascii="Times New Roman" w:hAnsi="Times New Roman"/>
          <w:noProof/>
          <w:sz w:val="20"/>
          <w:szCs w:val="20"/>
          <w:lang w:val="ms-MY"/>
        </w:rPr>
        <w:t xml:space="preserve"> 5.10 min) mengunakan turus tak berkutub C</w:t>
      </w:r>
      <w:r w:rsidRPr="006503D5">
        <w:rPr>
          <w:rFonts w:ascii="Times New Roman" w:hAnsi="Times New Roman"/>
          <w:noProof/>
          <w:sz w:val="20"/>
          <w:szCs w:val="20"/>
          <w:vertAlign w:val="subscript"/>
          <w:lang w:val="ms-MY"/>
        </w:rPr>
        <w:t>18</w:t>
      </w:r>
      <w:r w:rsidRPr="006503D5">
        <w:rPr>
          <w:rFonts w:ascii="Times New Roman" w:hAnsi="Times New Roman"/>
          <w:noProof/>
          <w:sz w:val="20"/>
          <w:szCs w:val="20"/>
          <w:lang w:val="ms-MY"/>
        </w:rPr>
        <w:t xml:space="preserve"> dan elusi isokratik (metanol: air 40:60 (v/v)) pada kawalan aliran 1 mL min</w:t>
      </w:r>
      <w:r w:rsidRPr="006503D5">
        <w:rPr>
          <w:rFonts w:ascii="Times New Roman" w:hAnsi="Times New Roman"/>
          <w:noProof/>
          <w:sz w:val="20"/>
          <w:szCs w:val="20"/>
          <w:vertAlign w:val="superscript"/>
          <w:lang w:val="ms-MY"/>
        </w:rPr>
        <w:t>-1</w:t>
      </w:r>
      <w:r w:rsidRPr="006503D5">
        <w:rPr>
          <w:rFonts w:ascii="Times New Roman" w:hAnsi="Times New Roman"/>
          <w:noProof/>
          <w:sz w:val="20"/>
          <w:szCs w:val="20"/>
          <w:lang w:val="ms-MY"/>
        </w:rPr>
        <w:t>. Panjang gelombang optimum ditetapkan pada 264 nm. Pemboleh ubah utama yang mempengaruhi keberkesanan pengekstrakan seperti jumlah pelarut pengekstrak (X</w:t>
      </w:r>
      <w:r w:rsidRPr="006503D5">
        <w:rPr>
          <w:rFonts w:ascii="Times New Roman" w:hAnsi="Times New Roman"/>
          <w:noProof/>
          <w:sz w:val="20"/>
          <w:szCs w:val="20"/>
          <w:vertAlign w:val="subscript"/>
          <w:lang w:val="ms-MY"/>
        </w:rPr>
        <w:t>1</w:t>
      </w:r>
      <w:r w:rsidRPr="006503D5">
        <w:rPr>
          <w:rFonts w:ascii="Times New Roman" w:hAnsi="Times New Roman"/>
          <w:noProof/>
          <w:sz w:val="20"/>
          <w:szCs w:val="20"/>
          <w:lang w:val="ms-MY"/>
        </w:rPr>
        <w:t>), bilangan tablet yang digunakan (X</w:t>
      </w:r>
      <w:r w:rsidRPr="006503D5">
        <w:rPr>
          <w:rFonts w:ascii="Times New Roman" w:hAnsi="Times New Roman"/>
          <w:noProof/>
          <w:sz w:val="20"/>
          <w:szCs w:val="20"/>
          <w:vertAlign w:val="subscript"/>
          <w:lang w:val="ms-MY"/>
        </w:rPr>
        <w:t>2</w:t>
      </w:r>
      <w:r w:rsidRPr="006503D5">
        <w:rPr>
          <w:rFonts w:ascii="Times New Roman" w:hAnsi="Times New Roman"/>
          <w:noProof/>
          <w:sz w:val="20"/>
          <w:szCs w:val="20"/>
          <w:lang w:val="ms-MY"/>
        </w:rPr>
        <w:t>) dan kesan perubahan suhu (X</w:t>
      </w:r>
      <w:r w:rsidRPr="006503D5">
        <w:rPr>
          <w:rFonts w:ascii="Times New Roman" w:hAnsi="Times New Roman"/>
          <w:noProof/>
          <w:sz w:val="20"/>
          <w:szCs w:val="20"/>
          <w:vertAlign w:val="subscript"/>
          <w:lang w:val="ms-MY"/>
        </w:rPr>
        <w:t>3</w:t>
      </w:r>
      <w:r w:rsidRPr="006503D5">
        <w:rPr>
          <w:rFonts w:ascii="Times New Roman" w:hAnsi="Times New Roman"/>
          <w:noProof/>
          <w:sz w:val="20"/>
          <w:szCs w:val="20"/>
          <w:lang w:val="ms-MY"/>
        </w:rPr>
        <w:t>) diuji semasa kerja pengoptimuman. Tetapan operasi bagi prosedur pengekstrakan bagi pengoptimuman mengunakan reka bentuk komposit berpusat, CCD (STATISTICA versi 10). Nilai yang diperolehi bagi keadaan optimum ialah pelarut pengekstrakan 215 µL, 5 biji tablet dan tetapan suhu 47 °C. Kelinearan yang baik dengan pekali regresi R</w:t>
      </w:r>
      <w:r w:rsidRPr="006503D5">
        <w:rPr>
          <w:rFonts w:ascii="Times New Roman" w:hAnsi="Times New Roman"/>
          <w:noProof/>
          <w:sz w:val="20"/>
          <w:szCs w:val="20"/>
          <w:vertAlign w:val="superscript"/>
          <w:lang w:val="ms-MY"/>
        </w:rPr>
        <w:t>2</w:t>
      </w:r>
      <w:r w:rsidRPr="006503D5">
        <w:rPr>
          <w:rFonts w:ascii="Times New Roman" w:hAnsi="Times New Roman"/>
          <w:noProof/>
          <w:sz w:val="20"/>
          <w:szCs w:val="20"/>
          <w:lang w:val="ms-MY"/>
        </w:rPr>
        <w:t xml:space="preserve"> = 0.995 telah diperolehi pada keadaan optimum. Perolehan semula pengekstrakan pada kepekatan yang dipaku (</w:t>
      </w:r>
      <w:r w:rsidRPr="006503D5">
        <w:rPr>
          <w:rFonts w:ascii="Times New Roman" w:hAnsi="Times New Roman"/>
          <w:sz w:val="20"/>
          <w:szCs w:val="20"/>
        </w:rPr>
        <w:t>500 ng mL</w:t>
      </w:r>
      <w:r w:rsidRPr="006503D5">
        <w:rPr>
          <w:rFonts w:ascii="Times New Roman" w:hAnsi="Times New Roman"/>
          <w:sz w:val="20"/>
          <w:szCs w:val="20"/>
          <w:vertAlign w:val="superscript"/>
        </w:rPr>
        <w:t>-1</w:t>
      </w:r>
      <w:r w:rsidRPr="006503D5">
        <w:rPr>
          <w:rFonts w:ascii="Times New Roman" w:hAnsi="Times New Roman"/>
          <w:sz w:val="20"/>
          <w:szCs w:val="20"/>
        </w:rPr>
        <w:t xml:space="preserve"> dan 100 ng mL</w:t>
      </w:r>
      <w:r w:rsidRPr="006503D5">
        <w:rPr>
          <w:rFonts w:ascii="Times New Roman" w:hAnsi="Times New Roman"/>
          <w:sz w:val="20"/>
          <w:szCs w:val="20"/>
          <w:vertAlign w:val="superscript"/>
        </w:rPr>
        <w:t>-1</w:t>
      </w:r>
      <w:r w:rsidRPr="006503D5">
        <w:rPr>
          <w:rFonts w:ascii="Times New Roman" w:hAnsi="Times New Roman"/>
          <w:noProof/>
          <w:sz w:val="20"/>
          <w:szCs w:val="20"/>
          <w:lang w:val="ms-MY"/>
        </w:rPr>
        <w:t xml:space="preserve">) telah merekodkan nilai julat 83%-94.1%. Had pengesanan dan pengkuantitian bagi kaedah yang dibangunkan dihitung masing-masing pada </w:t>
      </w:r>
      <w:r w:rsidRPr="006503D5">
        <w:rPr>
          <w:rFonts w:ascii="Times New Roman" w:hAnsi="Times New Roman"/>
          <w:sz w:val="20"/>
          <w:szCs w:val="20"/>
        </w:rPr>
        <w:t>8.62 ng mL</w:t>
      </w:r>
      <w:r w:rsidRPr="006503D5">
        <w:rPr>
          <w:rFonts w:ascii="Times New Roman" w:hAnsi="Times New Roman"/>
          <w:sz w:val="20"/>
          <w:szCs w:val="20"/>
          <w:vertAlign w:val="superscript"/>
        </w:rPr>
        <w:t>-1</w:t>
      </w:r>
      <w:r w:rsidRPr="006503D5">
        <w:rPr>
          <w:rFonts w:ascii="Times New Roman" w:hAnsi="Times New Roman"/>
          <w:sz w:val="20"/>
          <w:szCs w:val="20"/>
        </w:rPr>
        <w:t xml:space="preserve"> dan 28 ng mL</w:t>
      </w:r>
      <w:r w:rsidRPr="006503D5">
        <w:rPr>
          <w:rFonts w:ascii="Times New Roman" w:hAnsi="Times New Roman"/>
          <w:sz w:val="20"/>
          <w:szCs w:val="20"/>
          <w:vertAlign w:val="superscript"/>
        </w:rPr>
        <w:t>-1</w:t>
      </w:r>
      <w:r w:rsidRPr="006503D5">
        <w:rPr>
          <w:rFonts w:ascii="Times New Roman" w:hAnsi="Times New Roman"/>
          <w:sz w:val="20"/>
          <w:szCs w:val="20"/>
        </w:rPr>
        <w:t xml:space="preserve">. </w:t>
      </w:r>
      <w:r w:rsidRPr="006503D5">
        <w:rPr>
          <w:rFonts w:ascii="Times New Roman" w:hAnsi="Times New Roman"/>
          <w:noProof/>
          <w:sz w:val="20"/>
          <w:szCs w:val="20"/>
          <w:lang w:val="ms-MY"/>
        </w:rPr>
        <w:t>Bagi aspek kejituan kaedah, sisihan piawai relatif telah direkodkan &lt; 5%. Analisis sampel sebenar telah dijalakan dengan penambahan dadah komersial yang dilarut dalam 80 mL air ternyah ion. Kepekatan telah ditentukan masing-masing pada 5.60 mg L</w:t>
      </w:r>
      <w:r w:rsidRPr="006503D5">
        <w:rPr>
          <w:rFonts w:ascii="Times New Roman" w:hAnsi="Times New Roman"/>
          <w:noProof/>
          <w:sz w:val="20"/>
          <w:szCs w:val="20"/>
          <w:vertAlign w:val="superscript"/>
          <w:lang w:val="ms-MY"/>
        </w:rPr>
        <w:t>-1</w:t>
      </w:r>
      <w:r w:rsidRPr="006503D5">
        <w:rPr>
          <w:rFonts w:ascii="Times New Roman" w:hAnsi="Times New Roman"/>
          <w:noProof/>
          <w:sz w:val="20"/>
          <w:szCs w:val="20"/>
          <w:lang w:val="ms-MY"/>
        </w:rPr>
        <w:t xml:space="preserve"> (sampel A) dan 5.47 mg L</w:t>
      </w:r>
      <w:r w:rsidRPr="006503D5">
        <w:rPr>
          <w:rFonts w:ascii="Times New Roman" w:hAnsi="Times New Roman"/>
          <w:noProof/>
          <w:sz w:val="20"/>
          <w:szCs w:val="20"/>
          <w:vertAlign w:val="superscript"/>
          <w:lang w:val="ms-MY"/>
        </w:rPr>
        <w:t>-1</w:t>
      </w:r>
      <w:r w:rsidRPr="006503D5">
        <w:rPr>
          <w:rFonts w:ascii="Times New Roman" w:hAnsi="Times New Roman"/>
          <w:noProof/>
          <w:sz w:val="20"/>
          <w:szCs w:val="20"/>
          <w:lang w:val="ms-MY"/>
        </w:rPr>
        <w:t xml:space="preserve"> (sampel B).</w:t>
      </w:r>
      <w:r w:rsidRPr="006503D5">
        <w:rPr>
          <w:rFonts w:ascii="Times New Roman" w:hAnsi="Times New Roman"/>
          <w:sz w:val="20"/>
          <w:szCs w:val="20"/>
        </w:rPr>
        <w:t xml:space="preserve"> </w:t>
      </w:r>
    </w:p>
    <w:p w14:paraId="4DF984FB" w14:textId="77777777" w:rsidR="006503D5" w:rsidRPr="006503D5" w:rsidRDefault="006503D5" w:rsidP="006503D5">
      <w:pPr>
        <w:spacing w:after="0"/>
        <w:ind w:right="101"/>
        <w:jc w:val="both"/>
        <w:rPr>
          <w:rFonts w:ascii="Times New Roman" w:hAnsi="Times New Roman"/>
          <w:sz w:val="20"/>
          <w:szCs w:val="20"/>
        </w:rPr>
      </w:pPr>
    </w:p>
    <w:p w14:paraId="786F7D01" w14:textId="59A5D6F9" w:rsidR="006503D5" w:rsidRDefault="006503D5" w:rsidP="006503D5">
      <w:pPr>
        <w:spacing w:after="0"/>
        <w:ind w:right="71"/>
        <w:jc w:val="both"/>
        <w:rPr>
          <w:rFonts w:ascii="Times New Roman" w:hAnsi="Times New Roman"/>
          <w:bCs/>
          <w:noProof/>
          <w:sz w:val="20"/>
          <w:szCs w:val="20"/>
          <w:lang w:val="ms-MY"/>
        </w:rPr>
      </w:pPr>
      <w:r w:rsidRPr="006503D5">
        <w:rPr>
          <w:rFonts w:ascii="Times New Roman" w:hAnsi="Times New Roman"/>
          <w:b/>
          <w:iCs/>
          <w:noProof/>
          <w:sz w:val="20"/>
          <w:szCs w:val="20"/>
          <w:lang w:val="ms-MY"/>
        </w:rPr>
        <w:t>Kata kunci:</w:t>
      </w:r>
      <w:r w:rsidRPr="006503D5">
        <w:rPr>
          <w:rFonts w:ascii="Times New Roman" w:hAnsi="Times New Roman"/>
          <w:b/>
          <w:noProof/>
          <w:sz w:val="20"/>
          <w:szCs w:val="20"/>
          <w:lang w:val="ms-MY"/>
        </w:rPr>
        <w:t xml:space="preserve">  </w:t>
      </w:r>
      <w:r w:rsidRPr="006503D5">
        <w:rPr>
          <w:rFonts w:ascii="Times New Roman" w:hAnsi="Times New Roman"/>
          <w:bCs/>
          <w:noProof/>
          <w:sz w:val="20"/>
          <w:szCs w:val="20"/>
          <w:lang w:val="ms-MY"/>
        </w:rPr>
        <w:t>dadah analgesik, CO</w:t>
      </w:r>
      <w:r w:rsidRPr="006503D5">
        <w:rPr>
          <w:rFonts w:ascii="Times New Roman" w:hAnsi="Times New Roman"/>
          <w:bCs/>
          <w:noProof/>
          <w:sz w:val="20"/>
          <w:szCs w:val="20"/>
          <w:vertAlign w:val="subscript"/>
          <w:lang w:val="ms-MY"/>
        </w:rPr>
        <w:t>2</w:t>
      </w:r>
      <w:r w:rsidRPr="006503D5">
        <w:rPr>
          <w:rFonts w:ascii="Times New Roman" w:hAnsi="Times New Roman"/>
          <w:bCs/>
          <w:noProof/>
          <w:sz w:val="20"/>
          <w:szCs w:val="20"/>
          <w:lang w:val="ms-MY"/>
        </w:rPr>
        <w:t>-berbuak, reka bentuk komposit berpusat, pengekstrakan mikro fasa cecair</w:t>
      </w:r>
    </w:p>
    <w:p w14:paraId="4A34FBDA" w14:textId="6DAEBB86" w:rsidR="006503D5" w:rsidRDefault="006503D5" w:rsidP="006503D5">
      <w:pPr>
        <w:spacing w:after="0"/>
        <w:ind w:right="71"/>
        <w:jc w:val="both"/>
        <w:rPr>
          <w:rFonts w:ascii="Times New Roman" w:hAnsi="Times New Roman"/>
          <w:bCs/>
          <w:noProof/>
          <w:sz w:val="20"/>
          <w:szCs w:val="20"/>
          <w:lang w:val="ms-MY"/>
        </w:rPr>
      </w:pPr>
    </w:p>
    <w:p w14:paraId="5CE934F9" w14:textId="77777777" w:rsidR="006503D5" w:rsidRPr="00510BA6" w:rsidRDefault="006503D5" w:rsidP="006503D5">
      <w:pPr>
        <w:spacing w:after="0"/>
        <w:jc w:val="center"/>
        <w:rPr>
          <w:rFonts w:ascii="Times New Roman" w:hAnsi="Times New Roman"/>
          <w:b/>
          <w:noProof/>
          <w:sz w:val="20"/>
          <w:szCs w:val="20"/>
        </w:rPr>
      </w:pPr>
      <w:r w:rsidRPr="00510BA6">
        <w:rPr>
          <w:rFonts w:ascii="Times New Roman" w:hAnsi="Times New Roman"/>
          <w:b/>
          <w:noProof/>
          <w:sz w:val="20"/>
          <w:szCs w:val="20"/>
        </w:rPr>
        <w:t>References</w:t>
      </w:r>
    </w:p>
    <w:p w14:paraId="79A20B39"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Lasarte-Aragonés, G., Lucena, R., Cárdenas, S. and Valcárcel, M. (2014). Effervescence assisted dispersive liquid–liquid microextraction with extractant removal by magnetic nanoparticles. </w:t>
      </w:r>
      <w:r w:rsidRPr="009431B8">
        <w:rPr>
          <w:rFonts w:ascii="Times New Roman" w:hAnsi="Times New Roman"/>
          <w:i/>
          <w:noProof/>
          <w:sz w:val="20"/>
          <w:szCs w:val="20"/>
          <w:lang w:val="en-MY"/>
        </w:rPr>
        <w:t>Analytica Chimica Acta</w:t>
      </w:r>
      <w:r w:rsidRPr="009431B8">
        <w:rPr>
          <w:rFonts w:ascii="Times New Roman" w:hAnsi="Times New Roman"/>
          <w:noProof/>
          <w:sz w:val="20"/>
          <w:szCs w:val="20"/>
          <w:lang w:val="en-MY"/>
        </w:rPr>
        <w:t>, 807: 61-66.</w:t>
      </w:r>
    </w:p>
    <w:p w14:paraId="58957095"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Jiang, W., Chen, X., Liu, F., You, X. and Xue, J. (2014). Effervescence‐assisted dispersive liquid–liquid microextraction using a solid effervescent agent as a novel dispersion technique for the analysis of fungicides in apple juice. </w:t>
      </w:r>
      <w:r w:rsidRPr="009431B8">
        <w:rPr>
          <w:rFonts w:ascii="Times New Roman" w:hAnsi="Times New Roman"/>
          <w:i/>
          <w:noProof/>
          <w:sz w:val="20"/>
          <w:szCs w:val="20"/>
          <w:lang w:val="en-MY"/>
        </w:rPr>
        <w:t>Journal of Separation Science</w:t>
      </w:r>
      <w:r w:rsidRPr="009431B8">
        <w:rPr>
          <w:rFonts w:ascii="Times New Roman" w:hAnsi="Times New Roman"/>
          <w:noProof/>
          <w:sz w:val="20"/>
          <w:szCs w:val="20"/>
          <w:lang w:val="en-MY"/>
        </w:rPr>
        <w:t>, 37(21): 3157-3163.</w:t>
      </w:r>
    </w:p>
    <w:p w14:paraId="780CED1A"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Piao, H., Jiang, Y., Qin, Z., Tao, S., Ma, P., Sun, Y. and Song, D. (2020). Development of a novel acidic task-specific ionic liquid-based effervescence-assisted microextraction method for determination of triazine herbicides in tea beverage. </w:t>
      </w:r>
      <w:r w:rsidRPr="009431B8">
        <w:rPr>
          <w:rFonts w:ascii="Times New Roman" w:hAnsi="Times New Roman"/>
          <w:i/>
          <w:noProof/>
          <w:sz w:val="20"/>
          <w:szCs w:val="20"/>
          <w:lang w:val="en-MY"/>
        </w:rPr>
        <w:t>Talanta</w:t>
      </w:r>
      <w:r w:rsidRPr="009431B8">
        <w:rPr>
          <w:rFonts w:ascii="Times New Roman" w:hAnsi="Times New Roman"/>
          <w:noProof/>
          <w:sz w:val="20"/>
          <w:szCs w:val="20"/>
          <w:lang w:val="en-MY"/>
        </w:rPr>
        <w:t>, 208: 120414.</w:t>
      </w:r>
    </w:p>
    <w:p w14:paraId="22F0EAA5"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Shishov, A., Sviridov, I., Timofeeva, I., Chibisova, N., Moskvin, L. and Bulatov, A. (2017). An effervescence tablet-assisted switchable solvent-based microextraction: On-site preconcentration of steroid hormones in water samples followed by HPLC-UV determination. </w:t>
      </w:r>
      <w:r w:rsidRPr="009431B8">
        <w:rPr>
          <w:rFonts w:ascii="Times New Roman" w:hAnsi="Times New Roman"/>
          <w:i/>
          <w:noProof/>
          <w:sz w:val="20"/>
          <w:szCs w:val="20"/>
          <w:lang w:val="en-MY"/>
        </w:rPr>
        <w:t>Journal of Molecular Liquids</w:t>
      </w:r>
      <w:r w:rsidRPr="009431B8">
        <w:rPr>
          <w:rFonts w:ascii="Times New Roman" w:hAnsi="Times New Roman"/>
          <w:noProof/>
          <w:sz w:val="20"/>
          <w:szCs w:val="20"/>
          <w:lang w:val="en-MY"/>
        </w:rPr>
        <w:t>, 247: 246-253.</w:t>
      </w:r>
    </w:p>
    <w:p w14:paraId="0F667A83"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Wang, X., Wu, L., Cao, J., Hong, X., Ye, R., Chen, W. and Yuan, T. (2016). Magnetic effervescent tablet-assisted ionic liquid dispersive liquid–liquid microextraction of selenium for speciation in foods and beverages. </w:t>
      </w:r>
      <w:r w:rsidRPr="009431B8">
        <w:rPr>
          <w:rFonts w:ascii="Times New Roman" w:hAnsi="Times New Roman"/>
          <w:i/>
          <w:noProof/>
          <w:sz w:val="20"/>
          <w:szCs w:val="20"/>
          <w:lang w:val="en-MY"/>
        </w:rPr>
        <w:t>Food Additives &amp; Contaminants: Part A</w:t>
      </w:r>
      <w:r w:rsidRPr="009431B8">
        <w:rPr>
          <w:rFonts w:ascii="Times New Roman" w:hAnsi="Times New Roman"/>
          <w:noProof/>
          <w:sz w:val="20"/>
          <w:szCs w:val="20"/>
          <w:lang w:val="en-MY"/>
        </w:rPr>
        <w:t>, 33(7): 1190-1199.</w:t>
      </w:r>
    </w:p>
    <w:p w14:paraId="69769A67"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lastRenderedPageBreak/>
        <w:t>Zhou, P., Zheng, R., Zhang, W., Liu, W., Li, Y., Wang, H. and Wang, X. (2019). Development of an effervescent tablet microextraction method using NiFe</w:t>
      </w:r>
      <w:r w:rsidRPr="009431B8">
        <w:rPr>
          <w:rFonts w:ascii="Times New Roman" w:hAnsi="Times New Roman"/>
          <w:noProof/>
          <w:sz w:val="20"/>
          <w:szCs w:val="20"/>
          <w:vertAlign w:val="subscript"/>
          <w:lang w:val="en-MY"/>
        </w:rPr>
        <w:t>2</w:t>
      </w:r>
      <w:r w:rsidRPr="009431B8">
        <w:rPr>
          <w:rFonts w:ascii="Times New Roman" w:hAnsi="Times New Roman"/>
          <w:noProof/>
          <w:sz w:val="20"/>
          <w:szCs w:val="20"/>
          <w:lang w:val="en-MY"/>
        </w:rPr>
        <w:t>O</w:t>
      </w:r>
      <w:r w:rsidRPr="009431B8">
        <w:rPr>
          <w:rFonts w:ascii="Times New Roman" w:hAnsi="Times New Roman"/>
          <w:noProof/>
          <w:sz w:val="20"/>
          <w:szCs w:val="20"/>
          <w:vertAlign w:val="subscript"/>
          <w:lang w:val="en-MY"/>
        </w:rPr>
        <w:t>4</w:t>
      </w:r>
      <w:r w:rsidRPr="009431B8">
        <w:rPr>
          <w:rFonts w:ascii="Times New Roman" w:hAnsi="Times New Roman"/>
          <w:noProof/>
          <w:sz w:val="20"/>
          <w:szCs w:val="20"/>
          <w:lang w:val="en-MY"/>
        </w:rPr>
        <w:t xml:space="preserve">-based magnetic nanoparticles for preconcentration/extraction of heavy metals prior to ICP-MS analysis of seafood. </w:t>
      </w:r>
      <w:r w:rsidRPr="009431B8">
        <w:rPr>
          <w:rFonts w:ascii="Times New Roman" w:hAnsi="Times New Roman"/>
          <w:i/>
          <w:noProof/>
          <w:sz w:val="20"/>
          <w:szCs w:val="20"/>
          <w:lang w:val="en-MY"/>
        </w:rPr>
        <w:t>Journal of Analytical Atomic Spectrometry</w:t>
      </w:r>
      <w:r w:rsidRPr="009431B8">
        <w:rPr>
          <w:rFonts w:ascii="Times New Roman" w:hAnsi="Times New Roman"/>
          <w:noProof/>
          <w:sz w:val="20"/>
          <w:szCs w:val="20"/>
          <w:lang w:val="en-MY"/>
        </w:rPr>
        <w:t>, 34(3): 598-606.</w:t>
      </w:r>
    </w:p>
    <w:p w14:paraId="060E3EB5"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Vakh, C., Pochivalov, A., Andruch, V., Moskvin, L. and Bulatov, A. (2016). A fully automated effervescence-assisted switchable solvent-based liquid phase microextraction procedure: liquid chromatographic determination of ofloxacin in human urine samples. </w:t>
      </w:r>
      <w:r w:rsidRPr="009431B8">
        <w:rPr>
          <w:rFonts w:ascii="Times New Roman" w:hAnsi="Times New Roman"/>
          <w:i/>
          <w:noProof/>
          <w:sz w:val="20"/>
          <w:szCs w:val="20"/>
          <w:lang w:val="en-MY"/>
        </w:rPr>
        <w:t>Analytica Chimica Acta</w:t>
      </w:r>
      <w:r w:rsidRPr="009431B8">
        <w:rPr>
          <w:rFonts w:ascii="Times New Roman" w:hAnsi="Times New Roman"/>
          <w:noProof/>
          <w:sz w:val="20"/>
          <w:szCs w:val="20"/>
          <w:lang w:val="en-MY"/>
        </w:rPr>
        <w:t>, 907: 54-59.</w:t>
      </w:r>
    </w:p>
    <w:p w14:paraId="6B885EB2"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Gao, M., Wang, J., Song, X., He, X., Dahlgren, R. A., Zhang, Z. and Wang, X. (2018). An effervescence-assisted switchable fatty acid-based microextraction with solidification of floating organic droplet for determination of fluoroquinolones and tetracyclines in seawater, sediment, and seafood. </w:t>
      </w:r>
      <w:r w:rsidRPr="009431B8">
        <w:rPr>
          <w:rFonts w:ascii="Times New Roman" w:hAnsi="Times New Roman"/>
          <w:i/>
          <w:noProof/>
          <w:sz w:val="20"/>
          <w:szCs w:val="20"/>
          <w:lang w:val="en-MY"/>
        </w:rPr>
        <w:t>Analytical and Bioanalytical Chemistry</w:t>
      </w:r>
      <w:r w:rsidRPr="009431B8">
        <w:rPr>
          <w:rFonts w:ascii="Times New Roman" w:hAnsi="Times New Roman"/>
          <w:noProof/>
          <w:sz w:val="20"/>
          <w:szCs w:val="20"/>
          <w:lang w:val="en-MY"/>
        </w:rPr>
        <w:t>, 410(11): 2671-2687.</w:t>
      </w:r>
    </w:p>
    <w:p w14:paraId="69A5D4AA"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i/>
          <w:noProof/>
          <w:sz w:val="20"/>
          <w:szCs w:val="20"/>
          <w:lang w:val="en-MY"/>
        </w:rPr>
      </w:pPr>
      <w:r w:rsidRPr="009431B8">
        <w:rPr>
          <w:rFonts w:ascii="Times New Roman" w:hAnsi="Times New Roman"/>
          <w:noProof/>
          <w:sz w:val="20"/>
          <w:szCs w:val="20"/>
          <w:lang w:val="en-MY"/>
        </w:rPr>
        <w:t xml:space="preserve">Fadzil, F. N. I. M., Loh, S. H., Ariffin, M. M. and Khalik, W. M. A. W. M. (2020). Development of effervescent-assisted liquid phase microextraction using 1-dodecanol for determination of ketoprofen drug in water. </w:t>
      </w:r>
      <w:r w:rsidRPr="009431B8">
        <w:rPr>
          <w:rFonts w:ascii="Times New Roman" w:hAnsi="Times New Roman"/>
          <w:i/>
          <w:noProof/>
          <w:sz w:val="20"/>
          <w:szCs w:val="20"/>
          <w:lang w:val="en-MY"/>
        </w:rPr>
        <w:t xml:space="preserve">ASM Science Journal, </w:t>
      </w:r>
      <w:r w:rsidRPr="009431B8">
        <w:rPr>
          <w:rFonts w:ascii="Times New Roman" w:hAnsi="Times New Roman"/>
          <w:noProof/>
          <w:sz w:val="20"/>
          <w:szCs w:val="20"/>
          <w:lang w:val="en-MY"/>
        </w:rPr>
        <w:t>13: 1-8.</w:t>
      </w:r>
    </w:p>
    <w:p w14:paraId="19DC5D4B"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Shishov, A., Gerasimov, A., Nechaeva, D., Volodina, N., Bessonova, E. and Bulatov, A. (2020). An effervescence-assisted dispersive liquid–liquid microextraction based on deep eutectic solvent decomposition: Determination of ketoprofen and diclofenac in liver. </w:t>
      </w:r>
      <w:r w:rsidRPr="009431B8">
        <w:rPr>
          <w:rFonts w:ascii="Times New Roman" w:hAnsi="Times New Roman"/>
          <w:i/>
          <w:noProof/>
          <w:sz w:val="20"/>
          <w:szCs w:val="20"/>
          <w:lang w:val="en-MY"/>
        </w:rPr>
        <w:t>Microchemical Journal,</w:t>
      </w:r>
      <w:r w:rsidRPr="009431B8">
        <w:rPr>
          <w:rFonts w:ascii="Times New Roman" w:hAnsi="Times New Roman"/>
          <w:noProof/>
          <w:sz w:val="20"/>
          <w:szCs w:val="20"/>
          <w:lang w:val="en-MY"/>
        </w:rPr>
        <w:t xml:space="preserve"> 156: 104837.</w:t>
      </w:r>
    </w:p>
    <w:p w14:paraId="35F3D06D"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Tazulazhar, N., Loh, S. H., Ariffin, M. M. and Khalik, W. M. A. W. M. (2021). Optimization of effervescent tablet-assisted dispersive liquid-liquid microextraction with central composite design for preconcentration of stimulant drug. </w:t>
      </w:r>
      <w:r w:rsidRPr="009431B8">
        <w:rPr>
          <w:rFonts w:ascii="Times New Roman" w:hAnsi="Times New Roman"/>
          <w:i/>
          <w:noProof/>
          <w:sz w:val="20"/>
          <w:szCs w:val="20"/>
          <w:lang w:val="en-MY"/>
        </w:rPr>
        <w:t>Sains Malaysiana,</w:t>
      </w:r>
      <w:r w:rsidRPr="009431B8">
        <w:rPr>
          <w:rFonts w:ascii="Times New Roman" w:hAnsi="Times New Roman"/>
          <w:noProof/>
          <w:sz w:val="20"/>
          <w:szCs w:val="20"/>
          <w:lang w:val="en-MY"/>
        </w:rPr>
        <w:t xml:space="preserve"> 50(1): 109-121.</w:t>
      </w:r>
    </w:p>
    <w:p w14:paraId="658FB8B1"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Liu, X., Shen, Z., Wang, P., Liu, C., Zhou, Z. and Liu, D. (2014). Effervescence assisted on-site liquid phase microextraction for the determination of five triazine herbicides in water. </w:t>
      </w:r>
      <w:r w:rsidRPr="009431B8">
        <w:rPr>
          <w:rFonts w:ascii="Times New Roman" w:hAnsi="Times New Roman"/>
          <w:i/>
          <w:noProof/>
          <w:sz w:val="20"/>
          <w:szCs w:val="20"/>
          <w:lang w:val="en-MY"/>
        </w:rPr>
        <w:t>Journal of Chromatography A</w:t>
      </w:r>
      <w:r w:rsidRPr="009431B8">
        <w:rPr>
          <w:rFonts w:ascii="Times New Roman" w:hAnsi="Times New Roman"/>
          <w:noProof/>
          <w:sz w:val="20"/>
          <w:szCs w:val="20"/>
          <w:lang w:val="en-MY"/>
        </w:rPr>
        <w:t>, 1371: 58-64.</w:t>
      </w:r>
    </w:p>
    <w:p w14:paraId="55AD48FF"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Moghadam, A. G., Rajabi, M., Hemmati, M. and Asghari, A. (2017). Development of effervescence-assisted liquid phase microextraction based on fatty acid for determination of silver and cobalt ions using micro-sampling flame atomic absorption spectrometry. </w:t>
      </w:r>
      <w:r w:rsidRPr="009431B8">
        <w:rPr>
          <w:rFonts w:ascii="Times New Roman" w:hAnsi="Times New Roman"/>
          <w:i/>
          <w:noProof/>
          <w:sz w:val="20"/>
          <w:szCs w:val="20"/>
          <w:lang w:val="en-MY"/>
        </w:rPr>
        <w:t>Journal of Molecular Liquids</w:t>
      </w:r>
      <w:r w:rsidRPr="009431B8">
        <w:rPr>
          <w:rFonts w:ascii="Times New Roman" w:hAnsi="Times New Roman"/>
          <w:noProof/>
          <w:sz w:val="20"/>
          <w:szCs w:val="20"/>
          <w:lang w:val="en-MY"/>
        </w:rPr>
        <w:t>, 242: 1176-1183.</w:t>
      </w:r>
    </w:p>
    <w:p w14:paraId="73D651A6"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Jing, X., Cheng, X., Zhao, W., Wang, H. and Wang, X. (2020). Magnetic effervescence tablet-assisted switchable hydrophilicity solvent-based liquid phase microextraction of triazine herbicides in water samples. </w:t>
      </w:r>
      <w:r w:rsidRPr="009431B8">
        <w:rPr>
          <w:rFonts w:ascii="Times New Roman" w:hAnsi="Times New Roman"/>
          <w:i/>
          <w:noProof/>
          <w:sz w:val="20"/>
          <w:szCs w:val="20"/>
          <w:lang w:val="en-MY"/>
        </w:rPr>
        <w:t>Journal of Molecular Liquids</w:t>
      </w:r>
      <w:r w:rsidRPr="009431B8">
        <w:rPr>
          <w:rFonts w:ascii="Times New Roman" w:hAnsi="Times New Roman"/>
          <w:noProof/>
          <w:sz w:val="20"/>
          <w:szCs w:val="20"/>
          <w:lang w:val="en-MY"/>
        </w:rPr>
        <w:t>, 306: 112934.</w:t>
      </w:r>
    </w:p>
    <w:p w14:paraId="0007468B"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Medinskaia, K., Vakh, C., Aseeva, D., Andruch, V., Moskvin, L. and Bulatov, A. (2016). A fully automated effervescence assisted dispersive liquid–liquid microextraction based on a stepwise injection system. Determination of antipyrine in saliva samples. </w:t>
      </w:r>
      <w:r w:rsidRPr="009431B8">
        <w:rPr>
          <w:rFonts w:ascii="Times New Roman" w:hAnsi="Times New Roman"/>
          <w:i/>
          <w:noProof/>
          <w:sz w:val="20"/>
          <w:szCs w:val="20"/>
          <w:lang w:val="en-MY"/>
        </w:rPr>
        <w:t>Analytica Chimica Acta</w:t>
      </w:r>
      <w:r w:rsidRPr="009431B8">
        <w:rPr>
          <w:rFonts w:ascii="Times New Roman" w:hAnsi="Times New Roman"/>
          <w:noProof/>
          <w:sz w:val="20"/>
          <w:szCs w:val="20"/>
          <w:lang w:val="en-MY"/>
        </w:rPr>
        <w:t>, 902: 129-134.</w:t>
      </w:r>
    </w:p>
    <w:p w14:paraId="3229F214"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Villaroel, E., Silva-Agredo, J., Petrier, C., Taborda, G. and Torres-Palma, R. A. (2014). Ultrasonic degradation of acetaminophen in water: effect of sonochemical parameters and water matrix. </w:t>
      </w:r>
      <w:r w:rsidRPr="009431B8">
        <w:rPr>
          <w:rFonts w:ascii="Times New Roman" w:hAnsi="Times New Roman"/>
          <w:i/>
          <w:noProof/>
          <w:sz w:val="20"/>
          <w:szCs w:val="20"/>
          <w:lang w:val="en-MY"/>
        </w:rPr>
        <w:t>Ultrasonics Sonochemistry</w:t>
      </w:r>
      <w:r w:rsidRPr="009431B8">
        <w:rPr>
          <w:rFonts w:ascii="Times New Roman" w:hAnsi="Times New Roman"/>
          <w:noProof/>
          <w:sz w:val="20"/>
          <w:szCs w:val="20"/>
          <w:lang w:val="en-MY"/>
        </w:rPr>
        <w:t>, 21(5): 1763-1769.</w:t>
      </w:r>
    </w:p>
    <w:p w14:paraId="0E38A9DC"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Montaseri, H. and Forbes, P. B. (2018). Analytical techniques for the determination of acetaminophen: A review. </w:t>
      </w:r>
      <w:r w:rsidRPr="009431B8">
        <w:rPr>
          <w:rFonts w:ascii="Times New Roman" w:hAnsi="Times New Roman"/>
          <w:i/>
          <w:noProof/>
          <w:sz w:val="20"/>
          <w:szCs w:val="20"/>
          <w:lang w:val="en-MY"/>
        </w:rPr>
        <w:t>TrAC Trends in Analytical Chemistry</w:t>
      </w:r>
      <w:r w:rsidRPr="009431B8">
        <w:rPr>
          <w:rFonts w:ascii="Times New Roman" w:hAnsi="Times New Roman"/>
          <w:noProof/>
          <w:sz w:val="20"/>
          <w:szCs w:val="20"/>
          <w:lang w:val="en-MY"/>
        </w:rPr>
        <w:t>, 108: 122-134.</w:t>
      </w:r>
    </w:p>
    <w:p w14:paraId="2ED90DB4"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Lima, D. R., Hosseini-Bandegharaei, A., Thue, P. S., Lima, E. C., de Albuquerque, Y. R., dos Reis, G. S., and Tran, H. N. (2019). Efficient acetaminophen removal from water and hospital effluents treatment by activated carbons derived from Brazil nutshells. </w:t>
      </w:r>
      <w:r w:rsidRPr="009431B8">
        <w:rPr>
          <w:rFonts w:ascii="Times New Roman" w:hAnsi="Times New Roman"/>
          <w:i/>
          <w:noProof/>
          <w:sz w:val="20"/>
          <w:szCs w:val="20"/>
          <w:lang w:val="en-MY"/>
        </w:rPr>
        <w:t>Colloids and Surfaces A: Physicochemical and Engineering Aspects</w:t>
      </w:r>
      <w:r w:rsidRPr="009431B8">
        <w:rPr>
          <w:rFonts w:ascii="Times New Roman" w:hAnsi="Times New Roman"/>
          <w:noProof/>
          <w:sz w:val="20"/>
          <w:szCs w:val="20"/>
          <w:lang w:val="en-MY"/>
        </w:rPr>
        <w:t>, 583: 123966.</w:t>
      </w:r>
    </w:p>
    <w:p w14:paraId="57EF6F62"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Mashayekh-Salehi, A., Moussavi, G. and Yaghmaeian, K. (2017). Preparation, characterization and catalytic activity of a novel mesoporous nanocrystalline MgO nanoparticle for ozonation of acetaminophen as an emerging water contaminant. </w:t>
      </w:r>
      <w:r w:rsidRPr="009431B8">
        <w:rPr>
          <w:rFonts w:ascii="Times New Roman" w:hAnsi="Times New Roman"/>
          <w:i/>
          <w:noProof/>
          <w:sz w:val="20"/>
          <w:szCs w:val="20"/>
          <w:lang w:val="en-MY"/>
        </w:rPr>
        <w:t>Chemical Engineering Journal,</w:t>
      </w:r>
      <w:r w:rsidRPr="009431B8">
        <w:rPr>
          <w:rFonts w:ascii="Times New Roman" w:hAnsi="Times New Roman"/>
          <w:noProof/>
          <w:sz w:val="20"/>
          <w:szCs w:val="20"/>
          <w:lang w:val="en-MY"/>
        </w:rPr>
        <w:t xml:space="preserve"> 310: 157-169.</w:t>
      </w:r>
    </w:p>
    <w:p w14:paraId="1790D6E6"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Salvatierra-stamp, V., Muñiz-Valencia, R., Jurado, J. M. and Ceballos-Magaña, S. G. (2018). Hollow fiber liquid phase microextraction combined with liquid chromatography-tandem mass spectrometry for the analysis of emerging contaminants in water samples. </w:t>
      </w:r>
      <w:r w:rsidRPr="009431B8">
        <w:rPr>
          <w:rFonts w:ascii="Times New Roman" w:hAnsi="Times New Roman"/>
          <w:i/>
          <w:noProof/>
          <w:sz w:val="20"/>
          <w:szCs w:val="20"/>
          <w:lang w:val="en-MY"/>
        </w:rPr>
        <w:t>Microchemical Journal,</w:t>
      </w:r>
      <w:r w:rsidRPr="009431B8">
        <w:rPr>
          <w:rFonts w:ascii="Times New Roman" w:hAnsi="Times New Roman"/>
          <w:noProof/>
          <w:sz w:val="20"/>
          <w:szCs w:val="20"/>
          <w:lang w:val="en-MY"/>
        </w:rPr>
        <w:t xml:space="preserve"> 140: 87-95.</w:t>
      </w:r>
    </w:p>
    <w:p w14:paraId="2A90F64B"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lastRenderedPageBreak/>
        <w:t xml:space="preserve">Yao, C., Li, T., Twu, P., Pitner, W. R. and Anderson, J. L. (2011). Selective extraction of emerging contaminants from water samples by dispersive liquid–liquid microextraction using functionalized ionic liquids. </w:t>
      </w:r>
      <w:r w:rsidRPr="009431B8">
        <w:rPr>
          <w:rFonts w:ascii="Times New Roman" w:hAnsi="Times New Roman"/>
          <w:i/>
          <w:noProof/>
          <w:sz w:val="20"/>
          <w:szCs w:val="20"/>
          <w:lang w:val="en-MY"/>
        </w:rPr>
        <w:t>Journal of Chromatography A</w:t>
      </w:r>
      <w:r w:rsidRPr="009431B8">
        <w:rPr>
          <w:rFonts w:ascii="Times New Roman" w:hAnsi="Times New Roman"/>
          <w:noProof/>
          <w:sz w:val="20"/>
          <w:szCs w:val="20"/>
          <w:lang w:val="en-MY"/>
        </w:rPr>
        <w:t>, 1218(12): 1556-1566.</w:t>
      </w:r>
    </w:p>
    <w:p w14:paraId="164572B1"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Yu, H., Merib, J. and Anderson, J. L. (2016). Faster dispersive liquid-liquid microextraction methods using magnetic ionic liquids as solvents. </w:t>
      </w:r>
      <w:r w:rsidRPr="009431B8">
        <w:rPr>
          <w:rFonts w:ascii="Times New Roman" w:hAnsi="Times New Roman"/>
          <w:i/>
          <w:noProof/>
          <w:sz w:val="20"/>
          <w:szCs w:val="20"/>
          <w:lang w:val="en-MY"/>
        </w:rPr>
        <w:t>Journal of Chromatography A</w:t>
      </w:r>
      <w:r w:rsidRPr="009431B8">
        <w:rPr>
          <w:rFonts w:ascii="Times New Roman" w:hAnsi="Times New Roman"/>
          <w:noProof/>
          <w:sz w:val="20"/>
          <w:szCs w:val="20"/>
          <w:lang w:val="en-MY"/>
        </w:rPr>
        <w:t>, 1463: 11-19.</w:t>
      </w:r>
    </w:p>
    <w:p w14:paraId="014DA2CE"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Moeder, M., Schrader, S., Winkler, M. and Popp, P. (2000). Solid-phase microextraction–gas chromatography–mass spectrometry of biologically active substances in water samples. </w:t>
      </w:r>
      <w:r w:rsidRPr="009431B8">
        <w:rPr>
          <w:rFonts w:ascii="Times New Roman" w:hAnsi="Times New Roman"/>
          <w:i/>
          <w:noProof/>
          <w:sz w:val="20"/>
          <w:szCs w:val="20"/>
          <w:lang w:val="en-MY"/>
        </w:rPr>
        <w:t>Journal of Chromatography A</w:t>
      </w:r>
      <w:r w:rsidRPr="009431B8">
        <w:rPr>
          <w:rFonts w:ascii="Times New Roman" w:hAnsi="Times New Roman"/>
          <w:noProof/>
          <w:sz w:val="20"/>
          <w:szCs w:val="20"/>
          <w:lang w:val="en-MY"/>
        </w:rPr>
        <w:t>, 873(1): 95-106.</w:t>
      </w:r>
    </w:p>
    <w:p w14:paraId="1A6B7CA6"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Moliner-Martínez, Y., Prima-Garcia, H., Ribera, A., Coronado, E. and Campíns-Falcó, P. (2012). Magnetic in-tube solid phase microextraction. </w:t>
      </w:r>
      <w:r w:rsidRPr="009431B8">
        <w:rPr>
          <w:rFonts w:ascii="Times New Roman" w:hAnsi="Times New Roman"/>
          <w:i/>
          <w:noProof/>
          <w:sz w:val="20"/>
          <w:szCs w:val="20"/>
          <w:lang w:val="en-MY"/>
        </w:rPr>
        <w:t>Analytical Chemistry</w:t>
      </w:r>
      <w:r w:rsidRPr="009431B8">
        <w:rPr>
          <w:rFonts w:ascii="Times New Roman" w:hAnsi="Times New Roman"/>
          <w:noProof/>
          <w:sz w:val="20"/>
          <w:szCs w:val="20"/>
          <w:lang w:val="en-MY"/>
        </w:rPr>
        <w:t>, 84(16): 7233-7240.</w:t>
      </w:r>
    </w:p>
    <w:p w14:paraId="2899AE8B"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Asati, A., Satyanarayana, G. N. V. and Patel, D. K. (2017). Comparison of two microextraction methods based on solidification of floating organic droplet for the determination of multiclass analytes in river water samples by liquid chromatography tandem mass spectrometry using central composite design. </w:t>
      </w:r>
      <w:r w:rsidRPr="009431B8">
        <w:rPr>
          <w:rFonts w:ascii="Times New Roman" w:hAnsi="Times New Roman"/>
          <w:i/>
          <w:noProof/>
          <w:sz w:val="20"/>
          <w:szCs w:val="20"/>
          <w:lang w:val="en-MY"/>
        </w:rPr>
        <w:t>Journal of Chromatography A</w:t>
      </w:r>
      <w:r w:rsidRPr="009431B8">
        <w:rPr>
          <w:rFonts w:ascii="Times New Roman" w:hAnsi="Times New Roman"/>
          <w:noProof/>
          <w:sz w:val="20"/>
          <w:szCs w:val="20"/>
          <w:lang w:val="en-MY"/>
        </w:rPr>
        <w:t>, 1513: 157-171.</w:t>
      </w:r>
    </w:p>
    <w:p w14:paraId="1D8A6184" w14:textId="16FF947D" w:rsidR="006503D5" w:rsidRPr="006503D5"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Gałuszka, A., Migaszewski, Z. M., Konieczka, P. and Namieśnik, J. (2012). Analytical eco-scale for assessing the greenness of analytical procedures. </w:t>
      </w:r>
      <w:r w:rsidRPr="009431B8">
        <w:rPr>
          <w:rFonts w:ascii="Times New Roman" w:hAnsi="Times New Roman"/>
          <w:i/>
          <w:noProof/>
          <w:sz w:val="20"/>
          <w:szCs w:val="20"/>
          <w:lang w:val="en-MY"/>
        </w:rPr>
        <w:t>TrAC Trends in Analytical Chemistry</w:t>
      </w:r>
      <w:r w:rsidRPr="009431B8">
        <w:rPr>
          <w:rFonts w:ascii="Times New Roman" w:hAnsi="Times New Roman"/>
          <w:noProof/>
          <w:sz w:val="20"/>
          <w:szCs w:val="20"/>
          <w:lang w:val="en-MY"/>
        </w:rPr>
        <w:t>, 37: 61-72.</w:t>
      </w:r>
    </w:p>
    <w:p w14:paraId="60CBD0AB"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Mohamed, H. M. and Lamie, N. T. (2016). Analytical eco-scale for assessing the greenness of a developed RP-HPLC method used for simultaneous analysis of combined antihypertensive medications. </w:t>
      </w:r>
      <w:r w:rsidRPr="009431B8">
        <w:rPr>
          <w:rFonts w:ascii="Times New Roman" w:hAnsi="Times New Roman"/>
          <w:i/>
          <w:noProof/>
          <w:sz w:val="20"/>
          <w:szCs w:val="20"/>
          <w:lang w:val="en-MY"/>
        </w:rPr>
        <w:t>Journal of AOAC International</w:t>
      </w:r>
      <w:r w:rsidRPr="009431B8">
        <w:rPr>
          <w:rFonts w:ascii="Times New Roman" w:hAnsi="Times New Roman"/>
          <w:noProof/>
          <w:sz w:val="20"/>
          <w:szCs w:val="20"/>
          <w:lang w:val="en-MY"/>
        </w:rPr>
        <w:t>, 99(5): 1260-1265.</w:t>
      </w:r>
    </w:p>
    <w:p w14:paraId="06110BCD"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Tobiszewski, M., Marć, M., Gałuszka, A. and Namieśnik, J. (2015). Green chemistry metrics with special reference to green analytical chemistry. </w:t>
      </w:r>
      <w:r w:rsidRPr="009431B8">
        <w:rPr>
          <w:rFonts w:ascii="Times New Roman" w:hAnsi="Times New Roman"/>
          <w:i/>
          <w:noProof/>
          <w:sz w:val="20"/>
          <w:szCs w:val="20"/>
          <w:lang w:val="en-MY"/>
        </w:rPr>
        <w:t>Molecules</w:t>
      </w:r>
      <w:r w:rsidRPr="009431B8">
        <w:rPr>
          <w:rFonts w:ascii="Times New Roman" w:hAnsi="Times New Roman"/>
          <w:noProof/>
          <w:sz w:val="20"/>
          <w:szCs w:val="20"/>
          <w:lang w:val="en-MY"/>
        </w:rPr>
        <w:t>, 20(6): 10928-10946.</w:t>
      </w:r>
    </w:p>
    <w:p w14:paraId="56FE60D5"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Pena-Pereira, F., Wojnowski, W. and Tobiszewski, M. (2020). AGREE—Analytical GREEnness Metric Approach and Software. </w:t>
      </w:r>
      <w:r w:rsidRPr="009431B8">
        <w:rPr>
          <w:rFonts w:ascii="Times New Roman" w:hAnsi="Times New Roman"/>
          <w:i/>
          <w:noProof/>
          <w:sz w:val="20"/>
          <w:szCs w:val="20"/>
          <w:lang w:val="en-MY"/>
        </w:rPr>
        <w:t>Analytical Chemistry</w:t>
      </w:r>
      <w:r w:rsidRPr="009431B8">
        <w:rPr>
          <w:rFonts w:ascii="Times New Roman" w:hAnsi="Times New Roman"/>
          <w:noProof/>
          <w:sz w:val="20"/>
          <w:szCs w:val="20"/>
          <w:lang w:val="en-MY"/>
        </w:rPr>
        <w:t>, 92(14): 10076-10082.</w:t>
      </w:r>
    </w:p>
    <w:p w14:paraId="77D5AF68"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Gamal, M., Naguib, I. A., Panda, D. S. and Abdallah, F. F. (2021). Comparative study of four greenness assessment tools for selection of greenest analytical method for assay of hyoscine N-butyl bromide. </w:t>
      </w:r>
      <w:r w:rsidRPr="009431B8">
        <w:rPr>
          <w:rFonts w:ascii="Times New Roman" w:hAnsi="Times New Roman"/>
          <w:i/>
          <w:noProof/>
          <w:sz w:val="20"/>
          <w:szCs w:val="20"/>
          <w:lang w:val="en-MY"/>
        </w:rPr>
        <w:t>Analytical Methods</w:t>
      </w:r>
      <w:r w:rsidRPr="009431B8">
        <w:rPr>
          <w:rFonts w:ascii="Times New Roman" w:hAnsi="Times New Roman"/>
          <w:noProof/>
          <w:sz w:val="20"/>
          <w:szCs w:val="20"/>
          <w:lang w:val="en-MY"/>
        </w:rPr>
        <w:t>, 13(3): 369-380.</w:t>
      </w:r>
    </w:p>
    <w:p w14:paraId="5BB7156D"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Zeng, H., Qiao, K., Li, X., Yang, M., Zhang, S., Lu, R. and Zhou, W. (2017). Dispersive liquid–liquid microextraction based on the solidification of deep eutectic solvent for the determination of benzoylureas in environmental water samples. </w:t>
      </w:r>
      <w:r w:rsidRPr="009431B8">
        <w:rPr>
          <w:rFonts w:ascii="Times New Roman" w:hAnsi="Times New Roman"/>
          <w:i/>
          <w:noProof/>
          <w:sz w:val="20"/>
          <w:szCs w:val="20"/>
          <w:lang w:val="en-MY"/>
        </w:rPr>
        <w:t>Journal of Separation Science</w:t>
      </w:r>
      <w:r w:rsidRPr="009431B8">
        <w:rPr>
          <w:rFonts w:ascii="Times New Roman" w:hAnsi="Times New Roman"/>
          <w:noProof/>
          <w:sz w:val="20"/>
          <w:szCs w:val="20"/>
          <w:lang w:val="en-MY"/>
        </w:rPr>
        <w:t>, 40(23): 4563-4570.</w:t>
      </w:r>
    </w:p>
    <w:p w14:paraId="19BDDF20"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Khodadoust, S. and Ghaedi, M. (2013). Optimization of dispersive liquid–liquid microextraction with central composite design for preconcentration of chlordiazepoxide drug and its determination by HPLC‐UV. </w:t>
      </w:r>
      <w:r w:rsidRPr="009431B8">
        <w:rPr>
          <w:rFonts w:ascii="Times New Roman" w:hAnsi="Times New Roman"/>
          <w:i/>
          <w:noProof/>
          <w:sz w:val="20"/>
          <w:szCs w:val="20"/>
          <w:lang w:val="en-MY"/>
        </w:rPr>
        <w:t>Journal of Separation Science</w:t>
      </w:r>
      <w:r w:rsidRPr="009431B8">
        <w:rPr>
          <w:rFonts w:ascii="Times New Roman" w:hAnsi="Times New Roman"/>
          <w:noProof/>
          <w:sz w:val="20"/>
          <w:szCs w:val="20"/>
          <w:lang w:val="en-MY"/>
        </w:rPr>
        <w:t>, 36(11): 1734-1742.</w:t>
      </w:r>
    </w:p>
    <w:p w14:paraId="24259103"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Granberg, R. A. and Rasmuson, Å. C. (1999). Solubility of paracetamol in pure solvents. </w:t>
      </w:r>
      <w:r w:rsidRPr="009431B8">
        <w:rPr>
          <w:rFonts w:ascii="Times New Roman" w:hAnsi="Times New Roman"/>
          <w:i/>
          <w:noProof/>
          <w:sz w:val="20"/>
          <w:szCs w:val="20"/>
          <w:lang w:val="en-MY"/>
        </w:rPr>
        <w:t>Journal of Chemical &amp; Engineering Data</w:t>
      </w:r>
      <w:r w:rsidRPr="009431B8">
        <w:rPr>
          <w:rFonts w:ascii="Times New Roman" w:hAnsi="Times New Roman"/>
          <w:noProof/>
          <w:sz w:val="20"/>
          <w:szCs w:val="20"/>
          <w:lang w:val="en-MY"/>
        </w:rPr>
        <w:t>, 44(6): 1391-1395.</w:t>
      </w:r>
    </w:p>
    <w:p w14:paraId="5038F761"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Ojeda, C. B. and Rojas, F. S. (2011). Separation and preconcentration by dispersive liquid–liquid microextraction procedure: recent applications. </w:t>
      </w:r>
      <w:r w:rsidRPr="009431B8">
        <w:rPr>
          <w:rFonts w:ascii="Times New Roman" w:hAnsi="Times New Roman"/>
          <w:i/>
          <w:noProof/>
          <w:sz w:val="20"/>
          <w:szCs w:val="20"/>
          <w:lang w:val="en-MY"/>
        </w:rPr>
        <w:t>Chromatographia</w:t>
      </w:r>
      <w:r w:rsidRPr="009431B8">
        <w:rPr>
          <w:rFonts w:ascii="Times New Roman" w:hAnsi="Times New Roman"/>
          <w:noProof/>
          <w:sz w:val="20"/>
          <w:szCs w:val="20"/>
          <w:lang w:val="en-MY"/>
        </w:rPr>
        <w:t>, 74(9-10): 651.</w:t>
      </w:r>
    </w:p>
    <w:p w14:paraId="34773588" w14:textId="77777777" w:rsidR="006503D5" w:rsidRPr="009431B8" w:rsidRDefault="006503D5" w:rsidP="006503D5">
      <w:pPr>
        <w:pStyle w:val="ListParagraph"/>
        <w:numPr>
          <w:ilvl w:val="0"/>
          <w:numId w:val="9"/>
        </w:numPr>
        <w:spacing w:after="0"/>
        <w:ind w:left="360"/>
        <w:contextualSpacing w:val="0"/>
        <w:jc w:val="both"/>
        <w:rPr>
          <w:rFonts w:ascii="Times New Roman" w:hAnsi="Times New Roman"/>
          <w:noProof/>
          <w:sz w:val="20"/>
          <w:szCs w:val="20"/>
          <w:lang w:val="en-MY"/>
        </w:rPr>
      </w:pPr>
      <w:r w:rsidRPr="009431B8">
        <w:rPr>
          <w:rFonts w:ascii="Times New Roman" w:hAnsi="Times New Roman"/>
          <w:noProof/>
          <w:sz w:val="20"/>
          <w:szCs w:val="20"/>
          <w:lang w:val="en-MY"/>
        </w:rPr>
        <w:t xml:space="preserve">Jafarinejad, M., Ezoddin, M., Lamei, N., Abdi, K., Babhadi‐Ashar, N., Pirooznia, N. and Akhgari, M. (2020). Effervescent tablet‐assisted demulsified dispersive liquid–liquid microextraction based on solidification of floating organic droplet for determination of methadone in water and biological samples prior to GC‐flame ionization and GC‐MS. </w:t>
      </w:r>
      <w:r w:rsidRPr="009431B8">
        <w:rPr>
          <w:rFonts w:ascii="Times New Roman" w:hAnsi="Times New Roman"/>
          <w:i/>
          <w:noProof/>
          <w:sz w:val="20"/>
          <w:szCs w:val="20"/>
          <w:lang w:val="en-MY"/>
        </w:rPr>
        <w:t>Journal of Separation Science</w:t>
      </w:r>
      <w:r w:rsidRPr="009431B8">
        <w:rPr>
          <w:rFonts w:ascii="Times New Roman" w:hAnsi="Times New Roman"/>
          <w:noProof/>
          <w:sz w:val="20"/>
          <w:szCs w:val="20"/>
          <w:lang w:val="en-MY"/>
        </w:rPr>
        <w:t>, 43(16): 3266-3274.</w:t>
      </w:r>
    </w:p>
    <w:p w14:paraId="635D0202" w14:textId="77777777" w:rsidR="006503D5" w:rsidRPr="006503D5" w:rsidRDefault="006503D5" w:rsidP="006503D5">
      <w:pPr>
        <w:spacing w:after="0"/>
        <w:ind w:right="71"/>
        <w:jc w:val="both"/>
        <w:rPr>
          <w:rFonts w:ascii="Times New Roman" w:hAnsi="Times New Roman"/>
          <w:bCs/>
          <w:noProof/>
          <w:sz w:val="20"/>
          <w:szCs w:val="20"/>
          <w:lang w:val="ms-MY"/>
        </w:rPr>
      </w:pPr>
    </w:p>
    <w:p w14:paraId="413CEEB0" w14:textId="39C3D42D" w:rsidR="001E55BE" w:rsidRPr="001E55BE" w:rsidRDefault="001E55BE" w:rsidP="001E55BE">
      <w:pPr>
        <w:tabs>
          <w:tab w:val="left" w:pos="5059"/>
        </w:tabs>
        <w:spacing w:after="0"/>
        <w:jc w:val="both"/>
        <w:rPr>
          <w:rFonts w:ascii="Times New Roman" w:hAnsi="Times New Roman"/>
          <w:noProof/>
          <w:sz w:val="20"/>
          <w:szCs w:val="20"/>
        </w:rPr>
      </w:pPr>
    </w:p>
    <w:p w14:paraId="299D3E74" w14:textId="0CF7029C" w:rsidR="00EC5D90" w:rsidRPr="00385369" w:rsidRDefault="001E55BE"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r>
        <w:rPr>
          <w:rFonts w:ascii="Times New Roman" w:hAnsi="Times New Roman"/>
          <w:sz w:val="20"/>
          <w:szCs w:val="20"/>
        </w:rPr>
        <w:tab/>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6503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650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7CD35A5"/>
    <w:multiLevelType w:val="hybridMultilevel"/>
    <w:tmpl w:val="60446692"/>
    <w:lvl w:ilvl="0" w:tplc="833E6258">
      <w:start w:val="1"/>
      <w:numFmt w:val="decimal"/>
      <w:lvlText w:val="%1."/>
      <w:lvlJc w:val="left"/>
      <w:pPr>
        <w:ind w:left="720" w:hanging="360"/>
      </w:pPr>
      <w:rPr>
        <w:b w:val="0"/>
        <w:bCs w:val="0"/>
        <w:i w:val="0"/>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8"/>
  </w:num>
  <w:num w:numId="4">
    <w:abstractNumId w:val="1"/>
  </w:num>
  <w:num w:numId="5">
    <w:abstractNumId w:val="4"/>
  </w:num>
  <w:num w:numId="6">
    <w:abstractNumId w:val="7"/>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E55BE"/>
    <w:rsid w:val="00226372"/>
    <w:rsid w:val="002B425B"/>
    <w:rsid w:val="002F626B"/>
    <w:rsid w:val="00385369"/>
    <w:rsid w:val="003A1F80"/>
    <w:rsid w:val="0044292C"/>
    <w:rsid w:val="00460C95"/>
    <w:rsid w:val="00473CD4"/>
    <w:rsid w:val="00487993"/>
    <w:rsid w:val="005644C8"/>
    <w:rsid w:val="005F401D"/>
    <w:rsid w:val="006149E4"/>
    <w:rsid w:val="006503D5"/>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2066</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3 (2021)</dc:title>
  <dc:creator>Harun Hamzah</dc:creator>
  <cp:lastModifiedBy>Harun Hamzah</cp:lastModifiedBy>
  <cp:revision>2</cp:revision>
  <cp:lastPrinted>2020-04-01T04:48:00Z</cp:lastPrinted>
  <dcterms:created xsi:type="dcterms:W3CDTF">2021-06-14T09:53:00Z</dcterms:created>
  <dcterms:modified xsi:type="dcterms:W3CDTF">2021-06-14T09:53:00Z</dcterms:modified>
</cp:coreProperties>
</file>