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EC949A3" w14:textId="6424018B" w:rsidR="00F352C7" w:rsidRPr="00F352C7" w:rsidRDefault="00F352C7" w:rsidP="00F352C7">
      <w:pPr>
        <w:spacing w:after="0"/>
        <w:jc w:val="center"/>
        <w:outlineLvl w:val="0"/>
        <w:rPr>
          <w:rFonts w:ascii="Times New Roman" w:hAnsi="Times New Roman"/>
          <w:i/>
          <w:iCs/>
          <w:sz w:val="28"/>
          <w:szCs w:val="28"/>
          <w:lang w:val="en-MY"/>
        </w:rPr>
      </w:pPr>
      <w:r w:rsidRPr="00F352C7">
        <w:rPr>
          <w:rFonts w:ascii="Times New Roman" w:hAnsi="Times New Roman"/>
          <w:sz w:val="28"/>
          <w:szCs w:val="28"/>
          <w:lang w:val="en-MY"/>
        </w:rPr>
        <w:t xml:space="preserve">ADDITION OF GLYCEROL AND SODIUM CHLORIDE INTO </w:t>
      </w:r>
      <w:r w:rsidRPr="00F352C7">
        <w:rPr>
          <w:rFonts w:ascii="Times New Roman" w:hAnsi="Times New Roman"/>
          <w:i/>
          <w:iCs/>
          <w:sz w:val="28"/>
          <w:szCs w:val="28"/>
          <w:lang w:val="en-MY"/>
        </w:rPr>
        <w:t>Garcinia atroviridis</w:t>
      </w:r>
      <w:r w:rsidRPr="00F352C7">
        <w:rPr>
          <w:rFonts w:ascii="Times New Roman" w:hAnsi="Times New Roman"/>
          <w:sz w:val="28"/>
          <w:szCs w:val="28"/>
          <w:lang w:val="en-MY"/>
        </w:rPr>
        <w:t xml:space="preserve"> CHITOSAN FILM, AND ITS APPLICATION FOR WRAPPING OF CHICKEN MEAT </w:t>
      </w:r>
    </w:p>
    <w:p w14:paraId="1B1ACA2F" w14:textId="77777777" w:rsidR="00F352C7" w:rsidRPr="00F352C7" w:rsidRDefault="00F352C7" w:rsidP="00F352C7">
      <w:pPr>
        <w:spacing w:after="0"/>
        <w:jc w:val="center"/>
        <w:outlineLvl w:val="0"/>
        <w:rPr>
          <w:rFonts w:ascii="Times New Roman" w:hAnsi="Times New Roman"/>
          <w:sz w:val="24"/>
          <w:szCs w:val="24"/>
          <w:lang w:val="en-MY"/>
        </w:rPr>
      </w:pPr>
    </w:p>
    <w:p w14:paraId="2616C29A" w14:textId="545C123A" w:rsidR="00F352C7" w:rsidRPr="00F352C7" w:rsidRDefault="00F352C7" w:rsidP="00F352C7">
      <w:pPr>
        <w:spacing w:after="0"/>
        <w:jc w:val="center"/>
        <w:outlineLvl w:val="0"/>
        <w:rPr>
          <w:rFonts w:ascii="Times New Roman" w:hAnsi="Times New Roman"/>
          <w:sz w:val="24"/>
          <w:szCs w:val="24"/>
        </w:rPr>
      </w:pPr>
      <w:r w:rsidRPr="00F352C7">
        <w:rPr>
          <w:rFonts w:ascii="Times New Roman" w:hAnsi="Times New Roman"/>
          <w:sz w:val="24"/>
          <w:szCs w:val="24"/>
        </w:rPr>
        <w:t xml:space="preserve">(Penambahan Gliserol dan Natrium Klorida Pada </w:t>
      </w:r>
      <w:r w:rsidRPr="00F352C7">
        <w:rPr>
          <w:rFonts w:ascii="Times New Roman" w:hAnsi="Times New Roman"/>
          <w:i/>
          <w:iCs/>
          <w:sz w:val="24"/>
          <w:szCs w:val="24"/>
        </w:rPr>
        <w:t>Garcinia atroviridis</w:t>
      </w:r>
      <w:r w:rsidRPr="00F352C7">
        <w:rPr>
          <w:rFonts w:ascii="Times New Roman" w:hAnsi="Times New Roman"/>
          <w:sz w:val="24"/>
          <w:szCs w:val="24"/>
        </w:rPr>
        <w:t xml:space="preserve"> Filem Kitosan dan Aplikasinya Pada Pembungkusan Daging Ayam)</w:t>
      </w:r>
    </w:p>
    <w:p w14:paraId="523452CE" w14:textId="77777777" w:rsidR="00F352C7" w:rsidRPr="00F352C7" w:rsidRDefault="00F352C7" w:rsidP="00F352C7">
      <w:pPr>
        <w:spacing w:after="0"/>
        <w:jc w:val="center"/>
        <w:outlineLvl w:val="0"/>
        <w:rPr>
          <w:rFonts w:ascii="Times New Roman" w:hAnsi="Times New Roman"/>
          <w:b/>
          <w:color w:val="548DD4" w:themeColor="text2" w:themeTint="99"/>
          <w:sz w:val="20"/>
          <w:szCs w:val="20"/>
        </w:rPr>
      </w:pPr>
    </w:p>
    <w:p w14:paraId="3C597FE7" w14:textId="77777777" w:rsidR="00F352C7" w:rsidRPr="00F352C7" w:rsidRDefault="00F352C7" w:rsidP="00F352C7">
      <w:pPr>
        <w:spacing w:after="0"/>
        <w:jc w:val="center"/>
        <w:outlineLvl w:val="0"/>
        <w:rPr>
          <w:rFonts w:ascii="Times New Roman" w:hAnsi="Times New Roman"/>
          <w:color w:val="548DD4" w:themeColor="text2" w:themeTint="99"/>
          <w:sz w:val="20"/>
          <w:szCs w:val="20"/>
        </w:rPr>
      </w:pPr>
      <w:r w:rsidRPr="00F352C7">
        <w:rPr>
          <w:rFonts w:ascii="Times New Roman" w:hAnsi="Times New Roman"/>
          <w:sz w:val="20"/>
          <w:szCs w:val="20"/>
          <w:lang w:val="en-MY"/>
        </w:rPr>
        <w:t>S-Navin Sivanasvaran, Ianne Kong, Hui-Ling Tan,  Liew-Phing Pui*</w:t>
      </w:r>
    </w:p>
    <w:p w14:paraId="508C9D4E" w14:textId="77777777" w:rsidR="00F352C7" w:rsidRPr="00F352C7" w:rsidRDefault="00F352C7" w:rsidP="00F352C7">
      <w:pPr>
        <w:spacing w:after="0"/>
        <w:jc w:val="center"/>
        <w:outlineLvl w:val="0"/>
        <w:rPr>
          <w:rFonts w:ascii="Times New Roman" w:hAnsi="Times New Roman"/>
          <w:b/>
          <w:color w:val="FF0000"/>
          <w:sz w:val="18"/>
          <w:szCs w:val="18"/>
        </w:rPr>
      </w:pPr>
    </w:p>
    <w:p w14:paraId="4893597A" w14:textId="4AEFFF57" w:rsidR="00F352C7" w:rsidRPr="00F352C7" w:rsidRDefault="00F352C7" w:rsidP="00F352C7">
      <w:pPr>
        <w:spacing w:after="0"/>
        <w:jc w:val="center"/>
        <w:outlineLvl w:val="0"/>
        <w:rPr>
          <w:rFonts w:ascii="Times New Roman" w:hAnsi="Times New Roman"/>
          <w:i/>
          <w:sz w:val="18"/>
          <w:szCs w:val="18"/>
        </w:rPr>
      </w:pPr>
      <w:r w:rsidRPr="00F352C7">
        <w:rPr>
          <w:rFonts w:ascii="Times New Roman" w:hAnsi="Times New Roman"/>
          <w:i/>
          <w:sz w:val="18"/>
          <w:szCs w:val="18"/>
        </w:rPr>
        <w:t xml:space="preserve">Department of Food Science and Nutrition, Faculty of Applied Sciences, </w:t>
      </w:r>
    </w:p>
    <w:p w14:paraId="57DC7848" w14:textId="77777777" w:rsidR="00F352C7" w:rsidRPr="00F352C7" w:rsidRDefault="00F352C7" w:rsidP="00F352C7">
      <w:pPr>
        <w:spacing w:after="0"/>
        <w:jc w:val="center"/>
        <w:outlineLvl w:val="0"/>
        <w:rPr>
          <w:rFonts w:ascii="Times New Roman" w:hAnsi="Times New Roman"/>
          <w:i/>
          <w:sz w:val="18"/>
          <w:szCs w:val="18"/>
        </w:rPr>
      </w:pPr>
      <w:r w:rsidRPr="00F352C7">
        <w:rPr>
          <w:rFonts w:ascii="Times New Roman" w:hAnsi="Times New Roman"/>
          <w:i/>
          <w:sz w:val="18"/>
          <w:szCs w:val="18"/>
        </w:rPr>
        <w:t>UCSI University, 56000 Cheras, Kuala Lumpur, Malaysia</w:t>
      </w:r>
    </w:p>
    <w:p w14:paraId="3FFF4FA0" w14:textId="77777777" w:rsidR="00F352C7" w:rsidRPr="00F352C7" w:rsidRDefault="00F352C7" w:rsidP="00F352C7">
      <w:pPr>
        <w:spacing w:after="0"/>
        <w:jc w:val="center"/>
        <w:outlineLvl w:val="0"/>
        <w:rPr>
          <w:rFonts w:ascii="Times New Roman" w:hAnsi="Times New Roman"/>
          <w:b/>
          <w:color w:val="548DD4" w:themeColor="text2" w:themeTint="99"/>
          <w:sz w:val="18"/>
          <w:szCs w:val="18"/>
        </w:rPr>
      </w:pPr>
    </w:p>
    <w:p w14:paraId="409E956D" w14:textId="6B342804" w:rsidR="00F352C7" w:rsidRPr="00F352C7" w:rsidRDefault="00F352C7" w:rsidP="00F352C7">
      <w:pPr>
        <w:spacing w:after="0"/>
        <w:jc w:val="center"/>
        <w:outlineLvl w:val="0"/>
        <w:rPr>
          <w:rFonts w:ascii="Times New Roman" w:hAnsi="Times New Roman"/>
          <w:i/>
          <w:color w:val="548DD4" w:themeColor="text2" w:themeTint="99"/>
          <w:sz w:val="18"/>
          <w:szCs w:val="18"/>
        </w:rPr>
      </w:pPr>
      <w:r w:rsidRPr="00F352C7">
        <w:rPr>
          <w:rFonts w:ascii="Times New Roman" w:hAnsi="Times New Roman"/>
          <w:i/>
          <w:sz w:val="18"/>
          <w:szCs w:val="18"/>
        </w:rPr>
        <w:t xml:space="preserve">*Corresponding author: </w:t>
      </w:r>
      <w:r>
        <w:rPr>
          <w:rFonts w:ascii="Times New Roman" w:hAnsi="Times New Roman"/>
          <w:i/>
          <w:sz w:val="18"/>
          <w:szCs w:val="18"/>
        </w:rPr>
        <w:t xml:space="preserve"> </w:t>
      </w:r>
      <w:r w:rsidRPr="00F352C7">
        <w:rPr>
          <w:rFonts w:ascii="Times New Roman" w:hAnsi="Times New Roman"/>
          <w:i/>
          <w:sz w:val="18"/>
          <w:szCs w:val="18"/>
        </w:rPr>
        <w:t>puilp@ucsiuniversity.edu.my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126ED020"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C0A1E">
        <w:rPr>
          <w:rFonts w:ascii="Times New Roman" w:hAnsi="Times New Roman"/>
          <w:noProof/>
          <w:sz w:val="18"/>
          <w:szCs w:val="18"/>
          <w:lang w:bidi="ar-SA"/>
        </w:rPr>
        <w:t>28 February 2021</w:t>
      </w:r>
      <w:r>
        <w:rPr>
          <w:rFonts w:ascii="Times New Roman" w:hAnsi="Times New Roman"/>
          <w:noProof/>
          <w:sz w:val="18"/>
          <w:szCs w:val="18"/>
          <w:lang w:bidi="ar-SA"/>
        </w:rPr>
        <w:t xml:space="preserve">; Accepted: </w:t>
      </w:r>
      <w:r w:rsidR="008C0A1E">
        <w:rPr>
          <w:rFonts w:ascii="Times New Roman" w:hAnsi="Times New Roman"/>
          <w:noProof/>
          <w:sz w:val="18"/>
          <w:szCs w:val="18"/>
          <w:lang w:bidi="ar-SA"/>
        </w:rPr>
        <w:t>22 May 2021</w:t>
      </w:r>
      <w:r w:rsidR="00F82059">
        <w:rPr>
          <w:rFonts w:ascii="Times New Roman" w:hAnsi="Times New Roman"/>
          <w:noProof/>
          <w:sz w:val="18"/>
          <w:szCs w:val="18"/>
          <w:lang w:bidi="ar-SA"/>
        </w:rPr>
        <w:t xml:space="preserve">; Published:  </w:t>
      </w:r>
      <w:r w:rsidR="008C0A1E">
        <w:rPr>
          <w:rFonts w:ascii="Times New Roman" w:hAnsi="Times New Roman"/>
          <w:noProof/>
          <w:sz w:val="18"/>
          <w:szCs w:val="18"/>
          <w:lang w:bidi="ar-SA"/>
        </w:rPr>
        <w:t>xx 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0A62FEA" w14:textId="77777777" w:rsidR="005F5C74" w:rsidRPr="00313579" w:rsidRDefault="005F5C74" w:rsidP="005F5C74">
      <w:pPr>
        <w:spacing w:after="0"/>
        <w:jc w:val="both"/>
        <w:outlineLvl w:val="0"/>
        <w:rPr>
          <w:rFonts w:ascii="Times New Roman" w:hAnsi="Times New Roman"/>
          <w:sz w:val="18"/>
          <w:szCs w:val="18"/>
        </w:rPr>
      </w:pPr>
      <w:r w:rsidRPr="00313579">
        <w:rPr>
          <w:rFonts w:ascii="Times New Roman" w:hAnsi="Times New Roman"/>
          <w:sz w:val="18"/>
          <w:szCs w:val="18"/>
          <w:lang w:val="en-MY"/>
        </w:rPr>
        <w:t xml:space="preserve">Glycerol and sodium chloride (NaCl) have a strengthening effect that can be incorporated into edible films to enhance their mechanical properties. </w:t>
      </w:r>
      <w:r w:rsidRPr="00313579">
        <w:rPr>
          <w:rFonts w:ascii="Times New Roman" w:hAnsi="Times New Roman"/>
          <w:sz w:val="18"/>
          <w:szCs w:val="18"/>
        </w:rPr>
        <w:t xml:space="preserve">This study evaluates the effects of glycerol (0.5-2.0% v/v) and NaCl (5.0-10.5 mM w/v) on the physical, mechanical, and antimicrobial properties of chitosan film incorporated with </w:t>
      </w:r>
      <w:r w:rsidRPr="00313579">
        <w:rPr>
          <w:rFonts w:ascii="Times New Roman" w:hAnsi="Times New Roman"/>
          <w:i/>
          <w:iCs/>
          <w:sz w:val="18"/>
          <w:szCs w:val="18"/>
        </w:rPr>
        <w:t>Garcinia atroviridis</w:t>
      </w:r>
      <w:r w:rsidRPr="00313579">
        <w:rPr>
          <w:rFonts w:ascii="Times New Roman" w:hAnsi="Times New Roman"/>
          <w:sz w:val="18"/>
          <w:szCs w:val="18"/>
        </w:rPr>
        <w:t>.</w:t>
      </w:r>
      <w:r w:rsidRPr="00313579">
        <w:rPr>
          <w:rFonts w:ascii="Times New Roman" w:hAnsi="Times New Roman"/>
          <w:sz w:val="18"/>
          <w:szCs w:val="18"/>
          <w:lang w:val="en-MY"/>
        </w:rPr>
        <w:t xml:space="preserve"> </w:t>
      </w:r>
      <w:r w:rsidRPr="00313579">
        <w:rPr>
          <w:rFonts w:ascii="Times New Roman" w:hAnsi="Times New Roman"/>
          <w:sz w:val="18"/>
          <w:szCs w:val="18"/>
        </w:rPr>
        <w:t xml:space="preserve">Storage tests were conducted on chicken meat that were wrapped with and without the film. The moisture content, water solubility, and elongation at break of film with 1.5% (v/v) glycerol and 10 mM (w/v) NaCl was the highest. The increment of glycerol and NaCl reduced thickness, tensile strength, and Young’s modulus. The total color difference of the film with 0.5% (v/v) glycerol and 0 mM (w/v) NaCl was highest and showed the greatest inhibition against </w:t>
      </w:r>
      <w:r w:rsidRPr="00313579">
        <w:rPr>
          <w:rFonts w:ascii="Times New Roman" w:hAnsi="Times New Roman"/>
          <w:i/>
          <w:iCs/>
          <w:sz w:val="18"/>
          <w:szCs w:val="18"/>
        </w:rPr>
        <w:t>Pseudomonas aeruginosa</w:t>
      </w:r>
      <w:r w:rsidRPr="00313579">
        <w:rPr>
          <w:rFonts w:ascii="Times New Roman" w:hAnsi="Times New Roman"/>
          <w:sz w:val="18"/>
          <w:szCs w:val="18"/>
        </w:rPr>
        <w:t xml:space="preserve"> and </w:t>
      </w:r>
      <w:r w:rsidRPr="00313579">
        <w:rPr>
          <w:rFonts w:ascii="Times New Roman" w:hAnsi="Times New Roman"/>
          <w:i/>
          <w:iCs/>
          <w:sz w:val="18"/>
          <w:szCs w:val="18"/>
        </w:rPr>
        <w:t>Staphylococcus aureus</w:t>
      </w:r>
      <w:r w:rsidRPr="00313579">
        <w:rPr>
          <w:rFonts w:ascii="Times New Roman" w:hAnsi="Times New Roman"/>
          <w:sz w:val="18"/>
          <w:szCs w:val="18"/>
        </w:rPr>
        <w:t>. The pH of the control increased whereas the pH of chicken meat wrapped with the film decreased as the number of storage days increased. In conclusion, film with 1.5% (v/v) glycerol and 10 mM (w/v) NaCl might be a suitable film because it demonstrated the highest elongation at break and a prolonged shelf life for the chicken meat of at least 15 days, which was longer than of the control.</w:t>
      </w:r>
    </w:p>
    <w:p w14:paraId="7288ECAF" w14:textId="77777777" w:rsidR="005F5C74" w:rsidRPr="00313579" w:rsidRDefault="005F5C74" w:rsidP="005F5C74">
      <w:pPr>
        <w:spacing w:after="0"/>
        <w:jc w:val="both"/>
        <w:outlineLvl w:val="0"/>
        <w:rPr>
          <w:rFonts w:ascii="Times New Roman" w:hAnsi="Times New Roman"/>
          <w:sz w:val="18"/>
          <w:szCs w:val="18"/>
        </w:rPr>
      </w:pPr>
    </w:p>
    <w:p w14:paraId="09ECFD20" w14:textId="56638AB9" w:rsidR="005F5C74" w:rsidRPr="00313579" w:rsidRDefault="005F5C74" w:rsidP="005F5C74">
      <w:pPr>
        <w:spacing w:after="0"/>
        <w:jc w:val="both"/>
        <w:outlineLvl w:val="0"/>
        <w:rPr>
          <w:rFonts w:ascii="Times New Roman" w:hAnsi="Times New Roman"/>
          <w:sz w:val="18"/>
          <w:szCs w:val="18"/>
        </w:rPr>
      </w:pPr>
      <w:r w:rsidRPr="00313579">
        <w:rPr>
          <w:rFonts w:ascii="Times New Roman" w:hAnsi="Times New Roman"/>
          <w:b/>
          <w:sz w:val="18"/>
          <w:szCs w:val="18"/>
        </w:rPr>
        <w:t xml:space="preserve">Keywords: </w:t>
      </w:r>
      <w:r>
        <w:rPr>
          <w:rFonts w:ascii="Times New Roman" w:hAnsi="Times New Roman"/>
          <w:b/>
          <w:sz w:val="18"/>
          <w:szCs w:val="18"/>
        </w:rPr>
        <w:t xml:space="preserve"> </w:t>
      </w:r>
      <w:r w:rsidRPr="00313579">
        <w:rPr>
          <w:rFonts w:ascii="Times New Roman" w:hAnsi="Times New Roman"/>
          <w:bCs/>
          <w:sz w:val="18"/>
          <w:szCs w:val="18"/>
        </w:rPr>
        <w:t xml:space="preserve">glycerol, sodium chloride, edible film, chitosan, </w:t>
      </w:r>
      <w:r w:rsidRPr="00313579">
        <w:rPr>
          <w:rFonts w:ascii="Times New Roman" w:hAnsi="Times New Roman"/>
          <w:bCs/>
          <w:i/>
          <w:iCs/>
          <w:sz w:val="18"/>
          <w:szCs w:val="18"/>
        </w:rPr>
        <w:t>Garcinia atroviridis</w:t>
      </w:r>
    </w:p>
    <w:p w14:paraId="63B7585D" w14:textId="77777777" w:rsidR="005F5C74" w:rsidRPr="00313579" w:rsidRDefault="005F5C74" w:rsidP="005F5C74">
      <w:pPr>
        <w:spacing w:after="0"/>
        <w:jc w:val="center"/>
        <w:outlineLvl w:val="0"/>
        <w:rPr>
          <w:rFonts w:ascii="Times New Roman" w:hAnsi="Times New Roman"/>
          <w:b/>
          <w:color w:val="548DD4" w:themeColor="text2" w:themeTint="99"/>
          <w:szCs w:val="20"/>
        </w:rPr>
      </w:pPr>
    </w:p>
    <w:p w14:paraId="0BC5DA47" w14:textId="77777777" w:rsidR="005F5C74" w:rsidRPr="00313579" w:rsidRDefault="005F5C74" w:rsidP="005F5C74">
      <w:pPr>
        <w:spacing w:after="0"/>
        <w:jc w:val="center"/>
        <w:outlineLvl w:val="0"/>
        <w:rPr>
          <w:rFonts w:ascii="Times New Roman" w:hAnsi="Times New Roman"/>
          <w:b/>
          <w:sz w:val="18"/>
          <w:szCs w:val="18"/>
        </w:rPr>
      </w:pPr>
      <w:r w:rsidRPr="00313579">
        <w:rPr>
          <w:rFonts w:ascii="Times New Roman" w:hAnsi="Times New Roman"/>
          <w:b/>
          <w:sz w:val="18"/>
          <w:szCs w:val="18"/>
        </w:rPr>
        <w:t>Abstrak</w:t>
      </w:r>
    </w:p>
    <w:p w14:paraId="40539E40" w14:textId="77777777" w:rsidR="005F5C74" w:rsidRPr="00313579" w:rsidRDefault="005F5C74" w:rsidP="005F5C74">
      <w:pPr>
        <w:spacing w:after="0"/>
        <w:jc w:val="both"/>
        <w:outlineLvl w:val="0"/>
        <w:rPr>
          <w:rFonts w:ascii="Times New Roman" w:hAnsi="Times New Roman"/>
          <w:sz w:val="18"/>
          <w:szCs w:val="18"/>
        </w:rPr>
      </w:pPr>
      <w:r w:rsidRPr="00313579">
        <w:rPr>
          <w:rFonts w:ascii="Times New Roman" w:hAnsi="Times New Roman"/>
          <w:sz w:val="18"/>
          <w:szCs w:val="18"/>
        </w:rPr>
        <w:t xml:space="preserve">Gliserol dan natrium klorida (NaCl), yang mempunyai kesan pengukuhan, dapat dimasukkan ke dalam filem yang boleh dimakan, untuk meningkatkan sifat mekanikal filem yang boleh dimakan. Tujuan kajian ini adalah untuk menilai kesan gliserol (0.5-2.0% v/v), dan NaCl (5.0-10.5 mM w/v) terhadap sifat fizikal, mekanikal, dan antimikrob filem kitosan yang diperbadankan dengan </w:t>
      </w:r>
      <w:r w:rsidRPr="00313579">
        <w:rPr>
          <w:rFonts w:ascii="Times New Roman" w:hAnsi="Times New Roman"/>
          <w:i/>
          <w:iCs/>
          <w:sz w:val="18"/>
          <w:szCs w:val="18"/>
        </w:rPr>
        <w:t>Garcinia atroviridis</w:t>
      </w:r>
      <w:r w:rsidRPr="00313579">
        <w:rPr>
          <w:rFonts w:ascii="Times New Roman" w:hAnsi="Times New Roman"/>
          <w:sz w:val="18"/>
          <w:szCs w:val="18"/>
        </w:rPr>
        <w:t xml:space="preserve">. Ujian penyimpanan dilakukan pada daging ayam yang dibungkus dengan dan tanpa filem. Kandungan kelembapan, kelarutan air, dan pemanjangan pada pemecahan filem dengan gliserol 1.5% (v/v), NaCl 10 mM (w/v) adalah yang tertinggi. Peningkatan gliserol dan NaCl mengurangkan ketebalan, kekuatan tegangan, dan pekali Young. Perbezaan warna keseluruhan filem dengan 0.5% (v/v) gliserol dan 0 mM (w/v) NaCl adalah tertinggi dan ia menunjukkan penghambatan terbesar terhadap </w:t>
      </w:r>
      <w:r w:rsidRPr="00313579">
        <w:rPr>
          <w:rFonts w:ascii="Times New Roman" w:hAnsi="Times New Roman"/>
          <w:i/>
          <w:iCs/>
          <w:sz w:val="18"/>
          <w:szCs w:val="18"/>
        </w:rPr>
        <w:t>Pseudomonas aeruginosa</w:t>
      </w:r>
      <w:r w:rsidRPr="00313579">
        <w:rPr>
          <w:rFonts w:ascii="Times New Roman" w:hAnsi="Times New Roman"/>
          <w:sz w:val="18"/>
          <w:szCs w:val="18"/>
        </w:rPr>
        <w:t xml:space="preserve"> dan </w:t>
      </w:r>
      <w:r w:rsidRPr="00313579">
        <w:rPr>
          <w:rFonts w:ascii="Times New Roman" w:hAnsi="Times New Roman"/>
          <w:i/>
          <w:iCs/>
          <w:sz w:val="18"/>
          <w:szCs w:val="18"/>
        </w:rPr>
        <w:t>Staphylococcus aureus</w:t>
      </w:r>
      <w:r w:rsidRPr="00313579">
        <w:rPr>
          <w:rFonts w:ascii="Times New Roman" w:hAnsi="Times New Roman"/>
          <w:sz w:val="18"/>
          <w:szCs w:val="18"/>
        </w:rPr>
        <w:t xml:space="preserve">. Pengawalan pH meningkat sedangkan pH daging ayam yang dibungkus dengan filem menurun ketika hari penyimpanan meningkat. Kesimpulannya, filem dengan gliserol 1.5% (v/v) dan NaCl </w:t>
      </w:r>
      <w:r w:rsidRPr="00313579">
        <w:rPr>
          <w:rFonts w:ascii="Times New Roman" w:hAnsi="Times New Roman"/>
          <w:sz w:val="18"/>
          <w:szCs w:val="18"/>
        </w:rPr>
        <w:lastRenderedPageBreak/>
        <w:t>10 mM (w/v) mungkin merupakan filem yang sesuai kerana ia mempunyai pemanjangan tertinggi pada pemecahan dan jangka hayat daging ayam yang berpanjangan sekurang-kurangnya 15 hari yang lebih lama daripada kawalan.</w:t>
      </w:r>
    </w:p>
    <w:p w14:paraId="62EAC986" w14:textId="77777777" w:rsidR="005F5C74" w:rsidRPr="00313579" w:rsidRDefault="005F5C74" w:rsidP="005F5C74">
      <w:pPr>
        <w:spacing w:after="0"/>
        <w:jc w:val="both"/>
        <w:outlineLvl w:val="0"/>
        <w:rPr>
          <w:rFonts w:ascii="Times New Roman" w:hAnsi="Times New Roman"/>
          <w:szCs w:val="20"/>
        </w:rPr>
      </w:pPr>
    </w:p>
    <w:p w14:paraId="6442166F" w14:textId="43CDB259" w:rsidR="005F5C74" w:rsidRPr="00313579" w:rsidRDefault="005F5C74" w:rsidP="005F5C74">
      <w:pPr>
        <w:spacing w:after="0"/>
        <w:jc w:val="both"/>
        <w:outlineLvl w:val="0"/>
        <w:rPr>
          <w:rFonts w:ascii="Times New Roman" w:hAnsi="Times New Roman"/>
          <w:b/>
          <w:color w:val="548DD4" w:themeColor="text2" w:themeTint="99"/>
          <w:sz w:val="18"/>
          <w:szCs w:val="18"/>
        </w:rPr>
      </w:pPr>
      <w:r w:rsidRPr="00313579">
        <w:rPr>
          <w:rFonts w:ascii="Times New Roman" w:hAnsi="Times New Roman"/>
          <w:b/>
          <w:sz w:val="18"/>
          <w:szCs w:val="18"/>
        </w:rPr>
        <w:t>Kata kunci</w:t>
      </w:r>
      <w:r w:rsidRPr="00313579">
        <w:rPr>
          <w:rFonts w:ascii="Times New Roman" w:hAnsi="Times New Roman"/>
          <w:b/>
          <w:bCs/>
          <w:sz w:val="18"/>
          <w:szCs w:val="18"/>
        </w:rPr>
        <w:t>:</w:t>
      </w:r>
      <w:r w:rsidRPr="00313579">
        <w:rPr>
          <w:rFonts w:ascii="Times New Roman" w:hAnsi="Times New Roman"/>
          <w:sz w:val="18"/>
          <w:szCs w:val="18"/>
        </w:rPr>
        <w:t xml:space="preserve"> </w:t>
      </w:r>
      <w:r>
        <w:rPr>
          <w:rFonts w:ascii="Times New Roman" w:hAnsi="Times New Roman"/>
          <w:sz w:val="18"/>
          <w:szCs w:val="18"/>
        </w:rPr>
        <w:t xml:space="preserve"> </w:t>
      </w:r>
      <w:r w:rsidRPr="00313579">
        <w:rPr>
          <w:rFonts w:ascii="Times New Roman" w:hAnsi="Times New Roman"/>
          <w:sz w:val="18"/>
          <w:szCs w:val="18"/>
        </w:rPr>
        <w:t xml:space="preserve">gliserol, natrium klorida, filem boleh dimakan, kitosan, </w:t>
      </w:r>
      <w:r w:rsidRPr="00313579">
        <w:rPr>
          <w:rFonts w:ascii="Times New Roman" w:hAnsi="Times New Roman"/>
          <w:i/>
          <w:iCs/>
          <w:sz w:val="18"/>
          <w:szCs w:val="18"/>
        </w:rPr>
        <w:t>Garcinia atroviridis</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1F179725" w14:textId="77777777" w:rsidR="00637594" w:rsidRDefault="00637594" w:rsidP="002B412F">
      <w:pPr>
        <w:spacing w:after="0"/>
        <w:jc w:val="center"/>
        <w:rPr>
          <w:rFonts w:ascii="Times New Roman" w:hAnsi="Times New Roman"/>
          <w:b/>
          <w:noProof/>
          <w:sz w:val="20"/>
          <w:szCs w:val="20"/>
          <w:lang w:bidi="ar-SA"/>
        </w:rPr>
        <w:sectPr w:rsidR="00637594"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15ACBE92"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FD82A61" w14:textId="77777777" w:rsidR="005F5C74" w:rsidRPr="005F5C74" w:rsidRDefault="005F5C74" w:rsidP="005F5C74">
      <w:pPr>
        <w:spacing w:after="0"/>
        <w:jc w:val="both"/>
        <w:outlineLvl w:val="0"/>
        <w:rPr>
          <w:rFonts w:ascii="Times New Roman" w:hAnsi="Times New Roman"/>
          <w:color w:val="000000" w:themeColor="text1"/>
          <w:sz w:val="20"/>
          <w:szCs w:val="20"/>
        </w:rPr>
      </w:pPr>
      <w:r w:rsidRPr="005F5C74">
        <w:rPr>
          <w:rFonts w:ascii="Times New Roman" w:hAnsi="Times New Roman"/>
          <w:bCs/>
          <w:color w:val="000000" w:themeColor="text1"/>
          <w:sz w:val="20"/>
          <w:szCs w:val="20"/>
        </w:rPr>
        <w:t xml:space="preserve">In Malaysia, chicken meat is one of the most consumed foods. Statistics show the poultry consumption per person in Malaysia was approximately 49 kg in 2019 (https://www.statista.com/statistics/756920/malaysia-meat-consumption-per-capita-by-type/). Chicken meat had a shelf life of 6 days when in refrigerated storage at 4 °C. Common pathogens that were reported in chicken meat are </w:t>
      </w:r>
      <w:r w:rsidRPr="005F5C74">
        <w:rPr>
          <w:rFonts w:ascii="Times New Roman" w:hAnsi="Times New Roman"/>
          <w:bCs/>
          <w:i/>
          <w:iCs/>
          <w:color w:val="000000" w:themeColor="text1"/>
          <w:sz w:val="20"/>
          <w:szCs w:val="20"/>
        </w:rPr>
        <w:t>Campylobacter</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Salmonella</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 xml:space="preserve">Staphylococcus aureus, </w:t>
      </w:r>
      <w:r w:rsidRPr="005F5C74">
        <w:rPr>
          <w:rFonts w:ascii="Times New Roman" w:hAnsi="Times New Roman"/>
          <w:bCs/>
          <w:color w:val="000000" w:themeColor="text1"/>
          <w:sz w:val="20"/>
          <w:szCs w:val="20"/>
        </w:rPr>
        <w:t xml:space="preserve">and </w:t>
      </w:r>
      <w:r w:rsidRPr="005F5C74">
        <w:rPr>
          <w:rFonts w:ascii="Times New Roman" w:hAnsi="Times New Roman"/>
          <w:bCs/>
          <w:i/>
          <w:iCs/>
          <w:color w:val="000000" w:themeColor="text1"/>
          <w:sz w:val="20"/>
          <w:szCs w:val="20"/>
        </w:rPr>
        <w:t>Pseudomonas aeruginosa</w:t>
      </w:r>
      <w:r w:rsidRPr="005F5C74">
        <w:rPr>
          <w:rFonts w:ascii="Times New Roman" w:hAnsi="Times New Roman"/>
          <w:bCs/>
          <w:color w:val="000000" w:themeColor="text1"/>
          <w:sz w:val="20"/>
          <w:szCs w:val="20"/>
        </w:rPr>
        <w:t xml:space="preserve"> [1]. Food packaging was invented to preserve foods from external contamination [2]. Edible packaging is gaining greater interest due to the disadvantages associated with petroleum-based food packaging and how they deplete non-renewable natural resources [3]. This study focuses on consumable films or coatings that are applied onto food products [4]. Edible packaging provides mechanical protection and extends shelf life of foods [5].</w:t>
      </w:r>
      <w:r w:rsidRPr="005F5C74">
        <w:rPr>
          <w:rFonts w:ascii="Times New Roman" w:hAnsi="Times New Roman"/>
          <w:color w:val="000000" w:themeColor="text1"/>
          <w:sz w:val="20"/>
          <w:szCs w:val="20"/>
        </w:rPr>
        <w:t xml:space="preserve"> </w:t>
      </w:r>
    </w:p>
    <w:p w14:paraId="32DEBD81" w14:textId="77777777" w:rsidR="005F5C74" w:rsidRPr="005F5C74" w:rsidRDefault="005F5C74" w:rsidP="005F5C74">
      <w:pPr>
        <w:spacing w:after="0"/>
        <w:jc w:val="both"/>
        <w:outlineLvl w:val="0"/>
        <w:rPr>
          <w:rFonts w:ascii="Times New Roman" w:hAnsi="Times New Roman"/>
          <w:b/>
          <w:bCs/>
          <w:color w:val="000000" w:themeColor="text1"/>
          <w:sz w:val="20"/>
          <w:szCs w:val="20"/>
        </w:rPr>
      </w:pPr>
    </w:p>
    <w:p w14:paraId="2618D7C7" w14:textId="77777777" w:rsidR="005F5C74" w:rsidRPr="005F5C74" w:rsidRDefault="005F5C74" w:rsidP="005F5C74">
      <w:pPr>
        <w:spacing w:after="0"/>
        <w:jc w:val="both"/>
        <w:outlineLvl w:val="0"/>
        <w:rPr>
          <w:rFonts w:ascii="Times New Roman" w:hAnsi="Times New Roman"/>
          <w:b/>
          <w:bCs/>
          <w:color w:val="000000" w:themeColor="text1"/>
          <w:sz w:val="20"/>
          <w:szCs w:val="20"/>
        </w:rPr>
      </w:pPr>
      <w:r w:rsidRPr="005F5C74">
        <w:rPr>
          <w:rFonts w:ascii="Times New Roman" w:hAnsi="Times New Roman"/>
          <w:color w:val="000000" w:themeColor="text1"/>
          <w:sz w:val="20"/>
          <w:szCs w:val="20"/>
        </w:rPr>
        <w:t>Chitosan is widely used to produce edible films because it possesses good antimicrobial and gas barrier properties</w:t>
      </w:r>
      <w:r w:rsidRPr="005F5C74">
        <w:rPr>
          <w:rFonts w:ascii="Times New Roman" w:hAnsi="Times New Roman"/>
          <w:bCs/>
          <w:color w:val="000000" w:themeColor="text1"/>
          <w:sz w:val="20"/>
          <w:szCs w:val="20"/>
        </w:rPr>
        <w:t xml:space="preserve"> that give it a film forming ability [6]. Several researchers have found that chitosan has a proven antibacterial effect towards gram-positive and gram-negative bacteria [7-8]. The incorporation of 20% (v/v) </w:t>
      </w:r>
      <w:r w:rsidRPr="005F5C74">
        <w:rPr>
          <w:rFonts w:ascii="Times New Roman" w:hAnsi="Times New Roman"/>
          <w:bCs/>
          <w:i/>
          <w:iCs/>
          <w:color w:val="000000" w:themeColor="text1"/>
          <w:sz w:val="20"/>
          <w:szCs w:val="20"/>
        </w:rPr>
        <w:t>Piper nigrum</w:t>
      </w:r>
      <w:r w:rsidRPr="005F5C74">
        <w:rPr>
          <w:rFonts w:ascii="Times New Roman" w:hAnsi="Times New Roman"/>
          <w:bCs/>
          <w:color w:val="000000" w:themeColor="text1"/>
          <w:sz w:val="20"/>
          <w:szCs w:val="20"/>
        </w:rPr>
        <w:t xml:space="preserve"> leaf extract increased the inhibition zone of chitosan and polyvinyl alcohol blended films against</w:t>
      </w:r>
      <w:r w:rsidRPr="005F5C74">
        <w:rPr>
          <w:rFonts w:ascii="Times New Roman" w:hAnsi="Times New Roman"/>
          <w:color w:val="000000" w:themeColor="text1"/>
          <w:sz w:val="20"/>
          <w:szCs w:val="20"/>
        </w:rPr>
        <w:t xml:space="preserve"> </w:t>
      </w:r>
      <w:r w:rsidRPr="005F5C74">
        <w:rPr>
          <w:rFonts w:ascii="Times New Roman" w:hAnsi="Times New Roman"/>
          <w:bCs/>
          <w:i/>
          <w:iCs/>
          <w:color w:val="000000" w:themeColor="text1"/>
          <w:sz w:val="20"/>
          <w:szCs w:val="20"/>
        </w:rPr>
        <w:t xml:space="preserve">Escherichia coli </w:t>
      </w:r>
      <w:r w:rsidRPr="005F5C74">
        <w:rPr>
          <w:rFonts w:ascii="Times New Roman" w:hAnsi="Times New Roman"/>
          <w:bCs/>
          <w:color w:val="000000" w:themeColor="text1"/>
          <w:sz w:val="20"/>
          <w:szCs w:val="20"/>
        </w:rPr>
        <w:t xml:space="preserve">[9]. On the other hand, </w:t>
      </w:r>
      <w:r w:rsidRPr="005F5C74">
        <w:rPr>
          <w:rFonts w:ascii="Times New Roman" w:hAnsi="Times New Roman"/>
          <w:color w:val="000000" w:themeColor="text1"/>
          <w:sz w:val="20"/>
          <w:szCs w:val="20"/>
        </w:rPr>
        <w:t xml:space="preserve">chitosan film incorporated with grape seed extract extended the shelf life of chicken breast fillets and inhibited lipid oxidation [10]. Additionally, chitosan film incorporated with cinnamon oil inhibited lipid oxidation and reduced microbial growth on chicken breast fillets [11]. </w:t>
      </w:r>
    </w:p>
    <w:p w14:paraId="221AC5EF" w14:textId="77777777" w:rsidR="005F5C74" w:rsidRPr="005F5C74" w:rsidRDefault="005F5C74" w:rsidP="005F5C74">
      <w:pPr>
        <w:spacing w:after="0"/>
        <w:jc w:val="both"/>
        <w:outlineLvl w:val="0"/>
        <w:rPr>
          <w:rFonts w:ascii="Times New Roman" w:hAnsi="Times New Roman"/>
          <w:b/>
          <w:bCs/>
          <w:color w:val="000000" w:themeColor="text1"/>
          <w:sz w:val="20"/>
          <w:szCs w:val="20"/>
        </w:rPr>
      </w:pPr>
      <w:r w:rsidRPr="005F5C74">
        <w:rPr>
          <w:rFonts w:ascii="Times New Roman" w:hAnsi="Times New Roman"/>
          <w:color w:val="000000" w:themeColor="text1"/>
          <w:sz w:val="20"/>
          <w:szCs w:val="20"/>
        </w:rPr>
        <w:t xml:space="preserve"> </w:t>
      </w:r>
    </w:p>
    <w:p w14:paraId="78283717" w14:textId="77777777" w:rsidR="005F5C74" w:rsidRPr="005F5C74" w:rsidRDefault="005F5C74" w:rsidP="005F5C74">
      <w:pPr>
        <w:spacing w:after="0"/>
        <w:jc w:val="both"/>
        <w:outlineLvl w:val="0"/>
        <w:rPr>
          <w:rFonts w:ascii="Times New Roman" w:eastAsia="Calibri" w:hAnsi="Times New Roman"/>
          <w:bCs/>
          <w:color w:val="000000" w:themeColor="text1"/>
          <w:sz w:val="20"/>
          <w:szCs w:val="20"/>
        </w:rPr>
      </w:pP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 xml:space="preserve">is known as </w:t>
      </w:r>
      <w:r w:rsidRPr="005F5C74">
        <w:rPr>
          <w:rFonts w:ascii="Times New Roman" w:hAnsi="Times New Roman"/>
          <w:bCs/>
          <w:i/>
          <w:iCs/>
          <w:color w:val="000000" w:themeColor="text1"/>
          <w:sz w:val="20"/>
          <w:szCs w:val="20"/>
        </w:rPr>
        <w:t>‘</w:t>
      </w:r>
      <w:r w:rsidRPr="005F5C74">
        <w:rPr>
          <w:rFonts w:ascii="Times New Roman" w:hAnsi="Times New Roman"/>
          <w:bCs/>
          <w:color w:val="000000" w:themeColor="text1"/>
          <w:sz w:val="20"/>
          <w:szCs w:val="20"/>
        </w:rPr>
        <w:t>asam keping</w:t>
      </w:r>
      <w:r w:rsidRPr="005F5C74">
        <w:rPr>
          <w:rFonts w:ascii="Times New Roman" w:hAnsi="Times New Roman"/>
          <w:bCs/>
          <w:i/>
          <w:iCs/>
          <w:color w:val="000000" w:themeColor="text1"/>
          <w:sz w:val="20"/>
          <w:szCs w:val="20"/>
        </w:rPr>
        <w:t xml:space="preserve">’ </w:t>
      </w:r>
      <w:r w:rsidRPr="005F5C74">
        <w:rPr>
          <w:rFonts w:ascii="Times New Roman" w:hAnsi="Times New Roman"/>
          <w:bCs/>
          <w:color w:val="000000" w:themeColor="text1"/>
          <w:sz w:val="20"/>
          <w:szCs w:val="20"/>
        </w:rPr>
        <w:t xml:space="preserve">or ‘asam gelugur’. It is commonly used to make pickles, in tea, and as a seasoning in curries. Al-Mansoub et al. [12] found that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 xml:space="preserve">extract had antioxidant, antimicrobial, and antitumor-promoting properties. </w:t>
      </w:r>
      <w:r w:rsidRPr="005F5C74">
        <w:rPr>
          <w:rFonts w:ascii="Times New Roman" w:hAnsi="Times New Roman"/>
          <w:bCs/>
          <w:color w:val="000000" w:themeColor="text1"/>
          <w:sz w:val="20"/>
          <w:szCs w:val="20"/>
        </w:rPr>
        <w:t xml:space="preserve">According to Basri et al. [13], </w:t>
      </w:r>
      <w:r w:rsidRPr="005F5C74">
        <w:rPr>
          <w:rFonts w:ascii="Times New Roman" w:hAnsi="Times New Roman"/>
          <w:bCs/>
          <w:i/>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extracts inhibited gram-positive bacteria (</w:t>
      </w:r>
      <w:r w:rsidRPr="005F5C74">
        <w:rPr>
          <w:rFonts w:ascii="Times New Roman" w:hAnsi="Times New Roman"/>
          <w:bCs/>
          <w:i/>
          <w:iCs/>
          <w:color w:val="000000" w:themeColor="text1"/>
          <w:sz w:val="20"/>
          <w:szCs w:val="20"/>
        </w:rPr>
        <w:t>Staphylococcus aureus</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Staphylococcus epidermis, Bacillus subtilis</w:t>
      </w:r>
      <w:r w:rsidRPr="005F5C74">
        <w:rPr>
          <w:rFonts w:ascii="Times New Roman" w:hAnsi="Times New Roman"/>
          <w:bCs/>
          <w:color w:val="000000" w:themeColor="text1"/>
          <w:sz w:val="20"/>
          <w:szCs w:val="20"/>
        </w:rPr>
        <w:t>) and gram-negative bacteria (</w:t>
      </w:r>
      <w:r w:rsidRPr="005F5C74">
        <w:rPr>
          <w:rFonts w:ascii="Times New Roman" w:hAnsi="Times New Roman"/>
          <w:bCs/>
          <w:i/>
          <w:iCs/>
          <w:color w:val="000000" w:themeColor="text1"/>
          <w:sz w:val="20"/>
          <w:szCs w:val="20"/>
        </w:rPr>
        <w:t>Salmonella enterica,</w:t>
      </w:r>
      <w:r w:rsidRPr="005F5C74">
        <w:rPr>
          <w:rFonts w:ascii="Times New Roman" w:hAnsi="Times New Roman"/>
          <w:i/>
          <w:iCs/>
          <w:color w:val="000000" w:themeColor="text1"/>
          <w:sz w:val="20"/>
          <w:szCs w:val="20"/>
        </w:rPr>
        <w:t xml:space="preserve"> </w:t>
      </w:r>
      <w:r w:rsidRPr="005F5C74">
        <w:rPr>
          <w:rFonts w:ascii="Times New Roman" w:hAnsi="Times New Roman"/>
          <w:bCs/>
          <w:i/>
          <w:iCs/>
          <w:color w:val="000000" w:themeColor="text1"/>
          <w:sz w:val="20"/>
          <w:szCs w:val="20"/>
        </w:rPr>
        <w:t>Salmonella typhimurium, Escherichia coli</w:t>
      </w:r>
      <w:r w:rsidRPr="005F5C74">
        <w:rPr>
          <w:rFonts w:ascii="Times New Roman" w:hAnsi="Times New Roman"/>
          <w:bCs/>
          <w:color w:val="000000" w:themeColor="text1"/>
          <w:sz w:val="20"/>
          <w:szCs w:val="20"/>
        </w:rPr>
        <w:t xml:space="preserve"> and </w:t>
      </w:r>
      <w:r w:rsidRPr="005F5C74">
        <w:rPr>
          <w:rFonts w:ascii="Times New Roman" w:eastAsia="Calibri" w:hAnsi="Times New Roman"/>
          <w:bCs/>
          <w:i/>
          <w:iCs/>
          <w:color w:val="000000" w:themeColor="text1"/>
          <w:sz w:val="20"/>
          <w:szCs w:val="20"/>
        </w:rPr>
        <w:t>Pseudomonas aeruginosa</w:t>
      </w:r>
      <w:r w:rsidRPr="005F5C74">
        <w:rPr>
          <w:rFonts w:ascii="Times New Roman" w:eastAsia="Calibri" w:hAnsi="Times New Roman"/>
          <w:bCs/>
          <w:color w:val="000000" w:themeColor="text1"/>
          <w:sz w:val="20"/>
          <w:szCs w:val="20"/>
        </w:rPr>
        <w:t>).</w:t>
      </w:r>
      <w:r w:rsidRPr="005F5C74">
        <w:rPr>
          <w:rFonts w:ascii="Times New Roman" w:hAnsi="Times New Roman"/>
          <w:bCs/>
          <w:color w:val="000000" w:themeColor="text1"/>
          <w:sz w:val="20"/>
          <w:szCs w:val="20"/>
        </w:rPr>
        <w:t xml:space="preserve"> </w:t>
      </w:r>
      <w:r w:rsidRPr="005F5C74">
        <w:rPr>
          <w:rFonts w:ascii="Times New Roman" w:eastAsia="Calibri" w:hAnsi="Times New Roman"/>
          <w:bCs/>
          <w:color w:val="000000" w:themeColor="text1"/>
          <w:sz w:val="20"/>
          <w:szCs w:val="20"/>
        </w:rPr>
        <w:t xml:space="preserve">Chitosan film incorporated with </w:t>
      </w:r>
      <w:r w:rsidRPr="005F5C74">
        <w:rPr>
          <w:rFonts w:ascii="Times New Roman" w:hAnsi="Times New Roman"/>
          <w:bCs/>
          <w:i/>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eastAsia="Calibri" w:hAnsi="Times New Roman"/>
          <w:bCs/>
          <w:color w:val="000000" w:themeColor="text1"/>
          <w:sz w:val="20"/>
          <w:szCs w:val="20"/>
        </w:rPr>
        <w:t xml:space="preserve">extracts showed promising characteristics for use as food packaging </w:t>
      </w:r>
      <w:r w:rsidRPr="005F5C74">
        <w:rPr>
          <w:rFonts w:ascii="Times New Roman" w:hAnsi="Times New Roman"/>
          <w:bCs/>
          <w:color w:val="000000" w:themeColor="text1"/>
          <w:sz w:val="20"/>
          <w:szCs w:val="20"/>
        </w:rPr>
        <w:t>[6]</w:t>
      </w:r>
      <w:r w:rsidRPr="005F5C74">
        <w:rPr>
          <w:rFonts w:ascii="Times New Roman" w:eastAsia="Calibri" w:hAnsi="Times New Roman"/>
          <w:bCs/>
          <w:color w:val="000000" w:themeColor="text1"/>
          <w:sz w:val="20"/>
          <w:szCs w:val="20"/>
        </w:rPr>
        <w:t xml:space="preserve">. From their study, it was found that the film increased the shelf life of Indian mackerel during storage and inhibited the microbial growth of </w:t>
      </w:r>
      <w:r w:rsidRPr="005F5C74">
        <w:rPr>
          <w:rFonts w:ascii="Times New Roman" w:eastAsia="Calibri" w:hAnsi="Times New Roman"/>
          <w:bCs/>
          <w:i/>
          <w:iCs/>
          <w:color w:val="000000" w:themeColor="text1"/>
          <w:sz w:val="20"/>
          <w:szCs w:val="20"/>
        </w:rPr>
        <w:t>Pseudomonas aeruginosa</w:t>
      </w:r>
      <w:r w:rsidRPr="005F5C74">
        <w:rPr>
          <w:rFonts w:ascii="Times New Roman" w:eastAsia="Calibri" w:hAnsi="Times New Roman"/>
          <w:bCs/>
          <w:color w:val="000000" w:themeColor="text1"/>
          <w:sz w:val="20"/>
          <w:szCs w:val="20"/>
        </w:rPr>
        <w:t>, </w:t>
      </w:r>
      <w:r w:rsidRPr="005F5C74">
        <w:rPr>
          <w:rFonts w:ascii="Times New Roman" w:eastAsia="Calibri" w:hAnsi="Times New Roman"/>
          <w:bCs/>
          <w:i/>
          <w:iCs/>
          <w:color w:val="000000" w:themeColor="text1"/>
          <w:sz w:val="20"/>
          <w:szCs w:val="20"/>
        </w:rPr>
        <w:t>Bacillus subtilis,</w:t>
      </w:r>
      <w:r w:rsidRPr="005F5C74">
        <w:rPr>
          <w:rFonts w:ascii="Times New Roman" w:eastAsia="Calibri" w:hAnsi="Times New Roman"/>
          <w:bCs/>
          <w:color w:val="000000" w:themeColor="text1"/>
          <w:sz w:val="20"/>
          <w:szCs w:val="20"/>
        </w:rPr>
        <w:t xml:space="preserve"> and </w:t>
      </w:r>
      <w:r w:rsidRPr="005F5C74">
        <w:rPr>
          <w:rFonts w:ascii="Times New Roman" w:eastAsia="Calibri" w:hAnsi="Times New Roman"/>
          <w:bCs/>
          <w:i/>
          <w:iCs/>
          <w:color w:val="000000" w:themeColor="text1"/>
          <w:sz w:val="20"/>
          <w:szCs w:val="20"/>
        </w:rPr>
        <w:t>Staphylococcus aureus</w:t>
      </w:r>
      <w:r w:rsidRPr="005F5C74">
        <w:rPr>
          <w:rFonts w:ascii="Times New Roman" w:eastAsia="Calibri" w:hAnsi="Times New Roman"/>
          <w:bCs/>
          <w:color w:val="000000" w:themeColor="text1"/>
          <w:sz w:val="20"/>
          <w:szCs w:val="20"/>
        </w:rPr>
        <w:t xml:space="preserve">. However, the tensile strength and elongation at the break of film were low.  </w:t>
      </w:r>
    </w:p>
    <w:p w14:paraId="39D66252" w14:textId="77777777" w:rsidR="005F5C74" w:rsidRPr="005F5C74" w:rsidRDefault="005F5C74" w:rsidP="005F5C74">
      <w:pPr>
        <w:spacing w:after="0"/>
        <w:jc w:val="both"/>
        <w:outlineLvl w:val="0"/>
        <w:rPr>
          <w:rFonts w:ascii="Times New Roman" w:eastAsia="Calibri" w:hAnsi="Times New Roman"/>
          <w:bCs/>
          <w:color w:val="000000" w:themeColor="text1"/>
          <w:sz w:val="20"/>
          <w:szCs w:val="20"/>
        </w:rPr>
      </w:pPr>
    </w:p>
    <w:p w14:paraId="7086AC18" w14:textId="77777777" w:rsidR="005F5C74" w:rsidRPr="005F5C74" w:rsidRDefault="005F5C74" w:rsidP="005F5C74">
      <w:pPr>
        <w:spacing w:after="0"/>
        <w:jc w:val="both"/>
        <w:outlineLvl w:val="0"/>
        <w:rPr>
          <w:rFonts w:ascii="Times New Roman" w:eastAsia="Calibri" w:hAnsi="Times New Roman"/>
          <w:bCs/>
          <w:color w:val="000000" w:themeColor="text1"/>
          <w:sz w:val="20"/>
          <w:szCs w:val="20"/>
        </w:rPr>
      </w:pPr>
      <w:r w:rsidRPr="005F5C74">
        <w:rPr>
          <w:rFonts w:ascii="Times New Roman" w:eastAsia="Calibri" w:hAnsi="Times New Roman"/>
          <w:bCs/>
          <w:color w:val="000000" w:themeColor="text1"/>
          <w:sz w:val="20"/>
          <w:szCs w:val="20"/>
        </w:rPr>
        <w:t>The mechanical properties of packaging materials are important to ensure product safety and security until it reaches the consumer. Glycerol improves the elongation at the break of edible film [14, 15]. Another study, Choi et al. [16] reported that addition of NaCl increased the elongation at break of pea starch films by adjusting formation and strength of intermolecular hydrogen bonds of starch molecules. Further, increasing the NaCl concentration enhanced the hydration effect of chitosan films. More hydrated chloride ions impeded the hydrophobic interactions between chitosan molecules and disrupted hydrogen bonding on the chitosan film [17].</w:t>
      </w:r>
    </w:p>
    <w:p w14:paraId="7984F96B" w14:textId="77777777" w:rsidR="005F5C74" w:rsidRPr="005F5C74" w:rsidRDefault="005F5C74" w:rsidP="005F5C74">
      <w:pPr>
        <w:spacing w:after="0"/>
        <w:jc w:val="both"/>
        <w:outlineLvl w:val="0"/>
        <w:rPr>
          <w:rFonts w:ascii="Times New Roman" w:hAnsi="Times New Roman"/>
          <w:bCs/>
          <w:color w:val="000000" w:themeColor="text1"/>
          <w:sz w:val="20"/>
          <w:szCs w:val="20"/>
        </w:rPr>
      </w:pPr>
    </w:p>
    <w:p w14:paraId="7D6182DE" w14:textId="77777777" w:rsidR="005F5C74" w:rsidRPr="005F5C74" w:rsidRDefault="005F5C74" w:rsidP="005F5C74">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Since studies on enhancing the mechanical properties of chitosan film incorporated with </w:t>
      </w:r>
      <w:r w:rsidRPr="005F5C74">
        <w:rPr>
          <w:rFonts w:ascii="Times New Roman" w:hAnsi="Times New Roman"/>
          <w:bCs/>
          <w:i/>
          <w:color w:val="000000" w:themeColor="text1"/>
          <w:sz w:val="20"/>
          <w:szCs w:val="20"/>
        </w:rPr>
        <w:t xml:space="preserve">Garcinia atroviridis </w:t>
      </w:r>
      <w:r w:rsidRPr="005F5C74">
        <w:rPr>
          <w:rFonts w:ascii="Times New Roman" w:hAnsi="Times New Roman"/>
          <w:bCs/>
          <w:color w:val="000000" w:themeColor="text1"/>
          <w:sz w:val="20"/>
          <w:szCs w:val="20"/>
        </w:rPr>
        <w:t xml:space="preserve">are scarce, the study of </w:t>
      </w:r>
      <w:r w:rsidRPr="005F5C74">
        <w:rPr>
          <w:rFonts w:ascii="Times New Roman" w:hAnsi="Times New Roman"/>
          <w:bCs/>
          <w:iCs/>
          <w:color w:val="000000" w:themeColor="text1"/>
          <w:sz w:val="20"/>
          <w:szCs w:val="20"/>
        </w:rPr>
        <w:t>addition levels</w:t>
      </w:r>
      <w:r w:rsidRPr="005F5C74">
        <w:rPr>
          <w:rFonts w:ascii="Times New Roman" w:hAnsi="Times New Roman"/>
          <w:bCs/>
          <w:color w:val="000000" w:themeColor="text1"/>
          <w:sz w:val="20"/>
          <w:szCs w:val="20"/>
        </w:rPr>
        <w:t xml:space="preserve"> of glycerol and NaCl on chitosan films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can provide further insights into the application of film for chicken meat. This research evaluates the effects of physical, mechanical, and antimicrobial analysis of chitosan film incorporated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by optimizing the </w:t>
      </w:r>
      <w:r w:rsidRPr="005F5C74">
        <w:rPr>
          <w:rFonts w:ascii="Times New Roman" w:hAnsi="Times New Roman"/>
          <w:bCs/>
          <w:iCs/>
          <w:color w:val="000000" w:themeColor="text1"/>
          <w:sz w:val="20"/>
          <w:szCs w:val="20"/>
        </w:rPr>
        <w:t>additional levels</w:t>
      </w:r>
      <w:r w:rsidRPr="005F5C74">
        <w:rPr>
          <w:rFonts w:ascii="Times New Roman" w:hAnsi="Times New Roman"/>
          <w:bCs/>
          <w:color w:val="000000" w:themeColor="text1"/>
          <w:sz w:val="20"/>
          <w:szCs w:val="20"/>
        </w:rPr>
        <w:t xml:space="preserve"> of glycerol and NaCl. The optimized film shall be applied to chicken meat for storage tests. The chicken meat slices will be wrapped </w:t>
      </w:r>
      <w:r w:rsidRPr="005F5C74">
        <w:rPr>
          <w:rFonts w:ascii="Times New Roman" w:hAnsi="Times New Roman"/>
          <w:bCs/>
          <w:color w:val="000000" w:themeColor="text1"/>
          <w:sz w:val="20"/>
          <w:szCs w:val="20"/>
        </w:rPr>
        <w:lastRenderedPageBreak/>
        <w:t xml:space="preserve">with the optimized chitosan film incorporated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and stored in a chiller at 4 °C for 15 days for further analysis. </w:t>
      </w:r>
    </w:p>
    <w:p w14:paraId="20E66860" w14:textId="77777777" w:rsidR="005F5C74" w:rsidRPr="005F5C74" w:rsidRDefault="005F5C74" w:rsidP="005F5C74">
      <w:pPr>
        <w:spacing w:after="0"/>
        <w:jc w:val="center"/>
        <w:outlineLvl w:val="0"/>
        <w:rPr>
          <w:rFonts w:ascii="Times New Roman" w:hAnsi="Times New Roman"/>
          <w:sz w:val="20"/>
          <w:szCs w:val="20"/>
          <w:lang w:val="en-MY"/>
        </w:rPr>
      </w:pPr>
    </w:p>
    <w:p w14:paraId="423EE9BD" w14:textId="77777777" w:rsidR="005F5C74" w:rsidRPr="005F5C74" w:rsidRDefault="005F5C74" w:rsidP="005F5C74">
      <w:pPr>
        <w:spacing w:after="0"/>
        <w:jc w:val="center"/>
        <w:outlineLvl w:val="0"/>
        <w:rPr>
          <w:rFonts w:ascii="Times New Roman" w:hAnsi="Times New Roman"/>
          <w:b/>
          <w:sz w:val="20"/>
          <w:szCs w:val="20"/>
        </w:rPr>
      </w:pPr>
      <w:r w:rsidRPr="005F5C74">
        <w:rPr>
          <w:rFonts w:ascii="Times New Roman" w:hAnsi="Times New Roman"/>
          <w:b/>
          <w:sz w:val="20"/>
          <w:szCs w:val="20"/>
        </w:rPr>
        <w:t>Materials and Methods</w:t>
      </w:r>
    </w:p>
    <w:p w14:paraId="0299E0B7" w14:textId="77777777" w:rsidR="005F5C74" w:rsidRPr="005F5C74" w:rsidRDefault="005F5C74" w:rsidP="005F5C74">
      <w:pPr>
        <w:spacing w:after="0"/>
        <w:jc w:val="both"/>
        <w:outlineLvl w:val="0"/>
        <w:rPr>
          <w:rFonts w:ascii="Times New Roman" w:hAnsi="Times New Roman"/>
          <w:b/>
          <w:sz w:val="20"/>
          <w:szCs w:val="20"/>
        </w:rPr>
      </w:pPr>
      <w:r w:rsidRPr="005F5C74">
        <w:rPr>
          <w:rFonts w:ascii="Times New Roman" w:hAnsi="Times New Roman"/>
          <w:b/>
          <w:sz w:val="20"/>
          <w:szCs w:val="20"/>
        </w:rPr>
        <w:t>Materials</w:t>
      </w:r>
    </w:p>
    <w:p w14:paraId="644E72EB" w14:textId="77777777" w:rsidR="005F5C74" w:rsidRPr="005F5C74" w:rsidRDefault="005F5C74" w:rsidP="005F5C74">
      <w:pPr>
        <w:spacing w:after="0"/>
        <w:jc w:val="both"/>
        <w:rPr>
          <w:rFonts w:ascii="Times New Roman" w:hAnsi="Times New Roman"/>
          <w:sz w:val="20"/>
          <w:szCs w:val="20"/>
        </w:rPr>
      </w:pPr>
      <w:r w:rsidRPr="005F5C74">
        <w:rPr>
          <w:rFonts w:ascii="Times New Roman" w:hAnsi="Times New Roman"/>
          <w:sz w:val="20"/>
          <w:szCs w:val="20"/>
        </w:rPr>
        <w:t>Garcinia atroviridis and chicken breast meat (Gallus gallus domesticus) were purchased from a local market (Petaling Jaya, Malaysia). Chitosan analytical grade, glycerol (≥99.5%), and sodium chloride analytical grade were purchased from Sigma-Aldrich (M) Sdn Bhd, Petaling Jaya, Malaysia. Glacial acetic acid (≥99.99%) and Tween-80 analytical grade were purchased from LGC Scientific Sdn Bhd, Malaysia. Ethanol (≥99.8%) (Synertec Enterprise Sdn Bhd, Malaysia), barium chloride (≥99.99%) (Sigma Aldrich, USA), and sulphuric acid (≥96%) (Fisher Scientific, Malaysia), Mueller-Hinton agar (Synertec Enterprise Sdn Bhd, Malaysia), plate count agar (Chemolab, Malaysia), peptone water (Synertec Enterprise Sdn Bhd, Malaysia), stomacher bags (LGC Scientific Sdn Bhd, Malaysia), and petri dishes (90 mm × 15 mm) (Synertec Enterprise Sdn Bhd, Malaysia) were purchased.</w:t>
      </w:r>
    </w:p>
    <w:p w14:paraId="309B822F" w14:textId="77777777" w:rsidR="005F5C74" w:rsidRPr="005F5C74" w:rsidRDefault="005F5C74" w:rsidP="005F5C74">
      <w:pPr>
        <w:spacing w:after="0"/>
        <w:jc w:val="both"/>
        <w:outlineLvl w:val="0"/>
        <w:rPr>
          <w:rFonts w:ascii="Times New Roman" w:hAnsi="Times New Roman"/>
          <w:sz w:val="20"/>
          <w:szCs w:val="20"/>
        </w:rPr>
      </w:pPr>
    </w:p>
    <w:p w14:paraId="58DE0343" w14:textId="77777777" w:rsidR="005F5C74" w:rsidRPr="005F5C74" w:rsidRDefault="005F5C74" w:rsidP="005F5C74">
      <w:pPr>
        <w:spacing w:after="0"/>
        <w:jc w:val="both"/>
        <w:outlineLvl w:val="0"/>
        <w:rPr>
          <w:rFonts w:ascii="Times New Roman" w:hAnsi="Times New Roman"/>
          <w:b/>
          <w:sz w:val="20"/>
          <w:szCs w:val="20"/>
        </w:rPr>
      </w:pPr>
      <w:r w:rsidRPr="005F5C74">
        <w:rPr>
          <w:rFonts w:ascii="Times New Roman" w:hAnsi="Times New Roman"/>
          <w:b/>
          <w:sz w:val="20"/>
          <w:szCs w:val="20"/>
        </w:rPr>
        <w:t xml:space="preserve">Preparation of </w:t>
      </w:r>
      <w:r w:rsidRPr="005F5C74">
        <w:rPr>
          <w:rFonts w:ascii="Times New Roman" w:hAnsi="Times New Roman"/>
          <w:b/>
          <w:i/>
          <w:iCs/>
          <w:sz w:val="20"/>
          <w:szCs w:val="20"/>
        </w:rPr>
        <w:t>Garcinia atroviridis</w:t>
      </w:r>
      <w:r w:rsidRPr="005F5C74">
        <w:rPr>
          <w:rFonts w:ascii="Times New Roman" w:hAnsi="Times New Roman"/>
          <w:b/>
          <w:sz w:val="20"/>
          <w:szCs w:val="20"/>
        </w:rPr>
        <w:t xml:space="preserve"> extracts </w:t>
      </w:r>
    </w:p>
    <w:p w14:paraId="58301866" w14:textId="77777777" w:rsidR="005F5C74" w:rsidRPr="005F5C74" w:rsidRDefault="005F5C74" w:rsidP="005F5C74">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The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was cut into smaller pieces and dried in an oven (1350 FX, Sheldon Manufacturing, Oregon, USA) overnight at 60 °C. After drying, it was ground into powder with a grinder (8011G, Waring, USA) to increase the total surface area of the </w:t>
      </w:r>
      <w:r w:rsidRPr="005F5C74">
        <w:rPr>
          <w:rFonts w:ascii="Times New Roman" w:hAnsi="Times New Roman"/>
          <w:bCs/>
          <w:i/>
          <w:iCs/>
          <w:color w:val="000000" w:themeColor="text1"/>
          <w:sz w:val="20"/>
          <w:szCs w:val="20"/>
        </w:rPr>
        <w:t>Garcinia Atrovidis</w:t>
      </w:r>
      <w:r w:rsidRPr="005F5C74">
        <w:rPr>
          <w:rFonts w:ascii="Times New Roman" w:hAnsi="Times New Roman"/>
          <w:bCs/>
          <w:color w:val="000000" w:themeColor="text1"/>
          <w:sz w:val="20"/>
          <w:szCs w:val="20"/>
        </w:rPr>
        <w:t xml:space="preserve"> to obtain a higher yield during extraction. The powder was then placed into a sealed pack and kept in a chiller at 4 °C for further analysis. </w:t>
      </w:r>
    </w:p>
    <w:p w14:paraId="4824F2F2" w14:textId="77777777" w:rsidR="005F5C74" w:rsidRPr="005F5C74" w:rsidRDefault="005F5C74" w:rsidP="005F5C74">
      <w:pPr>
        <w:spacing w:after="0"/>
        <w:jc w:val="both"/>
        <w:outlineLvl w:val="0"/>
        <w:rPr>
          <w:rFonts w:ascii="Times New Roman" w:hAnsi="Times New Roman"/>
          <w:bCs/>
          <w:color w:val="000000" w:themeColor="text1"/>
          <w:sz w:val="20"/>
          <w:szCs w:val="20"/>
        </w:rPr>
      </w:pPr>
    </w:p>
    <w:p w14:paraId="4C890B59" w14:textId="77777777" w:rsidR="005F5C74" w:rsidRPr="005F5C74" w:rsidRDefault="005F5C74" w:rsidP="005F5C74">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The extraction was conducted as previously described by Zaman et al. [6] in which 80 g of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powder was added to 800 mL of 99.8% (v/v) ethanol in a 1 L beaker. The mixture was then mixed for 24 hours with a magnetic stirrer (MS-H280-Pro, DLAB Scientific, Beijing, China) at 1500 rpm at room temperature. After 24 hours, a vacuum filter (WP6222050, Milipore, MA, USA) and filter paper (Whatman No. 3, Thermoline, NSW, Australia) were used to filter out the residue in the mixture. The filtrate then underwent evaporation using a rotary evaporator (R-000, BÜCHI, Flawil, Switzerland) at 60 °C under </w:t>
      </w:r>
      <w:r w:rsidRPr="005F5C74">
        <w:rPr>
          <w:rFonts w:ascii="Times New Roman" w:hAnsi="Times New Roman"/>
          <w:bCs/>
          <w:color w:val="000000" w:themeColor="text1"/>
          <w:sz w:val="20"/>
          <w:szCs w:val="20"/>
        </w:rPr>
        <w:t xml:space="preserve">vacuum condition and the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extracts were poured into a universal bottle and kept at 4 °C until future use.</w:t>
      </w:r>
    </w:p>
    <w:p w14:paraId="40854294" w14:textId="77777777" w:rsidR="005F5C74" w:rsidRPr="005F5C74" w:rsidRDefault="005F5C74" w:rsidP="005F5C74">
      <w:pPr>
        <w:spacing w:after="0"/>
        <w:jc w:val="both"/>
        <w:outlineLvl w:val="0"/>
        <w:rPr>
          <w:rFonts w:ascii="Times New Roman" w:hAnsi="Times New Roman"/>
          <w:sz w:val="20"/>
          <w:szCs w:val="20"/>
        </w:rPr>
      </w:pPr>
    </w:p>
    <w:p w14:paraId="5357FB29" w14:textId="77777777" w:rsidR="005F5C74" w:rsidRPr="005F5C74" w:rsidRDefault="005F5C74" w:rsidP="005F5C74">
      <w:pPr>
        <w:spacing w:after="0"/>
        <w:jc w:val="both"/>
        <w:outlineLvl w:val="0"/>
        <w:rPr>
          <w:rFonts w:ascii="Times New Roman" w:hAnsi="Times New Roman"/>
          <w:b/>
          <w:sz w:val="20"/>
          <w:szCs w:val="20"/>
        </w:rPr>
      </w:pPr>
      <w:r w:rsidRPr="005F5C74">
        <w:rPr>
          <w:rFonts w:ascii="Times New Roman" w:hAnsi="Times New Roman"/>
          <w:b/>
          <w:sz w:val="20"/>
          <w:szCs w:val="20"/>
        </w:rPr>
        <w:t>Preparation of film</w:t>
      </w:r>
    </w:p>
    <w:p w14:paraId="714B341A" w14:textId="77777777" w:rsidR="005F5C74" w:rsidRPr="005F5C74" w:rsidRDefault="005F5C74" w:rsidP="005F5C74">
      <w:pPr>
        <w:spacing w:after="0"/>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Film formation was conducted following the casting procedure of </w:t>
      </w:r>
      <w:r w:rsidRPr="005F5C74">
        <w:rPr>
          <w:rFonts w:ascii="Times New Roman" w:hAnsi="Times New Roman"/>
          <w:bCs/>
          <w:color w:val="000000" w:themeColor="text1"/>
          <w:sz w:val="20"/>
          <w:szCs w:val="20"/>
        </w:rPr>
        <w:t xml:space="preserve">Zaman et al. [6]. </w:t>
      </w:r>
      <w:r w:rsidRPr="005F5C74">
        <w:rPr>
          <w:rFonts w:ascii="Times New Roman" w:hAnsi="Times New Roman"/>
          <w:color w:val="000000" w:themeColor="text1"/>
          <w:sz w:val="20"/>
          <w:szCs w:val="20"/>
        </w:rPr>
        <w:t xml:space="preserve">To prepare the film solution, 1.5 g of chitosan (CH) powder was added in 100 mL of 1% </w:t>
      </w:r>
      <w:r w:rsidRPr="005F5C74">
        <w:rPr>
          <w:rFonts w:ascii="Times New Roman" w:hAnsi="Times New Roman"/>
          <w:bCs/>
          <w:color w:val="000000" w:themeColor="text1"/>
          <w:sz w:val="20"/>
          <w:szCs w:val="20"/>
        </w:rPr>
        <w:t xml:space="preserve">(v/v) </w:t>
      </w:r>
      <w:r w:rsidRPr="005F5C74">
        <w:rPr>
          <w:rFonts w:ascii="Times New Roman" w:hAnsi="Times New Roman"/>
          <w:color w:val="000000" w:themeColor="text1"/>
          <w:sz w:val="20"/>
          <w:szCs w:val="20"/>
        </w:rPr>
        <w:t xml:space="preserve">acetic acid to form (1.5%, w/v) CH solution. The CH solution was magnetically stirred for 24 h at room temperature. It was then filtered using a vacuum filter with filter paper to filter out insoluble residue. </w:t>
      </w:r>
    </w:p>
    <w:p w14:paraId="6D1AABF9" w14:textId="77777777" w:rsidR="005F5C74" w:rsidRPr="005F5C74" w:rsidRDefault="005F5C74" w:rsidP="005F5C74">
      <w:pPr>
        <w:spacing w:after="0"/>
        <w:jc w:val="both"/>
        <w:rPr>
          <w:rFonts w:ascii="Times New Roman" w:hAnsi="Times New Roman"/>
          <w:color w:val="000000" w:themeColor="text1"/>
          <w:sz w:val="20"/>
          <w:szCs w:val="20"/>
        </w:rPr>
      </w:pPr>
    </w:p>
    <w:p w14:paraId="33446A44" w14:textId="77777777" w:rsidR="005F5C74" w:rsidRPr="005F5C74" w:rsidRDefault="005F5C74" w:rsidP="005F5C74">
      <w:pPr>
        <w:spacing w:after="0"/>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For film formation, 25 mL of the CH solution was poured into a 50 mL beaker. After that, 5% (v/v)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w:t>
      </w:r>
      <w:r w:rsidRPr="005F5C74">
        <w:rPr>
          <w:rFonts w:ascii="Times New Roman" w:hAnsi="Times New Roman"/>
          <w:color w:val="000000" w:themeColor="text1"/>
          <w:sz w:val="20"/>
          <w:szCs w:val="20"/>
        </w:rPr>
        <w:t xml:space="preserve">extract and 0.01% (v/v) Tween-80 were added to the solution with additional levels of glycerol (0.5, 1.0, 1.5, 2.0%, v/v) and </w:t>
      </w:r>
      <w:r w:rsidRPr="005F5C74">
        <w:rPr>
          <w:rFonts w:ascii="Times New Roman" w:hAnsi="Times New Roman"/>
          <w:bCs/>
          <w:color w:val="000000" w:themeColor="text1"/>
          <w:sz w:val="20"/>
          <w:szCs w:val="20"/>
        </w:rPr>
        <w:t xml:space="preserve">NaCl </w:t>
      </w:r>
      <w:r w:rsidRPr="005F5C74">
        <w:rPr>
          <w:rFonts w:ascii="Times New Roman" w:hAnsi="Times New Roman"/>
          <w:color w:val="000000" w:themeColor="text1"/>
          <w:sz w:val="20"/>
          <w:szCs w:val="20"/>
        </w:rPr>
        <w:t>(5, 10, 10.5 mM, w/v) as shown in Table 1. The solutions were homogenized using a homogenizer (HG-15D, Daihan Scientific, South Korea) at 9000 rpm for 4 min. After homogenization, the solution was transferred to a petri dish and placed into the oven for 24 h at 50°C. Once the films were dried, they were peeled and transferred into a zip-lock plastic bag and stored in a desiccator for further analysis.</w:t>
      </w:r>
    </w:p>
    <w:p w14:paraId="58B7A6D8" w14:textId="77777777" w:rsidR="00637594" w:rsidRDefault="00637594" w:rsidP="005F5C74">
      <w:pPr>
        <w:spacing w:after="0"/>
        <w:jc w:val="both"/>
        <w:rPr>
          <w:rFonts w:ascii="Times New Roman" w:hAnsi="Times New Roman"/>
          <w:color w:val="000000" w:themeColor="text1"/>
          <w:sz w:val="20"/>
          <w:szCs w:val="20"/>
        </w:rPr>
      </w:pPr>
    </w:p>
    <w:p w14:paraId="1D4DF3BC"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Physical properties of film: Moisture content</w:t>
      </w:r>
    </w:p>
    <w:p w14:paraId="528C2413" w14:textId="77777777" w:rsidR="004745E8" w:rsidRDefault="004745E8" w:rsidP="004745E8">
      <w:pPr>
        <w:suppressAutoHyphens/>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The film moisture content was analyzed according to the method described by Lee et al. [3]. Films with a size of 2 × 2 cm were placed in a desiccator overnight. Then, the initial mass of the film was weighed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i</m:t>
            </m:r>
          </m:sub>
        </m:sSub>
      </m:oMath>
      <w:r w:rsidRPr="005F5C74">
        <w:rPr>
          <w:rFonts w:ascii="Times New Roman" w:hAnsi="Times New Roman"/>
          <w:color w:val="000000" w:themeColor="text1"/>
          <w:sz w:val="20"/>
          <w:szCs w:val="20"/>
        </w:rPr>
        <w:t>). The film was then placed into an oven at 90°C until there were no changes in the final mass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f</m:t>
            </m:r>
          </m:sub>
        </m:sSub>
      </m:oMath>
      <w:r w:rsidRPr="005F5C74">
        <w:rPr>
          <w:rFonts w:ascii="Times New Roman" w:hAnsi="Times New Roman"/>
          <w:color w:val="000000" w:themeColor="text1"/>
          <w:sz w:val="20"/>
          <w:szCs w:val="20"/>
        </w:rPr>
        <w:t>). Moisture content was determined using the equation below:</w:t>
      </w:r>
    </w:p>
    <w:p w14:paraId="6550D041" w14:textId="77777777" w:rsidR="004745E8" w:rsidRPr="005F5C74" w:rsidRDefault="004745E8" w:rsidP="004745E8">
      <w:pPr>
        <w:suppressAutoHyphens/>
        <w:spacing w:after="0"/>
        <w:jc w:val="both"/>
        <w:outlineLvl w:val="0"/>
        <w:rPr>
          <w:rFonts w:ascii="Times New Roman" w:hAnsi="Times New Roman"/>
          <w:color w:val="000000" w:themeColor="text1"/>
          <w:sz w:val="20"/>
          <w:szCs w:val="20"/>
        </w:rPr>
      </w:pPr>
    </w:p>
    <w:p w14:paraId="68524845" w14:textId="7F670A61" w:rsidR="004745E8" w:rsidRPr="005F5C74" w:rsidRDefault="004745E8" w:rsidP="004745E8">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Moisture content = </w:t>
      </w:r>
      <m:oMath>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 xml:space="preserve">i </m:t>
                </m:r>
              </m:sub>
            </m:sSub>
            <m:r>
              <w:rPr>
                <w:rFonts w:ascii="Cambria Math" w:hAnsi="Cambria Math"/>
                <w:color w:val="000000" w:themeColor="text1"/>
                <w:sz w:val="20"/>
                <w:szCs w:val="20"/>
                <w:lang w:val="en-GB"/>
              </w:rPr>
              <m:t xml:space="preserve">- </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f</m:t>
                </m:r>
              </m:sub>
            </m:sSub>
          </m:num>
          <m:den>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i</m:t>
                </m:r>
              </m:sub>
            </m:sSub>
          </m:den>
        </m:f>
        <m:r>
          <w:rPr>
            <w:rFonts w:ascii="Cambria Math" w:hAnsi="Cambria Math"/>
            <w:color w:val="000000" w:themeColor="text1"/>
            <w:sz w:val="20"/>
            <w:szCs w:val="20"/>
            <w:lang w:val="en-GB"/>
          </w:rPr>
          <m:t xml:space="preserve"> ×100%</m:t>
        </m:r>
      </m:oMath>
      <w:r w:rsidRPr="005F5C74">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(1)</w:t>
      </w:r>
    </w:p>
    <w:p w14:paraId="37AB662B" w14:textId="77777777" w:rsidR="004745E8" w:rsidRPr="005F5C74" w:rsidRDefault="004745E8" w:rsidP="004745E8">
      <w:pPr>
        <w:spacing w:after="0"/>
        <w:jc w:val="both"/>
        <w:outlineLvl w:val="0"/>
        <w:rPr>
          <w:rFonts w:ascii="Times New Roman" w:hAnsi="Times New Roman"/>
          <w:b/>
          <w:bCs/>
          <w:color w:val="000000" w:themeColor="text1"/>
          <w:sz w:val="20"/>
          <w:szCs w:val="20"/>
          <w:lang w:val="en-GB"/>
        </w:rPr>
      </w:pPr>
    </w:p>
    <w:p w14:paraId="457B5710" w14:textId="77777777" w:rsidR="004745E8" w:rsidRPr="005F5C74" w:rsidRDefault="004745E8" w:rsidP="004745E8">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where </w:t>
      </w:r>
      <w:r w:rsidRPr="005F5C74">
        <w:rPr>
          <w:rFonts w:ascii="Times New Roman" w:hAnsi="Times New Roman"/>
          <w:i/>
          <w:iCs/>
          <w:color w:val="000000" w:themeColor="text1"/>
          <w:sz w:val="20"/>
          <w:szCs w:val="20"/>
          <w:lang w:val="en-GB"/>
        </w:rPr>
        <w:t>M</w:t>
      </w:r>
      <w:r w:rsidRPr="005F5C74">
        <w:rPr>
          <w:rFonts w:ascii="Times New Roman" w:hAnsi="Times New Roman"/>
          <w:i/>
          <w:iCs/>
          <w:color w:val="000000" w:themeColor="text1"/>
          <w:sz w:val="20"/>
          <w:szCs w:val="20"/>
          <w:vertAlign w:val="subscript"/>
          <w:lang w:val="en-GB"/>
        </w:rPr>
        <w:t>i</w:t>
      </w:r>
      <w:r w:rsidRPr="005F5C74">
        <w:rPr>
          <w:rFonts w:ascii="Times New Roman" w:hAnsi="Times New Roman"/>
          <w:color w:val="000000" w:themeColor="text1"/>
          <w:sz w:val="20"/>
          <w:szCs w:val="20"/>
          <w:lang w:val="en-GB"/>
        </w:rPr>
        <w:t xml:space="preserve"> and </w:t>
      </w:r>
      <w:r w:rsidRPr="005F5C74">
        <w:rPr>
          <w:rFonts w:ascii="Times New Roman" w:hAnsi="Times New Roman"/>
          <w:i/>
          <w:iCs/>
          <w:color w:val="000000" w:themeColor="text1"/>
          <w:sz w:val="20"/>
          <w:szCs w:val="20"/>
          <w:lang w:val="en-GB"/>
        </w:rPr>
        <w:t>M</w:t>
      </w:r>
      <w:r w:rsidRPr="005F5C74">
        <w:rPr>
          <w:rFonts w:ascii="Times New Roman" w:hAnsi="Times New Roman"/>
          <w:i/>
          <w:iCs/>
          <w:color w:val="000000" w:themeColor="text1"/>
          <w:sz w:val="20"/>
          <w:szCs w:val="20"/>
          <w:vertAlign w:val="subscript"/>
          <w:lang w:val="en-GB"/>
        </w:rPr>
        <w:t>f</w:t>
      </w:r>
      <w:r w:rsidRPr="005F5C74">
        <w:rPr>
          <w:rFonts w:ascii="Times New Roman" w:hAnsi="Times New Roman"/>
          <w:color w:val="000000" w:themeColor="text1"/>
          <w:sz w:val="20"/>
          <w:szCs w:val="20"/>
          <w:lang w:val="en-GB"/>
        </w:rPr>
        <w:t xml:space="preserve"> refer to the </w:t>
      </w:r>
      <w:r w:rsidRPr="005F5C74">
        <w:rPr>
          <w:rFonts w:ascii="Times New Roman" w:hAnsi="Times New Roman"/>
          <w:color w:val="000000" w:themeColor="text1"/>
          <w:position w:val="2"/>
          <w:sz w:val="20"/>
          <w:szCs w:val="20"/>
        </w:rPr>
        <w:t>mass of the initial dried film and final dried film (g)</w:t>
      </w:r>
      <w:r w:rsidRPr="005F5C74">
        <w:rPr>
          <w:rFonts w:ascii="Times New Roman" w:hAnsi="Times New Roman"/>
          <w:color w:val="000000" w:themeColor="text1"/>
          <w:sz w:val="20"/>
          <w:szCs w:val="20"/>
          <w:lang w:val="en-GB"/>
        </w:rPr>
        <w:t>, respectively.</w:t>
      </w:r>
    </w:p>
    <w:p w14:paraId="27C7D9AE" w14:textId="77777777" w:rsidR="004745E8" w:rsidRPr="005F5C74" w:rsidRDefault="004745E8" w:rsidP="004745E8">
      <w:pPr>
        <w:spacing w:after="0"/>
        <w:jc w:val="both"/>
        <w:outlineLvl w:val="0"/>
        <w:rPr>
          <w:rFonts w:ascii="Times New Roman" w:hAnsi="Times New Roman"/>
          <w:sz w:val="20"/>
          <w:szCs w:val="20"/>
        </w:rPr>
      </w:pPr>
    </w:p>
    <w:p w14:paraId="38F6AC06"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Water solubility</w:t>
      </w:r>
    </w:p>
    <w:p w14:paraId="6A32246A" w14:textId="77777777" w:rsidR="004745E8" w:rsidRPr="005F5C74" w:rsidRDefault="004745E8" w:rsidP="004745E8">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film water solubility was measured following procedures from Chan et al. [18] with some </w:t>
      </w:r>
      <w:r w:rsidRPr="005F5C74">
        <w:rPr>
          <w:rFonts w:ascii="Times New Roman" w:hAnsi="Times New Roman"/>
          <w:color w:val="000000" w:themeColor="text1"/>
          <w:sz w:val="20"/>
          <w:szCs w:val="20"/>
        </w:rPr>
        <w:lastRenderedPageBreak/>
        <w:t>modifications. The final mass of the dried films from the moisture content determination were taken as the initial mass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1</m:t>
            </m:r>
          </m:sub>
        </m:sSub>
      </m:oMath>
      <w:r w:rsidRPr="005F5C74">
        <w:rPr>
          <w:rFonts w:ascii="Times New Roman" w:hAnsi="Times New Roman"/>
          <w:color w:val="000000" w:themeColor="text1"/>
          <w:sz w:val="20"/>
          <w:szCs w:val="20"/>
        </w:rPr>
        <w:t xml:space="preserve">). The dried films were placed into a boiling tube filled with 30 mL of distilled water for 3 h. After immersion, they were taken out and underwent drying again in an oven for 24 h at 60°C. The final dry mass of the film was measured </w:t>
      </w:r>
      <w:r w:rsidRPr="005F5C74">
        <w:rPr>
          <w:rFonts w:ascii="Times New Roman" w:hAnsi="Times New Roman"/>
          <w:i/>
          <w:iCs/>
          <w:color w:val="000000" w:themeColor="text1"/>
          <w:sz w:val="20"/>
          <w:szCs w:val="20"/>
        </w:rPr>
        <w:t>(</w:t>
      </w: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2</m:t>
            </m:r>
          </m:sub>
        </m:sSub>
      </m:oMath>
      <w:r w:rsidRPr="005F5C74">
        <w:rPr>
          <w:rFonts w:ascii="Times New Roman" w:hAnsi="Times New Roman"/>
          <w:i/>
          <w:iCs/>
          <w:color w:val="000000" w:themeColor="text1"/>
          <w:sz w:val="20"/>
          <w:szCs w:val="20"/>
        </w:rPr>
        <w:t>).</w:t>
      </w:r>
      <w:r w:rsidRPr="005F5C74">
        <w:rPr>
          <w:rFonts w:ascii="Times New Roman" w:hAnsi="Times New Roman"/>
          <w:color w:val="000000" w:themeColor="text1"/>
          <w:sz w:val="20"/>
          <w:szCs w:val="20"/>
        </w:rPr>
        <w:t xml:space="preserve"> The water solubility was determined using the following equation:</w:t>
      </w:r>
    </w:p>
    <w:p w14:paraId="20ABE63A" w14:textId="77777777" w:rsidR="004745E8" w:rsidRPr="005F5C74" w:rsidRDefault="004745E8" w:rsidP="004745E8">
      <w:pPr>
        <w:spacing w:after="0"/>
        <w:jc w:val="both"/>
        <w:outlineLvl w:val="0"/>
        <w:rPr>
          <w:rFonts w:ascii="Times New Roman" w:hAnsi="Times New Roman"/>
          <w:b/>
          <w:bCs/>
          <w:color w:val="000000" w:themeColor="text1"/>
          <w:sz w:val="20"/>
          <w:szCs w:val="20"/>
          <w:lang w:val="en-GB"/>
        </w:rPr>
      </w:pPr>
    </w:p>
    <w:p w14:paraId="7DAC123D" w14:textId="78D813E7" w:rsidR="004745E8" w:rsidRDefault="004745E8" w:rsidP="004745E8">
      <w:pPr>
        <w:spacing w:after="0"/>
        <w:jc w:val="both"/>
        <w:outlineLvl w:val="0"/>
        <w:rPr>
          <w:rFonts w:ascii="Times New Roman" w:hAnsi="Times New Roman"/>
          <w:color w:val="000000" w:themeColor="text1"/>
          <w:sz w:val="20"/>
          <w:szCs w:val="20"/>
          <w:lang w:val="en-GB"/>
        </w:rPr>
      </w:pPr>
      <w:r w:rsidRPr="005F5C74">
        <w:rPr>
          <w:rFonts w:ascii="Times New Roman" w:hAnsi="Times New Roman"/>
          <w:i/>
          <w:iCs/>
          <w:color w:val="000000" w:themeColor="text1"/>
          <w:sz w:val="20"/>
          <w:szCs w:val="20"/>
          <w:lang w:val="en-GB"/>
        </w:rPr>
        <w:t>Water solubility</w:t>
      </w:r>
      <w:r w:rsidRPr="005F5C74">
        <w:rPr>
          <w:rFonts w:ascii="Times New Roman" w:hAnsi="Times New Roman"/>
          <w:b/>
          <w:bCs/>
          <w:color w:val="000000" w:themeColor="text1"/>
          <w:sz w:val="20"/>
          <w:szCs w:val="20"/>
          <w:lang w:val="en-GB"/>
        </w:rPr>
        <w:t xml:space="preserve"> = </w:t>
      </w:r>
      <m:oMath>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 xml:space="preserve">1 </m:t>
                </m:r>
              </m:sub>
            </m:sSub>
            <m:r>
              <w:rPr>
                <w:rFonts w:ascii="Cambria Math" w:hAnsi="Cambria Math"/>
                <w:color w:val="000000" w:themeColor="text1"/>
                <w:sz w:val="20"/>
                <w:szCs w:val="20"/>
                <w:lang w:val="en-GB"/>
              </w:rPr>
              <m:t xml:space="preserve">- </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2</m:t>
                </m:r>
              </m:sub>
            </m:sSub>
          </m:num>
          <m:den>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1</m:t>
                </m:r>
              </m:sub>
            </m:sSub>
          </m:den>
        </m:f>
        <m:r>
          <w:rPr>
            <w:rFonts w:ascii="Cambria Math" w:hAnsi="Cambria Math"/>
            <w:color w:val="000000" w:themeColor="text1"/>
            <w:sz w:val="20"/>
            <w:szCs w:val="20"/>
            <w:lang w:val="en-GB"/>
          </w:rPr>
          <m:t xml:space="preserve"> ×100%</m:t>
        </m:r>
      </m:oMath>
      <w:r w:rsidRPr="005F5C74">
        <w:rPr>
          <w:rFonts w:ascii="Times New Roman" w:hAnsi="Times New Roman"/>
          <w:color w:val="000000" w:themeColor="text1"/>
          <w:sz w:val="20"/>
          <w:szCs w:val="20"/>
          <w:lang w:val="en-GB"/>
        </w:rPr>
        <w:tab/>
      </w:r>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(2)</w:t>
      </w:r>
    </w:p>
    <w:p w14:paraId="1480753D" w14:textId="1F1E636E" w:rsidR="004745E8" w:rsidRDefault="004745E8" w:rsidP="004745E8">
      <w:pPr>
        <w:spacing w:after="0"/>
        <w:jc w:val="both"/>
        <w:outlineLvl w:val="0"/>
        <w:rPr>
          <w:rFonts w:ascii="Times New Roman" w:hAnsi="Times New Roman"/>
          <w:color w:val="000000" w:themeColor="text1"/>
          <w:sz w:val="20"/>
          <w:szCs w:val="20"/>
          <w:lang w:val="en-GB"/>
        </w:rPr>
      </w:pPr>
    </w:p>
    <w:p w14:paraId="3F21C453" w14:textId="70B9DC12" w:rsidR="004745E8" w:rsidRDefault="004745E8" w:rsidP="004745E8">
      <w:pPr>
        <w:pStyle w:val="BodyText"/>
        <w:spacing w:line="276" w:lineRule="auto"/>
        <w:ind w:right="-188"/>
        <w:jc w:val="both"/>
        <w:outlineLvl w:val="0"/>
        <w:rPr>
          <w:color w:val="000000" w:themeColor="text1"/>
          <w:position w:val="2"/>
          <w:sz w:val="20"/>
          <w:szCs w:val="20"/>
        </w:rPr>
      </w:pPr>
      <w:r w:rsidRPr="005F5C74">
        <w:rPr>
          <w:color w:val="000000" w:themeColor="text1"/>
          <w:position w:val="2"/>
          <w:sz w:val="20"/>
          <w:szCs w:val="20"/>
        </w:rPr>
        <w:t xml:space="preserve">where </w:t>
      </w:r>
      <w:r w:rsidRPr="005F5C74">
        <w:rPr>
          <w:i/>
          <w:iCs/>
          <w:color w:val="000000" w:themeColor="text1"/>
          <w:position w:val="2"/>
          <w:sz w:val="20"/>
          <w:szCs w:val="20"/>
        </w:rPr>
        <w:t>W</w:t>
      </w:r>
      <w:r w:rsidRPr="005F5C74">
        <w:rPr>
          <w:i/>
          <w:iCs/>
          <w:color w:val="000000" w:themeColor="text1"/>
          <w:sz w:val="20"/>
          <w:szCs w:val="20"/>
        </w:rPr>
        <w:t>1</w:t>
      </w:r>
      <w:r w:rsidRPr="005F5C74">
        <w:rPr>
          <w:color w:val="000000" w:themeColor="text1"/>
          <w:sz w:val="20"/>
          <w:szCs w:val="20"/>
        </w:rPr>
        <w:t xml:space="preserve"> </w:t>
      </w:r>
      <w:r w:rsidRPr="005F5C74">
        <w:rPr>
          <w:color w:val="000000" w:themeColor="text1"/>
          <w:position w:val="2"/>
          <w:sz w:val="20"/>
          <w:szCs w:val="20"/>
        </w:rPr>
        <w:t xml:space="preserve">and </w:t>
      </w:r>
      <w:r w:rsidRPr="005F5C74">
        <w:rPr>
          <w:i/>
          <w:iCs/>
          <w:color w:val="000000" w:themeColor="text1"/>
          <w:position w:val="2"/>
          <w:sz w:val="20"/>
          <w:szCs w:val="20"/>
        </w:rPr>
        <w:t>W</w:t>
      </w:r>
      <w:r w:rsidRPr="005F5C74">
        <w:rPr>
          <w:i/>
          <w:iCs/>
          <w:color w:val="000000" w:themeColor="text1"/>
          <w:sz w:val="20"/>
          <w:szCs w:val="20"/>
        </w:rPr>
        <w:t>2</w:t>
      </w:r>
      <w:r w:rsidRPr="005F5C74">
        <w:rPr>
          <w:color w:val="000000" w:themeColor="text1"/>
          <w:sz w:val="20"/>
          <w:szCs w:val="20"/>
        </w:rPr>
        <w:t xml:space="preserve"> </w:t>
      </w:r>
      <w:r>
        <w:rPr>
          <w:color w:val="000000" w:themeColor="text1"/>
          <w:sz w:val="20"/>
          <w:szCs w:val="20"/>
        </w:rPr>
        <w:t xml:space="preserve"> </w:t>
      </w:r>
      <w:r w:rsidRPr="005F5C74">
        <w:rPr>
          <w:color w:val="000000" w:themeColor="text1"/>
          <w:position w:val="2"/>
          <w:sz w:val="20"/>
          <w:szCs w:val="20"/>
        </w:rPr>
        <w:t xml:space="preserve">refer </w:t>
      </w:r>
      <w:r>
        <w:rPr>
          <w:color w:val="000000" w:themeColor="text1"/>
          <w:position w:val="2"/>
          <w:sz w:val="20"/>
          <w:szCs w:val="20"/>
        </w:rPr>
        <w:t xml:space="preserve"> </w:t>
      </w:r>
      <w:r w:rsidRPr="005F5C74">
        <w:rPr>
          <w:color w:val="000000" w:themeColor="text1"/>
          <w:position w:val="2"/>
          <w:sz w:val="20"/>
          <w:szCs w:val="20"/>
        </w:rPr>
        <w:t xml:space="preserve">to the mass of the initial dried </w:t>
      </w:r>
    </w:p>
    <w:p w14:paraId="344A6C0F" w14:textId="262045C8" w:rsidR="004745E8" w:rsidRPr="005F5C74" w:rsidRDefault="004745E8" w:rsidP="004745E8">
      <w:pPr>
        <w:pStyle w:val="BodyText"/>
        <w:spacing w:line="276" w:lineRule="auto"/>
        <w:ind w:right="-188"/>
        <w:jc w:val="both"/>
        <w:outlineLvl w:val="0"/>
        <w:rPr>
          <w:color w:val="000000" w:themeColor="text1"/>
          <w:sz w:val="20"/>
          <w:szCs w:val="20"/>
        </w:rPr>
      </w:pPr>
      <w:r w:rsidRPr="005F5C74">
        <w:rPr>
          <w:color w:val="000000" w:themeColor="text1"/>
          <w:position w:val="2"/>
          <w:sz w:val="20"/>
          <w:szCs w:val="20"/>
        </w:rPr>
        <w:t xml:space="preserve">film and final dried film (g), </w:t>
      </w:r>
      <w:r w:rsidRPr="005F5C74">
        <w:rPr>
          <w:color w:val="000000" w:themeColor="text1"/>
          <w:sz w:val="20"/>
          <w:szCs w:val="20"/>
        </w:rPr>
        <w:t>respectively.</w:t>
      </w:r>
    </w:p>
    <w:p w14:paraId="0C85BDFB" w14:textId="77777777" w:rsidR="004745E8" w:rsidRPr="005F5C74" w:rsidRDefault="004745E8" w:rsidP="004745E8">
      <w:pPr>
        <w:spacing w:after="0"/>
        <w:jc w:val="both"/>
        <w:outlineLvl w:val="0"/>
        <w:rPr>
          <w:rFonts w:ascii="Times New Roman" w:hAnsi="Times New Roman"/>
          <w:sz w:val="20"/>
          <w:szCs w:val="20"/>
        </w:rPr>
      </w:pPr>
    </w:p>
    <w:p w14:paraId="01D5EDFA" w14:textId="77777777" w:rsidR="004745E8" w:rsidRPr="005F5C74" w:rsidRDefault="004745E8" w:rsidP="004745E8">
      <w:pPr>
        <w:suppressAutoHyphens/>
        <w:spacing w:after="0"/>
        <w:jc w:val="both"/>
        <w:outlineLvl w:val="0"/>
        <w:rPr>
          <w:rFonts w:ascii="Times New Roman" w:hAnsi="Times New Roman"/>
          <w:b/>
          <w:sz w:val="20"/>
          <w:szCs w:val="20"/>
        </w:rPr>
      </w:pPr>
      <w:r w:rsidRPr="005F5C74">
        <w:rPr>
          <w:rFonts w:ascii="Times New Roman" w:hAnsi="Times New Roman"/>
          <w:b/>
          <w:sz w:val="20"/>
          <w:szCs w:val="20"/>
        </w:rPr>
        <w:t>Color profile</w:t>
      </w:r>
    </w:p>
    <w:p w14:paraId="07172E3F" w14:textId="77777777" w:rsidR="004745E8" w:rsidRPr="005F5C74" w:rsidRDefault="004745E8" w:rsidP="004745E8">
      <w:pPr>
        <w:suppressAutoHyphens/>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film color profile was measured according to the method described by Chan et al. [18]. A colorimeter (ColourFlex EZ, Hunterlab, Virginia, USA) was used to determine the color. The values, </w:t>
      </w:r>
      <w:r w:rsidRPr="005F5C74">
        <w:rPr>
          <w:rFonts w:ascii="Times New Roman" w:hAnsi="Times New Roman"/>
          <w:i/>
          <w:iCs/>
          <w:color w:val="000000" w:themeColor="text1"/>
          <w:sz w:val="20"/>
          <w:szCs w:val="20"/>
        </w:rPr>
        <w:t>L*</w:t>
      </w:r>
      <w:r w:rsidRPr="005F5C74">
        <w:rPr>
          <w:rFonts w:ascii="Times New Roman" w:hAnsi="Times New Roman"/>
          <w:color w:val="000000" w:themeColor="text1"/>
          <w:sz w:val="20"/>
          <w:szCs w:val="20"/>
        </w:rPr>
        <w:t xml:space="preserve"> (luminosity), </w:t>
      </w:r>
      <w:r w:rsidRPr="005F5C74">
        <w:rPr>
          <w:rFonts w:ascii="Times New Roman" w:hAnsi="Times New Roman"/>
          <w:i/>
          <w:iCs/>
          <w:color w:val="000000" w:themeColor="text1"/>
          <w:sz w:val="20"/>
          <w:szCs w:val="20"/>
        </w:rPr>
        <w:t>a*</w:t>
      </w:r>
      <w:r w:rsidRPr="005F5C74">
        <w:rPr>
          <w:rFonts w:ascii="Times New Roman" w:hAnsi="Times New Roman"/>
          <w:color w:val="000000" w:themeColor="text1"/>
          <w:sz w:val="20"/>
          <w:szCs w:val="20"/>
        </w:rPr>
        <w:t xml:space="preserve"> (green-red) and </w:t>
      </w:r>
      <w:r w:rsidRPr="005F5C74">
        <w:rPr>
          <w:rFonts w:ascii="Times New Roman" w:hAnsi="Times New Roman"/>
          <w:i/>
          <w:iCs/>
          <w:color w:val="000000" w:themeColor="text1"/>
          <w:sz w:val="20"/>
          <w:szCs w:val="20"/>
        </w:rPr>
        <w:t>b*</w:t>
      </w:r>
      <w:r w:rsidRPr="005F5C74">
        <w:rPr>
          <w:rFonts w:ascii="Times New Roman" w:hAnsi="Times New Roman"/>
          <w:color w:val="000000" w:themeColor="text1"/>
          <w:sz w:val="20"/>
          <w:szCs w:val="20"/>
        </w:rPr>
        <w:t xml:space="preserve"> (blue-yellow) were used to express the film color. The total color difference (</w:t>
      </w:r>
      <m:oMath>
        <m:r>
          <w:rPr>
            <w:rFonts w:ascii="Cambria Math" w:hAnsi="Cambria Math"/>
            <w:color w:val="000000" w:themeColor="text1"/>
            <w:sz w:val="20"/>
            <w:szCs w:val="20"/>
          </w:rPr>
          <m:t>ΔE)</m:t>
        </m:r>
      </m:oMath>
      <w:r w:rsidRPr="005F5C74">
        <w:rPr>
          <w:rFonts w:ascii="Times New Roman" w:hAnsi="Times New Roman"/>
          <w:color w:val="000000" w:themeColor="text1"/>
          <w:sz w:val="20"/>
          <w:szCs w:val="20"/>
        </w:rPr>
        <w:t xml:space="preserve"> of the film was determined using the following equation:</w:t>
      </w:r>
    </w:p>
    <w:p w14:paraId="1F55D0A0" w14:textId="77777777" w:rsidR="004745E8" w:rsidRPr="005F5C74" w:rsidRDefault="004745E8" w:rsidP="004745E8">
      <w:pPr>
        <w:spacing w:after="0"/>
        <w:jc w:val="both"/>
        <w:outlineLvl w:val="0"/>
        <w:rPr>
          <w:rFonts w:ascii="Times New Roman" w:hAnsi="Times New Roman"/>
          <w:b/>
          <w:bCs/>
          <w:color w:val="000000" w:themeColor="text1"/>
          <w:sz w:val="20"/>
          <w:szCs w:val="20"/>
        </w:rPr>
      </w:pPr>
    </w:p>
    <w:p w14:paraId="3A315B43" w14:textId="6B554DD1" w:rsidR="004745E8" w:rsidRPr="005F5C74" w:rsidRDefault="004745E8" w:rsidP="004745E8">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ΔE = </w:t>
      </w:r>
      <m:oMath>
        <m:rad>
          <m:radPr>
            <m:degHide m:val="1"/>
            <m:ctrlPr>
              <w:rPr>
                <w:rFonts w:ascii="Cambria Math" w:hAnsi="Cambria Math"/>
                <w:i/>
                <w:color w:val="000000" w:themeColor="text1"/>
                <w:sz w:val="20"/>
                <w:szCs w:val="20"/>
                <w:lang w:val="en-GB"/>
              </w:rPr>
            </m:ctrlPr>
          </m:radPr>
          <m:deg/>
          <m:e>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m:t>
                </m:r>
                <m:r>
                  <m:rPr>
                    <m:sty m:val="p"/>
                  </m:rPr>
                  <w:rPr>
                    <w:rFonts w:ascii="Cambria Math" w:hAnsi="Cambria Math"/>
                    <w:color w:val="000000" w:themeColor="text1"/>
                    <w:sz w:val="20"/>
                    <w:szCs w:val="20"/>
                    <w:lang w:val="en-GB"/>
                  </w:rPr>
                  <m:t>L</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L</m:t>
                    </m:r>
                  </m:e>
                  <m:sup>
                    <m:r>
                      <w:rPr>
                        <w:rFonts w:ascii="Cambria Math" w:hAnsi="Cambria Math"/>
                        <w:color w:val="000000" w:themeColor="text1"/>
                        <w:sz w:val="20"/>
                        <w:szCs w:val="20"/>
                        <w:lang w:val="en-GB"/>
                      </w:rPr>
                      <m:t>*</m:t>
                    </m:r>
                  </m:sup>
                </m:sSup>
                <m:r>
                  <w:rPr>
                    <w:rFonts w:ascii="Cambria Math" w:hAnsi="Cambria Math"/>
                    <w:color w:val="000000" w:themeColor="text1"/>
                    <w:sz w:val="20"/>
                    <w:szCs w:val="20"/>
                    <w:lang w:val="en-GB"/>
                  </w:rPr>
                  <m:t>)</m:t>
                </m:r>
              </m:e>
              <m:sup>
                <m:r>
                  <w:rPr>
                    <w:rFonts w:ascii="Cambria Math" w:hAnsi="Cambria Math"/>
                    <w:color w:val="000000" w:themeColor="text1"/>
                    <w:sz w:val="20"/>
                    <w:szCs w:val="20"/>
                    <w:lang w:val="en-GB"/>
                  </w:rPr>
                  <m:t>2</m:t>
                </m:r>
              </m:sup>
            </m:sSup>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d>
                  <m:dPr>
                    <m:ctrlPr>
                      <w:rPr>
                        <w:rFonts w:ascii="Cambria Math" w:hAnsi="Cambria Math"/>
                        <w:i/>
                        <w:color w:val="000000" w:themeColor="text1"/>
                        <w:sz w:val="20"/>
                        <w:szCs w:val="20"/>
                        <w:lang w:val="en-GB"/>
                      </w:rPr>
                    </m:ctrlPr>
                  </m:dPr>
                  <m:e>
                    <m:r>
                      <m:rPr>
                        <m:sty m:val="p"/>
                      </m:rPr>
                      <w:rPr>
                        <w:rFonts w:ascii="Cambria Math" w:hAnsi="Cambria Math"/>
                        <w:color w:val="000000" w:themeColor="text1"/>
                        <w:sz w:val="20"/>
                        <w:szCs w:val="20"/>
                        <w:lang w:val="en-GB"/>
                      </w:rPr>
                      <m:t>a</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a</m:t>
                        </m:r>
                      </m:e>
                      <m:sup>
                        <m:r>
                          <w:rPr>
                            <w:rFonts w:ascii="Cambria Math" w:hAnsi="Cambria Math"/>
                            <w:color w:val="000000" w:themeColor="text1"/>
                            <w:sz w:val="20"/>
                            <w:szCs w:val="20"/>
                            <w:lang w:val="en-GB"/>
                          </w:rPr>
                          <m:t>*</m:t>
                        </m:r>
                      </m:sup>
                    </m:sSup>
                  </m:e>
                </m:d>
              </m:e>
              <m:sup>
                <m:r>
                  <w:rPr>
                    <w:rFonts w:ascii="Cambria Math" w:hAnsi="Cambria Math"/>
                    <w:color w:val="000000" w:themeColor="text1"/>
                    <w:sz w:val="20"/>
                    <w:szCs w:val="20"/>
                    <w:lang w:val="en-GB"/>
                  </w:rPr>
                  <m:t>2</m:t>
                </m:r>
              </m:sup>
            </m:sSup>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d>
                  <m:dPr>
                    <m:ctrlPr>
                      <w:rPr>
                        <w:rFonts w:ascii="Cambria Math" w:hAnsi="Cambria Math"/>
                        <w:i/>
                        <w:color w:val="000000" w:themeColor="text1"/>
                        <w:sz w:val="20"/>
                        <w:szCs w:val="20"/>
                        <w:lang w:val="en-GB"/>
                      </w:rPr>
                    </m:ctrlPr>
                  </m:dPr>
                  <m:e>
                    <m:r>
                      <m:rPr>
                        <m:sty m:val="p"/>
                      </m:rPr>
                      <w:rPr>
                        <w:rFonts w:ascii="Cambria Math" w:hAnsi="Cambria Math"/>
                        <w:color w:val="000000" w:themeColor="text1"/>
                        <w:sz w:val="20"/>
                        <w:szCs w:val="20"/>
                        <w:lang w:val="en-GB"/>
                      </w:rPr>
                      <m:t>b</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b</m:t>
                        </m:r>
                      </m:e>
                      <m:sup>
                        <m:r>
                          <w:rPr>
                            <w:rFonts w:ascii="Cambria Math" w:hAnsi="Cambria Math"/>
                            <w:color w:val="000000" w:themeColor="text1"/>
                            <w:sz w:val="20"/>
                            <w:szCs w:val="20"/>
                            <w:lang w:val="en-GB"/>
                          </w:rPr>
                          <m:t>*</m:t>
                        </m:r>
                      </m:sup>
                    </m:sSup>
                  </m:e>
                </m:d>
              </m:e>
              <m:sup>
                <m:r>
                  <w:rPr>
                    <w:rFonts w:ascii="Cambria Math" w:hAnsi="Cambria Math"/>
                    <w:color w:val="000000" w:themeColor="text1"/>
                    <w:sz w:val="20"/>
                    <w:szCs w:val="20"/>
                    <w:lang w:val="en-GB"/>
                  </w:rPr>
                  <m:t>2</m:t>
                </m:r>
              </m:sup>
            </m:sSup>
          </m:e>
        </m:rad>
      </m:oMath>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(3)</w:t>
      </w:r>
    </w:p>
    <w:p w14:paraId="1286FF6F" w14:textId="77777777" w:rsidR="004745E8" w:rsidRPr="005F5C74" w:rsidRDefault="004745E8" w:rsidP="004745E8">
      <w:pPr>
        <w:spacing w:after="0"/>
        <w:jc w:val="both"/>
        <w:outlineLvl w:val="0"/>
        <w:rPr>
          <w:rFonts w:ascii="Times New Roman" w:hAnsi="Times New Roman"/>
          <w:color w:val="000000" w:themeColor="text1"/>
          <w:sz w:val="20"/>
          <w:szCs w:val="20"/>
          <w:lang w:val="en-GB"/>
        </w:rPr>
      </w:pPr>
    </w:p>
    <w:p w14:paraId="6001F846" w14:textId="77777777" w:rsidR="004745E8" w:rsidRPr="005F5C74" w:rsidRDefault="004745E8" w:rsidP="004745E8">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lang w:val="en-GB"/>
        </w:rPr>
        <w:t xml:space="preserve">where the color parameters of the white plate are expressed by </w:t>
      </w:r>
      <w:r w:rsidRPr="005F5C74">
        <w:rPr>
          <w:rFonts w:ascii="Times New Roman" w:hAnsi="Times New Roman"/>
          <w:color w:val="000000" w:themeColor="text1"/>
          <w:sz w:val="20"/>
          <w:szCs w:val="20"/>
        </w:rPr>
        <w:t xml:space="preserve">L, a, and b and the color of the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val="en-GB" w:eastAsia="en-GB"/>
        </w:rPr>
        <w:t xml:space="preserve"> </w:t>
      </w:r>
      <w:r w:rsidRPr="005F5C74">
        <w:rPr>
          <w:rFonts w:ascii="Times New Roman" w:hAnsi="Times New Roman"/>
          <w:color w:val="000000" w:themeColor="text1"/>
          <w:sz w:val="20"/>
          <w:szCs w:val="20"/>
        </w:rPr>
        <w:t xml:space="preserve">films are expressed as </w:t>
      </w:r>
      <w:r w:rsidRPr="005F5C74">
        <w:rPr>
          <w:rFonts w:ascii="Times New Roman" w:hAnsi="Times New Roman"/>
          <w:i/>
          <w:iCs/>
          <w:color w:val="000000" w:themeColor="text1"/>
          <w:sz w:val="20"/>
          <w:szCs w:val="20"/>
        </w:rPr>
        <w:t>L*</w:t>
      </w:r>
      <w:r w:rsidRPr="005F5C74">
        <w:rPr>
          <w:rFonts w:ascii="Times New Roman" w:hAnsi="Times New Roman"/>
          <w:color w:val="000000" w:themeColor="text1"/>
          <w:sz w:val="20"/>
          <w:szCs w:val="20"/>
        </w:rPr>
        <w:t>,</w:t>
      </w:r>
      <w:r w:rsidRPr="005F5C74">
        <w:rPr>
          <w:rFonts w:ascii="Times New Roman" w:hAnsi="Times New Roman"/>
          <w:i/>
          <w:iCs/>
          <w:color w:val="000000" w:themeColor="text1"/>
          <w:sz w:val="20"/>
          <w:szCs w:val="20"/>
        </w:rPr>
        <w:t xml:space="preserve"> a* </w:t>
      </w:r>
      <w:r w:rsidRPr="005F5C74">
        <w:rPr>
          <w:rFonts w:ascii="Times New Roman" w:hAnsi="Times New Roman"/>
          <w:color w:val="000000" w:themeColor="text1"/>
          <w:sz w:val="20"/>
          <w:szCs w:val="20"/>
        </w:rPr>
        <w:t xml:space="preserve">and </w:t>
      </w:r>
      <w:r w:rsidRPr="005F5C74">
        <w:rPr>
          <w:rFonts w:ascii="Times New Roman" w:hAnsi="Times New Roman"/>
          <w:i/>
          <w:iCs/>
          <w:color w:val="000000" w:themeColor="text1"/>
          <w:sz w:val="20"/>
          <w:szCs w:val="20"/>
        </w:rPr>
        <w:t>b*</w:t>
      </w:r>
      <w:r w:rsidRPr="005F5C74">
        <w:rPr>
          <w:rFonts w:ascii="Times New Roman" w:hAnsi="Times New Roman"/>
          <w:color w:val="000000" w:themeColor="text1"/>
          <w:sz w:val="20"/>
          <w:szCs w:val="20"/>
        </w:rPr>
        <w:t>.</w:t>
      </w:r>
    </w:p>
    <w:p w14:paraId="469E830D"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t xml:space="preserve">    </w:t>
      </w:r>
    </w:p>
    <w:p w14:paraId="4A165999"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Thickness</w:t>
      </w:r>
    </w:p>
    <w:p w14:paraId="56780E2F" w14:textId="77777777" w:rsidR="004745E8" w:rsidRPr="005F5C74" w:rsidRDefault="004745E8" w:rsidP="004745E8">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A manual micrometer (QB420100, JY, China) was used to measure the film thickness as described by the method from Kuan et al. [4]. Measurements were made at five random places of the film for which an average value was determined.</w:t>
      </w:r>
    </w:p>
    <w:p w14:paraId="56C5057A" w14:textId="77777777" w:rsidR="004745E8" w:rsidRPr="005F5C74" w:rsidRDefault="004745E8" w:rsidP="004745E8">
      <w:pPr>
        <w:spacing w:after="0"/>
        <w:jc w:val="both"/>
        <w:outlineLvl w:val="0"/>
        <w:rPr>
          <w:rFonts w:ascii="Times New Roman" w:hAnsi="Times New Roman"/>
          <w:sz w:val="20"/>
          <w:szCs w:val="20"/>
        </w:rPr>
      </w:pPr>
    </w:p>
    <w:p w14:paraId="5F700271"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 xml:space="preserve">Mechanical properties </w:t>
      </w:r>
    </w:p>
    <w:p w14:paraId="671AA32F" w14:textId="77777777" w:rsidR="004745E8" w:rsidRPr="005F5C74" w:rsidRDefault="004745E8" w:rsidP="004745E8">
      <w:pPr>
        <w:spacing w:after="0"/>
        <w:jc w:val="both"/>
        <w:outlineLvl w:val="0"/>
        <w:rPr>
          <w:rFonts w:ascii="Times New Roman" w:hAnsi="Times New Roman"/>
          <w:bCs/>
          <w:color w:val="000000" w:themeColor="text1"/>
          <w:sz w:val="20"/>
          <w:szCs w:val="20"/>
          <w:lang w:val="en-GB" w:eastAsia="en-GB"/>
        </w:rPr>
      </w:pPr>
      <w:r w:rsidRPr="005F5C74">
        <w:rPr>
          <w:rFonts w:ascii="Times New Roman" w:hAnsi="Times New Roman"/>
          <w:bCs/>
          <w:color w:val="000000" w:themeColor="text1"/>
          <w:sz w:val="20"/>
          <w:szCs w:val="20"/>
          <w:lang w:val="en-GB" w:eastAsia="en-GB"/>
        </w:rPr>
        <w:t xml:space="preserve">The measurements of tensile strength and elongation at break were conducted according to the procedures demonstrated by Lim et al. [19] with some modifications. A universal testing machine (CS4921, Lloyd Instrument, UK) was pre-set with the specifications for speed, gauge length, thickness, width, units, and tension mode. Film strips of 20 × 50 mm were held parallel to the grip of the machine. The separation </w:t>
      </w:r>
      <w:r w:rsidRPr="005F5C74">
        <w:rPr>
          <w:rFonts w:ascii="Times New Roman" w:hAnsi="Times New Roman"/>
          <w:bCs/>
          <w:color w:val="000000" w:themeColor="text1"/>
          <w:sz w:val="20"/>
          <w:szCs w:val="20"/>
          <w:lang w:val="en-GB" w:eastAsia="en-GB"/>
        </w:rPr>
        <w:t>of the grip was adjusted to 30 mm. The speed of the crosshead was adjusted to 20 mm/min. The values from the machine called peak load and peak extension were taken as tensile strength (</w:t>
      </w:r>
      <w:r w:rsidRPr="005F5C74">
        <w:rPr>
          <w:rFonts w:ascii="Times New Roman" w:hAnsi="Times New Roman"/>
          <w:bCs/>
          <w:i/>
          <w:iCs/>
          <w:color w:val="000000" w:themeColor="text1"/>
          <w:sz w:val="20"/>
          <w:szCs w:val="20"/>
          <w:lang w:val="en-GB" w:eastAsia="en-GB"/>
        </w:rPr>
        <w:t>MPa</w:t>
      </w:r>
      <w:r w:rsidRPr="005F5C74">
        <w:rPr>
          <w:rFonts w:ascii="Times New Roman" w:hAnsi="Times New Roman"/>
          <w:bCs/>
          <w:color w:val="000000" w:themeColor="text1"/>
          <w:sz w:val="20"/>
          <w:szCs w:val="20"/>
          <w:lang w:val="en-GB" w:eastAsia="en-GB"/>
        </w:rPr>
        <w:t>) and elongation at break (%), respectively. Young’s modulus was determined using the following equation:</w:t>
      </w:r>
    </w:p>
    <w:p w14:paraId="03F31EC4" w14:textId="77777777" w:rsidR="004745E8" w:rsidRPr="005F5C74" w:rsidRDefault="004745E8" w:rsidP="004745E8">
      <w:pPr>
        <w:spacing w:after="0"/>
        <w:jc w:val="both"/>
        <w:outlineLvl w:val="0"/>
        <w:rPr>
          <w:rFonts w:ascii="Times New Roman" w:hAnsi="Times New Roman"/>
          <w:b/>
          <w:color w:val="000000" w:themeColor="text1"/>
          <w:sz w:val="20"/>
          <w:szCs w:val="20"/>
          <w:lang w:val="en-GB" w:eastAsia="en-GB"/>
        </w:rPr>
      </w:pPr>
    </w:p>
    <w:p w14:paraId="20EFECC4" w14:textId="71D17D31" w:rsidR="004745E8" w:rsidRPr="005F5C74" w:rsidRDefault="004745E8" w:rsidP="004745E8">
      <w:pPr>
        <w:spacing w:after="0"/>
        <w:jc w:val="both"/>
        <w:outlineLvl w:val="0"/>
        <w:rPr>
          <w:rFonts w:ascii="Times New Roman" w:hAnsi="Times New Roman"/>
          <w:color w:val="000000" w:themeColor="text1"/>
          <w:sz w:val="20"/>
          <w:szCs w:val="20"/>
          <w:lang w:val="en-GB" w:eastAsia="en-GB"/>
        </w:rPr>
      </w:pPr>
      <m:oMath>
        <m:r>
          <w:rPr>
            <w:rFonts w:ascii="Cambria Math" w:hAnsi="Cambria Math"/>
            <w:color w:val="000000" w:themeColor="text1"/>
            <w:sz w:val="20"/>
            <w:szCs w:val="20"/>
            <w:lang w:val="en-GB" w:eastAsia="en-GB"/>
          </w:rPr>
          <m:t>Youn</m:t>
        </m:r>
        <m:sSup>
          <m:sSupPr>
            <m:ctrlPr>
              <w:rPr>
                <w:rFonts w:ascii="Cambria Math" w:hAnsi="Cambria Math"/>
                <w:i/>
                <w:color w:val="000000" w:themeColor="text1"/>
                <w:sz w:val="20"/>
                <w:szCs w:val="20"/>
                <w:lang w:val="en-GB" w:eastAsia="en-GB"/>
              </w:rPr>
            </m:ctrlPr>
          </m:sSupPr>
          <m:e>
            <m:r>
              <w:rPr>
                <w:rFonts w:ascii="Cambria Math" w:hAnsi="Cambria Math"/>
                <w:color w:val="000000" w:themeColor="text1"/>
                <w:sz w:val="20"/>
                <w:szCs w:val="20"/>
                <w:lang w:val="en-GB" w:eastAsia="en-GB"/>
              </w:rPr>
              <m:t>g</m:t>
            </m:r>
          </m:e>
          <m:sup>
            <m:r>
              <w:rPr>
                <w:rFonts w:ascii="Cambria Math" w:hAnsi="Cambria Math"/>
                <w:color w:val="000000" w:themeColor="text1"/>
                <w:sz w:val="20"/>
                <w:szCs w:val="20"/>
                <w:lang w:val="en-GB" w:eastAsia="en-GB"/>
              </w:rPr>
              <m:t>'</m:t>
            </m:r>
          </m:sup>
        </m:sSup>
        <m:r>
          <w:rPr>
            <w:rFonts w:ascii="Cambria Math" w:hAnsi="Cambria Math"/>
            <w:color w:val="000000" w:themeColor="text1"/>
            <w:sz w:val="20"/>
            <w:szCs w:val="20"/>
            <w:lang w:val="en-GB" w:eastAsia="en-GB"/>
          </w:rPr>
          <m:t xml:space="preserve">s modulus MPa= </m:t>
        </m:r>
        <m:f>
          <m:fPr>
            <m:ctrlPr>
              <w:rPr>
                <w:rFonts w:ascii="Cambria Math" w:hAnsi="Cambria Math"/>
                <w:i/>
                <w:color w:val="000000" w:themeColor="text1"/>
                <w:sz w:val="20"/>
                <w:szCs w:val="20"/>
                <w:lang w:val="en-GB" w:eastAsia="en-GB"/>
              </w:rPr>
            </m:ctrlPr>
          </m:fPr>
          <m:num>
            <m:r>
              <w:rPr>
                <w:rFonts w:ascii="Cambria Math" w:hAnsi="Cambria Math"/>
                <w:color w:val="000000" w:themeColor="text1"/>
                <w:sz w:val="20"/>
                <w:szCs w:val="20"/>
                <w:lang w:val="en-GB" w:eastAsia="en-GB"/>
              </w:rPr>
              <m:t>Stress</m:t>
            </m:r>
          </m:num>
          <m:den>
            <m:r>
              <w:rPr>
                <w:rFonts w:ascii="Cambria Math" w:hAnsi="Cambria Math"/>
                <w:color w:val="000000" w:themeColor="text1"/>
                <w:sz w:val="20"/>
                <w:szCs w:val="20"/>
                <w:lang w:val="en-GB" w:eastAsia="en-GB"/>
              </w:rPr>
              <m:t>Strain</m:t>
            </m:r>
          </m:den>
        </m:f>
      </m:oMath>
      <w:r w:rsidRPr="005F5C74">
        <w:rPr>
          <w:rFonts w:ascii="Times New Roman" w:hAnsi="Times New Roman"/>
          <w:color w:val="000000" w:themeColor="text1"/>
          <w:sz w:val="20"/>
          <w:szCs w:val="20"/>
          <w:lang w:val="en-GB" w:eastAsia="en-GB"/>
        </w:rPr>
        <w:tab/>
      </w:r>
      <w:r>
        <w:rPr>
          <w:rFonts w:ascii="Times New Roman" w:hAnsi="Times New Roman"/>
          <w:color w:val="000000" w:themeColor="text1"/>
          <w:sz w:val="20"/>
          <w:szCs w:val="20"/>
          <w:lang w:val="en-GB" w:eastAsia="en-GB"/>
        </w:rPr>
        <w:t xml:space="preserve">                           </w:t>
      </w:r>
      <w:r w:rsidRPr="005F5C74">
        <w:rPr>
          <w:rFonts w:ascii="Times New Roman" w:hAnsi="Times New Roman"/>
          <w:color w:val="000000" w:themeColor="text1"/>
          <w:sz w:val="20"/>
          <w:szCs w:val="20"/>
          <w:lang w:val="en-GB" w:eastAsia="en-GB"/>
        </w:rPr>
        <w:t>(4)</w:t>
      </w:r>
    </w:p>
    <w:p w14:paraId="2F5AF172" w14:textId="77777777" w:rsidR="004745E8" w:rsidRPr="005F5C74" w:rsidRDefault="004745E8" w:rsidP="004745E8">
      <w:pPr>
        <w:spacing w:after="0"/>
        <w:jc w:val="both"/>
        <w:outlineLvl w:val="0"/>
        <w:rPr>
          <w:rFonts w:ascii="Times New Roman" w:hAnsi="Times New Roman"/>
          <w:color w:val="000000" w:themeColor="text1"/>
          <w:sz w:val="20"/>
          <w:szCs w:val="20"/>
          <w:lang w:val="en-GB" w:eastAsia="en-GB"/>
        </w:rPr>
      </w:pPr>
    </w:p>
    <w:p w14:paraId="4EED7EE0" w14:textId="77777777" w:rsidR="004745E8" w:rsidRPr="005F5C74" w:rsidRDefault="004745E8" w:rsidP="004745E8">
      <w:pPr>
        <w:spacing w:after="0"/>
        <w:jc w:val="both"/>
        <w:outlineLvl w:val="0"/>
        <w:rPr>
          <w:rFonts w:ascii="Times New Roman" w:hAnsi="Times New Roman"/>
          <w:bCs/>
          <w:color w:val="000000" w:themeColor="text1"/>
          <w:sz w:val="20"/>
          <w:szCs w:val="20"/>
          <w:lang w:val="en-GB" w:eastAsia="en-GB"/>
        </w:rPr>
      </w:pPr>
      <w:r w:rsidRPr="005F5C74">
        <w:rPr>
          <w:rFonts w:ascii="Times New Roman" w:hAnsi="Times New Roman"/>
          <w:color w:val="000000" w:themeColor="text1"/>
          <w:sz w:val="20"/>
          <w:szCs w:val="20"/>
          <w:lang w:val="en-GB" w:eastAsia="en-GB"/>
        </w:rPr>
        <w:t>where stress is determined as the tensile force (F)</w:t>
      </w:r>
      <w:r w:rsidRPr="005F5C74">
        <w:rPr>
          <w:rFonts w:ascii="Times New Roman" w:hAnsi="Times New Roman"/>
          <w:b/>
          <w:color w:val="000000" w:themeColor="text1"/>
          <w:sz w:val="20"/>
          <w:szCs w:val="20"/>
          <w:lang w:val="en-GB" w:eastAsia="en-GB"/>
        </w:rPr>
        <w:t xml:space="preserve"> / </w:t>
      </w:r>
      <w:r w:rsidRPr="005F5C74">
        <w:rPr>
          <w:rFonts w:ascii="Times New Roman" w:hAnsi="Times New Roman"/>
          <w:bCs/>
          <w:color w:val="000000" w:themeColor="text1"/>
          <w:sz w:val="20"/>
          <w:szCs w:val="20"/>
          <w:lang w:val="en-GB" w:eastAsia="en-GB"/>
        </w:rPr>
        <w:t>cross-sectional area (A) while strain is the length of film extension (e) / original film length (l</w:t>
      </w:r>
      <w:r w:rsidRPr="005F5C74">
        <w:rPr>
          <w:rFonts w:ascii="Times New Roman" w:hAnsi="Times New Roman"/>
          <w:bCs/>
          <w:color w:val="000000" w:themeColor="text1"/>
          <w:sz w:val="20"/>
          <w:szCs w:val="20"/>
          <w:vertAlign w:val="subscript"/>
          <w:lang w:val="en-GB" w:eastAsia="en-GB"/>
        </w:rPr>
        <w:t>o</w:t>
      </w:r>
      <w:r w:rsidRPr="005F5C74">
        <w:rPr>
          <w:rFonts w:ascii="Times New Roman" w:hAnsi="Times New Roman"/>
          <w:bCs/>
          <w:color w:val="000000" w:themeColor="text1"/>
          <w:sz w:val="20"/>
          <w:szCs w:val="20"/>
          <w:lang w:val="en-GB" w:eastAsia="en-GB"/>
        </w:rPr>
        <w:t>).</w:t>
      </w:r>
    </w:p>
    <w:p w14:paraId="082936C3" w14:textId="77777777" w:rsidR="004745E8" w:rsidRPr="005F5C74" w:rsidRDefault="004745E8" w:rsidP="004745E8">
      <w:pPr>
        <w:spacing w:after="0"/>
        <w:jc w:val="both"/>
        <w:outlineLvl w:val="0"/>
        <w:rPr>
          <w:rFonts w:ascii="Times New Roman" w:hAnsi="Times New Roman"/>
          <w:b/>
          <w:color w:val="548DD4" w:themeColor="text2" w:themeTint="99"/>
          <w:sz w:val="20"/>
          <w:szCs w:val="20"/>
          <w:lang w:val="en-GB"/>
        </w:rPr>
      </w:pPr>
    </w:p>
    <w:p w14:paraId="30269315"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 xml:space="preserve">Antimicrobial properties </w:t>
      </w:r>
    </w:p>
    <w:p w14:paraId="52E567F7" w14:textId="77777777" w:rsidR="004745E8" w:rsidRPr="005F5C74" w:rsidRDefault="004745E8" w:rsidP="004745E8">
      <w:pPr>
        <w:spacing w:after="0"/>
        <w:jc w:val="both"/>
        <w:outlineLvl w:val="0"/>
        <w:rPr>
          <w:rFonts w:ascii="Times New Roman" w:hAnsi="Times New Roman"/>
          <w:bCs/>
          <w:iCs/>
          <w:color w:val="000000" w:themeColor="text1"/>
          <w:sz w:val="20"/>
          <w:szCs w:val="20"/>
          <w:lang w:eastAsia="en-GB"/>
        </w:rPr>
      </w:pPr>
      <w:r w:rsidRPr="005F5C74">
        <w:rPr>
          <w:rFonts w:ascii="Times New Roman" w:hAnsi="Times New Roman"/>
          <w:bCs/>
          <w:color w:val="000000" w:themeColor="text1"/>
          <w:sz w:val="20"/>
          <w:szCs w:val="20"/>
          <w:lang w:eastAsia="en-GB"/>
        </w:rPr>
        <w:t>The film antimicrobial properties were analyzed using the agar disk diffusion method described by Chan et al. [18]. Antimicrobial activities of the film were examined against two bacteria (</w:t>
      </w:r>
      <w:r w:rsidRPr="005F5C74">
        <w:rPr>
          <w:rFonts w:ascii="Times New Roman" w:hAnsi="Times New Roman"/>
          <w:bCs/>
          <w:i/>
          <w:color w:val="000000" w:themeColor="text1"/>
          <w:sz w:val="20"/>
          <w:szCs w:val="20"/>
          <w:lang w:eastAsia="en-GB"/>
        </w:rPr>
        <w:t>Pseudomonas aeruginosa</w:t>
      </w:r>
      <w:r w:rsidRPr="005F5C74">
        <w:rPr>
          <w:rFonts w:ascii="Times New Roman" w:hAnsi="Times New Roman"/>
          <w:bCs/>
          <w:color w:val="000000" w:themeColor="text1"/>
          <w:sz w:val="20"/>
          <w:szCs w:val="20"/>
          <w:lang w:eastAsia="en-GB"/>
        </w:rPr>
        <w:t xml:space="preserve"> and </w:t>
      </w:r>
      <w:r w:rsidRPr="005F5C74">
        <w:rPr>
          <w:rFonts w:ascii="Times New Roman" w:hAnsi="Times New Roman"/>
          <w:bCs/>
          <w:i/>
          <w:color w:val="000000" w:themeColor="text1"/>
          <w:sz w:val="20"/>
          <w:szCs w:val="20"/>
          <w:lang w:eastAsia="en-GB"/>
        </w:rPr>
        <w:t>Staphylococcus aureus</w:t>
      </w:r>
      <w:r w:rsidRPr="005F5C74">
        <w:rPr>
          <w:rFonts w:ascii="Times New Roman" w:hAnsi="Times New Roman"/>
          <w:bCs/>
          <w:iCs/>
          <w:color w:val="000000" w:themeColor="text1"/>
          <w:sz w:val="20"/>
          <w:szCs w:val="20"/>
          <w:lang w:eastAsia="en-GB"/>
        </w:rPr>
        <w:t>)</w:t>
      </w:r>
      <w:r w:rsidRPr="005F5C74">
        <w:rPr>
          <w:rFonts w:ascii="Times New Roman" w:hAnsi="Times New Roman"/>
          <w:bCs/>
          <w:i/>
          <w:color w:val="000000" w:themeColor="text1"/>
          <w:sz w:val="20"/>
          <w:szCs w:val="20"/>
          <w:lang w:eastAsia="en-GB"/>
        </w:rPr>
        <w:t>.</w:t>
      </w:r>
      <w:r w:rsidRPr="005F5C74">
        <w:rPr>
          <w:rFonts w:ascii="Times New Roman" w:hAnsi="Times New Roman"/>
          <w:bCs/>
          <w:iCs/>
          <w:color w:val="000000" w:themeColor="text1"/>
          <w:sz w:val="20"/>
          <w:szCs w:val="20"/>
          <w:lang w:eastAsia="en-GB"/>
        </w:rPr>
        <w:t xml:space="preserve"> The bacterial suspension was prepared with reference to the 0.5 McFarland standard. Then, 100 µL of the suspension was inoculated on a Mueller-Hinton Agar and spread aseptically with a glass hockey stick.</w:t>
      </w:r>
    </w:p>
    <w:p w14:paraId="45D258AE" w14:textId="77777777" w:rsidR="004745E8" w:rsidRPr="005F5C74" w:rsidRDefault="004745E8" w:rsidP="004745E8">
      <w:pPr>
        <w:spacing w:after="0"/>
        <w:jc w:val="both"/>
        <w:outlineLvl w:val="0"/>
        <w:rPr>
          <w:rFonts w:ascii="Times New Roman" w:hAnsi="Times New Roman"/>
          <w:bCs/>
          <w:iCs/>
          <w:color w:val="000000" w:themeColor="text1"/>
          <w:sz w:val="20"/>
          <w:szCs w:val="20"/>
          <w:lang w:eastAsia="en-GB"/>
        </w:rPr>
      </w:pPr>
    </w:p>
    <w:p w14:paraId="31A0DEE8" w14:textId="77777777" w:rsidR="004745E8" w:rsidRPr="005F5C74" w:rsidRDefault="004745E8" w:rsidP="004745E8">
      <w:pPr>
        <w:spacing w:after="0"/>
        <w:jc w:val="both"/>
        <w:outlineLvl w:val="0"/>
        <w:rPr>
          <w:rFonts w:ascii="Times New Roman" w:hAnsi="Times New Roman"/>
          <w:bCs/>
          <w:color w:val="000000" w:themeColor="text1"/>
          <w:sz w:val="20"/>
          <w:szCs w:val="20"/>
          <w:lang w:eastAsia="en-GB"/>
        </w:rPr>
      </w:pPr>
      <w:r w:rsidRPr="005F5C74">
        <w:rPr>
          <w:rFonts w:ascii="Times New Roman" w:hAnsi="Times New Roman"/>
          <w:bCs/>
          <w:iCs/>
          <w:color w:val="000000" w:themeColor="text1"/>
          <w:sz w:val="20"/>
          <w:szCs w:val="20"/>
          <w:lang w:eastAsia="en-GB"/>
        </w:rPr>
        <w:t xml:space="preserve">Films were shaped into 6 mm diameter discs and aseptically placed onto the Mueller-Hinton Agar plates that were previously inoculated. </w:t>
      </w:r>
      <w:r w:rsidRPr="005F5C74">
        <w:rPr>
          <w:rFonts w:ascii="Times New Roman" w:hAnsi="Times New Roman"/>
          <w:bCs/>
          <w:color w:val="000000" w:themeColor="text1"/>
          <w:sz w:val="20"/>
          <w:szCs w:val="20"/>
          <w:lang w:eastAsia="en-GB"/>
        </w:rPr>
        <w:t>The positive control for</w:t>
      </w:r>
      <w:r w:rsidRPr="005F5C74">
        <w:rPr>
          <w:rFonts w:ascii="Times New Roman" w:hAnsi="Times New Roman"/>
          <w:bCs/>
          <w:i/>
          <w:color w:val="000000" w:themeColor="text1"/>
          <w:sz w:val="20"/>
          <w:szCs w:val="20"/>
          <w:lang w:eastAsia="en-GB"/>
        </w:rPr>
        <w:t xml:space="preserve"> Pseudomonas aeruginosa </w:t>
      </w:r>
      <w:r w:rsidRPr="005F5C74">
        <w:rPr>
          <w:rFonts w:ascii="Times New Roman" w:hAnsi="Times New Roman"/>
          <w:bCs/>
          <w:iCs/>
          <w:color w:val="000000" w:themeColor="text1"/>
          <w:sz w:val="20"/>
          <w:szCs w:val="20"/>
          <w:lang w:eastAsia="en-GB"/>
        </w:rPr>
        <w:t>was Streptomycin (10 mg/mL)</w:t>
      </w:r>
      <w:r w:rsidRPr="005F5C74">
        <w:rPr>
          <w:rFonts w:ascii="Times New Roman" w:hAnsi="Times New Roman"/>
          <w:bCs/>
          <w:i/>
          <w:color w:val="000000" w:themeColor="text1"/>
          <w:sz w:val="20"/>
          <w:szCs w:val="20"/>
          <w:lang w:eastAsia="en-GB"/>
        </w:rPr>
        <w:t>.</w:t>
      </w:r>
      <w:r w:rsidRPr="005F5C74">
        <w:rPr>
          <w:rFonts w:ascii="Times New Roman" w:hAnsi="Times New Roman"/>
          <w:bCs/>
          <w:iCs/>
          <w:color w:val="000000" w:themeColor="text1"/>
          <w:sz w:val="20"/>
          <w:szCs w:val="20"/>
          <w:lang w:eastAsia="en-GB"/>
        </w:rPr>
        <w:t xml:space="preserve"> For the </w:t>
      </w:r>
      <w:r w:rsidRPr="005F5C74">
        <w:rPr>
          <w:rFonts w:ascii="Times New Roman" w:hAnsi="Times New Roman"/>
          <w:bCs/>
          <w:i/>
          <w:color w:val="000000" w:themeColor="text1"/>
          <w:sz w:val="20"/>
          <w:szCs w:val="20"/>
          <w:lang w:eastAsia="en-GB"/>
        </w:rPr>
        <w:t>Staphylococcus aureus,</w:t>
      </w:r>
      <w:r w:rsidRPr="005F5C74">
        <w:rPr>
          <w:rFonts w:ascii="Times New Roman" w:hAnsi="Times New Roman"/>
          <w:bCs/>
          <w:color w:val="000000" w:themeColor="text1"/>
          <w:sz w:val="20"/>
          <w:szCs w:val="20"/>
          <w:lang w:eastAsia="en-GB"/>
        </w:rPr>
        <w:t xml:space="preserve"> penicillin (10 mg/mL) was used as the positive control. Ethanol was used as the negative control. The plates were then put into the incubator at 37°C for 24 h. The inhibition zone diameter including the edible film disk (6 mm) was determined with a vernier caliper.</w:t>
      </w:r>
    </w:p>
    <w:p w14:paraId="03944001" w14:textId="77777777" w:rsidR="004745E8" w:rsidRPr="005F5C74" w:rsidRDefault="004745E8" w:rsidP="004745E8">
      <w:pPr>
        <w:spacing w:after="0"/>
        <w:jc w:val="both"/>
        <w:outlineLvl w:val="0"/>
        <w:rPr>
          <w:rFonts w:ascii="Times New Roman" w:hAnsi="Times New Roman"/>
          <w:sz w:val="20"/>
          <w:szCs w:val="20"/>
        </w:rPr>
      </w:pPr>
    </w:p>
    <w:p w14:paraId="6968120B" w14:textId="77777777" w:rsidR="004745E8" w:rsidRPr="005F5C74" w:rsidRDefault="004745E8" w:rsidP="004745E8">
      <w:pPr>
        <w:pStyle w:val="NoSpacing"/>
        <w:spacing w:line="276" w:lineRule="auto"/>
        <w:jc w:val="both"/>
        <w:outlineLvl w:val="0"/>
        <w:rPr>
          <w:rFonts w:ascii="Times New Roman" w:hAnsi="Times New Roman"/>
          <w:b/>
          <w:kern w:val="2"/>
          <w:sz w:val="20"/>
          <w:szCs w:val="20"/>
          <w:lang w:eastAsia="ko-KR"/>
        </w:rPr>
      </w:pPr>
      <w:r w:rsidRPr="005F5C74">
        <w:rPr>
          <w:rFonts w:ascii="Times New Roman" w:hAnsi="Times New Roman"/>
          <w:b/>
          <w:kern w:val="2"/>
          <w:sz w:val="20"/>
          <w:szCs w:val="20"/>
          <w:lang w:eastAsia="ko-KR"/>
        </w:rPr>
        <w:t xml:space="preserve">Storage test of chicken meat </w:t>
      </w:r>
    </w:p>
    <w:p w14:paraId="58892C3A"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t>The chicken meat for storage test was prepared according to the method described by Higueras et al. [20]. After purchasing the chicken meat from the market, it was placed in an icebox and brought to the laboratory. It was cleaned with distilled water and lightly tamped with tissue paper. The chicken meat was cut into 2 cm × 2 cm size, 10 ± 1 g, and placed in the chiller at 4°C for further use.</w:t>
      </w:r>
    </w:p>
    <w:p w14:paraId="756E80C6" w14:textId="77777777" w:rsidR="006A0AF7" w:rsidRDefault="006A0AF7" w:rsidP="004745E8">
      <w:pPr>
        <w:spacing w:after="0"/>
        <w:jc w:val="both"/>
        <w:outlineLvl w:val="0"/>
        <w:rPr>
          <w:rFonts w:ascii="Times New Roman" w:hAnsi="Times New Roman"/>
          <w:sz w:val="20"/>
          <w:szCs w:val="20"/>
        </w:rPr>
        <w:sectPr w:rsidR="006A0AF7" w:rsidSect="00637594">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p>
    <w:p w14:paraId="429A1FB6"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lastRenderedPageBreak/>
        <w:t>The slices of chicken meat were then wrapped with the optimized film , which was based on the results of a previous analysis. They were then placed into a zip-lock bag. The chicken meat without film was also placed into a zip-lock bag and served as the control in this test. The chicken meat wrapped with film and the control were placed in the chiller at 4°C until analysis. They were stored for 15 days and the analysis on the chicken meats were conducted on day 0, 3, 6, 9, 12, and 15 of storage.</w:t>
      </w:r>
    </w:p>
    <w:p w14:paraId="2DBF69DA" w14:textId="77777777" w:rsidR="004745E8" w:rsidRPr="005F5C74" w:rsidRDefault="004745E8" w:rsidP="004745E8">
      <w:pPr>
        <w:spacing w:after="0"/>
        <w:jc w:val="both"/>
        <w:outlineLvl w:val="0"/>
        <w:rPr>
          <w:rFonts w:ascii="Times New Roman" w:hAnsi="Times New Roman"/>
          <w:b/>
          <w:color w:val="548DD4" w:themeColor="text2" w:themeTint="99"/>
          <w:sz w:val="20"/>
          <w:szCs w:val="20"/>
        </w:rPr>
      </w:pPr>
    </w:p>
    <w:p w14:paraId="234C96C8"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 xml:space="preserve">pH changes of chicken meat </w:t>
      </w:r>
    </w:p>
    <w:p w14:paraId="4C412E2D" w14:textId="77777777" w:rsidR="004745E8" w:rsidRPr="005F5C74" w:rsidRDefault="004745E8" w:rsidP="004745E8">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The pH of the chicken meat wrapped with film and control were measured following procedures described in Tantasuttikul et al. [21]. The films were peeled off the chicken meat and the chicken meat were put into a stomacher bag. Then, the stomacher bag was filled with 100 mL of distilled water. Then it underwent homogenization for 2 min using a stomacher (BagMixer 400, Interscience, France). The pH reading was measured by dipping the pH meter (pH700, EUTech Instruments, Singapore) into the mixture.</w:t>
      </w:r>
    </w:p>
    <w:p w14:paraId="7B956509" w14:textId="77777777" w:rsidR="004745E8" w:rsidRPr="005F5C74" w:rsidRDefault="004745E8" w:rsidP="004745E8">
      <w:pPr>
        <w:spacing w:after="0"/>
        <w:jc w:val="both"/>
        <w:outlineLvl w:val="0"/>
        <w:rPr>
          <w:rFonts w:ascii="Times New Roman" w:hAnsi="Times New Roman"/>
          <w:b/>
          <w:color w:val="548DD4" w:themeColor="text2" w:themeTint="99"/>
          <w:sz w:val="20"/>
          <w:szCs w:val="20"/>
        </w:rPr>
      </w:pPr>
    </w:p>
    <w:p w14:paraId="2D5211AB" w14:textId="77777777" w:rsidR="004745E8" w:rsidRPr="005F5C74" w:rsidRDefault="004745E8" w:rsidP="004745E8">
      <w:pPr>
        <w:spacing w:after="0"/>
        <w:jc w:val="both"/>
        <w:outlineLvl w:val="0"/>
        <w:rPr>
          <w:rFonts w:ascii="Times New Roman" w:hAnsi="Times New Roman"/>
          <w:b/>
          <w:sz w:val="20"/>
          <w:szCs w:val="20"/>
        </w:rPr>
      </w:pPr>
      <w:r w:rsidRPr="005F5C74">
        <w:rPr>
          <w:rFonts w:ascii="Times New Roman" w:hAnsi="Times New Roman"/>
          <w:b/>
          <w:sz w:val="20"/>
          <w:szCs w:val="20"/>
        </w:rPr>
        <w:t xml:space="preserve">Microbial changes of chicken meat </w:t>
      </w:r>
    </w:p>
    <w:p w14:paraId="407C894A" w14:textId="77777777" w:rsidR="004745E8" w:rsidRPr="005F5C74" w:rsidRDefault="004745E8" w:rsidP="004745E8">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total colony count was analyzed according to the procedures outlined in Remya et al. [46] with slight </w:t>
      </w:r>
      <w:r w:rsidRPr="005F5C74">
        <w:rPr>
          <w:rFonts w:ascii="Times New Roman" w:hAnsi="Times New Roman"/>
          <w:color w:val="000000" w:themeColor="text1"/>
          <w:sz w:val="20"/>
          <w:szCs w:val="20"/>
        </w:rPr>
        <w:t>modifications. The films were peeled off the chicken meat and the chicken meat were put into a stomacher bag. Then, 90 mL of peptone water was poured into the stomacher bag, which underwent homogenization for 2 min using a stomacher. The homogenized chicken mixture underwent serial dilutions from 10</w:t>
      </w:r>
      <w:r w:rsidRPr="005F5C74">
        <w:rPr>
          <w:rFonts w:ascii="Times New Roman" w:hAnsi="Times New Roman"/>
          <w:color w:val="000000" w:themeColor="text1"/>
          <w:sz w:val="20"/>
          <w:szCs w:val="20"/>
          <w:vertAlign w:val="superscript"/>
        </w:rPr>
        <w:t>-1</w:t>
      </w:r>
      <w:r w:rsidRPr="005F5C74">
        <w:rPr>
          <w:rFonts w:ascii="Times New Roman" w:hAnsi="Times New Roman"/>
          <w:color w:val="000000" w:themeColor="text1"/>
          <w:sz w:val="20"/>
          <w:szCs w:val="20"/>
        </w:rPr>
        <w:t xml:space="preserve"> up until 10</w:t>
      </w:r>
      <w:r w:rsidRPr="005F5C74">
        <w:rPr>
          <w:rFonts w:ascii="Times New Roman" w:hAnsi="Times New Roman"/>
          <w:color w:val="000000" w:themeColor="text1"/>
          <w:sz w:val="20"/>
          <w:szCs w:val="20"/>
          <w:vertAlign w:val="superscript"/>
        </w:rPr>
        <w:t>-6</w:t>
      </w:r>
      <w:r w:rsidRPr="005F5C74">
        <w:rPr>
          <w:rFonts w:ascii="Times New Roman" w:hAnsi="Times New Roman"/>
          <w:color w:val="000000" w:themeColor="text1"/>
          <w:sz w:val="20"/>
          <w:szCs w:val="20"/>
        </w:rPr>
        <w:t xml:space="preserve"> using peptone water. After homogenization, 100 µL of each serial dilution was inoculated on a plate count agar and a glass hockey stick was used to spread the inoculations evenly. The plates were incubated for 24 h at 37°C. After incubation, the colonies were counted with the results expressed as log</w:t>
      </w:r>
      <w:r w:rsidRPr="005F5C74">
        <w:rPr>
          <w:rFonts w:ascii="Times New Roman" w:hAnsi="Times New Roman"/>
          <w:color w:val="000000" w:themeColor="text1"/>
          <w:sz w:val="20"/>
          <w:szCs w:val="20"/>
          <w:vertAlign w:val="subscript"/>
        </w:rPr>
        <w:t>10</w:t>
      </w:r>
      <w:r w:rsidRPr="005F5C74">
        <w:rPr>
          <w:rFonts w:ascii="Times New Roman" w:hAnsi="Times New Roman"/>
          <w:color w:val="000000" w:themeColor="text1"/>
          <w:sz w:val="20"/>
          <w:szCs w:val="20"/>
        </w:rPr>
        <w:t xml:space="preserve"> (CFU/mL).</w:t>
      </w:r>
    </w:p>
    <w:p w14:paraId="04ABB042" w14:textId="77777777" w:rsidR="004745E8" w:rsidRPr="005F5C74" w:rsidRDefault="004745E8" w:rsidP="004745E8">
      <w:pPr>
        <w:spacing w:after="0"/>
        <w:jc w:val="both"/>
        <w:outlineLvl w:val="0"/>
        <w:rPr>
          <w:rFonts w:ascii="Times New Roman" w:hAnsi="Times New Roman"/>
          <w:b/>
          <w:color w:val="548DD4" w:themeColor="text2" w:themeTint="99"/>
          <w:sz w:val="20"/>
          <w:szCs w:val="20"/>
        </w:rPr>
      </w:pPr>
    </w:p>
    <w:p w14:paraId="49957552" w14:textId="77777777" w:rsidR="004745E8" w:rsidRPr="005F5C74" w:rsidRDefault="004745E8" w:rsidP="004745E8">
      <w:pPr>
        <w:spacing w:after="0"/>
        <w:jc w:val="both"/>
        <w:outlineLvl w:val="0"/>
        <w:rPr>
          <w:rFonts w:ascii="Times New Roman" w:hAnsi="Times New Roman"/>
          <w:b/>
          <w:color w:val="548DD4" w:themeColor="text2" w:themeTint="99"/>
          <w:sz w:val="20"/>
          <w:szCs w:val="20"/>
        </w:rPr>
      </w:pPr>
      <w:r w:rsidRPr="005F5C74">
        <w:rPr>
          <w:rFonts w:ascii="Times New Roman" w:hAnsi="Times New Roman"/>
          <w:b/>
          <w:sz w:val="20"/>
          <w:szCs w:val="20"/>
        </w:rPr>
        <w:t>Statistical analysis</w:t>
      </w:r>
    </w:p>
    <w:p w14:paraId="05C29E1D" w14:textId="77777777" w:rsidR="004745E8" w:rsidRPr="00F447A7" w:rsidRDefault="004745E8" w:rsidP="004745E8">
      <w:pPr>
        <w:spacing w:after="0"/>
        <w:jc w:val="both"/>
        <w:rPr>
          <w:rFonts w:ascii="Times New Roman" w:hAnsi="Times New Roman"/>
          <w:noProof/>
          <w:sz w:val="20"/>
          <w:szCs w:val="20"/>
          <w:lang w:bidi="ar-SA"/>
        </w:rPr>
      </w:pPr>
      <w:r w:rsidRPr="005F5C74">
        <w:rPr>
          <w:rFonts w:ascii="Times New Roman" w:hAnsi="Times New Roman"/>
          <w:bCs/>
          <w:color w:val="000000" w:themeColor="text1"/>
          <w:sz w:val="20"/>
          <w:szCs w:val="20"/>
        </w:rPr>
        <w:t xml:space="preserve">Results were expressed as mean ± standard deviation of three determinations. The results were statistically analyzed using Minitab version 17 (p </w:t>
      </w:r>
      <m:oMath>
        <m:r>
          <w:rPr>
            <w:rFonts w:ascii="Cambria Math" w:hAnsi="Cambria Math"/>
            <w:color w:val="000000" w:themeColor="text1"/>
            <w:sz w:val="20"/>
            <w:szCs w:val="20"/>
          </w:rPr>
          <m:t xml:space="preserve">≤ </m:t>
        </m:r>
      </m:oMath>
      <w:r w:rsidRPr="005F5C74">
        <w:rPr>
          <w:rFonts w:ascii="Times New Roman" w:hAnsi="Times New Roman"/>
          <w:bCs/>
          <w:color w:val="000000" w:themeColor="text1"/>
          <w:sz w:val="20"/>
          <w:szCs w:val="20"/>
        </w:rPr>
        <w:t>0.05) (Minitab, USA). The comparison of means was performed by one-way analysis of variance followed by Tukey’s test. The Paired T-test was conducted to analyze results of total colony count and pH reading between the chicken meat wrapped with film and chicken meat without film (control).</w:t>
      </w:r>
    </w:p>
    <w:p w14:paraId="268BB570" w14:textId="060DC127" w:rsidR="004745E8" w:rsidRDefault="004745E8" w:rsidP="005F5C74">
      <w:pPr>
        <w:spacing w:after="0"/>
        <w:jc w:val="both"/>
        <w:rPr>
          <w:rFonts w:ascii="Times New Roman" w:hAnsi="Times New Roman"/>
          <w:color w:val="000000" w:themeColor="text1"/>
          <w:sz w:val="20"/>
          <w:szCs w:val="20"/>
        </w:rPr>
        <w:sectPr w:rsidR="004745E8" w:rsidSect="006A0AF7">
          <w:headerReference w:type="even" r:id="rId19"/>
          <w:headerReference w:type="default"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5BDA2993" w14:textId="77777777" w:rsidR="005F5C74" w:rsidRPr="005F5C74" w:rsidRDefault="005F5C74" w:rsidP="005F5C74">
      <w:pPr>
        <w:spacing w:after="0"/>
        <w:jc w:val="both"/>
        <w:rPr>
          <w:rFonts w:ascii="Times New Roman" w:hAnsi="Times New Roman"/>
          <w:color w:val="000000" w:themeColor="text1"/>
          <w:sz w:val="20"/>
          <w:szCs w:val="20"/>
        </w:rPr>
      </w:pPr>
    </w:p>
    <w:p w14:paraId="42DA4D31" w14:textId="6B5217B3" w:rsidR="005F5C74" w:rsidRPr="005F5C74" w:rsidRDefault="005F5C74" w:rsidP="005F5C74">
      <w:pPr>
        <w:spacing w:after="120"/>
        <w:jc w:val="center"/>
        <w:rPr>
          <w:rFonts w:ascii="Times New Roman" w:hAnsi="Times New Roman"/>
          <w:sz w:val="20"/>
          <w:szCs w:val="20"/>
          <w:lang w:val="en-GB"/>
        </w:rPr>
      </w:pPr>
      <w:r w:rsidRPr="005F5C74">
        <w:rPr>
          <w:rFonts w:ascii="Times New Roman" w:hAnsi="Times New Roman"/>
          <w:sz w:val="20"/>
          <w:szCs w:val="20"/>
          <w:lang w:val="en-GB"/>
        </w:rPr>
        <w:t xml:space="preserve">Table 1. </w:t>
      </w:r>
      <w:r>
        <w:rPr>
          <w:rFonts w:ascii="Times New Roman" w:hAnsi="Times New Roman"/>
          <w:sz w:val="20"/>
          <w:szCs w:val="20"/>
          <w:lang w:val="en-GB"/>
        </w:rPr>
        <w:t xml:space="preserve"> </w:t>
      </w:r>
      <w:r w:rsidRPr="005F5C74">
        <w:rPr>
          <w:rFonts w:ascii="Times New Roman" w:hAnsi="Times New Roman"/>
          <w:sz w:val="20"/>
          <w:szCs w:val="20"/>
          <w:lang w:val="en-GB"/>
        </w:rPr>
        <w:t xml:space="preserve">Formulation of chitosan film incorporated with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sz w:val="20"/>
          <w:szCs w:val="20"/>
          <w:lang w:val="en-GB"/>
        </w:rPr>
        <w:t xml:space="preserve"> extract</w:t>
      </w:r>
    </w:p>
    <w:tbl>
      <w:tblPr>
        <w:tblStyle w:val="TableGrid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2233"/>
        <w:gridCol w:w="2961"/>
      </w:tblGrid>
      <w:tr w:rsidR="005F5C74" w:rsidRPr="005F5C74" w14:paraId="076395C4" w14:textId="77777777" w:rsidTr="005F5C74">
        <w:trPr>
          <w:jc w:val="center"/>
        </w:trPr>
        <w:tc>
          <w:tcPr>
            <w:tcW w:w="0" w:type="auto"/>
            <w:tcBorders>
              <w:top w:val="single" w:sz="4" w:space="0" w:color="auto"/>
              <w:bottom w:val="single" w:sz="4" w:space="0" w:color="auto"/>
            </w:tcBorders>
          </w:tcPr>
          <w:p w14:paraId="4BD0344E" w14:textId="77777777" w:rsidR="005F5C74" w:rsidRPr="005F5C74" w:rsidRDefault="005F5C74" w:rsidP="005F5C74">
            <w:pPr>
              <w:spacing w:before="120" w:after="0"/>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0D737692" w14:textId="34808D67" w:rsidR="005F5C74" w:rsidRPr="005F5C74" w:rsidRDefault="005F5C74" w:rsidP="005F5C74">
            <w:pPr>
              <w:spacing w:before="60" w:after="0"/>
              <w:jc w:val="center"/>
              <w:rPr>
                <w:rFonts w:ascii="Times New Roman"/>
                <w:b/>
                <w:bCs/>
                <w:sz w:val="20"/>
                <w:szCs w:val="20"/>
              </w:rPr>
            </w:pPr>
            <w:r w:rsidRPr="005F5C74">
              <w:rPr>
                <w:rFonts w:ascii="Times New Roman"/>
                <w:b/>
                <w:bCs/>
                <w:sz w:val="20"/>
                <w:szCs w:val="20"/>
              </w:rPr>
              <w:t>Glycerol Concentration</w:t>
            </w:r>
          </w:p>
          <w:p w14:paraId="2198778A" w14:textId="77777777" w:rsidR="005F5C74" w:rsidRPr="005F5C74" w:rsidRDefault="005F5C74" w:rsidP="005F5C74">
            <w:pPr>
              <w:spacing w:after="0"/>
              <w:jc w:val="center"/>
              <w:rPr>
                <w:rFonts w:ascii="Times New Roman"/>
                <w:b/>
                <w:bCs/>
                <w:sz w:val="20"/>
                <w:szCs w:val="20"/>
              </w:rPr>
            </w:pPr>
            <w:r w:rsidRPr="005F5C74">
              <w:rPr>
                <w:rFonts w:ascii="Times New Roman"/>
                <w:b/>
                <w:bCs/>
                <w:sz w:val="20"/>
                <w:szCs w:val="20"/>
              </w:rPr>
              <w:t>(%)</w:t>
            </w:r>
          </w:p>
        </w:tc>
        <w:tc>
          <w:tcPr>
            <w:tcW w:w="0" w:type="auto"/>
            <w:tcBorders>
              <w:top w:val="single" w:sz="4" w:space="0" w:color="auto"/>
              <w:bottom w:val="single" w:sz="4" w:space="0" w:color="auto"/>
            </w:tcBorders>
          </w:tcPr>
          <w:p w14:paraId="712E9AF5" w14:textId="42BD71B3" w:rsidR="005F5C74" w:rsidRPr="005F5C74" w:rsidRDefault="005F5C74" w:rsidP="005F5C74">
            <w:pPr>
              <w:spacing w:before="60" w:after="0"/>
              <w:jc w:val="center"/>
              <w:rPr>
                <w:rFonts w:ascii="Times New Roman"/>
                <w:b/>
                <w:bCs/>
                <w:sz w:val="20"/>
                <w:szCs w:val="20"/>
              </w:rPr>
            </w:pPr>
            <w:r w:rsidRPr="005F5C74">
              <w:rPr>
                <w:rFonts w:ascii="Times New Roman"/>
                <w:b/>
                <w:bCs/>
                <w:sz w:val="20"/>
                <w:szCs w:val="20"/>
              </w:rPr>
              <w:t>Sodium Chloride Concentration</w:t>
            </w:r>
          </w:p>
          <w:p w14:paraId="23FBA131" w14:textId="77777777" w:rsidR="005F5C74" w:rsidRPr="005F5C74" w:rsidRDefault="005F5C74" w:rsidP="005F5C74">
            <w:pPr>
              <w:spacing w:after="60"/>
              <w:jc w:val="center"/>
              <w:rPr>
                <w:rFonts w:ascii="Times New Roman"/>
                <w:b/>
                <w:bCs/>
                <w:sz w:val="20"/>
                <w:szCs w:val="20"/>
              </w:rPr>
            </w:pPr>
            <w:r w:rsidRPr="005F5C74">
              <w:rPr>
                <w:rFonts w:ascii="Times New Roman"/>
                <w:b/>
                <w:bCs/>
                <w:sz w:val="20"/>
                <w:szCs w:val="20"/>
              </w:rPr>
              <w:t>(mM)</w:t>
            </w:r>
          </w:p>
        </w:tc>
      </w:tr>
      <w:tr w:rsidR="005F5C74" w:rsidRPr="005F5C74" w14:paraId="31E29015" w14:textId="77777777" w:rsidTr="005F5C74">
        <w:trPr>
          <w:trHeight w:val="281"/>
          <w:jc w:val="center"/>
        </w:trPr>
        <w:tc>
          <w:tcPr>
            <w:tcW w:w="0" w:type="auto"/>
            <w:tcBorders>
              <w:top w:val="single" w:sz="4" w:space="0" w:color="auto"/>
            </w:tcBorders>
          </w:tcPr>
          <w:p w14:paraId="12754630" w14:textId="77777777" w:rsidR="005F5C74" w:rsidRPr="005F5C74" w:rsidRDefault="005F5C74" w:rsidP="005F5C74">
            <w:pPr>
              <w:spacing w:before="60" w:after="0"/>
              <w:rPr>
                <w:rFonts w:ascii="Times New Roman"/>
                <w:sz w:val="20"/>
                <w:szCs w:val="20"/>
              </w:rPr>
            </w:pPr>
            <w:r w:rsidRPr="005F5C74">
              <w:rPr>
                <w:rFonts w:ascii="Times New Roman"/>
                <w:sz w:val="20"/>
                <w:szCs w:val="20"/>
              </w:rPr>
              <w:t xml:space="preserve">A </w:t>
            </w:r>
          </w:p>
        </w:tc>
        <w:tc>
          <w:tcPr>
            <w:tcW w:w="0" w:type="auto"/>
            <w:tcBorders>
              <w:top w:val="single" w:sz="4" w:space="0" w:color="auto"/>
            </w:tcBorders>
          </w:tcPr>
          <w:p w14:paraId="38126BF1"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lang w:val="en-MY"/>
              </w:rPr>
              <w:t>0.0</w:t>
            </w:r>
          </w:p>
        </w:tc>
        <w:tc>
          <w:tcPr>
            <w:tcW w:w="0" w:type="auto"/>
            <w:tcBorders>
              <w:top w:val="single" w:sz="4" w:space="0" w:color="auto"/>
            </w:tcBorders>
          </w:tcPr>
          <w:p w14:paraId="35C3C17C"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rPr>
              <w:t>0.0</w:t>
            </w:r>
          </w:p>
        </w:tc>
      </w:tr>
      <w:tr w:rsidR="005F5C74" w:rsidRPr="005F5C74" w14:paraId="299FF4B0" w14:textId="77777777" w:rsidTr="00BD379D">
        <w:trPr>
          <w:jc w:val="center"/>
        </w:trPr>
        <w:tc>
          <w:tcPr>
            <w:tcW w:w="0" w:type="auto"/>
          </w:tcPr>
          <w:p w14:paraId="5BBE4DE5" w14:textId="77777777" w:rsidR="005F5C74" w:rsidRPr="005F5C74" w:rsidRDefault="005F5C74" w:rsidP="005F5C74">
            <w:pPr>
              <w:spacing w:before="60" w:after="0"/>
              <w:rPr>
                <w:rFonts w:ascii="Times New Roman"/>
                <w:sz w:val="20"/>
                <w:szCs w:val="20"/>
              </w:rPr>
            </w:pPr>
            <w:r w:rsidRPr="005F5C74">
              <w:rPr>
                <w:rFonts w:ascii="Times New Roman"/>
                <w:sz w:val="20"/>
                <w:szCs w:val="20"/>
              </w:rPr>
              <w:t>B</w:t>
            </w:r>
          </w:p>
        </w:tc>
        <w:tc>
          <w:tcPr>
            <w:tcW w:w="0" w:type="auto"/>
          </w:tcPr>
          <w:p w14:paraId="2EBF22FC"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lang w:val="en-MY"/>
              </w:rPr>
              <w:t>0.5</w:t>
            </w:r>
          </w:p>
        </w:tc>
        <w:tc>
          <w:tcPr>
            <w:tcW w:w="0" w:type="auto"/>
          </w:tcPr>
          <w:p w14:paraId="75ADDA63"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rPr>
              <w:t>0.0</w:t>
            </w:r>
          </w:p>
        </w:tc>
      </w:tr>
      <w:tr w:rsidR="005F5C74" w:rsidRPr="005F5C74" w14:paraId="6A1B9ACE" w14:textId="77777777" w:rsidTr="00BD379D">
        <w:trPr>
          <w:jc w:val="center"/>
        </w:trPr>
        <w:tc>
          <w:tcPr>
            <w:tcW w:w="0" w:type="auto"/>
          </w:tcPr>
          <w:p w14:paraId="787ACCFD" w14:textId="77777777" w:rsidR="005F5C74" w:rsidRPr="005F5C74" w:rsidRDefault="005F5C74" w:rsidP="005F5C74">
            <w:pPr>
              <w:spacing w:before="60" w:after="0"/>
              <w:rPr>
                <w:rFonts w:ascii="Times New Roman"/>
                <w:sz w:val="20"/>
                <w:szCs w:val="20"/>
              </w:rPr>
            </w:pPr>
            <w:r w:rsidRPr="005F5C74">
              <w:rPr>
                <w:rFonts w:ascii="Times New Roman"/>
                <w:sz w:val="20"/>
                <w:szCs w:val="20"/>
              </w:rPr>
              <w:t>C</w:t>
            </w:r>
          </w:p>
        </w:tc>
        <w:tc>
          <w:tcPr>
            <w:tcW w:w="0" w:type="auto"/>
          </w:tcPr>
          <w:p w14:paraId="1A1709F0"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lang w:val="en-MY"/>
              </w:rPr>
              <w:t>1.0</w:t>
            </w:r>
          </w:p>
        </w:tc>
        <w:tc>
          <w:tcPr>
            <w:tcW w:w="0" w:type="auto"/>
          </w:tcPr>
          <w:p w14:paraId="00E4F1C4"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rPr>
              <w:t>5.0</w:t>
            </w:r>
          </w:p>
        </w:tc>
      </w:tr>
      <w:tr w:rsidR="005F5C74" w:rsidRPr="005F5C74" w14:paraId="341F480A" w14:textId="77777777" w:rsidTr="005F5C74">
        <w:trPr>
          <w:jc w:val="center"/>
        </w:trPr>
        <w:tc>
          <w:tcPr>
            <w:tcW w:w="0" w:type="auto"/>
          </w:tcPr>
          <w:p w14:paraId="400ED04A" w14:textId="77777777" w:rsidR="005F5C74" w:rsidRPr="005F5C74" w:rsidRDefault="005F5C74" w:rsidP="005F5C74">
            <w:pPr>
              <w:spacing w:before="60" w:after="0"/>
              <w:rPr>
                <w:rFonts w:ascii="Times New Roman"/>
                <w:sz w:val="20"/>
                <w:szCs w:val="20"/>
              </w:rPr>
            </w:pPr>
            <w:r w:rsidRPr="005F5C74">
              <w:rPr>
                <w:rFonts w:ascii="Times New Roman"/>
                <w:sz w:val="20"/>
                <w:szCs w:val="20"/>
              </w:rPr>
              <w:t>D</w:t>
            </w:r>
          </w:p>
        </w:tc>
        <w:tc>
          <w:tcPr>
            <w:tcW w:w="0" w:type="auto"/>
          </w:tcPr>
          <w:p w14:paraId="13598B11"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lang w:val="en-MY"/>
              </w:rPr>
              <w:t>1.5</w:t>
            </w:r>
          </w:p>
        </w:tc>
        <w:tc>
          <w:tcPr>
            <w:tcW w:w="0" w:type="auto"/>
          </w:tcPr>
          <w:p w14:paraId="6D38B908" w14:textId="77777777" w:rsidR="005F5C74" w:rsidRPr="005F5C74" w:rsidRDefault="005F5C74" w:rsidP="005F5C74">
            <w:pPr>
              <w:spacing w:before="60" w:after="0"/>
              <w:jc w:val="center"/>
              <w:rPr>
                <w:rFonts w:ascii="Times New Roman"/>
                <w:sz w:val="20"/>
                <w:szCs w:val="20"/>
              </w:rPr>
            </w:pPr>
            <w:r w:rsidRPr="005F5C74">
              <w:rPr>
                <w:rFonts w:ascii="Times New Roman"/>
                <w:sz w:val="20"/>
                <w:szCs w:val="20"/>
              </w:rPr>
              <w:t>10.0</w:t>
            </w:r>
          </w:p>
        </w:tc>
      </w:tr>
      <w:tr w:rsidR="005F5C74" w:rsidRPr="005F5C74" w14:paraId="70BFCFD4" w14:textId="77777777" w:rsidTr="005F5C74">
        <w:trPr>
          <w:trHeight w:val="104"/>
          <w:jc w:val="center"/>
        </w:trPr>
        <w:tc>
          <w:tcPr>
            <w:tcW w:w="0" w:type="auto"/>
            <w:tcBorders>
              <w:bottom w:val="single" w:sz="4" w:space="0" w:color="auto"/>
            </w:tcBorders>
          </w:tcPr>
          <w:p w14:paraId="2F1B8345" w14:textId="77777777" w:rsidR="005F5C74" w:rsidRPr="005F5C74" w:rsidRDefault="005F5C74" w:rsidP="005F5C74">
            <w:pPr>
              <w:spacing w:before="60" w:after="60"/>
              <w:rPr>
                <w:rFonts w:ascii="Times New Roman"/>
                <w:sz w:val="20"/>
                <w:szCs w:val="20"/>
              </w:rPr>
            </w:pPr>
            <w:r w:rsidRPr="005F5C74">
              <w:rPr>
                <w:rFonts w:ascii="Times New Roman"/>
                <w:sz w:val="20"/>
                <w:szCs w:val="20"/>
              </w:rPr>
              <w:t>E</w:t>
            </w:r>
          </w:p>
        </w:tc>
        <w:tc>
          <w:tcPr>
            <w:tcW w:w="0" w:type="auto"/>
            <w:tcBorders>
              <w:bottom w:val="single" w:sz="4" w:space="0" w:color="auto"/>
            </w:tcBorders>
          </w:tcPr>
          <w:p w14:paraId="4D87CD86" w14:textId="77777777" w:rsidR="005F5C74" w:rsidRPr="005F5C74" w:rsidRDefault="005F5C74" w:rsidP="005F5C74">
            <w:pPr>
              <w:spacing w:before="60" w:after="60"/>
              <w:jc w:val="center"/>
              <w:rPr>
                <w:rFonts w:ascii="Times New Roman"/>
                <w:sz w:val="20"/>
                <w:szCs w:val="20"/>
              </w:rPr>
            </w:pPr>
            <w:r w:rsidRPr="005F5C74">
              <w:rPr>
                <w:rFonts w:ascii="Times New Roman"/>
                <w:sz w:val="20"/>
                <w:szCs w:val="20"/>
                <w:lang w:val="en-MY"/>
              </w:rPr>
              <w:t>2.0</w:t>
            </w:r>
          </w:p>
        </w:tc>
        <w:tc>
          <w:tcPr>
            <w:tcW w:w="0" w:type="auto"/>
            <w:tcBorders>
              <w:bottom w:val="single" w:sz="4" w:space="0" w:color="auto"/>
            </w:tcBorders>
          </w:tcPr>
          <w:p w14:paraId="6DE47740" w14:textId="77777777" w:rsidR="005F5C74" w:rsidRPr="005F5C74" w:rsidRDefault="005F5C74" w:rsidP="005F5C74">
            <w:pPr>
              <w:spacing w:before="60" w:after="60"/>
              <w:jc w:val="center"/>
              <w:rPr>
                <w:rFonts w:ascii="Times New Roman"/>
                <w:sz w:val="20"/>
                <w:szCs w:val="20"/>
              </w:rPr>
            </w:pPr>
            <w:r w:rsidRPr="005F5C74">
              <w:rPr>
                <w:rFonts w:ascii="Times New Roman"/>
                <w:sz w:val="20"/>
                <w:szCs w:val="20"/>
              </w:rPr>
              <w:t>10.5</w:t>
            </w:r>
          </w:p>
        </w:tc>
      </w:tr>
    </w:tbl>
    <w:p w14:paraId="00E48210" w14:textId="77777777" w:rsidR="005F5C74" w:rsidRPr="005F5C74" w:rsidRDefault="005F5C74" w:rsidP="005F5C74">
      <w:pPr>
        <w:spacing w:before="60" w:after="0"/>
        <w:jc w:val="both"/>
        <w:outlineLvl w:val="0"/>
        <w:rPr>
          <w:rFonts w:ascii="Times New Roman" w:hAnsi="Times New Roman"/>
          <w:sz w:val="20"/>
          <w:szCs w:val="20"/>
        </w:rPr>
      </w:pPr>
    </w:p>
    <w:p w14:paraId="3E811FE3" w14:textId="77777777" w:rsidR="005F5C74" w:rsidRDefault="005F5C74" w:rsidP="002B412F">
      <w:pPr>
        <w:spacing w:after="0"/>
        <w:jc w:val="center"/>
        <w:rPr>
          <w:rFonts w:ascii="Times New Roman" w:hAnsi="Times New Roman"/>
          <w:b/>
          <w:noProof/>
          <w:sz w:val="20"/>
          <w:szCs w:val="20"/>
          <w:lang w:bidi="ar-SA"/>
        </w:rPr>
      </w:pPr>
    </w:p>
    <w:p w14:paraId="3E0925D9" w14:textId="77777777" w:rsidR="004745E8" w:rsidRDefault="004745E8" w:rsidP="002B412F">
      <w:pPr>
        <w:spacing w:after="0"/>
        <w:jc w:val="center"/>
        <w:rPr>
          <w:rFonts w:ascii="Times New Roman" w:hAnsi="Times New Roman"/>
          <w:b/>
          <w:noProof/>
          <w:sz w:val="20"/>
          <w:szCs w:val="20"/>
          <w:lang w:bidi="ar-SA"/>
        </w:rPr>
        <w:sectPr w:rsidR="004745E8" w:rsidSect="00637594">
          <w:type w:val="continuous"/>
          <w:pgSz w:w="12240" w:h="15840" w:code="1"/>
          <w:pgMar w:top="1800" w:right="1469" w:bottom="1699" w:left="1440" w:header="706" w:footer="706" w:gutter="0"/>
          <w:pgNumType w:start="1"/>
          <w:cols w:space="708"/>
          <w:docGrid w:linePitch="360"/>
        </w:sectPr>
      </w:pPr>
    </w:p>
    <w:p w14:paraId="4792DC26" w14:textId="0CBCB219"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79E2C049" w14:textId="77777777" w:rsidR="005F5C74" w:rsidRDefault="005F5C74" w:rsidP="005F5C74">
      <w:pPr>
        <w:spacing w:after="0"/>
        <w:jc w:val="both"/>
        <w:outlineLvl w:val="0"/>
        <w:rPr>
          <w:rFonts w:ascii="Times New Roman" w:hAnsi="Times New Roman"/>
          <w:b/>
          <w:sz w:val="20"/>
          <w:szCs w:val="20"/>
        </w:rPr>
      </w:pPr>
      <w:r w:rsidRPr="005F5C74">
        <w:rPr>
          <w:rFonts w:ascii="Times New Roman" w:hAnsi="Times New Roman"/>
          <w:b/>
          <w:sz w:val="20"/>
          <w:szCs w:val="20"/>
        </w:rPr>
        <w:t>Physical properties of films</w:t>
      </w:r>
    </w:p>
    <w:p w14:paraId="775DEF0B" w14:textId="33B32016" w:rsidR="005F5C74" w:rsidRPr="002D73C3" w:rsidRDefault="005F5C74" w:rsidP="005F5C74">
      <w:pPr>
        <w:spacing w:after="0"/>
        <w:jc w:val="both"/>
        <w:outlineLvl w:val="0"/>
        <w:rPr>
          <w:rFonts w:ascii="Times New Roman" w:hAnsi="Times New Roman"/>
          <w:b/>
          <w:i/>
          <w:iCs/>
          <w:sz w:val="20"/>
          <w:szCs w:val="20"/>
        </w:rPr>
      </w:pPr>
      <w:r w:rsidRPr="002D73C3">
        <w:rPr>
          <w:rFonts w:ascii="Times New Roman" w:hAnsi="Times New Roman"/>
          <w:b/>
          <w:i/>
          <w:iCs/>
          <w:sz w:val="20"/>
          <w:szCs w:val="20"/>
        </w:rPr>
        <w:t>Moisture content</w:t>
      </w:r>
    </w:p>
    <w:p w14:paraId="69A85F59" w14:textId="77777777" w:rsidR="005F5C74" w:rsidRPr="005F5C74" w:rsidRDefault="005F5C74" w:rsidP="005F5C74">
      <w:pPr>
        <w:spacing w:after="0"/>
        <w:jc w:val="both"/>
        <w:outlineLvl w:val="0"/>
        <w:rPr>
          <w:rFonts w:ascii="Times New Roman" w:hAnsi="Times New Roman"/>
          <w:sz w:val="20"/>
          <w:szCs w:val="20"/>
        </w:rPr>
      </w:pPr>
      <w:r w:rsidRPr="005F5C74">
        <w:rPr>
          <w:rFonts w:ascii="Times New Roman" w:hAnsi="Times New Roman"/>
          <w:sz w:val="20"/>
          <w:szCs w:val="20"/>
        </w:rPr>
        <w:t xml:space="preserve">Dehghani et al. [22] showed that low moisture content is usually favorable for edible films as it reduces the risk of microbial growth. Table 2 presents the moisture content of each chitosan film with </w:t>
      </w:r>
      <w:r w:rsidRPr="005F5C74">
        <w:rPr>
          <w:rFonts w:ascii="Times New Roman" w:hAnsi="Times New Roman"/>
          <w:i/>
          <w:iCs/>
          <w:sz w:val="20"/>
          <w:szCs w:val="20"/>
        </w:rPr>
        <w:t>Garcinia atroviridis</w:t>
      </w:r>
      <w:r w:rsidRPr="005F5C74">
        <w:rPr>
          <w:rFonts w:ascii="Times New Roman" w:hAnsi="Times New Roman"/>
          <w:sz w:val="20"/>
          <w:szCs w:val="20"/>
        </w:rPr>
        <w:t xml:space="preserve"> </w:t>
      </w:r>
      <w:r w:rsidRPr="005F5C74">
        <w:rPr>
          <w:rFonts w:ascii="Times New Roman" w:hAnsi="Times New Roman"/>
          <w:sz w:val="20"/>
          <w:szCs w:val="20"/>
        </w:rPr>
        <w:t xml:space="preserve">extract with different addition levels of glycerol and NaCl. </w:t>
      </w:r>
    </w:p>
    <w:p w14:paraId="7B5EB7F7" w14:textId="77777777" w:rsidR="005F5C74" w:rsidRPr="005F5C74" w:rsidRDefault="005F5C74" w:rsidP="005F5C74">
      <w:pPr>
        <w:spacing w:after="0"/>
        <w:jc w:val="both"/>
        <w:outlineLvl w:val="0"/>
        <w:rPr>
          <w:rFonts w:ascii="Times New Roman" w:hAnsi="Times New Roman"/>
          <w:sz w:val="20"/>
          <w:szCs w:val="20"/>
        </w:rPr>
      </w:pPr>
    </w:p>
    <w:p w14:paraId="7BC46860" w14:textId="77777777" w:rsidR="005F5C74" w:rsidRPr="005F5C74" w:rsidRDefault="005F5C74" w:rsidP="005F5C74">
      <w:pPr>
        <w:spacing w:after="0"/>
        <w:jc w:val="both"/>
        <w:outlineLvl w:val="0"/>
        <w:rPr>
          <w:rFonts w:ascii="Times New Roman" w:hAnsi="Times New Roman"/>
          <w:sz w:val="20"/>
          <w:szCs w:val="20"/>
        </w:rPr>
      </w:pPr>
      <w:r w:rsidRPr="005F5C74">
        <w:rPr>
          <w:rFonts w:ascii="Times New Roman" w:hAnsi="Times New Roman"/>
          <w:sz w:val="20"/>
          <w:szCs w:val="20"/>
        </w:rPr>
        <w:t xml:space="preserve">The increment of glycerol and NaCl increased the moisture content of the film from 15.42% to 27.29%. This might be due to the glycerol’s hygroscopicity whereby it tended to absorb and retain moisture from its surrounding [23]. Additionally, as a humectant, the </w:t>
      </w:r>
      <w:r w:rsidRPr="005F5C74">
        <w:rPr>
          <w:rFonts w:ascii="Times New Roman" w:hAnsi="Times New Roman"/>
          <w:sz w:val="20"/>
          <w:szCs w:val="20"/>
        </w:rPr>
        <w:lastRenderedPageBreak/>
        <w:t>hydroxyl groups in glycerol formed hydrogen bonds in the water [24]. The addition of glycerol also elevated the viscosity and allowed for film matrix interaction with water to increase [25]. These results are also similar to Peng et al. [26] and Dick et al.[27] in which the increment of glycerol caused the moisture content of a film to increase.</w:t>
      </w:r>
    </w:p>
    <w:p w14:paraId="678D5A11" w14:textId="77777777" w:rsidR="004745E8" w:rsidRDefault="004745E8" w:rsidP="005F5C74">
      <w:pPr>
        <w:spacing w:after="0"/>
        <w:jc w:val="both"/>
        <w:outlineLvl w:val="0"/>
        <w:rPr>
          <w:rFonts w:ascii="Times New Roman" w:hAnsi="Times New Roman"/>
          <w:sz w:val="20"/>
          <w:szCs w:val="20"/>
        </w:rPr>
      </w:pPr>
    </w:p>
    <w:p w14:paraId="23FEF7FE" w14:textId="77777777" w:rsidR="004745E8" w:rsidRPr="002D73C3" w:rsidRDefault="004745E8" w:rsidP="004745E8">
      <w:pPr>
        <w:spacing w:after="0"/>
        <w:jc w:val="both"/>
        <w:outlineLvl w:val="0"/>
        <w:rPr>
          <w:rFonts w:ascii="Times New Roman" w:hAnsi="Times New Roman"/>
          <w:b/>
          <w:i/>
          <w:iCs/>
          <w:sz w:val="20"/>
          <w:szCs w:val="20"/>
        </w:rPr>
      </w:pPr>
      <w:r w:rsidRPr="002D73C3">
        <w:rPr>
          <w:rFonts w:ascii="Times New Roman" w:hAnsi="Times New Roman"/>
          <w:b/>
          <w:i/>
          <w:iCs/>
          <w:sz w:val="20"/>
          <w:szCs w:val="20"/>
        </w:rPr>
        <w:t xml:space="preserve">Water solubility </w:t>
      </w:r>
    </w:p>
    <w:p w14:paraId="077CA424"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t xml:space="preserve">Water solubility is an important attribute because it determines biodegradability, integrity, and water resistance [28]. Table 2 shows that the increment of additional levels of glycerol and NaCl increased the water solubility of the films from 46.40% to 59.30%. The increment in water solubility might be due to the hydrophilic behavior of glycerol. The incorporation of glycerol increased the affinity of the film matrix to bind to water thus increasing the solubility of the film [29]. </w:t>
      </w:r>
    </w:p>
    <w:p w14:paraId="53B1BCE3" w14:textId="77777777" w:rsidR="004745E8" w:rsidRPr="005F5C74" w:rsidRDefault="004745E8" w:rsidP="004745E8">
      <w:pPr>
        <w:spacing w:after="0"/>
        <w:jc w:val="both"/>
        <w:outlineLvl w:val="0"/>
        <w:rPr>
          <w:rFonts w:ascii="Times New Roman" w:hAnsi="Times New Roman"/>
          <w:sz w:val="20"/>
          <w:szCs w:val="20"/>
        </w:rPr>
      </w:pPr>
    </w:p>
    <w:p w14:paraId="64A83910"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t>Additionally, Yang et al. [30] suggested that glycerol increased the hydrogen bonds in the chitosan film matrix and leads to a higher availability for it to interact with water molecules. Furthermore, it could be explained that glycerol disrupted the chitosan network interaction density. The presence of a polar molecule, glycerol would increase the interaction with water. It caused a decrease in intermolecular forces by interacting with the functional groups of the chitosan, causing an increase in solubility. This led to the elevation of the water solubility of the film [23]. This trend of increasing water solubility was also observed by Cerqueira et al. [28], whereby the water solubility of chitosan films increased from 51.86% to 69.94% when the glycerol was increased from 0.5% (v/v) to 2.0% (v/v).</w:t>
      </w:r>
    </w:p>
    <w:p w14:paraId="24A20A88" w14:textId="77777777" w:rsidR="004745E8" w:rsidRPr="005F5C74" w:rsidRDefault="004745E8" w:rsidP="004745E8">
      <w:pPr>
        <w:spacing w:after="0"/>
        <w:jc w:val="both"/>
        <w:outlineLvl w:val="0"/>
        <w:rPr>
          <w:rFonts w:ascii="Times New Roman" w:hAnsi="Times New Roman"/>
          <w:sz w:val="20"/>
          <w:szCs w:val="20"/>
          <w:lang w:val="en-MY"/>
        </w:rPr>
      </w:pPr>
    </w:p>
    <w:p w14:paraId="777AD693" w14:textId="77777777" w:rsidR="004745E8" w:rsidRPr="002D73C3" w:rsidRDefault="004745E8" w:rsidP="004745E8">
      <w:pPr>
        <w:spacing w:after="0"/>
        <w:jc w:val="both"/>
        <w:outlineLvl w:val="0"/>
        <w:rPr>
          <w:rFonts w:ascii="Times New Roman" w:hAnsi="Times New Roman"/>
          <w:b/>
          <w:i/>
          <w:iCs/>
          <w:sz w:val="20"/>
          <w:szCs w:val="20"/>
        </w:rPr>
      </w:pPr>
      <w:r w:rsidRPr="002D73C3">
        <w:rPr>
          <w:rFonts w:ascii="Times New Roman" w:hAnsi="Times New Roman"/>
          <w:b/>
          <w:i/>
          <w:iCs/>
          <w:sz w:val="20"/>
          <w:szCs w:val="20"/>
        </w:rPr>
        <w:t xml:space="preserve">Color profile </w:t>
      </w:r>
    </w:p>
    <w:p w14:paraId="3E86B712" w14:textId="77777777" w:rsidR="004745E8" w:rsidRPr="005F5C74" w:rsidRDefault="004745E8" w:rsidP="004745E8">
      <w:pPr>
        <w:spacing w:after="0"/>
        <w:jc w:val="both"/>
        <w:outlineLvl w:val="0"/>
        <w:rPr>
          <w:rFonts w:ascii="Times New Roman" w:hAnsi="Times New Roman"/>
          <w:bCs/>
          <w:sz w:val="20"/>
          <w:szCs w:val="20"/>
        </w:rPr>
      </w:pPr>
      <w:r w:rsidRPr="005F5C74">
        <w:rPr>
          <w:rFonts w:ascii="Times New Roman" w:hAnsi="Times New Roman"/>
          <w:bCs/>
          <w:sz w:val="20"/>
          <w:szCs w:val="20"/>
        </w:rPr>
        <w:t xml:space="preserve">Color plays a significant part in the consumer’s perception of food as it is one of the first characteristics that the customer will evaluate [4]. Figure 1 shows the appearance of the films. As seen in the figure, the films were yellowish-brown in color. According to Zaman et al. [6], the yellowish-brown film color was mainly due to the presence of pigments in </w:t>
      </w:r>
      <w:r w:rsidRPr="005F5C74">
        <w:rPr>
          <w:rFonts w:ascii="Times New Roman" w:hAnsi="Times New Roman"/>
          <w:bCs/>
          <w:i/>
          <w:iCs/>
          <w:sz w:val="20"/>
          <w:szCs w:val="20"/>
        </w:rPr>
        <w:t>Garcinia atroviridis</w:t>
      </w:r>
      <w:r w:rsidRPr="005F5C74">
        <w:rPr>
          <w:rFonts w:ascii="Times New Roman" w:hAnsi="Times New Roman"/>
          <w:bCs/>
          <w:sz w:val="20"/>
          <w:szCs w:val="20"/>
        </w:rPr>
        <w:t xml:space="preserve"> called xanthonoids. </w:t>
      </w:r>
    </w:p>
    <w:p w14:paraId="51D4C3A8" w14:textId="77777777" w:rsidR="004745E8" w:rsidRPr="00B257A4" w:rsidRDefault="004745E8" w:rsidP="004745E8">
      <w:pPr>
        <w:spacing w:after="0"/>
        <w:jc w:val="both"/>
        <w:outlineLvl w:val="0"/>
        <w:rPr>
          <w:rFonts w:ascii="Times New Roman" w:hAnsi="Times New Roman"/>
          <w:b/>
          <w:sz w:val="20"/>
          <w:szCs w:val="20"/>
        </w:rPr>
      </w:pPr>
      <w:r w:rsidRPr="005F5C74">
        <w:rPr>
          <w:rFonts w:ascii="Times New Roman" w:hAnsi="Times New Roman"/>
          <w:bCs/>
          <w:sz w:val="20"/>
          <w:szCs w:val="20"/>
        </w:rPr>
        <w:t xml:space="preserve">The overall color profile of the films is best described using the total color difference (ΔE) (Table 3). The </w:t>
      </w:r>
      <w:r w:rsidRPr="005F5C74">
        <w:rPr>
          <w:rFonts w:ascii="Times New Roman" w:hAnsi="Times New Roman"/>
          <w:bCs/>
          <w:sz w:val="20"/>
          <w:szCs w:val="20"/>
        </w:rPr>
        <w:t>range of the ΔE of the films was from 0.00–1.37. The results showed that the ΔE of the film with 0.5% (v/v) glycerol and 0 mM (w/v) NaCl was highest. However, there was no significant difference between the color profile of the films. The ΔE of the film reduced when the addition level of glycerol and NaCl increased. This could be attributed to the fact that glycerol and NaCl was colorless and it did not have the color imparted into the film. Peng et al. [26] and Dick et al. [27] observed the increment of glycerol had not changed the ΔE of film in combination with tea polyphenols. Another factor to consider is the concentration of chitosan used that influences the color of the edible film. However, in this study, the concentration of chitosan was kept constant. Therefore, it did not influence the color of the films</w:t>
      </w:r>
      <w:r w:rsidRPr="005F5C74">
        <w:rPr>
          <w:rFonts w:ascii="Times New Roman" w:hAnsi="Times New Roman"/>
          <w:b/>
          <w:sz w:val="20"/>
          <w:szCs w:val="20"/>
        </w:rPr>
        <w:t xml:space="preserve">. </w:t>
      </w:r>
    </w:p>
    <w:p w14:paraId="6C2619DB" w14:textId="77777777" w:rsidR="004745E8" w:rsidRDefault="004745E8" w:rsidP="005F5C74">
      <w:pPr>
        <w:spacing w:after="0"/>
        <w:jc w:val="both"/>
        <w:outlineLvl w:val="0"/>
        <w:rPr>
          <w:rFonts w:ascii="Times New Roman" w:hAnsi="Times New Roman"/>
          <w:sz w:val="20"/>
          <w:szCs w:val="20"/>
        </w:rPr>
      </w:pPr>
    </w:p>
    <w:p w14:paraId="4BAFCD10" w14:textId="77777777" w:rsidR="004745E8" w:rsidRPr="002D73C3" w:rsidRDefault="004745E8" w:rsidP="004745E8">
      <w:pPr>
        <w:spacing w:after="0"/>
        <w:jc w:val="both"/>
        <w:outlineLvl w:val="0"/>
        <w:rPr>
          <w:rFonts w:ascii="Times New Roman" w:hAnsi="Times New Roman"/>
          <w:b/>
          <w:bCs/>
          <w:i/>
          <w:iCs/>
          <w:sz w:val="20"/>
          <w:szCs w:val="20"/>
          <w:lang w:val="en-MY"/>
        </w:rPr>
      </w:pPr>
      <w:r w:rsidRPr="002D73C3">
        <w:rPr>
          <w:rFonts w:ascii="Times New Roman" w:hAnsi="Times New Roman"/>
          <w:b/>
          <w:bCs/>
          <w:i/>
          <w:iCs/>
          <w:sz w:val="20"/>
          <w:szCs w:val="20"/>
          <w:lang w:val="en-MY"/>
        </w:rPr>
        <w:t>Thickness</w:t>
      </w:r>
    </w:p>
    <w:p w14:paraId="325AC4F1" w14:textId="77777777" w:rsidR="004745E8" w:rsidRPr="005F5C74" w:rsidRDefault="004745E8" w:rsidP="004745E8">
      <w:pPr>
        <w:spacing w:after="0"/>
        <w:jc w:val="both"/>
        <w:outlineLvl w:val="0"/>
        <w:rPr>
          <w:rFonts w:ascii="Times New Roman" w:hAnsi="Times New Roman"/>
          <w:sz w:val="20"/>
          <w:szCs w:val="20"/>
        </w:rPr>
      </w:pPr>
      <w:r w:rsidRPr="005F5C74">
        <w:rPr>
          <w:rFonts w:ascii="Times New Roman" w:hAnsi="Times New Roman"/>
          <w:sz w:val="20"/>
          <w:szCs w:val="20"/>
        </w:rPr>
        <w:t>Thickness is a key characteristic in an edible film because thicker films provide more security for the food product. Figure 2 shows the results of the film thickness analysis. The thickness of the films ranged from 0.097–0.122 mm. The thickness value of film with 2% (v/v) glycerol and 10.5 mM (w/v) NaCl was the lowest. The concentration of NaCl in the film with 2% (v/v) glycerol and 10.5 mM (w/v) allowed the permeation of hydrated chloride ions (Cl</w:t>
      </w:r>
      <w:r w:rsidRPr="005F5C74">
        <w:rPr>
          <w:rFonts w:ascii="Times New Roman" w:hAnsi="Times New Roman"/>
          <w:sz w:val="20"/>
          <w:szCs w:val="20"/>
          <w:vertAlign w:val="superscript"/>
        </w:rPr>
        <w:t>-</w:t>
      </w:r>
      <w:r w:rsidRPr="005F5C74">
        <w:rPr>
          <w:rFonts w:ascii="Times New Roman" w:hAnsi="Times New Roman"/>
          <w:sz w:val="20"/>
          <w:szCs w:val="20"/>
        </w:rPr>
        <w:t>) into the chitosan films, which disrupted the hydrogen bonds and hydrophobic interactions. This led to the loss of cohesion capacity of chitosan films. As a result, water molecules were squeezed out from hydrated ions and reduced the film’s thickness [17]. Similar results were reported for chia mucilage films [27].</w:t>
      </w:r>
    </w:p>
    <w:p w14:paraId="0617A911" w14:textId="77777777" w:rsidR="004745E8" w:rsidRDefault="004745E8" w:rsidP="005F5C74">
      <w:pPr>
        <w:spacing w:after="0"/>
        <w:jc w:val="both"/>
        <w:outlineLvl w:val="0"/>
        <w:rPr>
          <w:rFonts w:ascii="Times New Roman" w:hAnsi="Times New Roman"/>
          <w:sz w:val="20"/>
          <w:szCs w:val="20"/>
        </w:rPr>
      </w:pPr>
    </w:p>
    <w:p w14:paraId="64F86844" w14:textId="77777777" w:rsidR="004745E8" w:rsidRPr="005F5C74" w:rsidRDefault="004745E8" w:rsidP="004745E8">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 xml:space="preserve">Mechanical properties of film </w:t>
      </w:r>
    </w:p>
    <w:p w14:paraId="28C4D9E3" w14:textId="77777777" w:rsidR="004745E8" w:rsidRPr="005F5C74" w:rsidRDefault="004745E8" w:rsidP="004745E8">
      <w:pPr>
        <w:spacing w:after="0"/>
        <w:jc w:val="both"/>
        <w:outlineLvl w:val="0"/>
        <w:rPr>
          <w:rFonts w:ascii="Times New Roman" w:hAnsi="Times New Roman"/>
          <w:sz w:val="20"/>
          <w:szCs w:val="20"/>
          <w:lang w:val="en-MY"/>
        </w:rPr>
      </w:pPr>
      <w:r w:rsidRPr="005F5C74">
        <w:rPr>
          <w:rFonts w:ascii="Times New Roman" w:hAnsi="Times New Roman"/>
          <w:sz w:val="20"/>
          <w:szCs w:val="20"/>
        </w:rPr>
        <w:t>Tensile strength measures the amount of tensile stress the film can withstand until it breaks. Conventional standards state that food packaging should have a tensile strength greater than 3.5 MPa to be deemed as satisfactory [31]. Table 4 presents the tensile strength of the films was in the range of 4.03–9.24 MPa. Hence, based on this standard, all the film formulations in this study fulfilled this criterion.</w:t>
      </w:r>
    </w:p>
    <w:p w14:paraId="746CE3F8" w14:textId="77777777" w:rsidR="004745E8" w:rsidRDefault="004745E8" w:rsidP="005F5C74">
      <w:pPr>
        <w:spacing w:after="0"/>
        <w:jc w:val="both"/>
        <w:outlineLvl w:val="0"/>
        <w:rPr>
          <w:rFonts w:ascii="Times New Roman" w:hAnsi="Times New Roman"/>
          <w:sz w:val="20"/>
          <w:szCs w:val="20"/>
        </w:rPr>
      </w:pPr>
    </w:p>
    <w:p w14:paraId="10729DB4"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Further, the tensile strength reduced as the additional levels of glycerol and NaCl increased. The increment in the additional levels of glycerol in the film caused a </w:t>
      </w:r>
      <w:r w:rsidRPr="005F5C74">
        <w:rPr>
          <w:rFonts w:ascii="Times New Roman" w:hAnsi="Times New Roman"/>
          <w:sz w:val="20"/>
          <w:szCs w:val="20"/>
        </w:rPr>
        <w:lastRenderedPageBreak/>
        <w:t xml:space="preserve">plasticizing effect for which the chitosan network chains became weaker [31]. Furthermore, more mobile regions were created due to the interference caused by glycerol. High additional levels of glycerol elevated the film water content. This could be attributed to the hygroscopic behavior of glycerol that led to the reduction in the interactions between adjacent macromolecules [29]. </w:t>
      </w:r>
    </w:p>
    <w:p w14:paraId="076D52AB" w14:textId="77777777" w:rsidR="00853C5E" w:rsidRDefault="00853C5E" w:rsidP="005F5C74">
      <w:pPr>
        <w:spacing w:after="0"/>
        <w:jc w:val="both"/>
        <w:outlineLvl w:val="0"/>
        <w:rPr>
          <w:rFonts w:ascii="Times New Roman" w:hAnsi="Times New Roman"/>
          <w:sz w:val="20"/>
          <w:szCs w:val="20"/>
        </w:rPr>
      </w:pPr>
    </w:p>
    <w:p w14:paraId="68B83E1B"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Several studies showed that the increment in the additional levels of glycerol reduced the tensile strength of the film [33, 34]. Apart from that, the results from the this study showed an improvement in tensile strength when compared to the results of Zaman et al. [6]. The authors detected that at 5% (v/v) addition level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the tensile strength was 3.28 MPa, which was lower than for films in this study. This indicated that the addition of glycerol and NaCl improved the tensile strength of the film.</w:t>
      </w:r>
    </w:p>
    <w:p w14:paraId="7F337E9A" w14:textId="77777777" w:rsidR="00853C5E" w:rsidRPr="005F5C74" w:rsidRDefault="00853C5E" w:rsidP="00853C5E">
      <w:pPr>
        <w:spacing w:after="0"/>
        <w:jc w:val="both"/>
        <w:outlineLvl w:val="0"/>
        <w:rPr>
          <w:rFonts w:ascii="Times New Roman" w:hAnsi="Times New Roman"/>
          <w:sz w:val="20"/>
          <w:szCs w:val="20"/>
        </w:rPr>
      </w:pPr>
    </w:p>
    <w:p w14:paraId="758CD041"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Elongation at break is the film’s capability to resist changes in shape without breaking. For edible films, a high elongation is favorable as it enhances the ability of the film to wrap and package food. Table 4 shows the range of the elongation at break was from 59.32–123.35%. The film with 1.5% (v/v) glycerol and 10 mM (w/v) NaCl had the highest elongation at break. Additionally, the increment in additional levels of glycerol and NaCl in the film showed increments on the elongation at break except for the film with 2% (v/v) glycerol and 10.5 mM (w/v) NaCl. </w:t>
      </w:r>
    </w:p>
    <w:p w14:paraId="361E46A0" w14:textId="77777777" w:rsidR="00853C5E" w:rsidRPr="005F5C74" w:rsidRDefault="00853C5E" w:rsidP="00853C5E">
      <w:pPr>
        <w:spacing w:after="0"/>
        <w:jc w:val="both"/>
        <w:outlineLvl w:val="0"/>
        <w:rPr>
          <w:rFonts w:ascii="Times New Roman" w:hAnsi="Times New Roman"/>
          <w:sz w:val="20"/>
          <w:szCs w:val="20"/>
        </w:rPr>
      </w:pPr>
    </w:p>
    <w:p w14:paraId="42882917"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The increment in elongation of the film can be due to the interactions of the glycerol with the chitosan chains. The plasticizing effect of glycerol reduced the acting forces between the molecules leading to the sliding of the polymer chain. Thus, the flexibility and ductility of the film were increased [33]. Apart from that, the addition of NaCl enhanced elongation of the film. The NaCl ions may cause an increase of electrostatic repulsion among chitosan chains leading to the formation of stretched chitosan chains from coiled chitosan chains [35]. Prateepchanachai et al. [48] demonstrated that salt produces a counter-ion effect that depresses the third electroviscous effect and renders the chitosan molecules more flexible with a random, coiled shape. Coiled </w:t>
      </w:r>
      <w:r w:rsidRPr="005F5C74">
        <w:rPr>
          <w:rFonts w:ascii="Times New Roman" w:hAnsi="Times New Roman"/>
          <w:sz w:val="20"/>
          <w:szCs w:val="20"/>
        </w:rPr>
        <w:t>molecules will result in less inter-molecular entanglements. The ability of the film to stretch was increased, increasing the elongation of the film. Th results of this study are similar to Liu et al. [36] in that the elongation of chitosan-starch blended films had an incorporation of 2.5-10% (v/v) glycerol increased from 13.5-18.0%, accordingly.</w:t>
      </w:r>
    </w:p>
    <w:p w14:paraId="7C9D1D56" w14:textId="77777777" w:rsidR="00853C5E" w:rsidRPr="005F5C74" w:rsidRDefault="00853C5E" w:rsidP="00853C5E">
      <w:pPr>
        <w:spacing w:after="0"/>
        <w:jc w:val="both"/>
        <w:outlineLvl w:val="0"/>
        <w:rPr>
          <w:rFonts w:ascii="Times New Roman" w:hAnsi="Times New Roman"/>
          <w:sz w:val="20"/>
          <w:szCs w:val="20"/>
        </w:rPr>
      </w:pPr>
    </w:p>
    <w:p w14:paraId="327B5F1C"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However, the elongation of the film decreased from 123.35% to 70.45% when the additional levels was increased to 2% (v/v) glycerol and 10.5 mM (w/v) NaCl. This was probably associated to the anti-plasticizing effect exhibited by glycerol at high additional levels [36]. Souza et al. [38] found that at high additional levels, plasticizers exhibited strong interactions with biopolymers. This led to the decrement in the macromolecular mobility and elongation at break of the film. This explained why, at higher plasticizer concentrations, such as the anti-plasticization phenomena were associated with stronger interactions between plasticizer and chitosan molecules, which impedes macromolecular mobility. When the amount of plasticizer molecules in a plasticized chitosan-based film exceeded a critical value, anti-plasticization occurred. As a result, the film's elongation at the break was reduced [47]. </w:t>
      </w:r>
    </w:p>
    <w:p w14:paraId="41FC7A2E" w14:textId="77777777" w:rsidR="00853C5E" w:rsidRPr="005F5C74" w:rsidRDefault="00853C5E" w:rsidP="00853C5E">
      <w:pPr>
        <w:spacing w:after="0"/>
        <w:jc w:val="both"/>
        <w:outlineLvl w:val="0"/>
        <w:rPr>
          <w:rFonts w:ascii="Times New Roman" w:hAnsi="Times New Roman"/>
          <w:sz w:val="20"/>
          <w:szCs w:val="20"/>
        </w:rPr>
      </w:pPr>
    </w:p>
    <w:p w14:paraId="0DE81BB8"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Young’s modulus measures the ability of a film to withstand elastic deformation when under elongation or compression. Table 4 shows that the range of the values of Young’s modulus was from 0.046–0.146 MPa. The increment in additional levels of glycerol and NaCl decreased the Young’s modulus of the film. The decreasing trend of Young’s modulus might be due to the effect of glycerol in increasing the elasticity of the film and reducing the interactions among the chitosan chain. This resulted in the film becoming less stiff [32]. Similarly, Kusumaningtyas et al. [39] detected that the increment in glycerol lowered the Young’s modulus of films as well.</w:t>
      </w:r>
    </w:p>
    <w:p w14:paraId="773952DF" w14:textId="77777777" w:rsidR="00853C5E" w:rsidRPr="005F5C74" w:rsidRDefault="00853C5E" w:rsidP="00853C5E">
      <w:pPr>
        <w:spacing w:after="0"/>
        <w:jc w:val="both"/>
        <w:outlineLvl w:val="0"/>
        <w:rPr>
          <w:rFonts w:ascii="Times New Roman" w:hAnsi="Times New Roman"/>
          <w:sz w:val="20"/>
          <w:szCs w:val="20"/>
        </w:rPr>
      </w:pPr>
    </w:p>
    <w:p w14:paraId="5E70464A" w14:textId="77777777" w:rsidR="00853C5E" w:rsidRPr="005F5C74" w:rsidRDefault="00853C5E" w:rsidP="00853C5E">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Antimicrobial properties of film</w:t>
      </w:r>
    </w:p>
    <w:p w14:paraId="79EE9A36" w14:textId="2E19EE85" w:rsidR="006C6DF2" w:rsidRDefault="00853C5E" w:rsidP="00853C5E">
      <w:pPr>
        <w:spacing w:after="0"/>
        <w:jc w:val="both"/>
        <w:rPr>
          <w:rFonts w:ascii="Times New Roman" w:hAnsi="Times New Roman"/>
          <w:sz w:val="20"/>
          <w:szCs w:val="20"/>
        </w:rPr>
        <w:sectPr w:rsidR="006C6DF2" w:rsidSect="004745E8">
          <w:headerReference w:type="even" r:id="rId23"/>
          <w:headerReference w:type="default" r:id="rId24"/>
          <w:footerReference w:type="even" r:id="rId25"/>
          <w:footerReference w:type="default" r:id="rId26"/>
          <w:headerReference w:type="first" r:id="rId27"/>
          <w:type w:val="continuous"/>
          <w:pgSz w:w="12240" w:h="15840" w:code="1"/>
          <w:pgMar w:top="1800" w:right="1469" w:bottom="1699" w:left="1440" w:header="706" w:footer="706" w:gutter="0"/>
          <w:pgNumType w:start="1"/>
          <w:cols w:num="2" w:space="403"/>
          <w:docGrid w:linePitch="360"/>
        </w:sectPr>
      </w:pPr>
      <w:r w:rsidRPr="005F5C74">
        <w:rPr>
          <w:rFonts w:ascii="Times New Roman" w:hAnsi="Times New Roman"/>
          <w:sz w:val="20"/>
          <w:szCs w:val="20"/>
        </w:rPr>
        <w:t xml:space="preserve">Figures 3 and 4 show the inhibition zone of the different film formulations on selected pathogens. The findings showed that film with 0.5% (v/v) glycerol and 0 mM (w/v) NaCl, which </w:t>
      </w:r>
      <w:r w:rsidR="006C6DF2">
        <w:rPr>
          <w:rFonts w:ascii="Times New Roman" w:hAnsi="Times New Roman"/>
          <w:sz w:val="20"/>
          <w:szCs w:val="20"/>
        </w:rPr>
        <w:t xml:space="preserve"> </w:t>
      </w:r>
      <w:r w:rsidRPr="005F5C74">
        <w:rPr>
          <w:rFonts w:ascii="Times New Roman" w:hAnsi="Times New Roman"/>
          <w:sz w:val="20"/>
          <w:szCs w:val="20"/>
        </w:rPr>
        <w:t xml:space="preserve">showed </w:t>
      </w:r>
      <w:r w:rsidR="006C6DF2">
        <w:rPr>
          <w:rFonts w:ascii="Times New Roman" w:hAnsi="Times New Roman"/>
          <w:sz w:val="20"/>
          <w:szCs w:val="20"/>
        </w:rPr>
        <w:t xml:space="preserve"> </w:t>
      </w:r>
      <w:r w:rsidRPr="005F5C74">
        <w:rPr>
          <w:rFonts w:ascii="Times New Roman" w:hAnsi="Times New Roman"/>
          <w:sz w:val="20"/>
          <w:szCs w:val="20"/>
        </w:rPr>
        <w:t xml:space="preserve">the </w:t>
      </w:r>
      <w:r w:rsidR="006C6DF2">
        <w:rPr>
          <w:rFonts w:ascii="Times New Roman" w:hAnsi="Times New Roman"/>
          <w:sz w:val="20"/>
          <w:szCs w:val="20"/>
        </w:rPr>
        <w:t xml:space="preserve"> </w:t>
      </w:r>
      <w:r w:rsidRPr="005F5C74">
        <w:rPr>
          <w:rFonts w:ascii="Times New Roman" w:hAnsi="Times New Roman"/>
          <w:sz w:val="20"/>
          <w:szCs w:val="20"/>
        </w:rPr>
        <w:t xml:space="preserve">highest inhibition zone </w:t>
      </w:r>
    </w:p>
    <w:p w14:paraId="14456492" w14:textId="1DB9BF5A"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lastRenderedPageBreak/>
        <w:t xml:space="preserve">against </w:t>
      </w:r>
      <w:r w:rsidRPr="005F5C74">
        <w:rPr>
          <w:rFonts w:ascii="Times New Roman" w:hAnsi="Times New Roman"/>
          <w:i/>
          <w:iCs/>
          <w:sz w:val="20"/>
          <w:szCs w:val="20"/>
        </w:rPr>
        <w:t>Pseudomonas aeruginosa</w:t>
      </w:r>
      <w:r w:rsidRPr="005F5C74">
        <w:rPr>
          <w:rFonts w:ascii="Times New Roman" w:hAnsi="Times New Roman"/>
          <w:sz w:val="20"/>
          <w:szCs w:val="20"/>
        </w:rPr>
        <w:t xml:space="preserve"> (10.50 mm) and </w:t>
      </w:r>
      <w:r w:rsidRPr="005F5C74">
        <w:rPr>
          <w:rFonts w:ascii="Times New Roman" w:hAnsi="Times New Roman"/>
          <w:i/>
          <w:iCs/>
          <w:sz w:val="20"/>
          <w:szCs w:val="20"/>
        </w:rPr>
        <w:t>Staphylococcus aureus</w:t>
      </w:r>
      <w:r w:rsidRPr="005F5C74">
        <w:rPr>
          <w:rFonts w:ascii="Times New Roman" w:hAnsi="Times New Roman"/>
          <w:sz w:val="20"/>
          <w:szCs w:val="20"/>
        </w:rPr>
        <w:t xml:space="preserve"> (11.00 mm). </w:t>
      </w:r>
    </w:p>
    <w:p w14:paraId="452FE6CB" w14:textId="77777777" w:rsidR="00853C5E" w:rsidRPr="005F5C74" w:rsidRDefault="00853C5E" w:rsidP="00853C5E">
      <w:pPr>
        <w:spacing w:after="0"/>
        <w:jc w:val="both"/>
        <w:rPr>
          <w:rFonts w:ascii="Times New Roman" w:hAnsi="Times New Roman"/>
          <w:sz w:val="20"/>
          <w:szCs w:val="20"/>
        </w:rPr>
      </w:pPr>
    </w:p>
    <w:p w14:paraId="59B5C499" w14:textId="77777777"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The inhibition zone of the films ranged from 9.67–10.50 mm for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10.17–11.00 mm for </w:t>
      </w:r>
      <w:r w:rsidRPr="005F5C74">
        <w:rPr>
          <w:rFonts w:ascii="Times New Roman" w:hAnsi="Times New Roman"/>
          <w:i/>
          <w:iCs/>
          <w:sz w:val="20"/>
          <w:szCs w:val="20"/>
        </w:rPr>
        <w:t>Staphylococcus aureus</w:t>
      </w:r>
      <w:r w:rsidRPr="005F5C74">
        <w:rPr>
          <w:rFonts w:ascii="Times New Roman" w:hAnsi="Times New Roman"/>
          <w:sz w:val="20"/>
          <w:szCs w:val="20"/>
        </w:rPr>
        <w:t xml:space="preserve">. The results indicated that the films exhibited antimicrobial properties towards these pathogens. The antimicrobial properties of the film could be attributed to the chitosan film and the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Chitosan has been widely known to exhibit antimicrobial properties because it possessed charged groups and has ionic interactions with bacterial cell walls. The antibacterial action of chitosan was done via the binding of the amino group with the membrane </w:t>
      </w:r>
      <w:r w:rsidRPr="005F5C74">
        <w:rPr>
          <w:rFonts w:ascii="Times New Roman" w:hAnsi="Times New Roman"/>
          <w:sz w:val="20"/>
          <w:szCs w:val="20"/>
        </w:rPr>
        <w:t>of the bacterial cell. This led to the disruption of the cell membrane, followed by the intracellular leakage that led to cell death [8].</w:t>
      </w:r>
    </w:p>
    <w:p w14:paraId="2D440D08" w14:textId="77777777" w:rsidR="00853C5E" w:rsidRPr="005F5C74" w:rsidRDefault="00853C5E" w:rsidP="00853C5E">
      <w:pPr>
        <w:spacing w:after="0"/>
        <w:jc w:val="both"/>
        <w:rPr>
          <w:rFonts w:ascii="Times New Roman" w:hAnsi="Times New Roman"/>
          <w:sz w:val="20"/>
          <w:szCs w:val="20"/>
        </w:rPr>
      </w:pPr>
    </w:p>
    <w:p w14:paraId="26B4B184" w14:textId="77777777" w:rsidR="00853C5E"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The extracts from </w:t>
      </w:r>
      <w:r w:rsidRPr="005F5C74">
        <w:rPr>
          <w:rFonts w:ascii="Times New Roman" w:hAnsi="Times New Roman"/>
          <w:i/>
          <w:iCs/>
          <w:sz w:val="20"/>
          <w:szCs w:val="20"/>
        </w:rPr>
        <w:t>Garcinia atroviridis</w:t>
      </w:r>
      <w:r w:rsidRPr="005F5C74">
        <w:rPr>
          <w:rFonts w:ascii="Times New Roman" w:hAnsi="Times New Roman"/>
          <w:sz w:val="20"/>
          <w:szCs w:val="20"/>
        </w:rPr>
        <w:t xml:space="preserve"> are known to exhibit antibacterial properties against various bacteria due to flavonoids and other phenolic compounds [13]. Zhang et al. [40] demonstrated that chitosan film with 10% (w/v) mangosteen rind powder was able to inhibit </w:t>
      </w:r>
      <w:r w:rsidRPr="005F5C74">
        <w:rPr>
          <w:rFonts w:ascii="Times New Roman" w:hAnsi="Times New Roman"/>
          <w:i/>
          <w:iCs/>
          <w:sz w:val="20"/>
          <w:szCs w:val="20"/>
        </w:rPr>
        <w:t>Salmonella</w:t>
      </w:r>
      <w:r w:rsidRPr="005F5C74">
        <w:rPr>
          <w:rFonts w:ascii="Times New Roman" w:hAnsi="Times New Roman"/>
          <w:sz w:val="20"/>
          <w:szCs w:val="20"/>
        </w:rPr>
        <w:t xml:space="preserve"> and </w:t>
      </w:r>
      <w:r w:rsidRPr="005F5C74">
        <w:rPr>
          <w:rFonts w:ascii="Times New Roman" w:hAnsi="Times New Roman"/>
          <w:i/>
          <w:iCs/>
          <w:sz w:val="20"/>
          <w:szCs w:val="20"/>
        </w:rPr>
        <w:t>Staphylococcus aureus</w:t>
      </w:r>
      <w:r w:rsidRPr="005F5C74">
        <w:rPr>
          <w:rFonts w:ascii="Times New Roman" w:hAnsi="Times New Roman"/>
          <w:sz w:val="20"/>
          <w:szCs w:val="20"/>
        </w:rPr>
        <w:t xml:space="preserve">. Additionally, Zaman et al. [6] observed that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was able to inhibit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w:t>
      </w:r>
      <w:r w:rsidRPr="005F5C74">
        <w:rPr>
          <w:rFonts w:ascii="Times New Roman" w:hAnsi="Times New Roman"/>
          <w:i/>
          <w:iCs/>
          <w:sz w:val="20"/>
          <w:szCs w:val="20"/>
        </w:rPr>
        <w:t>Bacillus subtilis</w:t>
      </w:r>
      <w:r w:rsidRPr="005F5C74">
        <w:rPr>
          <w:rFonts w:ascii="Times New Roman" w:hAnsi="Times New Roman"/>
          <w:sz w:val="20"/>
          <w:szCs w:val="20"/>
        </w:rPr>
        <w:t>.</w:t>
      </w:r>
    </w:p>
    <w:p w14:paraId="48DDD698" w14:textId="1818B891" w:rsidR="00853C5E" w:rsidRDefault="00853C5E" w:rsidP="005F5C74">
      <w:pPr>
        <w:spacing w:after="0"/>
        <w:jc w:val="both"/>
        <w:outlineLvl w:val="0"/>
        <w:rPr>
          <w:rFonts w:ascii="Times New Roman" w:hAnsi="Times New Roman"/>
          <w:sz w:val="20"/>
          <w:szCs w:val="20"/>
        </w:rPr>
        <w:sectPr w:rsidR="00853C5E" w:rsidSect="006C6DF2">
          <w:headerReference w:type="even" r:id="rId28"/>
          <w:headerReference w:type="default" r:id="rId29"/>
          <w:footerReference w:type="even" r:id="rId30"/>
          <w:headerReference w:type="first" r:id="rId31"/>
          <w:type w:val="evenPage"/>
          <w:pgSz w:w="12240" w:h="15840" w:code="1"/>
          <w:pgMar w:top="1800" w:right="1469" w:bottom="1699" w:left="1440" w:header="706" w:footer="706" w:gutter="0"/>
          <w:pgNumType w:start="1"/>
          <w:cols w:num="2" w:space="403"/>
          <w:docGrid w:linePitch="360"/>
        </w:sectPr>
      </w:pPr>
    </w:p>
    <w:p w14:paraId="466592AB" w14:textId="77777777" w:rsidR="00B257A4" w:rsidRPr="005F5C74" w:rsidRDefault="00B257A4" w:rsidP="005F5C74">
      <w:pPr>
        <w:spacing w:after="0"/>
        <w:jc w:val="both"/>
        <w:outlineLvl w:val="0"/>
        <w:rPr>
          <w:rFonts w:ascii="Times New Roman" w:hAnsi="Times New Roman"/>
          <w:sz w:val="20"/>
          <w:szCs w:val="20"/>
        </w:rPr>
      </w:pPr>
    </w:p>
    <w:p w14:paraId="1300D4E4" w14:textId="51BC51A0" w:rsidR="005F5C74" w:rsidRPr="00B257A4" w:rsidRDefault="005F5C74" w:rsidP="00B257A4">
      <w:pPr>
        <w:spacing w:after="120"/>
        <w:ind w:left="706" w:hanging="706"/>
        <w:jc w:val="center"/>
        <w:rPr>
          <w:rFonts w:ascii="Times New Roman" w:hAnsi="Times New Roman"/>
          <w:sz w:val="20"/>
          <w:szCs w:val="20"/>
        </w:rPr>
      </w:pPr>
      <w:r w:rsidRPr="005F5C74">
        <w:rPr>
          <w:rFonts w:ascii="Times New Roman" w:hAnsi="Times New Roman"/>
          <w:sz w:val="20"/>
          <w:szCs w:val="20"/>
        </w:rPr>
        <w:t xml:space="preserve">Table 2. </w:t>
      </w:r>
      <w:r w:rsidR="00B257A4">
        <w:rPr>
          <w:rFonts w:ascii="Times New Roman" w:hAnsi="Times New Roman"/>
          <w:sz w:val="20"/>
          <w:szCs w:val="20"/>
        </w:rPr>
        <w:t xml:space="preserve"> </w:t>
      </w:r>
      <w:r w:rsidRPr="005F5C74">
        <w:rPr>
          <w:rFonts w:ascii="Times New Roman" w:hAnsi="Times New Roman"/>
          <w:sz w:val="20"/>
          <w:szCs w:val="20"/>
        </w:rPr>
        <w:t>Moisture content (%) and water solubility (%) of the different formulations of chitosan films incorporated with Garcinia atroviridis extract</w:t>
      </w:r>
    </w:p>
    <w:tbl>
      <w:tblPr>
        <w:tblStyle w:val="TableGrid3"/>
        <w:tblW w:w="46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2866"/>
        <w:gridCol w:w="2801"/>
      </w:tblGrid>
      <w:tr w:rsidR="005F5C74" w:rsidRPr="005F5C74" w14:paraId="5FDBC95F" w14:textId="77777777" w:rsidTr="00B257A4">
        <w:trPr>
          <w:trHeight w:val="259"/>
          <w:jc w:val="center"/>
        </w:trPr>
        <w:tc>
          <w:tcPr>
            <w:tcW w:w="1743" w:type="pct"/>
            <w:tcBorders>
              <w:top w:val="single" w:sz="4" w:space="0" w:color="auto"/>
              <w:bottom w:val="single" w:sz="4" w:space="0" w:color="auto"/>
            </w:tcBorders>
          </w:tcPr>
          <w:p w14:paraId="21F3E90D" w14:textId="77777777" w:rsidR="005F5C74" w:rsidRPr="005F5C74" w:rsidRDefault="005F5C74" w:rsidP="00B257A4">
            <w:pPr>
              <w:spacing w:before="60" w:after="60"/>
              <w:rPr>
                <w:rFonts w:ascii="Times New Roman"/>
                <w:b/>
                <w:bCs/>
                <w:sz w:val="20"/>
                <w:szCs w:val="20"/>
              </w:rPr>
            </w:pPr>
            <w:r w:rsidRPr="005F5C74">
              <w:rPr>
                <w:rFonts w:ascii="Times New Roman"/>
                <w:b/>
                <w:bCs/>
                <w:sz w:val="20"/>
                <w:szCs w:val="20"/>
              </w:rPr>
              <w:t>Film Formulation</w:t>
            </w:r>
          </w:p>
        </w:tc>
        <w:tc>
          <w:tcPr>
            <w:tcW w:w="1647" w:type="pct"/>
            <w:tcBorders>
              <w:top w:val="single" w:sz="4" w:space="0" w:color="auto"/>
              <w:bottom w:val="single" w:sz="4" w:space="0" w:color="auto"/>
            </w:tcBorders>
          </w:tcPr>
          <w:p w14:paraId="2540505F" w14:textId="77777777" w:rsidR="005F5C74" w:rsidRPr="005F5C74" w:rsidRDefault="005F5C74" w:rsidP="00B257A4">
            <w:pPr>
              <w:spacing w:before="60" w:after="60"/>
              <w:jc w:val="center"/>
              <w:rPr>
                <w:rFonts w:ascii="Times New Roman"/>
                <w:b/>
                <w:bCs/>
                <w:sz w:val="20"/>
                <w:szCs w:val="20"/>
              </w:rPr>
            </w:pPr>
            <w:r w:rsidRPr="005F5C74">
              <w:rPr>
                <w:rFonts w:ascii="Times New Roman"/>
                <w:b/>
                <w:bCs/>
                <w:sz w:val="20"/>
                <w:szCs w:val="20"/>
              </w:rPr>
              <w:t>Moisture Content, (%)</w:t>
            </w:r>
          </w:p>
        </w:tc>
        <w:tc>
          <w:tcPr>
            <w:tcW w:w="1610" w:type="pct"/>
            <w:tcBorders>
              <w:top w:val="single" w:sz="4" w:space="0" w:color="auto"/>
              <w:bottom w:val="single" w:sz="4" w:space="0" w:color="auto"/>
            </w:tcBorders>
          </w:tcPr>
          <w:p w14:paraId="2F580C47" w14:textId="77777777" w:rsidR="005F5C74" w:rsidRPr="005F5C74" w:rsidRDefault="005F5C74" w:rsidP="00B257A4">
            <w:pPr>
              <w:spacing w:before="60" w:after="60"/>
              <w:jc w:val="center"/>
              <w:rPr>
                <w:rFonts w:ascii="Times New Roman"/>
                <w:b/>
                <w:bCs/>
                <w:sz w:val="20"/>
                <w:szCs w:val="20"/>
              </w:rPr>
            </w:pPr>
            <w:r w:rsidRPr="005F5C74">
              <w:rPr>
                <w:rFonts w:ascii="Times New Roman"/>
                <w:b/>
                <w:bCs/>
                <w:sz w:val="20"/>
                <w:szCs w:val="20"/>
              </w:rPr>
              <w:t>Water Solubility (%)</w:t>
            </w:r>
          </w:p>
        </w:tc>
      </w:tr>
      <w:tr w:rsidR="005F5C74" w:rsidRPr="005F5C74" w14:paraId="6E4A9AF5" w14:textId="77777777" w:rsidTr="00B257A4">
        <w:trPr>
          <w:trHeight w:val="281"/>
          <w:jc w:val="center"/>
        </w:trPr>
        <w:tc>
          <w:tcPr>
            <w:tcW w:w="1743" w:type="pct"/>
            <w:tcBorders>
              <w:top w:val="single" w:sz="4" w:space="0" w:color="auto"/>
            </w:tcBorders>
          </w:tcPr>
          <w:p w14:paraId="0DC92997" w14:textId="77777777" w:rsidR="005F5C74" w:rsidRPr="005F5C74" w:rsidRDefault="005F5C74" w:rsidP="00B257A4">
            <w:pPr>
              <w:spacing w:before="60" w:after="0"/>
              <w:rPr>
                <w:rFonts w:ascii="Times New Roman"/>
                <w:sz w:val="20"/>
                <w:szCs w:val="20"/>
              </w:rPr>
            </w:pPr>
            <w:r w:rsidRPr="005F5C74">
              <w:rPr>
                <w:rFonts w:ascii="Times New Roman"/>
                <w:sz w:val="20"/>
                <w:szCs w:val="20"/>
                <w:lang w:val="en-MY"/>
              </w:rPr>
              <w:t xml:space="preserve">A </w:t>
            </w:r>
          </w:p>
        </w:tc>
        <w:tc>
          <w:tcPr>
            <w:tcW w:w="1647" w:type="pct"/>
            <w:tcBorders>
              <w:top w:val="single" w:sz="4" w:space="0" w:color="auto"/>
            </w:tcBorders>
          </w:tcPr>
          <w:p w14:paraId="794D44CB" w14:textId="77777777" w:rsidR="005F5C74" w:rsidRPr="005F5C74" w:rsidRDefault="005F5C74" w:rsidP="00B257A4">
            <w:pPr>
              <w:spacing w:before="60" w:after="0"/>
              <w:jc w:val="center"/>
              <w:rPr>
                <w:rFonts w:ascii="Times New Roman"/>
                <w:sz w:val="20"/>
                <w:szCs w:val="20"/>
              </w:rPr>
            </w:pPr>
            <w:r w:rsidRPr="005F5C74">
              <w:rPr>
                <w:rFonts w:ascii="Times New Roman"/>
                <w:sz w:val="20"/>
                <w:szCs w:val="20"/>
              </w:rPr>
              <w:t>15.42 ± 1.84</w:t>
            </w:r>
            <w:r w:rsidRPr="005F5C74">
              <w:rPr>
                <w:rFonts w:ascii="Times New Roman"/>
                <w:sz w:val="20"/>
                <w:szCs w:val="20"/>
                <w:vertAlign w:val="superscript"/>
              </w:rPr>
              <w:t>a</w:t>
            </w:r>
          </w:p>
        </w:tc>
        <w:tc>
          <w:tcPr>
            <w:tcW w:w="1610" w:type="pct"/>
            <w:tcBorders>
              <w:top w:val="single" w:sz="4" w:space="0" w:color="auto"/>
            </w:tcBorders>
          </w:tcPr>
          <w:p w14:paraId="24550FC4"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46.40 ± 1.31</w:t>
            </w:r>
            <w:r w:rsidRPr="005F5C74">
              <w:rPr>
                <w:rFonts w:ascii="Times New Roman"/>
                <w:sz w:val="20"/>
                <w:szCs w:val="20"/>
                <w:vertAlign w:val="superscript"/>
              </w:rPr>
              <w:t>a</w:t>
            </w:r>
          </w:p>
        </w:tc>
      </w:tr>
      <w:tr w:rsidR="005F5C74" w:rsidRPr="005F5C74" w14:paraId="3AB0347B" w14:textId="77777777" w:rsidTr="00B257A4">
        <w:trPr>
          <w:jc w:val="center"/>
        </w:trPr>
        <w:tc>
          <w:tcPr>
            <w:tcW w:w="1743" w:type="pct"/>
          </w:tcPr>
          <w:p w14:paraId="3F279128" w14:textId="77777777" w:rsidR="005F5C74" w:rsidRPr="005F5C74" w:rsidRDefault="005F5C74" w:rsidP="00B257A4">
            <w:pPr>
              <w:spacing w:before="60" w:after="0"/>
              <w:rPr>
                <w:rFonts w:ascii="Times New Roman"/>
                <w:sz w:val="20"/>
                <w:szCs w:val="20"/>
              </w:rPr>
            </w:pPr>
            <w:r w:rsidRPr="005F5C74">
              <w:rPr>
                <w:rFonts w:ascii="Times New Roman"/>
                <w:sz w:val="20"/>
                <w:szCs w:val="20"/>
                <w:lang w:val="en-MY"/>
              </w:rPr>
              <w:t xml:space="preserve">B </w:t>
            </w:r>
          </w:p>
        </w:tc>
        <w:tc>
          <w:tcPr>
            <w:tcW w:w="1647" w:type="pct"/>
          </w:tcPr>
          <w:p w14:paraId="6BF87196"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18.64 ± 2.10</w:t>
            </w:r>
            <w:r w:rsidRPr="005F5C74">
              <w:rPr>
                <w:rFonts w:ascii="Times New Roman"/>
                <w:sz w:val="20"/>
                <w:szCs w:val="20"/>
                <w:vertAlign w:val="superscript"/>
              </w:rPr>
              <w:t>b</w:t>
            </w:r>
          </w:p>
        </w:tc>
        <w:tc>
          <w:tcPr>
            <w:tcW w:w="1610" w:type="pct"/>
          </w:tcPr>
          <w:p w14:paraId="352A8154"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49.60 ± 1.94</w:t>
            </w:r>
            <w:r w:rsidRPr="005F5C74">
              <w:rPr>
                <w:rFonts w:ascii="Times New Roman"/>
                <w:sz w:val="20"/>
                <w:szCs w:val="20"/>
                <w:vertAlign w:val="superscript"/>
              </w:rPr>
              <w:t>ab</w:t>
            </w:r>
          </w:p>
        </w:tc>
      </w:tr>
      <w:tr w:rsidR="005F5C74" w:rsidRPr="005F5C74" w14:paraId="41ABC47C" w14:textId="77777777" w:rsidTr="00B257A4">
        <w:trPr>
          <w:jc w:val="center"/>
        </w:trPr>
        <w:tc>
          <w:tcPr>
            <w:tcW w:w="1743" w:type="pct"/>
          </w:tcPr>
          <w:p w14:paraId="14DA18AB" w14:textId="77777777" w:rsidR="005F5C74" w:rsidRPr="005F5C74" w:rsidRDefault="005F5C74" w:rsidP="00B257A4">
            <w:pPr>
              <w:spacing w:before="60" w:after="0"/>
              <w:rPr>
                <w:rFonts w:ascii="Times New Roman"/>
                <w:sz w:val="20"/>
                <w:szCs w:val="20"/>
              </w:rPr>
            </w:pPr>
            <w:r w:rsidRPr="005F5C74">
              <w:rPr>
                <w:rFonts w:ascii="Times New Roman"/>
                <w:sz w:val="20"/>
                <w:szCs w:val="20"/>
                <w:lang w:val="en-MY"/>
              </w:rPr>
              <w:t xml:space="preserve">C </w:t>
            </w:r>
          </w:p>
        </w:tc>
        <w:tc>
          <w:tcPr>
            <w:tcW w:w="1647" w:type="pct"/>
          </w:tcPr>
          <w:p w14:paraId="0DF124A0"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22.31 ± 1.96</w:t>
            </w:r>
            <w:r w:rsidRPr="005F5C74">
              <w:rPr>
                <w:rFonts w:ascii="Times New Roman"/>
                <w:sz w:val="20"/>
                <w:szCs w:val="20"/>
                <w:vertAlign w:val="superscript"/>
              </w:rPr>
              <w:t>c</w:t>
            </w:r>
          </w:p>
        </w:tc>
        <w:tc>
          <w:tcPr>
            <w:tcW w:w="1610" w:type="pct"/>
          </w:tcPr>
          <w:p w14:paraId="7716D30E"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52.13 ± 2.43</w:t>
            </w:r>
            <w:r w:rsidRPr="005F5C74">
              <w:rPr>
                <w:rFonts w:ascii="Times New Roman"/>
                <w:sz w:val="20"/>
                <w:szCs w:val="20"/>
                <w:vertAlign w:val="superscript"/>
              </w:rPr>
              <w:t>b</w:t>
            </w:r>
          </w:p>
        </w:tc>
      </w:tr>
      <w:tr w:rsidR="005F5C74" w:rsidRPr="005F5C74" w14:paraId="6CAB3DB8" w14:textId="77777777" w:rsidTr="00B257A4">
        <w:trPr>
          <w:jc w:val="center"/>
        </w:trPr>
        <w:tc>
          <w:tcPr>
            <w:tcW w:w="1743" w:type="pct"/>
          </w:tcPr>
          <w:p w14:paraId="759DA162" w14:textId="77777777" w:rsidR="005F5C74" w:rsidRPr="005F5C74" w:rsidRDefault="005F5C74" w:rsidP="00B257A4">
            <w:pPr>
              <w:spacing w:before="60" w:after="0"/>
              <w:rPr>
                <w:rFonts w:ascii="Times New Roman"/>
                <w:sz w:val="20"/>
                <w:szCs w:val="20"/>
              </w:rPr>
            </w:pPr>
            <w:r w:rsidRPr="005F5C74">
              <w:rPr>
                <w:rFonts w:ascii="Times New Roman"/>
                <w:sz w:val="20"/>
                <w:szCs w:val="20"/>
                <w:lang w:val="en-MY"/>
              </w:rPr>
              <w:t xml:space="preserve">D </w:t>
            </w:r>
          </w:p>
        </w:tc>
        <w:tc>
          <w:tcPr>
            <w:tcW w:w="1647" w:type="pct"/>
          </w:tcPr>
          <w:p w14:paraId="3B4532B9"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24.15 ± 1.64</w:t>
            </w:r>
            <w:r w:rsidRPr="005F5C74">
              <w:rPr>
                <w:rFonts w:ascii="Times New Roman"/>
                <w:sz w:val="20"/>
                <w:szCs w:val="20"/>
                <w:vertAlign w:val="superscript"/>
              </w:rPr>
              <w:t>c</w:t>
            </w:r>
          </w:p>
        </w:tc>
        <w:tc>
          <w:tcPr>
            <w:tcW w:w="1610" w:type="pct"/>
          </w:tcPr>
          <w:p w14:paraId="68B7C270" w14:textId="77777777" w:rsidR="005F5C74" w:rsidRPr="005F5C74" w:rsidRDefault="005F5C74" w:rsidP="00B257A4">
            <w:pPr>
              <w:spacing w:before="60" w:after="0"/>
              <w:jc w:val="center"/>
              <w:rPr>
                <w:rFonts w:ascii="Times New Roman"/>
                <w:sz w:val="20"/>
                <w:szCs w:val="20"/>
                <w:vertAlign w:val="superscript"/>
              </w:rPr>
            </w:pPr>
            <w:r w:rsidRPr="005F5C74">
              <w:rPr>
                <w:rFonts w:ascii="Times New Roman"/>
                <w:sz w:val="20"/>
                <w:szCs w:val="20"/>
              </w:rPr>
              <w:t>55.77 ± 1.64</w:t>
            </w:r>
            <w:r w:rsidRPr="005F5C74">
              <w:rPr>
                <w:rFonts w:ascii="Times New Roman"/>
                <w:sz w:val="20"/>
                <w:szCs w:val="20"/>
                <w:vertAlign w:val="superscript"/>
              </w:rPr>
              <w:t>c</w:t>
            </w:r>
          </w:p>
        </w:tc>
      </w:tr>
      <w:tr w:rsidR="005F5C74" w:rsidRPr="005F5C74" w14:paraId="137C0FBC" w14:textId="77777777" w:rsidTr="00B257A4">
        <w:trPr>
          <w:trHeight w:val="337"/>
          <w:jc w:val="center"/>
        </w:trPr>
        <w:tc>
          <w:tcPr>
            <w:tcW w:w="1743" w:type="pct"/>
            <w:tcBorders>
              <w:bottom w:val="single" w:sz="4" w:space="0" w:color="auto"/>
            </w:tcBorders>
          </w:tcPr>
          <w:p w14:paraId="006B9F6D" w14:textId="77777777" w:rsidR="005F5C74" w:rsidRPr="005F5C74" w:rsidRDefault="005F5C74" w:rsidP="00B257A4">
            <w:pPr>
              <w:spacing w:before="60" w:after="60"/>
              <w:rPr>
                <w:rFonts w:ascii="Times New Roman"/>
                <w:sz w:val="20"/>
                <w:szCs w:val="20"/>
              </w:rPr>
            </w:pPr>
            <w:r w:rsidRPr="005F5C74">
              <w:rPr>
                <w:rFonts w:ascii="Times New Roman"/>
                <w:sz w:val="20"/>
                <w:szCs w:val="20"/>
                <w:lang w:val="en-MY"/>
              </w:rPr>
              <w:t xml:space="preserve">E </w:t>
            </w:r>
          </w:p>
        </w:tc>
        <w:tc>
          <w:tcPr>
            <w:tcW w:w="1647" w:type="pct"/>
            <w:tcBorders>
              <w:bottom w:val="single" w:sz="4" w:space="0" w:color="auto"/>
            </w:tcBorders>
          </w:tcPr>
          <w:p w14:paraId="3BCFDB82" w14:textId="77777777" w:rsidR="005F5C74" w:rsidRPr="005F5C74" w:rsidRDefault="005F5C74" w:rsidP="00B257A4">
            <w:pPr>
              <w:spacing w:before="60" w:after="60"/>
              <w:jc w:val="center"/>
              <w:rPr>
                <w:rFonts w:ascii="Times New Roman"/>
                <w:sz w:val="20"/>
                <w:szCs w:val="20"/>
                <w:vertAlign w:val="superscript"/>
              </w:rPr>
            </w:pPr>
            <w:r w:rsidRPr="005F5C74">
              <w:rPr>
                <w:rFonts w:ascii="Times New Roman"/>
                <w:sz w:val="20"/>
                <w:szCs w:val="20"/>
              </w:rPr>
              <w:t>27.29 ± 1.37</w:t>
            </w:r>
            <w:r w:rsidRPr="005F5C74">
              <w:rPr>
                <w:rFonts w:ascii="Times New Roman"/>
                <w:sz w:val="20"/>
                <w:szCs w:val="20"/>
                <w:vertAlign w:val="superscript"/>
              </w:rPr>
              <w:t>d</w:t>
            </w:r>
          </w:p>
        </w:tc>
        <w:tc>
          <w:tcPr>
            <w:tcW w:w="1610" w:type="pct"/>
            <w:tcBorders>
              <w:bottom w:val="single" w:sz="4" w:space="0" w:color="auto"/>
            </w:tcBorders>
          </w:tcPr>
          <w:p w14:paraId="3024EBEF" w14:textId="77777777" w:rsidR="005F5C74" w:rsidRPr="005F5C74" w:rsidRDefault="005F5C74" w:rsidP="00B257A4">
            <w:pPr>
              <w:spacing w:before="60" w:after="60"/>
              <w:jc w:val="center"/>
              <w:rPr>
                <w:rFonts w:ascii="Times New Roman"/>
                <w:sz w:val="20"/>
                <w:szCs w:val="20"/>
                <w:vertAlign w:val="superscript"/>
              </w:rPr>
            </w:pPr>
            <w:r w:rsidRPr="005F5C74">
              <w:rPr>
                <w:rFonts w:ascii="Times New Roman"/>
                <w:sz w:val="20"/>
                <w:szCs w:val="20"/>
              </w:rPr>
              <w:t>59.30 ± 2.04</w:t>
            </w:r>
            <w:r w:rsidRPr="005F5C74">
              <w:rPr>
                <w:rFonts w:ascii="Times New Roman"/>
                <w:sz w:val="20"/>
                <w:szCs w:val="20"/>
                <w:vertAlign w:val="superscript"/>
              </w:rPr>
              <w:t>d</w:t>
            </w:r>
          </w:p>
        </w:tc>
      </w:tr>
    </w:tbl>
    <w:p w14:paraId="197465F5" w14:textId="48EE2125" w:rsidR="005F5C74" w:rsidRPr="00B257A4" w:rsidRDefault="00B257A4" w:rsidP="00B257A4">
      <w:pPr>
        <w:spacing w:before="60" w:after="0"/>
        <w:ind w:firstLine="270"/>
        <w:jc w:val="both"/>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00912620">
        <w:rPr>
          <w:rFonts w:ascii="Times New Roman" w:hAnsi="Times New Roman"/>
          <w:color w:val="000000" w:themeColor="text1"/>
          <w:sz w:val="18"/>
          <w:szCs w:val="18"/>
        </w:rPr>
        <w:t xml:space="preserve"> </w:t>
      </w:r>
      <w:r w:rsidR="005F5C74" w:rsidRPr="00B257A4">
        <w:rPr>
          <w:rFonts w:ascii="Times New Roman" w:hAnsi="Times New Roman"/>
          <w:color w:val="000000" w:themeColor="text1"/>
          <w:sz w:val="18"/>
          <w:szCs w:val="18"/>
        </w:rPr>
        <w:t>Results are presented as mean value ± standard deviation of three replicates.</w:t>
      </w:r>
    </w:p>
    <w:p w14:paraId="3FD037CC" w14:textId="3649A430" w:rsidR="00B257A4" w:rsidRPr="004745E8" w:rsidRDefault="00B257A4" w:rsidP="004745E8">
      <w:pPr>
        <w:spacing w:after="0"/>
        <w:ind w:firstLine="270"/>
        <w:jc w:val="both"/>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00912620">
        <w:rPr>
          <w:rFonts w:ascii="Times New Roman" w:hAnsi="Times New Roman"/>
          <w:color w:val="000000" w:themeColor="text1"/>
          <w:sz w:val="18"/>
          <w:szCs w:val="18"/>
        </w:rPr>
        <w:t xml:space="preserve"> </w:t>
      </w:r>
      <w:r w:rsidR="005F5C74" w:rsidRPr="00B257A4">
        <w:rPr>
          <w:rFonts w:ascii="Times New Roman" w:hAnsi="Times New Roman"/>
          <w:color w:val="000000" w:themeColor="text1"/>
          <w:sz w:val="18"/>
          <w:szCs w:val="18"/>
        </w:rPr>
        <w:t>Different letters superscripted denote significant difference (p</w:t>
      </w:r>
      <w:r w:rsidR="005F5C74" w:rsidRPr="00B257A4">
        <w:rPr>
          <w:rFonts w:ascii="Times New Roman" w:hAnsi="Times New Roman"/>
          <w:color w:val="000000" w:themeColor="text1"/>
          <w:sz w:val="18"/>
          <w:szCs w:val="18"/>
        </w:rPr>
        <w:sym w:font="Symbol" w:char="F0A3"/>
      </w:r>
      <w:r w:rsidR="005F5C74" w:rsidRPr="00B257A4">
        <w:rPr>
          <w:rFonts w:ascii="Times New Roman" w:hAnsi="Times New Roman"/>
          <w:color w:val="000000" w:themeColor="text1"/>
          <w:sz w:val="18"/>
          <w:szCs w:val="18"/>
        </w:rPr>
        <w:t>0.05) between samples for each parameter in the same column.</w:t>
      </w:r>
    </w:p>
    <w:p w14:paraId="34701F38" w14:textId="77777777" w:rsidR="005F5C74" w:rsidRPr="005F5C74" w:rsidRDefault="005F5C74" w:rsidP="00B257A4">
      <w:pPr>
        <w:spacing w:after="60"/>
        <w:jc w:val="center"/>
        <w:rPr>
          <w:rFonts w:ascii="Times New Roman" w:hAnsi="Times New Roman"/>
          <w:sz w:val="20"/>
          <w:szCs w:val="20"/>
        </w:rPr>
      </w:pPr>
      <w:r w:rsidRPr="005F5C74">
        <w:rPr>
          <w:rFonts w:ascii="Times New Roman" w:hAnsi="Times New Roman"/>
          <w:noProof/>
          <w:sz w:val="20"/>
          <w:szCs w:val="20"/>
        </w:rPr>
        <w:drawing>
          <wp:inline distT="0" distB="0" distL="0" distR="0" wp14:anchorId="19E23526" wp14:editId="161DB797">
            <wp:extent cx="573151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inline>
        </w:drawing>
      </w:r>
    </w:p>
    <w:p w14:paraId="4C6A8587" w14:textId="3D29814B" w:rsidR="005F5C74" w:rsidRPr="005F5C74" w:rsidRDefault="005F5C74" w:rsidP="00B257A4">
      <w:pPr>
        <w:spacing w:after="0"/>
        <w:jc w:val="center"/>
        <w:rPr>
          <w:rFonts w:ascii="Times New Roman" w:hAnsi="Times New Roman"/>
          <w:sz w:val="20"/>
          <w:szCs w:val="20"/>
        </w:rPr>
      </w:pPr>
      <w:r w:rsidRPr="005F5C74">
        <w:rPr>
          <w:rFonts w:ascii="Times New Roman" w:hAnsi="Times New Roman"/>
          <w:sz w:val="20"/>
          <w:szCs w:val="20"/>
        </w:rPr>
        <w:t xml:space="preserve">Figure 1. </w:t>
      </w:r>
      <w:r w:rsidR="00B257A4">
        <w:rPr>
          <w:rFonts w:ascii="Times New Roman" w:hAnsi="Times New Roman"/>
          <w:sz w:val="20"/>
          <w:szCs w:val="20"/>
        </w:rPr>
        <w:t xml:space="preserve"> </w:t>
      </w:r>
      <w:r w:rsidRPr="005F5C74">
        <w:rPr>
          <w:rFonts w:ascii="Times New Roman" w:hAnsi="Times New Roman"/>
          <w:bCs/>
          <w:sz w:val="20"/>
          <w:szCs w:val="20"/>
        </w:rPr>
        <w:t>The appearance of the films made from formulation A, C and D</w:t>
      </w:r>
    </w:p>
    <w:p w14:paraId="2D91723F" w14:textId="4E9FEE7A" w:rsidR="005F5C74" w:rsidRDefault="005F5C74" w:rsidP="005F5C74">
      <w:pPr>
        <w:spacing w:after="0"/>
        <w:jc w:val="both"/>
        <w:rPr>
          <w:rFonts w:ascii="Times New Roman" w:hAnsi="Times New Roman"/>
          <w:sz w:val="20"/>
          <w:szCs w:val="20"/>
        </w:rPr>
      </w:pPr>
    </w:p>
    <w:p w14:paraId="688CA126" w14:textId="77777777" w:rsidR="004745E8" w:rsidRPr="005F5C74" w:rsidRDefault="004745E8" w:rsidP="005F5C74">
      <w:pPr>
        <w:spacing w:after="0"/>
        <w:jc w:val="both"/>
        <w:rPr>
          <w:rFonts w:ascii="Times New Roman" w:hAnsi="Times New Roman"/>
          <w:sz w:val="20"/>
          <w:szCs w:val="20"/>
        </w:rPr>
      </w:pPr>
    </w:p>
    <w:p w14:paraId="1B643808" w14:textId="77777777" w:rsidR="00B257A4" w:rsidRDefault="005F5C74" w:rsidP="00B257A4">
      <w:pPr>
        <w:spacing w:after="0"/>
        <w:jc w:val="center"/>
        <w:rPr>
          <w:rFonts w:ascii="Times New Roman" w:hAnsi="Times New Roman"/>
          <w:sz w:val="20"/>
          <w:szCs w:val="20"/>
          <w:lang w:val="en-GB" w:eastAsia="en-GB"/>
        </w:rPr>
      </w:pPr>
      <w:r w:rsidRPr="005F5C74">
        <w:rPr>
          <w:rFonts w:ascii="Times New Roman" w:hAnsi="Times New Roman"/>
          <w:sz w:val="20"/>
          <w:szCs w:val="20"/>
          <w:lang w:val="en-GB" w:eastAsia="en-GB"/>
        </w:rPr>
        <w:t xml:space="preserve">Table 3. </w:t>
      </w:r>
      <w:r w:rsidR="00B257A4">
        <w:rPr>
          <w:rFonts w:ascii="Times New Roman" w:hAnsi="Times New Roman"/>
          <w:sz w:val="20"/>
          <w:szCs w:val="20"/>
          <w:lang w:val="en-GB" w:eastAsia="en-GB"/>
        </w:rPr>
        <w:t xml:space="preserve"> </w:t>
      </w:r>
      <w:r w:rsidRPr="005F5C74">
        <w:rPr>
          <w:rFonts w:ascii="Times New Roman" w:hAnsi="Times New Roman"/>
          <w:sz w:val="20"/>
          <w:szCs w:val="20"/>
          <w:lang w:val="en-GB" w:eastAsia="en-GB"/>
        </w:rPr>
        <w:t xml:space="preserve">Color parameters of the different formulations of chitosan film incorporated with </w:t>
      </w:r>
    </w:p>
    <w:p w14:paraId="03127A7A" w14:textId="1AD29328" w:rsidR="005F5C74" w:rsidRPr="005F5C74" w:rsidRDefault="005F5C74" w:rsidP="00B257A4">
      <w:pPr>
        <w:spacing w:after="120"/>
        <w:jc w:val="center"/>
        <w:rPr>
          <w:rFonts w:ascii="Times New Roman" w:hAnsi="Times New Roman"/>
          <w:sz w:val="20"/>
          <w:szCs w:val="20"/>
          <w:lang w:val="en-GB" w:eastAsia="en-GB"/>
        </w:rPr>
      </w:pPr>
      <w:r w:rsidRPr="005F5C74">
        <w:rPr>
          <w:rFonts w:ascii="Times New Roman" w:hAnsi="Times New Roman"/>
          <w:bCs/>
          <w:i/>
          <w:iCs/>
          <w:color w:val="000000" w:themeColor="text1"/>
          <w:sz w:val="20"/>
          <w:szCs w:val="20"/>
          <w:lang w:eastAsia="en-GB"/>
        </w:rPr>
        <w:t>Garcinia atroviridis</w:t>
      </w:r>
      <w:r w:rsidR="00B257A4">
        <w:rPr>
          <w:rFonts w:ascii="Times New Roman" w:hAnsi="Times New Roman"/>
          <w:sz w:val="20"/>
          <w:szCs w:val="20"/>
          <w:lang w:val="en-GB" w:eastAsia="en-GB"/>
        </w:rPr>
        <w:t xml:space="preserve"> </w:t>
      </w:r>
      <w:r w:rsidRPr="005F5C74">
        <w:rPr>
          <w:rFonts w:ascii="Times New Roman" w:hAnsi="Times New Roman"/>
          <w:sz w:val="20"/>
          <w:szCs w:val="20"/>
          <w:lang w:val="en-GB" w:eastAsia="en-GB"/>
        </w:rPr>
        <w:t>extract</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249"/>
        <w:gridCol w:w="1258"/>
        <w:gridCol w:w="1249"/>
        <w:gridCol w:w="1191"/>
      </w:tblGrid>
      <w:tr w:rsidR="005F5C74" w:rsidRPr="005F5C74" w14:paraId="3BB2CFD5" w14:textId="77777777" w:rsidTr="00B257A4">
        <w:trPr>
          <w:trHeight w:val="168"/>
          <w:jc w:val="center"/>
        </w:trPr>
        <w:tc>
          <w:tcPr>
            <w:tcW w:w="0" w:type="auto"/>
            <w:tcBorders>
              <w:top w:val="single" w:sz="4" w:space="0" w:color="auto"/>
              <w:bottom w:val="single" w:sz="4" w:space="0" w:color="auto"/>
            </w:tcBorders>
          </w:tcPr>
          <w:p w14:paraId="76F13A29" w14:textId="77777777" w:rsidR="005F5C74" w:rsidRPr="005F5C74" w:rsidRDefault="005F5C74" w:rsidP="00B257A4">
            <w:pPr>
              <w:spacing w:before="60" w:after="60"/>
              <w:jc w:val="both"/>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1F513EAB" w14:textId="77777777" w:rsidR="005F5C74" w:rsidRPr="005F5C74" w:rsidRDefault="005F5C74" w:rsidP="00B257A4">
            <w:pPr>
              <w:spacing w:before="60" w:after="60"/>
              <w:jc w:val="both"/>
              <w:rPr>
                <w:rFonts w:ascii="Times New Roman"/>
                <w:b/>
                <w:bCs/>
                <w:sz w:val="20"/>
                <w:szCs w:val="20"/>
              </w:rPr>
            </w:pPr>
            <w:r w:rsidRPr="005F5C74">
              <w:rPr>
                <w:rFonts w:ascii="Times New Roman"/>
                <w:b/>
                <w:bCs/>
                <w:sz w:val="20"/>
                <w:szCs w:val="20"/>
              </w:rPr>
              <w:t>L*</w:t>
            </w:r>
          </w:p>
        </w:tc>
        <w:tc>
          <w:tcPr>
            <w:tcW w:w="0" w:type="auto"/>
            <w:tcBorders>
              <w:top w:val="single" w:sz="4" w:space="0" w:color="auto"/>
              <w:bottom w:val="single" w:sz="4" w:space="0" w:color="auto"/>
            </w:tcBorders>
          </w:tcPr>
          <w:p w14:paraId="0ADDF5C6" w14:textId="77777777" w:rsidR="005F5C74" w:rsidRPr="005F5C74" w:rsidRDefault="005F5C74" w:rsidP="00B257A4">
            <w:pPr>
              <w:spacing w:before="60" w:after="60"/>
              <w:jc w:val="both"/>
              <w:rPr>
                <w:rFonts w:ascii="Times New Roman"/>
                <w:b/>
                <w:bCs/>
                <w:sz w:val="20"/>
                <w:szCs w:val="20"/>
              </w:rPr>
            </w:pPr>
            <w:r w:rsidRPr="005F5C74">
              <w:rPr>
                <w:rFonts w:ascii="Times New Roman"/>
                <w:b/>
                <w:bCs/>
                <w:sz w:val="20"/>
                <w:szCs w:val="20"/>
              </w:rPr>
              <w:t>a*</w:t>
            </w:r>
          </w:p>
        </w:tc>
        <w:tc>
          <w:tcPr>
            <w:tcW w:w="0" w:type="auto"/>
            <w:tcBorders>
              <w:top w:val="single" w:sz="4" w:space="0" w:color="auto"/>
              <w:bottom w:val="single" w:sz="4" w:space="0" w:color="auto"/>
            </w:tcBorders>
          </w:tcPr>
          <w:p w14:paraId="002A63A2" w14:textId="77777777" w:rsidR="005F5C74" w:rsidRPr="005F5C74" w:rsidRDefault="005F5C74" w:rsidP="00B257A4">
            <w:pPr>
              <w:spacing w:before="60" w:after="60"/>
              <w:jc w:val="both"/>
              <w:rPr>
                <w:rFonts w:ascii="Times New Roman"/>
                <w:b/>
                <w:bCs/>
                <w:sz w:val="20"/>
                <w:szCs w:val="20"/>
              </w:rPr>
            </w:pPr>
            <w:r w:rsidRPr="005F5C74">
              <w:rPr>
                <w:rFonts w:ascii="Times New Roman"/>
                <w:b/>
                <w:bCs/>
                <w:sz w:val="20"/>
                <w:szCs w:val="20"/>
              </w:rPr>
              <w:t>b*</w:t>
            </w:r>
          </w:p>
        </w:tc>
        <w:tc>
          <w:tcPr>
            <w:tcW w:w="0" w:type="auto"/>
            <w:tcBorders>
              <w:top w:val="single" w:sz="4" w:space="0" w:color="auto"/>
              <w:bottom w:val="single" w:sz="4" w:space="0" w:color="auto"/>
            </w:tcBorders>
          </w:tcPr>
          <w:p w14:paraId="753CE1E4" w14:textId="77777777" w:rsidR="005F5C74" w:rsidRPr="005F5C74" w:rsidRDefault="005F5C74" w:rsidP="00B257A4">
            <w:pPr>
              <w:spacing w:before="60" w:after="60"/>
              <w:jc w:val="both"/>
              <w:rPr>
                <w:rFonts w:ascii="Times New Roman"/>
                <w:b/>
                <w:bCs/>
                <w:sz w:val="20"/>
                <w:szCs w:val="20"/>
              </w:rPr>
            </w:pPr>
            <w:r w:rsidRPr="005F5C74">
              <w:rPr>
                <w:rFonts w:ascii="Times New Roman"/>
                <w:b/>
                <w:bCs/>
                <w:sz w:val="20"/>
                <w:szCs w:val="20"/>
              </w:rPr>
              <w:t>ΔE</w:t>
            </w:r>
          </w:p>
        </w:tc>
      </w:tr>
      <w:tr w:rsidR="005F5C74" w:rsidRPr="005F5C74" w14:paraId="38C736F0" w14:textId="77777777" w:rsidTr="00B257A4">
        <w:trPr>
          <w:jc w:val="center"/>
        </w:trPr>
        <w:tc>
          <w:tcPr>
            <w:tcW w:w="0" w:type="auto"/>
            <w:tcBorders>
              <w:top w:val="single" w:sz="4" w:space="0" w:color="auto"/>
            </w:tcBorders>
          </w:tcPr>
          <w:p w14:paraId="55DBE4BC"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lang w:val="en-MY"/>
              </w:rPr>
              <w:t>A</w:t>
            </w:r>
          </w:p>
        </w:tc>
        <w:tc>
          <w:tcPr>
            <w:tcW w:w="0" w:type="auto"/>
            <w:tcBorders>
              <w:top w:val="single" w:sz="4" w:space="0" w:color="auto"/>
            </w:tcBorders>
          </w:tcPr>
          <w:p w14:paraId="6FE2EFA3"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8.50 ± 1.03</w:t>
            </w:r>
            <w:r w:rsidRPr="005F5C74">
              <w:rPr>
                <w:rFonts w:ascii="Times New Roman"/>
                <w:sz w:val="20"/>
                <w:szCs w:val="20"/>
                <w:vertAlign w:val="superscript"/>
              </w:rPr>
              <w:t>ab</w:t>
            </w:r>
          </w:p>
        </w:tc>
        <w:tc>
          <w:tcPr>
            <w:tcW w:w="0" w:type="auto"/>
            <w:tcBorders>
              <w:top w:val="single" w:sz="4" w:space="0" w:color="auto"/>
            </w:tcBorders>
          </w:tcPr>
          <w:p w14:paraId="70103D44"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0.39 ± 0.65</w:t>
            </w:r>
            <w:r w:rsidRPr="005F5C74">
              <w:rPr>
                <w:rFonts w:ascii="Times New Roman"/>
                <w:sz w:val="20"/>
                <w:szCs w:val="20"/>
                <w:vertAlign w:val="superscript"/>
              </w:rPr>
              <w:t>a</w:t>
            </w:r>
          </w:p>
        </w:tc>
        <w:tc>
          <w:tcPr>
            <w:tcW w:w="0" w:type="auto"/>
            <w:tcBorders>
              <w:top w:val="single" w:sz="4" w:space="0" w:color="auto"/>
            </w:tcBorders>
          </w:tcPr>
          <w:p w14:paraId="3A0B600D"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8.70 ± 0.62</w:t>
            </w:r>
            <w:r w:rsidRPr="005F5C74">
              <w:rPr>
                <w:rFonts w:ascii="Times New Roman"/>
                <w:sz w:val="20"/>
                <w:szCs w:val="20"/>
                <w:vertAlign w:val="superscript"/>
              </w:rPr>
              <w:t>ab</w:t>
            </w:r>
          </w:p>
        </w:tc>
        <w:tc>
          <w:tcPr>
            <w:tcW w:w="0" w:type="auto"/>
            <w:tcBorders>
              <w:top w:val="single" w:sz="4" w:space="0" w:color="auto"/>
            </w:tcBorders>
          </w:tcPr>
          <w:p w14:paraId="6170A06C"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0.00 ± 0.00</w:t>
            </w:r>
            <w:r w:rsidRPr="005F5C74">
              <w:rPr>
                <w:rFonts w:ascii="Times New Roman"/>
                <w:sz w:val="20"/>
                <w:szCs w:val="20"/>
                <w:vertAlign w:val="superscript"/>
              </w:rPr>
              <w:t>a</w:t>
            </w:r>
          </w:p>
        </w:tc>
      </w:tr>
      <w:tr w:rsidR="005F5C74" w:rsidRPr="005F5C74" w14:paraId="758357AC" w14:textId="77777777" w:rsidTr="00BD379D">
        <w:trPr>
          <w:jc w:val="center"/>
        </w:trPr>
        <w:tc>
          <w:tcPr>
            <w:tcW w:w="0" w:type="auto"/>
          </w:tcPr>
          <w:p w14:paraId="4D9357A6"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lang w:val="en-MY"/>
              </w:rPr>
              <w:t xml:space="preserve">B </w:t>
            </w:r>
          </w:p>
        </w:tc>
        <w:tc>
          <w:tcPr>
            <w:tcW w:w="0" w:type="auto"/>
          </w:tcPr>
          <w:p w14:paraId="28965991"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8.30 ± 0.64</w:t>
            </w:r>
            <w:r w:rsidRPr="005F5C74">
              <w:rPr>
                <w:rFonts w:ascii="Times New Roman"/>
                <w:sz w:val="20"/>
                <w:szCs w:val="20"/>
                <w:vertAlign w:val="superscript"/>
              </w:rPr>
              <w:t>a</w:t>
            </w:r>
          </w:p>
        </w:tc>
        <w:tc>
          <w:tcPr>
            <w:tcW w:w="0" w:type="auto"/>
          </w:tcPr>
          <w:p w14:paraId="2AF6D67C"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-1.43 ± 0.40</w:t>
            </w:r>
            <w:r w:rsidRPr="005F5C74">
              <w:rPr>
                <w:rFonts w:ascii="Times New Roman"/>
                <w:sz w:val="20"/>
                <w:szCs w:val="20"/>
                <w:vertAlign w:val="superscript"/>
              </w:rPr>
              <w:t>b</w:t>
            </w:r>
          </w:p>
        </w:tc>
        <w:tc>
          <w:tcPr>
            <w:tcW w:w="0" w:type="auto"/>
          </w:tcPr>
          <w:p w14:paraId="5A8F1F79"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8.37 ± 1.46</w:t>
            </w:r>
            <w:r w:rsidRPr="005F5C74">
              <w:rPr>
                <w:rFonts w:ascii="Times New Roman"/>
                <w:sz w:val="20"/>
                <w:szCs w:val="20"/>
                <w:vertAlign w:val="superscript"/>
              </w:rPr>
              <w:t>a</w:t>
            </w:r>
          </w:p>
        </w:tc>
        <w:tc>
          <w:tcPr>
            <w:tcW w:w="0" w:type="auto"/>
          </w:tcPr>
          <w:p w14:paraId="3FB74949"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1.37 ± 0.93</w:t>
            </w:r>
            <w:r w:rsidRPr="005F5C74">
              <w:rPr>
                <w:rFonts w:ascii="Times New Roman"/>
                <w:sz w:val="20"/>
                <w:szCs w:val="20"/>
                <w:vertAlign w:val="superscript"/>
              </w:rPr>
              <w:t>b</w:t>
            </w:r>
          </w:p>
        </w:tc>
      </w:tr>
      <w:tr w:rsidR="005F5C74" w:rsidRPr="005F5C74" w14:paraId="458CB0E5" w14:textId="77777777" w:rsidTr="00BD379D">
        <w:trPr>
          <w:jc w:val="center"/>
        </w:trPr>
        <w:tc>
          <w:tcPr>
            <w:tcW w:w="0" w:type="auto"/>
          </w:tcPr>
          <w:p w14:paraId="4AC75FBD"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lang w:val="en-MY"/>
              </w:rPr>
              <w:t xml:space="preserve">C </w:t>
            </w:r>
          </w:p>
        </w:tc>
        <w:tc>
          <w:tcPr>
            <w:tcW w:w="0" w:type="auto"/>
          </w:tcPr>
          <w:p w14:paraId="5DB0B20C"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9.19 ± 0.72</w:t>
            </w:r>
            <w:r w:rsidRPr="005F5C74">
              <w:rPr>
                <w:rFonts w:ascii="Times New Roman"/>
                <w:sz w:val="20"/>
                <w:szCs w:val="20"/>
                <w:vertAlign w:val="superscript"/>
              </w:rPr>
              <w:t>ab</w:t>
            </w:r>
          </w:p>
        </w:tc>
        <w:tc>
          <w:tcPr>
            <w:tcW w:w="0" w:type="auto"/>
          </w:tcPr>
          <w:p w14:paraId="5EAB4EC6"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0.77 ± 0.94</w:t>
            </w:r>
            <w:r w:rsidRPr="005F5C74">
              <w:rPr>
                <w:rFonts w:ascii="Times New Roman"/>
                <w:sz w:val="20"/>
                <w:szCs w:val="20"/>
                <w:vertAlign w:val="superscript"/>
              </w:rPr>
              <w:t>a</w:t>
            </w:r>
          </w:p>
        </w:tc>
        <w:tc>
          <w:tcPr>
            <w:tcW w:w="0" w:type="auto"/>
          </w:tcPr>
          <w:p w14:paraId="6CF9E8A7"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8.40 ± 0.67</w:t>
            </w:r>
            <w:r w:rsidRPr="005F5C74">
              <w:rPr>
                <w:rFonts w:ascii="Times New Roman"/>
                <w:sz w:val="20"/>
                <w:szCs w:val="20"/>
                <w:vertAlign w:val="superscript"/>
              </w:rPr>
              <w:t>a</w:t>
            </w:r>
          </w:p>
        </w:tc>
        <w:tc>
          <w:tcPr>
            <w:tcW w:w="0" w:type="auto"/>
          </w:tcPr>
          <w:p w14:paraId="4A5F4FFE" w14:textId="77777777" w:rsidR="005F5C74" w:rsidRPr="005F5C74" w:rsidRDefault="005F5C74" w:rsidP="00B257A4">
            <w:pPr>
              <w:spacing w:before="60" w:after="0"/>
              <w:jc w:val="both"/>
              <w:rPr>
                <w:rFonts w:ascii="Times New Roman"/>
                <w:sz w:val="20"/>
                <w:szCs w:val="20"/>
                <w:vertAlign w:val="superscript"/>
              </w:rPr>
            </w:pPr>
            <w:r w:rsidRPr="005F5C74">
              <w:rPr>
                <w:rFonts w:ascii="Times New Roman"/>
                <w:sz w:val="20"/>
                <w:szCs w:val="20"/>
              </w:rPr>
              <w:t>0.78 ± 0.61</w:t>
            </w:r>
            <w:r w:rsidRPr="005F5C74">
              <w:rPr>
                <w:rFonts w:ascii="Times New Roman"/>
                <w:sz w:val="20"/>
                <w:szCs w:val="20"/>
                <w:vertAlign w:val="superscript"/>
              </w:rPr>
              <w:t>a</w:t>
            </w:r>
          </w:p>
        </w:tc>
      </w:tr>
      <w:tr w:rsidR="005F5C74" w:rsidRPr="005F5C74" w14:paraId="5FAD18DA" w14:textId="77777777" w:rsidTr="00B257A4">
        <w:trPr>
          <w:jc w:val="center"/>
        </w:trPr>
        <w:tc>
          <w:tcPr>
            <w:tcW w:w="0" w:type="auto"/>
          </w:tcPr>
          <w:p w14:paraId="416B1111"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lang w:val="en-MY"/>
              </w:rPr>
              <w:t xml:space="preserve">D </w:t>
            </w:r>
          </w:p>
        </w:tc>
        <w:tc>
          <w:tcPr>
            <w:tcW w:w="0" w:type="auto"/>
          </w:tcPr>
          <w:p w14:paraId="437A84C7"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8.46 ± 0.21</w:t>
            </w:r>
            <w:r w:rsidRPr="005F5C74">
              <w:rPr>
                <w:rFonts w:ascii="Times New Roman"/>
                <w:sz w:val="20"/>
                <w:szCs w:val="20"/>
                <w:vertAlign w:val="superscript"/>
              </w:rPr>
              <w:t>ab</w:t>
            </w:r>
          </w:p>
        </w:tc>
        <w:tc>
          <w:tcPr>
            <w:tcW w:w="0" w:type="auto"/>
          </w:tcPr>
          <w:p w14:paraId="4E44AAB2"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1.20 ± 0.38</w:t>
            </w:r>
            <w:r w:rsidRPr="005F5C74">
              <w:rPr>
                <w:rFonts w:ascii="Times New Roman"/>
                <w:sz w:val="20"/>
                <w:szCs w:val="20"/>
                <w:vertAlign w:val="superscript"/>
              </w:rPr>
              <w:t>a</w:t>
            </w:r>
          </w:p>
        </w:tc>
        <w:tc>
          <w:tcPr>
            <w:tcW w:w="0" w:type="auto"/>
          </w:tcPr>
          <w:p w14:paraId="3B5557CA"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9.16 ± 0.51</w:t>
            </w:r>
            <w:r w:rsidRPr="005F5C74">
              <w:rPr>
                <w:rFonts w:ascii="Times New Roman"/>
                <w:sz w:val="20"/>
                <w:szCs w:val="20"/>
                <w:vertAlign w:val="superscript"/>
              </w:rPr>
              <w:t>b</w:t>
            </w:r>
          </w:p>
        </w:tc>
        <w:tc>
          <w:tcPr>
            <w:tcW w:w="0" w:type="auto"/>
          </w:tcPr>
          <w:p w14:paraId="5415B427" w14:textId="77777777" w:rsidR="005F5C74" w:rsidRPr="005F5C74" w:rsidRDefault="005F5C74" w:rsidP="00B257A4">
            <w:pPr>
              <w:spacing w:before="60" w:after="0"/>
              <w:jc w:val="both"/>
              <w:rPr>
                <w:rFonts w:ascii="Times New Roman"/>
                <w:sz w:val="20"/>
                <w:szCs w:val="20"/>
              </w:rPr>
            </w:pPr>
            <w:r w:rsidRPr="005F5C74">
              <w:rPr>
                <w:rFonts w:ascii="Times New Roman"/>
                <w:sz w:val="20"/>
                <w:szCs w:val="20"/>
              </w:rPr>
              <w:t>0.27 ± 0.91</w:t>
            </w:r>
            <w:r w:rsidRPr="005F5C74">
              <w:rPr>
                <w:rFonts w:ascii="Times New Roman"/>
                <w:sz w:val="20"/>
                <w:szCs w:val="20"/>
                <w:vertAlign w:val="superscript"/>
              </w:rPr>
              <w:t>a</w:t>
            </w:r>
          </w:p>
        </w:tc>
      </w:tr>
      <w:tr w:rsidR="005F5C74" w:rsidRPr="005F5C74" w14:paraId="71BA544F" w14:textId="77777777" w:rsidTr="00B257A4">
        <w:trPr>
          <w:jc w:val="center"/>
        </w:trPr>
        <w:tc>
          <w:tcPr>
            <w:tcW w:w="0" w:type="auto"/>
            <w:tcBorders>
              <w:bottom w:val="single" w:sz="4" w:space="0" w:color="auto"/>
            </w:tcBorders>
          </w:tcPr>
          <w:p w14:paraId="0E9F577D" w14:textId="77777777" w:rsidR="005F5C74" w:rsidRPr="005F5C74" w:rsidRDefault="005F5C74" w:rsidP="00B257A4">
            <w:pPr>
              <w:spacing w:before="60" w:after="60"/>
              <w:jc w:val="both"/>
              <w:rPr>
                <w:rFonts w:ascii="Times New Roman"/>
                <w:sz w:val="20"/>
                <w:szCs w:val="20"/>
              </w:rPr>
            </w:pPr>
            <w:r w:rsidRPr="005F5C74">
              <w:rPr>
                <w:rFonts w:ascii="Times New Roman"/>
                <w:sz w:val="20"/>
                <w:szCs w:val="20"/>
                <w:lang w:val="en-MY"/>
              </w:rPr>
              <w:t xml:space="preserve">E </w:t>
            </w:r>
          </w:p>
        </w:tc>
        <w:tc>
          <w:tcPr>
            <w:tcW w:w="0" w:type="auto"/>
            <w:tcBorders>
              <w:bottom w:val="single" w:sz="4" w:space="0" w:color="auto"/>
            </w:tcBorders>
          </w:tcPr>
          <w:p w14:paraId="11EC064B" w14:textId="77777777" w:rsidR="005F5C74" w:rsidRPr="005F5C74" w:rsidRDefault="005F5C74" w:rsidP="00B257A4">
            <w:pPr>
              <w:spacing w:before="60" w:after="60"/>
              <w:jc w:val="both"/>
              <w:rPr>
                <w:rFonts w:ascii="Times New Roman"/>
                <w:sz w:val="20"/>
                <w:szCs w:val="20"/>
              </w:rPr>
            </w:pPr>
            <w:r w:rsidRPr="005F5C74">
              <w:rPr>
                <w:rFonts w:ascii="Times New Roman"/>
                <w:sz w:val="20"/>
                <w:szCs w:val="20"/>
              </w:rPr>
              <w:t>9.31 ± 1.07</w:t>
            </w:r>
            <w:r w:rsidRPr="005F5C74">
              <w:rPr>
                <w:rFonts w:ascii="Times New Roman"/>
                <w:sz w:val="20"/>
                <w:szCs w:val="20"/>
                <w:vertAlign w:val="superscript"/>
              </w:rPr>
              <w:t>b</w:t>
            </w:r>
          </w:p>
        </w:tc>
        <w:tc>
          <w:tcPr>
            <w:tcW w:w="0" w:type="auto"/>
            <w:tcBorders>
              <w:bottom w:val="single" w:sz="4" w:space="0" w:color="auto"/>
            </w:tcBorders>
          </w:tcPr>
          <w:p w14:paraId="26BA2159" w14:textId="77777777" w:rsidR="005F5C74" w:rsidRPr="005F5C74" w:rsidRDefault="005F5C74" w:rsidP="00B257A4">
            <w:pPr>
              <w:spacing w:before="60" w:after="60"/>
              <w:jc w:val="both"/>
              <w:rPr>
                <w:rFonts w:ascii="Times New Roman"/>
                <w:sz w:val="20"/>
                <w:szCs w:val="20"/>
              </w:rPr>
            </w:pPr>
            <w:r w:rsidRPr="005F5C74">
              <w:rPr>
                <w:rFonts w:ascii="Times New Roman"/>
                <w:sz w:val="20"/>
                <w:szCs w:val="20"/>
              </w:rPr>
              <w:t>1.12 ± 0.25</w:t>
            </w:r>
            <w:r w:rsidRPr="005F5C74">
              <w:rPr>
                <w:rFonts w:ascii="Times New Roman"/>
                <w:sz w:val="20"/>
                <w:szCs w:val="20"/>
                <w:vertAlign w:val="superscript"/>
              </w:rPr>
              <w:t>a</w:t>
            </w:r>
          </w:p>
        </w:tc>
        <w:tc>
          <w:tcPr>
            <w:tcW w:w="0" w:type="auto"/>
            <w:tcBorders>
              <w:bottom w:val="single" w:sz="4" w:space="0" w:color="auto"/>
            </w:tcBorders>
          </w:tcPr>
          <w:p w14:paraId="4D9E0C5A" w14:textId="77777777" w:rsidR="005F5C74" w:rsidRPr="005F5C74" w:rsidRDefault="005F5C74" w:rsidP="00B257A4">
            <w:pPr>
              <w:spacing w:before="60" w:after="60"/>
              <w:jc w:val="both"/>
              <w:rPr>
                <w:rFonts w:ascii="Times New Roman"/>
                <w:sz w:val="20"/>
                <w:szCs w:val="20"/>
              </w:rPr>
            </w:pPr>
            <w:r w:rsidRPr="005F5C74">
              <w:rPr>
                <w:rFonts w:ascii="Times New Roman"/>
                <w:sz w:val="20"/>
                <w:szCs w:val="20"/>
              </w:rPr>
              <w:t>8.81 ± 0.06</w:t>
            </w:r>
            <w:r w:rsidRPr="005F5C74">
              <w:rPr>
                <w:rFonts w:ascii="Times New Roman"/>
                <w:sz w:val="20"/>
                <w:szCs w:val="20"/>
                <w:vertAlign w:val="superscript"/>
              </w:rPr>
              <w:t>ab</w:t>
            </w:r>
          </w:p>
        </w:tc>
        <w:tc>
          <w:tcPr>
            <w:tcW w:w="0" w:type="auto"/>
            <w:tcBorders>
              <w:bottom w:val="single" w:sz="4" w:space="0" w:color="auto"/>
            </w:tcBorders>
          </w:tcPr>
          <w:p w14:paraId="434CBB4D" w14:textId="77777777" w:rsidR="005F5C74" w:rsidRPr="005F5C74" w:rsidRDefault="005F5C74" w:rsidP="00B257A4">
            <w:pPr>
              <w:spacing w:before="60" w:after="60"/>
              <w:jc w:val="both"/>
              <w:rPr>
                <w:rFonts w:ascii="Times New Roman"/>
                <w:sz w:val="20"/>
                <w:szCs w:val="20"/>
              </w:rPr>
            </w:pPr>
            <w:r w:rsidRPr="005F5C74">
              <w:rPr>
                <w:rFonts w:ascii="Times New Roman"/>
                <w:sz w:val="20"/>
                <w:szCs w:val="20"/>
              </w:rPr>
              <w:t>0.63 ± 0.78</w:t>
            </w:r>
            <w:r w:rsidRPr="005F5C74">
              <w:rPr>
                <w:rFonts w:ascii="Times New Roman"/>
                <w:sz w:val="20"/>
                <w:szCs w:val="20"/>
                <w:vertAlign w:val="superscript"/>
              </w:rPr>
              <w:t>a</w:t>
            </w:r>
          </w:p>
        </w:tc>
      </w:tr>
    </w:tbl>
    <w:p w14:paraId="144144A7" w14:textId="685F6DE0" w:rsidR="005F5C74" w:rsidRPr="00B257A4" w:rsidRDefault="005F5C74" w:rsidP="00B257A4">
      <w:pPr>
        <w:spacing w:before="60" w:after="0"/>
        <w:jc w:val="both"/>
        <w:rPr>
          <w:rFonts w:ascii="Times New Roman" w:hAnsi="Times New Roman"/>
          <w:color w:val="000000" w:themeColor="text1"/>
          <w:sz w:val="18"/>
          <w:szCs w:val="18"/>
        </w:rPr>
      </w:pPr>
      <w:r w:rsidRPr="005F5C74">
        <w:rPr>
          <w:rFonts w:ascii="Times New Roman" w:hAnsi="Times New Roman"/>
          <w:color w:val="000000" w:themeColor="text1"/>
          <w:sz w:val="20"/>
          <w:szCs w:val="20"/>
        </w:rPr>
        <w:t xml:space="preserve">                           </w:t>
      </w:r>
      <w:r w:rsidRPr="00B257A4">
        <w:rPr>
          <w:rFonts w:ascii="Times New Roman" w:hAnsi="Times New Roman"/>
          <w:color w:val="000000" w:themeColor="text1"/>
          <w:sz w:val="18"/>
          <w:szCs w:val="18"/>
        </w:rPr>
        <w:t>Results are presented as mean value ± standard deviation</w:t>
      </w:r>
      <w:r w:rsidRPr="00B257A4">
        <w:rPr>
          <w:rFonts w:ascii="Times New Roman" w:hAnsi="Times New Roman"/>
          <w:color w:val="000000" w:themeColor="text1"/>
          <w:sz w:val="18"/>
          <w:szCs w:val="18"/>
          <w:vertAlign w:val="superscript"/>
        </w:rPr>
        <w:t xml:space="preserve"> </w:t>
      </w:r>
      <w:r w:rsidRPr="00B257A4">
        <w:rPr>
          <w:rFonts w:ascii="Times New Roman" w:hAnsi="Times New Roman"/>
          <w:color w:val="000000" w:themeColor="text1"/>
          <w:sz w:val="18"/>
          <w:szCs w:val="18"/>
        </w:rPr>
        <w:t>of three replicates.</w:t>
      </w:r>
    </w:p>
    <w:p w14:paraId="26F36827" w14:textId="30070B69" w:rsidR="005F5C74" w:rsidRPr="00B257A4" w:rsidRDefault="005F5C74" w:rsidP="00B257A4">
      <w:pPr>
        <w:spacing w:after="0"/>
        <w:ind w:left="1350" w:hanging="1350"/>
        <w:jc w:val="both"/>
        <w:rPr>
          <w:rFonts w:ascii="Times New Roman" w:hAnsi="Times New Roman"/>
          <w:color w:val="000000" w:themeColor="text1"/>
          <w:sz w:val="18"/>
          <w:szCs w:val="18"/>
        </w:rPr>
      </w:pPr>
      <w:r w:rsidRPr="00B257A4">
        <w:rPr>
          <w:rFonts w:ascii="Times New Roman" w:hAnsi="Times New Roman"/>
          <w:color w:val="000000" w:themeColor="text1"/>
          <w:sz w:val="18"/>
          <w:szCs w:val="18"/>
        </w:rPr>
        <w:t xml:space="preserve">                             </w:t>
      </w:r>
      <w:r w:rsidR="00B257A4">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Different letters superscripted denote significant difference (p</w:t>
      </w:r>
      <w:r w:rsidRPr="00B257A4">
        <w:rPr>
          <w:rFonts w:ascii="Times New Roman" w:hAnsi="Times New Roman"/>
          <w:color w:val="000000" w:themeColor="text1"/>
          <w:sz w:val="18"/>
          <w:szCs w:val="18"/>
        </w:rPr>
        <w:sym w:font="Symbol" w:char="F0A3"/>
      </w:r>
      <w:r w:rsidRPr="00B257A4">
        <w:rPr>
          <w:rFonts w:ascii="Times New Roman" w:hAnsi="Times New Roman"/>
          <w:color w:val="000000" w:themeColor="text1"/>
          <w:sz w:val="18"/>
          <w:szCs w:val="18"/>
        </w:rPr>
        <w:t xml:space="preserve">0.05) between samples for each parameter in </w:t>
      </w:r>
      <w:r w:rsidR="00B257A4">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the same column</w:t>
      </w:r>
    </w:p>
    <w:p w14:paraId="62EF5D75" w14:textId="194D773D" w:rsidR="005F5C74" w:rsidRDefault="005F5C74" w:rsidP="005F5C74">
      <w:pPr>
        <w:spacing w:after="0"/>
        <w:jc w:val="both"/>
        <w:rPr>
          <w:rFonts w:ascii="Times New Roman" w:hAnsi="Times New Roman"/>
          <w:sz w:val="20"/>
          <w:szCs w:val="20"/>
          <w:lang w:val="en-MY"/>
        </w:rPr>
      </w:pPr>
    </w:p>
    <w:p w14:paraId="1C0845B7" w14:textId="77777777" w:rsidR="005F5C74" w:rsidRPr="005F5C74" w:rsidRDefault="005F5C74" w:rsidP="005F5C74">
      <w:pPr>
        <w:spacing w:after="0"/>
        <w:jc w:val="both"/>
        <w:outlineLvl w:val="0"/>
        <w:rPr>
          <w:rFonts w:ascii="Times New Roman" w:hAnsi="Times New Roman"/>
          <w:sz w:val="20"/>
          <w:szCs w:val="20"/>
          <w:lang w:val="en-MY"/>
        </w:rPr>
      </w:pPr>
    </w:p>
    <w:p w14:paraId="04673EE6" w14:textId="77777777" w:rsidR="005F5C74" w:rsidRPr="005F5C74" w:rsidRDefault="005F5C74" w:rsidP="005F5C74">
      <w:pPr>
        <w:spacing w:after="0"/>
        <w:jc w:val="both"/>
        <w:outlineLvl w:val="0"/>
        <w:rPr>
          <w:rFonts w:ascii="Times New Roman" w:hAnsi="Times New Roman"/>
          <w:bCs/>
          <w:color w:val="000000" w:themeColor="text1"/>
          <w:sz w:val="20"/>
          <w:szCs w:val="20"/>
          <w:lang w:val="en-GB"/>
        </w:rPr>
      </w:pPr>
    </w:p>
    <w:p w14:paraId="07E4A0A0" w14:textId="77777777" w:rsidR="005F5C74" w:rsidRPr="005F5C74" w:rsidRDefault="005F5C74" w:rsidP="005F5C74">
      <w:pPr>
        <w:spacing w:after="0"/>
        <w:jc w:val="both"/>
        <w:outlineLvl w:val="0"/>
        <w:rPr>
          <w:rFonts w:ascii="Times New Roman" w:hAnsi="Times New Roman"/>
          <w:sz w:val="20"/>
          <w:szCs w:val="20"/>
          <w:lang w:val="en-MY"/>
        </w:rPr>
      </w:pPr>
      <w:r w:rsidRPr="005F5C74">
        <w:rPr>
          <w:rFonts w:ascii="Times New Roman" w:hAnsi="Times New Roman"/>
          <w:noProof/>
          <w:sz w:val="20"/>
          <w:szCs w:val="20"/>
          <w:lang w:eastAsia="en-MY"/>
        </w:rPr>
        <w:drawing>
          <wp:anchor distT="0" distB="0" distL="114300" distR="114300" simplePos="0" relativeHeight="251659264" behindDoc="0" locked="0" layoutInCell="1" allowOverlap="1" wp14:anchorId="0D18EBF5" wp14:editId="5303840F">
            <wp:simplePos x="0" y="0"/>
            <wp:positionH relativeFrom="column">
              <wp:posOffset>588645</wp:posOffset>
            </wp:positionH>
            <wp:positionV relativeFrom="paragraph">
              <wp:posOffset>0</wp:posOffset>
            </wp:positionV>
            <wp:extent cx="4718050" cy="2743200"/>
            <wp:effectExtent l="0" t="0" r="63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8F2CDE6" w14:textId="77777777" w:rsidR="005F5C74" w:rsidRPr="005F5C74" w:rsidRDefault="005F5C74" w:rsidP="005F5C74">
      <w:pPr>
        <w:spacing w:after="0"/>
        <w:jc w:val="both"/>
        <w:outlineLvl w:val="0"/>
        <w:rPr>
          <w:rFonts w:ascii="Times New Roman" w:hAnsi="Times New Roman"/>
          <w:b/>
          <w:bCs/>
          <w:sz w:val="20"/>
          <w:szCs w:val="20"/>
          <w:lang w:val="en-MY"/>
        </w:rPr>
      </w:pPr>
    </w:p>
    <w:p w14:paraId="45D1DE1A" w14:textId="77777777" w:rsidR="005F5C74" w:rsidRPr="005F5C74" w:rsidRDefault="005F5C74" w:rsidP="005F5C74">
      <w:pPr>
        <w:spacing w:after="0"/>
        <w:jc w:val="both"/>
        <w:outlineLvl w:val="0"/>
        <w:rPr>
          <w:rFonts w:ascii="Times New Roman" w:hAnsi="Times New Roman"/>
          <w:sz w:val="20"/>
          <w:szCs w:val="20"/>
          <w:lang w:val="en-MY"/>
        </w:rPr>
      </w:pPr>
    </w:p>
    <w:p w14:paraId="1F42545A" w14:textId="77777777" w:rsidR="005F5C74" w:rsidRPr="005F5C74" w:rsidRDefault="005F5C74" w:rsidP="005F5C74">
      <w:pPr>
        <w:spacing w:after="0"/>
        <w:jc w:val="both"/>
        <w:outlineLvl w:val="0"/>
        <w:rPr>
          <w:rFonts w:ascii="Times New Roman" w:hAnsi="Times New Roman"/>
          <w:sz w:val="20"/>
          <w:szCs w:val="20"/>
          <w:lang w:val="en-MY"/>
        </w:rPr>
      </w:pPr>
    </w:p>
    <w:p w14:paraId="4EAAD06B" w14:textId="77777777" w:rsidR="005F5C74" w:rsidRPr="005F5C74" w:rsidRDefault="005F5C74" w:rsidP="005F5C74">
      <w:pPr>
        <w:spacing w:after="0"/>
        <w:jc w:val="both"/>
        <w:outlineLvl w:val="0"/>
        <w:rPr>
          <w:rFonts w:ascii="Times New Roman" w:hAnsi="Times New Roman"/>
          <w:sz w:val="20"/>
          <w:szCs w:val="20"/>
          <w:lang w:val="en-MY"/>
        </w:rPr>
      </w:pPr>
    </w:p>
    <w:p w14:paraId="0A0A7CE7" w14:textId="77777777" w:rsidR="005F5C74" w:rsidRPr="005F5C74" w:rsidRDefault="005F5C74" w:rsidP="005F5C74">
      <w:pPr>
        <w:spacing w:after="0"/>
        <w:jc w:val="both"/>
        <w:outlineLvl w:val="0"/>
        <w:rPr>
          <w:rFonts w:ascii="Times New Roman" w:hAnsi="Times New Roman"/>
          <w:sz w:val="20"/>
          <w:szCs w:val="20"/>
          <w:lang w:val="en-MY"/>
        </w:rPr>
      </w:pPr>
    </w:p>
    <w:p w14:paraId="4F667033" w14:textId="77777777" w:rsidR="005F5C74" w:rsidRPr="005F5C74" w:rsidRDefault="005F5C74" w:rsidP="005F5C74">
      <w:pPr>
        <w:spacing w:after="0"/>
        <w:jc w:val="both"/>
        <w:outlineLvl w:val="0"/>
        <w:rPr>
          <w:rFonts w:ascii="Times New Roman" w:hAnsi="Times New Roman"/>
          <w:sz w:val="20"/>
          <w:szCs w:val="20"/>
          <w:lang w:val="en-MY"/>
        </w:rPr>
      </w:pPr>
    </w:p>
    <w:p w14:paraId="27EB3CE7" w14:textId="77777777" w:rsidR="005F5C74" w:rsidRPr="005F5C74" w:rsidRDefault="005F5C74" w:rsidP="005F5C74">
      <w:pPr>
        <w:spacing w:after="0"/>
        <w:jc w:val="both"/>
        <w:outlineLvl w:val="0"/>
        <w:rPr>
          <w:rFonts w:ascii="Times New Roman" w:hAnsi="Times New Roman"/>
          <w:sz w:val="20"/>
          <w:szCs w:val="20"/>
          <w:lang w:val="en-MY"/>
        </w:rPr>
      </w:pPr>
    </w:p>
    <w:p w14:paraId="068C44BC" w14:textId="77777777" w:rsidR="005F5C74" w:rsidRPr="005F5C74" w:rsidRDefault="005F5C74" w:rsidP="005F5C74">
      <w:pPr>
        <w:spacing w:after="0"/>
        <w:jc w:val="both"/>
        <w:outlineLvl w:val="0"/>
        <w:rPr>
          <w:rFonts w:ascii="Times New Roman" w:hAnsi="Times New Roman"/>
          <w:sz w:val="20"/>
          <w:szCs w:val="20"/>
          <w:lang w:val="en-MY"/>
        </w:rPr>
      </w:pPr>
    </w:p>
    <w:p w14:paraId="4E359977" w14:textId="77777777" w:rsidR="005F5C74" w:rsidRPr="005F5C74" w:rsidRDefault="005F5C74" w:rsidP="005F5C74">
      <w:pPr>
        <w:spacing w:after="0"/>
        <w:jc w:val="both"/>
        <w:outlineLvl w:val="0"/>
        <w:rPr>
          <w:rFonts w:ascii="Times New Roman" w:hAnsi="Times New Roman"/>
          <w:sz w:val="20"/>
          <w:szCs w:val="20"/>
          <w:lang w:val="en-MY"/>
        </w:rPr>
      </w:pPr>
    </w:p>
    <w:p w14:paraId="794D5AC5" w14:textId="77777777" w:rsidR="005F5C74" w:rsidRPr="005F5C74" w:rsidRDefault="005F5C74" w:rsidP="005F5C74">
      <w:pPr>
        <w:spacing w:after="0"/>
        <w:jc w:val="both"/>
        <w:outlineLvl w:val="0"/>
        <w:rPr>
          <w:rFonts w:ascii="Times New Roman" w:hAnsi="Times New Roman"/>
          <w:sz w:val="20"/>
          <w:szCs w:val="20"/>
          <w:lang w:val="en-MY"/>
        </w:rPr>
      </w:pPr>
    </w:p>
    <w:p w14:paraId="27A03107" w14:textId="77777777" w:rsidR="005F5C74" w:rsidRPr="005F5C74" w:rsidRDefault="005F5C74" w:rsidP="005F5C74">
      <w:pPr>
        <w:spacing w:after="0"/>
        <w:jc w:val="both"/>
        <w:outlineLvl w:val="0"/>
        <w:rPr>
          <w:rFonts w:ascii="Times New Roman" w:hAnsi="Times New Roman"/>
          <w:sz w:val="20"/>
          <w:szCs w:val="20"/>
          <w:lang w:val="en-MY"/>
        </w:rPr>
      </w:pPr>
    </w:p>
    <w:p w14:paraId="47859DF4" w14:textId="77777777" w:rsidR="005F5C74" w:rsidRPr="005F5C74" w:rsidRDefault="005F5C74" w:rsidP="005F5C74">
      <w:pPr>
        <w:spacing w:after="0"/>
        <w:jc w:val="both"/>
        <w:outlineLvl w:val="0"/>
        <w:rPr>
          <w:rFonts w:ascii="Times New Roman" w:hAnsi="Times New Roman"/>
          <w:sz w:val="20"/>
          <w:szCs w:val="20"/>
          <w:lang w:val="en-MY"/>
        </w:rPr>
      </w:pPr>
    </w:p>
    <w:p w14:paraId="6C096D42" w14:textId="77777777" w:rsidR="005F5C74" w:rsidRPr="005F5C74" w:rsidRDefault="005F5C74" w:rsidP="005F5C74">
      <w:pPr>
        <w:spacing w:after="0"/>
        <w:jc w:val="both"/>
        <w:outlineLvl w:val="0"/>
        <w:rPr>
          <w:rFonts w:ascii="Times New Roman" w:hAnsi="Times New Roman"/>
          <w:sz w:val="20"/>
          <w:szCs w:val="20"/>
          <w:lang w:val="en-MY"/>
        </w:rPr>
      </w:pPr>
    </w:p>
    <w:p w14:paraId="40B17217" w14:textId="77777777" w:rsidR="005F5C74" w:rsidRPr="005F5C74" w:rsidRDefault="005F5C74" w:rsidP="005F5C74">
      <w:pPr>
        <w:spacing w:after="0"/>
        <w:jc w:val="both"/>
        <w:outlineLvl w:val="0"/>
        <w:rPr>
          <w:rFonts w:ascii="Times New Roman" w:hAnsi="Times New Roman"/>
          <w:sz w:val="20"/>
          <w:szCs w:val="20"/>
          <w:lang w:val="en-MY"/>
        </w:rPr>
      </w:pPr>
    </w:p>
    <w:p w14:paraId="7272B298" w14:textId="77777777" w:rsidR="005F5C74" w:rsidRPr="005F5C74" w:rsidRDefault="005F5C74" w:rsidP="005F5C74">
      <w:pPr>
        <w:spacing w:after="0"/>
        <w:jc w:val="both"/>
        <w:outlineLvl w:val="0"/>
        <w:rPr>
          <w:rFonts w:ascii="Times New Roman" w:hAnsi="Times New Roman"/>
          <w:sz w:val="20"/>
          <w:szCs w:val="20"/>
          <w:lang w:val="en-MY"/>
        </w:rPr>
      </w:pPr>
    </w:p>
    <w:p w14:paraId="64ED9D96" w14:textId="77777777" w:rsidR="005F5C74" w:rsidRPr="005F5C74" w:rsidRDefault="005F5C74" w:rsidP="005F5C74">
      <w:pPr>
        <w:spacing w:after="0"/>
        <w:jc w:val="both"/>
        <w:outlineLvl w:val="0"/>
        <w:rPr>
          <w:rFonts w:ascii="Times New Roman" w:hAnsi="Times New Roman"/>
          <w:sz w:val="20"/>
          <w:szCs w:val="20"/>
          <w:lang w:val="en-MY"/>
        </w:rPr>
      </w:pPr>
    </w:p>
    <w:p w14:paraId="0AC36E32" w14:textId="0B8E5C25" w:rsidR="005F5C74" w:rsidRPr="005F5C74" w:rsidRDefault="005F5C74" w:rsidP="005F5C74">
      <w:pPr>
        <w:spacing w:after="0"/>
        <w:ind w:left="851" w:hanging="851"/>
        <w:jc w:val="both"/>
        <w:rPr>
          <w:rFonts w:ascii="Times New Roman" w:hAnsi="Times New Roman"/>
          <w:sz w:val="20"/>
          <w:szCs w:val="20"/>
        </w:rPr>
      </w:pPr>
      <w:r w:rsidRPr="005F5C74">
        <w:rPr>
          <w:rFonts w:ascii="Times New Roman" w:hAnsi="Times New Roman"/>
          <w:sz w:val="20"/>
          <w:szCs w:val="20"/>
        </w:rPr>
        <w:t xml:space="preserve">Figure 2. </w:t>
      </w:r>
      <w:r w:rsidR="00B257A4">
        <w:rPr>
          <w:rFonts w:ascii="Times New Roman" w:hAnsi="Times New Roman"/>
          <w:sz w:val="20"/>
          <w:szCs w:val="20"/>
        </w:rPr>
        <w:tab/>
      </w:r>
      <w:r w:rsidRPr="005F5C74">
        <w:rPr>
          <w:rFonts w:ascii="Times New Roman" w:hAnsi="Times New Roman"/>
          <w:sz w:val="20"/>
          <w:szCs w:val="20"/>
        </w:rPr>
        <w:t xml:space="preserve">The thickness (mm) of the different film formulations of chitosan film incorporated with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 Bars with different letters denote significant difference (p≤0.05) between samples.</w:t>
      </w:r>
    </w:p>
    <w:p w14:paraId="06671A75" w14:textId="6F71A405" w:rsidR="005F5C74" w:rsidRDefault="005F5C74" w:rsidP="005F5C74">
      <w:pPr>
        <w:spacing w:after="0"/>
        <w:jc w:val="both"/>
        <w:outlineLvl w:val="0"/>
        <w:rPr>
          <w:rFonts w:ascii="Times New Roman" w:hAnsi="Times New Roman"/>
          <w:b/>
          <w:bCs/>
          <w:sz w:val="20"/>
          <w:szCs w:val="20"/>
          <w:lang w:val="en-MY"/>
        </w:rPr>
      </w:pPr>
    </w:p>
    <w:p w14:paraId="0537175B" w14:textId="6D2D23FA" w:rsidR="00B257A4" w:rsidRDefault="00B257A4" w:rsidP="005F5C74">
      <w:pPr>
        <w:spacing w:after="0"/>
        <w:jc w:val="both"/>
        <w:outlineLvl w:val="0"/>
        <w:rPr>
          <w:rFonts w:ascii="Times New Roman" w:hAnsi="Times New Roman"/>
          <w:sz w:val="20"/>
          <w:szCs w:val="20"/>
          <w:lang w:val="en-MY"/>
        </w:rPr>
      </w:pPr>
    </w:p>
    <w:p w14:paraId="77CA2E78" w14:textId="2265AD27" w:rsidR="00853C5E" w:rsidRDefault="00853C5E" w:rsidP="005F5C74">
      <w:pPr>
        <w:spacing w:after="0"/>
        <w:jc w:val="both"/>
        <w:outlineLvl w:val="0"/>
        <w:rPr>
          <w:rFonts w:ascii="Times New Roman" w:hAnsi="Times New Roman"/>
          <w:sz w:val="20"/>
          <w:szCs w:val="20"/>
          <w:lang w:val="en-MY"/>
        </w:rPr>
      </w:pPr>
    </w:p>
    <w:p w14:paraId="31B078E0" w14:textId="5A19FCB2" w:rsidR="00853C5E" w:rsidRDefault="00853C5E" w:rsidP="005F5C74">
      <w:pPr>
        <w:spacing w:after="0"/>
        <w:jc w:val="both"/>
        <w:outlineLvl w:val="0"/>
        <w:rPr>
          <w:rFonts w:ascii="Times New Roman" w:hAnsi="Times New Roman"/>
          <w:sz w:val="20"/>
          <w:szCs w:val="20"/>
          <w:lang w:val="en-MY"/>
        </w:rPr>
      </w:pPr>
    </w:p>
    <w:p w14:paraId="320011E8" w14:textId="47BBB192" w:rsidR="00853C5E" w:rsidRDefault="00853C5E" w:rsidP="005F5C74">
      <w:pPr>
        <w:spacing w:after="0"/>
        <w:jc w:val="both"/>
        <w:outlineLvl w:val="0"/>
        <w:rPr>
          <w:rFonts w:ascii="Times New Roman" w:hAnsi="Times New Roman"/>
          <w:sz w:val="20"/>
          <w:szCs w:val="20"/>
          <w:lang w:val="en-MY"/>
        </w:rPr>
      </w:pPr>
    </w:p>
    <w:p w14:paraId="0698020A" w14:textId="77777777" w:rsidR="00853C5E" w:rsidRPr="005F5C74" w:rsidRDefault="00853C5E" w:rsidP="005F5C74">
      <w:pPr>
        <w:spacing w:after="0"/>
        <w:jc w:val="both"/>
        <w:outlineLvl w:val="0"/>
        <w:rPr>
          <w:rFonts w:ascii="Times New Roman" w:hAnsi="Times New Roman"/>
          <w:sz w:val="20"/>
          <w:szCs w:val="20"/>
          <w:lang w:val="en-MY"/>
        </w:rPr>
      </w:pPr>
    </w:p>
    <w:p w14:paraId="49F4C377" w14:textId="77777777" w:rsidR="00B257A4" w:rsidRDefault="005F5C74" w:rsidP="00B257A4">
      <w:pPr>
        <w:spacing w:after="0"/>
        <w:ind w:left="709" w:hanging="709"/>
        <w:jc w:val="center"/>
        <w:rPr>
          <w:rFonts w:ascii="Times New Roman" w:hAnsi="Times New Roman"/>
          <w:sz w:val="20"/>
          <w:szCs w:val="20"/>
        </w:rPr>
      </w:pPr>
      <w:r w:rsidRPr="005F5C74">
        <w:rPr>
          <w:rFonts w:ascii="Times New Roman" w:hAnsi="Times New Roman"/>
          <w:sz w:val="20"/>
          <w:szCs w:val="20"/>
        </w:rPr>
        <w:lastRenderedPageBreak/>
        <w:t xml:space="preserve">Table 4. Mechanical properties of the different film formulations of chitosan film incorporated with </w:t>
      </w:r>
    </w:p>
    <w:p w14:paraId="5B22184C" w14:textId="4DFB99ED" w:rsidR="005F5C74" w:rsidRPr="005F5C74" w:rsidRDefault="005F5C74" w:rsidP="00B257A4">
      <w:pPr>
        <w:spacing w:after="120"/>
        <w:ind w:left="706" w:hanging="706"/>
        <w:jc w:val="center"/>
        <w:rPr>
          <w:rFonts w:ascii="Times New Roman" w:hAnsi="Times New Roman"/>
          <w:sz w:val="20"/>
          <w:szCs w:val="20"/>
        </w:rPr>
      </w:pPr>
      <w:r w:rsidRPr="005F5C74">
        <w:rPr>
          <w:rFonts w:ascii="Times New Roman" w:hAnsi="Times New Roman"/>
          <w:i/>
          <w:iCs/>
          <w:sz w:val="20"/>
          <w:szCs w:val="20"/>
        </w:rPr>
        <w:t>Garcinia atroviridis</w:t>
      </w:r>
      <w:r w:rsidRPr="005F5C74">
        <w:rPr>
          <w:rFonts w:ascii="Times New Roman" w:hAnsi="Times New Roman"/>
          <w:sz w:val="20"/>
          <w:szCs w:val="20"/>
        </w:rPr>
        <w:t xml:space="preserve"> extract</w: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622"/>
        <w:gridCol w:w="1939"/>
        <w:gridCol w:w="1734"/>
      </w:tblGrid>
      <w:tr w:rsidR="005F5C74" w:rsidRPr="005F5C74" w14:paraId="41B22577" w14:textId="77777777" w:rsidTr="00912620">
        <w:trPr>
          <w:trHeight w:val="221"/>
          <w:jc w:val="center"/>
        </w:trPr>
        <w:tc>
          <w:tcPr>
            <w:tcW w:w="0" w:type="auto"/>
            <w:tcBorders>
              <w:top w:val="single" w:sz="4" w:space="0" w:color="auto"/>
              <w:bottom w:val="single" w:sz="4" w:space="0" w:color="auto"/>
            </w:tcBorders>
          </w:tcPr>
          <w:p w14:paraId="460B0C3A" w14:textId="77777777" w:rsidR="005F5C74" w:rsidRPr="005F5C74" w:rsidRDefault="005F5C74" w:rsidP="00912620">
            <w:pPr>
              <w:spacing w:before="120" w:after="0"/>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30E0E723" w14:textId="37D757AA" w:rsidR="005F5C74" w:rsidRPr="005F5C74" w:rsidRDefault="005F5C74" w:rsidP="00912620">
            <w:pPr>
              <w:adjustRightInd w:val="0"/>
              <w:spacing w:before="120" w:after="0"/>
              <w:jc w:val="center"/>
              <w:rPr>
                <w:rFonts w:ascii="Times New Roman"/>
                <w:b/>
                <w:bCs/>
                <w:sz w:val="20"/>
                <w:szCs w:val="20"/>
              </w:rPr>
            </w:pPr>
            <w:r w:rsidRPr="005F5C74">
              <w:rPr>
                <w:rFonts w:ascii="Times New Roman"/>
                <w:b/>
                <w:bCs/>
                <w:sz w:val="20"/>
                <w:szCs w:val="20"/>
              </w:rPr>
              <w:t>Tensile Strength</w:t>
            </w:r>
          </w:p>
          <w:p w14:paraId="3F0FE9EE" w14:textId="77777777" w:rsidR="005F5C74" w:rsidRPr="005F5C74" w:rsidRDefault="005F5C74" w:rsidP="00912620">
            <w:pPr>
              <w:adjustRightInd w:val="0"/>
              <w:spacing w:after="0"/>
              <w:jc w:val="center"/>
              <w:rPr>
                <w:rFonts w:ascii="Times New Roman"/>
                <w:b/>
                <w:bCs/>
                <w:sz w:val="20"/>
                <w:szCs w:val="20"/>
              </w:rPr>
            </w:pPr>
            <w:r w:rsidRPr="005F5C74">
              <w:rPr>
                <w:rFonts w:ascii="Times New Roman"/>
                <w:b/>
                <w:bCs/>
                <w:sz w:val="20"/>
                <w:szCs w:val="20"/>
              </w:rPr>
              <w:t>(MPa)</w:t>
            </w:r>
          </w:p>
        </w:tc>
        <w:tc>
          <w:tcPr>
            <w:tcW w:w="0" w:type="auto"/>
            <w:tcBorders>
              <w:top w:val="single" w:sz="4" w:space="0" w:color="auto"/>
              <w:bottom w:val="single" w:sz="4" w:space="0" w:color="auto"/>
            </w:tcBorders>
          </w:tcPr>
          <w:p w14:paraId="608E1C7C" w14:textId="5B4AF557" w:rsidR="005F5C74" w:rsidRPr="005F5C74" w:rsidRDefault="005F5C74" w:rsidP="00912620">
            <w:pPr>
              <w:adjustRightInd w:val="0"/>
              <w:spacing w:before="120" w:after="0"/>
              <w:jc w:val="center"/>
              <w:rPr>
                <w:rFonts w:ascii="Times New Roman"/>
                <w:b/>
                <w:bCs/>
                <w:sz w:val="20"/>
                <w:szCs w:val="20"/>
              </w:rPr>
            </w:pPr>
            <w:r w:rsidRPr="005F5C74">
              <w:rPr>
                <w:rFonts w:ascii="Times New Roman"/>
                <w:b/>
                <w:bCs/>
                <w:sz w:val="20"/>
                <w:szCs w:val="20"/>
              </w:rPr>
              <w:t>Elongation at Break</w:t>
            </w:r>
          </w:p>
          <w:p w14:paraId="46E7B6C2" w14:textId="77777777" w:rsidR="005F5C74" w:rsidRPr="005F5C74" w:rsidRDefault="005F5C74" w:rsidP="00912620">
            <w:pPr>
              <w:adjustRightInd w:val="0"/>
              <w:spacing w:after="0"/>
              <w:jc w:val="center"/>
              <w:rPr>
                <w:rFonts w:ascii="Times New Roman"/>
                <w:b/>
                <w:bCs/>
                <w:sz w:val="20"/>
                <w:szCs w:val="20"/>
              </w:rPr>
            </w:pPr>
            <w:r w:rsidRPr="005F5C74">
              <w:rPr>
                <w:rFonts w:ascii="Times New Roman"/>
                <w:b/>
                <w:bCs/>
                <w:sz w:val="20"/>
                <w:szCs w:val="20"/>
              </w:rPr>
              <w:t>(%)</w:t>
            </w:r>
          </w:p>
        </w:tc>
        <w:tc>
          <w:tcPr>
            <w:tcW w:w="0" w:type="auto"/>
            <w:tcBorders>
              <w:top w:val="single" w:sz="4" w:space="0" w:color="auto"/>
              <w:bottom w:val="single" w:sz="4" w:space="0" w:color="auto"/>
            </w:tcBorders>
          </w:tcPr>
          <w:p w14:paraId="425B1807" w14:textId="65B2E99D" w:rsidR="005F5C74" w:rsidRPr="005F5C74" w:rsidRDefault="005F5C74" w:rsidP="00912620">
            <w:pPr>
              <w:adjustRightInd w:val="0"/>
              <w:spacing w:before="120" w:after="0"/>
              <w:jc w:val="center"/>
              <w:rPr>
                <w:rFonts w:ascii="Times New Roman"/>
                <w:b/>
                <w:bCs/>
                <w:sz w:val="20"/>
                <w:szCs w:val="20"/>
              </w:rPr>
            </w:pPr>
            <w:r w:rsidRPr="005F5C74">
              <w:rPr>
                <w:rFonts w:ascii="Times New Roman"/>
                <w:b/>
                <w:bCs/>
                <w:sz w:val="20"/>
                <w:szCs w:val="20"/>
              </w:rPr>
              <w:t>Young’s Modulus</w:t>
            </w:r>
          </w:p>
          <w:p w14:paraId="3BB59F6E" w14:textId="77777777" w:rsidR="005F5C74" w:rsidRPr="005F5C74" w:rsidRDefault="005F5C74" w:rsidP="00912620">
            <w:pPr>
              <w:adjustRightInd w:val="0"/>
              <w:spacing w:after="60"/>
              <w:jc w:val="center"/>
              <w:rPr>
                <w:rFonts w:ascii="Times New Roman"/>
                <w:b/>
                <w:bCs/>
                <w:sz w:val="20"/>
                <w:szCs w:val="20"/>
              </w:rPr>
            </w:pPr>
            <w:r w:rsidRPr="005F5C74">
              <w:rPr>
                <w:rFonts w:ascii="Times New Roman"/>
                <w:b/>
                <w:bCs/>
                <w:sz w:val="20"/>
                <w:szCs w:val="20"/>
              </w:rPr>
              <w:t>(MPa)</w:t>
            </w:r>
          </w:p>
        </w:tc>
      </w:tr>
      <w:tr w:rsidR="005F5C74" w:rsidRPr="005F5C74" w14:paraId="2D4BA1FB" w14:textId="77777777" w:rsidTr="00912620">
        <w:trPr>
          <w:trHeight w:val="141"/>
          <w:jc w:val="center"/>
        </w:trPr>
        <w:tc>
          <w:tcPr>
            <w:tcW w:w="0" w:type="auto"/>
            <w:tcBorders>
              <w:top w:val="single" w:sz="4" w:space="0" w:color="auto"/>
            </w:tcBorders>
          </w:tcPr>
          <w:p w14:paraId="6A540C49" w14:textId="77777777" w:rsidR="005F5C74" w:rsidRPr="005F5C74" w:rsidRDefault="005F5C74" w:rsidP="00912620">
            <w:pPr>
              <w:spacing w:before="60" w:after="0"/>
              <w:rPr>
                <w:rFonts w:ascii="Times New Roman"/>
                <w:sz w:val="20"/>
                <w:szCs w:val="20"/>
              </w:rPr>
            </w:pPr>
            <w:r w:rsidRPr="005F5C74">
              <w:rPr>
                <w:rFonts w:ascii="Times New Roman"/>
                <w:sz w:val="20"/>
                <w:szCs w:val="20"/>
                <w:lang w:val="en-MY"/>
              </w:rPr>
              <w:t xml:space="preserve">A </w:t>
            </w:r>
          </w:p>
        </w:tc>
        <w:tc>
          <w:tcPr>
            <w:tcW w:w="0" w:type="auto"/>
            <w:tcBorders>
              <w:top w:val="single" w:sz="4" w:space="0" w:color="auto"/>
            </w:tcBorders>
          </w:tcPr>
          <w:p w14:paraId="3568465B"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9.24 ± 0.77</w:t>
            </w:r>
            <w:r w:rsidRPr="005F5C74">
              <w:rPr>
                <w:rFonts w:ascii="Times New Roman"/>
                <w:sz w:val="20"/>
                <w:szCs w:val="20"/>
                <w:vertAlign w:val="superscript"/>
              </w:rPr>
              <w:t>d</w:t>
            </w:r>
          </w:p>
        </w:tc>
        <w:tc>
          <w:tcPr>
            <w:tcW w:w="0" w:type="auto"/>
            <w:tcBorders>
              <w:top w:val="single" w:sz="4" w:space="0" w:color="auto"/>
            </w:tcBorders>
          </w:tcPr>
          <w:p w14:paraId="7C5FD1DE"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59.32 ± 2.50</w:t>
            </w:r>
            <w:r w:rsidRPr="005F5C74">
              <w:rPr>
                <w:rFonts w:ascii="Times New Roman"/>
                <w:sz w:val="20"/>
                <w:szCs w:val="20"/>
                <w:vertAlign w:val="superscript"/>
              </w:rPr>
              <w:t>a</w:t>
            </w:r>
          </w:p>
        </w:tc>
        <w:tc>
          <w:tcPr>
            <w:tcW w:w="0" w:type="auto"/>
            <w:tcBorders>
              <w:top w:val="single" w:sz="4" w:space="0" w:color="auto"/>
            </w:tcBorders>
          </w:tcPr>
          <w:p w14:paraId="0303366D"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0.156 ± 0.011</w:t>
            </w:r>
            <w:r w:rsidRPr="005F5C74">
              <w:rPr>
                <w:rFonts w:ascii="Times New Roman"/>
                <w:sz w:val="20"/>
                <w:szCs w:val="20"/>
                <w:vertAlign w:val="superscript"/>
              </w:rPr>
              <w:t>c</w:t>
            </w:r>
          </w:p>
        </w:tc>
      </w:tr>
      <w:tr w:rsidR="005F5C74" w:rsidRPr="005F5C74" w14:paraId="765EDE13" w14:textId="77777777" w:rsidTr="00BD379D">
        <w:trPr>
          <w:trHeight w:val="80"/>
          <w:jc w:val="center"/>
        </w:trPr>
        <w:tc>
          <w:tcPr>
            <w:tcW w:w="0" w:type="auto"/>
          </w:tcPr>
          <w:p w14:paraId="4991DE5F" w14:textId="77777777" w:rsidR="005F5C74" w:rsidRPr="005F5C74" w:rsidRDefault="005F5C74" w:rsidP="00912620">
            <w:pPr>
              <w:spacing w:before="60" w:after="0"/>
              <w:rPr>
                <w:rFonts w:ascii="Times New Roman"/>
                <w:sz w:val="20"/>
                <w:szCs w:val="20"/>
              </w:rPr>
            </w:pPr>
            <w:r w:rsidRPr="005F5C74">
              <w:rPr>
                <w:rFonts w:ascii="Times New Roman"/>
                <w:sz w:val="20"/>
                <w:szCs w:val="20"/>
                <w:lang w:val="en-MY"/>
              </w:rPr>
              <w:t>B</w:t>
            </w:r>
          </w:p>
        </w:tc>
        <w:tc>
          <w:tcPr>
            <w:tcW w:w="0" w:type="auto"/>
          </w:tcPr>
          <w:p w14:paraId="7C0CB83A"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7.44 ± 0.55</w:t>
            </w:r>
            <w:r w:rsidRPr="005F5C74">
              <w:rPr>
                <w:rFonts w:ascii="Times New Roman"/>
                <w:sz w:val="20"/>
                <w:szCs w:val="20"/>
                <w:vertAlign w:val="superscript"/>
              </w:rPr>
              <w:t>c</w:t>
            </w:r>
          </w:p>
        </w:tc>
        <w:tc>
          <w:tcPr>
            <w:tcW w:w="0" w:type="auto"/>
          </w:tcPr>
          <w:p w14:paraId="0F04817C"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93.77 ± 2.85</w:t>
            </w:r>
            <w:r w:rsidRPr="005F5C74">
              <w:rPr>
                <w:rFonts w:ascii="Times New Roman"/>
                <w:sz w:val="20"/>
                <w:szCs w:val="20"/>
                <w:vertAlign w:val="superscript"/>
              </w:rPr>
              <w:t>c</w:t>
            </w:r>
          </w:p>
        </w:tc>
        <w:tc>
          <w:tcPr>
            <w:tcW w:w="0" w:type="auto"/>
          </w:tcPr>
          <w:p w14:paraId="3AE821A1"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0.080 ± 0.005</w:t>
            </w:r>
            <w:r w:rsidRPr="005F5C74">
              <w:rPr>
                <w:rFonts w:ascii="Times New Roman"/>
                <w:sz w:val="20"/>
                <w:szCs w:val="20"/>
                <w:vertAlign w:val="superscript"/>
              </w:rPr>
              <w:t>b</w:t>
            </w:r>
          </w:p>
        </w:tc>
      </w:tr>
      <w:tr w:rsidR="005F5C74" w:rsidRPr="005F5C74" w14:paraId="54AEDA80" w14:textId="77777777" w:rsidTr="00BD379D">
        <w:trPr>
          <w:trHeight w:val="80"/>
          <w:jc w:val="center"/>
        </w:trPr>
        <w:tc>
          <w:tcPr>
            <w:tcW w:w="0" w:type="auto"/>
          </w:tcPr>
          <w:p w14:paraId="307A6EC6" w14:textId="77777777" w:rsidR="005F5C74" w:rsidRPr="005F5C74" w:rsidRDefault="005F5C74" w:rsidP="00912620">
            <w:pPr>
              <w:spacing w:before="60" w:after="0"/>
              <w:rPr>
                <w:rFonts w:ascii="Times New Roman"/>
                <w:sz w:val="20"/>
                <w:szCs w:val="20"/>
              </w:rPr>
            </w:pPr>
            <w:r w:rsidRPr="005F5C74">
              <w:rPr>
                <w:rFonts w:ascii="Times New Roman"/>
                <w:sz w:val="20"/>
                <w:szCs w:val="20"/>
                <w:lang w:val="en-MY"/>
              </w:rPr>
              <w:t xml:space="preserve">C </w:t>
            </w:r>
          </w:p>
        </w:tc>
        <w:tc>
          <w:tcPr>
            <w:tcW w:w="0" w:type="auto"/>
          </w:tcPr>
          <w:p w14:paraId="63F85CBF"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6.17 ± 0.72</w:t>
            </w:r>
            <w:r w:rsidRPr="005F5C74">
              <w:rPr>
                <w:rFonts w:ascii="Times New Roman"/>
                <w:sz w:val="20"/>
                <w:szCs w:val="20"/>
                <w:vertAlign w:val="superscript"/>
              </w:rPr>
              <w:t>b</w:t>
            </w:r>
          </w:p>
        </w:tc>
        <w:tc>
          <w:tcPr>
            <w:tcW w:w="0" w:type="auto"/>
          </w:tcPr>
          <w:p w14:paraId="4A0AFBC7"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109.63 ± 3.36</w:t>
            </w:r>
            <w:r w:rsidRPr="005F5C74">
              <w:rPr>
                <w:rFonts w:ascii="Times New Roman"/>
                <w:sz w:val="20"/>
                <w:szCs w:val="20"/>
                <w:vertAlign w:val="superscript"/>
              </w:rPr>
              <w:t>d</w:t>
            </w:r>
          </w:p>
        </w:tc>
        <w:tc>
          <w:tcPr>
            <w:tcW w:w="0" w:type="auto"/>
          </w:tcPr>
          <w:p w14:paraId="2269ECD1"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0.056 ± 0.006</w:t>
            </w:r>
            <w:r w:rsidRPr="005F5C74">
              <w:rPr>
                <w:rFonts w:ascii="Times New Roman"/>
                <w:sz w:val="20"/>
                <w:szCs w:val="20"/>
                <w:vertAlign w:val="superscript"/>
              </w:rPr>
              <w:t>a</w:t>
            </w:r>
          </w:p>
        </w:tc>
      </w:tr>
      <w:tr w:rsidR="005F5C74" w:rsidRPr="005F5C74" w14:paraId="720312E3" w14:textId="77777777" w:rsidTr="00912620">
        <w:trPr>
          <w:trHeight w:val="80"/>
          <w:jc w:val="center"/>
        </w:trPr>
        <w:tc>
          <w:tcPr>
            <w:tcW w:w="0" w:type="auto"/>
          </w:tcPr>
          <w:p w14:paraId="530152C4" w14:textId="77777777" w:rsidR="005F5C74" w:rsidRPr="005F5C74" w:rsidRDefault="005F5C74" w:rsidP="00912620">
            <w:pPr>
              <w:spacing w:before="60" w:after="0"/>
              <w:rPr>
                <w:rFonts w:ascii="Times New Roman"/>
                <w:sz w:val="20"/>
                <w:szCs w:val="20"/>
              </w:rPr>
            </w:pPr>
            <w:r w:rsidRPr="005F5C74">
              <w:rPr>
                <w:rFonts w:ascii="Times New Roman"/>
                <w:sz w:val="20"/>
                <w:szCs w:val="20"/>
                <w:lang w:val="en-MY"/>
              </w:rPr>
              <w:t xml:space="preserve">D </w:t>
            </w:r>
          </w:p>
        </w:tc>
        <w:tc>
          <w:tcPr>
            <w:tcW w:w="0" w:type="auto"/>
          </w:tcPr>
          <w:p w14:paraId="74D1031D"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5.66 ± 0.64</w:t>
            </w:r>
            <w:r w:rsidRPr="005F5C74">
              <w:rPr>
                <w:rFonts w:ascii="Times New Roman"/>
                <w:sz w:val="20"/>
                <w:szCs w:val="20"/>
                <w:vertAlign w:val="superscript"/>
              </w:rPr>
              <w:t>b</w:t>
            </w:r>
          </w:p>
        </w:tc>
        <w:tc>
          <w:tcPr>
            <w:tcW w:w="0" w:type="auto"/>
          </w:tcPr>
          <w:p w14:paraId="11716E8B"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123.35 ± 3.73</w:t>
            </w:r>
            <w:r w:rsidRPr="005F5C74">
              <w:rPr>
                <w:rFonts w:ascii="Times New Roman"/>
                <w:sz w:val="20"/>
                <w:szCs w:val="20"/>
                <w:vertAlign w:val="superscript"/>
              </w:rPr>
              <w:t>e</w:t>
            </w:r>
          </w:p>
        </w:tc>
        <w:tc>
          <w:tcPr>
            <w:tcW w:w="0" w:type="auto"/>
          </w:tcPr>
          <w:p w14:paraId="47AA797A" w14:textId="77777777" w:rsidR="005F5C74" w:rsidRPr="005F5C74" w:rsidRDefault="005F5C74" w:rsidP="00912620">
            <w:pPr>
              <w:adjustRightInd w:val="0"/>
              <w:spacing w:before="60" w:after="0"/>
              <w:jc w:val="center"/>
              <w:rPr>
                <w:rFonts w:ascii="Times New Roman"/>
                <w:sz w:val="20"/>
                <w:szCs w:val="20"/>
                <w:vertAlign w:val="superscript"/>
              </w:rPr>
            </w:pPr>
            <w:r w:rsidRPr="005F5C74">
              <w:rPr>
                <w:rFonts w:ascii="Times New Roman"/>
                <w:sz w:val="20"/>
                <w:szCs w:val="20"/>
              </w:rPr>
              <w:t>0.046 ± 0.054</w:t>
            </w:r>
            <w:r w:rsidRPr="005F5C74">
              <w:rPr>
                <w:rFonts w:ascii="Times New Roman"/>
                <w:sz w:val="20"/>
                <w:szCs w:val="20"/>
                <w:vertAlign w:val="superscript"/>
              </w:rPr>
              <w:t>a</w:t>
            </w:r>
          </w:p>
        </w:tc>
      </w:tr>
      <w:tr w:rsidR="005F5C74" w:rsidRPr="005F5C74" w14:paraId="28E65664" w14:textId="77777777" w:rsidTr="00912620">
        <w:trPr>
          <w:trHeight w:val="336"/>
          <w:jc w:val="center"/>
        </w:trPr>
        <w:tc>
          <w:tcPr>
            <w:tcW w:w="0" w:type="auto"/>
            <w:tcBorders>
              <w:bottom w:val="single" w:sz="4" w:space="0" w:color="auto"/>
            </w:tcBorders>
          </w:tcPr>
          <w:p w14:paraId="7AF878EF" w14:textId="77777777" w:rsidR="005F5C74" w:rsidRPr="005F5C74" w:rsidRDefault="005F5C74" w:rsidP="00912620">
            <w:pPr>
              <w:spacing w:before="60" w:after="60"/>
              <w:rPr>
                <w:rFonts w:ascii="Times New Roman"/>
                <w:sz w:val="20"/>
                <w:szCs w:val="20"/>
              </w:rPr>
            </w:pPr>
            <w:r w:rsidRPr="005F5C74">
              <w:rPr>
                <w:rFonts w:ascii="Times New Roman"/>
                <w:sz w:val="20"/>
                <w:szCs w:val="20"/>
                <w:lang w:val="en-MY"/>
              </w:rPr>
              <w:t xml:space="preserve">E </w:t>
            </w:r>
          </w:p>
        </w:tc>
        <w:tc>
          <w:tcPr>
            <w:tcW w:w="0" w:type="auto"/>
            <w:tcBorders>
              <w:bottom w:val="single" w:sz="4" w:space="0" w:color="auto"/>
            </w:tcBorders>
          </w:tcPr>
          <w:p w14:paraId="29446D60" w14:textId="77777777" w:rsidR="005F5C74" w:rsidRPr="005F5C74" w:rsidRDefault="005F5C74" w:rsidP="00912620">
            <w:pPr>
              <w:adjustRightInd w:val="0"/>
              <w:spacing w:before="60" w:after="60"/>
              <w:jc w:val="center"/>
              <w:rPr>
                <w:rFonts w:ascii="Times New Roman"/>
                <w:sz w:val="20"/>
                <w:szCs w:val="20"/>
                <w:vertAlign w:val="superscript"/>
              </w:rPr>
            </w:pPr>
            <w:r w:rsidRPr="005F5C74">
              <w:rPr>
                <w:rFonts w:ascii="Times New Roman"/>
                <w:sz w:val="20"/>
                <w:szCs w:val="20"/>
              </w:rPr>
              <w:t>4.03 ± 0.62</w:t>
            </w:r>
            <w:r w:rsidRPr="005F5C74">
              <w:rPr>
                <w:rFonts w:ascii="Times New Roman"/>
                <w:sz w:val="20"/>
                <w:szCs w:val="20"/>
                <w:vertAlign w:val="superscript"/>
              </w:rPr>
              <w:t>a</w:t>
            </w:r>
          </w:p>
        </w:tc>
        <w:tc>
          <w:tcPr>
            <w:tcW w:w="0" w:type="auto"/>
            <w:tcBorders>
              <w:bottom w:val="single" w:sz="4" w:space="0" w:color="auto"/>
            </w:tcBorders>
          </w:tcPr>
          <w:p w14:paraId="4124BBCA" w14:textId="77777777" w:rsidR="005F5C74" w:rsidRPr="005F5C74" w:rsidRDefault="005F5C74" w:rsidP="00912620">
            <w:pPr>
              <w:adjustRightInd w:val="0"/>
              <w:spacing w:before="60" w:after="60"/>
              <w:jc w:val="center"/>
              <w:rPr>
                <w:rFonts w:ascii="Times New Roman"/>
                <w:sz w:val="20"/>
                <w:szCs w:val="20"/>
                <w:vertAlign w:val="superscript"/>
              </w:rPr>
            </w:pPr>
            <w:r w:rsidRPr="005F5C74">
              <w:rPr>
                <w:rFonts w:ascii="Times New Roman"/>
                <w:sz w:val="20"/>
                <w:szCs w:val="20"/>
              </w:rPr>
              <w:t>70.45 ± 1.69</w:t>
            </w:r>
            <w:r w:rsidRPr="005F5C74">
              <w:rPr>
                <w:rFonts w:ascii="Times New Roman"/>
                <w:sz w:val="20"/>
                <w:szCs w:val="20"/>
                <w:vertAlign w:val="superscript"/>
              </w:rPr>
              <w:t>b</w:t>
            </w:r>
          </w:p>
        </w:tc>
        <w:tc>
          <w:tcPr>
            <w:tcW w:w="0" w:type="auto"/>
            <w:tcBorders>
              <w:bottom w:val="single" w:sz="4" w:space="0" w:color="auto"/>
            </w:tcBorders>
          </w:tcPr>
          <w:p w14:paraId="39450BE6" w14:textId="77777777" w:rsidR="005F5C74" w:rsidRPr="005F5C74" w:rsidRDefault="005F5C74" w:rsidP="00912620">
            <w:pPr>
              <w:adjustRightInd w:val="0"/>
              <w:spacing w:before="60" w:after="60"/>
              <w:jc w:val="center"/>
              <w:rPr>
                <w:rFonts w:ascii="Times New Roman"/>
                <w:sz w:val="20"/>
                <w:szCs w:val="20"/>
                <w:vertAlign w:val="superscript"/>
              </w:rPr>
            </w:pPr>
            <w:r w:rsidRPr="005F5C74">
              <w:rPr>
                <w:rFonts w:ascii="Times New Roman"/>
                <w:sz w:val="20"/>
                <w:szCs w:val="20"/>
              </w:rPr>
              <w:t>0.057 ± 0.009</w:t>
            </w:r>
            <w:r w:rsidRPr="005F5C74">
              <w:rPr>
                <w:rFonts w:ascii="Times New Roman"/>
                <w:sz w:val="20"/>
                <w:szCs w:val="20"/>
                <w:vertAlign w:val="superscript"/>
              </w:rPr>
              <w:t>a</w:t>
            </w:r>
          </w:p>
        </w:tc>
      </w:tr>
    </w:tbl>
    <w:p w14:paraId="278CFA05" w14:textId="0B0CC9D7" w:rsidR="005F5C74" w:rsidRPr="00912620" w:rsidRDefault="005F5C74" w:rsidP="00912620">
      <w:pPr>
        <w:spacing w:before="60" w:after="0"/>
        <w:jc w:val="both"/>
        <w:rPr>
          <w:rFonts w:ascii="Times New Roman" w:hAnsi="Times New Roman"/>
          <w:color w:val="000000" w:themeColor="text1"/>
          <w:sz w:val="18"/>
          <w:szCs w:val="18"/>
        </w:rPr>
      </w:pPr>
      <w:r w:rsidRPr="005F5C74">
        <w:rPr>
          <w:rFonts w:ascii="Times New Roman" w:hAnsi="Times New Roman"/>
          <w:color w:val="000000" w:themeColor="text1"/>
          <w:sz w:val="20"/>
          <w:szCs w:val="20"/>
        </w:rPr>
        <w:t xml:space="preserve">                      </w:t>
      </w:r>
      <w:r w:rsidR="00912620">
        <w:rPr>
          <w:rFonts w:ascii="Times New Roman" w:hAnsi="Times New Roman"/>
          <w:color w:val="000000" w:themeColor="text1"/>
          <w:sz w:val="20"/>
          <w:szCs w:val="20"/>
        </w:rPr>
        <w:t xml:space="preserve"> </w:t>
      </w:r>
      <w:r w:rsidR="00340463">
        <w:rPr>
          <w:rFonts w:ascii="Times New Roman" w:hAnsi="Times New Roman"/>
          <w:color w:val="000000" w:themeColor="text1"/>
          <w:sz w:val="20"/>
          <w:szCs w:val="20"/>
        </w:rPr>
        <w:t xml:space="preserve"> </w:t>
      </w:r>
      <w:r w:rsidRPr="00912620">
        <w:rPr>
          <w:rFonts w:ascii="Times New Roman" w:hAnsi="Times New Roman"/>
          <w:color w:val="000000" w:themeColor="text1"/>
          <w:sz w:val="18"/>
          <w:szCs w:val="18"/>
        </w:rPr>
        <w:t>Results are presented as mean value ± standard deviation</w:t>
      </w:r>
      <w:r w:rsidRPr="00912620">
        <w:rPr>
          <w:rFonts w:ascii="Times New Roman" w:hAnsi="Times New Roman"/>
          <w:color w:val="000000" w:themeColor="text1"/>
          <w:sz w:val="18"/>
          <w:szCs w:val="18"/>
          <w:vertAlign w:val="superscript"/>
        </w:rPr>
        <w:t xml:space="preserve"> </w:t>
      </w:r>
      <w:r w:rsidRPr="00912620">
        <w:rPr>
          <w:rFonts w:ascii="Times New Roman" w:hAnsi="Times New Roman"/>
          <w:color w:val="000000" w:themeColor="text1"/>
          <w:sz w:val="18"/>
          <w:szCs w:val="18"/>
        </w:rPr>
        <w:t>of three replicates</w:t>
      </w:r>
    </w:p>
    <w:p w14:paraId="6660546D" w14:textId="77777777" w:rsidR="005F5C74" w:rsidRPr="005F5C74" w:rsidRDefault="005F5C74" w:rsidP="005F5C74">
      <w:pPr>
        <w:spacing w:after="0"/>
        <w:jc w:val="both"/>
        <w:outlineLvl w:val="0"/>
        <w:rPr>
          <w:rFonts w:ascii="Times New Roman" w:hAnsi="Times New Roman"/>
          <w:sz w:val="20"/>
          <w:szCs w:val="20"/>
          <w:lang w:val="en-MY"/>
        </w:rPr>
      </w:pPr>
    </w:p>
    <w:p w14:paraId="61E4BA3A" w14:textId="161D12CF" w:rsidR="00912620" w:rsidRPr="005F5C74" w:rsidRDefault="00912620" w:rsidP="005F5C74">
      <w:pPr>
        <w:spacing w:after="0"/>
        <w:jc w:val="both"/>
        <w:rPr>
          <w:rFonts w:ascii="Times New Roman" w:hAnsi="Times New Roman"/>
          <w:sz w:val="20"/>
          <w:szCs w:val="20"/>
          <w:lang w:val="en-MY"/>
        </w:rPr>
      </w:pPr>
      <w:r w:rsidRPr="005F5C74">
        <w:rPr>
          <w:rFonts w:ascii="Times New Roman" w:hAnsi="Times New Roman"/>
          <w:noProof/>
          <w:color w:val="000000" w:themeColor="text1"/>
          <w:sz w:val="20"/>
          <w:szCs w:val="20"/>
          <w:lang w:eastAsia="en-MY"/>
        </w:rPr>
        <w:drawing>
          <wp:anchor distT="0" distB="0" distL="114300" distR="114300" simplePos="0" relativeHeight="251660288" behindDoc="0" locked="0" layoutInCell="1" allowOverlap="1" wp14:anchorId="55DE19D8" wp14:editId="0C02D79C">
            <wp:simplePos x="0" y="0"/>
            <wp:positionH relativeFrom="column">
              <wp:posOffset>592455</wp:posOffset>
            </wp:positionH>
            <wp:positionV relativeFrom="paragraph">
              <wp:posOffset>167640</wp:posOffset>
            </wp:positionV>
            <wp:extent cx="4676775" cy="2590800"/>
            <wp:effectExtent l="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FD60843" w14:textId="1C702A8D" w:rsidR="005F5C74" w:rsidRPr="005F5C74" w:rsidRDefault="005F5C74" w:rsidP="005F5C74">
      <w:pPr>
        <w:spacing w:after="0"/>
        <w:jc w:val="both"/>
        <w:rPr>
          <w:rFonts w:ascii="Times New Roman" w:hAnsi="Times New Roman"/>
          <w:color w:val="000000" w:themeColor="text1"/>
          <w:sz w:val="20"/>
          <w:szCs w:val="20"/>
        </w:rPr>
      </w:pPr>
    </w:p>
    <w:p w14:paraId="3107D7CB" w14:textId="77777777" w:rsidR="005F5C74" w:rsidRPr="005F5C74" w:rsidRDefault="005F5C74" w:rsidP="005F5C74">
      <w:pPr>
        <w:spacing w:after="0"/>
        <w:jc w:val="both"/>
        <w:rPr>
          <w:rFonts w:ascii="Times New Roman" w:hAnsi="Times New Roman"/>
          <w:color w:val="000000" w:themeColor="text1"/>
          <w:sz w:val="20"/>
          <w:szCs w:val="20"/>
        </w:rPr>
      </w:pPr>
    </w:p>
    <w:p w14:paraId="14EE5E57" w14:textId="77777777" w:rsidR="005F5C74" w:rsidRPr="005F5C74" w:rsidRDefault="005F5C74" w:rsidP="005F5C74">
      <w:pPr>
        <w:spacing w:after="0"/>
        <w:jc w:val="both"/>
        <w:rPr>
          <w:rFonts w:ascii="Times New Roman" w:hAnsi="Times New Roman"/>
          <w:color w:val="000000" w:themeColor="text1"/>
          <w:sz w:val="20"/>
          <w:szCs w:val="20"/>
        </w:rPr>
      </w:pPr>
    </w:p>
    <w:p w14:paraId="17A5F00C" w14:textId="77777777" w:rsidR="005F5C74" w:rsidRPr="005F5C74" w:rsidRDefault="005F5C74" w:rsidP="005F5C74">
      <w:pPr>
        <w:spacing w:after="0"/>
        <w:jc w:val="both"/>
        <w:rPr>
          <w:rFonts w:ascii="Times New Roman" w:hAnsi="Times New Roman"/>
          <w:color w:val="000000" w:themeColor="text1"/>
          <w:sz w:val="20"/>
          <w:szCs w:val="20"/>
        </w:rPr>
      </w:pPr>
    </w:p>
    <w:p w14:paraId="53F6B7ED" w14:textId="77777777" w:rsidR="005F5C74" w:rsidRPr="005F5C74" w:rsidRDefault="005F5C74" w:rsidP="005F5C74">
      <w:pPr>
        <w:spacing w:after="0"/>
        <w:jc w:val="both"/>
        <w:rPr>
          <w:rFonts w:ascii="Times New Roman" w:hAnsi="Times New Roman"/>
          <w:color w:val="000000" w:themeColor="text1"/>
          <w:sz w:val="20"/>
          <w:szCs w:val="20"/>
        </w:rPr>
      </w:pPr>
    </w:p>
    <w:p w14:paraId="3AFAE873" w14:textId="77777777" w:rsidR="005F5C74" w:rsidRPr="005F5C74" w:rsidRDefault="005F5C74" w:rsidP="005F5C74">
      <w:pPr>
        <w:spacing w:after="0"/>
        <w:jc w:val="both"/>
        <w:rPr>
          <w:rFonts w:ascii="Times New Roman" w:hAnsi="Times New Roman"/>
          <w:color w:val="000000" w:themeColor="text1"/>
          <w:sz w:val="20"/>
          <w:szCs w:val="20"/>
        </w:rPr>
      </w:pPr>
    </w:p>
    <w:p w14:paraId="46B44617" w14:textId="77777777" w:rsidR="005F5C74" w:rsidRPr="005F5C74" w:rsidRDefault="005F5C74" w:rsidP="005F5C74">
      <w:pPr>
        <w:spacing w:after="0"/>
        <w:jc w:val="both"/>
        <w:rPr>
          <w:rFonts w:ascii="Times New Roman" w:hAnsi="Times New Roman"/>
          <w:color w:val="000000" w:themeColor="text1"/>
          <w:sz w:val="20"/>
          <w:szCs w:val="20"/>
        </w:rPr>
      </w:pPr>
    </w:p>
    <w:p w14:paraId="0CF1B0AF" w14:textId="77777777" w:rsidR="005F5C74" w:rsidRPr="005F5C74" w:rsidRDefault="005F5C74" w:rsidP="005F5C74">
      <w:pPr>
        <w:spacing w:after="0"/>
        <w:jc w:val="both"/>
        <w:rPr>
          <w:rFonts w:ascii="Times New Roman" w:hAnsi="Times New Roman"/>
          <w:color w:val="000000" w:themeColor="text1"/>
          <w:sz w:val="20"/>
          <w:szCs w:val="20"/>
        </w:rPr>
      </w:pPr>
    </w:p>
    <w:p w14:paraId="2F13D243" w14:textId="77777777" w:rsidR="005F5C74" w:rsidRPr="005F5C74" w:rsidRDefault="005F5C74" w:rsidP="005F5C74">
      <w:pPr>
        <w:spacing w:after="0"/>
        <w:jc w:val="both"/>
        <w:rPr>
          <w:rFonts w:ascii="Times New Roman" w:hAnsi="Times New Roman"/>
          <w:color w:val="000000" w:themeColor="text1"/>
          <w:sz w:val="20"/>
          <w:szCs w:val="20"/>
        </w:rPr>
      </w:pPr>
    </w:p>
    <w:p w14:paraId="26762005" w14:textId="77777777" w:rsidR="005F5C74" w:rsidRPr="005F5C74" w:rsidRDefault="005F5C74" w:rsidP="005F5C74">
      <w:pPr>
        <w:spacing w:after="0"/>
        <w:jc w:val="both"/>
        <w:rPr>
          <w:rFonts w:ascii="Times New Roman" w:hAnsi="Times New Roman"/>
          <w:color w:val="000000" w:themeColor="text1"/>
          <w:sz w:val="20"/>
          <w:szCs w:val="20"/>
        </w:rPr>
      </w:pPr>
    </w:p>
    <w:p w14:paraId="1CB724D4" w14:textId="77777777" w:rsidR="005F5C74" w:rsidRPr="005F5C74" w:rsidRDefault="005F5C74" w:rsidP="005F5C74">
      <w:pPr>
        <w:spacing w:after="0"/>
        <w:jc w:val="both"/>
        <w:rPr>
          <w:rFonts w:ascii="Times New Roman" w:hAnsi="Times New Roman"/>
          <w:color w:val="000000" w:themeColor="text1"/>
          <w:sz w:val="20"/>
          <w:szCs w:val="20"/>
        </w:rPr>
      </w:pPr>
    </w:p>
    <w:p w14:paraId="390C97A8" w14:textId="77777777" w:rsidR="005F5C74" w:rsidRPr="005F5C74" w:rsidRDefault="005F5C74" w:rsidP="005F5C74">
      <w:pPr>
        <w:spacing w:after="0"/>
        <w:jc w:val="both"/>
        <w:rPr>
          <w:rFonts w:ascii="Times New Roman" w:hAnsi="Times New Roman"/>
          <w:color w:val="000000" w:themeColor="text1"/>
          <w:sz w:val="20"/>
          <w:szCs w:val="20"/>
        </w:rPr>
      </w:pPr>
    </w:p>
    <w:p w14:paraId="3322DC2D" w14:textId="77777777" w:rsidR="005F5C74" w:rsidRPr="005F5C74" w:rsidRDefault="005F5C74" w:rsidP="005F5C74">
      <w:pPr>
        <w:spacing w:after="0"/>
        <w:jc w:val="both"/>
        <w:rPr>
          <w:rFonts w:ascii="Times New Roman" w:hAnsi="Times New Roman"/>
          <w:color w:val="000000" w:themeColor="text1"/>
          <w:sz w:val="20"/>
          <w:szCs w:val="20"/>
        </w:rPr>
      </w:pPr>
    </w:p>
    <w:p w14:paraId="5B658383" w14:textId="77777777" w:rsidR="005F5C74" w:rsidRPr="005F5C74" w:rsidRDefault="005F5C74" w:rsidP="005F5C74">
      <w:pPr>
        <w:spacing w:after="0"/>
        <w:jc w:val="both"/>
        <w:rPr>
          <w:rFonts w:ascii="Times New Roman" w:hAnsi="Times New Roman"/>
          <w:color w:val="000000" w:themeColor="text1"/>
          <w:sz w:val="20"/>
          <w:szCs w:val="20"/>
        </w:rPr>
      </w:pPr>
    </w:p>
    <w:p w14:paraId="60731846" w14:textId="77777777" w:rsidR="005F5C74" w:rsidRPr="005F5C74" w:rsidRDefault="005F5C74" w:rsidP="005F5C74">
      <w:pPr>
        <w:spacing w:after="0"/>
        <w:jc w:val="both"/>
        <w:rPr>
          <w:rFonts w:ascii="Times New Roman" w:hAnsi="Times New Roman"/>
          <w:color w:val="000000" w:themeColor="text1"/>
          <w:sz w:val="20"/>
          <w:szCs w:val="20"/>
        </w:rPr>
      </w:pPr>
    </w:p>
    <w:p w14:paraId="04723B4A" w14:textId="77777777" w:rsidR="005F5C74" w:rsidRPr="005F5C74" w:rsidRDefault="005F5C74" w:rsidP="00912620">
      <w:pPr>
        <w:spacing w:after="60"/>
        <w:jc w:val="both"/>
        <w:rPr>
          <w:rFonts w:ascii="Times New Roman" w:hAnsi="Times New Roman"/>
          <w:color w:val="000000" w:themeColor="text1"/>
          <w:sz w:val="20"/>
          <w:szCs w:val="20"/>
        </w:rPr>
      </w:pPr>
    </w:p>
    <w:p w14:paraId="2D592F9F" w14:textId="1EC93317" w:rsidR="005F5C74" w:rsidRPr="005F5C74" w:rsidRDefault="005F5C74" w:rsidP="005F5C74">
      <w:pPr>
        <w:spacing w:after="0"/>
        <w:ind w:left="851" w:hanging="851"/>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Figure 3. </w:t>
      </w:r>
      <w:r w:rsidR="00912620">
        <w:rPr>
          <w:rFonts w:ascii="Times New Roman" w:hAnsi="Times New Roman"/>
          <w:color w:val="000000" w:themeColor="text1"/>
          <w:sz w:val="20"/>
          <w:szCs w:val="20"/>
        </w:rPr>
        <w:tab/>
      </w:r>
      <w:r w:rsidRPr="005F5C74">
        <w:rPr>
          <w:rFonts w:ascii="Times New Roman" w:hAnsi="Times New Roman"/>
          <w:sz w:val="20"/>
          <w:szCs w:val="20"/>
        </w:rPr>
        <w:t xml:space="preserve">The antibacterial activity of the different film formulations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incorporated into chitosan film on </w:t>
      </w:r>
      <w:r w:rsidRPr="005F5C74">
        <w:rPr>
          <w:rFonts w:ascii="Times New Roman" w:hAnsi="Times New Roman"/>
          <w:i/>
          <w:iCs/>
          <w:sz w:val="20"/>
          <w:szCs w:val="20"/>
        </w:rPr>
        <w:t>Pseudomonas aeruginosa</w:t>
      </w:r>
      <w:r w:rsidRPr="005F5C74">
        <w:rPr>
          <w:rFonts w:ascii="Times New Roman" w:hAnsi="Times New Roman"/>
          <w:sz w:val="20"/>
          <w:szCs w:val="20"/>
        </w:rPr>
        <w: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w:t>
      </w:r>
    </w:p>
    <w:p w14:paraId="643A9E40" w14:textId="77777777" w:rsidR="00830381" w:rsidRDefault="00830381" w:rsidP="005F5C74">
      <w:pPr>
        <w:spacing w:after="0"/>
        <w:jc w:val="both"/>
        <w:rPr>
          <w:rFonts w:ascii="Times New Roman" w:hAnsi="Times New Roman"/>
          <w:sz w:val="20"/>
          <w:szCs w:val="20"/>
        </w:rPr>
        <w:sectPr w:rsidR="00830381" w:rsidSect="00637594">
          <w:headerReference w:type="even" r:id="rId35"/>
          <w:headerReference w:type="default" r:id="rId36"/>
          <w:footerReference w:type="even" r:id="rId37"/>
          <w:footerReference w:type="default" r:id="rId38"/>
          <w:headerReference w:type="first" r:id="rId39"/>
          <w:type w:val="continuous"/>
          <w:pgSz w:w="12240" w:h="15840" w:code="1"/>
          <w:pgMar w:top="1800" w:right="1469" w:bottom="1699" w:left="1440" w:header="706" w:footer="706" w:gutter="0"/>
          <w:pgNumType w:start="1"/>
          <w:cols w:space="708"/>
          <w:docGrid w:linePitch="360"/>
        </w:sectPr>
      </w:pPr>
    </w:p>
    <w:p w14:paraId="5184A0E8" w14:textId="22A9B968" w:rsidR="005F5C74" w:rsidRPr="005F5C74" w:rsidRDefault="005F5C74" w:rsidP="005F5C74">
      <w:pPr>
        <w:spacing w:after="0"/>
        <w:jc w:val="both"/>
        <w:rPr>
          <w:rFonts w:ascii="Times New Roman" w:hAnsi="Times New Roman"/>
          <w:sz w:val="20"/>
          <w:szCs w:val="20"/>
        </w:rPr>
      </w:pPr>
    </w:p>
    <w:p w14:paraId="681DBC52" w14:textId="77777777" w:rsidR="005F5C74" w:rsidRPr="005F5C74" w:rsidRDefault="005F5C74" w:rsidP="005F5C74">
      <w:pPr>
        <w:spacing w:after="0"/>
        <w:jc w:val="both"/>
        <w:rPr>
          <w:rFonts w:ascii="Times New Roman" w:hAnsi="Times New Roman"/>
          <w:sz w:val="20"/>
          <w:szCs w:val="20"/>
        </w:rPr>
      </w:pPr>
      <w:r w:rsidRPr="005F5C74">
        <w:rPr>
          <w:rFonts w:ascii="Times New Roman" w:hAnsi="Times New Roman"/>
          <w:noProof/>
          <w:sz w:val="20"/>
          <w:szCs w:val="20"/>
          <w:lang w:eastAsia="en-MY"/>
        </w:rPr>
        <w:drawing>
          <wp:anchor distT="0" distB="0" distL="114300" distR="114300" simplePos="0" relativeHeight="251661312" behindDoc="0" locked="0" layoutInCell="1" allowOverlap="1" wp14:anchorId="3E22250D" wp14:editId="3AAADBA8">
            <wp:simplePos x="0" y="0"/>
            <wp:positionH relativeFrom="column">
              <wp:posOffset>607695</wp:posOffset>
            </wp:positionH>
            <wp:positionV relativeFrom="paragraph">
              <wp:posOffset>3810</wp:posOffset>
            </wp:positionV>
            <wp:extent cx="4676775" cy="2628900"/>
            <wp:effectExtent l="0" t="0" r="952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57CE8009" w14:textId="77777777" w:rsidR="005F5C74" w:rsidRPr="005F5C74" w:rsidRDefault="005F5C74" w:rsidP="005F5C74">
      <w:pPr>
        <w:spacing w:after="0"/>
        <w:jc w:val="both"/>
        <w:rPr>
          <w:rFonts w:ascii="Times New Roman" w:hAnsi="Times New Roman"/>
          <w:sz w:val="20"/>
          <w:szCs w:val="20"/>
        </w:rPr>
      </w:pPr>
    </w:p>
    <w:p w14:paraId="2812C8D7" w14:textId="77777777" w:rsidR="005F5C74" w:rsidRPr="005F5C74" w:rsidRDefault="005F5C74" w:rsidP="005F5C74">
      <w:pPr>
        <w:spacing w:after="0"/>
        <w:jc w:val="both"/>
        <w:rPr>
          <w:rFonts w:ascii="Times New Roman" w:hAnsi="Times New Roman"/>
          <w:sz w:val="20"/>
          <w:szCs w:val="20"/>
        </w:rPr>
      </w:pPr>
    </w:p>
    <w:p w14:paraId="73AFA556" w14:textId="77777777" w:rsidR="005F5C74" w:rsidRPr="005F5C74" w:rsidRDefault="005F5C74" w:rsidP="005F5C74">
      <w:pPr>
        <w:spacing w:after="0"/>
        <w:jc w:val="both"/>
        <w:rPr>
          <w:rFonts w:ascii="Times New Roman" w:hAnsi="Times New Roman"/>
          <w:sz w:val="20"/>
          <w:szCs w:val="20"/>
        </w:rPr>
      </w:pPr>
    </w:p>
    <w:p w14:paraId="3466CE27" w14:textId="77777777" w:rsidR="005F5C74" w:rsidRPr="005F5C74" w:rsidRDefault="005F5C74" w:rsidP="005F5C74">
      <w:pPr>
        <w:spacing w:after="0"/>
        <w:jc w:val="both"/>
        <w:rPr>
          <w:rFonts w:ascii="Times New Roman" w:hAnsi="Times New Roman"/>
          <w:sz w:val="20"/>
          <w:szCs w:val="20"/>
        </w:rPr>
      </w:pPr>
    </w:p>
    <w:p w14:paraId="66FF7606" w14:textId="77777777" w:rsidR="005F5C74" w:rsidRPr="005F5C74" w:rsidRDefault="005F5C74" w:rsidP="005F5C74">
      <w:pPr>
        <w:spacing w:after="0"/>
        <w:jc w:val="both"/>
        <w:rPr>
          <w:rFonts w:ascii="Times New Roman" w:hAnsi="Times New Roman"/>
          <w:sz w:val="20"/>
          <w:szCs w:val="20"/>
        </w:rPr>
      </w:pPr>
    </w:p>
    <w:p w14:paraId="715FA56F" w14:textId="77777777" w:rsidR="005F5C74" w:rsidRPr="005F5C74" w:rsidRDefault="005F5C74" w:rsidP="005F5C74">
      <w:pPr>
        <w:spacing w:after="0"/>
        <w:jc w:val="both"/>
        <w:rPr>
          <w:rFonts w:ascii="Times New Roman" w:hAnsi="Times New Roman"/>
          <w:sz w:val="20"/>
          <w:szCs w:val="20"/>
        </w:rPr>
      </w:pPr>
    </w:p>
    <w:p w14:paraId="7D5A8AAE" w14:textId="77777777" w:rsidR="005F5C74" w:rsidRPr="005F5C74" w:rsidRDefault="005F5C74" w:rsidP="005F5C74">
      <w:pPr>
        <w:spacing w:after="0"/>
        <w:jc w:val="both"/>
        <w:rPr>
          <w:rFonts w:ascii="Times New Roman" w:hAnsi="Times New Roman"/>
          <w:sz w:val="20"/>
          <w:szCs w:val="20"/>
        </w:rPr>
      </w:pPr>
    </w:p>
    <w:p w14:paraId="1587430E" w14:textId="77777777" w:rsidR="005F5C74" w:rsidRPr="005F5C74" w:rsidRDefault="005F5C74" w:rsidP="005F5C74">
      <w:pPr>
        <w:spacing w:after="0"/>
        <w:jc w:val="both"/>
        <w:rPr>
          <w:rFonts w:ascii="Times New Roman" w:hAnsi="Times New Roman"/>
          <w:sz w:val="20"/>
          <w:szCs w:val="20"/>
        </w:rPr>
      </w:pPr>
    </w:p>
    <w:p w14:paraId="01241DB9" w14:textId="77777777" w:rsidR="005F5C74" w:rsidRPr="005F5C74" w:rsidRDefault="005F5C74" w:rsidP="005F5C74">
      <w:pPr>
        <w:spacing w:after="0"/>
        <w:jc w:val="both"/>
        <w:rPr>
          <w:rFonts w:ascii="Times New Roman" w:hAnsi="Times New Roman"/>
          <w:sz w:val="20"/>
          <w:szCs w:val="20"/>
        </w:rPr>
      </w:pPr>
    </w:p>
    <w:p w14:paraId="6194E712" w14:textId="77777777" w:rsidR="005F5C74" w:rsidRPr="005F5C74" w:rsidRDefault="005F5C74" w:rsidP="005F5C74">
      <w:pPr>
        <w:spacing w:after="0"/>
        <w:jc w:val="both"/>
        <w:rPr>
          <w:rFonts w:ascii="Times New Roman" w:hAnsi="Times New Roman"/>
          <w:sz w:val="20"/>
          <w:szCs w:val="20"/>
        </w:rPr>
      </w:pPr>
    </w:p>
    <w:p w14:paraId="28718578" w14:textId="77777777" w:rsidR="005F5C74" w:rsidRPr="005F5C74" w:rsidRDefault="005F5C74" w:rsidP="005F5C74">
      <w:pPr>
        <w:spacing w:after="0"/>
        <w:jc w:val="both"/>
        <w:rPr>
          <w:rFonts w:ascii="Times New Roman" w:hAnsi="Times New Roman"/>
          <w:sz w:val="20"/>
          <w:szCs w:val="20"/>
        </w:rPr>
      </w:pPr>
    </w:p>
    <w:p w14:paraId="261A0910" w14:textId="77777777" w:rsidR="005F5C74" w:rsidRPr="005F5C74" w:rsidRDefault="005F5C74" w:rsidP="005F5C74">
      <w:pPr>
        <w:spacing w:after="0"/>
        <w:jc w:val="both"/>
        <w:rPr>
          <w:rFonts w:ascii="Times New Roman" w:hAnsi="Times New Roman"/>
          <w:sz w:val="20"/>
          <w:szCs w:val="20"/>
        </w:rPr>
      </w:pPr>
    </w:p>
    <w:p w14:paraId="4FDA74B1" w14:textId="77777777" w:rsidR="005F5C74" w:rsidRPr="005F5C74" w:rsidRDefault="005F5C74" w:rsidP="005F5C74">
      <w:pPr>
        <w:spacing w:after="0"/>
        <w:jc w:val="both"/>
        <w:rPr>
          <w:rFonts w:ascii="Times New Roman" w:hAnsi="Times New Roman"/>
          <w:sz w:val="20"/>
          <w:szCs w:val="20"/>
        </w:rPr>
      </w:pPr>
    </w:p>
    <w:p w14:paraId="0ABB87E4" w14:textId="77777777" w:rsidR="005F5C74" w:rsidRPr="005F5C74" w:rsidRDefault="005F5C74" w:rsidP="005F5C74">
      <w:pPr>
        <w:spacing w:after="0"/>
        <w:jc w:val="both"/>
        <w:rPr>
          <w:rFonts w:ascii="Times New Roman" w:hAnsi="Times New Roman"/>
          <w:sz w:val="20"/>
          <w:szCs w:val="20"/>
        </w:rPr>
      </w:pPr>
    </w:p>
    <w:p w14:paraId="177FBC8B" w14:textId="1B85839A" w:rsidR="005F5C74" w:rsidRPr="005F5C74" w:rsidRDefault="00912620" w:rsidP="00912620">
      <w:pPr>
        <w:spacing w:after="60"/>
        <w:jc w:val="both"/>
        <w:rPr>
          <w:rFonts w:ascii="Times New Roman" w:hAnsi="Times New Roman"/>
          <w:sz w:val="20"/>
          <w:szCs w:val="20"/>
        </w:rPr>
      </w:pPr>
      <w:r>
        <w:rPr>
          <w:rFonts w:ascii="Times New Roman" w:hAnsi="Times New Roman"/>
          <w:sz w:val="20"/>
          <w:szCs w:val="20"/>
        </w:rPr>
        <w:t xml:space="preserve">                 </w:t>
      </w:r>
    </w:p>
    <w:p w14:paraId="1A70CBA8" w14:textId="6363373D" w:rsidR="005F5C74" w:rsidRPr="005F5C74" w:rsidRDefault="005F5C74" w:rsidP="005F5C74">
      <w:pPr>
        <w:spacing w:after="0"/>
        <w:ind w:left="851" w:hanging="851"/>
        <w:jc w:val="both"/>
        <w:rPr>
          <w:rFonts w:ascii="Times New Roman" w:hAnsi="Times New Roman"/>
          <w:sz w:val="20"/>
          <w:szCs w:val="20"/>
        </w:rPr>
      </w:pPr>
      <w:r w:rsidRPr="005F5C74">
        <w:rPr>
          <w:rFonts w:ascii="Times New Roman" w:hAnsi="Times New Roman"/>
          <w:sz w:val="20"/>
          <w:szCs w:val="20"/>
        </w:rPr>
        <w:t xml:space="preserve">Figure 4.  </w:t>
      </w:r>
      <w:r w:rsidR="00912620">
        <w:rPr>
          <w:rFonts w:ascii="Times New Roman" w:hAnsi="Times New Roman"/>
          <w:sz w:val="20"/>
          <w:szCs w:val="20"/>
        </w:rPr>
        <w:tab/>
      </w:r>
      <w:r w:rsidRPr="005F5C74">
        <w:rPr>
          <w:rFonts w:ascii="Times New Roman" w:hAnsi="Times New Roman"/>
          <w:sz w:val="20"/>
          <w:szCs w:val="20"/>
        </w:rPr>
        <w:t xml:space="preserve">The antibacterial activity of the different film formulations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incorporated into chitosan film on </w:t>
      </w:r>
      <w:r w:rsidRPr="005F5C74">
        <w:rPr>
          <w:rFonts w:ascii="Times New Roman" w:hAnsi="Times New Roman"/>
          <w:i/>
          <w:iCs/>
          <w:sz w:val="20"/>
          <w:szCs w:val="20"/>
        </w:rPr>
        <w:t>Staphylococcus aureus</w:t>
      </w:r>
      <w:r w:rsidRPr="005F5C74">
        <w:rPr>
          <w:rFonts w:ascii="Times New Roman" w:hAnsi="Times New Roman"/>
          <w:sz w:val="20"/>
          <w:szCs w:val="20"/>
        </w:rPr>
        <w: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w:t>
      </w:r>
    </w:p>
    <w:p w14:paraId="7441B77B" w14:textId="04A7F634" w:rsidR="005F5C74" w:rsidRDefault="005F5C74" w:rsidP="005F5C74">
      <w:pPr>
        <w:spacing w:after="0"/>
        <w:jc w:val="both"/>
        <w:rPr>
          <w:rFonts w:ascii="Times New Roman" w:hAnsi="Times New Roman"/>
          <w:sz w:val="20"/>
          <w:szCs w:val="20"/>
          <w:lang w:val="en-MY"/>
        </w:rPr>
      </w:pPr>
    </w:p>
    <w:p w14:paraId="3A9CEC1A" w14:textId="77777777" w:rsidR="00340463" w:rsidRPr="005F5C74" w:rsidRDefault="00340463" w:rsidP="005F5C74">
      <w:pPr>
        <w:spacing w:after="0"/>
        <w:jc w:val="both"/>
        <w:rPr>
          <w:rFonts w:ascii="Times New Roman" w:hAnsi="Times New Roman"/>
          <w:sz w:val="20"/>
          <w:szCs w:val="20"/>
          <w:lang w:val="en-MY"/>
        </w:rPr>
      </w:pPr>
    </w:p>
    <w:p w14:paraId="6D6E960F" w14:textId="77777777" w:rsidR="00853C5E" w:rsidRDefault="00853C5E" w:rsidP="005F5C74">
      <w:pPr>
        <w:spacing w:after="0"/>
        <w:jc w:val="both"/>
        <w:outlineLvl w:val="0"/>
        <w:rPr>
          <w:rFonts w:ascii="Times New Roman" w:hAnsi="Times New Roman"/>
          <w:b/>
          <w:bCs/>
          <w:sz w:val="20"/>
          <w:szCs w:val="20"/>
          <w:lang w:val="en-MY"/>
        </w:rPr>
        <w:sectPr w:rsidR="00853C5E" w:rsidSect="00830381">
          <w:headerReference w:type="even" r:id="rId41"/>
          <w:headerReference w:type="default" r:id="rId42"/>
          <w:footerReference w:type="default" r:id="rId43"/>
          <w:headerReference w:type="first" r:id="rId44"/>
          <w:type w:val="oddPage"/>
          <w:pgSz w:w="12240" w:h="15840" w:code="1"/>
          <w:pgMar w:top="1800" w:right="1469" w:bottom="1699" w:left="1440" w:header="706" w:footer="706" w:gutter="0"/>
          <w:pgNumType w:start="1"/>
          <w:cols w:space="708"/>
          <w:docGrid w:linePitch="360"/>
        </w:sectPr>
      </w:pPr>
    </w:p>
    <w:p w14:paraId="1828E684" w14:textId="1092DE80" w:rsidR="005F5C74" w:rsidRPr="005F5C74" w:rsidRDefault="005F5C74" w:rsidP="005F5C74">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 xml:space="preserve">Storage test of chicken meat: </w:t>
      </w:r>
      <w:r w:rsidRPr="005F5C74">
        <w:rPr>
          <w:rFonts w:ascii="Times New Roman" w:hAnsi="Times New Roman"/>
          <w:b/>
          <w:bCs/>
          <w:sz w:val="20"/>
          <w:szCs w:val="20"/>
        </w:rPr>
        <w:t>Optimized film</w:t>
      </w:r>
    </w:p>
    <w:p w14:paraId="7420211A" w14:textId="77777777" w:rsidR="005F5C74" w:rsidRPr="005F5C74" w:rsidRDefault="005F5C74" w:rsidP="005F5C74">
      <w:pPr>
        <w:spacing w:after="0"/>
        <w:jc w:val="both"/>
        <w:rPr>
          <w:rFonts w:ascii="Times New Roman" w:hAnsi="Times New Roman"/>
          <w:sz w:val="20"/>
          <w:szCs w:val="20"/>
        </w:rPr>
      </w:pPr>
      <w:r w:rsidRPr="005F5C74">
        <w:rPr>
          <w:rFonts w:ascii="Times New Roman" w:hAnsi="Times New Roman"/>
          <w:sz w:val="20"/>
          <w:szCs w:val="20"/>
        </w:rPr>
        <w:t>The film formulation that was used for the storage test was chosen through the evaluation of physical, mechanical, and antimicrobial properties of the films. Each film formulation showed antimicrobial properties. Hence, films with optimum additional levels of glycerol and NaCl were selected based on its mechanical properties. The elongation at break of the film with 1.5% (v/v) glycerol and 10 mM (w/v) NaCl was the highest (123.35%) and had an acceptable tensile strength (5.66 MPa) and Young’s Modulus (0.046 MPa). The film with incorporation of 1.5% (v/v) glycerol and 10 mM (w/v) NaCl was applied to the chicken meat for the storage tests.</w:t>
      </w:r>
    </w:p>
    <w:p w14:paraId="0FA2E9C5" w14:textId="77777777" w:rsidR="005F5C74" w:rsidRPr="005F5C74" w:rsidRDefault="005F5C74" w:rsidP="005F5C74">
      <w:pPr>
        <w:spacing w:after="0"/>
        <w:jc w:val="both"/>
        <w:rPr>
          <w:rFonts w:ascii="Times New Roman" w:hAnsi="Times New Roman"/>
          <w:sz w:val="20"/>
          <w:szCs w:val="20"/>
          <w:lang w:val="en-MY"/>
        </w:rPr>
      </w:pPr>
    </w:p>
    <w:p w14:paraId="77EEDFD6" w14:textId="77777777" w:rsidR="005F5C74" w:rsidRPr="005F5C74" w:rsidRDefault="005F5C74" w:rsidP="005F5C74">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pH changes of chicken meat</w:t>
      </w:r>
    </w:p>
    <w:p w14:paraId="220E1A91" w14:textId="77777777" w:rsidR="005F5C74" w:rsidRPr="005F5C74" w:rsidRDefault="005F5C74" w:rsidP="005F5C74">
      <w:pPr>
        <w:spacing w:after="0"/>
        <w:jc w:val="both"/>
        <w:rPr>
          <w:rFonts w:ascii="Times New Roman" w:hAnsi="Times New Roman"/>
          <w:sz w:val="20"/>
          <w:szCs w:val="20"/>
        </w:rPr>
      </w:pPr>
      <w:r w:rsidRPr="005F5C74">
        <w:rPr>
          <w:rFonts w:ascii="Times New Roman" w:hAnsi="Times New Roman"/>
          <w:sz w:val="20"/>
          <w:szCs w:val="20"/>
        </w:rPr>
        <w:t xml:space="preserve">Figure 5 presents the pH values of the chicken meat wrapped with the film and chicken meat without film (control) during storage. The pH of the chicken meat at the beginning of the storage test was 5.86. The pH of the control increased as the number of storage days increased whereas the pH of the chicken meat wrapped </w:t>
      </w:r>
      <w:r w:rsidRPr="005F5C74">
        <w:rPr>
          <w:rFonts w:ascii="Times New Roman" w:hAnsi="Times New Roman"/>
          <w:sz w:val="20"/>
          <w:szCs w:val="20"/>
        </w:rPr>
        <w:t xml:space="preserve">with film decreased as the number of storage days increased (Figure 5). The increment in the pH value of the control might be caused by the accumulation of amines and ammonia due to the growth of bacteria. The bacteria broke down amino acids, which produced an accumulation of ammonia that increased the pH value of the chicken meat [41]. The studies on chicken breast meat storage have shown that pH and bacterial growth had a positive correlation [42]. Further, it was suggested by Bazargani-Gilani et al. [43] that the rise in pH value of chicken meat during storage because of a rise in volatile bases caused by the activity of endogenous enzymes such as protease and lipase. </w:t>
      </w:r>
    </w:p>
    <w:p w14:paraId="1731E4F4" w14:textId="77777777" w:rsidR="00853C5E" w:rsidRDefault="00853C5E" w:rsidP="005F5C74">
      <w:pPr>
        <w:spacing w:after="0"/>
        <w:jc w:val="both"/>
        <w:rPr>
          <w:rFonts w:ascii="Times New Roman" w:hAnsi="Times New Roman"/>
          <w:sz w:val="20"/>
          <w:szCs w:val="20"/>
        </w:rPr>
      </w:pPr>
    </w:p>
    <w:p w14:paraId="22CA89CC" w14:textId="77777777" w:rsidR="00853C5E" w:rsidRPr="005F5C74" w:rsidRDefault="00853C5E" w:rsidP="00853C5E">
      <w:pPr>
        <w:spacing w:after="0"/>
        <w:jc w:val="both"/>
        <w:outlineLvl w:val="0"/>
        <w:rPr>
          <w:rFonts w:ascii="Times New Roman" w:hAnsi="Times New Roman"/>
          <w:sz w:val="20"/>
          <w:szCs w:val="20"/>
        </w:rPr>
      </w:pPr>
      <w:r w:rsidRPr="005F5C74">
        <w:rPr>
          <w:rFonts w:ascii="Times New Roman" w:hAnsi="Times New Roman"/>
          <w:sz w:val="20"/>
          <w:szCs w:val="20"/>
        </w:rPr>
        <w:t xml:space="preserve">Krishnan et al. [41] showed that the pH of raw chicken meat increased after 15 days of storage at 4 °C, which agrees with our findings. On the other hand, the decrease of the pH value of the chicken meats wrapped with film may be caused by the reduction of bacterial activity and the production of volatile base compounds in the chicken meats [44]. </w:t>
      </w:r>
    </w:p>
    <w:p w14:paraId="4F151A52" w14:textId="3F6B06EE" w:rsidR="00853C5E" w:rsidRDefault="00853C5E" w:rsidP="00853C5E">
      <w:pPr>
        <w:spacing w:after="0"/>
        <w:jc w:val="both"/>
        <w:outlineLvl w:val="0"/>
        <w:rPr>
          <w:rFonts w:ascii="Times New Roman" w:hAnsi="Times New Roman"/>
          <w:sz w:val="20"/>
          <w:szCs w:val="20"/>
        </w:rPr>
      </w:pPr>
    </w:p>
    <w:p w14:paraId="779F9301" w14:textId="77777777" w:rsidR="00853C5E" w:rsidRPr="005F5C74" w:rsidRDefault="00853C5E" w:rsidP="00853C5E">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lastRenderedPageBreak/>
        <w:t>Microbial changes of chicken meat</w:t>
      </w:r>
    </w:p>
    <w:p w14:paraId="3FD777B0" w14:textId="77777777"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The total colony count of the chicken meat wrapped with film and control during storage was calculated and expressed in log (CFU/mL) as shown in Figure 6. The black dotted lines in the line graph represents the safe microbial limits for consumption of chicken meat, which was less than log 6.0 [10]. The chicken meat was considered to be unsafe for consumption when its total colony count exceeded log 6.0. The total colony count of the chicken breast meat at beginning of the storage test was log 3.48. </w:t>
      </w:r>
    </w:p>
    <w:p w14:paraId="48176B2F" w14:textId="77777777" w:rsidR="00853C5E" w:rsidRPr="005F5C74" w:rsidRDefault="00853C5E" w:rsidP="00853C5E">
      <w:pPr>
        <w:spacing w:after="0"/>
        <w:jc w:val="both"/>
        <w:rPr>
          <w:rFonts w:ascii="Times New Roman" w:hAnsi="Times New Roman"/>
          <w:sz w:val="20"/>
          <w:szCs w:val="20"/>
        </w:rPr>
      </w:pPr>
    </w:p>
    <w:p w14:paraId="4577D885" w14:textId="77777777"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The total colony count increased as the number of storage days increased for the controls and the chicken meats wrapped with film. The total colony count for the controls reached a value of log 8.17 after 15 days of storage. Conversely, the chicken meats wrapped with the film reached a total colony count of log 6.10 after 15 days. The total colony count for the chicken meats wrapped with the film was lower than the control for all days of the storage period. </w:t>
      </w:r>
    </w:p>
    <w:p w14:paraId="21BA361E" w14:textId="77777777" w:rsidR="00853C5E" w:rsidRPr="005F5C74" w:rsidRDefault="00853C5E" w:rsidP="00853C5E">
      <w:pPr>
        <w:spacing w:after="0"/>
        <w:jc w:val="both"/>
        <w:rPr>
          <w:rFonts w:ascii="Times New Roman" w:hAnsi="Times New Roman"/>
          <w:sz w:val="20"/>
          <w:szCs w:val="20"/>
        </w:rPr>
      </w:pPr>
    </w:p>
    <w:p w14:paraId="7FBAE187" w14:textId="77777777"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In addition, from Figure 6, the colony-forming unit (CFU) for the control exceeded log 6.0 on the 6th day of storage; whereas, the chicken meats wrapped with the film only exceeded log 6.0 on the 15th day of storage. </w:t>
      </w:r>
      <w:r w:rsidRPr="005F5C74">
        <w:rPr>
          <w:rFonts w:ascii="Times New Roman" w:hAnsi="Times New Roman"/>
          <w:sz w:val="20"/>
          <w:szCs w:val="20"/>
        </w:rPr>
        <w:t xml:space="preserve">Hence, we deduced that the control was safe for consumption up to day 5 of storage while the chicken meats wrapped with the film were safe for consumption up to day 14 of storage. It can be concluded that the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can extend the shelf life of chicken meat from 5 days to 14 days when stored at 4°C. The ability of the film to prolong the shelf life of the chicken meat might be due to the presence of antimicrobial properties in the film. Figures 3 and 4 show that the films inhibited the growth of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w:t>
      </w:r>
      <w:r w:rsidRPr="005F5C74">
        <w:rPr>
          <w:rFonts w:ascii="Times New Roman" w:hAnsi="Times New Roman"/>
          <w:i/>
          <w:iCs/>
          <w:sz w:val="20"/>
          <w:szCs w:val="20"/>
        </w:rPr>
        <w:t>Staphylococcus aureus</w:t>
      </w:r>
      <w:r w:rsidRPr="005F5C74">
        <w:rPr>
          <w:rFonts w:ascii="Times New Roman" w:hAnsi="Times New Roman"/>
          <w:sz w:val="20"/>
          <w:szCs w:val="20"/>
        </w:rPr>
        <w:t>.</w:t>
      </w:r>
    </w:p>
    <w:p w14:paraId="5072FC3B" w14:textId="77777777" w:rsidR="00853C5E" w:rsidRDefault="00853C5E" w:rsidP="005F5C74">
      <w:pPr>
        <w:spacing w:after="0"/>
        <w:jc w:val="both"/>
        <w:rPr>
          <w:rFonts w:ascii="Times New Roman" w:hAnsi="Times New Roman"/>
          <w:sz w:val="20"/>
          <w:szCs w:val="20"/>
        </w:rPr>
      </w:pPr>
    </w:p>
    <w:p w14:paraId="2C8DB992" w14:textId="77777777" w:rsidR="00853C5E" w:rsidRPr="005F5C74" w:rsidRDefault="00853C5E" w:rsidP="00853C5E">
      <w:pPr>
        <w:spacing w:after="0"/>
        <w:jc w:val="both"/>
        <w:rPr>
          <w:rFonts w:ascii="Times New Roman" w:hAnsi="Times New Roman"/>
          <w:sz w:val="20"/>
          <w:szCs w:val="20"/>
        </w:rPr>
      </w:pPr>
      <w:r w:rsidRPr="005F5C74">
        <w:rPr>
          <w:rFonts w:ascii="Times New Roman" w:hAnsi="Times New Roman"/>
          <w:sz w:val="20"/>
          <w:szCs w:val="20"/>
        </w:rPr>
        <w:t xml:space="preserve">Basri et al. [13] showed that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can inhibit the growth other pathogenic bacteria such as </w:t>
      </w:r>
      <w:r w:rsidRPr="005F5C74">
        <w:rPr>
          <w:rFonts w:ascii="Times New Roman" w:hAnsi="Times New Roman"/>
          <w:i/>
          <w:iCs/>
          <w:sz w:val="20"/>
          <w:szCs w:val="20"/>
        </w:rPr>
        <w:t>Bacillus subtilis</w:t>
      </w:r>
      <w:r w:rsidRPr="005F5C74">
        <w:rPr>
          <w:rFonts w:ascii="Times New Roman" w:hAnsi="Times New Roman"/>
          <w:sz w:val="20"/>
          <w:szCs w:val="20"/>
        </w:rPr>
        <w:t xml:space="preserve">, </w:t>
      </w:r>
      <w:r w:rsidRPr="005F5C74">
        <w:rPr>
          <w:rFonts w:ascii="Times New Roman" w:hAnsi="Times New Roman"/>
          <w:i/>
          <w:iCs/>
          <w:sz w:val="20"/>
          <w:szCs w:val="20"/>
        </w:rPr>
        <w:t>Salmonella enteritidis</w:t>
      </w:r>
      <w:r w:rsidRPr="005F5C74">
        <w:rPr>
          <w:rFonts w:ascii="Times New Roman" w:hAnsi="Times New Roman"/>
          <w:sz w:val="20"/>
          <w:szCs w:val="20"/>
        </w:rPr>
        <w:t xml:space="preserve"> and </w:t>
      </w:r>
      <w:r w:rsidRPr="005F5C74">
        <w:rPr>
          <w:rFonts w:ascii="Times New Roman" w:hAnsi="Times New Roman"/>
          <w:i/>
          <w:iCs/>
          <w:sz w:val="20"/>
          <w:szCs w:val="20"/>
        </w:rPr>
        <w:t>Escherichia coli</w:t>
      </w:r>
      <w:r w:rsidRPr="005F5C74">
        <w:rPr>
          <w:rFonts w:ascii="Times New Roman" w:hAnsi="Times New Roman"/>
          <w:sz w:val="20"/>
          <w:szCs w:val="20"/>
        </w:rPr>
        <w:t xml:space="preserve">. Hence, the films can reduce the total colony count of the chicken meat and consequently extended its shelf life. Several studies have similarly reported on the ability of edible films to increase the shelf life of food products. Chitosan film incorporated with clove essential oil and nisin increased the shelf life of pork patties from 6 days to 12 days [45]. In another study, the shelf life of Indian mackerel fish was extended when the fish was wrapped with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[6].</w:t>
      </w:r>
    </w:p>
    <w:p w14:paraId="2D3CA5C2" w14:textId="5414ECE1" w:rsidR="00853C5E" w:rsidRDefault="00853C5E" w:rsidP="005F5C74">
      <w:pPr>
        <w:spacing w:after="0"/>
        <w:jc w:val="both"/>
        <w:rPr>
          <w:rFonts w:ascii="Times New Roman" w:hAnsi="Times New Roman"/>
          <w:sz w:val="20"/>
          <w:szCs w:val="20"/>
        </w:rPr>
        <w:sectPr w:rsidR="00853C5E" w:rsidSect="00853C5E">
          <w:headerReference w:type="even" r:id="rId45"/>
          <w:headerReference w:type="default" r:id="rId46"/>
          <w:footerReference w:type="even" r:id="rId47"/>
          <w:headerReference w:type="first" r:id="rId48"/>
          <w:type w:val="continuous"/>
          <w:pgSz w:w="12240" w:h="15840" w:code="1"/>
          <w:pgMar w:top="1800" w:right="1469" w:bottom="1699" w:left="1440" w:header="706" w:footer="706" w:gutter="0"/>
          <w:pgNumType w:start="1"/>
          <w:cols w:num="2" w:space="403"/>
          <w:docGrid w:linePitch="360"/>
        </w:sectPr>
      </w:pPr>
    </w:p>
    <w:p w14:paraId="5EBFA952" w14:textId="77777777" w:rsidR="00853C5E" w:rsidRDefault="00853C5E" w:rsidP="005F5C74">
      <w:pPr>
        <w:spacing w:after="0"/>
        <w:jc w:val="both"/>
        <w:rPr>
          <w:rFonts w:ascii="Times New Roman" w:hAnsi="Times New Roman"/>
          <w:sz w:val="20"/>
          <w:szCs w:val="20"/>
        </w:rPr>
      </w:pPr>
    </w:p>
    <w:p w14:paraId="121DF00A" w14:textId="797D80B5" w:rsidR="005F5C74" w:rsidRPr="005F5C74" w:rsidRDefault="005F5C74" w:rsidP="005F5C74">
      <w:pPr>
        <w:spacing w:after="0"/>
        <w:jc w:val="both"/>
        <w:rPr>
          <w:rFonts w:ascii="Times New Roman" w:hAnsi="Times New Roman"/>
          <w:sz w:val="20"/>
          <w:szCs w:val="20"/>
        </w:rPr>
      </w:pPr>
      <w:r w:rsidRPr="005F5C74">
        <w:rPr>
          <w:rFonts w:ascii="Times New Roman" w:hAnsi="Times New Roman"/>
          <w:noProof/>
          <w:sz w:val="20"/>
          <w:szCs w:val="20"/>
          <w:lang w:eastAsia="en-MY"/>
        </w:rPr>
        <w:drawing>
          <wp:anchor distT="0" distB="0" distL="114300" distR="114300" simplePos="0" relativeHeight="251662336" behindDoc="0" locked="0" layoutInCell="1" allowOverlap="1" wp14:anchorId="37D4128D" wp14:editId="5DD87301">
            <wp:simplePos x="0" y="0"/>
            <wp:positionH relativeFrom="margin">
              <wp:align>center</wp:align>
            </wp:positionH>
            <wp:positionV relativeFrom="paragraph">
              <wp:posOffset>127000</wp:posOffset>
            </wp:positionV>
            <wp:extent cx="4496435" cy="2743200"/>
            <wp:effectExtent l="0" t="0" r="18415"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218E6E6D" w14:textId="77777777" w:rsidR="005F5C74" w:rsidRPr="005F5C74" w:rsidRDefault="005F5C74" w:rsidP="005F5C74">
      <w:pPr>
        <w:spacing w:after="0"/>
        <w:jc w:val="both"/>
        <w:rPr>
          <w:rFonts w:ascii="Times New Roman" w:hAnsi="Times New Roman"/>
          <w:sz w:val="20"/>
          <w:szCs w:val="20"/>
        </w:rPr>
      </w:pPr>
    </w:p>
    <w:p w14:paraId="702F0750" w14:textId="77777777" w:rsidR="005F5C74" w:rsidRPr="005F5C74" w:rsidRDefault="005F5C74" w:rsidP="005F5C74">
      <w:pPr>
        <w:spacing w:after="0"/>
        <w:jc w:val="both"/>
        <w:rPr>
          <w:rFonts w:ascii="Times New Roman" w:hAnsi="Times New Roman"/>
          <w:sz w:val="20"/>
          <w:szCs w:val="20"/>
        </w:rPr>
      </w:pPr>
    </w:p>
    <w:p w14:paraId="57387F59" w14:textId="77777777" w:rsidR="005F5C74" w:rsidRPr="005F5C74" w:rsidRDefault="005F5C74" w:rsidP="005F5C74">
      <w:pPr>
        <w:spacing w:after="0"/>
        <w:jc w:val="both"/>
        <w:rPr>
          <w:rFonts w:ascii="Times New Roman" w:hAnsi="Times New Roman"/>
          <w:sz w:val="20"/>
          <w:szCs w:val="20"/>
        </w:rPr>
      </w:pPr>
    </w:p>
    <w:p w14:paraId="2D7A59C4" w14:textId="77777777" w:rsidR="005F5C74" w:rsidRPr="005F5C74" w:rsidRDefault="005F5C74" w:rsidP="005F5C74">
      <w:pPr>
        <w:spacing w:after="0"/>
        <w:jc w:val="both"/>
        <w:rPr>
          <w:rFonts w:ascii="Times New Roman" w:hAnsi="Times New Roman"/>
          <w:sz w:val="20"/>
          <w:szCs w:val="20"/>
        </w:rPr>
      </w:pPr>
    </w:p>
    <w:p w14:paraId="49D28546" w14:textId="77777777" w:rsidR="005F5C74" w:rsidRPr="005F5C74" w:rsidRDefault="005F5C74" w:rsidP="005F5C74">
      <w:pPr>
        <w:spacing w:after="0"/>
        <w:jc w:val="both"/>
        <w:rPr>
          <w:rFonts w:ascii="Times New Roman" w:hAnsi="Times New Roman"/>
          <w:sz w:val="20"/>
          <w:szCs w:val="20"/>
        </w:rPr>
      </w:pPr>
    </w:p>
    <w:p w14:paraId="2C4FBCCD" w14:textId="77777777" w:rsidR="005F5C74" w:rsidRPr="005F5C74" w:rsidRDefault="005F5C74" w:rsidP="005F5C74">
      <w:pPr>
        <w:spacing w:after="0"/>
        <w:jc w:val="both"/>
        <w:rPr>
          <w:rFonts w:ascii="Times New Roman" w:hAnsi="Times New Roman"/>
          <w:sz w:val="20"/>
          <w:szCs w:val="20"/>
        </w:rPr>
      </w:pPr>
    </w:p>
    <w:p w14:paraId="0A0ACD4E" w14:textId="77777777" w:rsidR="005F5C74" w:rsidRPr="005F5C74" w:rsidRDefault="005F5C74" w:rsidP="005F5C74">
      <w:pPr>
        <w:spacing w:after="0"/>
        <w:jc w:val="both"/>
        <w:rPr>
          <w:rFonts w:ascii="Times New Roman" w:hAnsi="Times New Roman"/>
          <w:sz w:val="20"/>
          <w:szCs w:val="20"/>
        </w:rPr>
      </w:pPr>
    </w:p>
    <w:p w14:paraId="5B72F217" w14:textId="77777777" w:rsidR="005F5C74" w:rsidRPr="005F5C74" w:rsidRDefault="005F5C74" w:rsidP="005F5C74">
      <w:pPr>
        <w:spacing w:after="0"/>
        <w:jc w:val="both"/>
        <w:rPr>
          <w:rFonts w:ascii="Times New Roman" w:hAnsi="Times New Roman"/>
          <w:sz w:val="20"/>
          <w:szCs w:val="20"/>
        </w:rPr>
      </w:pPr>
    </w:p>
    <w:p w14:paraId="63BE4481" w14:textId="77777777" w:rsidR="005F5C74" w:rsidRPr="005F5C74" w:rsidRDefault="005F5C74" w:rsidP="005F5C74">
      <w:pPr>
        <w:spacing w:after="0"/>
        <w:jc w:val="both"/>
        <w:rPr>
          <w:rFonts w:ascii="Times New Roman" w:hAnsi="Times New Roman"/>
          <w:sz w:val="20"/>
          <w:szCs w:val="20"/>
        </w:rPr>
      </w:pPr>
    </w:p>
    <w:p w14:paraId="1556F523" w14:textId="77777777" w:rsidR="005F5C74" w:rsidRPr="005F5C74" w:rsidRDefault="005F5C74" w:rsidP="005F5C74">
      <w:pPr>
        <w:spacing w:after="0"/>
        <w:jc w:val="both"/>
        <w:rPr>
          <w:rFonts w:ascii="Times New Roman" w:hAnsi="Times New Roman"/>
          <w:sz w:val="20"/>
          <w:szCs w:val="20"/>
        </w:rPr>
      </w:pPr>
    </w:p>
    <w:p w14:paraId="44070540" w14:textId="77777777" w:rsidR="005F5C74" w:rsidRPr="005F5C74" w:rsidRDefault="005F5C74" w:rsidP="005F5C74">
      <w:pPr>
        <w:spacing w:after="0"/>
        <w:jc w:val="both"/>
        <w:rPr>
          <w:rFonts w:ascii="Times New Roman" w:hAnsi="Times New Roman"/>
          <w:sz w:val="20"/>
          <w:szCs w:val="20"/>
        </w:rPr>
      </w:pPr>
    </w:p>
    <w:p w14:paraId="5C61314E" w14:textId="77777777" w:rsidR="005F5C74" w:rsidRPr="005F5C74" w:rsidRDefault="005F5C74" w:rsidP="005F5C74">
      <w:pPr>
        <w:spacing w:after="0"/>
        <w:jc w:val="both"/>
        <w:rPr>
          <w:rFonts w:ascii="Times New Roman" w:hAnsi="Times New Roman"/>
          <w:sz w:val="20"/>
          <w:szCs w:val="20"/>
        </w:rPr>
      </w:pPr>
    </w:p>
    <w:p w14:paraId="17AD5B00" w14:textId="77777777" w:rsidR="005F5C74" w:rsidRPr="005F5C74" w:rsidRDefault="005F5C74" w:rsidP="005F5C74">
      <w:pPr>
        <w:spacing w:after="0"/>
        <w:jc w:val="both"/>
        <w:rPr>
          <w:rFonts w:ascii="Times New Roman" w:hAnsi="Times New Roman"/>
          <w:sz w:val="20"/>
          <w:szCs w:val="20"/>
        </w:rPr>
      </w:pPr>
    </w:p>
    <w:p w14:paraId="7088C46C" w14:textId="77777777" w:rsidR="005F5C74" w:rsidRPr="005F5C74" w:rsidRDefault="005F5C74" w:rsidP="005F5C74">
      <w:pPr>
        <w:spacing w:after="0"/>
        <w:jc w:val="both"/>
        <w:rPr>
          <w:rFonts w:ascii="Times New Roman" w:hAnsi="Times New Roman"/>
          <w:sz w:val="20"/>
          <w:szCs w:val="20"/>
        </w:rPr>
      </w:pPr>
    </w:p>
    <w:p w14:paraId="49E450A1" w14:textId="77777777" w:rsidR="005F5C74" w:rsidRPr="005F5C74" w:rsidRDefault="005F5C74" w:rsidP="005F5C74">
      <w:pPr>
        <w:spacing w:after="0"/>
        <w:jc w:val="both"/>
        <w:rPr>
          <w:rFonts w:ascii="Times New Roman" w:hAnsi="Times New Roman"/>
          <w:sz w:val="20"/>
          <w:szCs w:val="20"/>
        </w:rPr>
      </w:pPr>
    </w:p>
    <w:p w14:paraId="08AEAA2E" w14:textId="11BEB4EF" w:rsidR="005F5C74" w:rsidRDefault="005F5C74" w:rsidP="005F5C74">
      <w:pPr>
        <w:spacing w:after="0"/>
        <w:jc w:val="both"/>
        <w:rPr>
          <w:rFonts w:ascii="Times New Roman" w:hAnsi="Times New Roman"/>
          <w:sz w:val="20"/>
          <w:szCs w:val="20"/>
        </w:rPr>
      </w:pPr>
    </w:p>
    <w:p w14:paraId="5C2FE261" w14:textId="77777777" w:rsidR="00340463" w:rsidRPr="005F5C74" w:rsidRDefault="00340463" w:rsidP="005F5C74">
      <w:pPr>
        <w:spacing w:after="0"/>
        <w:jc w:val="both"/>
        <w:rPr>
          <w:rFonts w:ascii="Times New Roman" w:hAnsi="Times New Roman"/>
          <w:sz w:val="20"/>
          <w:szCs w:val="20"/>
        </w:rPr>
      </w:pPr>
    </w:p>
    <w:p w14:paraId="79984781" w14:textId="74BB4503" w:rsidR="005F5C74" w:rsidRPr="00853C5E" w:rsidRDefault="005F5C74" w:rsidP="00853C5E">
      <w:pPr>
        <w:spacing w:after="0"/>
        <w:jc w:val="center"/>
        <w:rPr>
          <w:rFonts w:ascii="Times New Roman" w:hAnsi="Times New Roman"/>
          <w:sz w:val="20"/>
          <w:szCs w:val="20"/>
        </w:rPr>
      </w:pPr>
      <w:r w:rsidRPr="005F5C74">
        <w:rPr>
          <w:rFonts w:ascii="Times New Roman" w:hAnsi="Times New Roman"/>
          <w:sz w:val="20"/>
          <w:szCs w:val="20"/>
        </w:rPr>
        <w:t xml:space="preserve">Figure 5. </w:t>
      </w:r>
      <w:r w:rsidR="00340463">
        <w:rPr>
          <w:rFonts w:ascii="Times New Roman" w:hAnsi="Times New Roman"/>
          <w:sz w:val="20"/>
          <w:szCs w:val="20"/>
        </w:rPr>
        <w:t xml:space="preserve"> </w:t>
      </w:r>
      <w:r w:rsidRPr="005F5C74">
        <w:rPr>
          <w:rFonts w:ascii="Times New Roman" w:hAnsi="Times New Roman"/>
          <w:bCs/>
          <w:sz w:val="20"/>
          <w:szCs w:val="20"/>
          <w:lang w:val="en-GB" w:eastAsia="en-GB"/>
        </w:rPr>
        <w:t>Changes in pH value throughout the storage period</w:t>
      </w:r>
    </w:p>
    <w:p w14:paraId="61FC1EF1" w14:textId="49F506D7" w:rsidR="005F5C74" w:rsidRPr="005F5C74" w:rsidRDefault="00340463" w:rsidP="00340463">
      <w:pPr>
        <w:spacing w:after="120"/>
        <w:jc w:val="center"/>
        <w:rPr>
          <w:rFonts w:ascii="Times New Roman" w:hAnsi="Times New Roman"/>
          <w:sz w:val="20"/>
          <w:szCs w:val="20"/>
          <w:lang w:val="en-MY"/>
        </w:rPr>
      </w:pPr>
      <w:r w:rsidRPr="005F5C74">
        <w:rPr>
          <w:rFonts w:ascii="Times New Roman" w:hAnsi="Times New Roman"/>
          <w:noProof/>
          <w:sz w:val="20"/>
          <w:szCs w:val="20"/>
          <w:lang w:eastAsia="en-MY"/>
        </w:rPr>
        <w:lastRenderedPageBreak/>
        <w:drawing>
          <wp:inline distT="0" distB="0" distL="0" distR="0" wp14:anchorId="5814530D" wp14:editId="1EC2F79C">
            <wp:extent cx="4386580" cy="2771775"/>
            <wp:effectExtent l="0" t="0" r="1397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B170E4" w14:textId="1F832D16" w:rsidR="005F5C74" w:rsidRPr="005F5C74" w:rsidRDefault="005F5C74" w:rsidP="00340463">
      <w:pPr>
        <w:spacing w:after="0"/>
        <w:jc w:val="center"/>
        <w:rPr>
          <w:rFonts w:ascii="Times New Roman" w:hAnsi="Times New Roman"/>
          <w:bCs/>
          <w:sz w:val="20"/>
          <w:szCs w:val="20"/>
          <w:lang w:eastAsia="en-GB"/>
        </w:rPr>
      </w:pPr>
      <w:r w:rsidRPr="005F5C74">
        <w:rPr>
          <w:rFonts w:ascii="Times New Roman" w:hAnsi="Times New Roman"/>
          <w:bCs/>
          <w:sz w:val="20"/>
          <w:szCs w:val="20"/>
          <w:lang w:eastAsia="en-GB"/>
        </w:rPr>
        <w:t>Figure 6.</w:t>
      </w:r>
      <w:r w:rsidRPr="005F5C74">
        <w:rPr>
          <w:rFonts w:ascii="Times New Roman" w:hAnsi="Times New Roman"/>
          <w:b/>
          <w:sz w:val="20"/>
          <w:szCs w:val="20"/>
          <w:lang w:eastAsia="en-GB"/>
        </w:rPr>
        <w:t xml:space="preserve"> </w:t>
      </w:r>
      <w:r w:rsidR="00340463">
        <w:rPr>
          <w:rFonts w:ascii="Times New Roman" w:hAnsi="Times New Roman"/>
          <w:b/>
          <w:sz w:val="20"/>
          <w:szCs w:val="20"/>
          <w:lang w:eastAsia="en-GB"/>
        </w:rPr>
        <w:t xml:space="preserve"> </w:t>
      </w:r>
      <w:r w:rsidRPr="005F5C74">
        <w:rPr>
          <w:rFonts w:ascii="Times New Roman" w:hAnsi="Times New Roman"/>
          <w:bCs/>
          <w:sz w:val="20"/>
          <w:szCs w:val="20"/>
          <w:lang w:eastAsia="en-GB"/>
        </w:rPr>
        <w:t>Changes in total plate count in log (CFU/mL) throughout the storage period</w:t>
      </w:r>
    </w:p>
    <w:p w14:paraId="16BA0826" w14:textId="77777777" w:rsidR="00340463" w:rsidRDefault="00340463" w:rsidP="005F5C74">
      <w:pPr>
        <w:spacing w:after="0"/>
        <w:jc w:val="both"/>
        <w:rPr>
          <w:rFonts w:ascii="Times New Roman" w:hAnsi="Times New Roman"/>
          <w:sz w:val="20"/>
          <w:szCs w:val="20"/>
        </w:rPr>
      </w:pPr>
    </w:p>
    <w:p w14:paraId="72AF3896" w14:textId="77777777" w:rsidR="006768E9" w:rsidRPr="00F447A7" w:rsidRDefault="006768E9" w:rsidP="005F5C74">
      <w:pPr>
        <w:spacing w:after="0"/>
        <w:jc w:val="center"/>
        <w:rPr>
          <w:rFonts w:ascii="Times New Roman" w:hAnsi="Times New Roman"/>
          <w:noProof/>
          <w:sz w:val="20"/>
          <w:szCs w:val="20"/>
          <w:lang w:bidi="ar-SA"/>
        </w:rPr>
      </w:pPr>
    </w:p>
    <w:p w14:paraId="2D6E05A1" w14:textId="77777777" w:rsidR="00853C5E" w:rsidRDefault="00853C5E" w:rsidP="002B412F">
      <w:pPr>
        <w:spacing w:after="0"/>
        <w:jc w:val="center"/>
        <w:rPr>
          <w:rFonts w:ascii="Times New Roman" w:hAnsi="Times New Roman"/>
          <w:b/>
          <w:noProof/>
          <w:sz w:val="20"/>
          <w:szCs w:val="20"/>
          <w:lang w:bidi="ar-SA"/>
        </w:rPr>
        <w:sectPr w:rsidR="00853C5E" w:rsidSect="00637594">
          <w:headerReference w:type="even" r:id="rId51"/>
          <w:headerReference w:type="default" r:id="rId52"/>
          <w:footerReference w:type="default" r:id="rId53"/>
          <w:headerReference w:type="first" r:id="rId54"/>
          <w:type w:val="continuous"/>
          <w:pgSz w:w="12240" w:h="15840" w:code="1"/>
          <w:pgMar w:top="1800" w:right="1469" w:bottom="1699" w:left="1440" w:header="706" w:footer="706" w:gutter="0"/>
          <w:pgNumType w:start="1"/>
          <w:cols w:space="708"/>
          <w:docGrid w:linePitch="360"/>
        </w:sectPr>
      </w:pPr>
    </w:p>
    <w:p w14:paraId="471ACF9F" w14:textId="14842AE3"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614A013" w14:textId="77777777" w:rsidR="00340463" w:rsidRPr="00340463" w:rsidRDefault="00340463" w:rsidP="00340463">
      <w:pPr>
        <w:spacing w:after="0"/>
        <w:jc w:val="both"/>
        <w:outlineLvl w:val="0"/>
        <w:rPr>
          <w:rFonts w:ascii="Times New Roman" w:hAnsi="Times New Roman"/>
          <w:sz w:val="20"/>
          <w:szCs w:val="20"/>
        </w:rPr>
      </w:pPr>
      <w:r w:rsidRPr="00340463">
        <w:rPr>
          <w:rFonts w:ascii="Times New Roman" w:hAnsi="Times New Roman"/>
          <w:sz w:val="20"/>
          <w:szCs w:val="20"/>
        </w:rPr>
        <w:t xml:space="preserve">This study has demonstrated the incorporation of 1.5% (v/v) glycerol and 10 mM (w/v) NaCl into chitosan film incorporated with </w:t>
      </w:r>
      <w:r w:rsidRPr="00340463">
        <w:rPr>
          <w:rFonts w:ascii="Times New Roman" w:hAnsi="Times New Roman"/>
          <w:i/>
          <w:iCs/>
          <w:sz w:val="20"/>
          <w:szCs w:val="20"/>
        </w:rPr>
        <w:t>Garcinia atroviridis</w:t>
      </w:r>
      <w:r w:rsidRPr="00340463">
        <w:rPr>
          <w:rFonts w:ascii="Times New Roman" w:hAnsi="Times New Roman"/>
          <w:sz w:val="20"/>
          <w:szCs w:val="20"/>
        </w:rPr>
        <w:t xml:space="preserve"> extract had the highest elongation at break and tensile strength that fulfilled the conventional standard. Therefore, glycerol and NaCl improved the mechanical properties of film. Storage tests showed that that the chicken meat wrapped with the film had a shelf life less than 14 days whereas the controls had a shelf life of 5 days. Additionally, the results from the storage test indicated that applying the film onto meat products such as chicken meat can extend its shelf life. Hence, edible films with better mechanical properties are able to extend shelf life of food products and were developed in this study.</w:t>
      </w:r>
    </w:p>
    <w:p w14:paraId="504DBF2F" w14:textId="77777777" w:rsidR="00340463" w:rsidRPr="00340463" w:rsidRDefault="00340463" w:rsidP="00340463">
      <w:pPr>
        <w:spacing w:after="0"/>
        <w:jc w:val="center"/>
        <w:outlineLvl w:val="0"/>
        <w:rPr>
          <w:rFonts w:ascii="Times New Roman" w:hAnsi="Times New Roman"/>
          <w:sz w:val="20"/>
          <w:szCs w:val="20"/>
          <w:lang w:val="en-MY"/>
        </w:rPr>
      </w:pPr>
    </w:p>
    <w:p w14:paraId="51AC5673" w14:textId="77777777" w:rsidR="00340463" w:rsidRPr="00340463" w:rsidRDefault="00340463" w:rsidP="00340463">
      <w:pPr>
        <w:spacing w:after="0"/>
        <w:jc w:val="center"/>
        <w:outlineLvl w:val="0"/>
        <w:rPr>
          <w:rFonts w:ascii="Times New Roman" w:hAnsi="Times New Roman"/>
          <w:b/>
          <w:sz w:val="20"/>
          <w:szCs w:val="20"/>
          <w:lang w:val="en-MY"/>
        </w:rPr>
      </w:pPr>
      <w:r w:rsidRPr="00340463">
        <w:rPr>
          <w:rFonts w:ascii="Times New Roman" w:hAnsi="Times New Roman"/>
          <w:b/>
          <w:sz w:val="20"/>
          <w:szCs w:val="20"/>
          <w:lang w:val="en-MY"/>
        </w:rPr>
        <w:t>Acknowledgement</w:t>
      </w:r>
    </w:p>
    <w:p w14:paraId="3FCB933D" w14:textId="72230463" w:rsidR="006768E9" w:rsidRPr="00340463" w:rsidRDefault="00340463" w:rsidP="00340463">
      <w:pPr>
        <w:spacing w:after="0"/>
        <w:jc w:val="both"/>
        <w:outlineLvl w:val="0"/>
        <w:rPr>
          <w:rFonts w:ascii="Times New Roman" w:hAnsi="Times New Roman"/>
          <w:bCs/>
          <w:sz w:val="20"/>
          <w:szCs w:val="20"/>
          <w:lang w:val="en-MY"/>
        </w:rPr>
      </w:pPr>
      <w:r w:rsidRPr="00340463">
        <w:rPr>
          <w:rFonts w:ascii="Times New Roman" w:hAnsi="Times New Roman"/>
          <w:bCs/>
          <w:sz w:val="20"/>
          <w:szCs w:val="20"/>
          <w:lang w:val="en-MY"/>
        </w:rPr>
        <w:t>This work was supported by UCSI University Pioneer Scientist Incentive Fund (Proj-In-FAS-056) from UCSI University and UCSI Fundamental Research Grant Scheme (FRGS/1/2020/STG01/UCSI/02/3) from the Ministry of Education Malaysia.</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4523EAFC"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Voidarou, C., Vassos, D., Rozos, G., Alexopoulos, A., Plessas, S., Tsinas, A., Skoufou, M., </w:t>
      </w:r>
      <w:r w:rsidRPr="00340463">
        <w:rPr>
          <w:rFonts w:ascii="Times New Roman" w:hAnsi="Times New Roman"/>
          <w:sz w:val="20"/>
          <w:szCs w:val="20"/>
          <w:lang w:val="en-MY"/>
        </w:rPr>
        <w:t xml:space="preserve">Stavropoulou, E. and Bezirtzoglou, E. (2011). Microbial challenges of poultry meat production. </w:t>
      </w:r>
      <w:r w:rsidRPr="00340463">
        <w:rPr>
          <w:rFonts w:ascii="Times New Roman" w:hAnsi="Times New Roman"/>
          <w:i/>
          <w:iCs/>
          <w:sz w:val="20"/>
          <w:szCs w:val="20"/>
          <w:lang w:val="en-MY"/>
        </w:rPr>
        <w:t>Anaerobe</w:t>
      </w:r>
      <w:r w:rsidRPr="00340463">
        <w:rPr>
          <w:rFonts w:ascii="Times New Roman" w:hAnsi="Times New Roman"/>
          <w:sz w:val="20"/>
          <w:szCs w:val="20"/>
          <w:lang w:val="en-MY"/>
        </w:rPr>
        <w:t>, 17(6): 341-343.</w:t>
      </w:r>
    </w:p>
    <w:p w14:paraId="0DFA973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Mihindukulasuriya, S. D. F. and Lim, L. T. (2014). Nanotechnology development in food packaging: A review. </w:t>
      </w:r>
      <w:r w:rsidRPr="00340463">
        <w:rPr>
          <w:rFonts w:ascii="Times New Roman" w:hAnsi="Times New Roman"/>
          <w:i/>
          <w:iCs/>
          <w:sz w:val="20"/>
          <w:szCs w:val="20"/>
          <w:lang w:val="en-MY"/>
        </w:rPr>
        <w:t>Trends in Food Science &amp; Technology</w:t>
      </w:r>
      <w:r w:rsidRPr="00340463">
        <w:rPr>
          <w:rFonts w:ascii="Times New Roman" w:hAnsi="Times New Roman"/>
          <w:sz w:val="20"/>
          <w:szCs w:val="20"/>
          <w:lang w:val="en-MY"/>
        </w:rPr>
        <w:t>, 40(2): 149-167.</w:t>
      </w:r>
    </w:p>
    <w:p w14:paraId="618818BB"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Lee, Y. Y., Yusof, Y. A. and Pui, L. P. (2020). Development of milk protein edible films incorporated with </w:t>
      </w:r>
      <w:r w:rsidRPr="00340463">
        <w:rPr>
          <w:rFonts w:ascii="Times New Roman" w:hAnsi="Times New Roman"/>
          <w:i/>
          <w:iCs/>
          <w:sz w:val="20"/>
          <w:szCs w:val="20"/>
          <w:lang w:val="en-MY"/>
        </w:rPr>
        <w:t>Lactobacillus rhamnosus</w:t>
      </w:r>
      <w:r w:rsidRPr="00340463">
        <w:rPr>
          <w:rFonts w:ascii="Times New Roman" w:hAnsi="Times New Roman"/>
          <w:sz w:val="20"/>
          <w:szCs w:val="20"/>
          <w:lang w:val="en-MY"/>
        </w:rPr>
        <w:t xml:space="preserve"> GG. </w:t>
      </w:r>
      <w:r w:rsidRPr="00340463">
        <w:rPr>
          <w:rFonts w:ascii="Times New Roman" w:hAnsi="Times New Roman"/>
          <w:i/>
          <w:iCs/>
          <w:sz w:val="20"/>
          <w:szCs w:val="20"/>
          <w:lang w:val="en-MY"/>
        </w:rPr>
        <w:t>BioResources</w:t>
      </w:r>
      <w:r w:rsidRPr="00340463">
        <w:rPr>
          <w:rFonts w:ascii="Times New Roman" w:hAnsi="Times New Roman"/>
          <w:sz w:val="20"/>
          <w:szCs w:val="20"/>
          <w:lang w:val="en-MY"/>
        </w:rPr>
        <w:t>, 15(3): 6960-6973.</w:t>
      </w:r>
    </w:p>
    <w:p w14:paraId="3D29B286"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Kuan, Y. L., Sivanasvaran, S. N., Pui, L. P., Yusof, Y. A. and Senphan, T. (2020). Physicochemical properties of sodium alginate edible film incorporated with mulberry (</w:t>
      </w:r>
      <w:r w:rsidRPr="00340463">
        <w:rPr>
          <w:rFonts w:ascii="Times New Roman" w:hAnsi="Times New Roman"/>
          <w:i/>
          <w:iCs/>
          <w:sz w:val="20"/>
          <w:szCs w:val="20"/>
          <w:lang w:val="en-MY"/>
        </w:rPr>
        <w:t>Morus australis</w:t>
      </w:r>
      <w:r w:rsidRPr="00340463">
        <w:rPr>
          <w:rFonts w:ascii="Times New Roman" w:hAnsi="Times New Roman"/>
          <w:sz w:val="20"/>
          <w:szCs w:val="20"/>
          <w:lang w:val="en-MY"/>
        </w:rPr>
        <w:t xml:space="preserve">) leaf extract. </w:t>
      </w:r>
      <w:r w:rsidRPr="00340463">
        <w:rPr>
          <w:rFonts w:ascii="Times New Roman" w:hAnsi="Times New Roman"/>
          <w:i/>
          <w:iCs/>
          <w:sz w:val="20"/>
          <w:szCs w:val="20"/>
          <w:lang w:val="en-MY"/>
        </w:rPr>
        <w:t>Pertanika Journal of Tropical Agricultural Science</w:t>
      </w:r>
      <w:r w:rsidRPr="00340463">
        <w:rPr>
          <w:rFonts w:ascii="Times New Roman" w:hAnsi="Times New Roman"/>
          <w:sz w:val="20"/>
          <w:szCs w:val="20"/>
          <w:lang w:val="en-MY"/>
        </w:rPr>
        <w:t>, 43(3): 359-376.</w:t>
      </w:r>
    </w:p>
    <w:p w14:paraId="69A220E6" w14:textId="0483B2CA" w:rsidR="00853C5E" w:rsidRPr="00C41114" w:rsidRDefault="008C0A1E" w:rsidP="00853C5E">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Okcu, Z., Yavuz, Y. and Kerse, S. (2018). Edible film and coating in fruits and vegetables. </w:t>
      </w:r>
      <w:r w:rsidRPr="00340463">
        <w:rPr>
          <w:rFonts w:ascii="Times New Roman" w:hAnsi="Times New Roman"/>
          <w:i/>
          <w:iCs/>
          <w:sz w:val="20"/>
          <w:szCs w:val="20"/>
          <w:lang w:val="en-MY"/>
        </w:rPr>
        <w:t>Alinteri Journal of Agriculture Sciences</w:t>
      </w:r>
      <w:r w:rsidRPr="00340463">
        <w:rPr>
          <w:rFonts w:ascii="Times New Roman" w:hAnsi="Times New Roman"/>
          <w:sz w:val="20"/>
          <w:szCs w:val="20"/>
          <w:lang w:val="en-MY"/>
        </w:rPr>
        <w:t>, 33(2): 221–226.</w:t>
      </w:r>
    </w:p>
    <w:p w14:paraId="7375904C" w14:textId="4B6E9239" w:rsidR="008C0A1E"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Zaman, N. B. K., Lin, N. K. and Phing, P. L. (2018). Chitosan film incorporated with </w:t>
      </w:r>
      <w:r w:rsidRPr="00340463">
        <w:rPr>
          <w:rFonts w:ascii="Times New Roman" w:hAnsi="Times New Roman"/>
          <w:i/>
          <w:iCs/>
          <w:sz w:val="20"/>
          <w:szCs w:val="20"/>
          <w:lang w:val="en-MY"/>
        </w:rPr>
        <w:t>Garcinia atroviridis</w:t>
      </w:r>
      <w:r w:rsidRPr="00340463">
        <w:rPr>
          <w:rFonts w:ascii="Times New Roman" w:hAnsi="Times New Roman"/>
          <w:sz w:val="20"/>
          <w:szCs w:val="20"/>
          <w:lang w:val="en-MY"/>
        </w:rPr>
        <w:t xml:space="preserve"> </w:t>
      </w:r>
      <w:r w:rsidR="00853C5E">
        <w:rPr>
          <w:rFonts w:ascii="Times New Roman" w:hAnsi="Times New Roman"/>
          <w:sz w:val="20"/>
          <w:szCs w:val="20"/>
          <w:lang w:val="en-MY"/>
        </w:rPr>
        <w:t xml:space="preserve"> </w:t>
      </w:r>
      <w:r w:rsidRPr="00340463">
        <w:rPr>
          <w:rFonts w:ascii="Times New Roman" w:hAnsi="Times New Roman"/>
          <w:sz w:val="20"/>
          <w:szCs w:val="20"/>
          <w:lang w:val="en-MY"/>
        </w:rPr>
        <w:t xml:space="preserve">for </w:t>
      </w:r>
      <w:r w:rsidR="00853C5E">
        <w:rPr>
          <w:rFonts w:ascii="Times New Roman" w:hAnsi="Times New Roman"/>
          <w:sz w:val="20"/>
          <w:szCs w:val="20"/>
          <w:lang w:val="en-MY"/>
        </w:rPr>
        <w:t xml:space="preserve"> </w:t>
      </w:r>
      <w:r w:rsidRPr="00340463">
        <w:rPr>
          <w:rFonts w:ascii="Times New Roman" w:hAnsi="Times New Roman"/>
          <w:sz w:val="20"/>
          <w:szCs w:val="20"/>
          <w:lang w:val="en-MY"/>
        </w:rPr>
        <w:t xml:space="preserve">the </w:t>
      </w:r>
      <w:r w:rsidR="00853C5E">
        <w:rPr>
          <w:rFonts w:ascii="Times New Roman" w:hAnsi="Times New Roman"/>
          <w:sz w:val="20"/>
          <w:szCs w:val="20"/>
          <w:lang w:val="en-MY"/>
        </w:rPr>
        <w:t xml:space="preserve"> </w:t>
      </w:r>
      <w:r w:rsidRPr="00340463">
        <w:rPr>
          <w:rFonts w:ascii="Times New Roman" w:hAnsi="Times New Roman"/>
          <w:sz w:val="20"/>
          <w:szCs w:val="20"/>
          <w:lang w:val="en-MY"/>
        </w:rPr>
        <w:t xml:space="preserve">packaging </w:t>
      </w:r>
      <w:r w:rsidR="00853C5E">
        <w:rPr>
          <w:rFonts w:ascii="Times New Roman" w:hAnsi="Times New Roman"/>
          <w:sz w:val="20"/>
          <w:szCs w:val="20"/>
          <w:lang w:val="en-MY"/>
        </w:rPr>
        <w:t xml:space="preserve"> </w:t>
      </w:r>
      <w:r w:rsidRPr="00340463">
        <w:rPr>
          <w:rFonts w:ascii="Times New Roman" w:hAnsi="Times New Roman"/>
          <w:sz w:val="20"/>
          <w:szCs w:val="20"/>
          <w:lang w:val="en-MY"/>
        </w:rPr>
        <w:t xml:space="preserve">of </w:t>
      </w:r>
      <w:r w:rsidR="00853C5E">
        <w:rPr>
          <w:rFonts w:ascii="Times New Roman" w:hAnsi="Times New Roman"/>
          <w:sz w:val="20"/>
          <w:szCs w:val="20"/>
          <w:lang w:val="en-MY"/>
        </w:rPr>
        <w:t xml:space="preserve"> </w:t>
      </w:r>
      <w:r w:rsidRPr="00340463">
        <w:rPr>
          <w:rFonts w:ascii="Times New Roman" w:hAnsi="Times New Roman"/>
          <w:sz w:val="20"/>
          <w:szCs w:val="20"/>
          <w:lang w:val="en-MY"/>
        </w:rPr>
        <w:t>Indian mackerel (</w:t>
      </w:r>
      <w:r w:rsidRPr="00340463">
        <w:rPr>
          <w:rFonts w:ascii="Times New Roman" w:hAnsi="Times New Roman"/>
          <w:i/>
          <w:iCs/>
          <w:sz w:val="20"/>
          <w:szCs w:val="20"/>
          <w:lang w:val="en-MY"/>
        </w:rPr>
        <w:t>Rastrelliger kanagurta</w:t>
      </w:r>
      <w:r w:rsidRPr="00340463">
        <w:rPr>
          <w:rFonts w:ascii="Times New Roman" w:hAnsi="Times New Roman"/>
          <w:sz w:val="20"/>
          <w:szCs w:val="20"/>
          <w:lang w:val="en-MY"/>
        </w:rPr>
        <w:t>).</w:t>
      </w:r>
      <w:r w:rsidR="00853C5E">
        <w:rPr>
          <w:rFonts w:ascii="Times New Roman" w:hAnsi="Times New Roman"/>
          <w:sz w:val="20"/>
          <w:szCs w:val="20"/>
          <w:lang w:val="en-MY"/>
        </w:rPr>
        <w:t xml:space="preserve"> </w:t>
      </w:r>
      <w:r w:rsidRPr="00340463">
        <w:rPr>
          <w:rFonts w:ascii="Times New Roman" w:hAnsi="Times New Roman"/>
          <w:i/>
          <w:iCs/>
          <w:sz w:val="20"/>
          <w:szCs w:val="20"/>
          <w:lang w:val="en-MY"/>
        </w:rPr>
        <w:t>Ciência e Agrotecnologia</w:t>
      </w:r>
      <w:r w:rsidRPr="00340463">
        <w:rPr>
          <w:rFonts w:ascii="Times New Roman" w:hAnsi="Times New Roman"/>
          <w:sz w:val="20"/>
          <w:szCs w:val="20"/>
          <w:lang w:val="en-MY"/>
        </w:rPr>
        <w:t>, 42(6): 666-675.</w:t>
      </w:r>
    </w:p>
    <w:p w14:paraId="6BEC804D" w14:textId="77777777" w:rsidR="00C41114" w:rsidRPr="00C41114" w:rsidRDefault="00C41114" w:rsidP="00C41114">
      <w:pPr>
        <w:widowControl w:val="0"/>
        <w:autoSpaceDE w:val="0"/>
        <w:autoSpaceDN w:val="0"/>
        <w:spacing w:after="0"/>
        <w:jc w:val="both"/>
        <w:outlineLvl w:val="0"/>
        <w:rPr>
          <w:rFonts w:ascii="Times New Roman" w:hAnsi="Times New Roman"/>
          <w:sz w:val="20"/>
          <w:szCs w:val="20"/>
          <w:lang w:val="en-MY"/>
        </w:rPr>
      </w:pPr>
    </w:p>
    <w:p w14:paraId="002DBADC"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lastRenderedPageBreak/>
        <w:t xml:space="preserve">Ahmed, S., Ahmad, M. and Ikram, S. (2014). Chitosan: A natural antimicrobial agent-a review. </w:t>
      </w:r>
      <w:r w:rsidRPr="00340463">
        <w:rPr>
          <w:rFonts w:ascii="Times New Roman" w:hAnsi="Times New Roman"/>
          <w:i/>
          <w:iCs/>
          <w:sz w:val="20"/>
          <w:szCs w:val="20"/>
          <w:lang w:val="en-MY"/>
        </w:rPr>
        <w:t>Journal of Applicable Chemistry</w:t>
      </w:r>
      <w:r w:rsidRPr="00340463">
        <w:rPr>
          <w:rFonts w:ascii="Times New Roman" w:hAnsi="Times New Roman"/>
          <w:sz w:val="20"/>
          <w:szCs w:val="20"/>
          <w:lang w:val="en-MY"/>
        </w:rPr>
        <w:t>, 3(2): 493-503.</w:t>
      </w:r>
    </w:p>
    <w:p w14:paraId="75663826"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Tan, H., Ma, R., Lin, C., Liu, Z. and Tang, T. (2013). Quaternized chitosan as an antimicrobial agent: antimicrobial activity, mechanism of action and biomedical applications in orthopedics. </w:t>
      </w:r>
      <w:r w:rsidRPr="00340463">
        <w:rPr>
          <w:rFonts w:ascii="Times New Roman" w:hAnsi="Times New Roman"/>
          <w:i/>
          <w:iCs/>
          <w:sz w:val="20"/>
          <w:szCs w:val="20"/>
          <w:lang w:val="en-MY"/>
        </w:rPr>
        <w:t>International Journal of Molecular Sciences</w:t>
      </w:r>
      <w:r w:rsidRPr="00340463">
        <w:rPr>
          <w:rFonts w:ascii="Times New Roman" w:hAnsi="Times New Roman"/>
          <w:sz w:val="20"/>
          <w:szCs w:val="20"/>
          <w:lang w:val="en-MY"/>
        </w:rPr>
        <w:t>, 14(1): 1854-1869.</w:t>
      </w:r>
    </w:p>
    <w:p w14:paraId="6D850CC7"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Kasai, D., Chougale, R., Masti, S., Chalannavar, R., Malabadi, R. B., Gani, R. and Gouripur, G. (2019). An investigation into the influence of filler </w:t>
      </w:r>
      <w:r w:rsidRPr="00340463">
        <w:rPr>
          <w:rFonts w:ascii="Times New Roman" w:hAnsi="Times New Roman"/>
          <w:i/>
          <w:iCs/>
          <w:sz w:val="20"/>
          <w:szCs w:val="20"/>
          <w:lang w:val="en-MY"/>
        </w:rPr>
        <w:t>Piper nigrum</w:t>
      </w:r>
      <w:r w:rsidRPr="00340463">
        <w:rPr>
          <w:rFonts w:ascii="Times New Roman" w:hAnsi="Times New Roman"/>
          <w:sz w:val="20"/>
          <w:szCs w:val="20"/>
          <w:lang w:val="en-MY"/>
        </w:rPr>
        <w:t xml:space="preserve"> leaves extract on physicochemical and antimicrobial properties of chitosan/poly (vinyl alcohol) blend films. </w:t>
      </w:r>
      <w:r w:rsidRPr="00340463">
        <w:rPr>
          <w:rFonts w:ascii="Times New Roman" w:hAnsi="Times New Roman"/>
          <w:i/>
          <w:iCs/>
          <w:sz w:val="20"/>
          <w:szCs w:val="20"/>
          <w:lang w:val="en-MY"/>
        </w:rPr>
        <w:t>Journal of Polymers and the Environment</w:t>
      </w:r>
      <w:r w:rsidRPr="00340463">
        <w:rPr>
          <w:rFonts w:ascii="Times New Roman" w:hAnsi="Times New Roman"/>
          <w:sz w:val="20"/>
          <w:szCs w:val="20"/>
          <w:lang w:val="en-MY"/>
        </w:rPr>
        <w:t>, 27(3): 472-488.</w:t>
      </w:r>
    </w:p>
    <w:p w14:paraId="24482A00"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Sogut, E. and Seydim, A. C. (2018). The effects of chitosan and grape seed extract-based edible films on the quality of vacuum packaged chicken breast fillets. </w:t>
      </w:r>
      <w:r w:rsidRPr="00340463">
        <w:rPr>
          <w:rFonts w:ascii="Times New Roman" w:hAnsi="Times New Roman"/>
          <w:i/>
          <w:iCs/>
          <w:sz w:val="20"/>
          <w:szCs w:val="20"/>
          <w:lang w:val="en-MY"/>
        </w:rPr>
        <w:t>Food Packaging and Shelf Life</w:t>
      </w:r>
      <w:r w:rsidRPr="00340463">
        <w:rPr>
          <w:rFonts w:ascii="Times New Roman" w:hAnsi="Times New Roman"/>
          <w:sz w:val="20"/>
          <w:szCs w:val="20"/>
          <w:lang w:val="en-MY"/>
        </w:rPr>
        <w:t>, 18: 13-20.</w:t>
      </w:r>
    </w:p>
    <w:p w14:paraId="7F8017A4"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Khare, A. K., Abraham, R. J., Rao, V. A., Babu, R. N. and Ruban, W. (2017). Effect of chitosan and cinnamon oil edible coating on shelf life of chicken fillets under refrigeration conditions. </w:t>
      </w:r>
      <w:r w:rsidRPr="00340463">
        <w:rPr>
          <w:rFonts w:ascii="Times New Roman" w:hAnsi="Times New Roman"/>
          <w:i/>
          <w:iCs/>
          <w:sz w:val="20"/>
          <w:szCs w:val="20"/>
          <w:lang w:val="en-MY"/>
        </w:rPr>
        <w:t>Indian Journal of Animal Research</w:t>
      </w:r>
      <w:r w:rsidRPr="00340463">
        <w:rPr>
          <w:rFonts w:ascii="Times New Roman" w:hAnsi="Times New Roman"/>
          <w:sz w:val="20"/>
          <w:szCs w:val="20"/>
          <w:lang w:val="en-MY"/>
        </w:rPr>
        <w:t>, 51(3): 603-610.</w:t>
      </w:r>
    </w:p>
    <w:p w14:paraId="7017E004"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Al‐Mansoub, M. A., Asmawi, M. Z. and Murugaiyah, V. (2014). Effect of extraction solvents and plant parts used on the antihyperlipidemic and antioxidant effects of </w:t>
      </w:r>
      <w:r w:rsidRPr="00340463">
        <w:rPr>
          <w:rFonts w:ascii="Times New Roman" w:hAnsi="Times New Roman"/>
          <w:i/>
          <w:iCs/>
          <w:sz w:val="20"/>
          <w:szCs w:val="20"/>
          <w:lang w:val="en-MY"/>
        </w:rPr>
        <w:t>Garcinia atroviridis</w:t>
      </w:r>
      <w:r w:rsidRPr="00340463">
        <w:rPr>
          <w:rFonts w:ascii="Times New Roman" w:hAnsi="Times New Roman"/>
          <w:sz w:val="20"/>
          <w:szCs w:val="20"/>
          <w:lang w:val="en-MY"/>
        </w:rPr>
        <w:t xml:space="preserve">: A comparative study. </w:t>
      </w:r>
      <w:r w:rsidRPr="00340463">
        <w:rPr>
          <w:rFonts w:ascii="Times New Roman" w:hAnsi="Times New Roman"/>
          <w:i/>
          <w:iCs/>
          <w:sz w:val="20"/>
          <w:szCs w:val="20"/>
          <w:lang w:val="en-MY"/>
        </w:rPr>
        <w:t>Journal of the Science of Food and Agriculture</w:t>
      </w:r>
      <w:r w:rsidRPr="00340463">
        <w:rPr>
          <w:rFonts w:ascii="Times New Roman" w:hAnsi="Times New Roman"/>
          <w:sz w:val="20"/>
          <w:szCs w:val="20"/>
          <w:lang w:val="en-MY"/>
        </w:rPr>
        <w:t>, 94(8): 1552-1558.</w:t>
      </w:r>
    </w:p>
    <w:p w14:paraId="5EF9F9F4"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Basri, D. F., Sharif, R., Morat, P. and Latip, J. (2005). Evaluation of antimicrobial activities of the crude extracts from </w:t>
      </w:r>
      <w:r w:rsidRPr="00340463">
        <w:rPr>
          <w:rFonts w:ascii="Times New Roman" w:hAnsi="Times New Roman"/>
          <w:i/>
          <w:iCs/>
          <w:sz w:val="20"/>
          <w:szCs w:val="20"/>
          <w:lang w:val="en-MY"/>
        </w:rPr>
        <w:t>Garcinia atroviridis</w:t>
      </w:r>
      <w:r w:rsidRPr="00340463">
        <w:rPr>
          <w:rFonts w:ascii="Times New Roman" w:hAnsi="Times New Roman"/>
          <w:sz w:val="20"/>
          <w:szCs w:val="20"/>
          <w:lang w:val="en-MY"/>
        </w:rPr>
        <w:t xml:space="preserve"> and </w:t>
      </w:r>
      <w:r w:rsidRPr="00340463">
        <w:rPr>
          <w:rFonts w:ascii="Times New Roman" w:hAnsi="Times New Roman"/>
          <w:i/>
          <w:iCs/>
          <w:sz w:val="20"/>
          <w:szCs w:val="20"/>
          <w:lang w:val="en-MY"/>
        </w:rPr>
        <w:t>Solanum torvum</w:t>
      </w:r>
      <w:r w:rsidRPr="00340463">
        <w:rPr>
          <w:rFonts w:ascii="Times New Roman" w:hAnsi="Times New Roman"/>
          <w:sz w:val="20"/>
          <w:szCs w:val="20"/>
          <w:lang w:val="en-MY"/>
        </w:rPr>
        <w:t xml:space="preserve">. </w:t>
      </w:r>
      <w:r w:rsidRPr="00340463">
        <w:rPr>
          <w:rFonts w:ascii="Times New Roman" w:hAnsi="Times New Roman"/>
          <w:i/>
          <w:iCs/>
          <w:sz w:val="20"/>
          <w:szCs w:val="20"/>
          <w:lang w:val="en-MY"/>
        </w:rPr>
        <w:t>Malaysian Journal of Science</w:t>
      </w:r>
      <w:r w:rsidRPr="00340463">
        <w:rPr>
          <w:rFonts w:ascii="Times New Roman" w:hAnsi="Times New Roman"/>
          <w:sz w:val="20"/>
          <w:szCs w:val="20"/>
          <w:lang w:val="en-MY"/>
        </w:rPr>
        <w:t>, 24(1): 233-238.</w:t>
      </w:r>
    </w:p>
    <w:p w14:paraId="36F6F343"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Nordin, N., Othman, S. H., Rashid, S. A. and Basha, R. K. (2020). Effects of glycerol and thymol on physical, mechanical, and thermal properties of corn starch films. </w:t>
      </w:r>
      <w:r w:rsidRPr="00340463">
        <w:rPr>
          <w:rFonts w:ascii="Times New Roman" w:hAnsi="Times New Roman"/>
          <w:i/>
          <w:iCs/>
          <w:sz w:val="20"/>
          <w:szCs w:val="20"/>
          <w:lang w:val="en-MY"/>
        </w:rPr>
        <w:t>Food Hydrocolloids</w:t>
      </w:r>
      <w:r w:rsidRPr="00340463">
        <w:rPr>
          <w:rFonts w:ascii="Times New Roman" w:hAnsi="Times New Roman"/>
          <w:sz w:val="20"/>
          <w:szCs w:val="20"/>
          <w:lang w:val="en-MY"/>
        </w:rPr>
        <w:t>, 106: 105884-105892.</w:t>
      </w:r>
    </w:p>
    <w:p w14:paraId="3ADF2137"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Tonny, W., Tuhin, M. O., Islam, R. and Khan, R. A. (2014). Fabrication and characterization of biodegradable packaging films using starch and chitosan: Effect of glycerol</w:t>
      </w:r>
      <w:r w:rsidRPr="00340463">
        <w:rPr>
          <w:rFonts w:ascii="Times New Roman" w:hAnsi="Times New Roman"/>
          <w:i/>
          <w:iCs/>
          <w:sz w:val="20"/>
          <w:szCs w:val="20"/>
          <w:lang w:val="en-MY"/>
        </w:rPr>
        <w:t xml:space="preserve">. Journal of Chemical </w:t>
      </w:r>
      <w:r w:rsidRPr="00340463">
        <w:rPr>
          <w:rFonts w:ascii="Times New Roman" w:hAnsi="Times New Roman"/>
          <w:i/>
          <w:iCs/>
          <w:sz w:val="20"/>
          <w:szCs w:val="20"/>
          <w:lang w:val="en-MY"/>
        </w:rPr>
        <w:t>Engineering and Chemistry Research</w:t>
      </w:r>
      <w:r w:rsidRPr="00340463">
        <w:rPr>
          <w:rFonts w:ascii="Times New Roman" w:hAnsi="Times New Roman"/>
          <w:sz w:val="20"/>
          <w:szCs w:val="20"/>
          <w:lang w:val="en-MY"/>
        </w:rPr>
        <w:t>, 1(5): 343-352.</w:t>
      </w:r>
    </w:p>
    <w:p w14:paraId="1D0A0696"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Choi, W. S., Patel, D. and Han, J. H. (2016). Effects of pH and salts on physical and mechanical properties of pea starch films. </w:t>
      </w:r>
      <w:r w:rsidRPr="00340463">
        <w:rPr>
          <w:rFonts w:ascii="Times New Roman" w:hAnsi="Times New Roman"/>
          <w:i/>
          <w:iCs/>
          <w:sz w:val="20"/>
          <w:szCs w:val="20"/>
          <w:lang w:val="en-MY"/>
        </w:rPr>
        <w:t>Journal of Food Science</w:t>
      </w:r>
      <w:r w:rsidRPr="00340463">
        <w:rPr>
          <w:rFonts w:ascii="Times New Roman" w:hAnsi="Times New Roman"/>
          <w:sz w:val="20"/>
          <w:szCs w:val="20"/>
          <w:lang w:val="en-MY"/>
        </w:rPr>
        <w:t>, 81(7): 1716-1725.</w:t>
      </w:r>
    </w:p>
    <w:p w14:paraId="24AB668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Tan, Q., Kan, Y., Huang, H., Wu, W. and Lu, X. (2020). Probing the molecular interactions of chitosan films in acidic solutions with different salt ions. </w:t>
      </w:r>
      <w:r w:rsidRPr="00340463">
        <w:rPr>
          <w:rFonts w:ascii="Times New Roman" w:hAnsi="Times New Roman"/>
          <w:i/>
          <w:iCs/>
          <w:sz w:val="20"/>
          <w:szCs w:val="20"/>
          <w:lang w:val="en-MY"/>
        </w:rPr>
        <w:t>Coatings</w:t>
      </w:r>
      <w:r w:rsidRPr="00340463">
        <w:rPr>
          <w:rFonts w:ascii="Times New Roman" w:hAnsi="Times New Roman"/>
          <w:sz w:val="20"/>
          <w:szCs w:val="20"/>
          <w:lang w:val="en-MY"/>
        </w:rPr>
        <w:t>, 10(11): 1052-1066.</w:t>
      </w:r>
    </w:p>
    <w:p w14:paraId="5E895887"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Chan, H. M., Nyam, K. L., Yusof, Y. A. and Pui, L. P. (2020). Investigations of properties of polysaccharide-based edible film incorporated with functional </w:t>
      </w:r>
      <w:r w:rsidRPr="00340463">
        <w:rPr>
          <w:rFonts w:ascii="Times New Roman" w:hAnsi="Times New Roman"/>
          <w:i/>
          <w:iCs/>
          <w:sz w:val="20"/>
          <w:szCs w:val="20"/>
          <w:lang w:val="en-MY"/>
        </w:rPr>
        <w:t>Melastoma malabathricum</w:t>
      </w:r>
      <w:r w:rsidRPr="00340463">
        <w:rPr>
          <w:rFonts w:ascii="Times New Roman" w:hAnsi="Times New Roman"/>
          <w:sz w:val="20"/>
          <w:szCs w:val="20"/>
          <w:lang w:val="en-MY"/>
        </w:rPr>
        <w:t xml:space="preserve"> extract. </w:t>
      </w:r>
      <w:r w:rsidRPr="00340463">
        <w:rPr>
          <w:rFonts w:ascii="Times New Roman" w:hAnsi="Times New Roman"/>
          <w:i/>
          <w:iCs/>
          <w:sz w:val="20"/>
          <w:szCs w:val="20"/>
          <w:lang w:val="en-MY"/>
        </w:rPr>
        <w:t>Carpathian Journal of Food Science &amp; Technology</w:t>
      </w:r>
      <w:r w:rsidRPr="00340463">
        <w:rPr>
          <w:rFonts w:ascii="Times New Roman" w:hAnsi="Times New Roman"/>
          <w:sz w:val="20"/>
          <w:szCs w:val="20"/>
          <w:lang w:val="en-MY"/>
        </w:rPr>
        <w:t>, 12(1): 120-133.</w:t>
      </w:r>
    </w:p>
    <w:p w14:paraId="56162D2D"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Lim, L.I., Tan, H.L. and Pui, L.P. (2021). Development and characterization of alginate-based edible film incorporated with hawthorn berry (</w:t>
      </w:r>
      <w:r w:rsidRPr="00340463">
        <w:rPr>
          <w:rFonts w:ascii="Times New Roman" w:hAnsi="Times New Roman"/>
          <w:i/>
          <w:iCs/>
          <w:sz w:val="20"/>
          <w:szCs w:val="20"/>
          <w:lang w:val="en-MY"/>
        </w:rPr>
        <w:t>Crataegus pinnatifida</w:t>
      </w:r>
      <w:r w:rsidRPr="00340463">
        <w:rPr>
          <w:rFonts w:ascii="Times New Roman" w:hAnsi="Times New Roman"/>
          <w:sz w:val="20"/>
          <w:szCs w:val="20"/>
          <w:lang w:val="en-MY"/>
        </w:rPr>
        <w:t xml:space="preserve">) extract. </w:t>
      </w:r>
      <w:r w:rsidRPr="00340463">
        <w:rPr>
          <w:rFonts w:ascii="Times New Roman" w:hAnsi="Times New Roman"/>
          <w:i/>
          <w:iCs/>
          <w:sz w:val="20"/>
          <w:szCs w:val="20"/>
          <w:lang w:val="en-MY"/>
        </w:rPr>
        <w:t>Journal of Food Measurement and Characterization</w:t>
      </w:r>
      <w:r w:rsidRPr="00340463">
        <w:rPr>
          <w:rFonts w:ascii="Times New Roman" w:hAnsi="Times New Roman"/>
          <w:sz w:val="20"/>
          <w:szCs w:val="20"/>
          <w:lang w:val="en-MY"/>
        </w:rPr>
        <w:t>, 15: 2540-2548.</w:t>
      </w:r>
    </w:p>
    <w:p w14:paraId="2BCFF40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Higueras, L., López-Carballo, G., Hernández-Muñoz, P., Gavara, R. and Rollini, M. (2013). Development of a novel antimicrobial film based on chitosan with LAE (ethyl-Nα-dodecanoyl-L-arginate) and its application to fresh chicken. </w:t>
      </w:r>
      <w:r w:rsidRPr="00340463">
        <w:rPr>
          <w:rFonts w:ascii="Times New Roman" w:hAnsi="Times New Roman"/>
          <w:i/>
          <w:iCs/>
          <w:sz w:val="20"/>
          <w:szCs w:val="20"/>
          <w:lang w:val="en-MY"/>
        </w:rPr>
        <w:t>International Journal of Food Microbiology</w:t>
      </w:r>
      <w:r w:rsidRPr="00340463">
        <w:rPr>
          <w:rFonts w:ascii="Times New Roman" w:hAnsi="Times New Roman"/>
          <w:sz w:val="20"/>
          <w:szCs w:val="20"/>
          <w:lang w:val="en-MY"/>
        </w:rPr>
        <w:t>, 165(3): 339-345.</w:t>
      </w:r>
    </w:p>
    <w:p w14:paraId="63D1CB31"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rPr>
        <w:t>Tantasuttikul, A., Kijroongrojana, K. and Benjakul, S. (2011). Quality indices of squid (</w:t>
      </w:r>
      <w:r w:rsidRPr="00340463">
        <w:rPr>
          <w:rFonts w:ascii="Times New Roman" w:hAnsi="Times New Roman"/>
          <w:i/>
          <w:iCs/>
          <w:sz w:val="20"/>
          <w:szCs w:val="20"/>
        </w:rPr>
        <w:t>Photololigo duvaucelii</w:t>
      </w:r>
      <w:r w:rsidRPr="00340463">
        <w:rPr>
          <w:rFonts w:ascii="Times New Roman" w:hAnsi="Times New Roman"/>
          <w:sz w:val="20"/>
          <w:szCs w:val="20"/>
        </w:rPr>
        <w:t>) and cuttlefish (</w:t>
      </w:r>
      <w:r w:rsidRPr="00340463">
        <w:rPr>
          <w:rFonts w:ascii="Times New Roman" w:hAnsi="Times New Roman"/>
          <w:i/>
          <w:iCs/>
          <w:sz w:val="20"/>
          <w:szCs w:val="20"/>
        </w:rPr>
        <w:t>Sepia aculeata</w:t>
      </w:r>
      <w:r w:rsidRPr="00340463">
        <w:rPr>
          <w:rFonts w:ascii="Times New Roman" w:hAnsi="Times New Roman"/>
          <w:sz w:val="20"/>
          <w:szCs w:val="20"/>
        </w:rPr>
        <w:t xml:space="preserve">) stored in ice. </w:t>
      </w:r>
      <w:r w:rsidRPr="00340463">
        <w:rPr>
          <w:rFonts w:ascii="Times New Roman" w:hAnsi="Times New Roman"/>
          <w:i/>
          <w:iCs/>
          <w:sz w:val="20"/>
          <w:szCs w:val="20"/>
        </w:rPr>
        <w:t>Journal of Aquatic Food Product Technology</w:t>
      </w:r>
      <w:r w:rsidRPr="00340463">
        <w:rPr>
          <w:rFonts w:ascii="Times New Roman" w:hAnsi="Times New Roman"/>
          <w:sz w:val="20"/>
          <w:szCs w:val="20"/>
        </w:rPr>
        <w:t>, 20 (2): 129-147.</w:t>
      </w:r>
    </w:p>
    <w:p w14:paraId="2A27B40C" w14:textId="03B258FA" w:rsidR="00853C5E" w:rsidRPr="00C41114" w:rsidRDefault="008C0A1E" w:rsidP="00853C5E">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Dehghani, S., Hosseini, S. V. and Regenstein, J. M. (2018). Edible films and coatings in seafood preservation: A review. </w:t>
      </w:r>
      <w:r w:rsidRPr="00340463">
        <w:rPr>
          <w:rFonts w:ascii="Times New Roman" w:hAnsi="Times New Roman"/>
          <w:i/>
          <w:iCs/>
          <w:sz w:val="20"/>
          <w:szCs w:val="20"/>
          <w:lang w:val="en-MY"/>
        </w:rPr>
        <w:t>Food Chemistry</w:t>
      </w:r>
      <w:r w:rsidRPr="00340463">
        <w:rPr>
          <w:rFonts w:ascii="Times New Roman" w:hAnsi="Times New Roman"/>
          <w:sz w:val="20"/>
          <w:szCs w:val="20"/>
          <w:lang w:val="en-MY"/>
        </w:rPr>
        <w:t>, 240: 505-513.</w:t>
      </w:r>
    </w:p>
    <w:p w14:paraId="2D8E593F" w14:textId="6C0C2F7B" w:rsidR="008C0A1E"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Rangel Marrón M, Montalvo Paquini C,  Palou  E. and Lopez Malo  A. (2013). Optimization  of  the moisture  content,  thickness,  water solubility  and  water  vapor  permeability  of  sodium  alginate  edible  films. </w:t>
      </w:r>
      <w:r w:rsidRPr="00340463">
        <w:rPr>
          <w:rFonts w:ascii="Times New Roman" w:hAnsi="Times New Roman"/>
          <w:i/>
          <w:iCs/>
          <w:sz w:val="20"/>
          <w:szCs w:val="20"/>
          <w:lang w:val="en-MY"/>
        </w:rPr>
        <w:t>Recent  Advances  in  Chemical  Engineering, Biochemistry and Computational Chemistry</w:t>
      </w:r>
      <w:r w:rsidRPr="00340463">
        <w:rPr>
          <w:rFonts w:ascii="Times New Roman" w:hAnsi="Times New Roman"/>
          <w:sz w:val="20"/>
          <w:szCs w:val="20"/>
          <w:lang w:val="en-MY"/>
        </w:rPr>
        <w:t>, 72-78.</w:t>
      </w:r>
    </w:p>
    <w:p w14:paraId="2A867886" w14:textId="77777777" w:rsidR="00C41114" w:rsidRPr="00C41114" w:rsidRDefault="00C41114" w:rsidP="00C41114">
      <w:pPr>
        <w:widowControl w:val="0"/>
        <w:autoSpaceDE w:val="0"/>
        <w:autoSpaceDN w:val="0"/>
        <w:spacing w:after="0"/>
        <w:jc w:val="both"/>
        <w:outlineLvl w:val="0"/>
        <w:rPr>
          <w:rFonts w:ascii="Times New Roman" w:hAnsi="Times New Roman"/>
          <w:sz w:val="20"/>
          <w:szCs w:val="20"/>
          <w:lang w:val="en-MY"/>
        </w:rPr>
      </w:pPr>
    </w:p>
    <w:p w14:paraId="49027EE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lastRenderedPageBreak/>
        <w:t xml:space="preserve">Arham, R., Salengke, S., Metusalach, M. and Mulyati, M. T. (2018). Optimization of agar and glycerol concentration in the manufacture of edible film. </w:t>
      </w:r>
      <w:r w:rsidRPr="00340463">
        <w:rPr>
          <w:rFonts w:ascii="Times New Roman" w:hAnsi="Times New Roman"/>
          <w:i/>
          <w:iCs/>
          <w:sz w:val="20"/>
          <w:szCs w:val="20"/>
          <w:lang w:val="en-MY"/>
        </w:rPr>
        <w:t>International Food Research Journal,</w:t>
      </w:r>
      <w:r w:rsidRPr="00340463">
        <w:rPr>
          <w:rFonts w:ascii="Times New Roman" w:hAnsi="Times New Roman"/>
          <w:sz w:val="20"/>
          <w:szCs w:val="20"/>
          <w:lang w:val="en-MY"/>
        </w:rPr>
        <w:t xml:space="preserve"> 25(5): 1845-1851.</w:t>
      </w:r>
    </w:p>
    <w:p w14:paraId="7FCB83E3"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Singh, T. P., Chatli, M. K. and Sahoo, J. (2015). Development of chitosan based edible films: Process optimization using response surface methodology. </w:t>
      </w:r>
      <w:r w:rsidRPr="00340463">
        <w:rPr>
          <w:rFonts w:ascii="Times New Roman" w:hAnsi="Times New Roman"/>
          <w:i/>
          <w:iCs/>
          <w:sz w:val="20"/>
          <w:szCs w:val="20"/>
          <w:lang w:val="en-MY"/>
        </w:rPr>
        <w:t>Journal of Food Science and Technology</w:t>
      </w:r>
      <w:r w:rsidRPr="00340463">
        <w:rPr>
          <w:rFonts w:ascii="Times New Roman" w:hAnsi="Times New Roman"/>
          <w:sz w:val="20"/>
          <w:szCs w:val="20"/>
          <w:lang w:val="en-MY"/>
        </w:rPr>
        <w:t>, 52(5): 2530-2543.</w:t>
      </w:r>
    </w:p>
    <w:p w14:paraId="3D8F941A"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Peng, Y., Wang, Q., Shi, J., Chen, Y. and Zhang, X. (2020). Optimization and release evaluation for tea polyphenols and chitosan composite films with regulation of glycerol and tween. </w:t>
      </w:r>
      <w:r w:rsidRPr="00340463">
        <w:rPr>
          <w:rFonts w:ascii="Times New Roman" w:hAnsi="Times New Roman"/>
          <w:i/>
          <w:iCs/>
          <w:sz w:val="20"/>
          <w:szCs w:val="20"/>
          <w:lang w:val="en-MY"/>
        </w:rPr>
        <w:t>Food Science and Technology</w:t>
      </w:r>
      <w:r w:rsidRPr="00340463">
        <w:rPr>
          <w:rFonts w:ascii="Times New Roman" w:hAnsi="Times New Roman"/>
          <w:sz w:val="20"/>
          <w:szCs w:val="20"/>
          <w:lang w:val="en-MY"/>
        </w:rPr>
        <w:t>, 40(1): 162-170.</w:t>
      </w:r>
    </w:p>
    <w:p w14:paraId="48316E01"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Dick, M., Costa, T. M. H., Gomaa, A., Subirade, M., de Oliveira Rios, A. and Flôres, S. H. (2015). Edible film production from chia seed mucilage: Effect of glycerol concentration on its physicochemical and mechanical properties. </w:t>
      </w:r>
      <w:r w:rsidRPr="00340463">
        <w:rPr>
          <w:rFonts w:ascii="Times New Roman" w:hAnsi="Times New Roman"/>
          <w:i/>
          <w:iCs/>
          <w:sz w:val="20"/>
          <w:szCs w:val="20"/>
          <w:lang w:val="en-MY"/>
        </w:rPr>
        <w:t>Carbohydrate Polymers</w:t>
      </w:r>
      <w:r w:rsidRPr="00340463">
        <w:rPr>
          <w:rFonts w:ascii="Times New Roman" w:hAnsi="Times New Roman"/>
          <w:sz w:val="20"/>
          <w:szCs w:val="20"/>
          <w:lang w:val="en-MY"/>
        </w:rPr>
        <w:t>, 130: 198-205.</w:t>
      </w:r>
    </w:p>
    <w:p w14:paraId="2B55FDEC"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Cerqueira, M. A., Souza, B. W., Teixeira, J. A. and Vicente, A. A. (2012). Effect of glycerol and corn oil on physicochemical properties of polysaccharide films–A comparative study. </w:t>
      </w:r>
      <w:r w:rsidRPr="00340463">
        <w:rPr>
          <w:rFonts w:ascii="Times New Roman" w:hAnsi="Times New Roman"/>
          <w:i/>
          <w:iCs/>
          <w:sz w:val="20"/>
          <w:szCs w:val="20"/>
          <w:lang w:val="en-MY"/>
        </w:rPr>
        <w:t>Food Hydrocolloids</w:t>
      </w:r>
      <w:r w:rsidRPr="00340463">
        <w:rPr>
          <w:rFonts w:ascii="Times New Roman" w:hAnsi="Times New Roman"/>
          <w:sz w:val="20"/>
          <w:szCs w:val="20"/>
          <w:lang w:val="en-MY"/>
        </w:rPr>
        <w:t>, 27(1): 175-184.</w:t>
      </w:r>
    </w:p>
    <w:p w14:paraId="1CFB0D3F"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Yang, M., Shi, J. and Xia, Y. (2018). Effect of SiO</w:t>
      </w:r>
      <w:r w:rsidRPr="00340463">
        <w:rPr>
          <w:rFonts w:ascii="Times New Roman" w:hAnsi="Times New Roman"/>
          <w:sz w:val="20"/>
          <w:szCs w:val="20"/>
          <w:vertAlign w:val="subscript"/>
          <w:lang w:val="en-MY"/>
        </w:rPr>
        <w:t>2</w:t>
      </w:r>
      <w:r w:rsidRPr="00340463">
        <w:rPr>
          <w:rFonts w:ascii="Times New Roman" w:hAnsi="Times New Roman"/>
          <w:sz w:val="20"/>
          <w:szCs w:val="20"/>
          <w:lang w:val="en-MY"/>
        </w:rPr>
        <w:t xml:space="preserve">, PVA, and glycerol concentrations on chemical and mechanical properties of alginate-based films. </w:t>
      </w:r>
      <w:r w:rsidRPr="00340463">
        <w:rPr>
          <w:rFonts w:ascii="Times New Roman" w:hAnsi="Times New Roman"/>
          <w:i/>
          <w:iCs/>
          <w:sz w:val="20"/>
          <w:szCs w:val="20"/>
          <w:lang w:val="en-MY"/>
        </w:rPr>
        <w:t>International Journal of Biological Macromolecules</w:t>
      </w:r>
      <w:r w:rsidRPr="00340463">
        <w:rPr>
          <w:rFonts w:ascii="Times New Roman" w:hAnsi="Times New Roman"/>
          <w:sz w:val="20"/>
          <w:szCs w:val="20"/>
          <w:lang w:val="en-MY"/>
        </w:rPr>
        <w:t>, 107: 2686-2694.</w:t>
      </w:r>
    </w:p>
    <w:p w14:paraId="6637DA70"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Basiak, E., Lenart, A. and Debeaufort, F. (2018). How glycerol and water contents affect the structural and functional properties of starch-based edible films. </w:t>
      </w:r>
      <w:r w:rsidRPr="00340463">
        <w:rPr>
          <w:rFonts w:ascii="Times New Roman" w:hAnsi="Times New Roman"/>
          <w:i/>
          <w:iCs/>
          <w:sz w:val="20"/>
          <w:szCs w:val="20"/>
          <w:lang w:val="en-MY"/>
        </w:rPr>
        <w:t>Polymers</w:t>
      </w:r>
      <w:r w:rsidRPr="00340463">
        <w:rPr>
          <w:rFonts w:ascii="Times New Roman" w:hAnsi="Times New Roman"/>
          <w:sz w:val="20"/>
          <w:szCs w:val="20"/>
          <w:lang w:val="en-MY"/>
        </w:rPr>
        <w:t xml:space="preserve">, 10(4): 412-430. </w:t>
      </w:r>
    </w:p>
    <w:p w14:paraId="07C3EF81"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Kang, H. J. and Min, S. C. (2010). Potato peel-based biopolymer film development using high-pressure homogenization, irradiation, and ultrasound. </w:t>
      </w:r>
      <w:r w:rsidRPr="00340463">
        <w:rPr>
          <w:rFonts w:ascii="Times New Roman" w:hAnsi="Times New Roman"/>
          <w:i/>
          <w:iCs/>
          <w:sz w:val="20"/>
          <w:szCs w:val="20"/>
          <w:lang w:val="en-MY"/>
        </w:rPr>
        <w:t>LWT-Food Science and Technology</w:t>
      </w:r>
      <w:r w:rsidRPr="00340463">
        <w:rPr>
          <w:rFonts w:ascii="Times New Roman" w:hAnsi="Times New Roman"/>
          <w:sz w:val="20"/>
          <w:szCs w:val="20"/>
          <w:lang w:val="en-MY"/>
        </w:rPr>
        <w:t>, 43(6): 903-909.</w:t>
      </w:r>
    </w:p>
    <w:p w14:paraId="02C7E22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Arham, R., Mulyati, M. T., Metusalach, M. and Salengke, S. (2016). Physical and mechanical properties of agar based edible film with glycerol plasticizer. </w:t>
      </w:r>
      <w:r w:rsidRPr="00340463">
        <w:rPr>
          <w:rFonts w:ascii="Times New Roman" w:hAnsi="Times New Roman"/>
          <w:i/>
          <w:iCs/>
          <w:sz w:val="20"/>
          <w:szCs w:val="20"/>
          <w:lang w:val="en-MY"/>
        </w:rPr>
        <w:t>International Food Research Journal</w:t>
      </w:r>
      <w:r w:rsidRPr="00340463">
        <w:rPr>
          <w:rFonts w:ascii="Times New Roman" w:hAnsi="Times New Roman"/>
          <w:sz w:val="20"/>
          <w:szCs w:val="20"/>
          <w:lang w:val="en-MY"/>
        </w:rPr>
        <w:t>, 23(4): 1669-1675.</w:t>
      </w:r>
    </w:p>
    <w:p w14:paraId="493BFE82"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Adamu, A. D., Jikan, S. S., Talip, B. H. A., </w:t>
      </w:r>
      <w:r w:rsidRPr="00340463">
        <w:rPr>
          <w:rFonts w:ascii="Times New Roman" w:hAnsi="Times New Roman"/>
          <w:sz w:val="20"/>
          <w:szCs w:val="20"/>
          <w:lang w:val="en-MY"/>
        </w:rPr>
        <w:t xml:space="preserve">Badarulzaman, N. A. and Yahaya, S. (2017). Effect of glycerol on the properties of tapioca starch film. </w:t>
      </w:r>
      <w:r w:rsidRPr="00340463">
        <w:rPr>
          <w:rFonts w:ascii="Times New Roman" w:hAnsi="Times New Roman"/>
          <w:i/>
          <w:iCs/>
          <w:sz w:val="20"/>
          <w:szCs w:val="20"/>
          <w:lang w:val="en-MY"/>
        </w:rPr>
        <w:t>Materials Science Forum</w:t>
      </w:r>
      <w:r w:rsidRPr="00340463">
        <w:rPr>
          <w:rFonts w:ascii="Times New Roman" w:hAnsi="Times New Roman"/>
          <w:sz w:val="20"/>
          <w:szCs w:val="20"/>
          <w:lang w:val="en-MY"/>
        </w:rPr>
        <w:t xml:space="preserve">, 888: 239-243. </w:t>
      </w:r>
    </w:p>
    <w:p w14:paraId="1D9FA33D"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Leceta, I., Guerrero, P. and De La Caba, K. (2013). Functional properties of chitosan-based films. </w:t>
      </w:r>
      <w:r w:rsidRPr="00340463">
        <w:rPr>
          <w:rFonts w:ascii="Times New Roman" w:hAnsi="Times New Roman"/>
          <w:i/>
          <w:iCs/>
          <w:sz w:val="20"/>
          <w:szCs w:val="20"/>
          <w:lang w:val="en-MY"/>
        </w:rPr>
        <w:t>Carbohydrate Polymers</w:t>
      </w:r>
      <w:r w:rsidRPr="00340463">
        <w:rPr>
          <w:rFonts w:ascii="Times New Roman" w:hAnsi="Times New Roman"/>
          <w:sz w:val="20"/>
          <w:szCs w:val="20"/>
          <w:lang w:val="en-MY"/>
        </w:rPr>
        <w:t>, 93(1): 339-346.</w:t>
      </w:r>
    </w:p>
    <w:p w14:paraId="104615C2"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Prateepchanachai, S., Thakhiew, W., Devahastin, S. and Soponronnarit, S. (2017). Mechanical properties improvement of chitosan films via the use of plasticizer, charge modifying agent and film solution homogenization. </w:t>
      </w:r>
      <w:r w:rsidRPr="00340463">
        <w:rPr>
          <w:rFonts w:ascii="Times New Roman" w:hAnsi="Times New Roman"/>
          <w:i/>
          <w:iCs/>
          <w:sz w:val="20"/>
          <w:szCs w:val="20"/>
          <w:lang w:val="en-MY"/>
        </w:rPr>
        <w:t>Carbohydrate Polymers</w:t>
      </w:r>
      <w:r w:rsidRPr="00340463">
        <w:rPr>
          <w:rFonts w:ascii="Times New Roman" w:hAnsi="Times New Roman"/>
          <w:sz w:val="20"/>
          <w:szCs w:val="20"/>
          <w:lang w:val="en-MY"/>
        </w:rPr>
        <w:t>, 174: 253-261.</w:t>
      </w:r>
    </w:p>
    <w:p w14:paraId="6BBD689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Liu, H., Adhikari, R., Guo, Q. and Adhikari, B. (2013). Preparation and characterization of glycerol plasticized (high-amylose) starch–chitosan films. </w:t>
      </w:r>
      <w:r w:rsidRPr="00340463">
        <w:rPr>
          <w:rFonts w:ascii="Times New Roman" w:hAnsi="Times New Roman"/>
          <w:i/>
          <w:iCs/>
          <w:sz w:val="20"/>
          <w:szCs w:val="20"/>
          <w:lang w:val="en-MY"/>
        </w:rPr>
        <w:t>Journal of Food Engineering</w:t>
      </w:r>
      <w:r w:rsidRPr="00340463">
        <w:rPr>
          <w:rFonts w:ascii="Times New Roman" w:hAnsi="Times New Roman"/>
          <w:sz w:val="20"/>
          <w:szCs w:val="20"/>
          <w:lang w:val="en-MY"/>
        </w:rPr>
        <w:t>, 116(2): 588-597.</w:t>
      </w:r>
    </w:p>
    <w:p w14:paraId="5C62AD77"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Aguirre, A., Borneo, R. and León, A. E. (2013). Properties of triticale protein films and their relation to plasticizing–antiplasticizing effects of glycerol and sorbitol. </w:t>
      </w:r>
      <w:r w:rsidRPr="00340463">
        <w:rPr>
          <w:rFonts w:ascii="Times New Roman" w:hAnsi="Times New Roman"/>
          <w:i/>
          <w:iCs/>
          <w:sz w:val="20"/>
          <w:szCs w:val="20"/>
          <w:lang w:val="en-MY"/>
        </w:rPr>
        <w:t>Industrial Crops and Products</w:t>
      </w:r>
      <w:r w:rsidRPr="00340463">
        <w:rPr>
          <w:rFonts w:ascii="Times New Roman" w:hAnsi="Times New Roman"/>
          <w:sz w:val="20"/>
          <w:szCs w:val="20"/>
          <w:lang w:val="en-MY"/>
        </w:rPr>
        <w:t>, 50: 297-303.</w:t>
      </w:r>
    </w:p>
    <w:p w14:paraId="50A5A00C"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Souza, A. C., Benze, R. F. E. S., Ferrão, E. S., Ditchfield, C., Coelho, A. C. V. and Tadini, C. C. (2012). Cassava starch biodegradable films: Influence of glycerol and clay nanoparticles content on tensile and barrier properties and glass transition temperature. </w:t>
      </w:r>
      <w:r w:rsidRPr="00340463">
        <w:rPr>
          <w:rFonts w:ascii="Times New Roman" w:hAnsi="Times New Roman"/>
          <w:i/>
          <w:iCs/>
          <w:sz w:val="20"/>
          <w:szCs w:val="20"/>
          <w:lang w:val="en-MY"/>
        </w:rPr>
        <w:t>LWT-Food Science and Technology</w:t>
      </w:r>
      <w:r w:rsidRPr="00340463">
        <w:rPr>
          <w:rFonts w:ascii="Times New Roman" w:hAnsi="Times New Roman"/>
          <w:sz w:val="20"/>
          <w:szCs w:val="20"/>
          <w:lang w:val="en-MY"/>
        </w:rPr>
        <w:t xml:space="preserve">,  46(1): 110-117. </w:t>
      </w:r>
    </w:p>
    <w:p w14:paraId="7CF9C2D3"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Kusumaningtyas, R. D., Putri, R. D., Badriah, N. and Faizah, F. E. (2018). Preparation and characterization of edible film from sorghum starch with glycerol and sorbitol as plasticizers. </w:t>
      </w:r>
      <w:r w:rsidRPr="00340463">
        <w:rPr>
          <w:rFonts w:ascii="Times New Roman" w:hAnsi="Times New Roman"/>
          <w:i/>
          <w:iCs/>
          <w:sz w:val="20"/>
          <w:szCs w:val="20"/>
          <w:lang w:val="en-MY"/>
        </w:rPr>
        <w:t>Journal of Engineering Science and Technology</w:t>
      </w:r>
      <w:r w:rsidRPr="00340463">
        <w:rPr>
          <w:rFonts w:ascii="Times New Roman" w:hAnsi="Times New Roman"/>
          <w:sz w:val="20"/>
          <w:szCs w:val="20"/>
          <w:lang w:val="en-MY"/>
        </w:rPr>
        <w:t>, 13: 47-55.</w:t>
      </w:r>
    </w:p>
    <w:p w14:paraId="14B40A06"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rPr>
      </w:pPr>
      <w:r w:rsidRPr="00340463">
        <w:rPr>
          <w:rFonts w:ascii="Times New Roman" w:hAnsi="Times New Roman"/>
          <w:sz w:val="20"/>
          <w:szCs w:val="20"/>
          <w:lang w:val="en-MY"/>
        </w:rPr>
        <w:t>Zhang, X., Liu, J., Yong, H., Qin, Y., Liu, J. and Jin, C. (2020). Development of antioxidant and antimicrobial packaging films based on chitosan and mangosteen (</w:t>
      </w:r>
      <w:r w:rsidRPr="00340463">
        <w:rPr>
          <w:rFonts w:ascii="Times New Roman" w:hAnsi="Times New Roman"/>
          <w:i/>
          <w:iCs/>
          <w:sz w:val="20"/>
          <w:szCs w:val="20"/>
          <w:lang w:val="en-MY"/>
        </w:rPr>
        <w:t>Garcinia mangostana</w:t>
      </w:r>
      <w:r w:rsidRPr="00340463">
        <w:rPr>
          <w:rFonts w:ascii="Times New Roman" w:hAnsi="Times New Roman"/>
          <w:sz w:val="20"/>
          <w:szCs w:val="20"/>
          <w:lang w:val="en-MY"/>
        </w:rPr>
        <w:t xml:space="preserve"> L.) rind powder. </w:t>
      </w:r>
      <w:r w:rsidRPr="00340463">
        <w:rPr>
          <w:rFonts w:ascii="Times New Roman" w:hAnsi="Times New Roman"/>
          <w:i/>
          <w:iCs/>
          <w:sz w:val="20"/>
          <w:szCs w:val="20"/>
          <w:lang w:val="en-MY"/>
        </w:rPr>
        <w:t>International Journal of Biological Macromolecules,</w:t>
      </w:r>
      <w:r w:rsidRPr="00340463">
        <w:rPr>
          <w:rFonts w:ascii="Times New Roman" w:hAnsi="Times New Roman"/>
          <w:sz w:val="20"/>
          <w:szCs w:val="20"/>
          <w:lang w:val="en-MY"/>
        </w:rPr>
        <w:t xml:space="preserve"> 145: 1129-1139.</w:t>
      </w:r>
    </w:p>
    <w:p w14:paraId="37600199" w14:textId="77777777" w:rsidR="004330CD"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sectPr w:rsidR="004330CD" w:rsidSect="00853C5E">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1"/>
          <w:cols w:num="2" w:space="403"/>
          <w:docGrid w:linePitch="360"/>
        </w:sectPr>
      </w:pPr>
      <w:r w:rsidRPr="00340463">
        <w:rPr>
          <w:rFonts w:ascii="Times New Roman" w:hAnsi="Times New Roman"/>
          <w:sz w:val="20"/>
          <w:szCs w:val="20"/>
          <w:lang w:val="en-MY"/>
        </w:rPr>
        <w:t xml:space="preserve">Radha krishnan, K., Babuskin, S., Azhagu Saravana Babu, P., Sasikala, M., Sabina, K., Archana, G., Sivarajan, M. and Sukumar, M. (2014). Antimicrobial and antioxidant effects of spice extracts on the shelf life extension of raw chicken meat. </w:t>
      </w:r>
      <w:r w:rsidRPr="00340463">
        <w:rPr>
          <w:rFonts w:ascii="Times New Roman" w:hAnsi="Times New Roman"/>
          <w:i/>
          <w:iCs/>
          <w:sz w:val="20"/>
          <w:szCs w:val="20"/>
          <w:lang w:val="en-MY"/>
        </w:rPr>
        <w:t>International Journal of Food Microbiology</w:t>
      </w:r>
      <w:r w:rsidRPr="00340463">
        <w:rPr>
          <w:rFonts w:ascii="Times New Roman" w:hAnsi="Times New Roman"/>
          <w:sz w:val="20"/>
          <w:szCs w:val="20"/>
          <w:lang w:val="en-MY"/>
        </w:rPr>
        <w:t>, 171: 32-40.</w:t>
      </w:r>
    </w:p>
    <w:p w14:paraId="1587B958" w14:textId="7C1E878A" w:rsidR="008C0A1E" w:rsidRPr="00E27386" w:rsidRDefault="008C0A1E" w:rsidP="00E27386">
      <w:pPr>
        <w:pStyle w:val="ListParagraph"/>
        <w:widowControl w:val="0"/>
        <w:numPr>
          <w:ilvl w:val="0"/>
          <w:numId w:val="8"/>
        </w:numPr>
        <w:autoSpaceDE w:val="0"/>
        <w:autoSpaceDN w:val="0"/>
        <w:spacing w:after="0"/>
        <w:ind w:left="360"/>
        <w:jc w:val="both"/>
        <w:outlineLvl w:val="0"/>
        <w:rPr>
          <w:rFonts w:ascii="Times New Roman" w:hAnsi="Times New Roman"/>
          <w:sz w:val="20"/>
          <w:szCs w:val="20"/>
          <w:lang w:val="en-MY"/>
        </w:rPr>
      </w:pPr>
      <w:r w:rsidRPr="00E27386">
        <w:rPr>
          <w:rFonts w:ascii="Times New Roman" w:hAnsi="Times New Roman"/>
          <w:sz w:val="20"/>
          <w:szCs w:val="20"/>
          <w:lang w:val="en-MY"/>
        </w:rPr>
        <w:lastRenderedPageBreak/>
        <w:t xml:space="preserve">Cortez‐Vega, W. R., Pizato, S. and Prentice, C. (2012). Quality of raw chicken breast stored at 5C and packaged under different modified atmospheres. </w:t>
      </w:r>
      <w:r w:rsidRPr="00E27386">
        <w:rPr>
          <w:rFonts w:ascii="Times New Roman" w:hAnsi="Times New Roman"/>
          <w:i/>
          <w:iCs/>
          <w:sz w:val="20"/>
          <w:szCs w:val="20"/>
          <w:lang w:val="en-MY"/>
        </w:rPr>
        <w:t>Journal of Food Safety</w:t>
      </w:r>
      <w:r w:rsidRPr="00E27386">
        <w:rPr>
          <w:rFonts w:ascii="Times New Roman" w:hAnsi="Times New Roman"/>
          <w:sz w:val="20"/>
          <w:szCs w:val="20"/>
          <w:lang w:val="en-MY"/>
        </w:rPr>
        <w:t>, 32(3): 360-368.</w:t>
      </w:r>
    </w:p>
    <w:p w14:paraId="12DE31A0"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Bazargani-Gilani, B., Aliakbarlu, J. and Tajik, H. (2015). Effect of pomegranate juice dipping and chitosan coating enriched with </w:t>
      </w:r>
      <w:r w:rsidRPr="00340463">
        <w:rPr>
          <w:rFonts w:ascii="Times New Roman" w:hAnsi="Times New Roman"/>
          <w:i/>
          <w:iCs/>
          <w:sz w:val="20"/>
          <w:szCs w:val="20"/>
          <w:lang w:val="en-MY"/>
        </w:rPr>
        <w:t>Zataria multiflora</w:t>
      </w:r>
      <w:r w:rsidRPr="00340463">
        <w:rPr>
          <w:rFonts w:ascii="Times New Roman" w:hAnsi="Times New Roman"/>
          <w:sz w:val="20"/>
          <w:szCs w:val="20"/>
          <w:lang w:val="en-MY"/>
        </w:rPr>
        <w:t xml:space="preserve"> Boiss essential oil on the shelf-life of chicken meat during refrigerated storage. </w:t>
      </w:r>
      <w:r w:rsidRPr="00340463">
        <w:rPr>
          <w:rFonts w:ascii="Times New Roman" w:hAnsi="Times New Roman"/>
          <w:i/>
          <w:iCs/>
          <w:sz w:val="20"/>
          <w:szCs w:val="20"/>
          <w:lang w:val="en-MY"/>
        </w:rPr>
        <w:t>Innovative Food Science &amp; Emerging Technologies</w:t>
      </w:r>
      <w:r w:rsidRPr="00340463">
        <w:rPr>
          <w:rFonts w:ascii="Times New Roman" w:hAnsi="Times New Roman"/>
          <w:sz w:val="20"/>
          <w:szCs w:val="20"/>
          <w:lang w:val="en-MY"/>
        </w:rPr>
        <w:t>, 29: 280-287.</w:t>
      </w:r>
    </w:p>
    <w:p w14:paraId="712273A1"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Yasin, R., Samiullah, K., Fazal, R. M., Hussain, S., Mahboob, S., Al‐Ghanim, K. A., Al-Misned, F. A. and Ahmed, Z. (2020). Combined effect of probiotics on prolonging the shelf life of GIFT tilapia fillets. </w:t>
      </w:r>
      <w:r w:rsidRPr="00340463">
        <w:rPr>
          <w:rFonts w:ascii="Times New Roman" w:hAnsi="Times New Roman"/>
          <w:i/>
          <w:iCs/>
          <w:sz w:val="20"/>
          <w:szCs w:val="20"/>
          <w:lang w:val="en-MY"/>
        </w:rPr>
        <w:t>Aquaculture Research</w:t>
      </w:r>
      <w:r w:rsidRPr="00340463">
        <w:rPr>
          <w:rFonts w:ascii="Times New Roman" w:hAnsi="Times New Roman"/>
          <w:sz w:val="20"/>
          <w:szCs w:val="20"/>
          <w:lang w:val="en-MY"/>
        </w:rPr>
        <w:t>, 51(12): 5151-5162.</w:t>
      </w:r>
    </w:p>
    <w:p w14:paraId="51BAE3A5"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Venkatachalam, K. and Lekjing, S. (2020). A chitosan-based edible film with clove essential oil and nisin for improving the quality and shelf life of </w:t>
      </w:r>
      <w:r w:rsidRPr="00340463">
        <w:rPr>
          <w:rFonts w:ascii="Times New Roman" w:hAnsi="Times New Roman"/>
          <w:sz w:val="20"/>
          <w:szCs w:val="20"/>
          <w:lang w:val="en-MY"/>
        </w:rPr>
        <w:t xml:space="preserve">pork patties in cold storage. </w:t>
      </w:r>
      <w:r w:rsidRPr="00340463">
        <w:rPr>
          <w:rFonts w:ascii="Times New Roman" w:hAnsi="Times New Roman"/>
          <w:i/>
          <w:iCs/>
          <w:sz w:val="20"/>
          <w:szCs w:val="20"/>
          <w:lang w:val="en-MY"/>
        </w:rPr>
        <w:t>RSC Advances</w:t>
      </w:r>
      <w:r w:rsidRPr="00340463">
        <w:rPr>
          <w:rFonts w:ascii="Times New Roman" w:hAnsi="Times New Roman"/>
          <w:sz w:val="20"/>
          <w:szCs w:val="20"/>
          <w:lang w:val="en-MY"/>
        </w:rPr>
        <w:t>, 10(30): 17777-17786.</w:t>
      </w:r>
    </w:p>
    <w:p w14:paraId="09BC0A09"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Remya, S., Mohan, C. O., Bindu, J., Sivaraman, G. K., Venkateshwarlu, G. and Ravishankar, C. N. (2016). Effect of chitosan based active packaging film on the keeping quality of chilled stored barracuda fish. </w:t>
      </w:r>
      <w:r w:rsidRPr="00340463">
        <w:rPr>
          <w:rFonts w:ascii="Times New Roman" w:hAnsi="Times New Roman"/>
          <w:i/>
          <w:iCs/>
          <w:sz w:val="20"/>
          <w:szCs w:val="20"/>
          <w:lang w:val="en-MY"/>
        </w:rPr>
        <w:t>Journal of Food Science and Technology</w:t>
      </w:r>
      <w:r w:rsidRPr="00340463">
        <w:rPr>
          <w:rFonts w:ascii="Times New Roman" w:hAnsi="Times New Roman"/>
          <w:sz w:val="20"/>
          <w:szCs w:val="20"/>
          <w:lang w:val="en-MY"/>
        </w:rPr>
        <w:t>, 53(1): 685-693.</w:t>
      </w:r>
    </w:p>
    <w:p w14:paraId="0DD9ADA0"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Sanyang, M., Sapuan, S., Jawaid, M., Ishak, M. and Sahari, J. (2015). Effect of plasticizer type and concentration on tensile, thermal and barrier properties of biodegradable films based on sugar palm (</w:t>
      </w:r>
      <w:r w:rsidRPr="00340463">
        <w:rPr>
          <w:rFonts w:ascii="Times New Roman" w:hAnsi="Times New Roman"/>
          <w:i/>
          <w:iCs/>
          <w:sz w:val="20"/>
          <w:szCs w:val="20"/>
          <w:lang w:val="en-MY"/>
        </w:rPr>
        <w:t>Arenga pinnata</w:t>
      </w:r>
      <w:r w:rsidRPr="00340463">
        <w:rPr>
          <w:rFonts w:ascii="Times New Roman" w:hAnsi="Times New Roman"/>
          <w:sz w:val="20"/>
          <w:szCs w:val="20"/>
          <w:lang w:val="en-MY"/>
        </w:rPr>
        <w:t xml:space="preserve">) starch. </w:t>
      </w:r>
      <w:r w:rsidRPr="00340463">
        <w:rPr>
          <w:rFonts w:ascii="Times New Roman" w:hAnsi="Times New Roman"/>
          <w:i/>
          <w:iCs/>
          <w:sz w:val="20"/>
          <w:szCs w:val="20"/>
          <w:lang w:val="en-MY"/>
        </w:rPr>
        <w:t>Polymers</w:t>
      </w:r>
      <w:r w:rsidRPr="00340463">
        <w:rPr>
          <w:rFonts w:ascii="Times New Roman" w:hAnsi="Times New Roman"/>
          <w:sz w:val="20"/>
          <w:szCs w:val="20"/>
          <w:lang w:val="en-MY"/>
        </w:rPr>
        <w:t>, 7(6): 1106-1124.</w:t>
      </w:r>
    </w:p>
    <w:p w14:paraId="72E688FF" w14:textId="77777777" w:rsidR="008C0A1E" w:rsidRPr="00340463" w:rsidRDefault="008C0A1E" w:rsidP="00340463">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340463">
        <w:rPr>
          <w:rFonts w:ascii="Times New Roman" w:hAnsi="Times New Roman"/>
          <w:sz w:val="20"/>
          <w:szCs w:val="20"/>
          <w:lang w:val="en-MY"/>
        </w:rPr>
        <w:t xml:space="preserve">Prateepchanachai, S., Thakhiew, W., Devahastin, S. and Soponronnarit, S. (2017). Mechanical properties improvement of chitosan films via the use of plasticizer, charge modifying agent and film solution homogenization. </w:t>
      </w:r>
      <w:r w:rsidRPr="00340463">
        <w:rPr>
          <w:rFonts w:ascii="Times New Roman" w:hAnsi="Times New Roman"/>
          <w:i/>
          <w:iCs/>
          <w:sz w:val="20"/>
          <w:szCs w:val="20"/>
          <w:lang w:val="en-MY"/>
        </w:rPr>
        <w:t>Carbohydrate Polymers</w:t>
      </w:r>
      <w:r w:rsidRPr="00340463">
        <w:rPr>
          <w:rFonts w:ascii="Times New Roman" w:hAnsi="Times New Roman"/>
          <w:sz w:val="20"/>
          <w:szCs w:val="20"/>
          <w:lang w:val="en-MY"/>
        </w:rPr>
        <w:t>, 174: 253-261.</w:t>
      </w:r>
    </w:p>
    <w:p w14:paraId="156C3F0B" w14:textId="77777777" w:rsidR="00853C5E" w:rsidRDefault="00853C5E" w:rsidP="00A74A7E">
      <w:pPr>
        <w:spacing w:after="0" w:line="240" w:lineRule="auto"/>
        <w:jc w:val="both"/>
        <w:rPr>
          <w:rFonts w:ascii="Times New Roman" w:hAnsi="Times New Roman"/>
          <w:noProof/>
          <w:sz w:val="20"/>
          <w:szCs w:val="20"/>
          <w:lang w:bidi="ar-SA"/>
        </w:rPr>
        <w:sectPr w:rsidR="00853C5E" w:rsidSect="004330CD">
          <w:headerReference w:type="even" r:id="rId60"/>
          <w:headerReference w:type="default" r:id="rId61"/>
          <w:footerReference w:type="even" r:id="rId62"/>
          <w:headerReference w:type="first" r:id="rId63"/>
          <w:type w:val="evenPage"/>
          <w:pgSz w:w="12240" w:h="15840" w:code="1"/>
          <w:pgMar w:top="1800" w:right="1469" w:bottom="1699" w:left="1440" w:header="706" w:footer="706" w:gutter="0"/>
          <w:pgNumType w:start="1"/>
          <w:cols w:num="2" w:space="403"/>
          <w:docGrid w:linePitch="360"/>
        </w:sectPr>
      </w:pPr>
    </w:p>
    <w:p w14:paraId="40AA93FC" w14:textId="70DAD00C"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63759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5C45" w14:textId="3B5D8016" w:rsidR="002D2BAD" w:rsidRPr="007D4BAB" w:rsidRDefault="002D2BA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8BA5" w14:textId="2D2081FC" w:rsidR="00A42468" w:rsidRPr="007D4BAB" w:rsidRDefault="00A4246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EEE6" w14:textId="6ADFE866" w:rsidR="00A42468" w:rsidRDefault="00A42468">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06B8" w14:textId="5F2EF2E6" w:rsidR="00A42468" w:rsidRPr="007D4BAB" w:rsidRDefault="00A4246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4E16" w14:textId="01F03F91" w:rsidR="00A42468" w:rsidRDefault="00A42468">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989A" w14:textId="51D9AB60" w:rsidR="00A42468" w:rsidRPr="007D4BAB" w:rsidRDefault="00A4246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607A" w14:textId="1C157080" w:rsidR="00E27386" w:rsidRDefault="00E27386">
    <w:pPr>
      <w:pStyle w:val="Footer"/>
    </w:pPr>
    <w:r>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6008" w14:textId="0AC56B32" w:rsidR="006A0AF7" w:rsidRDefault="006A0AF7">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6FE0" w14:textId="469F815D" w:rsidR="006A0AF7" w:rsidRPr="007D4BAB" w:rsidRDefault="006A0AF7"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8344" w14:textId="2F8CCC26" w:rsidR="00E47CB4" w:rsidRPr="007D4BAB" w:rsidRDefault="00E47CB4"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DDDB" w14:textId="40375A50" w:rsidR="00E47CB4" w:rsidRDefault="00E47CB4">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EA2C" w14:textId="21EED7EB" w:rsidR="00E47CB4" w:rsidRPr="007D4BAB" w:rsidRDefault="00E47CB4"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7341" w14:textId="2CCB6649" w:rsidR="002D2BAD" w:rsidRDefault="002D2BA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BB20" w14:textId="3F26F502" w:rsidR="002D2BAD" w:rsidRDefault="002D2BAD">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8AA4" w14:textId="23B0CED2" w:rsidR="005F5C74" w:rsidRPr="005F5C74" w:rsidRDefault="00B32D81" w:rsidP="005F5C74">
    <w:pPr>
      <w:spacing w:after="0"/>
      <w:ind w:left="1710" w:hanging="1710"/>
      <w:outlineLvl w:val="0"/>
      <w:rPr>
        <w:rFonts w:ascii="Times New Roman" w:hAnsi="Times New Roman"/>
        <w:i/>
        <w:iCs/>
        <w:sz w:val="20"/>
        <w:szCs w:val="20"/>
        <w:lang w:val="en-MY"/>
      </w:rPr>
    </w:pPr>
    <w:r>
      <w:rPr>
        <w:noProof/>
      </w:rPr>
      <w:pict w14:anchorId="3ED59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5" o:spid="_x0000_s46082" type="#_x0000_t136" style="position:absolute;left:0;text-align:left;margin-left:0;margin-top:0;width:498.6pt;height:49.2pt;rotation:315;z-index:-251655168;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5F5C74">
      <w:rPr>
        <w:rFonts w:ascii="Times New Roman" w:hAnsi="Times New Roman"/>
        <w:sz w:val="20"/>
        <w:szCs w:val="20"/>
      </w:rPr>
      <w:t>Sivanasvaran et al</w:t>
    </w:r>
    <w:r w:rsidR="006B72B0" w:rsidRPr="005F5C74">
      <w:rPr>
        <w:rFonts w:ascii="Times New Roman" w:hAnsi="Times New Roman"/>
        <w:sz w:val="20"/>
        <w:szCs w:val="20"/>
      </w:rPr>
      <w:t xml:space="preserve">: </w:t>
    </w:r>
    <w:r w:rsidR="009B0F4A" w:rsidRPr="005F5C74">
      <w:rPr>
        <w:rFonts w:ascii="Times New Roman" w:hAnsi="Times New Roman"/>
        <w:sz w:val="20"/>
        <w:szCs w:val="20"/>
      </w:rPr>
      <w:t xml:space="preserve"> </w:t>
    </w:r>
    <w:r w:rsidR="005F5C74" w:rsidRPr="005F5C74">
      <w:rPr>
        <w:rFonts w:ascii="Times New Roman" w:hAnsi="Times New Roman"/>
        <w:sz w:val="20"/>
        <w:szCs w:val="20"/>
      </w:rPr>
      <w:t xml:space="preserve"> </w:t>
    </w:r>
    <w:r w:rsidR="005F5C74">
      <w:rPr>
        <w:rFonts w:ascii="Times New Roman" w:hAnsi="Times New Roman"/>
        <w:sz w:val="20"/>
        <w:szCs w:val="20"/>
      </w:rPr>
      <w:tab/>
    </w:r>
    <w:r w:rsidR="005F5C74" w:rsidRPr="005F5C74">
      <w:rPr>
        <w:rFonts w:ascii="Times New Roman" w:hAnsi="Times New Roman"/>
        <w:sz w:val="20"/>
        <w:szCs w:val="20"/>
        <w:lang w:val="en-MY"/>
      </w:rPr>
      <w:t xml:space="preserve">ADDITION OF GLYCEROL AND SODIUM CHLORIDE INTO </w:t>
    </w:r>
    <w:r w:rsidR="005F5C74" w:rsidRPr="005F5C74">
      <w:rPr>
        <w:rFonts w:ascii="Times New Roman" w:hAnsi="Times New Roman"/>
        <w:i/>
        <w:iCs/>
        <w:sz w:val="20"/>
        <w:szCs w:val="20"/>
        <w:lang w:val="en-MY"/>
      </w:rPr>
      <w:t>Garcinia atroviridis</w:t>
    </w:r>
    <w:r w:rsidR="005F5C74" w:rsidRPr="005F5C74">
      <w:rPr>
        <w:rFonts w:ascii="Times New Roman" w:hAnsi="Times New Roman"/>
        <w:sz w:val="20"/>
        <w:szCs w:val="20"/>
        <w:lang w:val="en-MY"/>
      </w:rPr>
      <w:t xml:space="preserve"> CHITOSAN FILM, AND ITS APPLICATION FOR WRAPPING OF CHICKEN MEAT </w:t>
    </w:r>
  </w:p>
  <w:p w14:paraId="4AE9CF7A" w14:textId="7DDD8719"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616E" w14:textId="0E7896D9"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6FB0192D" w14:textId="3EDB290F" w:rsidR="00B32D81" w:rsidRDefault="00B32D81">
    <w:pPr>
      <w:pStyle w:val="Header"/>
    </w:pPr>
    <w:r>
      <w:rPr>
        <w:noProof/>
      </w:rPr>
      <w:pict w14:anchorId="163D0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4" o:spid="_x0000_s46091" type="#_x0000_t136" style="position:absolute;margin-left:0;margin-top:0;width:498.6pt;height:49.2pt;rotation:315;z-index:-25163673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56E0" w14:textId="633A8279"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9AB252F" w14:textId="563FCCD5" w:rsidR="00B32D81" w:rsidRDefault="00B32D81">
    <w:pPr>
      <w:pStyle w:val="Header"/>
    </w:pPr>
    <w:r>
      <w:rPr>
        <w:noProof/>
      </w:rPr>
      <w:pict w14:anchorId="1888E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5" o:spid="_x0000_s46092" type="#_x0000_t136" style="position:absolute;margin-left:0;margin-top:0;width:498.6pt;height:49.2pt;rotation:315;z-index:-25163468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F9F7" w14:textId="5466A7F2" w:rsidR="00B32D81" w:rsidRDefault="00B32D81">
    <w:pPr>
      <w:pStyle w:val="Header"/>
    </w:pPr>
    <w:r>
      <w:rPr>
        <w:noProof/>
      </w:rPr>
      <w:pict w14:anchorId="209A2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3" o:spid="_x0000_s46090" type="#_x0000_t136" style="position:absolute;margin-left:0;margin-top:0;width:498.6pt;height:49.2pt;rotation:315;z-index:-25163878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CD29" w14:textId="01AE7EEE"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5BD0D783" w14:textId="5CC95DE8" w:rsidR="00B32D81" w:rsidRDefault="00B32D81">
    <w:pPr>
      <w:pStyle w:val="Header"/>
    </w:pPr>
    <w:r>
      <w:rPr>
        <w:noProof/>
      </w:rPr>
      <w:pict w14:anchorId="6CBAF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7" o:spid="_x0000_s46094" type="#_x0000_t136" style="position:absolute;margin-left:0;margin-top:0;width:498.6pt;height:49.2pt;rotation:315;z-index:-25163059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B468" w14:textId="3701FE50" w:rsidR="00B32D81" w:rsidRDefault="00B32D81">
    <w:pPr>
      <w:pStyle w:val="Header"/>
    </w:pPr>
    <w:r>
      <w:rPr>
        <w:noProof/>
      </w:rPr>
      <w:pict w14:anchorId="52DB0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8" o:spid="_x0000_s46095" type="#_x0000_t136" style="position:absolute;margin-left:0;margin-top:0;width:498.6pt;height:49.2pt;rotation:315;z-index:-25162854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1640" w14:textId="71D39522" w:rsidR="00B32D81" w:rsidRDefault="00B32D81">
    <w:pPr>
      <w:pStyle w:val="Header"/>
    </w:pPr>
    <w:r>
      <w:rPr>
        <w:noProof/>
      </w:rPr>
      <w:pict w14:anchorId="05463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6" o:spid="_x0000_s46093" type="#_x0000_t136" style="position:absolute;margin-left:0;margin-top:0;width:498.6pt;height:49.2pt;rotation:315;z-index:-25163264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2C8E" w14:textId="51E210FD"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26FB2BAD" w14:textId="7929BE11" w:rsidR="00B32D81" w:rsidRDefault="00B32D81">
    <w:pPr>
      <w:pStyle w:val="Header"/>
    </w:pPr>
    <w:r>
      <w:rPr>
        <w:noProof/>
      </w:rPr>
      <w:pict w14:anchorId="10251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0" o:spid="_x0000_s46097" type="#_x0000_t136" style="position:absolute;margin-left:0;margin-top:0;width:498.6pt;height:49.2pt;rotation:315;z-index:-25162444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5784" w14:textId="2CA64197"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FEF2F17" w14:textId="4C4C1B6F" w:rsidR="00B32D81" w:rsidRDefault="00B32D81">
    <w:pPr>
      <w:pStyle w:val="Header"/>
    </w:pPr>
    <w:r>
      <w:rPr>
        <w:noProof/>
      </w:rPr>
      <w:pict w14:anchorId="732AC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1" o:spid="_x0000_s46098" type="#_x0000_t136" style="position:absolute;margin-left:0;margin-top:0;width:498.6pt;height:49.2pt;rotation:315;z-index:-25162240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CD4F" w14:textId="2194BB06" w:rsidR="00B32D81" w:rsidRDefault="00B32D81">
    <w:pPr>
      <w:pStyle w:val="Header"/>
    </w:pPr>
    <w:r>
      <w:rPr>
        <w:noProof/>
      </w:rPr>
      <w:pict w14:anchorId="0EF67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9" o:spid="_x0000_s46096" type="#_x0000_t136" style="position:absolute;margin-left:0;margin-top:0;width:498.6pt;height:49.2pt;rotation:315;z-index:-25162649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BFBA" w14:textId="1F386E17" w:rsidR="00B32D81" w:rsidRDefault="00B32D81">
    <w:pPr>
      <w:pStyle w:val="Header"/>
    </w:pPr>
    <w:r>
      <w:rPr>
        <w:noProof/>
      </w:rPr>
      <w:pict w14:anchorId="3186E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3" o:spid="_x0000_s46100" type="#_x0000_t136" style="position:absolute;margin-left:0;margin-top:0;width:498.6pt;height:49.2pt;rotation:315;z-index:-25161830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B6C8DE1" w:rsidR="00D75B35" w:rsidRDefault="00B32D81" w:rsidP="006B72B0">
    <w:pPr>
      <w:pStyle w:val="Header"/>
      <w:jc w:val="right"/>
      <w:rPr>
        <w:rFonts w:ascii="Times New Roman" w:hAnsi="Times New Roman"/>
        <w:i/>
        <w:lang w:val="en-US"/>
      </w:rPr>
    </w:pPr>
    <w:r>
      <w:rPr>
        <w:noProof/>
      </w:rPr>
      <w:pict w14:anchorId="3B20F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6" o:spid="_x0000_s46083" type="#_x0000_t136" style="position:absolute;left:0;text-align:left;margin-left:0;margin-top:0;width:498.6pt;height:49.2pt;rotation:315;z-index:-251653120;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0125" w14:textId="034BA044"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6E6AB34" w14:textId="194B8E33" w:rsidR="00B32D81" w:rsidRDefault="00B32D81">
    <w:pPr>
      <w:pStyle w:val="Header"/>
    </w:pPr>
    <w:r>
      <w:rPr>
        <w:noProof/>
      </w:rPr>
      <w:pict w14:anchorId="2B37D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4" o:spid="_x0000_s46101" type="#_x0000_t136" style="position:absolute;margin-left:0;margin-top:0;width:498.6pt;height:49.2pt;rotation:315;z-index:-25161625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FFBD" w14:textId="675B9DA3" w:rsidR="00B32D81" w:rsidRDefault="00B32D81">
    <w:pPr>
      <w:pStyle w:val="Header"/>
    </w:pPr>
    <w:r>
      <w:rPr>
        <w:noProof/>
      </w:rPr>
      <w:pict w14:anchorId="4381D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2" o:spid="_x0000_s46099" type="#_x0000_t136" style="position:absolute;margin-left:0;margin-top:0;width:498.6pt;height:49.2pt;rotation:315;z-index:-25162035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9CBD" w14:textId="2733EEE8"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4CE5DD25" w14:textId="74B017EB" w:rsidR="00B32D81" w:rsidRDefault="00B32D81">
    <w:pPr>
      <w:pStyle w:val="Header"/>
    </w:pPr>
    <w:r>
      <w:rPr>
        <w:noProof/>
      </w:rPr>
      <w:pict w14:anchorId="7093E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6" o:spid="_x0000_s46103" type="#_x0000_t136" style="position:absolute;margin-left:0;margin-top:0;width:498.6pt;height:49.2pt;rotation:315;z-index:-25161216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204D" w14:textId="46CA5573" w:rsidR="00B32D81" w:rsidRDefault="00B32D81">
    <w:pPr>
      <w:pStyle w:val="Header"/>
    </w:pPr>
    <w:r>
      <w:rPr>
        <w:noProof/>
      </w:rPr>
      <w:pict w14:anchorId="03A40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7" o:spid="_x0000_s46104" type="#_x0000_t136" style="position:absolute;margin-left:0;margin-top:0;width:498.6pt;height:49.2pt;rotation:315;z-index:-25161011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AE4C" w14:textId="34E84B6E" w:rsidR="00B32D81" w:rsidRDefault="00B32D81">
    <w:pPr>
      <w:pStyle w:val="Header"/>
    </w:pPr>
    <w:r>
      <w:rPr>
        <w:noProof/>
      </w:rPr>
      <w:pict w14:anchorId="04A47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5" o:spid="_x0000_s46102" type="#_x0000_t136" style="position:absolute;margin-left:0;margin-top:0;width:498.6pt;height:49.2pt;rotation:315;z-index:-25161420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3104" w14:textId="7C76A840" w:rsidR="00B32D81" w:rsidRDefault="00B32D81">
    <w:pPr>
      <w:pStyle w:val="Header"/>
    </w:pPr>
    <w:r>
      <w:rPr>
        <w:noProof/>
      </w:rPr>
      <w:pict w14:anchorId="45A59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9" o:spid="_x0000_s46106" type="#_x0000_t136" style="position:absolute;margin-left:0;margin-top:0;width:498.6pt;height:49.2pt;rotation:315;z-index:-2516060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108C" w14:textId="2597808C"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545B59C" w14:textId="7ED5AB0D" w:rsidR="00B32D81" w:rsidRDefault="00B32D81">
    <w:pPr>
      <w:pStyle w:val="Header"/>
    </w:pPr>
    <w:r>
      <w:rPr>
        <w:noProof/>
      </w:rPr>
      <w:pict w14:anchorId="7E402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0" o:spid="_x0000_s46107" type="#_x0000_t136" style="position:absolute;margin-left:0;margin-top:0;width:498.6pt;height:49.2pt;rotation:315;z-index:-25160396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11E4" w14:textId="20AB477D" w:rsidR="00B32D81" w:rsidRDefault="00B32D81">
    <w:pPr>
      <w:pStyle w:val="Header"/>
    </w:pPr>
    <w:r>
      <w:rPr>
        <w:noProof/>
      </w:rPr>
      <w:pict w14:anchorId="3A3F1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08" o:spid="_x0000_s46105" type="#_x0000_t136" style="position:absolute;margin-left:0;margin-top:0;width:498.6pt;height:49.2pt;rotation:315;z-index:-25160806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F182" w14:textId="381DB6AF"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78B87D78" w14:textId="6D90AA2F" w:rsidR="00B32D81" w:rsidRDefault="00B32D81">
    <w:pPr>
      <w:pStyle w:val="Header"/>
    </w:pPr>
    <w:r>
      <w:rPr>
        <w:noProof/>
      </w:rPr>
      <w:pict w14:anchorId="57442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2" o:spid="_x0000_s46109" type="#_x0000_t136" style="position:absolute;margin-left:0;margin-top:0;width:498.6pt;height:49.2pt;rotation:315;z-index:-2515998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301B" w14:textId="53E153D9"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072E415" w14:textId="5A82F178" w:rsidR="00B32D81" w:rsidRDefault="00B32D81">
    <w:pPr>
      <w:pStyle w:val="Header"/>
    </w:pPr>
    <w:r>
      <w:rPr>
        <w:noProof/>
      </w:rPr>
      <w:pict w14:anchorId="7B3FD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3" o:spid="_x0000_s46110" type="#_x0000_t136" style="position:absolute;margin-left:0;margin-top:0;width:498.6pt;height:49.2pt;rotation:315;z-index:-2515978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04A7" w14:textId="49B0C68F" w:rsidR="00B32D81" w:rsidRDefault="00B32D81">
    <w:pPr>
      <w:pStyle w:val="Header"/>
    </w:pPr>
    <w:r>
      <w:rPr>
        <w:noProof/>
      </w:rPr>
      <w:pict w14:anchorId="1B3B3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4" o:spid="_x0000_s46081" type="#_x0000_t136" style="position:absolute;margin-left:0;margin-top:0;width:498.6pt;height:49.2pt;rotation:315;z-index:-2516572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7778" w14:textId="5305B0AF" w:rsidR="00B32D81" w:rsidRDefault="00B32D81">
    <w:pPr>
      <w:pStyle w:val="Header"/>
    </w:pPr>
    <w:r>
      <w:rPr>
        <w:noProof/>
      </w:rPr>
      <w:pict w14:anchorId="46AF6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1" o:spid="_x0000_s46108" type="#_x0000_t136" style="position:absolute;margin-left:0;margin-top:0;width:498.6pt;height:49.2pt;rotation:315;z-index:-25160192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22BA" w14:textId="0B9F1A88"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655026C4" w14:textId="777BD84D" w:rsidR="00B32D81" w:rsidRDefault="00B32D81">
    <w:pPr>
      <w:pStyle w:val="Header"/>
    </w:pPr>
    <w:r>
      <w:rPr>
        <w:noProof/>
      </w:rPr>
      <w:pict w14:anchorId="49A26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5" o:spid="_x0000_s46112" type="#_x0000_t136" style="position:absolute;margin-left:0;margin-top:0;width:498.6pt;height:49.2pt;rotation:315;z-index:-2515937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E077" w14:textId="09EF5036" w:rsidR="00B32D81" w:rsidRDefault="00B32D81">
    <w:pPr>
      <w:pStyle w:val="Header"/>
    </w:pPr>
    <w:r>
      <w:rPr>
        <w:noProof/>
      </w:rPr>
      <w:pict w14:anchorId="1B904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6" o:spid="_x0000_s46113" type="#_x0000_t136" style="position:absolute;margin-left:0;margin-top:0;width:498.6pt;height:49.2pt;rotation:315;z-index:-2515916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5EED" w14:textId="4CAA3B4A" w:rsidR="00B32D81" w:rsidRDefault="00B32D81">
    <w:pPr>
      <w:pStyle w:val="Header"/>
    </w:pPr>
    <w:r>
      <w:rPr>
        <w:noProof/>
      </w:rPr>
      <w:pict w14:anchorId="4EAFE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514" o:spid="_x0000_s46111" type="#_x0000_t136" style="position:absolute;margin-left:0;margin-top:0;width:498.6pt;height:49.2pt;rotation:315;z-index:-25159577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DCA5" w14:textId="1CCB86AD" w:rsidR="00B32D81" w:rsidRPr="005F5C74" w:rsidRDefault="00B32D81" w:rsidP="00B32D81">
    <w:pPr>
      <w:spacing w:after="0"/>
      <w:ind w:left="1710" w:hanging="1710"/>
      <w:outlineLvl w:val="0"/>
      <w:rPr>
        <w:rFonts w:ascii="Times New Roman" w:hAnsi="Times New Roman"/>
        <w:i/>
        <w:iCs/>
        <w:sz w:val="20"/>
        <w:szCs w:val="20"/>
        <w:lang w:val="en-MY"/>
      </w:rPr>
    </w:pPr>
    <w:r>
      <w:rPr>
        <w:rFonts w:ascii="Times New Roman" w:hAnsi="Times New Roman"/>
        <w:sz w:val="20"/>
        <w:szCs w:val="20"/>
      </w:rPr>
      <w:t>S</w:t>
    </w:r>
    <w:r>
      <w:rPr>
        <w:rFonts w:ascii="Times New Roman" w:hAnsi="Times New Roman"/>
        <w:sz w:val="20"/>
        <w:szCs w:val="20"/>
      </w:rPr>
      <w:t>ivanasvaran et al</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22E4D930" w14:textId="6104A26D" w:rsidR="00B32D81" w:rsidRDefault="00B32D81">
    <w:pPr>
      <w:pStyle w:val="Header"/>
    </w:pPr>
    <w:r>
      <w:rPr>
        <w:noProof/>
      </w:rPr>
      <w:pict w14:anchorId="1925F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8" o:spid="_x0000_s46085" type="#_x0000_t136" style="position:absolute;margin-left:0;margin-top:0;width:498.6pt;height:49.2pt;rotation:315;z-index:-251649024;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8615" w14:textId="10219EA3"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29DE073" w14:textId="283955FD" w:rsidR="00B32D81" w:rsidRDefault="00B32D81">
    <w:pPr>
      <w:pStyle w:val="Header"/>
    </w:pPr>
    <w:r>
      <w:rPr>
        <w:noProof/>
      </w:rPr>
      <w:pict w14:anchorId="7D89B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9" o:spid="_x0000_s46086" type="#_x0000_t136" style="position:absolute;margin-left:0;margin-top:0;width:498.6pt;height:49.2pt;rotation:315;z-index:-25164697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C9CF" w14:textId="33665715" w:rsidR="00B32D81" w:rsidRDefault="00B32D81">
    <w:pPr>
      <w:pStyle w:val="Header"/>
    </w:pPr>
    <w:r>
      <w:rPr>
        <w:noProof/>
      </w:rPr>
      <w:pict w14:anchorId="29D03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87" o:spid="_x0000_s46084" type="#_x0000_t136" style="position:absolute;margin-left:0;margin-top:0;width:498.6pt;height:49.2pt;rotation:315;z-index:-25165107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495A" w14:textId="6ABE5E19" w:rsidR="00B32D81" w:rsidRDefault="00B32D81">
    <w:pPr>
      <w:pStyle w:val="Header"/>
    </w:pPr>
    <w:r>
      <w:rPr>
        <w:noProof/>
      </w:rPr>
      <w:pict w14:anchorId="672AA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1" o:spid="_x0000_s46088" type="#_x0000_t136" style="position:absolute;margin-left:0;margin-top:0;width:498.6pt;height:49.2pt;rotation:315;z-index:-251642880;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7FDF" w14:textId="576971BD" w:rsidR="00D77D08" w:rsidRDefault="00D77D08" w:rsidP="00D77D08">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4B08961" w14:textId="6150F61F" w:rsidR="00B32D81" w:rsidRDefault="00B32D81">
    <w:pPr>
      <w:pStyle w:val="Header"/>
    </w:pPr>
    <w:r>
      <w:rPr>
        <w:noProof/>
      </w:rPr>
      <w:pict w14:anchorId="3D117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2" o:spid="_x0000_s46089" type="#_x0000_t136" style="position:absolute;margin-left:0;margin-top:0;width:498.6pt;height:49.2pt;rotation:315;z-index:-251640832;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0B3C" w14:textId="0164094C" w:rsidR="00B32D81" w:rsidRDefault="00B32D81">
    <w:pPr>
      <w:pStyle w:val="Header"/>
    </w:pPr>
    <w:r>
      <w:rPr>
        <w:noProof/>
      </w:rPr>
      <w:pict w14:anchorId="58138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490" o:spid="_x0000_s46087" type="#_x0000_t136" style="position:absolute;margin-left:0;margin-top:0;width:498.6pt;height:49.2pt;rotation:315;z-index:-251644928;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3E365694"/>
    <w:multiLevelType w:val="multilevel"/>
    <w:tmpl w:val="618C8CF4"/>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 w15:restartNumberingAfterBreak="0">
    <w:nsid w:val="5EDA1F9B"/>
    <w:multiLevelType w:val="multilevel"/>
    <w:tmpl w:val="565687B0"/>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CE2B09"/>
    <w:multiLevelType w:val="hybridMultilevel"/>
    <w:tmpl w:val="6CBE2D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A119A5"/>
    <w:multiLevelType w:val="multilevel"/>
    <w:tmpl w:val="F5D0F740"/>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 w15:restartNumberingAfterBreak="0">
    <w:nsid w:val="742C0864"/>
    <w:multiLevelType w:val="hybridMultilevel"/>
    <w:tmpl w:val="2B3E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6114"/>
    <o:shapelayout v:ext="edit">
      <o:idmap v:ext="edit" data="4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D2BAD"/>
    <w:rsid w:val="002D73C3"/>
    <w:rsid w:val="002F1D31"/>
    <w:rsid w:val="002F3F91"/>
    <w:rsid w:val="002F55F5"/>
    <w:rsid w:val="00304767"/>
    <w:rsid w:val="00304B34"/>
    <w:rsid w:val="00307602"/>
    <w:rsid w:val="00312A6F"/>
    <w:rsid w:val="00340463"/>
    <w:rsid w:val="00352D57"/>
    <w:rsid w:val="003609F3"/>
    <w:rsid w:val="00361BAF"/>
    <w:rsid w:val="00362FCE"/>
    <w:rsid w:val="00367D1F"/>
    <w:rsid w:val="003B4FC1"/>
    <w:rsid w:val="003B6019"/>
    <w:rsid w:val="003D585B"/>
    <w:rsid w:val="003E7DA6"/>
    <w:rsid w:val="003F12FF"/>
    <w:rsid w:val="004330CD"/>
    <w:rsid w:val="004745E8"/>
    <w:rsid w:val="004760D4"/>
    <w:rsid w:val="00482180"/>
    <w:rsid w:val="00494C46"/>
    <w:rsid w:val="004B43FF"/>
    <w:rsid w:val="004C070C"/>
    <w:rsid w:val="004C7089"/>
    <w:rsid w:val="004D7E25"/>
    <w:rsid w:val="004F265B"/>
    <w:rsid w:val="00502641"/>
    <w:rsid w:val="0054578F"/>
    <w:rsid w:val="0056630A"/>
    <w:rsid w:val="005C6768"/>
    <w:rsid w:val="005D0F84"/>
    <w:rsid w:val="005E4871"/>
    <w:rsid w:val="005F5C74"/>
    <w:rsid w:val="00601C8A"/>
    <w:rsid w:val="00617AA2"/>
    <w:rsid w:val="006257E5"/>
    <w:rsid w:val="00634C25"/>
    <w:rsid w:val="0063542E"/>
    <w:rsid w:val="00637469"/>
    <w:rsid w:val="00637594"/>
    <w:rsid w:val="006416AB"/>
    <w:rsid w:val="0065373D"/>
    <w:rsid w:val="00660445"/>
    <w:rsid w:val="00664F73"/>
    <w:rsid w:val="00666974"/>
    <w:rsid w:val="006768E9"/>
    <w:rsid w:val="00687982"/>
    <w:rsid w:val="006A0AF7"/>
    <w:rsid w:val="006B3EC8"/>
    <w:rsid w:val="006B72B0"/>
    <w:rsid w:val="006C6DF2"/>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0381"/>
    <w:rsid w:val="0083587A"/>
    <w:rsid w:val="00853C5E"/>
    <w:rsid w:val="00883CC3"/>
    <w:rsid w:val="008B470E"/>
    <w:rsid w:val="008B5904"/>
    <w:rsid w:val="008C0A1E"/>
    <w:rsid w:val="008D1880"/>
    <w:rsid w:val="008D29BF"/>
    <w:rsid w:val="008E1211"/>
    <w:rsid w:val="008E5BBF"/>
    <w:rsid w:val="008E6968"/>
    <w:rsid w:val="008F45FE"/>
    <w:rsid w:val="0091237C"/>
    <w:rsid w:val="00912620"/>
    <w:rsid w:val="009211AF"/>
    <w:rsid w:val="00921742"/>
    <w:rsid w:val="009357B8"/>
    <w:rsid w:val="009866F6"/>
    <w:rsid w:val="009B0F4A"/>
    <w:rsid w:val="009B3139"/>
    <w:rsid w:val="009D030D"/>
    <w:rsid w:val="00A049C6"/>
    <w:rsid w:val="00A14DB9"/>
    <w:rsid w:val="00A42468"/>
    <w:rsid w:val="00A4762A"/>
    <w:rsid w:val="00A64690"/>
    <w:rsid w:val="00A74A7E"/>
    <w:rsid w:val="00A85E24"/>
    <w:rsid w:val="00AA43F9"/>
    <w:rsid w:val="00AD1B8A"/>
    <w:rsid w:val="00AE713F"/>
    <w:rsid w:val="00AF2305"/>
    <w:rsid w:val="00AF2821"/>
    <w:rsid w:val="00AF4494"/>
    <w:rsid w:val="00B1121C"/>
    <w:rsid w:val="00B257A4"/>
    <w:rsid w:val="00B25B65"/>
    <w:rsid w:val="00B2770A"/>
    <w:rsid w:val="00B314AD"/>
    <w:rsid w:val="00B32D81"/>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41114"/>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77D08"/>
    <w:rsid w:val="00D9736F"/>
    <w:rsid w:val="00D9792A"/>
    <w:rsid w:val="00DD0CD5"/>
    <w:rsid w:val="00DD377F"/>
    <w:rsid w:val="00DD7C38"/>
    <w:rsid w:val="00DF1E96"/>
    <w:rsid w:val="00E25547"/>
    <w:rsid w:val="00E27386"/>
    <w:rsid w:val="00E3287E"/>
    <w:rsid w:val="00E47CB4"/>
    <w:rsid w:val="00E54D12"/>
    <w:rsid w:val="00E66197"/>
    <w:rsid w:val="00F121A0"/>
    <w:rsid w:val="00F31093"/>
    <w:rsid w:val="00F318AC"/>
    <w:rsid w:val="00F33AB1"/>
    <w:rsid w:val="00F352C7"/>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114"/>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8C0A1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8C0A1E"/>
    <w:rPr>
      <w:rFonts w:eastAsia="Times New Roman"/>
      <w:sz w:val="22"/>
      <w:szCs w:val="22"/>
      <w:lang w:val="en-US" w:eastAsia="en-US" w:bidi="en-US"/>
    </w:rPr>
  </w:style>
  <w:style w:type="table" w:styleId="TableGrid">
    <w:name w:val="Table Grid"/>
    <w:basedOn w:val="TableNormal"/>
    <w:uiPriority w:val="39"/>
    <w:unhideWhenUsed/>
    <w:rsid w:val="008C0A1E"/>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C0A1E"/>
    <w:pPr>
      <w:widowControl w:val="0"/>
      <w:autoSpaceDE w:val="0"/>
      <w:autoSpaceDN w:val="0"/>
      <w:spacing w:after="0" w:line="240" w:lineRule="auto"/>
    </w:pPr>
    <w:rPr>
      <w:rFonts w:ascii="Times New Roman" w:hAnsi="Times New Roman"/>
      <w:sz w:val="24"/>
      <w:szCs w:val="24"/>
      <w:lang w:bidi="ar-SA"/>
    </w:rPr>
  </w:style>
  <w:style w:type="character" w:customStyle="1" w:styleId="BodyTextChar">
    <w:name w:val="Body Text Char"/>
    <w:basedOn w:val="DefaultParagraphFont"/>
    <w:link w:val="BodyText"/>
    <w:uiPriority w:val="1"/>
    <w:rsid w:val="008C0A1E"/>
    <w:rPr>
      <w:rFonts w:ascii="Times New Roman" w:eastAsia="Times New Roman" w:hAnsi="Times New Roman"/>
      <w:sz w:val="24"/>
      <w:szCs w:val="24"/>
      <w:lang w:val="en-US" w:eastAsia="en-US"/>
    </w:rPr>
  </w:style>
  <w:style w:type="table" w:customStyle="1" w:styleId="TableGrid31">
    <w:name w:val="Table Grid31"/>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header" Target="header20.xml"/><Relationship Id="rId47" Type="http://schemas.openxmlformats.org/officeDocument/2006/relationships/footer" Target="footer12.xml"/><Relationship Id="rId50" Type="http://schemas.openxmlformats.org/officeDocument/2006/relationships/chart" Target="charts/chart5.xml"/><Relationship Id="rId55" Type="http://schemas.openxmlformats.org/officeDocument/2006/relationships/header" Target="header28.xml"/><Relationship Id="rId63" Type="http://schemas.openxmlformats.org/officeDocument/2006/relationships/header" Target="head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2.emf"/><Relationship Id="rId37" Type="http://schemas.openxmlformats.org/officeDocument/2006/relationships/footer" Target="footer9.xml"/><Relationship Id="rId40" Type="http://schemas.openxmlformats.org/officeDocument/2006/relationships/chart" Target="charts/chart3.xml"/><Relationship Id="rId45" Type="http://schemas.openxmlformats.org/officeDocument/2006/relationships/header" Target="header22.xm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8.xml"/><Relationship Id="rId35" Type="http://schemas.openxmlformats.org/officeDocument/2006/relationships/header" Target="header16.xml"/><Relationship Id="rId43" Type="http://schemas.openxmlformats.org/officeDocument/2006/relationships/footer" Target="footer11.xml"/><Relationship Id="rId48" Type="http://schemas.openxmlformats.org/officeDocument/2006/relationships/header" Target="header24.xml"/><Relationship Id="rId56" Type="http://schemas.openxmlformats.org/officeDocument/2006/relationships/header" Target="header29.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chart" Target="charts/chart1.xml"/><Relationship Id="rId38" Type="http://schemas.openxmlformats.org/officeDocument/2006/relationships/footer" Target="footer10.xml"/><Relationship Id="rId46" Type="http://schemas.openxmlformats.org/officeDocument/2006/relationships/header" Target="header23.xml"/><Relationship Id="rId59" Type="http://schemas.openxmlformats.org/officeDocument/2006/relationships/header" Target="header30.xml"/><Relationship Id="rId20" Type="http://schemas.openxmlformats.org/officeDocument/2006/relationships/header" Target="header8.xml"/><Relationship Id="rId41" Type="http://schemas.openxmlformats.org/officeDocument/2006/relationships/header" Target="header19.xml"/><Relationship Id="rId54" Type="http://schemas.openxmlformats.org/officeDocument/2006/relationships/header" Target="header27.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chart" Target="charts/chart4.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tx1"/>
              </a:solidFill>
              <a:bevel/>
            </a:ln>
            <a:effectLst/>
          </c:spPr>
          <c:invertIfNegative val="0"/>
          <c:dLbls>
            <c:dLbl>
              <c:idx val="0"/>
              <c:layout>
                <c:manualLayout>
                  <c:x val="0"/>
                  <c:y val="-8.041817450743869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E9-4451-B77A-79ED62078915}"/>
                </c:ext>
              </c:extLst>
            </c:dLbl>
            <c:dLbl>
              <c:idx val="1"/>
              <c:layout>
                <c:manualLayout>
                  <c:x val="4.5072210319726589E-17"/>
                  <c:y val="-7.237635705669483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E9-4451-B77A-79ED62078915}"/>
                </c:ext>
              </c:extLst>
            </c:dLbl>
            <c:dLbl>
              <c:idx val="2"/>
              <c:layout>
                <c:manualLayout>
                  <c:x val="-9.0144420639453178E-17"/>
                  <c:y val="-6.8355448331322885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E9-4451-B77A-79ED62078915}"/>
                </c:ext>
              </c:extLst>
            </c:dLbl>
            <c:dLbl>
              <c:idx val="3"/>
              <c:layout>
                <c:manualLayout>
                  <c:x val="0"/>
                  <c:y val="-8.041817450743868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E9-4451-B77A-79ED62078915}"/>
                </c:ext>
              </c:extLst>
            </c:dLbl>
            <c:dLbl>
              <c:idx val="4"/>
              <c:layout>
                <c:manualLayout>
                  <c:x val="0"/>
                  <c:y val="-0.108564535585042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E9-4451-B77A-79ED6207891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1.4999999999999999E-2</c:v>
                  </c:pt>
                  <c:pt idx="1">
                    <c:v>1.6E-2</c:v>
                  </c:pt>
                  <c:pt idx="2">
                    <c:v>1.0999999999999999E-2</c:v>
                  </c:pt>
                  <c:pt idx="3">
                    <c:v>1.4E-2</c:v>
                  </c:pt>
                  <c:pt idx="4">
                    <c:v>0.02</c:v>
                  </c:pt>
                </c:numCache>
              </c:numRef>
            </c:plus>
            <c:minus>
              <c:numRef>
                <c:f>Sheet1!$C$7:$C$11</c:f>
                <c:numCache>
                  <c:formatCode>General</c:formatCode>
                  <c:ptCount val="5"/>
                  <c:pt idx="0">
                    <c:v>1.4999999999999999E-2</c:v>
                  </c:pt>
                  <c:pt idx="1">
                    <c:v>1.6E-2</c:v>
                  </c:pt>
                  <c:pt idx="2">
                    <c:v>1.0999999999999999E-2</c:v>
                  </c:pt>
                  <c:pt idx="3">
                    <c:v>1.4E-2</c:v>
                  </c:pt>
                  <c:pt idx="4">
                    <c:v>0.02</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0.122</c:v>
                </c:pt>
                <c:pt idx="1">
                  <c:v>0.115</c:v>
                </c:pt>
                <c:pt idx="2">
                  <c:v>0.109</c:v>
                </c:pt>
                <c:pt idx="3">
                  <c:v>0.105</c:v>
                </c:pt>
                <c:pt idx="4">
                  <c:v>9.7000000000000003E-2</c:v>
                </c:pt>
              </c:numCache>
            </c:numRef>
          </c:val>
          <c:extLst>
            <c:ext xmlns:c16="http://schemas.microsoft.com/office/drawing/2014/chart" uri="{C3380CC4-5D6E-409C-BE32-E72D297353CC}">
              <c16:uniqueId val="{00000005-1BE9-4451-B77A-79ED62078915}"/>
            </c:ext>
          </c:extLst>
        </c:ser>
        <c:dLbls>
          <c:dLblPos val="outEnd"/>
          <c:showLegendKey val="0"/>
          <c:showVal val="1"/>
          <c:showCatName val="0"/>
          <c:showSerName val="0"/>
          <c:showPercent val="0"/>
          <c:showBubbleSize val="0"/>
        </c:dLbls>
        <c:gapWidth val="219"/>
        <c:overlap val="-27"/>
        <c:axId val="357633640"/>
        <c:axId val="357637560"/>
      </c:barChart>
      <c:catAx>
        <c:axId val="357633640"/>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7560"/>
        <c:crossesAt val="0"/>
        <c:auto val="1"/>
        <c:lblAlgn val="ctr"/>
        <c:lblOffset val="100"/>
        <c:noMultiLvlLbl val="0"/>
      </c:catAx>
      <c:valAx>
        <c:axId val="357637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Thickness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3640"/>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2.3235895497526982E-17"/>
                  <c:y val="-4.597701149425287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1F-4D6B-8FD3-D83A6334FD7E}"/>
                </c:ext>
              </c:extLst>
            </c:dLbl>
            <c:dLbl>
              <c:idx val="1"/>
              <c:layout>
                <c:manualLayout>
                  <c:x val="0"/>
                  <c:y val="-8.3594566353187044E-2"/>
                </c:manualLayout>
              </c:layout>
              <c:tx>
                <c:rich>
                  <a:bodyPr/>
                  <a:lstStyle/>
                  <a:p>
                    <a:r>
                      <a:rPr lang="en-US"/>
                      <a:t>b</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5D1F-4D6B-8FD3-D83A6334FD7E}"/>
                </c:ext>
              </c:extLst>
            </c:dLbl>
            <c:dLbl>
              <c:idx val="2"/>
              <c:layout>
                <c:manualLayout>
                  <c:x val="-9.2943581990107929E-17"/>
                  <c:y val="-3.34378265412748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D1F-4D6B-8FD3-D83A6334FD7E}"/>
                </c:ext>
              </c:extLst>
            </c:dLbl>
            <c:dLbl>
              <c:idx val="3"/>
              <c:layout>
                <c:manualLayout>
                  <c:x val="0"/>
                  <c:y val="-2.925809822361546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D1F-4D6B-8FD3-D83A6334FD7E}"/>
                </c:ext>
              </c:extLst>
            </c:dLbl>
            <c:dLbl>
              <c:idx val="4"/>
              <c:layout>
                <c:manualLayout>
                  <c:x val="0"/>
                  <c:y val="-1.25391849529780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D1F-4D6B-8FD3-D83A6334FD7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0.69</c:v>
                  </c:pt>
                  <c:pt idx="1">
                    <c:v>1.5</c:v>
                  </c:pt>
                  <c:pt idx="2">
                    <c:v>0.59</c:v>
                  </c:pt>
                  <c:pt idx="3">
                    <c:v>0.47</c:v>
                  </c:pt>
                  <c:pt idx="4">
                    <c:v>0.28999999999999998</c:v>
                  </c:pt>
                </c:numCache>
              </c:numRef>
            </c:plus>
            <c:minus>
              <c:numRef>
                <c:f>Sheet1!$C$7:$C$11</c:f>
                <c:numCache>
                  <c:formatCode>General</c:formatCode>
                  <c:ptCount val="5"/>
                  <c:pt idx="0">
                    <c:v>0.69</c:v>
                  </c:pt>
                  <c:pt idx="1">
                    <c:v>1.5</c:v>
                  </c:pt>
                  <c:pt idx="2">
                    <c:v>0.59</c:v>
                  </c:pt>
                  <c:pt idx="3">
                    <c:v>0.47</c:v>
                  </c:pt>
                  <c:pt idx="4">
                    <c:v>0.28999999999999998</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9.68</c:v>
                </c:pt>
                <c:pt idx="1">
                  <c:v>10.5</c:v>
                </c:pt>
                <c:pt idx="2">
                  <c:v>10</c:v>
                </c:pt>
                <c:pt idx="3">
                  <c:v>9.8000000000000007</c:v>
                </c:pt>
                <c:pt idx="4">
                  <c:v>9.67</c:v>
                </c:pt>
              </c:numCache>
            </c:numRef>
          </c:val>
          <c:extLst>
            <c:ext xmlns:c16="http://schemas.microsoft.com/office/drawing/2014/chart" uri="{C3380CC4-5D6E-409C-BE32-E72D297353CC}">
              <c16:uniqueId val="{00000005-5D1F-4D6B-8FD3-D83A6334FD7E}"/>
            </c:ext>
          </c:extLst>
        </c:ser>
        <c:dLbls>
          <c:dLblPos val="outEnd"/>
          <c:showLegendKey val="0"/>
          <c:showVal val="1"/>
          <c:showCatName val="0"/>
          <c:showSerName val="0"/>
          <c:showPercent val="0"/>
          <c:showBubbleSize val="0"/>
        </c:dLbls>
        <c:gapWidth val="219"/>
        <c:overlap val="-27"/>
        <c:axId val="359514608"/>
        <c:axId val="359507944"/>
      </c:barChart>
      <c:catAx>
        <c:axId val="359514608"/>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7944"/>
        <c:crosses val="autoZero"/>
        <c:auto val="1"/>
        <c:lblAlgn val="ctr"/>
        <c:lblOffset val="100"/>
        <c:noMultiLvlLbl val="0"/>
      </c:catAx>
      <c:valAx>
        <c:axId val="35950794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4608"/>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0"/>
                  <c:y val="-6.0185185185185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F9D-4CB3-84E9-702203400263}"/>
                </c:ext>
              </c:extLst>
            </c:dLbl>
            <c:dLbl>
              <c:idx val="1"/>
              <c:layout>
                <c:manualLayout>
                  <c:x val="0"/>
                  <c:y val="-2.314814814814814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F9D-4CB3-84E9-702203400263}"/>
                </c:ext>
              </c:extLst>
            </c:dLbl>
            <c:dLbl>
              <c:idx val="2"/>
              <c:layout>
                <c:manualLayout>
                  <c:x val="-1.0185067526415994E-16"/>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F9D-4CB3-84E9-702203400263}"/>
                </c:ext>
              </c:extLst>
            </c:dLbl>
            <c:dLbl>
              <c:idx val="3"/>
              <c:layout>
                <c:manualLayout>
                  <c:x val="0"/>
                  <c:y val="-1.38888888888888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F9D-4CB3-84E9-702203400263}"/>
                </c:ext>
              </c:extLst>
            </c:dLbl>
            <c:dLbl>
              <c:idx val="4"/>
              <c:layout>
                <c:manualLayout>
                  <c:x val="-1.0185067526415994E-16"/>
                  <c:y val="-2.77777777777778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F9D-4CB3-84E9-702203400263}"/>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1.04</c:v>
                  </c:pt>
                  <c:pt idx="1">
                    <c:v>0.5</c:v>
                  </c:pt>
                  <c:pt idx="2">
                    <c:v>0.74</c:v>
                  </c:pt>
                  <c:pt idx="3">
                    <c:v>0.28999999999999998</c:v>
                  </c:pt>
                  <c:pt idx="4">
                    <c:v>0.5</c:v>
                  </c:pt>
                </c:numCache>
              </c:numRef>
            </c:plus>
            <c:minus>
              <c:numRef>
                <c:f>Sheet1!$C$7:$C$11</c:f>
                <c:numCache>
                  <c:formatCode>General</c:formatCode>
                  <c:ptCount val="5"/>
                  <c:pt idx="0">
                    <c:v>1.04</c:v>
                  </c:pt>
                  <c:pt idx="1">
                    <c:v>0.5</c:v>
                  </c:pt>
                  <c:pt idx="2">
                    <c:v>0.74</c:v>
                  </c:pt>
                  <c:pt idx="3">
                    <c:v>0.28999999999999998</c:v>
                  </c:pt>
                  <c:pt idx="4">
                    <c:v>0.5</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10.43</c:v>
                </c:pt>
                <c:pt idx="1">
                  <c:v>11</c:v>
                </c:pt>
                <c:pt idx="2">
                  <c:v>10.37</c:v>
                </c:pt>
                <c:pt idx="3">
                  <c:v>10.17</c:v>
                </c:pt>
                <c:pt idx="4">
                  <c:v>10.5</c:v>
                </c:pt>
              </c:numCache>
            </c:numRef>
          </c:val>
          <c:extLst>
            <c:ext xmlns:c16="http://schemas.microsoft.com/office/drawing/2014/chart" uri="{C3380CC4-5D6E-409C-BE32-E72D297353CC}">
              <c16:uniqueId val="{00000005-6F9D-4CB3-84E9-702203400263}"/>
            </c:ext>
          </c:extLst>
        </c:ser>
        <c:dLbls>
          <c:dLblPos val="outEnd"/>
          <c:showLegendKey val="0"/>
          <c:showVal val="1"/>
          <c:showCatName val="0"/>
          <c:showSerName val="0"/>
          <c:showPercent val="0"/>
          <c:showBubbleSize val="0"/>
        </c:dLbls>
        <c:gapWidth val="219"/>
        <c:overlap val="-27"/>
        <c:axId val="359508336"/>
        <c:axId val="359513432"/>
      </c:barChart>
      <c:catAx>
        <c:axId val="3595083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3432"/>
        <c:crosses val="autoZero"/>
        <c:auto val="1"/>
        <c:lblAlgn val="ctr"/>
        <c:lblOffset val="100"/>
        <c:noMultiLvlLbl val="0"/>
      </c:catAx>
      <c:valAx>
        <c:axId val="35951343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8336"/>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2115027829312"/>
          <c:y val="2.912764068087359E-2"/>
          <c:w val="0.82736974625888526"/>
          <c:h val="0.81083427071616043"/>
        </c:manualLayout>
      </c:layout>
      <c:lineChart>
        <c:grouping val="standard"/>
        <c:varyColors val="0"/>
        <c:ser>
          <c:idx val="0"/>
          <c:order val="0"/>
          <c:tx>
            <c:v>Control</c:v>
          </c:tx>
          <c:spPr>
            <a:ln w="19050" cap="rnd">
              <a:solidFill>
                <a:schemeClr val="tx1"/>
              </a:solidFill>
              <a:round/>
            </a:ln>
            <a:effectLst/>
          </c:spPr>
          <c:marker>
            <c:symbol val="diamond"/>
            <c:size val="6"/>
            <c:spPr>
              <a:solidFill>
                <a:schemeClr val="tx1"/>
              </a:solidFill>
              <a:ln w="19050" cap="flat">
                <a:solidFill>
                  <a:schemeClr val="tx1"/>
                </a:solidFill>
                <a:bevel/>
              </a:ln>
              <a:effectLst/>
            </c:spPr>
          </c:marker>
          <c:errBars>
            <c:errDir val="y"/>
            <c:errBarType val="both"/>
            <c:errValType val="cust"/>
            <c:noEndCap val="0"/>
            <c:plus>
              <c:numRef>
                <c:f>'[Chart 2 in Microsoft Word]Sheet1'!$B$11:$B$16</c:f>
                <c:numCache>
                  <c:formatCode>General</c:formatCode>
                  <c:ptCount val="6"/>
                  <c:pt idx="0">
                    <c:v>0.06</c:v>
                  </c:pt>
                  <c:pt idx="1">
                    <c:v>0.08</c:v>
                  </c:pt>
                  <c:pt idx="2">
                    <c:v>0.12</c:v>
                  </c:pt>
                  <c:pt idx="3">
                    <c:v>0.08</c:v>
                  </c:pt>
                  <c:pt idx="4">
                    <c:v>0.14000000000000001</c:v>
                  </c:pt>
                  <c:pt idx="5">
                    <c:v>0.08</c:v>
                  </c:pt>
                </c:numCache>
              </c:numRef>
            </c:plus>
            <c:minus>
              <c:numRef>
                <c:f>'[Chart 2 in Microsoft Word]Sheet1'!$B$11:$B$16</c:f>
                <c:numCache>
                  <c:formatCode>General</c:formatCode>
                  <c:ptCount val="6"/>
                  <c:pt idx="0">
                    <c:v>0.06</c:v>
                  </c:pt>
                  <c:pt idx="1">
                    <c:v>0.08</c:v>
                  </c:pt>
                  <c:pt idx="2">
                    <c:v>0.12</c:v>
                  </c:pt>
                  <c:pt idx="3">
                    <c:v>0.08</c:v>
                  </c:pt>
                  <c:pt idx="4">
                    <c:v>0.14000000000000001</c:v>
                  </c:pt>
                  <c:pt idx="5">
                    <c:v>0.08</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Word]Sheet1'!$C$3:$C$8</c:f>
              <c:numCache>
                <c:formatCode>General</c:formatCode>
                <c:ptCount val="6"/>
                <c:pt idx="0">
                  <c:v>5.86</c:v>
                </c:pt>
                <c:pt idx="1">
                  <c:v>6.03</c:v>
                </c:pt>
                <c:pt idx="2">
                  <c:v>6.12</c:v>
                </c:pt>
                <c:pt idx="3">
                  <c:v>6.7</c:v>
                </c:pt>
                <c:pt idx="4">
                  <c:v>6.8</c:v>
                </c:pt>
                <c:pt idx="5">
                  <c:v>6.88</c:v>
                </c:pt>
              </c:numCache>
            </c:numRef>
          </c:val>
          <c:smooth val="0"/>
          <c:extLst>
            <c:ext xmlns:c16="http://schemas.microsoft.com/office/drawing/2014/chart" uri="{C3380CC4-5D6E-409C-BE32-E72D297353CC}">
              <c16:uniqueId val="{00000000-870B-4E3C-90B9-78FE7DDDD86A}"/>
            </c:ext>
          </c:extLst>
        </c:ser>
        <c:ser>
          <c:idx val="1"/>
          <c:order val="1"/>
          <c:tx>
            <c:v>With Film</c:v>
          </c:tx>
          <c:spPr>
            <a:ln w="19050" cap="rnd">
              <a:solidFill>
                <a:schemeClr val="tx1">
                  <a:alpha val="90000"/>
                </a:schemeClr>
              </a:solidFill>
              <a:prstDash val="dash"/>
              <a:round/>
            </a:ln>
            <a:effectLst/>
          </c:spPr>
          <c:marker>
            <c:symbol val="square"/>
            <c:size val="5"/>
            <c:spPr>
              <a:solidFill>
                <a:schemeClr val="tx1"/>
              </a:solidFill>
              <a:ln w="19050" cap="sq">
                <a:solidFill>
                  <a:schemeClr val="tx1">
                    <a:alpha val="90000"/>
                  </a:schemeClr>
                </a:solidFill>
                <a:prstDash val="dash"/>
              </a:ln>
              <a:effectLst/>
            </c:spPr>
          </c:marker>
          <c:errBars>
            <c:errDir val="y"/>
            <c:errBarType val="both"/>
            <c:errValType val="cust"/>
            <c:noEndCap val="0"/>
            <c:pl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plus>
            <c:min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Word]Sheet1'!$D$3:$D$8</c:f>
              <c:numCache>
                <c:formatCode>General</c:formatCode>
                <c:ptCount val="6"/>
                <c:pt idx="0">
                  <c:v>5.86</c:v>
                </c:pt>
                <c:pt idx="1">
                  <c:v>5.42</c:v>
                </c:pt>
                <c:pt idx="2">
                  <c:v>4.67</c:v>
                </c:pt>
                <c:pt idx="3">
                  <c:v>4.08</c:v>
                </c:pt>
                <c:pt idx="4">
                  <c:v>3.98</c:v>
                </c:pt>
                <c:pt idx="5">
                  <c:v>3.72</c:v>
                </c:pt>
              </c:numCache>
            </c:numRef>
          </c:val>
          <c:smooth val="0"/>
          <c:extLst>
            <c:ext xmlns:c16="http://schemas.microsoft.com/office/drawing/2014/chart" uri="{C3380CC4-5D6E-409C-BE32-E72D297353CC}">
              <c16:uniqueId val="{00000001-870B-4E3C-90B9-78FE7DDDD86A}"/>
            </c:ext>
          </c:extLst>
        </c:ser>
        <c:dLbls>
          <c:showLegendKey val="0"/>
          <c:showVal val="0"/>
          <c:showCatName val="0"/>
          <c:showSerName val="0"/>
          <c:showPercent val="0"/>
          <c:showBubbleSize val="0"/>
        </c:dLbls>
        <c:marker val="1"/>
        <c:smooth val="0"/>
        <c:axId val="359508728"/>
        <c:axId val="359512256"/>
      </c:lineChart>
      <c:catAx>
        <c:axId val="3595087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t>Storage (day)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2256"/>
        <c:crosses val="autoZero"/>
        <c:auto val="1"/>
        <c:lblAlgn val="ctr"/>
        <c:lblOffset val="100"/>
        <c:noMultiLvlLbl val="0"/>
      </c:catAx>
      <c:valAx>
        <c:axId val="359512256"/>
        <c:scaling>
          <c:orientation val="minMax"/>
          <c:min val="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a:t>pH Value</a:t>
                </a:r>
              </a:p>
            </c:rich>
          </c:tx>
          <c:layout>
            <c:manualLayout>
              <c:xMode val="edge"/>
              <c:yMode val="edge"/>
              <c:x val="2.9684601113172542E-2"/>
              <c:y val="0.324046915678362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08728"/>
        <c:crosses val="autoZero"/>
        <c:crossBetween val="midCat"/>
      </c:valAx>
      <c:spPr>
        <a:noFill/>
        <a:ln>
          <a:solidFill>
            <a:schemeClr val="tx1"/>
          </a:solidFill>
        </a:ln>
        <a:effectLst/>
      </c:spPr>
    </c:plotArea>
    <c:legend>
      <c:legendPos val="r"/>
      <c:layout>
        <c:manualLayout>
          <c:xMode val="edge"/>
          <c:yMode val="edge"/>
          <c:x val="0.66089642319756414"/>
          <c:y val="0.62917944467467879"/>
          <c:w val="0.27855003746053081"/>
          <c:h val="0.1753391374772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8809149767589"/>
          <c:y val="2.3241903713139417E-2"/>
          <c:w val="0.82237486223862"/>
          <c:h val="0.83999695769291716"/>
        </c:manualLayout>
      </c:layout>
      <c:lineChart>
        <c:grouping val="standard"/>
        <c:varyColors val="0"/>
        <c:ser>
          <c:idx val="0"/>
          <c:order val="0"/>
          <c:tx>
            <c:v>With film</c:v>
          </c:tx>
          <c:spPr>
            <a:ln w="19050" cap="rnd">
              <a:solidFill>
                <a:schemeClr val="tx1"/>
              </a:solidFill>
              <a:prstDash val="dash"/>
              <a:round/>
            </a:ln>
            <a:effectLst/>
          </c:spPr>
          <c:marker>
            <c:symbol val="square"/>
            <c:size val="6"/>
            <c:spPr>
              <a:solidFill>
                <a:schemeClr val="tx1"/>
              </a:solidFill>
              <a:ln w="19050">
                <a:solidFill>
                  <a:schemeClr val="tx1"/>
                </a:solidFill>
                <a:prstDash val="dash"/>
              </a:ln>
              <a:effectLst/>
            </c:spPr>
          </c:marker>
          <c:errBars>
            <c:errDir val="y"/>
            <c:errBarType val="both"/>
            <c:errValType val="cust"/>
            <c:noEndCap val="0"/>
            <c:plus>
              <c:numRef>
                <c:f>'[Chart in Microsoft Word]Sheet1'!$C$10:$C$15</c:f>
                <c:numCache>
                  <c:formatCode>General</c:formatCode>
                  <c:ptCount val="6"/>
                  <c:pt idx="0">
                    <c:v>0.15</c:v>
                  </c:pt>
                  <c:pt idx="1">
                    <c:v>0.1</c:v>
                  </c:pt>
                  <c:pt idx="2">
                    <c:v>0.15</c:v>
                  </c:pt>
                  <c:pt idx="3">
                    <c:v>0.08</c:v>
                  </c:pt>
                  <c:pt idx="4">
                    <c:v>0.12</c:v>
                  </c:pt>
                  <c:pt idx="5">
                    <c:v>0.08</c:v>
                  </c:pt>
                </c:numCache>
              </c:numRef>
            </c:plus>
            <c:minus>
              <c:numRef>
                <c:f>'[Chart in Microsoft Word]Sheet1'!$C$10:$C$15</c:f>
                <c:numCache>
                  <c:formatCode>General</c:formatCode>
                  <c:ptCount val="6"/>
                  <c:pt idx="0">
                    <c:v>0.15</c:v>
                  </c:pt>
                  <c:pt idx="1">
                    <c:v>0.1</c:v>
                  </c:pt>
                  <c:pt idx="2">
                    <c:v>0.15</c:v>
                  </c:pt>
                  <c:pt idx="3">
                    <c:v>0.08</c:v>
                  </c:pt>
                  <c:pt idx="4">
                    <c:v>0.12</c:v>
                  </c:pt>
                  <c:pt idx="5">
                    <c:v>0.08</c:v>
                  </c:pt>
                </c:numCache>
              </c:numRef>
            </c:minus>
            <c:spPr>
              <a:noFill/>
              <a:ln w="9525" cap="flat" cmpd="sng" algn="ctr">
                <a:solidFill>
                  <a:schemeClr val="tx1"/>
                </a:solidFill>
                <a:round/>
              </a:ln>
              <a:effectLst/>
            </c:spPr>
          </c:errBars>
          <c:cat>
            <c:numRef>
              <c:f>'[Chart in Microsoft Word]Sheet1'!$A$2:$A$7</c:f>
              <c:numCache>
                <c:formatCode>General</c:formatCode>
                <c:ptCount val="6"/>
                <c:pt idx="0">
                  <c:v>0</c:v>
                </c:pt>
                <c:pt idx="1">
                  <c:v>3</c:v>
                </c:pt>
                <c:pt idx="2">
                  <c:v>6</c:v>
                </c:pt>
                <c:pt idx="3">
                  <c:v>9</c:v>
                </c:pt>
                <c:pt idx="4">
                  <c:v>12</c:v>
                </c:pt>
                <c:pt idx="5">
                  <c:v>15</c:v>
                </c:pt>
              </c:numCache>
            </c:numRef>
          </c:cat>
          <c:val>
            <c:numRef>
              <c:f>'[Chart in Microsoft Word]Sheet1'!$C$2:$C$7</c:f>
              <c:numCache>
                <c:formatCode>General</c:formatCode>
                <c:ptCount val="6"/>
                <c:pt idx="0">
                  <c:v>3.48</c:v>
                </c:pt>
                <c:pt idx="1">
                  <c:v>3.98</c:v>
                </c:pt>
                <c:pt idx="2">
                  <c:v>4.5999999999999996</c:v>
                </c:pt>
                <c:pt idx="3">
                  <c:v>5.39</c:v>
                </c:pt>
                <c:pt idx="4">
                  <c:v>5.73</c:v>
                </c:pt>
                <c:pt idx="5">
                  <c:v>6.1</c:v>
                </c:pt>
              </c:numCache>
            </c:numRef>
          </c:val>
          <c:smooth val="0"/>
          <c:extLst>
            <c:ext xmlns:c16="http://schemas.microsoft.com/office/drawing/2014/chart" uri="{C3380CC4-5D6E-409C-BE32-E72D297353CC}">
              <c16:uniqueId val="{00000000-25F0-4579-9436-7F034FC3975E}"/>
            </c:ext>
          </c:extLst>
        </c:ser>
        <c:ser>
          <c:idx val="2"/>
          <c:order val="1"/>
          <c:tx>
            <c:v>Control</c:v>
          </c:tx>
          <c:spPr>
            <a:ln w="19050" cap="rnd">
              <a:solidFill>
                <a:schemeClr val="tx1"/>
              </a:solidFill>
              <a:round/>
              <a:tailEnd type="none" w="lg" len="lg"/>
            </a:ln>
            <a:effectLst/>
          </c:spPr>
          <c:marker>
            <c:symbol val="diamond"/>
            <c:size val="8"/>
            <c:spPr>
              <a:solidFill>
                <a:schemeClr val="tx1"/>
              </a:solidFill>
              <a:ln w="19050" cap="rnd">
                <a:solidFill>
                  <a:schemeClr val="tx1"/>
                </a:solidFill>
                <a:round/>
                <a:headEnd type="diamond" w="lg" len="lg"/>
                <a:tailEnd type="diamond" w="lg" len="lg"/>
              </a:ln>
              <a:effectLst/>
            </c:spPr>
          </c:marker>
          <c:errBars>
            <c:errDir val="y"/>
            <c:errBarType val="both"/>
            <c:errValType val="cust"/>
            <c:noEndCap val="0"/>
            <c:plus>
              <c:numRef>
                <c:f>'[Chart in Microsoft Word]Sheet1'!$B$10:$B$15</c:f>
                <c:numCache>
                  <c:formatCode>General</c:formatCode>
                  <c:ptCount val="6"/>
                  <c:pt idx="0">
                    <c:v>0.15</c:v>
                  </c:pt>
                  <c:pt idx="1">
                    <c:v>0.12</c:v>
                  </c:pt>
                  <c:pt idx="2">
                    <c:v>0.1</c:v>
                  </c:pt>
                  <c:pt idx="3">
                    <c:v>0.15</c:v>
                  </c:pt>
                  <c:pt idx="4">
                    <c:v>0.08</c:v>
                  </c:pt>
                  <c:pt idx="5">
                    <c:v>0.08</c:v>
                  </c:pt>
                </c:numCache>
              </c:numRef>
            </c:plus>
            <c:minus>
              <c:numRef>
                <c:f>'[Chart in Microsoft Word]Sheet1'!$B$10:$B$15</c:f>
                <c:numCache>
                  <c:formatCode>General</c:formatCode>
                  <c:ptCount val="6"/>
                  <c:pt idx="0">
                    <c:v>0.15</c:v>
                  </c:pt>
                  <c:pt idx="1">
                    <c:v>0.12</c:v>
                  </c:pt>
                  <c:pt idx="2">
                    <c:v>0.1</c:v>
                  </c:pt>
                  <c:pt idx="3">
                    <c:v>0.15</c:v>
                  </c:pt>
                  <c:pt idx="4">
                    <c:v>0.08</c:v>
                  </c:pt>
                  <c:pt idx="5">
                    <c:v>0.08</c:v>
                  </c:pt>
                </c:numCache>
              </c:numRef>
            </c:minus>
            <c:spPr>
              <a:noFill/>
              <a:ln w="9525" cap="flat" cmpd="sng" algn="ctr">
                <a:solidFill>
                  <a:schemeClr val="tx1"/>
                </a:solidFill>
                <a:round/>
                <a:headEnd w="med" len="med"/>
              </a:ln>
              <a:effectLst/>
            </c:spPr>
          </c:errBars>
          <c:val>
            <c:numRef>
              <c:f>'[Chart in Microsoft Word]Sheet1'!$B$2:$B$7</c:f>
              <c:numCache>
                <c:formatCode>General</c:formatCode>
                <c:ptCount val="6"/>
                <c:pt idx="0">
                  <c:v>3.48</c:v>
                </c:pt>
                <c:pt idx="1">
                  <c:v>5.03</c:v>
                </c:pt>
                <c:pt idx="2">
                  <c:v>6.09</c:v>
                </c:pt>
                <c:pt idx="3">
                  <c:v>7.68</c:v>
                </c:pt>
                <c:pt idx="4">
                  <c:v>7.99</c:v>
                </c:pt>
                <c:pt idx="5">
                  <c:v>8.17</c:v>
                </c:pt>
              </c:numCache>
            </c:numRef>
          </c:val>
          <c:smooth val="0"/>
          <c:extLst>
            <c:ext xmlns:c16="http://schemas.microsoft.com/office/drawing/2014/chart" uri="{C3380CC4-5D6E-409C-BE32-E72D297353CC}">
              <c16:uniqueId val="{00000001-25F0-4579-9436-7F034FC3975E}"/>
            </c:ext>
          </c:extLst>
        </c:ser>
        <c:dLbls>
          <c:showLegendKey val="0"/>
          <c:showVal val="0"/>
          <c:showCatName val="0"/>
          <c:showSerName val="0"/>
          <c:showPercent val="0"/>
          <c:showBubbleSize val="0"/>
        </c:dLbls>
        <c:marker val="1"/>
        <c:smooth val="0"/>
        <c:axId val="359510296"/>
        <c:axId val="359511080"/>
      </c:lineChart>
      <c:catAx>
        <c:axId val="359510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Storage (day)</a:t>
                </a:r>
              </a:p>
            </c:rich>
          </c:tx>
          <c:layout>
            <c:manualLayout>
              <c:xMode val="edge"/>
              <c:yMode val="edge"/>
              <c:x val="0.44410745351350617"/>
              <c:y val="0.941812101160948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1080"/>
        <c:crosses val="autoZero"/>
        <c:auto val="1"/>
        <c:lblAlgn val="ctr"/>
        <c:lblOffset val="100"/>
        <c:noMultiLvlLbl val="0"/>
      </c:catAx>
      <c:valAx>
        <c:axId val="359511080"/>
        <c:scaling>
          <c:orientation val="minMax"/>
          <c:min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a:t>Total plate count (log cfu/g)</a:t>
                </a:r>
              </a:p>
            </c:rich>
          </c:tx>
          <c:layout>
            <c:manualLayout>
              <c:xMode val="edge"/>
              <c:yMode val="edge"/>
              <c:x val="1.347968024026488E-2"/>
              <c:y val="0.213477218034010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0296"/>
        <c:crosses val="autoZero"/>
        <c:crossBetween val="midCat"/>
      </c:valAx>
      <c:spPr>
        <a:noFill/>
        <a:ln>
          <a:solidFill>
            <a:schemeClr val="tx1"/>
          </a:solidFill>
        </a:ln>
        <a:effectLst/>
      </c:spPr>
    </c:plotArea>
    <c:legend>
      <c:legendPos val="r"/>
      <c:layout>
        <c:manualLayout>
          <c:xMode val="edge"/>
          <c:yMode val="edge"/>
          <c:x val="0.68608924622820577"/>
          <c:y val="0.6106154769489095"/>
          <c:w val="0.2308165208826618"/>
          <c:h val="0.147814141477419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chemeClr val="tx1"/>
      </a:solid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0.10753</cdr:x>
      <cdr:y>0.44223</cdr:y>
    </cdr:from>
    <cdr:to>
      <cdr:x>0.98647</cdr:x>
      <cdr:y>0.44355</cdr:y>
    </cdr:to>
    <cdr:cxnSp macro="">
      <cdr:nvCxnSpPr>
        <cdr:cNvPr id="3" name="Straight Connector 2"/>
        <cdr:cNvCxnSpPr/>
      </cdr:nvCxnSpPr>
      <cdr:spPr>
        <a:xfrm xmlns:a="http://schemas.openxmlformats.org/drawingml/2006/main" flipV="1">
          <a:off x="555685" y="1662152"/>
          <a:ext cx="4542037" cy="4962"/>
        </a:xfrm>
        <a:prstGeom xmlns:a="http://schemas.openxmlformats.org/drawingml/2006/main" prst="line">
          <a:avLst/>
        </a:prstGeom>
        <a:ln xmlns:a="http://schemas.openxmlformats.org/drawingml/2006/main" w="9525" cmpd="sng">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7272</Words>
  <Characters>41451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13</cp:revision>
  <dcterms:created xsi:type="dcterms:W3CDTF">2021-06-10T08:59:00Z</dcterms:created>
  <dcterms:modified xsi:type="dcterms:W3CDTF">2021-06-10T09:35:00Z</dcterms:modified>
</cp:coreProperties>
</file>