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D30D735"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BE5F5F" w:rsidRPr="001E55BE">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9C3305">
        <w:rPr>
          <w:rFonts w:ascii="Times New Roman" w:hAnsi="Times New Roman" w:cs="Times New Roman"/>
          <w:b/>
          <w:i/>
          <w:sz w:val="24"/>
          <w:szCs w:val="24"/>
        </w:rPr>
        <w:t>3</w:t>
      </w:r>
      <w:r w:rsidR="00F437F2">
        <w:rPr>
          <w:rFonts w:ascii="Times New Roman" w:hAnsi="Times New Roman" w:cs="Times New Roman"/>
          <w:b/>
          <w:i/>
          <w:sz w:val="24"/>
          <w:szCs w:val="24"/>
        </w:rPr>
        <w:t>52</w:t>
      </w:r>
      <w:r w:rsidR="001E55BE" w:rsidRPr="001E55BE">
        <w:rPr>
          <w:rFonts w:ascii="Times New Roman" w:hAnsi="Times New Roman" w:cs="Times New Roman"/>
          <w:b/>
          <w:i/>
          <w:sz w:val="24"/>
          <w:szCs w:val="24"/>
        </w:rPr>
        <w:t xml:space="preserve"> - </w:t>
      </w:r>
      <w:r w:rsidR="009C3305">
        <w:rPr>
          <w:rFonts w:ascii="Times New Roman" w:hAnsi="Times New Roman" w:cs="Times New Roman"/>
          <w:b/>
          <w:i/>
          <w:sz w:val="24"/>
          <w:szCs w:val="24"/>
        </w:rPr>
        <w:t>3</w:t>
      </w:r>
      <w:r w:rsidR="00F437F2">
        <w:rPr>
          <w:rFonts w:ascii="Times New Roman" w:hAnsi="Times New Roman" w:cs="Times New Roman"/>
          <w:b/>
          <w:i/>
          <w:sz w:val="24"/>
          <w:szCs w:val="24"/>
        </w:rPr>
        <w:t>62</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5EEB7931" w14:textId="77777777" w:rsidR="00AF0809" w:rsidRPr="00D37CFC" w:rsidRDefault="00AF0809" w:rsidP="00AF0809">
      <w:pPr>
        <w:tabs>
          <w:tab w:val="left" w:pos="7230"/>
        </w:tabs>
        <w:spacing w:after="0"/>
        <w:jc w:val="center"/>
        <w:rPr>
          <w:rFonts w:ascii="Times New Roman" w:hAnsi="Times New Roman"/>
          <w:sz w:val="28"/>
          <w:szCs w:val="28"/>
        </w:rPr>
      </w:pPr>
      <w:r w:rsidRPr="00D37CFC">
        <w:rPr>
          <w:rFonts w:ascii="Times New Roman" w:hAnsi="Times New Roman"/>
          <w:sz w:val="28"/>
          <w:szCs w:val="28"/>
        </w:rPr>
        <w:t>DETERMINATION OF METSULFURON METHYL IN CRUDE PALM OIL USING LIQUID CHROMATOGRAPHY TRIPLE QUADRUPOLE MASS SPECTROMETER</w:t>
      </w:r>
    </w:p>
    <w:p w14:paraId="0A95424B" w14:textId="77777777" w:rsidR="00AF0809" w:rsidRPr="00D15C31" w:rsidRDefault="00AF0809" w:rsidP="00AF0809">
      <w:pPr>
        <w:tabs>
          <w:tab w:val="left" w:pos="7230"/>
        </w:tabs>
        <w:spacing w:after="0"/>
        <w:jc w:val="center"/>
        <w:rPr>
          <w:rFonts w:ascii="Times New Roman" w:hAnsi="Times New Roman"/>
          <w:sz w:val="24"/>
          <w:szCs w:val="24"/>
        </w:rPr>
      </w:pPr>
    </w:p>
    <w:p w14:paraId="1B1CE388" w14:textId="77777777" w:rsidR="00AF0809" w:rsidRPr="00D15C31" w:rsidRDefault="00AF0809" w:rsidP="00AF0809">
      <w:pPr>
        <w:tabs>
          <w:tab w:val="left" w:pos="7230"/>
        </w:tabs>
        <w:spacing w:after="0"/>
        <w:jc w:val="center"/>
        <w:rPr>
          <w:rFonts w:ascii="Times New Roman" w:hAnsi="Times New Roman"/>
          <w:sz w:val="24"/>
          <w:szCs w:val="24"/>
        </w:rPr>
      </w:pPr>
      <w:r w:rsidRPr="00D15C31">
        <w:rPr>
          <w:rFonts w:ascii="Times New Roman" w:hAnsi="Times New Roman"/>
          <w:sz w:val="24"/>
          <w:szCs w:val="24"/>
        </w:rPr>
        <w:t>(</w:t>
      </w:r>
      <w:r w:rsidRPr="00D15C31">
        <w:rPr>
          <w:rFonts w:ascii="Times New Roman" w:hAnsi="Times New Roman"/>
          <w:noProof/>
          <w:sz w:val="24"/>
          <w:szCs w:val="24"/>
          <w:lang w:val="ms-MY"/>
        </w:rPr>
        <w:t>Penentuan Metsulfuron Metil dalam Minyak Sawit Mentah Menggunakan Kromatografi Cecair Spektrometri Jisim Caturkutub Ganda Tiga</w:t>
      </w:r>
      <w:r w:rsidRPr="00D15C31">
        <w:rPr>
          <w:rFonts w:ascii="Times New Roman" w:hAnsi="Times New Roman"/>
          <w:sz w:val="24"/>
          <w:szCs w:val="24"/>
        </w:rPr>
        <w:t>)</w:t>
      </w:r>
    </w:p>
    <w:p w14:paraId="3E51994B" w14:textId="77777777" w:rsidR="00AF0809" w:rsidRPr="00D15C31" w:rsidRDefault="00AF0809" w:rsidP="00AF0809">
      <w:pPr>
        <w:tabs>
          <w:tab w:val="left" w:pos="7230"/>
        </w:tabs>
        <w:spacing w:after="0"/>
        <w:jc w:val="center"/>
        <w:rPr>
          <w:rFonts w:ascii="Times New Roman" w:hAnsi="Times New Roman"/>
          <w:sz w:val="20"/>
          <w:szCs w:val="20"/>
        </w:rPr>
      </w:pPr>
    </w:p>
    <w:p w14:paraId="5B72B79F" w14:textId="77777777" w:rsidR="00AF0809" w:rsidRPr="00D15C31" w:rsidRDefault="00AF0809" w:rsidP="00AF0809">
      <w:pPr>
        <w:spacing w:after="0"/>
        <w:jc w:val="center"/>
        <w:rPr>
          <w:rFonts w:ascii="Times New Roman" w:hAnsi="Times New Roman"/>
          <w:sz w:val="20"/>
          <w:szCs w:val="20"/>
        </w:rPr>
      </w:pPr>
      <w:r w:rsidRPr="00D15C31">
        <w:rPr>
          <w:rFonts w:ascii="Times New Roman" w:hAnsi="Times New Roman"/>
          <w:sz w:val="20"/>
          <w:szCs w:val="20"/>
        </w:rPr>
        <w:t>Nik Sasha Khatrina Khairuddin</w:t>
      </w:r>
      <w:r w:rsidRPr="00D15C31">
        <w:rPr>
          <w:rFonts w:ascii="Times New Roman" w:hAnsi="Times New Roman"/>
          <w:sz w:val="20"/>
          <w:szCs w:val="20"/>
          <w:vertAlign w:val="superscript"/>
        </w:rPr>
        <w:t>1</w:t>
      </w:r>
      <w:r w:rsidRPr="00D15C31">
        <w:rPr>
          <w:rFonts w:ascii="Times New Roman" w:hAnsi="Times New Roman"/>
          <w:sz w:val="20"/>
          <w:szCs w:val="20"/>
        </w:rPr>
        <w:t>*, Chee Beng Yeoh</w:t>
      </w:r>
      <w:r w:rsidRPr="00D15C31">
        <w:rPr>
          <w:rFonts w:ascii="Times New Roman" w:hAnsi="Times New Roman"/>
          <w:sz w:val="20"/>
          <w:szCs w:val="20"/>
          <w:vertAlign w:val="superscript"/>
        </w:rPr>
        <w:t>1</w:t>
      </w:r>
      <w:r w:rsidRPr="00D15C31">
        <w:rPr>
          <w:rFonts w:ascii="Times New Roman" w:hAnsi="Times New Roman"/>
          <w:sz w:val="20"/>
          <w:szCs w:val="20"/>
        </w:rPr>
        <w:t>, Najwa Sulaiman</w:t>
      </w:r>
      <w:r w:rsidRPr="00D15C31">
        <w:rPr>
          <w:rFonts w:ascii="Times New Roman" w:hAnsi="Times New Roman"/>
          <w:sz w:val="20"/>
          <w:szCs w:val="20"/>
          <w:vertAlign w:val="superscript"/>
        </w:rPr>
        <w:t>1</w:t>
      </w:r>
      <w:r w:rsidRPr="00D15C31">
        <w:rPr>
          <w:rFonts w:ascii="Times New Roman" w:hAnsi="Times New Roman"/>
          <w:sz w:val="20"/>
          <w:szCs w:val="20"/>
        </w:rPr>
        <w:t>, Farah Khuwailah Ahmad Bustamam</w:t>
      </w:r>
      <w:r w:rsidRPr="00D15C31">
        <w:rPr>
          <w:rFonts w:ascii="Times New Roman" w:hAnsi="Times New Roman"/>
          <w:sz w:val="20"/>
          <w:szCs w:val="20"/>
          <w:vertAlign w:val="superscript"/>
        </w:rPr>
        <w:t>1</w:t>
      </w:r>
      <w:r w:rsidRPr="00D15C31">
        <w:rPr>
          <w:rFonts w:ascii="Times New Roman" w:hAnsi="Times New Roman"/>
          <w:sz w:val="20"/>
          <w:szCs w:val="20"/>
        </w:rPr>
        <w:t>, Halimah Muhamad</w:t>
      </w:r>
      <w:r w:rsidRPr="00D15C31">
        <w:rPr>
          <w:rFonts w:ascii="Times New Roman" w:hAnsi="Times New Roman"/>
          <w:sz w:val="20"/>
          <w:szCs w:val="20"/>
          <w:vertAlign w:val="superscript"/>
        </w:rPr>
        <w:t>1</w:t>
      </w:r>
      <w:r w:rsidRPr="00D15C31">
        <w:rPr>
          <w:rFonts w:ascii="Times New Roman" w:hAnsi="Times New Roman"/>
          <w:sz w:val="20"/>
          <w:szCs w:val="20"/>
        </w:rPr>
        <w:t>, Ismail Sahid</w:t>
      </w:r>
      <w:r w:rsidRPr="00D15C31">
        <w:rPr>
          <w:rFonts w:ascii="Times New Roman" w:hAnsi="Times New Roman"/>
          <w:sz w:val="20"/>
          <w:szCs w:val="20"/>
          <w:vertAlign w:val="superscript"/>
        </w:rPr>
        <w:t>2</w:t>
      </w:r>
    </w:p>
    <w:p w14:paraId="5AFB45BF" w14:textId="77777777" w:rsidR="00AF0809" w:rsidRPr="00AF0809" w:rsidRDefault="00AF0809" w:rsidP="00AF0809">
      <w:pPr>
        <w:spacing w:after="0"/>
        <w:jc w:val="center"/>
        <w:rPr>
          <w:rFonts w:ascii="Times New Roman" w:hAnsi="Times New Roman"/>
          <w:sz w:val="20"/>
          <w:szCs w:val="20"/>
        </w:rPr>
      </w:pPr>
    </w:p>
    <w:p w14:paraId="74AF9B4E" w14:textId="77777777" w:rsidR="00AF0809" w:rsidRPr="00AF0809" w:rsidRDefault="00AF0809" w:rsidP="00AF0809">
      <w:pPr>
        <w:spacing w:after="0"/>
        <w:jc w:val="center"/>
        <w:rPr>
          <w:rFonts w:ascii="Times New Roman" w:hAnsi="Times New Roman"/>
          <w:i/>
          <w:sz w:val="20"/>
          <w:szCs w:val="20"/>
        </w:rPr>
      </w:pPr>
      <w:r w:rsidRPr="00AF0809">
        <w:rPr>
          <w:rFonts w:ascii="Times New Roman" w:hAnsi="Times New Roman"/>
          <w:i/>
          <w:sz w:val="20"/>
          <w:szCs w:val="20"/>
          <w:vertAlign w:val="superscript"/>
        </w:rPr>
        <w:t>1</w:t>
      </w:r>
      <w:r w:rsidRPr="00AF0809">
        <w:rPr>
          <w:rFonts w:ascii="Times New Roman" w:hAnsi="Times New Roman"/>
          <w:i/>
          <w:sz w:val="20"/>
          <w:szCs w:val="20"/>
        </w:rPr>
        <w:t xml:space="preserve">Malaysian Palm Oil Board, </w:t>
      </w:r>
    </w:p>
    <w:p w14:paraId="0FE60742" w14:textId="77777777" w:rsidR="00AF0809" w:rsidRPr="00AF0809" w:rsidRDefault="00AF0809" w:rsidP="00AF0809">
      <w:pPr>
        <w:spacing w:after="0"/>
        <w:jc w:val="center"/>
        <w:rPr>
          <w:rFonts w:ascii="Times New Roman" w:hAnsi="Times New Roman"/>
          <w:i/>
          <w:sz w:val="20"/>
          <w:szCs w:val="20"/>
        </w:rPr>
      </w:pPr>
      <w:r w:rsidRPr="00AF0809">
        <w:rPr>
          <w:rFonts w:ascii="Times New Roman" w:hAnsi="Times New Roman"/>
          <w:i/>
          <w:sz w:val="20"/>
          <w:szCs w:val="20"/>
        </w:rPr>
        <w:t>No. 6, Persiaran Institusi, Bandar Baru Bangi, 43000 Kajang, Selangor, Malaysia</w:t>
      </w:r>
    </w:p>
    <w:p w14:paraId="06B135A3" w14:textId="77777777" w:rsidR="00AF0809" w:rsidRPr="00AF0809" w:rsidRDefault="00AF0809" w:rsidP="00AF0809">
      <w:pPr>
        <w:spacing w:after="0"/>
        <w:jc w:val="center"/>
        <w:rPr>
          <w:rFonts w:ascii="Times New Roman" w:hAnsi="Times New Roman"/>
          <w:i/>
          <w:sz w:val="20"/>
          <w:szCs w:val="20"/>
        </w:rPr>
      </w:pPr>
      <w:r w:rsidRPr="00AF0809">
        <w:rPr>
          <w:rFonts w:ascii="Times New Roman" w:hAnsi="Times New Roman"/>
          <w:i/>
          <w:sz w:val="20"/>
          <w:szCs w:val="20"/>
          <w:vertAlign w:val="superscript"/>
        </w:rPr>
        <w:t>2</w:t>
      </w:r>
      <w:r w:rsidRPr="00AF0809">
        <w:rPr>
          <w:rFonts w:ascii="Times New Roman" w:hAnsi="Times New Roman"/>
          <w:i/>
          <w:sz w:val="20"/>
          <w:szCs w:val="20"/>
        </w:rPr>
        <w:t xml:space="preserve">School of Environmental Science and Natural Resources, Faculty Science and Technology, </w:t>
      </w:r>
    </w:p>
    <w:p w14:paraId="57636CB4" w14:textId="77777777" w:rsidR="00AF0809" w:rsidRPr="00AF0809" w:rsidRDefault="00AF0809" w:rsidP="00AF0809">
      <w:pPr>
        <w:spacing w:after="0"/>
        <w:jc w:val="center"/>
        <w:rPr>
          <w:rFonts w:ascii="Times New Roman" w:hAnsi="Times New Roman"/>
          <w:i/>
          <w:sz w:val="20"/>
          <w:szCs w:val="20"/>
        </w:rPr>
      </w:pPr>
      <w:r w:rsidRPr="00AF0809">
        <w:rPr>
          <w:rFonts w:ascii="Times New Roman" w:hAnsi="Times New Roman"/>
          <w:i/>
          <w:sz w:val="20"/>
          <w:szCs w:val="20"/>
        </w:rPr>
        <w:t>Universiti Kebangsaan Malaysia, 43600 Bangi, Selangor, Malaysia.</w:t>
      </w:r>
    </w:p>
    <w:p w14:paraId="1C4E21F7" w14:textId="77777777" w:rsidR="00AF0809" w:rsidRPr="00AF0809" w:rsidRDefault="00AF0809" w:rsidP="00AF0809">
      <w:pPr>
        <w:spacing w:after="0"/>
        <w:jc w:val="center"/>
        <w:rPr>
          <w:rFonts w:ascii="Times New Roman" w:hAnsi="Times New Roman"/>
          <w:i/>
          <w:sz w:val="20"/>
          <w:szCs w:val="20"/>
        </w:rPr>
      </w:pPr>
    </w:p>
    <w:p w14:paraId="7C79BBC5" w14:textId="77777777" w:rsidR="00AF0809" w:rsidRPr="00AF0809" w:rsidRDefault="00AF0809" w:rsidP="00AF0809">
      <w:pPr>
        <w:spacing w:after="0"/>
        <w:jc w:val="center"/>
        <w:rPr>
          <w:rFonts w:ascii="Times New Roman" w:hAnsi="Times New Roman"/>
          <w:i/>
          <w:sz w:val="20"/>
          <w:szCs w:val="20"/>
        </w:rPr>
      </w:pPr>
      <w:r w:rsidRPr="00AF0809">
        <w:rPr>
          <w:rFonts w:ascii="Times New Roman" w:hAnsi="Times New Roman"/>
          <w:i/>
          <w:sz w:val="20"/>
          <w:szCs w:val="20"/>
        </w:rPr>
        <w:t>*Corresponding author:  sashakhatrina@mpob.gov.my</w:t>
      </w:r>
    </w:p>
    <w:p w14:paraId="652579DD" w14:textId="77777777" w:rsidR="00AF0809" w:rsidRPr="00AF0809" w:rsidRDefault="00AF0809" w:rsidP="00AF0809">
      <w:pPr>
        <w:spacing w:after="0"/>
        <w:jc w:val="center"/>
        <w:rPr>
          <w:rFonts w:ascii="Times New Roman" w:hAnsi="Times New Roman"/>
          <w:noProof/>
          <w:sz w:val="20"/>
          <w:szCs w:val="20"/>
        </w:rPr>
      </w:pPr>
    </w:p>
    <w:p w14:paraId="69C0F284" w14:textId="77777777" w:rsidR="00AF0809" w:rsidRPr="00AF0809" w:rsidRDefault="00AF0809" w:rsidP="00AF0809">
      <w:pPr>
        <w:spacing w:after="0"/>
        <w:jc w:val="center"/>
        <w:rPr>
          <w:rFonts w:ascii="Times New Roman" w:hAnsi="Times New Roman"/>
          <w:noProof/>
          <w:sz w:val="20"/>
          <w:szCs w:val="20"/>
        </w:rPr>
      </w:pPr>
    </w:p>
    <w:p w14:paraId="2A24ACFD" w14:textId="77777777" w:rsidR="00AF0809" w:rsidRPr="00AF0809" w:rsidRDefault="00AF0809" w:rsidP="00AF0809">
      <w:pPr>
        <w:spacing w:after="0"/>
        <w:jc w:val="center"/>
        <w:rPr>
          <w:rFonts w:ascii="Times New Roman" w:hAnsi="Times New Roman"/>
          <w:noProof/>
          <w:sz w:val="20"/>
          <w:szCs w:val="20"/>
        </w:rPr>
      </w:pPr>
      <w:r w:rsidRPr="00AF0809">
        <w:rPr>
          <w:rFonts w:ascii="Times New Roman" w:hAnsi="Times New Roman"/>
          <w:noProof/>
          <w:sz w:val="20"/>
          <w:szCs w:val="20"/>
        </w:rPr>
        <w:t>Received: 23 December 2020 ; Accepted: 16 February 2021; Published:  25 April 2021</w:t>
      </w:r>
    </w:p>
    <w:p w14:paraId="5C0D2320" w14:textId="77777777" w:rsidR="00AF0809" w:rsidRPr="00AF0809" w:rsidRDefault="00AF0809" w:rsidP="00AF0809">
      <w:pPr>
        <w:spacing w:after="0"/>
        <w:jc w:val="center"/>
        <w:rPr>
          <w:rFonts w:ascii="Times New Roman" w:hAnsi="Times New Roman"/>
          <w:noProof/>
          <w:sz w:val="20"/>
          <w:szCs w:val="20"/>
        </w:rPr>
      </w:pPr>
    </w:p>
    <w:p w14:paraId="7F096BD2" w14:textId="77777777" w:rsidR="00AF0809" w:rsidRPr="00AF0809" w:rsidRDefault="00AF0809" w:rsidP="00AF0809">
      <w:pPr>
        <w:spacing w:after="0"/>
        <w:jc w:val="center"/>
        <w:rPr>
          <w:rFonts w:ascii="Times New Roman" w:hAnsi="Times New Roman"/>
          <w:noProof/>
          <w:sz w:val="20"/>
          <w:szCs w:val="20"/>
        </w:rPr>
      </w:pPr>
    </w:p>
    <w:p w14:paraId="277A5864" w14:textId="77777777" w:rsidR="00AF0809" w:rsidRPr="00AF0809" w:rsidRDefault="00AF0809" w:rsidP="00AF0809">
      <w:pPr>
        <w:spacing w:after="0"/>
        <w:jc w:val="center"/>
        <w:rPr>
          <w:rFonts w:ascii="Times New Roman" w:hAnsi="Times New Roman"/>
          <w:b/>
          <w:noProof/>
          <w:sz w:val="20"/>
          <w:szCs w:val="20"/>
        </w:rPr>
      </w:pPr>
      <w:r w:rsidRPr="00AF0809">
        <w:rPr>
          <w:rFonts w:ascii="Times New Roman" w:hAnsi="Times New Roman"/>
          <w:b/>
          <w:noProof/>
          <w:sz w:val="20"/>
          <w:szCs w:val="20"/>
        </w:rPr>
        <w:t>Abstract</w:t>
      </w:r>
    </w:p>
    <w:p w14:paraId="1B9DCCF9" w14:textId="77777777" w:rsidR="00AF0809" w:rsidRPr="00AF0809" w:rsidRDefault="00AF0809" w:rsidP="00AF0809">
      <w:pPr>
        <w:spacing w:after="0"/>
        <w:jc w:val="both"/>
        <w:rPr>
          <w:rFonts w:ascii="Times New Roman" w:hAnsi="Times New Roman"/>
          <w:sz w:val="20"/>
          <w:szCs w:val="20"/>
        </w:rPr>
      </w:pPr>
      <w:r w:rsidRPr="00AF0809">
        <w:rPr>
          <w:rFonts w:ascii="Times New Roman" w:hAnsi="Times New Roman"/>
          <w:sz w:val="20"/>
          <w:szCs w:val="20"/>
        </w:rPr>
        <w:t>A simple and fast method for the determination of metsulfuron methyl (MSM) in crude palm oil (CPO) was developed and validated in-house. The analytical method developed involved a liquid-liquid extraction of MSM with the incorporation of a heating step that has been found to enhance the extraction efficiency and stability. This is followed by clean-up using solid phase extraction (SPE), concentration and reconstitution of the analyte prior to injection into the liquid chromatography triple quadrupole mass spectrometer (LC/MS/MS). Using this method, good linearity with good coefficient correlation (r</w:t>
      </w:r>
      <w:r w:rsidRPr="00AF0809">
        <w:rPr>
          <w:rFonts w:ascii="Times New Roman" w:hAnsi="Times New Roman"/>
          <w:sz w:val="20"/>
          <w:szCs w:val="20"/>
          <w:vertAlign w:val="superscript"/>
        </w:rPr>
        <w:t>2</w:t>
      </w:r>
      <w:r w:rsidRPr="00AF0809">
        <w:rPr>
          <w:rFonts w:ascii="Times New Roman" w:hAnsi="Times New Roman"/>
          <w:sz w:val="20"/>
          <w:szCs w:val="20"/>
        </w:rPr>
        <w:t>) of &gt;0.999 was obtained for matrix-matched calibration. Results showed that the average recoveries obtained for MSM in CPO samples at different levels of concentration (ultra-low, low, and high) are in the range between 84-98% with a relative standard deviation (RSD) of less than 5% for all samples. The limit of detection (LOD) and limit of quantification (LOQ) for analysis of residual MSM in CPO was estimated to be 1.0 and 5.0 ng/g, respectively. An experiment determining the repeatability resulted in an RSD of less than 5% for all samples and intermediate precision at spiking level at 10 ng/g and 50 ng/g showed RSD of 6.93% and 4.07%, respectively. A very low % RSD indicates good precision and suitability of this method for use in the analysis of residual MSM in CPO. Quick monitoring of Malaysian CPO was also carried out by analyzing 10 samples obtained from various mills throughout Malaysia. Results from the CPO monitoring showed that all samples were free from residual MSM.</w:t>
      </w:r>
    </w:p>
    <w:p w14:paraId="0FCD1B5E" w14:textId="77777777" w:rsidR="00AF0809" w:rsidRPr="00AF0809" w:rsidRDefault="00AF0809" w:rsidP="00AF0809">
      <w:pPr>
        <w:spacing w:after="0"/>
        <w:jc w:val="both"/>
        <w:rPr>
          <w:rFonts w:ascii="Times New Roman" w:hAnsi="Times New Roman"/>
          <w:sz w:val="20"/>
          <w:szCs w:val="20"/>
        </w:rPr>
      </w:pPr>
    </w:p>
    <w:p w14:paraId="4A9F8D62" w14:textId="77777777" w:rsidR="00AF0809" w:rsidRPr="00AF0809" w:rsidRDefault="00AF0809" w:rsidP="00AF0809">
      <w:pPr>
        <w:spacing w:after="0"/>
        <w:ind w:left="990" w:hanging="990"/>
        <w:jc w:val="both"/>
        <w:rPr>
          <w:rFonts w:ascii="Times New Roman" w:hAnsi="Times New Roman"/>
          <w:sz w:val="20"/>
          <w:szCs w:val="20"/>
        </w:rPr>
      </w:pPr>
      <w:r w:rsidRPr="00AF0809">
        <w:rPr>
          <w:rFonts w:ascii="Times New Roman" w:hAnsi="Times New Roman"/>
          <w:b/>
          <w:bCs/>
          <w:sz w:val="20"/>
          <w:szCs w:val="20"/>
        </w:rPr>
        <w:lastRenderedPageBreak/>
        <w:t>Keywords:</w:t>
      </w:r>
      <w:r w:rsidRPr="00AF0809">
        <w:rPr>
          <w:rFonts w:ascii="Times New Roman" w:hAnsi="Times New Roman"/>
          <w:sz w:val="20"/>
          <w:szCs w:val="20"/>
        </w:rPr>
        <w:t xml:space="preserve"> </w:t>
      </w:r>
      <w:r w:rsidRPr="00AF0809">
        <w:rPr>
          <w:rFonts w:ascii="Times New Roman" w:hAnsi="Times New Roman"/>
          <w:sz w:val="20"/>
          <w:szCs w:val="20"/>
        </w:rPr>
        <w:tab/>
        <w:t>method development, metsulfuron methyl, pesticides, crude palm oil, liquid chromatography triple quadrupole mass spectrometer</w:t>
      </w:r>
    </w:p>
    <w:p w14:paraId="65FFD732" w14:textId="77777777" w:rsidR="00AF0809" w:rsidRPr="00AF0809" w:rsidRDefault="00AF0809" w:rsidP="00AF0809">
      <w:pPr>
        <w:spacing w:after="0"/>
        <w:jc w:val="center"/>
        <w:rPr>
          <w:rFonts w:ascii="Times New Roman" w:hAnsi="Times New Roman"/>
          <w:sz w:val="20"/>
          <w:szCs w:val="20"/>
        </w:rPr>
      </w:pPr>
    </w:p>
    <w:p w14:paraId="22EF76E7" w14:textId="77777777" w:rsidR="00AF0809" w:rsidRPr="00AF0809" w:rsidRDefault="00AF0809" w:rsidP="00AF0809">
      <w:pPr>
        <w:spacing w:after="0"/>
        <w:jc w:val="center"/>
        <w:rPr>
          <w:rFonts w:ascii="Times New Roman" w:hAnsi="Times New Roman"/>
          <w:b/>
          <w:noProof/>
          <w:sz w:val="20"/>
          <w:szCs w:val="20"/>
          <w:lang w:val="ms-MY"/>
        </w:rPr>
      </w:pPr>
      <w:r w:rsidRPr="00AF0809">
        <w:rPr>
          <w:rFonts w:ascii="Times New Roman" w:hAnsi="Times New Roman"/>
          <w:b/>
          <w:noProof/>
          <w:sz w:val="20"/>
          <w:szCs w:val="20"/>
          <w:lang w:val="ms-MY"/>
        </w:rPr>
        <w:t>Abstrak</w:t>
      </w:r>
    </w:p>
    <w:p w14:paraId="57B1384F" w14:textId="77777777" w:rsidR="00AF0809" w:rsidRPr="00AF0809" w:rsidRDefault="00AF0809" w:rsidP="00AF0809">
      <w:pPr>
        <w:spacing w:after="0"/>
        <w:jc w:val="both"/>
        <w:rPr>
          <w:rFonts w:ascii="Times New Roman" w:hAnsi="Times New Roman"/>
          <w:noProof/>
          <w:sz w:val="20"/>
          <w:szCs w:val="20"/>
          <w:lang w:val="ms-MY"/>
        </w:rPr>
      </w:pPr>
      <w:r w:rsidRPr="00AF0809">
        <w:rPr>
          <w:rFonts w:ascii="Times New Roman" w:hAnsi="Times New Roman"/>
          <w:noProof/>
          <w:sz w:val="20"/>
          <w:szCs w:val="20"/>
          <w:lang w:val="ms-MY"/>
        </w:rPr>
        <w:t xml:space="preserve">Satu kaedah yang mudah dan pantas bagi penentuan kandungan </w:t>
      </w:r>
      <w:r w:rsidRPr="00AF0809">
        <w:rPr>
          <w:rFonts w:ascii="Times New Roman" w:hAnsi="Times New Roman"/>
          <w:iCs/>
          <w:noProof/>
          <w:sz w:val="20"/>
          <w:szCs w:val="20"/>
          <w:lang w:val="ms-MY"/>
        </w:rPr>
        <w:t>metsulfuron metil</w:t>
      </w:r>
      <w:r w:rsidRPr="00AF0809">
        <w:rPr>
          <w:rFonts w:ascii="Times New Roman" w:hAnsi="Times New Roman"/>
          <w:noProof/>
          <w:sz w:val="20"/>
          <w:szCs w:val="20"/>
          <w:lang w:val="ms-MY"/>
        </w:rPr>
        <w:t xml:space="preserve"> (MSM) dalam minyak sawit mentah telah dibangunkan dan telah ditentusahkan. Kaedah analitikal yang telah dibangunkan melibatkan kaedah pengekstrakan MSM jenis cecair-cecair, dengan penambahan langkah pemanasan yang didapati dapat meningkatkan kecekapan dan kestabilan pengekstrakan, diikuti dengan langkah pembersihan menggunakan pengekstrakan jenis fasa pepejal (SPE), serta pemekatan dan pelarutan semula analit sebelum disuntik ke dalam instrumen kromatografi cecair spektrometri jisim caturkutub ganda tiga (LC/MS/MS). Melalui kaedah ini, kelinearan dan korelasi pekali penentuan yang baik, dengan nilai (r</w:t>
      </w:r>
      <w:r w:rsidRPr="00AF0809">
        <w:rPr>
          <w:rFonts w:ascii="Times New Roman" w:hAnsi="Times New Roman"/>
          <w:noProof/>
          <w:sz w:val="20"/>
          <w:szCs w:val="20"/>
          <w:vertAlign w:val="superscript"/>
          <w:lang w:val="ms-MY"/>
        </w:rPr>
        <w:t>2</w:t>
      </w:r>
      <w:r w:rsidRPr="00AF0809">
        <w:rPr>
          <w:rFonts w:ascii="Times New Roman" w:hAnsi="Times New Roman"/>
          <w:noProof/>
          <w:sz w:val="20"/>
          <w:szCs w:val="20"/>
          <w:lang w:val="ms-MY"/>
        </w:rPr>
        <w:t>) &gt;0.999 bagi kalibrasi padanan matriks telah diperolehi. Keputusan menunjukkan purata perolehan semula yang diperolehi bagi MSM dalam sampel minyak sawit mentah pada kepekatan yang berbeza (sangat rendah, rendah dan tinggi) adalah pada julat antara 84-98% dengan nilai sisihan piawai relatif (RSD) kurang daripada 5% bagi kesemua sampel. Had pengesanan (LOD) dan had pengkuantitian (LOQ) bagi analisis sisabaki MSM dalam minyak sawit mentah masing-masing adalah 1.0 dan 5.0 ng/g. Eksperimen bagi penentuan kebolehulangan menunjukkan nilai RSD yang kurang daripada 5% untuk kesemua sampel dan kejituan pertengahan pada kepekatan 10 ng/g dan 50 ng/g menunjukkan nilai RSD masing-masing 6.93% and 4.07%. Nilai RSD yang sangat rendah menunjukkan kejituan yang baik dan kesesuaian penggunaan kaedah ini untuk analisis sisabaki MSM dalam minyak sawit mentah. Satu kajian pemantauan kandungan MSM dalam minyak sawit mentah di Malaysia juga telah dijalankan terhadap 10 sampel minyak sawit mentah yang diperolehi daripada beberapa kilang pemprosesan minyak sawit di Malaysia. Hasil keputusan pemantauan ini menunjukkan bahawa semua sampel minyak sawit mentah yang dianalisa adalah bebas dari sisabaki MSM.</w:t>
      </w:r>
    </w:p>
    <w:p w14:paraId="44CA17F9" w14:textId="77777777" w:rsidR="00AF0809" w:rsidRPr="00AF0809" w:rsidRDefault="00AF0809" w:rsidP="00AF0809">
      <w:pPr>
        <w:spacing w:after="0"/>
        <w:jc w:val="both"/>
        <w:rPr>
          <w:rFonts w:ascii="Times New Roman" w:hAnsi="Times New Roman"/>
          <w:noProof/>
          <w:sz w:val="20"/>
          <w:szCs w:val="20"/>
          <w:lang w:val="ms-MY"/>
        </w:rPr>
      </w:pPr>
    </w:p>
    <w:p w14:paraId="18068D2B" w14:textId="796A3CA2" w:rsidR="00AF0809" w:rsidRDefault="00AF0809" w:rsidP="00AF0809">
      <w:pPr>
        <w:spacing w:after="0"/>
        <w:ind w:left="1080" w:hanging="1080"/>
        <w:jc w:val="both"/>
        <w:rPr>
          <w:rFonts w:ascii="Times New Roman" w:hAnsi="Times New Roman"/>
          <w:noProof/>
          <w:sz w:val="20"/>
          <w:szCs w:val="20"/>
          <w:lang w:val="ms-MY"/>
        </w:rPr>
      </w:pPr>
      <w:r w:rsidRPr="00AF0809">
        <w:rPr>
          <w:rFonts w:ascii="Times New Roman" w:hAnsi="Times New Roman"/>
          <w:b/>
          <w:bCs/>
          <w:noProof/>
          <w:sz w:val="20"/>
          <w:szCs w:val="20"/>
          <w:lang w:val="ms-MY"/>
        </w:rPr>
        <w:t>Kata kunci:</w:t>
      </w:r>
      <w:r w:rsidRPr="00AF0809">
        <w:rPr>
          <w:rFonts w:ascii="Times New Roman" w:hAnsi="Times New Roman"/>
          <w:noProof/>
          <w:sz w:val="20"/>
          <w:szCs w:val="20"/>
          <w:lang w:val="ms-MY"/>
        </w:rPr>
        <w:t xml:space="preserve"> </w:t>
      </w:r>
      <w:r w:rsidRPr="00AF0809">
        <w:rPr>
          <w:rFonts w:ascii="Times New Roman" w:hAnsi="Times New Roman"/>
          <w:noProof/>
          <w:sz w:val="20"/>
          <w:szCs w:val="20"/>
          <w:lang w:val="ms-MY"/>
        </w:rPr>
        <w:tab/>
        <w:t>pembangunan kaedah, metsulfuron metil, pestisid, minyak sawit mentah, kromatografi cecair spektrometri jisim caturkutub ganda tiga</w:t>
      </w:r>
    </w:p>
    <w:p w14:paraId="7BA4FCCC" w14:textId="03831852" w:rsidR="00AF0809" w:rsidRDefault="00AF0809" w:rsidP="00AF0809">
      <w:pPr>
        <w:spacing w:after="0"/>
        <w:ind w:left="1080" w:hanging="1080"/>
        <w:jc w:val="both"/>
        <w:rPr>
          <w:rFonts w:ascii="Times New Roman" w:hAnsi="Times New Roman"/>
          <w:noProof/>
          <w:sz w:val="20"/>
          <w:szCs w:val="20"/>
          <w:lang w:val="ms-MY"/>
        </w:rPr>
      </w:pPr>
    </w:p>
    <w:p w14:paraId="65B56D32" w14:textId="77777777" w:rsidR="00AF0809" w:rsidRPr="00510BA6" w:rsidRDefault="00AF0809" w:rsidP="00AF0809">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7C2AF353"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Kushairi, A., Loh, S. K., Azman, I., Elina, H., Meilina, O.-A., Mohd Noor Izudin, Z. B., Razmah, G., Shamala, S. and Ahmad Parveez, G. K. (2018).  </w:t>
      </w:r>
      <w:r w:rsidRPr="00DD12BF">
        <w:rPr>
          <w:rFonts w:ascii="Times New Roman" w:hAnsi="Times New Roman"/>
          <w:i/>
          <w:iCs/>
          <w:sz w:val="20"/>
          <w:szCs w:val="20"/>
        </w:rPr>
        <w:t>Journal of Oil Palm Research</w:t>
      </w:r>
      <w:r w:rsidRPr="00DD12BF">
        <w:rPr>
          <w:rFonts w:ascii="Times New Roman" w:hAnsi="Times New Roman"/>
          <w:sz w:val="20"/>
          <w:szCs w:val="20"/>
        </w:rPr>
        <w:t>, 30: 163-195.</w:t>
      </w:r>
    </w:p>
    <w:p w14:paraId="16C5A107"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Parveez, G. K. A., Elina, H., Loh, S. K., Ong-Abdullah, M., Kamalrudin, M. S., Zanal Bidin, M. N. I., Sundram, S., Hasan, Z. A. A. and Zainab, I. (2020). Oil palm economic performance in Malaysia and R&amp;D progress in 2019. </w:t>
      </w:r>
      <w:r w:rsidRPr="00DD12BF">
        <w:rPr>
          <w:rFonts w:ascii="Times New Roman" w:hAnsi="Times New Roman"/>
          <w:i/>
          <w:iCs/>
          <w:sz w:val="20"/>
          <w:szCs w:val="20"/>
        </w:rPr>
        <w:t>Journal of Oil Palm Research,</w:t>
      </w:r>
      <w:r w:rsidRPr="00DD12BF">
        <w:rPr>
          <w:rFonts w:ascii="Times New Roman" w:hAnsi="Times New Roman"/>
          <w:sz w:val="20"/>
          <w:szCs w:val="20"/>
        </w:rPr>
        <w:t xml:space="preserve"> 32(2): 159-190.</w:t>
      </w:r>
    </w:p>
    <w:p w14:paraId="36BF5658"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Lacina, O., Zachariasova, M., Urbanova, J., Vaclavikova, M., Cajka, T. and Hajslova, J. (2012). Critical assessment of extraction methods for the simultaneous determination of pesticide residues and mycotoxins in fruits, cereals, spices and oil seeds employing ultra-high performance liquid chromatography-tandem mass spectrometry. </w:t>
      </w:r>
      <w:r w:rsidRPr="00DD12BF">
        <w:rPr>
          <w:rFonts w:ascii="Times New Roman" w:hAnsi="Times New Roman"/>
          <w:i/>
          <w:sz w:val="20"/>
          <w:szCs w:val="20"/>
        </w:rPr>
        <w:t>Journal of Chromatography A</w:t>
      </w:r>
      <w:r w:rsidRPr="00DD12BF">
        <w:rPr>
          <w:rFonts w:ascii="Times New Roman" w:hAnsi="Times New Roman"/>
          <w:sz w:val="20"/>
          <w:szCs w:val="20"/>
        </w:rPr>
        <w:t>, 1262: 8-18.</w:t>
      </w:r>
    </w:p>
    <w:p w14:paraId="65604EC6"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Zanardini, E., Negri, M., Boschin, G., D'Agostina, A., Valle, A., Arnoldi, A. and Sorlini, C. (2002). Biodegradation of chlorsulfuron and metsulfuron-methyl by </w:t>
      </w:r>
      <w:r w:rsidRPr="00DD12BF">
        <w:rPr>
          <w:rFonts w:ascii="Times New Roman" w:hAnsi="Times New Roman"/>
          <w:i/>
          <w:sz w:val="20"/>
          <w:szCs w:val="20"/>
        </w:rPr>
        <w:t>Aspergillus niger</w:t>
      </w:r>
      <w:r w:rsidRPr="00DD12BF">
        <w:rPr>
          <w:rFonts w:ascii="Times New Roman" w:hAnsi="Times New Roman"/>
          <w:sz w:val="20"/>
          <w:szCs w:val="20"/>
        </w:rPr>
        <w:t xml:space="preserve">. </w:t>
      </w:r>
      <w:r w:rsidRPr="00DD12BF">
        <w:rPr>
          <w:rFonts w:ascii="Times New Roman" w:hAnsi="Times New Roman"/>
          <w:i/>
          <w:sz w:val="20"/>
          <w:szCs w:val="20"/>
        </w:rPr>
        <w:t>The Scientific World Journal</w:t>
      </w:r>
      <w:r w:rsidRPr="00DD12BF">
        <w:rPr>
          <w:rFonts w:ascii="Times New Roman" w:hAnsi="Times New Roman"/>
          <w:sz w:val="20"/>
          <w:szCs w:val="20"/>
        </w:rPr>
        <w:t>, 2: 1369-1374.</w:t>
      </w:r>
    </w:p>
    <w:p w14:paraId="3ABAF5D8"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Bazzigalupi, O. and Cepeda, S. (2005). Relations between soil moisture and the metsulfuron methyl effects on the seedling growth of soybean (</w:t>
      </w:r>
      <w:r w:rsidRPr="00DD12BF">
        <w:rPr>
          <w:rFonts w:ascii="Times New Roman" w:hAnsi="Times New Roman"/>
          <w:i/>
          <w:sz w:val="20"/>
          <w:szCs w:val="20"/>
        </w:rPr>
        <w:t>Glycine max</w:t>
      </w:r>
      <w:r w:rsidRPr="00DD12BF">
        <w:rPr>
          <w:rFonts w:ascii="Times New Roman" w:hAnsi="Times New Roman"/>
          <w:sz w:val="20"/>
          <w:szCs w:val="20"/>
        </w:rPr>
        <w:t xml:space="preserve"> L. Merr.) </w:t>
      </w:r>
      <w:r w:rsidRPr="00DD12BF">
        <w:rPr>
          <w:rFonts w:ascii="Times New Roman" w:hAnsi="Times New Roman"/>
          <w:i/>
          <w:sz w:val="20"/>
          <w:szCs w:val="20"/>
        </w:rPr>
        <w:t>Revista de Investigaciones Agropecuarias</w:t>
      </w:r>
      <w:r w:rsidRPr="00DD12BF">
        <w:rPr>
          <w:rFonts w:ascii="Times New Roman" w:hAnsi="Times New Roman"/>
          <w:sz w:val="20"/>
          <w:szCs w:val="20"/>
        </w:rPr>
        <w:t>, 34(1): 101-110.</w:t>
      </w:r>
    </w:p>
    <w:p w14:paraId="3176393C"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Wibawa, W. and Sugandi, D. (2013).  The effectiveness of three herbicides mixed with metsulfuron methyl in controlling weeds on two types of soil in smallholders oil palm plantation</w:t>
      </w:r>
      <w:r w:rsidRPr="00DD12BF">
        <w:rPr>
          <w:rFonts w:ascii="Times New Roman" w:hAnsi="Times New Roman"/>
          <w:i/>
          <w:sz w:val="20"/>
          <w:szCs w:val="20"/>
        </w:rPr>
        <w:t xml:space="preserve">. </w:t>
      </w:r>
      <w:r w:rsidRPr="00DD12BF">
        <w:rPr>
          <w:rStyle w:val="acopre"/>
          <w:rFonts w:ascii="Times New Roman" w:hAnsi="Times New Roman"/>
          <w:i/>
          <w:sz w:val="20"/>
          <w:szCs w:val="20"/>
        </w:rPr>
        <w:t>International Journal of Current Research</w:t>
      </w:r>
      <w:r w:rsidRPr="00DD12BF">
        <w:rPr>
          <w:rFonts w:ascii="Times New Roman" w:hAnsi="Times New Roman"/>
          <w:i/>
          <w:sz w:val="20"/>
          <w:szCs w:val="20"/>
        </w:rPr>
        <w:t>,</w:t>
      </w:r>
      <w:r w:rsidRPr="00DD12BF">
        <w:rPr>
          <w:rFonts w:ascii="Times New Roman" w:hAnsi="Times New Roman"/>
          <w:sz w:val="20"/>
          <w:szCs w:val="20"/>
        </w:rPr>
        <w:t xml:space="preserve"> 5(9): 2487-2493.</w:t>
      </w:r>
    </w:p>
    <w:p w14:paraId="1F7E7D81"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lastRenderedPageBreak/>
        <w:t xml:space="preserve">Ghani, A. and Wardle, D. A. (2001) Fate of </w:t>
      </w:r>
      <w:r w:rsidRPr="00DD12BF">
        <w:rPr>
          <w:rFonts w:ascii="Times New Roman" w:hAnsi="Times New Roman"/>
          <w:sz w:val="20"/>
          <w:szCs w:val="20"/>
          <w:vertAlign w:val="superscript"/>
        </w:rPr>
        <w:t>14</w:t>
      </w:r>
      <w:r w:rsidRPr="00DD12BF">
        <w:rPr>
          <w:rFonts w:ascii="Times New Roman" w:hAnsi="Times New Roman"/>
          <w:sz w:val="20"/>
          <w:szCs w:val="20"/>
        </w:rPr>
        <w:t xml:space="preserve">C from glucose and the herbicide metsulfuron–methyl in a plant–soil microcosm system. </w:t>
      </w:r>
      <w:r w:rsidRPr="00DD12BF">
        <w:rPr>
          <w:rFonts w:ascii="Times New Roman" w:hAnsi="Times New Roman"/>
          <w:i/>
          <w:sz w:val="20"/>
          <w:szCs w:val="20"/>
        </w:rPr>
        <w:t>Soil Biology and Biochemistry,</w:t>
      </w:r>
      <w:r w:rsidRPr="00DD12BF">
        <w:rPr>
          <w:rFonts w:ascii="Times New Roman" w:hAnsi="Times New Roman"/>
          <w:sz w:val="20"/>
          <w:szCs w:val="20"/>
        </w:rPr>
        <w:t xml:space="preserve"> 33: 777-785.</w:t>
      </w:r>
    </w:p>
    <w:p w14:paraId="52A17502"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Pons, N. and Barriuso, E. (1998). Fate of metsulfuron‐methyl in soils in relation to pedo‐climatic conditions. </w:t>
      </w:r>
      <w:r w:rsidRPr="00DD12BF">
        <w:rPr>
          <w:rFonts w:ascii="Times New Roman" w:hAnsi="Times New Roman"/>
          <w:i/>
          <w:sz w:val="20"/>
          <w:szCs w:val="20"/>
        </w:rPr>
        <w:t>Pesticide Science</w:t>
      </w:r>
      <w:r w:rsidRPr="00DD12BF">
        <w:rPr>
          <w:rFonts w:ascii="Times New Roman" w:hAnsi="Times New Roman"/>
          <w:sz w:val="20"/>
          <w:szCs w:val="20"/>
        </w:rPr>
        <w:t>, 53: 311-323.</w:t>
      </w:r>
    </w:p>
    <w:p w14:paraId="1712C1F1"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Sondhia, S. (2008). Persistence of metsulfuron-methyl in wheat crop and soil. </w:t>
      </w:r>
      <w:r w:rsidRPr="00DD12BF">
        <w:rPr>
          <w:rFonts w:ascii="Times New Roman" w:hAnsi="Times New Roman"/>
          <w:i/>
          <w:sz w:val="20"/>
          <w:szCs w:val="20"/>
        </w:rPr>
        <w:t>Environmental Monitoring and Assessment,</w:t>
      </w:r>
      <w:r w:rsidRPr="00DD12BF">
        <w:rPr>
          <w:rFonts w:ascii="Times New Roman" w:hAnsi="Times New Roman"/>
          <w:sz w:val="20"/>
          <w:szCs w:val="20"/>
        </w:rPr>
        <w:t xml:space="preserve"> 147: 463-469.</w:t>
      </w:r>
    </w:p>
    <w:p w14:paraId="45A709D3" w14:textId="77777777" w:rsidR="00AF0809" w:rsidRPr="00DD12BF" w:rsidRDefault="00AF0809" w:rsidP="00AF0809">
      <w:pPr>
        <w:pStyle w:val="ListParagraph"/>
        <w:numPr>
          <w:ilvl w:val="0"/>
          <w:numId w:val="9"/>
        </w:numPr>
        <w:autoSpaceDE w:val="0"/>
        <w:autoSpaceDN w:val="0"/>
        <w:adjustRightInd w:val="0"/>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Sondhia, S. (2009). Persistence of metsulfuron-methyl in paddy field and detection of its residues in crop produce. </w:t>
      </w:r>
      <w:r w:rsidRPr="00DD12BF">
        <w:rPr>
          <w:rFonts w:ascii="Times New Roman" w:hAnsi="Times New Roman"/>
          <w:i/>
          <w:sz w:val="20"/>
          <w:szCs w:val="20"/>
        </w:rPr>
        <w:t>Bulletin of Environmental Contamination and Toxicology</w:t>
      </w:r>
      <w:r w:rsidRPr="00DD12BF">
        <w:rPr>
          <w:rFonts w:ascii="Times New Roman" w:hAnsi="Times New Roman"/>
          <w:sz w:val="20"/>
          <w:szCs w:val="20"/>
        </w:rPr>
        <w:t>, 83: 799-802.</w:t>
      </w:r>
    </w:p>
    <w:p w14:paraId="3430C43C"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Ferrer, C., Gómez, M. J., García-Reyes, J. F., Ferrer, I., Thurman, E. M. and Fernández-Alba, A. R. (2005). Determination of pesticide residues in olives and olive oil by matrix solid-phase dispersion followed by gas chromatography/mass spectrometry and liquid chromatography/tandem mass spectrometry. </w:t>
      </w:r>
      <w:r w:rsidRPr="00DD12BF">
        <w:rPr>
          <w:rFonts w:ascii="Times New Roman" w:hAnsi="Times New Roman"/>
          <w:i/>
          <w:sz w:val="20"/>
          <w:szCs w:val="20"/>
        </w:rPr>
        <w:t>Journal of Chromatography A,</w:t>
      </w:r>
      <w:r w:rsidRPr="00DD12BF">
        <w:rPr>
          <w:rFonts w:ascii="Times New Roman" w:hAnsi="Times New Roman"/>
          <w:sz w:val="20"/>
          <w:szCs w:val="20"/>
        </w:rPr>
        <w:t xml:space="preserve"> 1069: 183-194.</w:t>
      </w:r>
    </w:p>
    <w:p w14:paraId="4DE510CE"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Muhamad, H., Tan, Y. A. and Ismail, B. S. (2008). Determination of the herbicide fluroxypyr in oil matrices. </w:t>
      </w:r>
      <w:r w:rsidRPr="00DD12BF">
        <w:rPr>
          <w:rFonts w:ascii="Times New Roman" w:hAnsi="Times New Roman"/>
          <w:i/>
          <w:sz w:val="20"/>
          <w:szCs w:val="20"/>
        </w:rPr>
        <w:t>Journal of Environmental Science and Health B</w:t>
      </w:r>
      <w:r w:rsidRPr="00DD12BF">
        <w:rPr>
          <w:rFonts w:ascii="Times New Roman" w:hAnsi="Times New Roman"/>
          <w:sz w:val="20"/>
          <w:szCs w:val="20"/>
        </w:rPr>
        <w:t>, 43: 134-140.</w:t>
      </w:r>
    </w:p>
    <w:p w14:paraId="67C294F6"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Li, L., Zhou, Z., Pan, C., Qian, C., Jiang, S. and Liu, F. (2007) Determination of organophosphorus pesticides in soybean oil, peanut oil and sesame oil by low-temperature extraction and GC-FPD. </w:t>
      </w:r>
      <w:r w:rsidRPr="00DD12BF">
        <w:rPr>
          <w:rFonts w:ascii="Times New Roman" w:hAnsi="Times New Roman"/>
          <w:i/>
          <w:sz w:val="20"/>
          <w:szCs w:val="20"/>
        </w:rPr>
        <w:t>Chromatographia</w:t>
      </w:r>
      <w:r w:rsidRPr="00DD12BF">
        <w:rPr>
          <w:rFonts w:ascii="Times New Roman" w:hAnsi="Times New Roman"/>
          <w:sz w:val="20"/>
          <w:szCs w:val="20"/>
        </w:rPr>
        <w:t>, 66: 625-629.</w:t>
      </w:r>
    </w:p>
    <w:p w14:paraId="2ED99150"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Nageswara Rao, T., Ramasubbih A.V. and Parvathi, T. (2012). Development and validation of a HPLC-UV method for simultaneous determination of five sulfonylurea herbicide residues in soybean oil followed by matrix solid-phase dispersion. </w:t>
      </w:r>
      <w:r w:rsidRPr="00DD12BF">
        <w:rPr>
          <w:rFonts w:ascii="Times New Roman" w:hAnsi="Times New Roman"/>
          <w:i/>
          <w:sz w:val="20"/>
          <w:szCs w:val="20"/>
        </w:rPr>
        <w:t>International Journal of Chemical, Environmental and Pharmaceutical Research</w:t>
      </w:r>
      <w:r w:rsidRPr="00DD12BF">
        <w:rPr>
          <w:rFonts w:ascii="Times New Roman" w:hAnsi="Times New Roman"/>
          <w:sz w:val="20"/>
          <w:szCs w:val="20"/>
        </w:rPr>
        <w:t>, 3(2): 117-121.</w:t>
      </w:r>
    </w:p>
    <w:p w14:paraId="6BA86BC6"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Ramli, M. I., Zakaria, Z., Sahid, I., Tan, Y. A. and Muhamad, H. (2012). Determination of herbicide diuron levels in palm oil matrices using HPLC-UV. </w:t>
      </w:r>
      <w:r w:rsidRPr="00DD12BF">
        <w:rPr>
          <w:rFonts w:ascii="Times New Roman" w:hAnsi="Times New Roman"/>
          <w:i/>
          <w:sz w:val="20"/>
          <w:szCs w:val="20"/>
        </w:rPr>
        <w:t>Sains Malaysiana,</w:t>
      </w:r>
      <w:r w:rsidRPr="00DD12BF">
        <w:rPr>
          <w:rFonts w:ascii="Times New Roman" w:hAnsi="Times New Roman"/>
          <w:sz w:val="20"/>
          <w:szCs w:val="20"/>
        </w:rPr>
        <w:t xml:space="preserve"> 41: 1451-1459.</w:t>
      </w:r>
    </w:p>
    <w:p w14:paraId="373B703C"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Yeoh, C. B. and Chong, C. L. (2012). LC–MSMS analysis of acetamiprid residue in crude palm oil. </w:t>
      </w:r>
      <w:r w:rsidRPr="00DD12BF">
        <w:rPr>
          <w:rFonts w:ascii="Times New Roman" w:hAnsi="Times New Roman"/>
          <w:i/>
          <w:sz w:val="20"/>
          <w:szCs w:val="20"/>
        </w:rPr>
        <w:t>European Journal of Lipid Science and Technology,</w:t>
      </w:r>
      <w:r w:rsidRPr="00DD12BF">
        <w:rPr>
          <w:rFonts w:ascii="Times New Roman" w:hAnsi="Times New Roman"/>
          <w:sz w:val="20"/>
          <w:szCs w:val="20"/>
        </w:rPr>
        <w:t xml:space="preserve"> 114(12): 1358-1361.</w:t>
      </w:r>
    </w:p>
    <w:p w14:paraId="7E4D7773"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Zainudin, B. H., Bakar, N. K. A. and Muhamad, H. (2009). Determination of cypermethrin in palm oil matrices. </w:t>
      </w:r>
      <w:r w:rsidRPr="00DD12BF">
        <w:rPr>
          <w:rFonts w:ascii="Times New Roman" w:hAnsi="Times New Roman"/>
          <w:i/>
          <w:sz w:val="20"/>
          <w:szCs w:val="20"/>
        </w:rPr>
        <w:t>European Journal of Lipid Science and Technology,</w:t>
      </w:r>
      <w:r w:rsidRPr="00DD12BF">
        <w:rPr>
          <w:rFonts w:ascii="Times New Roman" w:hAnsi="Times New Roman"/>
          <w:sz w:val="20"/>
          <w:szCs w:val="20"/>
        </w:rPr>
        <w:t xml:space="preserve"> 111: 1014-1019.</w:t>
      </w:r>
    </w:p>
    <w:p w14:paraId="7CEC65D1"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Nageswara Rao, T., Ramesh, A. and Parvathamma, T. (2012). Development and validation of a HPLC-UV method for simultaneous determination of five sulfonylurea herbicide residues in groundnut oil followed by matrix solid-phase dispersion. </w:t>
      </w:r>
      <w:r w:rsidRPr="00DD12BF">
        <w:rPr>
          <w:rFonts w:ascii="Times New Roman" w:hAnsi="Times New Roman"/>
          <w:i/>
          <w:sz w:val="20"/>
          <w:szCs w:val="20"/>
        </w:rPr>
        <w:t>ISRN Analytical Chemistry,</w:t>
      </w:r>
      <w:r w:rsidRPr="00DD12BF">
        <w:rPr>
          <w:rFonts w:ascii="Times New Roman" w:hAnsi="Times New Roman"/>
          <w:sz w:val="20"/>
          <w:szCs w:val="20"/>
        </w:rPr>
        <w:t xml:space="preserve"> 2012: 1-5.</w:t>
      </w:r>
    </w:p>
    <w:p w14:paraId="140B0AA0"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Maldaner, L., Santana, C. C. and Jardim, I. C. S. F. (2008). HPLC determination of pesticides in soybeans using matrix solid phase dispersion. </w:t>
      </w:r>
      <w:r w:rsidRPr="00DD12BF">
        <w:rPr>
          <w:rFonts w:ascii="Times New Roman" w:hAnsi="Times New Roman"/>
          <w:i/>
          <w:sz w:val="20"/>
          <w:szCs w:val="20"/>
        </w:rPr>
        <w:t>Journal of Liquid Chromatography and Related Technologies,</w:t>
      </w:r>
      <w:r w:rsidRPr="00DD12BF">
        <w:rPr>
          <w:rFonts w:ascii="Times New Roman" w:hAnsi="Times New Roman"/>
          <w:sz w:val="20"/>
          <w:szCs w:val="20"/>
        </w:rPr>
        <w:t xml:space="preserve"> 31(7): 972-983.</w:t>
      </w:r>
    </w:p>
    <w:p w14:paraId="06A34DCE"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Ismail, B. S. and Ooi, K. E. (2012). Adsorption, desorption and mobility of metsulfuron-methyl in soils of the oil palm agroecosystem in Malaysia. </w:t>
      </w:r>
      <w:r w:rsidRPr="00DD12BF">
        <w:rPr>
          <w:rFonts w:ascii="Times New Roman" w:hAnsi="Times New Roman"/>
          <w:i/>
          <w:sz w:val="20"/>
          <w:szCs w:val="20"/>
        </w:rPr>
        <w:t>Journal Environmental Biology,</w:t>
      </w:r>
      <w:r w:rsidRPr="00DD12BF">
        <w:rPr>
          <w:rFonts w:ascii="Times New Roman" w:hAnsi="Times New Roman"/>
          <w:sz w:val="20"/>
          <w:szCs w:val="20"/>
        </w:rPr>
        <w:t xml:space="preserve"> 33(3): 573-577.</w:t>
      </w:r>
    </w:p>
    <w:p w14:paraId="41EC9BB9"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Mohd Tahir, N. and Jee Sing, N. Y. (2006). Adsorption of metsulfuron-methyl on soils under oil palm plantation: A case study, </w:t>
      </w:r>
      <w:r w:rsidRPr="00DD12BF">
        <w:rPr>
          <w:rFonts w:ascii="Times New Roman" w:hAnsi="Times New Roman"/>
          <w:i/>
          <w:sz w:val="20"/>
          <w:szCs w:val="20"/>
        </w:rPr>
        <w:t>1st International Conference on Natural Resources Engineering &amp; Technology,</w:t>
      </w:r>
      <w:r w:rsidRPr="00DD12BF">
        <w:rPr>
          <w:rFonts w:ascii="Times New Roman" w:hAnsi="Times New Roman"/>
          <w:sz w:val="20"/>
          <w:szCs w:val="20"/>
        </w:rPr>
        <w:t xml:space="preserve"> Putrajaya, Malaysia. p.591-596.</w:t>
      </w:r>
    </w:p>
    <w:p w14:paraId="2D1ED16A"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Lászlo Polgár, Béla Kmellár, Juan F. García-Reyes and Péter Fodor. (2012). Comprehensive evaluation of the clean-up step in the QuEChERS procedure for the multi-residue determination of pesticides in different vegetable oils using LC-MS/MS. </w:t>
      </w:r>
      <w:r w:rsidRPr="00DD12BF">
        <w:rPr>
          <w:rFonts w:ascii="Times New Roman" w:hAnsi="Times New Roman"/>
          <w:i/>
          <w:sz w:val="20"/>
          <w:szCs w:val="20"/>
        </w:rPr>
        <w:t>Analytical Methods,</w:t>
      </w:r>
      <w:r w:rsidRPr="00DD12BF">
        <w:rPr>
          <w:rFonts w:ascii="Times New Roman" w:hAnsi="Times New Roman"/>
          <w:sz w:val="20"/>
          <w:szCs w:val="20"/>
        </w:rPr>
        <w:t xml:space="preserve"> 4(4): 1142-1148.</w:t>
      </w:r>
    </w:p>
    <w:p w14:paraId="125494BF"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Sobhanzadeh, E., Bakar, N. K. A., Abas, M. R. B., &amp; Nemati, K. (2012). A simple and efficient multi-residue method based on QuEChERS for pesticides determination in palm oil by liquid chromatography time-of-flight mass spectrometry. </w:t>
      </w:r>
      <w:r w:rsidRPr="00DD12BF">
        <w:rPr>
          <w:rFonts w:ascii="Times New Roman" w:hAnsi="Times New Roman"/>
          <w:i/>
          <w:iCs/>
          <w:sz w:val="20"/>
          <w:szCs w:val="20"/>
        </w:rPr>
        <w:t>Environmental Monitoring and Assessment</w:t>
      </w:r>
      <w:r w:rsidRPr="00DD12BF">
        <w:rPr>
          <w:rFonts w:ascii="Times New Roman" w:hAnsi="Times New Roman"/>
          <w:sz w:val="20"/>
          <w:szCs w:val="20"/>
        </w:rPr>
        <w:t>, 184(9): 5821-5828.</w:t>
      </w:r>
    </w:p>
    <w:p w14:paraId="51DB1091" w14:textId="77777777" w:rsidR="00AF0809"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Kostelac, D. and Anastassiades. (2007). Access from QuEChERS validation method for acidic pesticides. </w:t>
      </w:r>
      <w:r w:rsidRPr="00627C47">
        <w:rPr>
          <w:rFonts w:ascii="Times New Roman" w:hAnsi="Times New Roman"/>
          <w:sz w:val="20"/>
          <w:szCs w:val="20"/>
        </w:rPr>
        <w:t>https://www.eurl-pesticides.eu/library/</w:t>
      </w:r>
      <w:r>
        <w:rPr>
          <w:rStyle w:val="Hyperlink"/>
          <w:rFonts w:ascii="Times New Roman" w:hAnsi="Times New Roman"/>
          <w:sz w:val="20"/>
          <w:szCs w:val="20"/>
        </w:rPr>
        <w:t xml:space="preserve"> </w:t>
      </w:r>
      <w:r w:rsidRPr="00627C47">
        <w:rPr>
          <w:rFonts w:ascii="Times New Roman" w:hAnsi="Times New Roman"/>
          <w:sz w:val="20"/>
          <w:szCs w:val="20"/>
        </w:rPr>
        <w:t>docs/fv/2ndtr2007_AcidicKostelac.pdf</w:t>
      </w:r>
      <w:r w:rsidRPr="00DD12BF">
        <w:rPr>
          <w:rFonts w:ascii="Times New Roman" w:hAnsi="Times New Roman"/>
          <w:sz w:val="20"/>
          <w:szCs w:val="20"/>
        </w:rPr>
        <w:t xml:space="preserve"> [accessed October 2019].</w:t>
      </w:r>
    </w:p>
    <w:p w14:paraId="5C1778D2" w14:textId="77777777" w:rsidR="00AF0809" w:rsidRDefault="00AF0809" w:rsidP="00AF0809">
      <w:pPr>
        <w:pBdr>
          <w:top w:val="nil"/>
          <w:left w:val="nil"/>
          <w:bottom w:val="nil"/>
          <w:right w:val="nil"/>
          <w:between w:val="nil"/>
        </w:pBdr>
        <w:tabs>
          <w:tab w:val="left" w:pos="142"/>
        </w:tabs>
        <w:spacing w:after="0"/>
        <w:jc w:val="both"/>
        <w:rPr>
          <w:rFonts w:ascii="Times New Roman" w:hAnsi="Times New Roman"/>
          <w:sz w:val="20"/>
          <w:szCs w:val="20"/>
        </w:rPr>
      </w:pPr>
    </w:p>
    <w:p w14:paraId="0B82EA95" w14:textId="77777777" w:rsidR="00AF0809" w:rsidRDefault="00AF0809" w:rsidP="00AF0809">
      <w:pPr>
        <w:pBdr>
          <w:top w:val="nil"/>
          <w:left w:val="nil"/>
          <w:bottom w:val="nil"/>
          <w:right w:val="nil"/>
          <w:between w:val="nil"/>
        </w:pBdr>
        <w:tabs>
          <w:tab w:val="left" w:pos="142"/>
        </w:tabs>
        <w:spacing w:after="0"/>
        <w:jc w:val="both"/>
        <w:rPr>
          <w:rFonts w:ascii="Times New Roman" w:hAnsi="Times New Roman"/>
          <w:sz w:val="20"/>
          <w:szCs w:val="20"/>
        </w:rPr>
      </w:pPr>
    </w:p>
    <w:p w14:paraId="386E04E3" w14:textId="77777777" w:rsidR="00AF0809" w:rsidRDefault="00AF0809" w:rsidP="00AF0809">
      <w:pPr>
        <w:pBdr>
          <w:top w:val="nil"/>
          <w:left w:val="nil"/>
          <w:bottom w:val="nil"/>
          <w:right w:val="nil"/>
          <w:between w:val="nil"/>
        </w:pBdr>
        <w:tabs>
          <w:tab w:val="left" w:pos="142"/>
        </w:tabs>
        <w:spacing w:after="0"/>
        <w:jc w:val="both"/>
        <w:rPr>
          <w:rFonts w:ascii="Times New Roman" w:hAnsi="Times New Roman"/>
          <w:sz w:val="20"/>
          <w:szCs w:val="20"/>
        </w:rPr>
      </w:pPr>
    </w:p>
    <w:p w14:paraId="6FBE3920" w14:textId="77777777" w:rsidR="00AF0809" w:rsidRPr="00627C47" w:rsidRDefault="00AF0809" w:rsidP="00AF0809">
      <w:pPr>
        <w:pBdr>
          <w:top w:val="nil"/>
          <w:left w:val="nil"/>
          <w:bottom w:val="nil"/>
          <w:right w:val="nil"/>
          <w:between w:val="nil"/>
        </w:pBdr>
        <w:tabs>
          <w:tab w:val="left" w:pos="142"/>
        </w:tabs>
        <w:spacing w:after="0"/>
        <w:jc w:val="both"/>
        <w:rPr>
          <w:rFonts w:ascii="Times New Roman" w:hAnsi="Times New Roman"/>
          <w:sz w:val="20"/>
          <w:szCs w:val="20"/>
        </w:rPr>
      </w:pPr>
    </w:p>
    <w:p w14:paraId="6FA27775"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Yeoh, C. B., Kuntom, A., Dorasamy, S., Omar, M. R., Nor, M.Y. M., and Noh, M. R. M. (2006). Determination of acephate, methamidophos, and monocrotophos in crude palm oil. </w:t>
      </w:r>
      <w:r w:rsidRPr="00DD12BF">
        <w:rPr>
          <w:rFonts w:ascii="Times New Roman" w:hAnsi="Times New Roman"/>
          <w:i/>
          <w:sz w:val="20"/>
          <w:szCs w:val="20"/>
        </w:rPr>
        <w:t>European Journal of Lipid Science and Technology,</w:t>
      </w:r>
      <w:r w:rsidRPr="00DD12BF">
        <w:rPr>
          <w:rFonts w:ascii="Times New Roman" w:hAnsi="Times New Roman"/>
          <w:sz w:val="20"/>
          <w:szCs w:val="20"/>
        </w:rPr>
        <w:t xml:space="preserve"> 108: 960-964.</w:t>
      </w:r>
    </w:p>
    <w:p w14:paraId="46CDC701"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Yeoh, C. B., Ahmad Bustamam, F. K., Sulaiman, N., Khairuddin, N. S. K., Tay, M. G. and Saw, M. H. (2019). Development of analytical method for determination of thiosultap-disodium residue in palm oil matrix. </w:t>
      </w:r>
      <w:r w:rsidRPr="00DD12BF">
        <w:rPr>
          <w:rFonts w:ascii="Times New Roman" w:hAnsi="Times New Roman"/>
          <w:i/>
          <w:sz w:val="20"/>
          <w:szCs w:val="20"/>
        </w:rPr>
        <w:t>Journal of Oil Palm Research,</w:t>
      </w:r>
      <w:r w:rsidRPr="00DD12BF">
        <w:rPr>
          <w:rFonts w:ascii="Times New Roman" w:hAnsi="Times New Roman"/>
          <w:sz w:val="20"/>
          <w:szCs w:val="20"/>
        </w:rPr>
        <w:t xml:space="preserve"> 3: 634-640.</w:t>
      </w:r>
    </w:p>
    <w:p w14:paraId="5F5842CF"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Pano-Farias, N. S., Ceballos-Magaña, S. G., Muñiz-Valencia, R. and Gonzalez, J. (2017). Validation and assessment of matrix effect and uncertainty of a gas chromatography coupled to mass spectrometry method for pesticides in papaya and avocado samples. </w:t>
      </w:r>
      <w:r w:rsidRPr="00DD12BF">
        <w:rPr>
          <w:rFonts w:ascii="Times New Roman" w:hAnsi="Times New Roman"/>
          <w:i/>
          <w:sz w:val="20"/>
          <w:szCs w:val="20"/>
        </w:rPr>
        <w:t>Journal Food Drug Analysis,</w:t>
      </w:r>
      <w:r w:rsidRPr="00DD12BF">
        <w:rPr>
          <w:rFonts w:ascii="Times New Roman" w:hAnsi="Times New Roman"/>
          <w:sz w:val="20"/>
          <w:szCs w:val="20"/>
        </w:rPr>
        <w:t xml:space="preserve"> 25: 501-509.</w:t>
      </w:r>
    </w:p>
    <w:p w14:paraId="5807EA0C"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 xml:space="preserve">Vial, J. and Jardy, A. (1999). Experimental comparison of the different approaches to estimate LOD and LOQ of an HPLC method. </w:t>
      </w:r>
      <w:r w:rsidRPr="00DD12BF">
        <w:rPr>
          <w:rFonts w:ascii="Times New Roman" w:hAnsi="Times New Roman"/>
          <w:i/>
          <w:sz w:val="20"/>
          <w:szCs w:val="20"/>
        </w:rPr>
        <w:t>Analytical Chemistry,</w:t>
      </w:r>
      <w:r w:rsidRPr="00DD12BF">
        <w:rPr>
          <w:rFonts w:ascii="Times New Roman" w:hAnsi="Times New Roman"/>
          <w:sz w:val="20"/>
          <w:szCs w:val="20"/>
        </w:rPr>
        <w:t>71: 2672-2677.</w:t>
      </w:r>
    </w:p>
    <w:p w14:paraId="42AAA8F3"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European Commission, Sante/11813/2017-Guidance document on analytical quality control and validation procedures for pesticide residues and analysis in food and feed, 2017: pp 1-46.</w:t>
      </w:r>
    </w:p>
    <w:p w14:paraId="28203CE8" w14:textId="77777777" w:rsidR="00AF0809" w:rsidRPr="00DD12BF" w:rsidRDefault="00AF0809" w:rsidP="00AF0809">
      <w:pPr>
        <w:pStyle w:val="ListParagraph"/>
        <w:numPr>
          <w:ilvl w:val="0"/>
          <w:numId w:val="9"/>
        </w:numPr>
        <w:pBdr>
          <w:top w:val="nil"/>
          <w:left w:val="nil"/>
          <w:bottom w:val="nil"/>
          <w:right w:val="nil"/>
          <w:between w:val="nil"/>
        </w:pBdr>
        <w:tabs>
          <w:tab w:val="left" w:pos="142"/>
        </w:tabs>
        <w:spacing w:after="0"/>
        <w:ind w:left="360"/>
        <w:contextualSpacing w:val="0"/>
        <w:jc w:val="both"/>
        <w:rPr>
          <w:rFonts w:ascii="Times New Roman" w:hAnsi="Times New Roman"/>
          <w:sz w:val="20"/>
          <w:szCs w:val="20"/>
        </w:rPr>
      </w:pPr>
      <w:r w:rsidRPr="00DD12BF">
        <w:rPr>
          <w:rFonts w:ascii="Times New Roman" w:hAnsi="Times New Roman"/>
          <w:sz w:val="20"/>
          <w:szCs w:val="20"/>
        </w:rPr>
        <w:t>Huber, L. (2007). Validation and qualification in analytical laboratories. 2</w:t>
      </w:r>
      <w:r w:rsidRPr="00DD12BF">
        <w:rPr>
          <w:rFonts w:ascii="Times New Roman" w:hAnsi="Times New Roman"/>
          <w:sz w:val="20"/>
          <w:szCs w:val="20"/>
          <w:vertAlign w:val="superscript"/>
        </w:rPr>
        <w:t>nd</w:t>
      </w:r>
      <w:r w:rsidRPr="00DD12BF">
        <w:rPr>
          <w:rFonts w:ascii="Times New Roman" w:hAnsi="Times New Roman"/>
          <w:sz w:val="20"/>
          <w:szCs w:val="20"/>
        </w:rPr>
        <w:t xml:space="preserve"> Edition. CRC Press, Boca Raton: pp 1-288. </w:t>
      </w:r>
    </w:p>
    <w:p w14:paraId="5748BF27" w14:textId="77777777" w:rsidR="00AF0809" w:rsidRPr="00AF0809" w:rsidRDefault="00AF0809" w:rsidP="00AF0809">
      <w:pPr>
        <w:spacing w:after="0"/>
        <w:ind w:left="1080" w:hanging="1080"/>
        <w:jc w:val="both"/>
        <w:rPr>
          <w:rFonts w:ascii="Times New Roman" w:hAnsi="Times New Roman"/>
          <w:noProof/>
          <w:sz w:val="20"/>
          <w:szCs w:val="20"/>
          <w:lang w:val="ms-MY"/>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F08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F0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6E6C"/>
    <w:multiLevelType w:val="hybridMultilevel"/>
    <w:tmpl w:val="E76A61C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C3305"/>
    <w:rsid w:val="00A23F0F"/>
    <w:rsid w:val="00AA706B"/>
    <w:rsid w:val="00AB4AE6"/>
    <w:rsid w:val="00AB5AEF"/>
    <w:rsid w:val="00AC72D0"/>
    <w:rsid w:val="00AD4549"/>
    <w:rsid w:val="00AF080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customStyle="1" w:styleId="acopre">
    <w:name w:val="acopre"/>
    <w:basedOn w:val="DefaultParagraphFont"/>
    <w:rsid w:val="00AF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2</cp:revision>
  <cp:lastPrinted>2020-04-01T04:48:00Z</cp:lastPrinted>
  <dcterms:created xsi:type="dcterms:W3CDTF">2021-04-21T00:53:00Z</dcterms:created>
  <dcterms:modified xsi:type="dcterms:W3CDTF">2021-04-21T00:53:00Z</dcterms:modified>
</cp:coreProperties>
</file>