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5FE80935"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BE5F5F" w:rsidRPr="001E55BE">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9C3305">
        <w:rPr>
          <w:rFonts w:ascii="Times New Roman" w:hAnsi="Times New Roman" w:cs="Times New Roman"/>
          <w:b/>
          <w:i/>
          <w:sz w:val="24"/>
          <w:szCs w:val="24"/>
        </w:rPr>
        <w:t>3</w:t>
      </w:r>
      <w:r w:rsidR="00065601">
        <w:rPr>
          <w:rFonts w:ascii="Times New Roman" w:hAnsi="Times New Roman" w:cs="Times New Roman"/>
          <w:b/>
          <w:i/>
          <w:sz w:val="24"/>
          <w:szCs w:val="24"/>
        </w:rPr>
        <w:t>24</w:t>
      </w:r>
      <w:r w:rsidR="001E55BE" w:rsidRPr="001E55BE">
        <w:rPr>
          <w:rFonts w:ascii="Times New Roman" w:hAnsi="Times New Roman" w:cs="Times New Roman"/>
          <w:b/>
          <w:i/>
          <w:sz w:val="24"/>
          <w:szCs w:val="24"/>
        </w:rPr>
        <w:t xml:space="preserve"> - </w:t>
      </w:r>
      <w:r w:rsidR="009C3305">
        <w:rPr>
          <w:rFonts w:ascii="Times New Roman" w:hAnsi="Times New Roman" w:cs="Times New Roman"/>
          <w:b/>
          <w:i/>
          <w:sz w:val="24"/>
          <w:szCs w:val="24"/>
        </w:rPr>
        <w:t>3</w:t>
      </w:r>
      <w:r w:rsidR="00065601">
        <w:rPr>
          <w:rFonts w:ascii="Times New Roman" w:hAnsi="Times New Roman" w:cs="Times New Roman"/>
          <w:b/>
          <w:i/>
          <w:sz w:val="24"/>
          <w:szCs w:val="24"/>
        </w:rPr>
        <w:t>40</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E9D3C2D" w:rsidR="003A1F80" w:rsidRDefault="003A1F80" w:rsidP="001E55BE">
      <w:pPr>
        <w:spacing w:after="0"/>
        <w:rPr>
          <w:rFonts w:ascii="Times New Roman" w:hAnsi="Times New Roman" w:cs="Times New Roman"/>
          <w:sz w:val="24"/>
          <w:szCs w:val="24"/>
        </w:rPr>
      </w:pPr>
    </w:p>
    <w:p w14:paraId="711A7BDD" w14:textId="77777777" w:rsidR="00065601" w:rsidRPr="001E55BE" w:rsidRDefault="00065601"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68315313" w14:textId="77777777" w:rsidR="00065601" w:rsidRPr="001F4D9A" w:rsidRDefault="00065601" w:rsidP="00065601">
      <w:pPr>
        <w:pStyle w:val="NormalWeb"/>
        <w:spacing w:before="0" w:beforeAutospacing="0" w:after="0" w:afterAutospacing="0" w:line="276" w:lineRule="auto"/>
        <w:jc w:val="center"/>
        <w:rPr>
          <w:sz w:val="28"/>
          <w:szCs w:val="28"/>
        </w:rPr>
      </w:pPr>
      <w:r w:rsidRPr="001F4D9A">
        <w:rPr>
          <w:sz w:val="28"/>
          <w:szCs w:val="28"/>
        </w:rPr>
        <w:t xml:space="preserve">THE REMEDIATION POTENTIAL OF BIOCHAR DERIVED FROM </w:t>
      </w:r>
    </w:p>
    <w:p w14:paraId="474CDC83" w14:textId="77777777" w:rsidR="00065601" w:rsidRPr="001F4D9A" w:rsidRDefault="00065601" w:rsidP="00065601">
      <w:pPr>
        <w:pStyle w:val="NormalWeb"/>
        <w:spacing w:before="0" w:beforeAutospacing="0" w:after="0" w:afterAutospacing="0" w:line="276" w:lineRule="auto"/>
        <w:jc w:val="center"/>
        <w:rPr>
          <w:sz w:val="28"/>
          <w:szCs w:val="28"/>
        </w:rPr>
      </w:pPr>
      <w:r w:rsidRPr="001F4D9A">
        <w:rPr>
          <w:i/>
          <w:iCs/>
          <w:sz w:val="28"/>
          <w:szCs w:val="28"/>
        </w:rPr>
        <w:t>Morus rubra</w:t>
      </w:r>
      <w:r w:rsidRPr="001F4D9A">
        <w:rPr>
          <w:sz w:val="28"/>
          <w:szCs w:val="28"/>
        </w:rPr>
        <w:t xml:space="preserve"> LINN. BARK</w:t>
      </w:r>
    </w:p>
    <w:p w14:paraId="6AB47AE8" w14:textId="77777777" w:rsidR="00065601" w:rsidRPr="00470893" w:rsidRDefault="00065601" w:rsidP="00065601">
      <w:pPr>
        <w:pStyle w:val="NormalWeb"/>
        <w:spacing w:before="0" w:beforeAutospacing="0" w:after="0" w:afterAutospacing="0" w:line="276" w:lineRule="auto"/>
        <w:jc w:val="center"/>
      </w:pPr>
    </w:p>
    <w:p w14:paraId="28DC1703" w14:textId="77777777" w:rsidR="00065601" w:rsidRPr="00470893" w:rsidRDefault="00065601" w:rsidP="00065601">
      <w:pPr>
        <w:pStyle w:val="NormalWeb"/>
        <w:spacing w:before="0" w:beforeAutospacing="0" w:after="0" w:afterAutospacing="0" w:line="276" w:lineRule="auto"/>
        <w:jc w:val="center"/>
      </w:pPr>
      <w:r w:rsidRPr="00470893">
        <w:t xml:space="preserve">(Potensi Pemulihan oleh Terbitan Arang Bio dari Kulit Kayu </w:t>
      </w:r>
      <w:r w:rsidRPr="00470893">
        <w:rPr>
          <w:i/>
          <w:iCs/>
        </w:rPr>
        <w:t>Morus rubra</w:t>
      </w:r>
      <w:r w:rsidRPr="00470893">
        <w:t xml:space="preserve"> Linn.)</w:t>
      </w:r>
    </w:p>
    <w:p w14:paraId="1E6B83D1" w14:textId="77777777" w:rsidR="00065601" w:rsidRDefault="00065601" w:rsidP="00065601">
      <w:pPr>
        <w:pStyle w:val="NormalWeb"/>
        <w:spacing w:before="0" w:beforeAutospacing="0" w:after="0" w:afterAutospacing="0" w:line="276" w:lineRule="auto"/>
        <w:jc w:val="center"/>
        <w:rPr>
          <w:sz w:val="20"/>
          <w:szCs w:val="20"/>
        </w:rPr>
      </w:pPr>
    </w:p>
    <w:p w14:paraId="1DACA578" w14:textId="5AAEE7C7" w:rsidR="00065601" w:rsidRDefault="00065601" w:rsidP="00065601">
      <w:pPr>
        <w:pStyle w:val="NormalWeb"/>
        <w:spacing w:before="0" w:beforeAutospacing="0" w:after="0" w:afterAutospacing="0" w:line="276" w:lineRule="auto"/>
        <w:jc w:val="center"/>
        <w:rPr>
          <w:sz w:val="20"/>
          <w:szCs w:val="20"/>
        </w:rPr>
      </w:pPr>
      <w:r w:rsidRPr="001F4D9A">
        <w:rPr>
          <w:sz w:val="20"/>
          <w:szCs w:val="20"/>
        </w:rPr>
        <w:t>Judith Clarisse Jose</w:t>
      </w:r>
      <w:r w:rsidRPr="001F4D9A">
        <w:rPr>
          <w:sz w:val="20"/>
          <w:szCs w:val="20"/>
          <w:vertAlign w:val="superscript"/>
        </w:rPr>
        <w:t>1</w:t>
      </w:r>
      <w:r w:rsidRPr="001F4D9A">
        <w:rPr>
          <w:sz w:val="20"/>
          <w:szCs w:val="20"/>
        </w:rPr>
        <w:t>, Mark Nathaniel Dolina</w:t>
      </w:r>
      <w:r w:rsidRPr="001F4D9A">
        <w:rPr>
          <w:sz w:val="20"/>
          <w:szCs w:val="20"/>
          <w:vertAlign w:val="superscript"/>
        </w:rPr>
        <w:t>2</w:t>
      </w:r>
      <w:r w:rsidRPr="001F4D9A">
        <w:rPr>
          <w:sz w:val="20"/>
          <w:szCs w:val="20"/>
        </w:rPr>
        <w:t>, Maria Carmen Tan</w:t>
      </w:r>
      <w:r w:rsidRPr="001F4D9A">
        <w:rPr>
          <w:sz w:val="20"/>
          <w:szCs w:val="20"/>
          <w:vertAlign w:val="superscript"/>
        </w:rPr>
        <w:t>2</w:t>
      </w:r>
      <w:r w:rsidRPr="00470893">
        <w:rPr>
          <w:sz w:val="20"/>
          <w:szCs w:val="20"/>
        </w:rPr>
        <w:t>*</w:t>
      </w:r>
    </w:p>
    <w:p w14:paraId="02FEB209" w14:textId="77777777" w:rsidR="00065601" w:rsidRPr="00065601" w:rsidRDefault="00065601" w:rsidP="00065601">
      <w:pPr>
        <w:pStyle w:val="NormalWeb"/>
        <w:spacing w:before="0" w:beforeAutospacing="0" w:after="0" w:afterAutospacing="0" w:line="276" w:lineRule="auto"/>
        <w:jc w:val="center"/>
        <w:rPr>
          <w:sz w:val="20"/>
          <w:szCs w:val="20"/>
        </w:rPr>
      </w:pPr>
    </w:p>
    <w:p w14:paraId="0354BD72" w14:textId="77777777" w:rsidR="00065601" w:rsidRPr="00065601" w:rsidRDefault="00065601" w:rsidP="00065601">
      <w:pPr>
        <w:autoSpaceDE w:val="0"/>
        <w:autoSpaceDN w:val="0"/>
        <w:adjustRightInd w:val="0"/>
        <w:spacing w:after="0"/>
        <w:jc w:val="center"/>
        <w:rPr>
          <w:rFonts w:ascii="Times New Roman" w:eastAsia="PMingLiU" w:hAnsi="Times New Roman"/>
          <w:i/>
          <w:iCs/>
          <w:sz w:val="20"/>
          <w:szCs w:val="20"/>
          <w:lang w:eastAsia="zh-TW"/>
        </w:rPr>
      </w:pPr>
      <w:r w:rsidRPr="00065601">
        <w:rPr>
          <w:rFonts w:ascii="Times New Roman" w:eastAsia="PMingLiU" w:hAnsi="Times New Roman"/>
          <w:i/>
          <w:iCs/>
          <w:sz w:val="20"/>
          <w:szCs w:val="20"/>
          <w:vertAlign w:val="superscript"/>
          <w:lang w:eastAsia="zh-TW"/>
        </w:rPr>
        <w:t>1</w:t>
      </w:r>
      <w:r w:rsidRPr="00065601">
        <w:rPr>
          <w:rFonts w:ascii="Times New Roman" w:eastAsia="PMingLiU" w:hAnsi="Times New Roman"/>
          <w:i/>
          <w:iCs/>
          <w:sz w:val="20"/>
          <w:szCs w:val="20"/>
          <w:lang w:eastAsia="zh-TW"/>
        </w:rPr>
        <w:t xml:space="preserve">Biology Department </w:t>
      </w:r>
    </w:p>
    <w:p w14:paraId="64F47183" w14:textId="77777777" w:rsidR="00065601" w:rsidRPr="00065601" w:rsidRDefault="00065601" w:rsidP="00065601">
      <w:pPr>
        <w:autoSpaceDE w:val="0"/>
        <w:autoSpaceDN w:val="0"/>
        <w:adjustRightInd w:val="0"/>
        <w:spacing w:after="0"/>
        <w:jc w:val="center"/>
        <w:rPr>
          <w:rFonts w:ascii="Times New Roman" w:eastAsia="PMingLiU" w:hAnsi="Times New Roman"/>
          <w:i/>
          <w:iCs/>
          <w:sz w:val="20"/>
          <w:szCs w:val="20"/>
          <w:lang w:eastAsia="zh-TW"/>
        </w:rPr>
      </w:pPr>
      <w:r w:rsidRPr="00065601">
        <w:rPr>
          <w:rFonts w:ascii="Times New Roman" w:eastAsia="PMingLiU" w:hAnsi="Times New Roman"/>
          <w:i/>
          <w:iCs/>
          <w:sz w:val="20"/>
          <w:szCs w:val="20"/>
          <w:vertAlign w:val="superscript"/>
          <w:lang w:eastAsia="zh-TW"/>
        </w:rPr>
        <w:t>2</w:t>
      </w:r>
      <w:r w:rsidRPr="00065601">
        <w:rPr>
          <w:rFonts w:ascii="Times New Roman" w:eastAsia="PMingLiU" w:hAnsi="Times New Roman"/>
          <w:i/>
          <w:iCs/>
          <w:sz w:val="20"/>
          <w:szCs w:val="20"/>
          <w:lang w:eastAsia="zh-TW"/>
        </w:rPr>
        <w:t>Chemistry Department</w:t>
      </w:r>
    </w:p>
    <w:p w14:paraId="10B3AA27" w14:textId="77777777" w:rsidR="00065601" w:rsidRPr="00065601" w:rsidRDefault="00065601" w:rsidP="00065601">
      <w:pPr>
        <w:autoSpaceDE w:val="0"/>
        <w:autoSpaceDN w:val="0"/>
        <w:adjustRightInd w:val="0"/>
        <w:spacing w:after="0"/>
        <w:jc w:val="center"/>
        <w:rPr>
          <w:rFonts w:ascii="Times New Roman" w:eastAsia="PMingLiU" w:hAnsi="Times New Roman"/>
          <w:i/>
          <w:iCs/>
          <w:sz w:val="20"/>
          <w:szCs w:val="20"/>
          <w:lang w:eastAsia="zh-TW"/>
        </w:rPr>
      </w:pPr>
      <w:r w:rsidRPr="00065601">
        <w:rPr>
          <w:rFonts w:ascii="Times New Roman" w:eastAsia="PMingLiU" w:hAnsi="Times New Roman"/>
          <w:i/>
          <w:iCs/>
          <w:sz w:val="20"/>
          <w:szCs w:val="20"/>
          <w:lang w:eastAsia="zh-TW"/>
        </w:rPr>
        <w:t>De La Salle University, 2401 Taft Avenue, Manila 0922, Philippines</w:t>
      </w:r>
    </w:p>
    <w:p w14:paraId="57935270" w14:textId="77777777" w:rsidR="00065601" w:rsidRPr="00065601" w:rsidRDefault="00065601" w:rsidP="00065601">
      <w:pPr>
        <w:autoSpaceDE w:val="0"/>
        <w:autoSpaceDN w:val="0"/>
        <w:adjustRightInd w:val="0"/>
        <w:spacing w:after="0"/>
        <w:jc w:val="center"/>
        <w:rPr>
          <w:rFonts w:ascii="Times New Roman" w:eastAsia="PMingLiU" w:hAnsi="Times New Roman"/>
          <w:i/>
          <w:iCs/>
          <w:sz w:val="20"/>
          <w:szCs w:val="20"/>
          <w:lang w:eastAsia="zh-TW"/>
        </w:rPr>
      </w:pPr>
    </w:p>
    <w:p w14:paraId="49CE7C56" w14:textId="77777777" w:rsidR="00065601" w:rsidRPr="00065601" w:rsidRDefault="00065601" w:rsidP="00065601">
      <w:pPr>
        <w:spacing w:after="0"/>
        <w:jc w:val="center"/>
        <w:rPr>
          <w:rFonts w:ascii="Times New Roman" w:hAnsi="Times New Roman"/>
          <w:i/>
          <w:iCs/>
          <w:sz w:val="20"/>
          <w:szCs w:val="20"/>
        </w:rPr>
      </w:pPr>
      <w:r w:rsidRPr="00065601">
        <w:rPr>
          <w:rFonts w:ascii="Times New Roman" w:hAnsi="Times New Roman"/>
          <w:i/>
          <w:iCs/>
          <w:sz w:val="20"/>
          <w:szCs w:val="20"/>
        </w:rPr>
        <w:t>*Corresponding author:  maria.carmen.tan@dlsu.edu.ph</w:t>
      </w:r>
    </w:p>
    <w:p w14:paraId="1184CD6E" w14:textId="77777777" w:rsidR="00065601" w:rsidRPr="00065601" w:rsidRDefault="00065601" w:rsidP="00065601">
      <w:pPr>
        <w:spacing w:after="0"/>
        <w:jc w:val="center"/>
        <w:rPr>
          <w:rFonts w:ascii="Times New Roman" w:hAnsi="Times New Roman"/>
          <w:noProof/>
          <w:sz w:val="20"/>
          <w:szCs w:val="20"/>
        </w:rPr>
      </w:pPr>
    </w:p>
    <w:p w14:paraId="2EC9B4CD" w14:textId="77777777" w:rsidR="00065601" w:rsidRPr="00065601" w:rsidRDefault="00065601" w:rsidP="00065601">
      <w:pPr>
        <w:spacing w:after="0"/>
        <w:jc w:val="center"/>
        <w:rPr>
          <w:rFonts w:ascii="Times New Roman" w:hAnsi="Times New Roman"/>
          <w:noProof/>
          <w:sz w:val="20"/>
          <w:szCs w:val="20"/>
        </w:rPr>
      </w:pPr>
    </w:p>
    <w:p w14:paraId="0B29ED06" w14:textId="77777777" w:rsidR="00065601" w:rsidRPr="00065601" w:rsidRDefault="00065601" w:rsidP="00065601">
      <w:pPr>
        <w:spacing w:after="0"/>
        <w:jc w:val="center"/>
        <w:rPr>
          <w:rFonts w:ascii="Times New Roman" w:hAnsi="Times New Roman"/>
          <w:noProof/>
          <w:sz w:val="20"/>
          <w:szCs w:val="20"/>
        </w:rPr>
      </w:pPr>
      <w:r w:rsidRPr="00065601">
        <w:rPr>
          <w:rFonts w:ascii="Times New Roman" w:hAnsi="Times New Roman"/>
          <w:noProof/>
          <w:sz w:val="20"/>
          <w:szCs w:val="20"/>
        </w:rPr>
        <w:t>Received: 15 December 2020; Accepted: 27 March 2021; Published:  25 April 2021</w:t>
      </w:r>
    </w:p>
    <w:p w14:paraId="6276BCC5" w14:textId="77777777" w:rsidR="00065601" w:rsidRPr="00065601" w:rsidRDefault="00065601" w:rsidP="00065601">
      <w:pPr>
        <w:spacing w:after="0"/>
        <w:jc w:val="center"/>
        <w:rPr>
          <w:rFonts w:ascii="Times New Roman" w:hAnsi="Times New Roman"/>
          <w:noProof/>
          <w:sz w:val="20"/>
          <w:szCs w:val="20"/>
        </w:rPr>
      </w:pPr>
    </w:p>
    <w:p w14:paraId="0034B740" w14:textId="77777777" w:rsidR="00065601" w:rsidRPr="00065601" w:rsidRDefault="00065601" w:rsidP="00065601">
      <w:pPr>
        <w:spacing w:after="0"/>
        <w:jc w:val="center"/>
        <w:rPr>
          <w:rFonts w:ascii="Times New Roman" w:hAnsi="Times New Roman"/>
          <w:noProof/>
          <w:sz w:val="20"/>
          <w:szCs w:val="20"/>
        </w:rPr>
      </w:pPr>
    </w:p>
    <w:p w14:paraId="0166B206" w14:textId="77777777" w:rsidR="00065601" w:rsidRPr="00065601" w:rsidRDefault="00065601" w:rsidP="00065601">
      <w:pPr>
        <w:spacing w:after="0"/>
        <w:jc w:val="center"/>
        <w:rPr>
          <w:rFonts w:ascii="Times New Roman" w:hAnsi="Times New Roman"/>
          <w:b/>
          <w:noProof/>
          <w:sz w:val="20"/>
          <w:szCs w:val="20"/>
        </w:rPr>
      </w:pPr>
      <w:r w:rsidRPr="00065601">
        <w:rPr>
          <w:rFonts w:ascii="Times New Roman" w:hAnsi="Times New Roman"/>
          <w:b/>
          <w:noProof/>
          <w:sz w:val="20"/>
          <w:szCs w:val="20"/>
        </w:rPr>
        <w:t>Abstract</w:t>
      </w:r>
    </w:p>
    <w:p w14:paraId="5BC84441" w14:textId="77777777" w:rsidR="00065601" w:rsidRPr="00065601" w:rsidRDefault="00065601" w:rsidP="00065601">
      <w:pPr>
        <w:spacing w:after="0"/>
        <w:jc w:val="both"/>
        <w:rPr>
          <w:rFonts w:ascii="Times New Roman" w:hAnsi="Times New Roman"/>
          <w:sz w:val="20"/>
          <w:szCs w:val="20"/>
        </w:rPr>
      </w:pPr>
      <w:r w:rsidRPr="00065601">
        <w:rPr>
          <w:rFonts w:ascii="Times New Roman" w:hAnsi="Times New Roman"/>
          <w:i/>
          <w:iCs/>
          <w:sz w:val="20"/>
          <w:szCs w:val="20"/>
        </w:rPr>
        <w:t xml:space="preserve">Morus rubra </w:t>
      </w:r>
      <w:r w:rsidRPr="00065601">
        <w:rPr>
          <w:rFonts w:ascii="Times New Roman" w:hAnsi="Times New Roman"/>
          <w:sz w:val="20"/>
          <w:szCs w:val="20"/>
        </w:rPr>
        <w:t xml:space="preserve">L., commonly known as red mulberry, contains a myriad of phytochemical compounds. Mulberry plants have been previously studied for their potential in the phytoremediation process of potentially toxic elements (PTEs). In this study, biochars of red mulberry bark were produced by hydrothermal carbonization using a hydrothermal autoclave reactor (HAR) with PTFE liner and a Parr oxygen combustion vessel (POCV). These biochars were chemically characterized and their remediation potential were also investigated. Solvent extraction using dichloromethane was performed on the bark and biochars derived therefrom and the subsequent samples were evaluated using </w:t>
      </w:r>
      <w:bookmarkStart w:id="0" w:name="_Hlk45698438"/>
      <w:r w:rsidRPr="00065601">
        <w:rPr>
          <w:rFonts w:ascii="Times New Roman" w:hAnsi="Times New Roman"/>
          <w:sz w:val="20"/>
          <w:szCs w:val="20"/>
        </w:rPr>
        <w:t>gas chromatography – electron ionization– mass spectrometry</w:t>
      </w:r>
      <w:bookmarkEnd w:id="0"/>
      <w:r w:rsidRPr="00065601">
        <w:rPr>
          <w:rFonts w:ascii="Times New Roman" w:hAnsi="Times New Roman"/>
          <w:sz w:val="20"/>
          <w:szCs w:val="20"/>
        </w:rPr>
        <w:t xml:space="preserve"> (GC–EI–MS</w:t>
      </w:r>
      <w:bookmarkStart w:id="1" w:name="_Hlk45698467"/>
      <w:r w:rsidRPr="00065601">
        <w:rPr>
          <w:rFonts w:ascii="Times New Roman" w:hAnsi="Times New Roman"/>
          <w:sz w:val="20"/>
          <w:szCs w:val="20"/>
        </w:rPr>
        <w:t xml:space="preserve">). Scanning electron microscopy </w:t>
      </w:r>
      <w:bookmarkEnd w:id="1"/>
      <w:r w:rsidRPr="00065601">
        <w:rPr>
          <w:rFonts w:ascii="Times New Roman" w:hAnsi="Times New Roman"/>
          <w:sz w:val="20"/>
          <w:szCs w:val="20"/>
        </w:rPr>
        <w:t xml:space="preserve">(SEM) provided the exterior characterization of these biochars, together with the dried red mulberry bark. Compositional analyses were determined by </w:t>
      </w:r>
      <w:bookmarkStart w:id="2" w:name="_Hlk45698533"/>
      <w:r w:rsidRPr="00065601">
        <w:rPr>
          <w:rFonts w:ascii="Times New Roman" w:hAnsi="Times New Roman"/>
          <w:sz w:val="20"/>
          <w:szCs w:val="20"/>
        </w:rPr>
        <w:t xml:space="preserve">an energy dispersive X-ray spectrometer </w:t>
      </w:r>
      <w:bookmarkEnd w:id="2"/>
      <w:r w:rsidRPr="00065601">
        <w:rPr>
          <w:rFonts w:ascii="Times New Roman" w:hAnsi="Times New Roman"/>
          <w:sz w:val="20"/>
          <w:szCs w:val="20"/>
        </w:rPr>
        <w:t xml:space="preserve">(EDX) and a </w:t>
      </w:r>
      <w:bookmarkStart w:id="3" w:name="_Hlk45698496"/>
      <w:r w:rsidRPr="00065601">
        <w:rPr>
          <w:rFonts w:ascii="Times New Roman" w:hAnsi="Times New Roman"/>
          <w:sz w:val="20"/>
          <w:szCs w:val="20"/>
        </w:rPr>
        <w:t xml:space="preserve">Fourier transform infrared </w:t>
      </w:r>
      <w:bookmarkEnd w:id="3"/>
      <w:r w:rsidRPr="00065601">
        <w:rPr>
          <w:rFonts w:ascii="Times New Roman" w:hAnsi="Times New Roman"/>
          <w:sz w:val="20"/>
          <w:szCs w:val="20"/>
        </w:rPr>
        <w:t>spectrometer (FT-IR). The biochar’s remediation potential of toxic heavy metals was discerned by atomic absorption spectroscopy. Phytochemical analyses revealed the constituents of red mulberry bark which included phytosterol, triterpenes, and triterpenoids, whereas, biochars contained esters, alkanes, alkenes, alkaloids, diene, and fatty alcohol. Comparing the two carbonization processes, the Parr oxygen combustion vessel (POCV) was able to carbonize red mulberry bark more than the hydrothermal autoclave reactor (HAR) with PTFE liner, as observed in their GC-EI-MS and SEM profiles. Elemental analysis showed high percentages of oxygen and carbon in red mulberry bark due to the presence of carbohydrates. Both biochar products effectively absorbed lead (Pb) by almost 60% and minimally absorbed cadmium (Cd) and iron (Fe) in the heavy metal solution. Copper (Cu) and chromium (Cr) were not remediated from the heavy metal solution by both biochar samples.</w:t>
      </w:r>
    </w:p>
    <w:p w14:paraId="2CEF630B" w14:textId="77777777" w:rsidR="00065601" w:rsidRPr="00065601" w:rsidRDefault="00065601" w:rsidP="00065601">
      <w:pPr>
        <w:spacing w:after="0"/>
        <w:jc w:val="both"/>
        <w:rPr>
          <w:rFonts w:ascii="Times New Roman" w:hAnsi="Times New Roman"/>
          <w:sz w:val="20"/>
          <w:szCs w:val="20"/>
        </w:rPr>
      </w:pPr>
    </w:p>
    <w:p w14:paraId="76B76B98" w14:textId="77777777" w:rsidR="00065601" w:rsidRPr="00065601" w:rsidRDefault="00065601" w:rsidP="00065601">
      <w:pPr>
        <w:spacing w:after="0"/>
        <w:ind w:left="1170" w:hanging="1170"/>
        <w:jc w:val="both"/>
        <w:rPr>
          <w:rFonts w:ascii="Times New Roman" w:hAnsi="Times New Roman"/>
          <w:sz w:val="20"/>
          <w:szCs w:val="20"/>
        </w:rPr>
      </w:pPr>
      <w:r w:rsidRPr="00065601">
        <w:rPr>
          <w:rFonts w:ascii="Times New Roman" w:hAnsi="Times New Roman"/>
          <w:b/>
          <w:bCs/>
          <w:sz w:val="20"/>
          <w:szCs w:val="20"/>
        </w:rPr>
        <w:lastRenderedPageBreak/>
        <w:t>Keywords:</w:t>
      </w:r>
      <w:r w:rsidRPr="00065601">
        <w:rPr>
          <w:rFonts w:ascii="Times New Roman" w:hAnsi="Times New Roman"/>
          <w:sz w:val="20"/>
          <w:szCs w:val="20"/>
        </w:rPr>
        <w:t xml:space="preserve"> </w:t>
      </w:r>
      <w:r w:rsidRPr="00065601">
        <w:rPr>
          <w:rFonts w:ascii="Times New Roman" w:hAnsi="Times New Roman"/>
          <w:sz w:val="20"/>
          <w:szCs w:val="20"/>
        </w:rPr>
        <w:tab/>
      </w:r>
      <w:r w:rsidRPr="00065601">
        <w:rPr>
          <w:rFonts w:ascii="Times New Roman" w:hAnsi="Times New Roman"/>
          <w:i/>
          <w:iCs/>
          <w:sz w:val="20"/>
          <w:szCs w:val="20"/>
        </w:rPr>
        <w:t xml:space="preserve">Morus rubra </w:t>
      </w:r>
      <w:r w:rsidRPr="00065601">
        <w:rPr>
          <w:rFonts w:ascii="Times New Roman" w:hAnsi="Times New Roman"/>
          <w:sz w:val="20"/>
          <w:szCs w:val="20"/>
        </w:rPr>
        <w:t>L., gas chromatography-electron ionization-mass spectrometry, scanning electron microscopy, Fourier transform infrared spectroscopy, energy dispersive X-ray analysis</w:t>
      </w:r>
    </w:p>
    <w:p w14:paraId="75A794CF" w14:textId="77777777" w:rsidR="00065601" w:rsidRPr="00065601" w:rsidRDefault="00065601" w:rsidP="00065601">
      <w:pPr>
        <w:spacing w:after="0"/>
        <w:jc w:val="center"/>
        <w:rPr>
          <w:rFonts w:ascii="Times New Roman" w:hAnsi="Times New Roman"/>
          <w:sz w:val="20"/>
          <w:szCs w:val="20"/>
        </w:rPr>
      </w:pPr>
    </w:p>
    <w:p w14:paraId="3904CD4C" w14:textId="77777777" w:rsidR="00065601" w:rsidRPr="00065601" w:rsidRDefault="00065601" w:rsidP="00065601">
      <w:pPr>
        <w:spacing w:after="0"/>
        <w:jc w:val="center"/>
        <w:rPr>
          <w:rFonts w:ascii="Times New Roman" w:hAnsi="Times New Roman"/>
          <w:b/>
          <w:bCs/>
          <w:noProof/>
          <w:sz w:val="20"/>
          <w:szCs w:val="20"/>
        </w:rPr>
      </w:pPr>
      <w:r w:rsidRPr="00065601">
        <w:rPr>
          <w:rFonts w:ascii="Times New Roman" w:hAnsi="Times New Roman"/>
          <w:b/>
          <w:bCs/>
          <w:noProof/>
          <w:sz w:val="20"/>
          <w:szCs w:val="20"/>
        </w:rPr>
        <w:t>Abstrak</w:t>
      </w:r>
    </w:p>
    <w:p w14:paraId="0844BF72" w14:textId="77777777" w:rsidR="00065601" w:rsidRPr="00065601" w:rsidRDefault="00065601" w:rsidP="00065601">
      <w:pPr>
        <w:spacing w:after="0"/>
        <w:jc w:val="both"/>
        <w:rPr>
          <w:rFonts w:ascii="Times New Roman" w:hAnsi="Times New Roman"/>
          <w:noProof/>
          <w:sz w:val="20"/>
          <w:szCs w:val="20"/>
          <w:lang w:val="ms-MY"/>
        </w:rPr>
      </w:pPr>
      <w:r w:rsidRPr="00065601">
        <w:rPr>
          <w:rFonts w:ascii="Times New Roman" w:hAnsi="Times New Roman"/>
          <w:i/>
          <w:iCs/>
          <w:noProof/>
          <w:sz w:val="20"/>
          <w:szCs w:val="20"/>
        </w:rPr>
        <w:t>Morus rubra</w:t>
      </w:r>
      <w:r w:rsidRPr="00065601">
        <w:rPr>
          <w:rFonts w:ascii="Times New Roman" w:hAnsi="Times New Roman"/>
          <w:noProof/>
          <w:sz w:val="20"/>
          <w:szCs w:val="20"/>
        </w:rPr>
        <w:t xml:space="preserve"> L. umum dikenali sebagai mulberi merah, kaya dengan kandungan sebatian fitokimia. Pokok mulberi pada kajian terdahulu melihat potensinya dalam proses fitoremediasi terhadap unsur toksik (PTEs). </w:t>
      </w:r>
      <w:r w:rsidRPr="00065601">
        <w:rPr>
          <w:rFonts w:ascii="Times New Roman" w:hAnsi="Times New Roman"/>
          <w:sz w:val="20"/>
          <w:szCs w:val="20"/>
          <w:lang w:val="ms-MY"/>
        </w:rPr>
        <w:t>Dalam kajian ini, arang bio dari kulit kayu mulberi merah telah dihasilkan melalui pengkarbonan hidrotermal menggunakan reaktor autoklaf hidrotermal (HAR) dengan liner PTFE dan vesel pembakaran oksigen Parr (POCV).</w:t>
      </w:r>
      <w:r w:rsidRPr="00065601">
        <w:rPr>
          <w:rFonts w:ascii="Times New Roman" w:hAnsi="Times New Roman"/>
          <w:noProof/>
          <w:sz w:val="20"/>
          <w:szCs w:val="20"/>
          <w:lang w:val="ms-MY"/>
        </w:rPr>
        <w:t xml:space="preserve"> </w:t>
      </w:r>
      <w:r w:rsidRPr="00065601">
        <w:rPr>
          <w:rFonts w:ascii="Times New Roman" w:hAnsi="Times New Roman"/>
          <w:sz w:val="20"/>
          <w:szCs w:val="20"/>
        </w:rPr>
        <w:t xml:space="preserve">Arang bio yang </w:t>
      </w:r>
      <w:r w:rsidRPr="00065601">
        <w:rPr>
          <w:rFonts w:ascii="Times New Roman" w:hAnsi="Times New Roman"/>
          <w:noProof/>
          <w:sz w:val="20"/>
          <w:szCs w:val="20"/>
          <w:lang w:val="ms-MY"/>
        </w:rPr>
        <w:t>terhasil dicirikan secara kimia dan potensi</w:t>
      </w:r>
      <w:r w:rsidRPr="00065601">
        <w:rPr>
          <w:rFonts w:ascii="Times New Roman" w:hAnsi="Times New Roman"/>
          <w:sz w:val="20"/>
          <w:szCs w:val="20"/>
        </w:rPr>
        <w:t xml:space="preserve"> </w:t>
      </w:r>
      <w:r w:rsidRPr="00065601">
        <w:rPr>
          <w:rFonts w:ascii="Times New Roman" w:hAnsi="Times New Roman"/>
          <w:sz w:val="20"/>
          <w:szCs w:val="20"/>
          <w:lang w:val="ms-MY"/>
        </w:rPr>
        <w:t>pemulihannya turut dikaji.</w:t>
      </w:r>
      <w:r w:rsidRPr="00065601">
        <w:rPr>
          <w:rFonts w:ascii="Times New Roman" w:hAnsi="Times New Roman"/>
          <w:noProof/>
          <w:sz w:val="20"/>
          <w:szCs w:val="20"/>
          <w:lang w:val="ms-MY"/>
        </w:rPr>
        <w:t xml:space="preserve"> </w:t>
      </w:r>
      <w:r w:rsidRPr="00065601">
        <w:rPr>
          <w:rFonts w:ascii="Times New Roman" w:hAnsi="Times New Roman"/>
          <w:sz w:val="20"/>
          <w:szCs w:val="20"/>
          <w:lang w:val="ms-MY"/>
        </w:rPr>
        <w:t>Pengekstrakan pelarut diklorometana digunakan terhadap kulit kayu dan terbitan arang bio dan diikuti analisis menggunakan spektrometri jisim-pengionan elektron-kromatografi gas (GC-EI-MS).</w:t>
      </w:r>
      <w:r w:rsidRPr="00065601">
        <w:rPr>
          <w:rFonts w:ascii="Times New Roman" w:hAnsi="Times New Roman"/>
          <w:noProof/>
          <w:sz w:val="20"/>
          <w:szCs w:val="20"/>
          <w:lang w:val="ms-MY"/>
        </w:rPr>
        <w:t xml:space="preserve"> </w:t>
      </w:r>
      <w:r w:rsidRPr="00065601">
        <w:rPr>
          <w:rFonts w:ascii="Times New Roman" w:hAnsi="Times New Roman"/>
          <w:sz w:val="20"/>
          <w:szCs w:val="20"/>
          <w:lang w:val="ms-MY"/>
        </w:rPr>
        <w:t>Mikroskopi imbasan elektron (SEM) menjelaskan pencirian luar arang bio bersama kayu kulit mulberi merah yang telah dikeringkan.</w:t>
      </w:r>
      <w:r w:rsidRPr="00065601">
        <w:rPr>
          <w:rFonts w:ascii="Times New Roman" w:hAnsi="Times New Roman"/>
          <w:noProof/>
          <w:sz w:val="20"/>
          <w:szCs w:val="20"/>
          <w:lang w:val="ms-MY"/>
        </w:rPr>
        <w:t xml:space="preserve"> </w:t>
      </w:r>
      <w:r w:rsidRPr="00065601">
        <w:rPr>
          <w:rFonts w:ascii="Times New Roman" w:hAnsi="Times New Roman"/>
          <w:sz w:val="20"/>
          <w:szCs w:val="20"/>
          <w:lang w:val="ms-MY"/>
        </w:rPr>
        <w:t>Analisis komposisi telah ditentukan melalui spektometer sinar-X serakan tenaga (EDX) dan spektrometer inframerah transformasi Fourier (FT-IR)</w:t>
      </w:r>
      <w:r w:rsidRPr="00065601">
        <w:rPr>
          <w:rFonts w:ascii="Times New Roman" w:hAnsi="Times New Roman"/>
          <w:noProof/>
          <w:sz w:val="20"/>
          <w:szCs w:val="20"/>
          <w:lang w:val="ms-MY"/>
        </w:rPr>
        <w:t xml:space="preserve">. </w:t>
      </w:r>
      <w:r w:rsidRPr="00065601">
        <w:rPr>
          <w:rFonts w:ascii="Times New Roman" w:hAnsi="Times New Roman"/>
          <w:sz w:val="20"/>
          <w:szCs w:val="20"/>
          <w:lang w:val="ms-MY"/>
        </w:rPr>
        <w:t>Potensi pemulihan arang bio terhadap ketoksikan logam berat telah dianalisa menggunakan spektroskopi serapan atom.</w:t>
      </w:r>
      <w:r w:rsidRPr="00065601">
        <w:rPr>
          <w:rFonts w:ascii="Times New Roman" w:hAnsi="Times New Roman"/>
          <w:sz w:val="20"/>
          <w:szCs w:val="20"/>
        </w:rPr>
        <w:t xml:space="preserve">  </w:t>
      </w:r>
      <w:r w:rsidRPr="00065601">
        <w:rPr>
          <w:rFonts w:ascii="Times New Roman" w:hAnsi="Times New Roman"/>
          <w:noProof/>
          <w:sz w:val="20"/>
          <w:szCs w:val="20"/>
          <w:lang w:val="ms-MY"/>
        </w:rPr>
        <w:t>Analisis fitokimia menjelaskan jujukan kimia bagi kulit kayu mulberi merah termasuklah fitosterol, triterpene, dan triterpenoid, manakala arang bio mengandungi ester, alkana, alkena, alkaloid, diena dan lemak alkohol.</w:t>
      </w:r>
      <w:r w:rsidRPr="00065601">
        <w:rPr>
          <w:rFonts w:ascii="Times New Roman" w:hAnsi="Times New Roman"/>
          <w:sz w:val="20"/>
          <w:szCs w:val="20"/>
        </w:rPr>
        <w:t xml:space="preserve"> Perbandingan dua proses pengkarbonan </w:t>
      </w:r>
      <w:r w:rsidRPr="00065601">
        <w:rPr>
          <w:rFonts w:ascii="Times New Roman" w:hAnsi="Times New Roman"/>
          <w:sz w:val="20"/>
          <w:szCs w:val="20"/>
          <w:lang w:val="ms-MY"/>
        </w:rPr>
        <w:t>vesel pembakaran oksigen Parr (POCV) mampu menghasilkan karbon yang lebih tinggi kandungannya berbanding reaktor autoklaf hidrotermal (HAR) dengan liner PTFE, diperhatikan dalam profil GC-EI-MS dan SEM.</w:t>
      </w:r>
      <w:r w:rsidRPr="00065601">
        <w:rPr>
          <w:rFonts w:ascii="Times New Roman" w:hAnsi="Times New Roman"/>
          <w:noProof/>
          <w:sz w:val="20"/>
          <w:szCs w:val="20"/>
          <w:lang w:val="ms-MY"/>
        </w:rPr>
        <w:t xml:space="preserve"> </w:t>
      </w:r>
      <w:r w:rsidRPr="00065601">
        <w:rPr>
          <w:rFonts w:ascii="Times New Roman" w:hAnsi="Times New Roman"/>
          <w:sz w:val="20"/>
          <w:szCs w:val="20"/>
          <w:lang w:val="ms-MY"/>
        </w:rPr>
        <w:t>Analisis unsur telah menunjukkan peratusan tinggi kehadiran oksigen dan karbon di dalam kulit kayu mulberi merah disebabkan oleh kandungan karbohidrat.</w:t>
      </w:r>
      <w:r w:rsidRPr="00065601">
        <w:rPr>
          <w:rFonts w:ascii="Times New Roman" w:hAnsi="Times New Roman"/>
          <w:sz w:val="20"/>
          <w:szCs w:val="20"/>
        </w:rPr>
        <w:t xml:space="preserve"> </w:t>
      </w:r>
      <w:r w:rsidRPr="00065601">
        <w:rPr>
          <w:rFonts w:ascii="Times New Roman" w:hAnsi="Times New Roman"/>
          <w:sz w:val="20"/>
          <w:szCs w:val="20"/>
          <w:lang w:val="ms-MY"/>
        </w:rPr>
        <w:t>Produk arang bio berkesan menyerap plumbun (Pb) sehingga 60% dan serapan minima bagi kadmium (Cd) dan ferum (Fe) di dalam larutan logam berat. Kuprum (Cu) dan kromium (Cr) tidak dapat dipulihkan dari larutan logam berat oleh kedua-dua sampel arang bio.</w:t>
      </w:r>
      <w:r w:rsidRPr="00065601">
        <w:rPr>
          <w:rFonts w:ascii="Times New Roman" w:hAnsi="Times New Roman"/>
          <w:sz w:val="20"/>
          <w:szCs w:val="20"/>
        </w:rPr>
        <w:t xml:space="preserve"> </w:t>
      </w:r>
    </w:p>
    <w:p w14:paraId="50711BEE" w14:textId="77777777" w:rsidR="00065601" w:rsidRPr="00065601" w:rsidRDefault="00065601" w:rsidP="00065601">
      <w:pPr>
        <w:spacing w:after="0"/>
        <w:jc w:val="both"/>
        <w:rPr>
          <w:rFonts w:ascii="Times New Roman" w:hAnsi="Times New Roman"/>
          <w:sz w:val="20"/>
          <w:szCs w:val="20"/>
        </w:rPr>
      </w:pPr>
    </w:p>
    <w:p w14:paraId="28946509" w14:textId="2E13DCAE" w:rsidR="00B40E61" w:rsidRDefault="00065601" w:rsidP="00065601">
      <w:pPr>
        <w:spacing w:after="0"/>
        <w:ind w:left="1170" w:hanging="1170"/>
        <w:rPr>
          <w:rFonts w:ascii="Times New Roman" w:hAnsi="Times New Roman"/>
          <w:sz w:val="20"/>
          <w:szCs w:val="20"/>
          <w:lang w:val="ms-MY"/>
        </w:rPr>
      </w:pPr>
      <w:r w:rsidRPr="00065601">
        <w:rPr>
          <w:rFonts w:ascii="Times New Roman" w:hAnsi="Times New Roman"/>
          <w:b/>
          <w:bCs/>
          <w:sz w:val="20"/>
          <w:szCs w:val="20"/>
        </w:rPr>
        <w:t>Keywords:</w:t>
      </w:r>
      <w:r w:rsidRPr="00065601">
        <w:rPr>
          <w:rFonts w:ascii="Times New Roman" w:hAnsi="Times New Roman"/>
          <w:sz w:val="20"/>
          <w:szCs w:val="20"/>
        </w:rPr>
        <w:t xml:space="preserve"> </w:t>
      </w:r>
      <w:r w:rsidRPr="00065601">
        <w:rPr>
          <w:rFonts w:ascii="Times New Roman" w:hAnsi="Times New Roman"/>
          <w:sz w:val="20"/>
          <w:szCs w:val="20"/>
        </w:rPr>
        <w:tab/>
      </w:r>
      <w:r w:rsidRPr="00065601">
        <w:rPr>
          <w:rFonts w:ascii="Times New Roman" w:hAnsi="Times New Roman"/>
          <w:i/>
          <w:iCs/>
          <w:sz w:val="20"/>
          <w:szCs w:val="20"/>
        </w:rPr>
        <w:t xml:space="preserve">Morus rubra </w:t>
      </w:r>
      <w:r w:rsidRPr="00065601">
        <w:rPr>
          <w:rFonts w:ascii="Times New Roman" w:hAnsi="Times New Roman"/>
          <w:sz w:val="20"/>
          <w:szCs w:val="20"/>
        </w:rPr>
        <w:t xml:space="preserve">L., </w:t>
      </w:r>
      <w:r w:rsidRPr="00065601">
        <w:rPr>
          <w:rFonts w:ascii="Times New Roman" w:hAnsi="Times New Roman"/>
          <w:sz w:val="20"/>
          <w:szCs w:val="20"/>
          <w:lang w:val="ms-MY"/>
        </w:rPr>
        <w:t>spektrometri jisim-pengionan elektron-kromatografi gas</w:t>
      </w:r>
      <w:r w:rsidRPr="00065601">
        <w:rPr>
          <w:rFonts w:ascii="Times New Roman" w:hAnsi="Times New Roman"/>
          <w:sz w:val="20"/>
          <w:szCs w:val="20"/>
        </w:rPr>
        <w:t xml:space="preserve">, </w:t>
      </w:r>
      <w:r w:rsidRPr="00065601">
        <w:rPr>
          <w:rFonts w:ascii="Times New Roman" w:hAnsi="Times New Roman"/>
          <w:sz w:val="20"/>
          <w:szCs w:val="20"/>
          <w:lang w:val="ms-MY"/>
        </w:rPr>
        <w:t>mikroskopi imbasan elektron</w:t>
      </w:r>
      <w:r w:rsidRPr="00065601">
        <w:rPr>
          <w:rFonts w:ascii="Times New Roman" w:hAnsi="Times New Roman"/>
          <w:sz w:val="20"/>
          <w:szCs w:val="20"/>
        </w:rPr>
        <w:t xml:space="preserve">, </w:t>
      </w:r>
      <w:r w:rsidRPr="00065601">
        <w:rPr>
          <w:rFonts w:ascii="Times New Roman" w:hAnsi="Times New Roman"/>
          <w:sz w:val="20"/>
          <w:szCs w:val="20"/>
          <w:lang w:val="ms-MY"/>
        </w:rPr>
        <w:t>spektrometer inframerah transformasi Fourier</w:t>
      </w:r>
      <w:r w:rsidRPr="00065601">
        <w:rPr>
          <w:rFonts w:ascii="Times New Roman" w:hAnsi="Times New Roman"/>
          <w:sz w:val="20"/>
          <w:szCs w:val="20"/>
        </w:rPr>
        <w:t xml:space="preserve">, </w:t>
      </w:r>
      <w:r w:rsidRPr="00065601">
        <w:rPr>
          <w:rFonts w:ascii="Times New Roman" w:hAnsi="Times New Roman"/>
          <w:sz w:val="20"/>
          <w:szCs w:val="20"/>
          <w:lang w:val="ms-MY"/>
        </w:rPr>
        <w:t>spektometer sinar-X serakan tenaga</w:t>
      </w:r>
    </w:p>
    <w:p w14:paraId="0FD862A2" w14:textId="77777777" w:rsidR="00065601" w:rsidRPr="00065601" w:rsidRDefault="00065601" w:rsidP="00065601">
      <w:pPr>
        <w:spacing w:after="0"/>
        <w:rPr>
          <w:rFonts w:ascii="Times New Roman" w:hAnsi="Times New Roman" w:cs="Times New Roman"/>
          <w:sz w:val="20"/>
          <w:szCs w:val="20"/>
        </w:rPr>
      </w:pPr>
    </w:p>
    <w:p w14:paraId="7C0D6C3B" w14:textId="77777777" w:rsidR="00065601" w:rsidRPr="00510BA6" w:rsidRDefault="00065601" w:rsidP="00065601">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29FE0819"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rPr>
        <w:t xml:space="preserve">Shaheen, S. M., Niazi, N. K., Hassan, N. E. E., Bibi, I., Wang, H., Tsang, D. C. W., Ok, Y. S., Bolan, N. and Rinklebe, J. (2019). Wood-based biochar for the removal of potentially toxic elements in water and wastewater: a critical review. </w:t>
      </w:r>
      <w:r w:rsidRPr="0019229B">
        <w:rPr>
          <w:rFonts w:ascii="Times New Roman" w:hAnsi="Times New Roman"/>
          <w:i/>
          <w:iCs/>
          <w:sz w:val="20"/>
          <w:szCs w:val="20"/>
        </w:rPr>
        <w:t>International Materials Reviews,</w:t>
      </w:r>
      <w:r w:rsidRPr="0019229B">
        <w:rPr>
          <w:rFonts w:ascii="Times New Roman" w:hAnsi="Times New Roman"/>
          <w:sz w:val="20"/>
          <w:szCs w:val="20"/>
        </w:rPr>
        <w:t xml:space="preserve"> 64(4): 216-247. </w:t>
      </w:r>
    </w:p>
    <w:p w14:paraId="118979E2"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Oni, B., Oziegbe, O. and Olawole, O. (2019). Significance of biochar application to the environment and economy. </w:t>
      </w:r>
      <w:r w:rsidRPr="0019229B">
        <w:rPr>
          <w:rFonts w:ascii="Times New Roman" w:hAnsi="Times New Roman"/>
          <w:i/>
          <w:iCs/>
          <w:sz w:val="20"/>
          <w:szCs w:val="20"/>
          <w:shd w:val="clear" w:color="auto" w:fill="FFFFFF"/>
        </w:rPr>
        <w:t>Annals of Agricultural Sciences</w:t>
      </w:r>
      <w:r w:rsidRPr="0019229B">
        <w:rPr>
          <w:rFonts w:ascii="Times New Roman" w:hAnsi="Times New Roman"/>
          <w:sz w:val="20"/>
          <w:szCs w:val="20"/>
          <w:shd w:val="clear" w:color="auto" w:fill="FFFFFF"/>
        </w:rPr>
        <w:t xml:space="preserve">, 64(2): 222-236. </w:t>
      </w:r>
    </w:p>
    <w:p w14:paraId="62157B90" w14:textId="77777777" w:rsidR="00065601"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Yang, X., Zhang, S., Ju, M. and Liu, L. (2019). Preparation and modification of biochar materials and their application in soil remediation. </w:t>
      </w:r>
      <w:r w:rsidRPr="0019229B">
        <w:rPr>
          <w:rFonts w:ascii="Times New Roman" w:hAnsi="Times New Roman"/>
          <w:i/>
          <w:iCs/>
          <w:sz w:val="20"/>
          <w:szCs w:val="20"/>
          <w:shd w:val="clear" w:color="auto" w:fill="FFFFFF"/>
        </w:rPr>
        <w:t>Applied Sciences</w:t>
      </w:r>
      <w:r w:rsidRPr="0019229B">
        <w:rPr>
          <w:rFonts w:ascii="Times New Roman" w:hAnsi="Times New Roman"/>
          <w:sz w:val="20"/>
          <w:szCs w:val="20"/>
          <w:shd w:val="clear" w:color="auto" w:fill="FFFFFF"/>
        </w:rPr>
        <w:t>, 9(7): 1365.</w:t>
      </w:r>
    </w:p>
    <w:p w14:paraId="6D322072" w14:textId="77777777" w:rsidR="00065601" w:rsidRDefault="00065601" w:rsidP="00065601">
      <w:pPr>
        <w:spacing w:after="0"/>
        <w:jc w:val="both"/>
        <w:rPr>
          <w:rFonts w:ascii="Times New Roman" w:hAnsi="Times New Roman"/>
          <w:sz w:val="20"/>
          <w:szCs w:val="20"/>
          <w:shd w:val="clear" w:color="auto" w:fill="FFFFFF"/>
        </w:rPr>
        <w:sectPr w:rsidR="00065601" w:rsidSect="00065601">
          <w:footerReference w:type="even" r:id="rId10"/>
          <w:footerReference w:type="default" r:id="rId11"/>
          <w:type w:val="continuous"/>
          <w:pgSz w:w="12240" w:h="15840" w:code="1"/>
          <w:pgMar w:top="1800" w:right="1469" w:bottom="1699" w:left="1440" w:header="706" w:footer="706" w:gutter="0"/>
          <w:pgNumType w:start="0"/>
          <w:cols w:space="403"/>
          <w:docGrid w:linePitch="360"/>
        </w:sectPr>
      </w:pPr>
    </w:p>
    <w:p w14:paraId="3713AD26" w14:textId="77777777" w:rsidR="00065601" w:rsidRPr="006A2F4C" w:rsidRDefault="00065601" w:rsidP="00065601">
      <w:pPr>
        <w:pStyle w:val="ListParagraph"/>
        <w:numPr>
          <w:ilvl w:val="0"/>
          <w:numId w:val="9"/>
        </w:numPr>
        <w:spacing w:after="0"/>
        <w:jc w:val="both"/>
        <w:rPr>
          <w:rStyle w:val="Hyperlink"/>
          <w:rFonts w:ascii="Times New Roman" w:hAnsi="Times New Roman"/>
          <w:sz w:val="20"/>
          <w:szCs w:val="20"/>
          <w:shd w:val="clear" w:color="auto" w:fill="FFFFFF"/>
        </w:rPr>
      </w:pPr>
      <w:r w:rsidRPr="006A2F4C">
        <w:rPr>
          <w:rFonts w:ascii="Times New Roman" w:hAnsi="Times New Roman"/>
          <w:sz w:val="20"/>
          <w:szCs w:val="20"/>
          <w:shd w:val="clear" w:color="auto" w:fill="FFFFFF"/>
        </w:rPr>
        <w:lastRenderedPageBreak/>
        <w:t xml:space="preserve">Vijayan, K., Tikader, A., Weiguo, Z., Nair, C., Ercisli, S. and Tsou, C. (2011). Morus. </w:t>
      </w:r>
      <w:r w:rsidRPr="006A2F4C">
        <w:rPr>
          <w:rFonts w:ascii="Times New Roman" w:hAnsi="Times New Roman"/>
          <w:i/>
          <w:iCs/>
          <w:sz w:val="20"/>
          <w:szCs w:val="20"/>
          <w:shd w:val="clear" w:color="auto" w:fill="FFFFFF"/>
        </w:rPr>
        <w:t>Wild Crop Relatives: Genomic and Breeding Resources</w:t>
      </w:r>
      <w:r w:rsidRPr="006A2F4C">
        <w:rPr>
          <w:rFonts w:ascii="Times New Roman" w:hAnsi="Times New Roman"/>
          <w:sz w:val="20"/>
          <w:szCs w:val="20"/>
          <w:shd w:val="clear" w:color="auto" w:fill="FFFFFF"/>
        </w:rPr>
        <w:t>: 75-95.</w:t>
      </w:r>
    </w:p>
    <w:p w14:paraId="08E66ED6"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Jiang, Y., Huang, R., Yan, X., Jia, C., Jiang, S. and Long, T. (2017). Mulberry for environmental protection. </w:t>
      </w:r>
      <w:r w:rsidRPr="0019229B">
        <w:rPr>
          <w:rFonts w:ascii="Times New Roman" w:hAnsi="Times New Roman"/>
          <w:i/>
          <w:iCs/>
          <w:sz w:val="20"/>
          <w:szCs w:val="20"/>
        </w:rPr>
        <w:t xml:space="preserve">Pakistan Journal of Botany, </w:t>
      </w:r>
      <w:r w:rsidRPr="0019229B">
        <w:rPr>
          <w:rFonts w:ascii="Times New Roman" w:hAnsi="Times New Roman"/>
          <w:sz w:val="20"/>
          <w:szCs w:val="20"/>
        </w:rPr>
        <w:t xml:space="preserve">49: 781-788. </w:t>
      </w:r>
    </w:p>
    <w:p w14:paraId="0B36CE07"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rPr>
        <w:t>Ercisli, S. and Orhan, E. (2007). Chemical composition of white (</w:t>
      </w:r>
      <w:r w:rsidRPr="0019229B">
        <w:rPr>
          <w:rFonts w:ascii="Times New Roman" w:hAnsi="Times New Roman"/>
          <w:i/>
          <w:iCs/>
          <w:sz w:val="20"/>
          <w:szCs w:val="20"/>
        </w:rPr>
        <w:t>Morus alba</w:t>
      </w:r>
      <w:r w:rsidRPr="0019229B">
        <w:rPr>
          <w:rFonts w:ascii="Times New Roman" w:hAnsi="Times New Roman"/>
          <w:sz w:val="20"/>
          <w:szCs w:val="20"/>
        </w:rPr>
        <w:t>), red (</w:t>
      </w:r>
      <w:r w:rsidRPr="0019229B">
        <w:rPr>
          <w:rFonts w:ascii="Times New Roman" w:hAnsi="Times New Roman"/>
          <w:i/>
          <w:iCs/>
          <w:sz w:val="20"/>
          <w:szCs w:val="20"/>
        </w:rPr>
        <w:t>Morus rubra</w:t>
      </w:r>
      <w:r w:rsidRPr="0019229B">
        <w:rPr>
          <w:rFonts w:ascii="Times New Roman" w:hAnsi="Times New Roman"/>
          <w:sz w:val="20"/>
          <w:szCs w:val="20"/>
        </w:rPr>
        <w:t>), and black (</w:t>
      </w:r>
      <w:r w:rsidRPr="0019229B">
        <w:rPr>
          <w:rFonts w:ascii="Times New Roman" w:hAnsi="Times New Roman"/>
          <w:i/>
          <w:iCs/>
          <w:sz w:val="20"/>
          <w:szCs w:val="20"/>
        </w:rPr>
        <w:t>Morus nigra</w:t>
      </w:r>
      <w:r w:rsidRPr="0019229B">
        <w:rPr>
          <w:rFonts w:ascii="Times New Roman" w:hAnsi="Times New Roman"/>
          <w:sz w:val="20"/>
          <w:szCs w:val="20"/>
        </w:rPr>
        <w:t xml:space="preserve">) mulberry fruits. </w:t>
      </w:r>
      <w:r w:rsidRPr="0019229B">
        <w:rPr>
          <w:rFonts w:ascii="Times New Roman" w:hAnsi="Times New Roman"/>
          <w:i/>
          <w:iCs/>
          <w:sz w:val="20"/>
          <w:szCs w:val="20"/>
        </w:rPr>
        <w:t xml:space="preserve">Food Chemistry, </w:t>
      </w:r>
      <w:r w:rsidRPr="0019229B">
        <w:rPr>
          <w:rFonts w:ascii="Times New Roman" w:hAnsi="Times New Roman"/>
          <w:sz w:val="20"/>
          <w:szCs w:val="20"/>
        </w:rPr>
        <w:t xml:space="preserve">103: 1380-1384. </w:t>
      </w:r>
    </w:p>
    <w:p w14:paraId="508AA48E"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rPr>
        <w:t xml:space="preserve">Sharma, S. B., Gupta, S., Ac, R., Singh, U. R., Rajpoot, R. and Shukla, S. K. (2010). Antidiabetogenic   action   </w:t>
      </w:r>
      <w:r w:rsidRPr="0019229B">
        <w:rPr>
          <w:rFonts w:ascii="Times New Roman" w:hAnsi="Times New Roman"/>
          <w:i/>
          <w:iCs/>
          <w:sz w:val="20"/>
          <w:szCs w:val="20"/>
        </w:rPr>
        <w:t>of Morus rubra</w:t>
      </w:r>
      <w:r w:rsidRPr="0019229B">
        <w:rPr>
          <w:rFonts w:ascii="Times New Roman" w:hAnsi="Times New Roman"/>
          <w:sz w:val="20"/>
          <w:szCs w:val="20"/>
        </w:rPr>
        <w:t xml:space="preserve"> L.  leaf extract in streptozotocin-induced diabetic rats. </w:t>
      </w:r>
      <w:r w:rsidRPr="0019229B">
        <w:rPr>
          <w:rFonts w:ascii="Times New Roman" w:hAnsi="Times New Roman"/>
          <w:i/>
          <w:iCs/>
          <w:sz w:val="20"/>
          <w:szCs w:val="20"/>
        </w:rPr>
        <w:t>Journal of Pharmacy and Pharmacology,</w:t>
      </w:r>
      <w:r w:rsidRPr="0019229B">
        <w:rPr>
          <w:rFonts w:ascii="Times New Roman" w:hAnsi="Times New Roman"/>
          <w:sz w:val="20"/>
          <w:szCs w:val="20"/>
        </w:rPr>
        <w:t xml:space="preserve"> 62: 247-255. </w:t>
      </w:r>
    </w:p>
    <w:p w14:paraId="71D7B665"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Dhiman, S., Kumar, V., Mehta, C., Gat, Y. and Kaur, S. (2019). Bioactive compounds, health benefits and utilisation of </w:t>
      </w:r>
      <w:r w:rsidRPr="0019229B">
        <w:rPr>
          <w:rFonts w:ascii="Times New Roman" w:hAnsi="Times New Roman"/>
          <w:i/>
          <w:iCs/>
          <w:sz w:val="20"/>
          <w:szCs w:val="20"/>
          <w:shd w:val="clear" w:color="auto" w:fill="FFFFFF"/>
        </w:rPr>
        <w:t>Morus</w:t>
      </w:r>
      <w:r w:rsidRPr="0019229B">
        <w:rPr>
          <w:rFonts w:ascii="Times New Roman" w:hAnsi="Times New Roman"/>
          <w:sz w:val="20"/>
          <w:szCs w:val="20"/>
          <w:shd w:val="clear" w:color="auto" w:fill="FFFFFF"/>
        </w:rPr>
        <w:t xml:space="preserve"> spp.– a comprehensive review. </w:t>
      </w:r>
      <w:r w:rsidRPr="0019229B">
        <w:rPr>
          <w:rFonts w:ascii="Times New Roman" w:hAnsi="Times New Roman"/>
          <w:i/>
          <w:iCs/>
          <w:sz w:val="20"/>
          <w:szCs w:val="20"/>
          <w:shd w:val="clear" w:color="auto" w:fill="FFFFFF"/>
        </w:rPr>
        <w:t>The Journal of Horticultural Science and Biotechnology</w:t>
      </w:r>
      <w:r w:rsidRPr="0019229B">
        <w:rPr>
          <w:rFonts w:ascii="Times New Roman" w:hAnsi="Times New Roman"/>
          <w:sz w:val="20"/>
          <w:szCs w:val="20"/>
          <w:shd w:val="clear" w:color="auto" w:fill="FFFFFF"/>
        </w:rPr>
        <w:t xml:space="preserve">, 95(1): 8-18. </w:t>
      </w:r>
    </w:p>
    <w:p w14:paraId="7B7D4696"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Thabti, I., Elfalleh, W., Tlili, N., Ziadi, M., Campos, M. and Ferchichi, A. (2013). Phenols, flavonoids, and antioxidant and antibacterial activity of leaves and stem bark of </w:t>
      </w:r>
      <w:r w:rsidRPr="0019229B">
        <w:rPr>
          <w:rFonts w:ascii="Times New Roman" w:hAnsi="Times New Roman"/>
          <w:i/>
          <w:iCs/>
          <w:sz w:val="20"/>
          <w:szCs w:val="20"/>
          <w:shd w:val="clear" w:color="auto" w:fill="FFFFFF"/>
        </w:rPr>
        <w:t xml:space="preserve">Morus </w:t>
      </w:r>
      <w:r w:rsidRPr="0019229B">
        <w:rPr>
          <w:rFonts w:ascii="Times New Roman" w:hAnsi="Times New Roman"/>
          <w:sz w:val="20"/>
          <w:szCs w:val="20"/>
          <w:shd w:val="clear" w:color="auto" w:fill="FFFFFF"/>
        </w:rPr>
        <w:t xml:space="preserve">species. </w:t>
      </w:r>
      <w:r w:rsidRPr="0019229B">
        <w:rPr>
          <w:rFonts w:ascii="Times New Roman" w:hAnsi="Times New Roman"/>
          <w:i/>
          <w:iCs/>
          <w:sz w:val="20"/>
          <w:szCs w:val="20"/>
          <w:shd w:val="clear" w:color="auto" w:fill="FFFFFF"/>
        </w:rPr>
        <w:t xml:space="preserve">International Journal of Food Properties, </w:t>
      </w:r>
      <w:r w:rsidRPr="0019229B">
        <w:rPr>
          <w:rFonts w:ascii="Times New Roman" w:hAnsi="Times New Roman"/>
          <w:sz w:val="20"/>
          <w:szCs w:val="20"/>
          <w:shd w:val="clear" w:color="auto" w:fill="FFFFFF"/>
        </w:rPr>
        <w:t>17(4): 842-854.</w:t>
      </w:r>
    </w:p>
    <w:p w14:paraId="1009D91D"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Demir, S., Turan, I., Aliyazicioglu, Y., Kilinc, K., Yaman, S. and Ayazoglu Demir, E. (2016). </w:t>
      </w:r>
      <w:r w:rsidRPr="0019229B">
        <w:rPr>
          <w:rFonts w:ascii="Times New Roman" w:hAnsi="Times New Roman"/>
          <w:i/>
          <w:iCs/>
          <w:sz w:val="20"/>
          <w:szCs w:val="20"/>
          <w:shd w:val="clear" w:color="auto" w:fill="FFFFFF"/>
        </w:rPr>
        <w:t>Morus rubra</w:t>
      </w:r>
      <w:r w:rsidRPr="0019229B">
        <w:rPr>
          <w:rFonts w:ascii="Times New Roman" w:hAnsi="Times New Roman"/>
          <w:sz w:val="20"/>
          <w:szCs w:val="20"/>
          <w:shd w:val="clear" w:color="auto" w:fill="FFFFFF"/>
        </w:rPr>
        <w:t xml:space="preserve"> extract induces cell cycle arrest and apoptosis in human colon cancer cells through endoplasmic reticulum stress and telomerase. </w:t>
      </w:r>
      <w:r w:rsidRPr="0019229B">
        <w:rPr>
          <w:rFonts w:ascii="Times New Roman" w:hAnsi="Times New Roman"/>
          <w:i/>
          <w:iCs/>
          <w:sz w:val="20"/>
          <w:szCs w:val="20"/>
          <w:shd w:val="clear" w:color="auto" w:fill="FFFFFF"/>
        </w:rPr>
        <w:t>Nutrition and Cancer</w:t>
      </w:r>
      <w:r w:rsidRPr="0019229B">
        <w:rPr>
          <w:rFonts w:ascii="Times New Roman" w:hAnsi="Times New Roman"/>
          <w:sz w:val="20"/>
          <w:szCs w:val="20"/>
          <w:shd w:val="clear" w:color="auto" w:fill="FFFFFF"/>
        </w:rPr>
        <w:t xml:space="preserve">, 69(1): 74-83. </w:t>
      </w:r>
    </w:p>
    <w:p w14:paraId="64DAE14F"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Selina, I. I. (2014). A comparative study of the amino acid composition of black mulberry </w:t>
      </w:r>
      <w:r w:rsidRPr="0019229B">
        <w:rPr>
          <w:rFonts w:ascii="Times New Roman" w:hAnsi="Times New Roman"/>
          <w:i/>
          <w:iCs/>
          <w:sz w:val="20"/>
          <w:szCs w:val="20"/>
        </w:rPr>
        <w:t>(Morus nigra</w:t>
      </w:r>
      <w:r w:rsidRPr="0019229B">
        <w:rPr>
          <w:rFonts w:ascii="Times New Roman" w:hAnsi="Times New Roman"/>
          <w:sz w:val="20"/>
          <w:szCs w:val="20"/>
        </w:rPr>
        <w:t xml:space="preserve"> L.), white mulberry (</w:t>
      </w:r>
      <w:r w:rsidRPr="0019229B">
        <w:rPr>
          <w:rFonts w:ascii="Times New Roman" w:hAnsi="Times New Roman"/>
          <w:i/>
          <w:iCs/>
          <w:sz w:val="20"/>
          <w:szCs w:val="20"/>
        </w:rPr>
        <w:t>Morus alba</w:t>
      </w:r>
      <w:r w:rsidRPr="0019229B">
        <w:rPr>
          <w:rFonts w:ascii="Times New Roman" w:hAnsi="Times New Roman"/>
          <w:sz w:val="20"/>
          <w:szCs w:val="20"/>
        </w:rPr>
        <w:t xml:space="preserve"> L.) and red mulberry (</w:t>
      </w:r>
      <w:r w:rsidRPr="0019229B">
        <w:rPr>
          <w:rFonts w:ascii="Times New Roman" w:hAnsi="Times New Roman"/>
          <w:i/>
          <w:iCs/>
          <w:sz w:val="20"/>
          <w:szCs w:val="20"/>
        </w:rPr>
        <w:t>Morus rubra</w:t>
      </w:r>
      <w:r w:rsidRPr="0019229B">
        <w:rPr>
          <w:rFonts w:ascii="Times New Roman" w:hAnsi="Times New Roman"/>
          <w:sz w:val="20"/>
          <w:szCs w:val="20"/>
        </w:rPr>
        <w:t xml:space="preserve"> L.). </w:t>
      </w:r>
      <w:r w:rsidRPr="0019229B">
        <w:rPr>
          <w:rFonts w:ascii="Times New Roman" w:hAnsi="Times New Roman"/>
          <w:i/>
          <w:iCs/>
          <w:sz w:val="20"/>
          <w:szCs w:val="20"/>
        </w:rPr>
        <w:t>Basic Research</w:t>
      </w:r>
      <w:r w:rsidRPr="0019229B">
        <w:rPr>
          <w:rFonts w:ascii="Times New Roman" w:hAnsi="Times New Roman"/>
          <w:sz w:val="20"/>
          <w:szCs w:val="20"/>
        </w:rPr>
        <w:t>, 3(4): 770-774.</w:t>
      </w:r>
    </w:p>
    <w:p w14:paraId="3C02813F" w14:textId="77777777" w:rsidR="00065601" w:rsidRPr="006A2F4C"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Ercisli, S., Tosun, M., Duralija, B., Voća, S., Sengul, M. and Turan, M. (2010). Phytochemical content of some black (</w:t>
      </w:r>
      <w:r w:rsidRPr="0019229B">
        <w:rPr>
          <w:rFonts w:ascii="Times New Roman" w:hAnsi="Times New Roman"/>
          <w:i/>
          <w:iCs/>
          <w:sz w:val="20"/>
          <w:szCs w:val="20"/>
        </w:rPr>
        <w:t>Morus nigra</w:t>
      </w:r>
      <w:r w:rsidRPr="0019229B">
        <w:rPr>
          <w:rFonts w:ascii="Times New Roman" w:hAnsi="Times New Roman"/>
          <w:sz w:val="20"/>
          <w:szCs w:val="20"/>
        </w:rPr>
        <w:t xml:space="preserve"> L.) and purple </w:t>
      </w:r>
    </w:p>
    <w:p w14:paraId="472516CB" w14:textId="77777777" w:rsidR="00065601" w:rsidRPr="0019229B" w:rsidRDefault="00065601" w:rsidP="00065601">
      <w:pPr>
        <w:pStyle w:val="ListParagraph"/>
        <w:spacing w:after="0"/>
        <w:ind w:left="360"/>
        <w:contextualSpacing w:val="0"/>
        <w:jc w:val="both"/>
        <w:rPr>
          <w:rFonts w:ascii="Times New Roman" w:hAnsi="Times New Roman"/>
          <w:sz w:val="20"/>
          <w:szCs w:val="20"/>
          <w:shd w:val="clear" w:color="auto" w:fill="FFFFFF"/>
        </w:rPr>
      </w:pPr>
      <w:r w:rsidRPr="0019229B">
        <w:rPr>
          <w:rFonts w:ascii="Times New Roman" w:hAnsi="Times New Roman"/>
          <w:sz w:val="20"/>
          <w:szCs w:val="20"/>
        </w:rPr>
        <w:t>(</w:t>
      </w:r>
      <w:r w:rsidRPr="0019229B">
        <w:rPr>
          <w:rFonts w:ascii="Times New Roman" w:hAnsi="Times New Roman"/>
          <w:i/>
          <w:iCs/>
          <w:sz w:val="20"/>
          <w:szCs w:val="20"/>
        </w:rPr>
        <w:t>Morus rubra</w:t>
      </w:r>
      <w:r w:rsidRPr="0019229B">
        <w:rPr>
          <w:rFonts w:ascii="Times New Roman" w:hAnsi="Times New Roman"/>
          <w:sz w:val="20"/>
          <w:szCs w:val="20"/>
        </w:rPr>
        <w:t xml:space="preserve"> L.)  mulberry genotypes.  </w:t>
      </w:r>
      <w:r w:rsidRPr="0019229B">
        <w:rPr>
          <w:rFonts w:ascii="Times New Roman" w:hAnsi="Times New Roman"/>
          <w:i/>
          <w:iCs/>
          <w:sz w:val="20"/>
          <w:szCs w:val="20"/>
        </w:rPr>
        <w:t>Food Technology &amp; Biotechnology,</w:t>
      </w:r>
      <w:r w:rsidRPr="0019229B">
        <w:rPr>
          <w:rFonts w:ascii="Times New Roman" w:hAnsi="Times New Roman"/>
          <w:sz w:val="20"/>
          <w:szCs w:val="20"/>
        </w:rPr>
        <w:t xml:space="preserve"> 48(1): 102-106.</w:t>
      </w:r>
    </w:p>
    <w:p w14:paraId="74E83978"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Nikolova, T. (2015). Absorption of Pb, Cu, Zn, and Cd type </w:t>
      </w:r>
      <w:r w:rsidRPr="0019229B">
        <w:rPr>
          <w:rFonts w:ascii="Times New Roman" w:hAnsi="Times New Roman"/>
          <w:i/>
          <w:iCs/>
          <w:sz w:val="20"/>
          <w:szCs w:val="20"/>
        </w:rPr>
        <w:t>Morus alba</w:t>
      </w:r>
      <w:r w:rsidRPr="0019229B">
        <w:rPr>
          <w:rFonts w:ascii="Times New Roman" w:hAnsi="Times New Roman"/>
          <w:sz w:val="20"/>
          <w:szCs w:val="20"/>
        </w:rPr>
        <w:t xml:space="preserve"> L. cultivated on soils contaminated with heavy metals. </w:t>
      </w:r>
      <w:r w:rsidRPr="0019229B">
        <w:rPr>
          <w:rFonts w:ascii="Times New Roman" w:hAnsi="Times New Roman"/>
          <w:i/>
          <w:iCs/>
          <w:sz w:val="20"/>
          <w:szCs w:val="20"/>
        </w:rPr>
        <w:t xml:space="preserve">Bulgarian Journal of Agricultural Science, </w:t>
      </w:r>
      <w:r w:rsidRPr="0019229B">
        <w:rPr>
          <w:rFonts w:ascii="Times New Roman" w:hAnsi="Times New Roman"/>
          <w:sz w:val="20"/>
          <w:szCs w:val="20"/>
        </w:rPr>
        <w:t>21(4): 747-750.</w:t>
      </w:r>
    </w:p>
    <w:p w14:paraId="0BF194A0"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Rafati, M., Khorasani, N., Moattar, F., Shirvany, A., Moraghebi, F. and Hosseinzadeh, S. (2011). Phytoremediation potential of </w:t>
      </w:r>
      <w:r w:rsidRPr="0019229B">
        <w:rPr>
          <w:rFonts w:ascii="Times New Roman" w:hAnsi="Times New Roman"/>
          <w:i/>
          <w:iCs/>
          <w:sz w:val="20"/>
          <w:szCs w:val="20"/>
        </w:rPr>
        <w:t>Populus alba</w:t>
      </w:r>
      <w:r w:rsidRPr="0019229B">
        <w:rPr>
          <w:rFonts w:ascii="Times New Roman" w:hAnsi="Times New Roman"/>
          <w:sz w:val="20"/>
          <w:szCs w:val="20"/>
        </w:rPr>
        <w:t xml:space="preserve"> and </w:t>
      </w:r>
      <w:r w:rsidRPr="0019229B">
        <w:rPr>
          <w:rFonts w:ascii="Times New Roman" w:hAnsi="Times New Roman"/>
          <w:i/>
          <w:iCs/>
          <w:sz w:val="20"/>
          <w:szCs w:val="20"/>
        </w:rPr>
        <w:t>Morus alba</w:t>
      </w:r>
      <w:r w:rsidRPr="0019229B">
        <w:rPr>
          <w:rFonts w:ascii="Times New Roman" w:hAnsi="Times New Roman"/>
          <w:sz w:val="20"/>
          <w:szCs w:val="20"/>
        </w:rPr>
        <w:t xml:space="preserve"> for cadmium, chromium and nickel absorption from polluted soil. </w:t>
      </w:r>
      <w:r w:rsidRPr="0019229B">
        <w:rPr>
          <w:rFonts w:ascii="Times New Roman" w:hAnsi="Times New Roman"/>
          <w:i/>
          <w:iCs/>
          <w:sz w:val="20"/>
          <w:szCs w:val="20"/>
        </w:rPr>
        <w:t xml:space="preserve">International Journal of Environmental Research, </w:t>
      </w:r>
      <w:r w:rsidRPr="0019229B">
        <w:rPr>
          <w:rFonts w:ascii="Times New Roman" w:hAnsi="Times New Roman"/>
          <w:sz w:val="20"/>
          <w:szCs w:val="20"/>
        </w:rPr>
        <w:t>5: 961-970.</w:t>
      </w:r>
    </w:p>
    <w:p w14:paraId="4DDF847B"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Zama, E., Zhu, Y., Reid, B. and Sun, G. (2017). The role of biochar properties in influencing the sorption and desorption of Pb(II), Cd(II) and As(III) in aqueous solution. </w:t>
      </w:r>
      <w:r w:rsidRPr="0019229B">
        <w:rPr>
          <w:rFonts w:ascii="Times New Roman" w:hAnsi="Times New Roman"/>
          <w:i/>
          <w:iCs/>
          <w:sz w:val="20"/>
          <w:szCs w:val="20"/>
          <w:shd w:val="clear" w:color="auto" w:fill="FFFFFF"/>
        </w:rPr>
        <w:t>Journal Of Cleaner Production</w:t>
      </w:r>
      <w:r w:rsidRPr="0019229B">
        <w:rPr>
          <w:rFonts w:ascii="Times New Roman" w:hAnsi="Times New Roman"/>
          <w:sz w:val="20"/>
          <w:szCs w:val="20"/>
          <w:shd w:val="clear" w:color="auto" w:fill="FFFFFF"/>
        </w:rPr>
        <w:t>, 148: 127-136.</w:t>
      </w:r>
      <w:hyperlink r:id="rId12" w:history="1"/>
    </w:p>
    <w:p w14:paraId="12EA5208"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Biskup, E., Gołębiowski, M., Gniadecki, R., Stepnowski, P. and Łojkowska, E. (2012). Triterpenoid α-amyrin stimulates proliferation of human keratinocytes but does not protect them against UVB damage. </w:t>
      </w:r>
      <w:r w:rsidRPr="0019229B">
        <w:rPr>
          <w:rFonts w:ascii="Times New Roman" w:hAnsi="Times New Roman"/>
          <w:i/>
          <w:iCs/>
          <w:sz w:val="20"/>
          <w:szCs w:val="20"/>
        </w:rPr>
        <w:t xml:space="preserve">Acta Biochimica Polonica, </w:t>
      </w:r>
      <w:r w:rsidRPr="0019229B">
        <w:rPr>
          <w:rFonts w:ascii="Times New Roman" w:hAnsi="Times New Roman"/>
          <w:sz w:val="20"/>
          <w:szCs w:val="20"/>
        </w:rPr>
        <w:t>59(2): 255-260.</w:t>
      </w:r>
    </w:p>
    <w:p w14:paraId="4259AD3C"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Santos, F., Frota, J., Arruda, B., de Melo, T., da Silva, A. and Brito, G. (2012). Antihyperglycemic and hypolipidemic effects of α, β-amyrin, a triterpenoid mixture from </w:t>
      </w:r>
      <w:r w:rsidRPr="0019229B">
        <w:rPr>
          <w:rFonts w:ascii="Times New Roman" w:hAnsi="Times New Roman"/>
          <w:i/>
          <w:iCs/>
          <w:sz w:val="20"/>
          <w:szCs w:val="20"/>
          <w:shd w:val="clear" w:color="auto" w:fill="FFFFFF"/>
        </w:rPr>
        <w:t>Protium</w:t>
      </w:r>
      <w:r w:rsidRPr="0019229B">
        <w:rPr>
          <w:rFonts w:ascii="Times New Roman" w:hAnsi="Times New Roman"/>
          <w:sz w:val="20"/>
          <w:szCs w:val="20"/>
          <w:shd w:val="clear" w:color="auto" w:fill="FFFFFF"/>
        </w:rPr>
        <w:t xml:space="preserve"> </w:t>
      </w:r>
      <w:r w:rsidRPr="0019229B">
        <w:rPr>
          <w:rFonts w:ascii="Times New Roman" w:hAnsi="Times New Roman"/>
          <w:i/>
          <w:iCs/>
          <w:sz w:val="20"/>
          <w:szCs w:val="20"/>
          <w:shd w:val="clear" w:color="auto" w:fill="FFFFFF"/>
        </w:rPr>
        <w:t>heptaphyllum</w:t>
      </w:r>
      <w:r w:rsidRPr="0019229B">
        <w:rPr>
          <w:rFonts w:ascii="Times New Roman" w:hAnsi="Times New Roman"/>
          <w:sz w:val="20"/>
          <w:szCs w:val="20"/>
          <w:shd w:val="clear" w:color="auto" w:fill="FFFFFF"/>
        </w:rPr>
        <w:t xml:space="preserve"> in mice. </w:t>
      </w:r>
      <w:r w:rsidRPr="0019229B">
        <w:rPr>
          <w:rFonts w:ascii="Times New Roman" w:hAnsi="Times New Roman"/>
          <w:i/>
          <w:iCs/>
          <w:sz w:val="20"/>
          <w:szCs w:val="20"/>
          <w:shd w:val="clear" w:color="auto" w:fill="FFFFFF"/>
        </w:rPr>
        <w:t>Lipids in Health and Disease</w:t>
      </w:r>
      <w:r w:rsidRPr="0019229B">
        <w:rPr>
          <w:rFonts w:ascii="Times New Roman" w:hAnsi="Times New Roman"/>
          <w:sz w:val="20"/>
          <w:szCs w:val="20"/>
          <w:shd w:val="clear" w:color="auto" w:fill="FFFFFF"/>
        </w:rPr>
        <w:t>, 11(1): 98.</w:t>
      </w:r>
    </w:p>
    <w:p w14:paraId="0557B6B6"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Vázquez, LH., Palazon, J. and Navarro-Ocaña, A. (2012). The pentacyclic triterpenes </w:t>
      </w:r>
      <w:r w:rsidRPr="0019229B">
        <w:rPr>
          <w:rFonts w:ascii="Times New Roman" w:hAnsi="Times New Roman"/>
          <w:sz w:val="20"/>
          <w:szCs w:val="20"/>
        </w:rPr>
        <w:sym w:font="Symbol" w:char="F061"/>
      </w:r>
      <w:r w:rsidRPr="0019229B">
        <w:rPr>
          <w:rFonts w:ascii="Times New Roman" w:hAnsi="Times New Roman"/>
          <w:sz w:val="20"/>
          <w:szCs w:val="20"/>
        </w:rPr>
        <w:t xml:space="preserve">, </w:t>
      </w:r>
      <w:r w:rsidRPr="0019229B">
        <w:rPr>
          <w:rFonts w:ascii="Times New Roman" w:hAnsi="Times New Roman"/>
          <w:sz w:val="20"/>
          <w:szCs w:val="20"/>
        </w:rPr>
        <w:sym w:font="Symbol" w:char="F062"/>
      </w:r>
      <w:r w:rsidRPr="0019229B">
        <w:rPr>
          <w:rFonts w:ascii="Times New Roman" w:hAnsi="Times New Roman"/>
          <w:sz w:val="20"/>
          <w:szCs w:val="20"/>
        </w:rPr>
        <w:t xml:space="preserve">-amyrins: A review of sources and biological activities. In V. Rao (Ed), </w:t>
      </w:r>
      <w:r w:rsidRPr="0019229B">
        <w:rPr>
          <w:rFonts w:ascii="Times New Roman" w:hAnsi="Times New Roman"/>
          <w:i/>
          <w:iCs/>
          <w:sz w:val="20"/>
          <w:szCs w:val="20"/>
        </w:rPr>
        <w:t>Phytochemicals – A Global Perspective of Their Role in Nutrition and Health</w:t>
      </w:r>
      <w:r w:rsidRPr="0019229B">
        <w:rPr>
          <w:rFonts w:ascii="Times New Roman" w:hAnsi="Times New Roman"/>
          <w:sz w:val="20"/>
          <w:szCs w:val="20"/>
        </w:rPr>
        <w:t>.</w:t>
      </w:r>
      <w:r w:rsidRPr="0019229B">
        <w:rPr>
          <w:rFonts w:ascii="Times New Roman" w:hAnsi="Times New Roman"/>
          <w:i/>
          <w:iCs/>
          <w:sz w:val="20"/>
          <w:szCs w:val="20"/>
        </w:rPr>
        <w:t xml:space="preserve"> </w:t>
      </w:r>
      <w:r w:rsidRPr="0019229B">
        <w:rPr>
          <w:rFonts w:ascii="Times New Roman" w:hAnsi="Times New Roman"/>
          <w:sz w:val="20"/>
          <w:szCs w:val="20"/>
        </w:rPr>
        <w:t>InTech: pp. 487-502.</w:t>
      </w:r>
    </w:p>
    <w:p w14:paraId="1109046A"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Melo, C., Morais, T., Tomé, A., Brito, G., Chaves, M., Rao, V. and Santos, F. (2011). Anti-inflammatory effect of α, β-amyrin, a triterpene from </w:t>
      </w:r>
      <w:r w:rsidRPr="0019229B">
        <w:rPr>
          <w:rFonts w:ascii="Times New Roman" w:hAnsi="Times New Roman"/>
          <w:i/>
          <w:iCs/>
          <w:sz w:val="20"/>
          <w:szCs w:val="20"/>
          <w:shd w:val="clear" w:color="auto" w:fill="FFFFFF"/>
        </w:rPr>
        <w:t>Protium heptaphyllum</w:t>
      </w:r>
      <w:r w:rsidRPr="0019229B">
        <w:rPr>
          <w:rFonts w:ascii="Times New Roman" w:hAnsi="Times New Roman"/>
          <w:sz w:val="20"/>
          <w:szCs w:val="20"/>
          <w:shd w:val="clear" w:color="auto" w:fill="FFFFFF"/>
        </w:rPr>
        <w:t>, on cerulein-induced acute pancreatitis in mice. </w:t>
      </w:r>
      <w:r w:rsidRPr="0019229B">
        <w:rPr>
          <w:rFonts w:ascii="Times New Roman" w:hAnsi="Times New Roman"/>
          <w:i/>
          <w:iCs/>
          <w:sz w:val="20"/>
          <w:szCs w:val="20"/>
          <w:shd w:val="clear" w:color="auto" w:fill="FFFFFF"/>
        </w:rPr>
        <w:t>Inflammation Research</w:t>
      </w:r>
      <w:r w:rsidRPr="0019229B">
        <w:rPr>
          <w:rFonts w:ascii="Times New Roman" w:hAnsi="Times New Roman"/>
          <w:sz w:val="20"/>
          <w:szCs w:val="20"/>
          <w:shd w:val="clear" w:color="auto" w:fill="FFFFFF"/>
        </w:rPr>
        <w:t xml:space="preserve">, 60(7): 673-681. </w:t>
      </w:r>
    </w:p>
    <w:p w14:paraId="21FB1500" w14:textId="77777777" w:rsidR="00065601" w:rsidRPr="006A2F4C" w:rsidRDefault="00065601" w:rsidP="00065601">
      <w:pPr>
        <w:pStyle w:val="ListParagraph"/>
        <w:numPr>
          <w:ilvl w:val="0"/>
          <w:numId w:val="9"/>
        </w:numPr>
        <w:spacing w:after="0"/>
        <w:contextualSpacing w:val="0"/>
        <w:jc w:val="both"/>
        <w:rPr>
          <w:rFonts w:ascii="Times New Roman" w:hAnsi="Times New Roman"/>
          <w:color w:val="0000FF" w:themeColor="hyperlink"/>
          <w:sz w:val="20"/>
          <w:szCs w:val="20"/>
          <w:u w:val="single"/>
          <w:shd w:val="clear" w:color="auto" w:fill="FFFFFF"/>
        </w:rPr>
      </w:pPr>
      <w:r w:rsidRPr="0019229B">
        <w:rPr>
          <w:rFonts w:ascii="Times New Roman" w:hAnsi="Times New Roman"/>
          <w:sz w:val="20"/>
          <w:szCs w:val="20"/>
          <w:shd w:val="clear" w:color="auto" w:fill="FFFFFF"/>
        </w:rPr>
        <w:t>Victor, M., David, J., dos Santos, M., Barreiros, A., Barreiros, M. and Andrade, F. (2017). Synthesis and evaluation of cytotoxic effects of amino-ester derivatives of natural α, β-amyrin mixture. </w:t>
      </w:r>
      <w:r w:rsidRPr="0019229B">
        <w:rPr>
          <w:rFonts w:ascii="Times New Roman" w:hAnsi="Times New Roman"/>
          <w:i/>
          <w:iCs/>
          <w:sz w:val="20"/>
          <w:szCs w:val="20"/>
          <w:shd w:val="clear" w:color="auto" w:fill="FFFFFF"/>
        </w:rPr>
        <w:t>Journal of The Brazilian Chemical Society</w:t>
      </w:r>
      <w:r w:rsidRPr="0019229B">
        <w:rPr>
          <w:rFonts w:ascii="Times New Roman" w:hAnsi="Times New Roman"/>
          <w:sz w:val="20"/>
          <w:szCs w:val="20"/>
          <w:shd w:val="clear" w:color="auto" w:fill="FFFFFF"/>
        </w:rPr>
        <w:t>, 28(11): 2155-2162.</w:t>
      </w:r>
    </w:p>
    <w:p w14:paraId="38616735" w14:textId="77777777" w:rsidR="00065601" w:rsidRPr="006A2F4C" w:rsidRDefault="00065601" w:rsidP="00065601">
      <w:pPr>
        <w:spacing w:after="0"/>
        <w:jc w:val="both"/>
        <w:rPr>
          <w:rFonts w:ascii="Times New Roman" w:hAnsi="Times New Roman"/>
          <w:color w:val="0000FF" w:themeColor="hyperlink"/>
          <w:sz w:val="20"/>
          <w:szCs w:val="20"/>
          <w:u w:val="single"/>
          <w:shd w:val="clear" w:color="auto" w:fill="FFFFFF"/>
        </w:rPr>
      </w:pPr>
    </w:p>
    <w:p w14:paraId="0BC13DAA" w14:textId="77777777" w:rsidR="00065601" w:rsidRPr="006B172A" w:rsidRDefault="00065601" w:rsidP="00065601">
      <w:pPr>
        <w:pStyle w:val="ListParagraph"/>
        <w:numPr>
          <w:ilvl w:val="0"/>
          <w:numId w:val="9"/>
        </w:numPr>
        <w:spacing w:after="0"/>
        <w:jc w:val="both"/>
        <w:rPr>
          <w:rFonts w:ascii="Times New Roman" w:hAnsi="Times New Roman"/>
          <w:sz w:val="20"/>
          <w:szCs w:val="20"/>
          <w:shd w:val="clear" w:color="auto" w:fill="FFFFFF"/>
        </w:rPr>
      </w:pPr>
      <w:r w:rsidRPr="006B172A">
        <w:rPr>
          <w:rFonts w:ascii="Times New Roman" w:hAnsi="Times New Roman"/>
          <w:sz w:val="20"/>
          <w:szCs w:val="20"/>
          <w:shd w:val="clear" w:color="auto" w:fill="FFFFFF"/>
        </w:rPr>
        <w:lastRenderedPageBreak/>
        <w:t>National Center for Biotechnology Information. PubChem Database. Lanosterol, CID=246983, https://pubchem.ncbi.nlm.nih.gov/compound/Lanosterol [Access online 10 July 2020].</w:t>
      </w:r>
    </w:p>
    <w:p w14:paraId="0F675B55"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Zhao, L., Chen, X., Zhu, J., Xi, Y., Yang, X. and Hu, L. (2015). Lanosterol reverses protein aggregation in cataracts. </w:t>
      </w:r>
      <w:r w:rsidRPr="0019229B">
        <w:rPr>
          <w:rFonts w:ascii="Times New Roman" w:hAnsi="Times New Roman"/>
          <w:i/>
          <w:iCs/>
          <w:sz w:val="20"/>
          <w:szCs w:val="20"/>
          <w:shd w:val="clear" w:color="auto" w:fill="FFFFFF"/>
        </w:rPr>
        <w:t>Nature</w:t>
      </w:r>
      <w:r w:rsidRPr="0019229B">
        <w:rPr>
          <w:rFonts w:ascii="Times New Roman" w:hAnsi="Times New Roman"/>
          <w:sz w:val="20"/>
          <w:szCs w:val="20"/>
          <w:shd w:val="clear" w:color="auto" w:fill="FFFFFF"/>
        </w:rPr>
        <w:t>, 523(7562): 607-611.</w:t>
      </w:r>
    </w:p>
    <w:p w14:paraId="0B2784AE"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Daszynski, D., Santhoshkumar, P., Phadte, A., Sharma, K., Zhong, H., Lou, M. and Kador, P. (2019). Failure of oxysterols such as lanosterol to restore lens clarity from cataracts. </w:t>
      </w:r>
      <w:r w:rsidRPr="0019229B">
        <w:rPr>
          <w:rFonts w:ascii="Times New Roman" w:hAnsi="Times New Roman"/>
          <w:i/>
          <w:iCs/>
          <w:sz w:val="20"/>
          <w:szCs w:val="20"/>
          <w:shd w:val="clear" w:color="auto" w:fill="FFFFFF"/>
        </w:rPr>
        <w:t>Scientific Reports</w:t>
      </w:r>
      <w:r w:rsidRPr="0019229B">
        <w:rPr>
          <w:rFonts w:ascii="Times New Roman" w:hAnsi="Times New Roman"/>
          <w:sz w:val="20"/>
          <w:szCs w:val="20"/>
          <w:shd w:val="clear" w:color="auto" w:fill="FFFFFF"/>
        </w:rPr>
        <w:t xml:space="preserve">, 9(1): 8459. </w:t>
      </w:r>
    </w:p>
    <w:p w14:paraId="0619AE8D"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Shanmugam, P., Barigali, A., Kadaskar, J., Borgohain, S., Mishra, D., Ramanjulu, R. and Minija, C. (2015). Effect of lanosterol on human cataract nucleus. </w:t>
      </w:r>
      <w:r w:rsidRPr="0019229B">
        <w:rPr>
          <w:rFonts w:ascii="Times New Roman" w:hAnsi="Times New Roman"/>
          <w:i/>
          <w:iCs/>
          <w:sz w:val="20"/>
          <w:szCs w:val="20"/>
          <w:shd w:val="clear" w:color="auto" w:fill="FFFFFF"/>
        </w:rPr>
        <w:t>Indian Journal of Ophthalmology</w:t>
      </w:r>
      <w:r w:rsidRPr="0019229B">
        <w:rPr>
          <w:rFonts w:ascii="Times New Roman" w:hAnsi="Times New Roman"/>
          <w:sz w:val="20"/>
          <w:szCs w:val="20"/>
          <w:shd w:val="clear" w:color="auto" w:fill="FFFFFF"/>
        </w:rPr>
        <w:t xml:space="preserve">, 63 (12): 888. </w:t>
      </w:r>
    </w:p>
    <w:p w14:paraId="224A1890"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Tripathi, N., Kumar, S., Singh, R., Singh, C., Singh, P. and Varshney, V. (2013). Isolation and identification of γ- sitosterol by GC-MS from the leaves of </w:t>
      </w:r>
      <w:r w:rsidRPr="0019229B">
        <w:rPr>
          <w:rFonts w:ascii="Times New Roman" w:hAnsi="Times New Roman"/>
          <w:i/>
          <w:iCs/>
          <w:sz w:val="20"/>
          <w:szCs w:val="20"/>
          <w:shd w:val="clear" w:color="auto" w:fill="FFFFFF"/>
        </w:rPr>
        <w:t>Girardinia</w:t>
      </w:r>
      <w:r w:rsidRPr="0019229B">
        <w:rPr>
          <w:rFonts w:ascii="Times New Roman" w:hAnsi="Times New Roman"/>
          <w:sz w:val="20"/>
          <w:szCs w:val="20"/>
          <w:shd w:val="clear" w:color="auto" w:fill="FFFFFF"/>
        </w:rPr>
        <w:t xml:space="preserve"> </w:t>
      </w:r>
      <w:r w:rsidRPr="0019229B">
        <w:rPr>
          <w:rFonts w:ascii="Times New Roman" w:hAnsi="Times New Roman"/>
          <w:i/>
          <w:iCs/>
          <w:sz w:val="20"/>
          <w:szCs w:val="20"/>
          <w:shd w:val="clear" w:color="auto" w:fill="FFFFFF"/>
        </w:rPr>
        <w:t>heterophylla</w:t>
      </w:r>
      <w:r w:rsidRPr="0019229B">
        <w:rPr>
          <w:rFonts w:ascii="Times New Roman" w:hAnsi="Times New Roman"/>
          <w:sz w:val="20"/>
          <w:szCs w:val="20"/>
          <w:shd w:val="clear" w:color="auto" w:fill="FFFFFF"/>
        </w:rPr>
        <w:t xml:space="preserve"> (Decne). </w:t>
      </w:r>
      <w:r w:rsidRPr="0019229B">
        <w:rPr>
          <w:rFonts w:ascii="Times New Roman" w:hAnsi="Times New Roman"/>
          <w:i/>
          <w:iCs/>
          <w:sz w:val="20"/>
          <w:szCs w:val="20"/>
          <w:shd w:val="clear" w:color="auto" w:fill="FFFFFF"/>
        </w:rPr>
        <w:t>The Open Bioactive Compounds Journal</w:t>
      </w:r>
      <w:r w:rsidRPr="0019229B">
        <w:rPr>
          <w:rFonts w:ascii="Times New Roman" w:hAnsi="Times New Roman"/>
          <w:sz w:val="20"/>
          <w:szCs w:val="20"/>
          <w:shd w:val="clear" w:color="auto" w:fill="FFFFFF"/>
        </w:rPr>
        <w:t>, 4(1): 25-27.</w:t>
      </w:r>
    </w:p>
    <w:p w14:paraId="0F9D0EC7"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Endrini, S., Rahmat, A., Ismail, P. and Taufiq-Yap, Y. (2015). Cytotoxic effect of γ-sitosterol from Kejibeling (</w:t>
      </w:r>
      <w:r w:rsidRPr="0019229B">
        <w:rPr>
          <w:rFonts w:ascii="Times New Roman" w:hAnsi="Times New Roman"/>
          <w:i/>
          <w:iCs/>
          <w:sz w:val="20"/>
          <w:szCs w:val="20"/>
          <w:shd w:val="clear" w:color="auto" w:fill="FFFFFF"/>
        </w:rPr>
        <w:t>Strobilanthes crispus</w:t>
      </w:r>
      <w:r w:rsidRPr="0019229B">
        <w:rPr>
          <w:rFonts w:ascii="Times New Roman" w:hAnsi="Times New Roman"/>
          <w:sz w:val="20"/>
          <w:szCs w:val="20"/>
          <w:shd w:val="clear" w:color="auto" w:fill="FFFFFF"/>
        </w:rPr>
        <w:t xml:space="preserve">) and its mechanism of action towards </w:t>
      </w:r>
      <w:r w:rsidRPr="0019229B">
        <w:rPr>
          <w:rFonts w:ascii="Times New Roman" w:hAnsi="Times New Roman"/>
          <w:i/>
          <w:iCs/>
          <w:sz w:val="20"/>
          <w:szCs w:val="20"/>
          <w:shd w:val="clear" w:color="auto" w:fill="FFFFFF"/>
        </w:rPr>
        <w:t>c-myc</w:t>
      </w:r>
      <w:r w:rsidRPr="0019229B">
        <w:rPr>
          <w:rFonts w:ascii="Times New Roman" w:hAnsi="Times New Roman"/>
          <w:sz w:val="20"/>
          <w:szCs w:val="20"/>
          <w:shd w:val="clear" w:color="auto" w:fill="FFFFFF"/>
        </w:rPr>
        <w:t xml:space="preserve"> gene expression and apoptotic pathway. </w:t>
      </w:r>
      <w:r w:rsidRPr="0019229B">
        <w:rPr>
          <w:rFonts w:ascii="Times New Roman" w:hAnsi="Times New Roman"/>
          <w:i/>
          <w:iCs/>
          <w:sz w:val="20"/>
          <w:szCs w:val="20"/>
          <w:shd w:val="clear" w:color="auto" w:fill="FFFFFF"/>
        </w:rPr>
        <w:t>Medical Journal of Indonesia</w:t>
      </w:r>
      <w:r w:rsidRPr="0019229B">
        <w:rPr>
          <w:rFonts w:ascii="Times New Roman" w:hAnsi="Times New Roman"/>
          <w:sz w:val="20"/>
          <w:szCs w:val="20"/>
          <w:shd w:val="clear" w:color="auto" w:fill="FFFFFF"/>
        </w:rPr>
        <w:t>, 23(4): 203-208.</w:t>
      </w:r>
    </w:p>
    <w:p w14:paraId="174CA031"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Corey, E., Hess, H. and Proskow, S. (1963). Synthesis of a β-amyrin derivative, olean-11,12;13,18-diene. </w:t>
      </w:r>
      <w:r w:rsidRPr="0019229B">
        <w:rPr>
          <w:rFonts w:ascii="Times New Roman" w:hAnsi="Times New Roman"/>
          <w:i/>
          <w:iCs/>
          <w:sz w:val="20"/>
          <w:szCs w:val="20"/>
          <w:shd w:val="clear" w:color="auto" w:fill="FFFFFF"/>
        </w:rPr>
        <w:t>Journal of The American Chemical Society</w:t>
      </w:r>
      <w:r w:rsidRPr="0019229B">
        <w:rPr>
          <w:rFonts w:ascii="Times New Roman" w:hAnsi="Times New Roman"/>
          <w:sz w:val="20"/>
          <w:szCs w:val="20"/>
          <w:shd w:val="clear" w:color="auto" w:fill="FFFFFF"/>
        </w:rPr>
        <w:t xml:space="preserve">, 85(24): 3979-3983. </w:t>
      </w:r>
    </w:p>
    <w:p w14:paraId="71AA3E9B"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de Almeida, P., Boleti, A., Rüdiger, A., Lourenço, G., da Veiga Junior, V. and Lima, E. (2015). Anti-inflammatory activity of triterpenes isolated from </w:t>
      </w:r>
      <w:r w:rsidRPr="0019229B">
        <w:rPr>
          <w:rFonts w:ascii="Times New Roman" w:hAnsi="Times New Roman"/>
          <w:i/>
          <w:iCs/>
          <w:sz w:val="20"/>
          <w:szCs w:val="20"/>
          <w:shd w:val="clear" w:color="auto" w:fill="FFFFFF"/>
        </w:rPr>
        <w:t>Protium paniculatum</w:t>
      </w:r>
      <w:r w:rsidRPr="0019229B">
        <w:rPr>
          <w:rFonts w:ascii="Times New Roman" w:hAnsi="Times New Roman"/>
          <w:sz w:val="20"/>
          <w:szCs w:val="20"/>
          <w:shd w:val="clear" w:color="auto" w:fill="FFFFFF"/>
        </w:rPr>
        <w:t xml:space="preserve"> oil-resins. </w:t>
      </w:r>
      <w:r w:rsidRPr="0019229B">
        <w:rPr>
          <w:rFonts w:ascii="Times New Roman" w:hAnsi="Times New Roman"/>
          <w:i/>
          <w:iCs/>
          <w:sz w:val="20"/>
          <w:szCs w:val="20"/>
          <w:shd w:val="clear" w:color="auto" w:fill="FFFFFF"/>
        </w:rPr>
        <w:t>Evidence-Based Complementary and Alternative Medicine</w:t>
      </w:r>
      <w:r w:rsidRPr="0019229B">
        <w:rPr>
          <w:rFonts w:ascii="Times New Roman" w:hAnsi="Times New Roman"/>
          <w:sz w:val="20"/>
          <w:szCs w:val="20"/>
          <w:shd w:val="clear" w:color="auto" w:fill="FFFFFF"/>
        </w:rPr>
        <w:t xml:space="preserve">, 2015: 1-10. </w:t>
      </w:r>
    </w:p>
    <w:p w14:paraId="2B30B31A"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Belakhdar, G., Benjouad, A. and Abdennebi, E.H. (2015). Determination of some bioactive chemical constituents from </w:t>
      </w:r>
      <w:r w:rsidRPr="0019229B">
        <w:rPr>
          <w:rFonts w:ascii="Times New Roman" w:hAnsi="Times New Roman"/>
          <w:i/>
          <w:iCs/>
          <w:sz w:val="20"/>
          <w:szCs w:val="20"/>
          <w:shd w:val="clear" w:color="auto" w:fill="FFFFFF"/>
        </w:rPr>
        <w:t xml:space="preserve">Thesium humile </w:t>
      </w:r>
      <w:r w:rsidRPr="0019229B">
        <w:rPr>
          <w:rFonts w:ascii="Times New Roman" w:hAnsi="Times New Roman"/>
          <w:sz w:val="20"/>
          <w:szCs w:val="20"/>
          <w:shd w:val="clear" w:color="auto" w:fill="FFFFFF"/>
        </w:rPr>
        <w:t xml:space="preserve">vahl. </w:t>
      </w:r>
      <w:r w:rsidRPr="0019229B">
        <w:rPr>
          <w:rFonts w:ascii="Times New Roman" w:hAnsi="Times New Roman"/>
          <w:i/>
          <w:iCs/>
          <w:sz w:val="20"/>
          <w:szCs w:val="20"/>
          <w:shd w:val="clear" w:color="auto" w:fill="FFFFFF"/>
        </w:rPr>
        <w:t xml:space="preserve">Journal of Materials and Environmental Science, </w:t>
      </w:r>
      <w:r w:rsidRPr="0019229B">
        <w:rPr>
          <w:rFonts w:ascii="Times New Roman" w:hAnsi="Times New Roman"/>
          <w:sz w:val="20"/>
          <w:szCs w:val="20"/>
          <w:shd w:val="clear" w:color="auto" w:fill="FFFFFF"/>
        </w:rPr>
        <w:t xml:space="preserve">6(10): 2778- 2783. </w:t>
      </w:r>
    </w:p>
    <w:p w14:paraId="0653AA6A"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Quarta, A., Novais, R., Bettini, S., Iafisco, M., Pullar, R. and Piccirillo, C. (2019). A sustainable multi-function biomorphic material for pollution remediation or UV absorption: Aerosol assisted preparation of highly porous ZnO-based materials from cork templates. </w:t>
      </w:r>
      <w:r w:rsidRPr="0019229B">
        <w:rPr>
          <w:rFonts w:ascii="Times New Roman" w:hAnsi="Times New Roman"/>
          <w:i/>
          <w:iCs/>
          <w:sz w:val="20"/>
          <w:szCs w:val="20"/>
          <w:shd w:val="clear" w:color="auto" w:fill="FFFFFF"/>
        </w:rPr>
        <w:t>Journal of Environmental Chemical Engineering</w:t>
      </w:r>
      <w:r w:rsidRPr="0019229B">
        <w:rPr>
          <w:rFonts w:ascii="Times New Roman" w:hAnsi="Times New Roman"/>
          <w:sz w:val="20"/>
          <w:szCs w:val="20"/>
          <w:shd w:val="clear" w:color="auto" w:fill="FFFFFF"/>
        </w:rPr>
        <w:t xml:space="preserve">, 7(2): 102936. </w:t>
      </w:r>
    </w:p>
    <w:p w14:paraId="52BD604D"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Yashvanth, S., Shobha Rani, S. and Madhavendra, SS. (2015). </w:t>
      </w:r>
      <w:r w:rsidRPr="0019229B">
        <w:rPr>
          <w:rFonts w:ascii="Times New Roman" w:hAnsi="Times New Roman"/>
          <w:i/>
          <w:iCs/>
          <w:sz w:val="20"/>
          <w:szCs w:val="20"/>
          <w:shd w:val="clear" w:color="auto" w:fill="FFFFFF"/>
        </w:rPr>
        <w:t xml:space="preserve">Morus alba </w:t>
      </w:r>
      <w:r w:rsidRPr="0019229B">
        <w:rPr>
          <w:rFonts w:ascii="Times New Roman" w:hAnsi="Times New Roman"/>
          <w:sz w:val="20"/>
          <w:szCs w:val="20"/>
          <w:shd w:val="clear" w:color="auto" w:fill="FFFFFF"/>
        </w:rPr>
        <w:t xml:space="preserve">L., A New Perspective: Scan-ning electron microscopic, micro chemical, GC-MS and UPLC-MS characterisation. </w:t>
      </w:r>
      <w:r w:rsidRPr="0019229B">
        <w:rPr>
          <w:rFonts w:ascii="Times New Roman" w:hAnsi="Times New Roman"/>
          <w:i/>
          <w:iCs/>
          <w:sz w:val="20"/>
          <w:szCs w:val="20"/>
          <w:shd w:val="clear" w:color="auto" w:fill="FFFFFF"/>
        </w:rPr>
        <w:t xml:space="preserve">International Journal of Research in Pharmacy and Chemistry, </w:t>
      </w:r>
      <w:r w:rsidRPr="0019229B">
        <w:rPr>
          <w:rFonts w:ascii="Times New Roman" w:hAnsi="Times New Roman"/>
          <w:sz w:val="20"/>
          <w:szCs w:val="20"/>
          <w:shd w:val="clear" w:color="auto" w:fill="FFFFFF"/>
        </w:rPr>
        <w:t>5(1): 106-115.</w:t>
      </w:r>
    </w:p>
    <w:p w14:paraId="462441DD"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InfoPlease (2020). Carbon (element): Biological importance. Access from </w:t>
      </w:r>
      <w:r w:rsidRPr="006B172A">
        <w:rPr>
          <w:rFonts w:ascii="Times New Roman" w:hAnsi="Times New Roman"/>
          <w:sz w:val="20"/>
          <w:szCs w:val="20"/>
          <w:shd w:val="clear" w:color="auto" w:fill="FFFFFF"/>
        </w:rPr>
        <w:t>https://www</w:t>
      </w:r>
      <w:r w:rsidRPr="0019229B">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Pr="0019229B">
        <w:rPr>
          <w:rFonts w:ascii="Times New Roman" w:hAnsi="Times New Roman"/>
          <w:sz w:val="20"/>
          <w:szCs w:val="20"/>
          <w:shd w:val="clear" w:color="auto" w:fill="FFFFFF"/>
        </w:rPr>
        <w:t>infoplease.com/encyclopedia/science/chemistry/</w:t>
      </w:r>
      <w:r>
        <w:rPr>
          <w:rFonts w:ascii="Times New Roman" w:hAnsi="Times New Roman"/>
          <w:sz w:val="20"/>
          <w:szCs w:val="20"/>
          <w:shd w:val="clear" w:color="auto" w:fill="FFFFFF"/>
        </w:rPr>
        <w:t xml:space="preserve"> </w:t>
      </w:r>
      <w:r w:rsidRPr="0019229B">
        <w:rPr>
          <w:rFonts w:ascii="Times New Roman" w:hAnsi="Times New Roman"/>
          <w:sz w:val="20"/>
          <w:szCs w:val="20"/>
          <w:shd w:val="clear" w:color="auto" w:fill="FFFFFF"/>
        </w:rPr>
        <w:t>elements/carbon/biological-importance. [Access online 13 July 2020].</w:t>
      </w:r>
    </w:p>
    <w:p w14:paraId="77FF9798"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 xml:space="preserve">Chantuma, P., Lacointe, A., Kasemsap, P., Thanisawanyangkura, S., Gohet, E. and Clement, A. (2009). Carbohydrate storage in wood and bark of rubber trees submitted to different level of C demand induced by latex tapping. </w:t>
      </w:r>
      <w:r w:rsidRPr="0019229B">
        <w:rPr>
          <w:rFonts w:ascii="Times New Roman" w:hAnsi="Times New Roman"/>
          <w:i/>
          <w:iCs/>
          <w:sz w:val="20"/>
          <w:szCs w:val="20"/>
        </w:rPr>
        <w:t>Tree Physiology</w:t>
      </w:r>
      <w:r w:rsidRPr="0019229B">
        <w:rPr>
          <w:rFonts w:ascii="Times New Roman" w:hAnsi="Times New Roman"/>
          <w:sz w:val="20"/>
          <w:szCs w:val="20"/>
        </w:rPr>
        <w:t>, 29(8): 1021-1031.</w:t>
      </w:r>
    </w:p>
    <w:p w14:paraId="23679A08"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Krutul, D., Zielenkiewicz, T., Radomski, A., Zawadzki, J., Antczak, A., Drożdżek, M. and Makowski, T. (2011). Metals accumulation in scots pine (</w:t>
      </w:r>
      <w:r w:rsidRPr="0019229B">
        <w:rPr>
          <w:rFonts w:ascii="Times New Roman" w:hAnsi="Times New Roman"/>
          <w:i/>
          <w:iCs/>
          <w:sz w:val="20"/>
          <w:szCs w:val="20"/>
        </w:rPr>
        <w:t>Pinus sylvestris</w:t>
      </w:r>
      <w:r w:rsidRPr="0019229B">
        <w:rPr>
          <w:rFonts w:ascii="Times New Roman" w:hAnsi="Times New Roman"/>
          <w:sz w:val="20"/>
          <w:szCs w:val="20"/>
        </w:rPr>
        <w:t xml:space="preserve"> L.) wood and bark affected with environmental pollution. </w:t>
      </w:r>
      <w:r w:rsidRPr="0019229B">
        <w:rPr>
          <w:rFonts w:ascii="Times New Roman" w:hAnsi="Times New Roman"/>
          <w:i/>
          <w:iCs/>
          <w:sz w:val="20"/>
          <w:szCs w:val="20"/>
        </w:rPr>
        <w:t>Wood Research</w:t>
      </w:r>
      <w:r w:rsidRPr="0019229B">
        <w:rPr>
          <w:rFonts w:ascii="Times New Roman" w:hAnsi="Times New Roman"/>
          <w:sz w:val="20"/>
          <w:szCs w:val="20"/>
        </w:rPr>
        <w:t xml:space="preserve">, 2017(62): 353-364. </w:t>
      </w:r>
    </w:p>
    <w:p w14:paraId="588CE977"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Ross, A., Taylor, C., Yaktine, A. and Cook, H. (2011). Dietary reference intakes for calcium and vitamin D. The National Academies Press, </w:t>
      </w:r>
      <w:r w:rsidRPr="0019229B">
        <w:rPr>
          <w:rFonts w:ascii="Times New Roman" w:hAnsi="Times New Roman"/>
          <w:sz w:val="20"/>
          <w:szCs w:val="20"/>
        </w:rPr>
        <w:t>Washington, DC.</w:t>
      </w:r>
    </w:p>
    <w:p w14:paraId="30E55BCA"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Haas, E. (2011). Role of potassium in maintaining health. Access from </w:t>
      </w:r>
      <w:r w:rsidRPr="006A2F4C">
        <w:rPr>
          <w:rFonts w:ascii="Times New Roman" w:hAnsi="Times New Roman"/>
          <w:sz w:val="20"/>
          <w:szCs w:val="20"/>
          <w:shd w:val="clear" w:color="auto" w:fill="FFFFFF"/>
        </w:rPr>
        <w:t>https://hkpp.org/patients/</w:t>
      </w:r>
      <w:r>
        <w:rPr>
          <w:rFonts w:ascii="Times New Roman" w:hAnsi="Times New Roman"/>
          <w:sz w:val="20"/>
          <w:szCs w:val="20"/>
          <w:shd w:val="clear" w:color="auto" w:fill="FFFFFF"/>
        </w:rPr>
        <w:t xml:space="preserve"> </w:t>
      </w:r>
      <w:r w:rsidRPr="0019229B">
        <w:rPr>
          <w:rFonts w:ascii="Times New Roman" w:hAnsi="Times New Roman"/>
          <w:sz w:val="20"/>
          <w:szCs w:val="20"/>
          <w:shd w:val="clear" w:color="auto" w:fill="FFFFFF"/>
        </w:rPr>
        <w:t>potassium-health [Access online 13 July 2020].</w:t>
      </w:r>
    </w:p>
    <w:p w14:paraId="69FF1AE3"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National Academies of Sciences, Engineering, and Medicine (2019). Dietary reference intakes for sodium and potassium. The National Academies Press, Washington, DC.</w:t>
      </w:r>
    </w:p>
    <w:p w14:paraId="7AB773BE" w14:textId="77777777" w:rsidR="00065601"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sectPr w:rsidR="00065601" w:rsidSect="00065601">
          <w:footerReference w:type="even" r:id="rId13"/>
          <w:footerReference w:type="default" r:id="rId14"/>
          <w:type w:val="evenPage"/>
          <w:pgSz w:w="12240" w:h="15840" w:code="1"/>
          <w:pgMar w:top="1800" w:right="1469" w:bottom="1699" w:left="1440" w:header="706" w:footer="706" w:gutter="0"/>
          <w:pgNumType w:start="0"/>
          <w:cols w:space="403"/>
          <w:docGrid w:linePitch="360"/>
        </w:sectPr>
      </w:pPr>
      <w:r w:rsidRPr="0019229B">
        <w:rPr>
          <w:rFonts w:ascii="Times New Roman" w:hAnsi="Times New Roman"/>
          <w:sz w:val="20"/>
          <w:szCs w:val="20"/>
          <w:shd w:val="clear" w:color="auto" w:fill="FFFFFF"/>
        </w:rPr>
        <w:t>Schwalfenberg, G. and Genuis, S. (2017). The importance of magnesium in clinical healthcare. </w:t>
      </w:r>
      <w:r w:rsidRPr="0019229B">
        <w:rPr>
          <w:rFonts w:ascii="Times New Roman" w:hAnsi="Times New Roman"/>
          <w:i/>
          <w:iCs/>
          <w:sz w:val="20"/>
          <w:szCs w:val="20"/>
          <w:shd w:val="clear" w:color="auto" w:fill="FFFFFF"/>
        </w:rPr>
        <w:t>Scientifica</w:t>
      </w:r>
      <w:r w:rsidRPr="0019229B">
        <w:rPr>
          <w:rFonts w:ascii="Times New Roman" w:hAnsi="Times New Roman"/>
          <w:sz w:val="20"/>
          <w:szCs w:val="20"/>
          <w:shd w:val="clear" w:color="auto" w:fill="FFFFFF"/>
        </w:rPr>
        <w:t xml:space="preserve">, 2017: 1-14. </w:t>
      </w:r>
    </w:p>
    <w:p w14:paraId="6AE034D6" w14:textId="77777777" w:rsidR="00065601"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sectPr w:rsidR="00065601" w:rsidSect="00065601">
          <w:footerReference w:type="even" r:id="rId15"/>
          <w:type w:val="evenPage"/>
          <w:pgSz w:w="12240" w:h="15840" w:code="1"/>
          <w:pgMar w:top="1800" w:right="1469" w:bottom="1699" w:left="1440" w:header="706" w:footer="706" w:gutter="0"/>
          <w:pgNumType w:start="0"/>
          <w:cols w:space="403"/>
          <w:docGrid w:linePitch="360"/>
        </w:sectPr>
      </w:pPr>
    </w:p>
    <w:p w14:paraId="3657D67A" w14:textId="77777777" w:rsidR="00065601" w:rsidRPr="009C05CB" w:rsidRDefault="00065601" w:rsidP="00065601">
      <w:pPr>
        <w:pStyle w:val="ListParagraph"/>
        <w:numPr>
          <w:ilvl w:val="0"/>
          <w:numId w:val="9"/>
        </w:numPr>
        <w:spacing w:after="0"/>
        <w:jc w:val="both"/>
        <w:rPr>
          <w:rFonts w:ascii="Times New Roman" w:hAnsi="Times New Roman"/>
          <w:sz w:val="20"/>
          <w:szCs w:val="20"/>
          <w:shd w:val="clear" w:color="auto" w:fill="FFFFFF"/>
        </w:rPr>
      </w:pPr>
      <w:r w:rsidRPr="009C05CB">
        <w:rPr>
          <w:rFonts w:ascii="Times New Roman" w:hAnsi="Times New Roman"/>
          <w:sz w:val="20"/>
          <w:szCs w:val="20"/>
        </w:rPr>
        <w:t>Institute of Medicine (1997). Dietary reference intakes: Calcium, phosphorus, magnesium, vitamin D and fluoride. National Academy Press, Washington, DC.</w:t>
      </w:r>
    </w:p>
    <w:p w14:paraId="62CBCCFA"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rPr>
        <w:t>Institute of Medicine Panel (US) on Micronutrients (2001). Dietary reference intakes for vitamin A, vitamin K, arsenic, boron, chromium, copper, iodine, iron, manganese, molybdenum, nickel, silicon, vanadium, and zinc. The National Academies Press, Washington, DC.</w:t>
      </w:r>
    </w:p>
    <w:p w14:paraId="3F8377AD"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lang w:eastAsia="en-PH"/>
        </w:rPr>
        <w:t xml:space="preserve">National Research Council (US) Committee on Copper in Drinking Water (2000). Copper in drinking water. National Academy Press, </w:t>
      </w:r>
      <w:r w:rsidRPr="0019229B">
        <w:rPr>
          <w:rFonts w:ascii="Times New Roman" w:hAnsi="Times New Roman"/>
          <w:sz w:val="20"/>
          <w:szCs w:val="20"/>
        </w:rPr>
        <w:t>Washington, DC.</w:t>
      </w:r>
    </w:p>
    <w:p w14:paraId="3192EE0F"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Jose, J. C., Oyong, G., Ajero, M. D., Chiong, I., Cabrera, E., Tan, M. C. S. (2020). Insights on the chemical constituents and hydrothermal carbonization of </w:t>
      </w:r>
      <w:r w:rsidRPr="0019229B">
        <w:rPr>
          <w:rFonts w:ascii="Times New Roman" w:hAnsi="Times New Roman"/>
          <w:i/>
          <w:iCs/>
          <w:sz w:val="20"/>
          <w:szCs w:val="20"/>
          <w:shd w:val="clear" w:color="auto" w:fill="FFFFFF"/>
        </w:rPr>
        <w:t>Crescentia cujete</w:t>
      </w:r>
      <w:r w:rsidRPr="0019229B">
        <w:rPr>
          <w:rFonts w:ascii="Times New Roman" w:hAnsi="Times New Roman"/>
          <w:sz w:val="20"/>
          <w:szCs w:val="20"/>
          <w:shd w:val="clear" w:color="auto" w:fill="FFFFFF"/>
        </w:rPr>
        <w:t xml:space="preserve"> L.. </w:t>
      </w:r>
      <w:r w:rsidRPr="0019229B">
        <w:rPr>
          <w:rFonts w:ascii="Times New Roman" w:hAnsi="Times New Roman"/>
          <w:i/>
          <w:iCs/>
          <w:sz w:val="20"/>
          <w:szCs w:val="20"/>
          <w:shd w:val="clear" w:color="auto" w:fill="FFFFFF"/>
        </w:rPr>
        <w:t xml:space="preserve">Malaysian Journal of Analytical Sciences, </w:t>
      </w:r>
      <w:r w:rsidRPr="0019229B">
        <w:rPr>
          <w:rFonts w:ascii="Times New Roman" w:hAnsi="Times New Roman"/>
          <w:sz w:val="20"/>
          <w:szCs w:val="20"/>
          <w:shd w:val="clear" w:color="auto" w:fill="FFFFFF"/>
        </w:rPr>
        <w:t>24(1): 134-145.</w:t>
      </w:r>
    </w:p>
    <w:p w14:paraId="6CC3707E"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Naron, D., Collard, F., Tyhoda, L. and Görgens, J. (2019). Production of phenols from pyrolysis of sugarcane bagasse lignin: Catalyst screening using thermogravimetric analysis – thermal desorption – gas chromatography – mass spectroscopy. </w:t>
      </w:r>
      <w:r w:rsidRPr="0019229B">
        <w:rPr>
          <w:rFonts w:ascii="Times New Roman" w:hAnsi="Times New Roman"/>
          <w:i/>
          <w:iCs/>
          <w:sz w:val="20"/>
          <w:szCs w:val="20"/>
          <w:shd w:val="clear" w:color="auto" w:fill="FFFFFF"/>
        </w:rPr>
        <w:t>Journal of Analytical and Applied Pyrolysis</w:t>
      </w:r>
      <w:r w:rsidRPr="0019229B">
        <w:rPr>
          <w:rFonts w:ascii="Times New Roman" w:hAnsi="Times New Roman"/>
          <w:sz w:val="20"/>
          <w:szCs w:val="20"/>
          <w:shd w:val="clear" w:color="auto" w:fill="FFFFFF"/>
        </w:rPr>
        <w:t xml:space="preserve">, 138: 120-131. </w:t>
      </w:r>
    </w:p>
    <w:p w14:paraId="20BF70B6"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Pourrut, B., Shahid, M., Dumat, C., Winterton, P. and Pinelli, E. (2011). Lead uptake, toxicity, and detoxification in plants. </w:t>
      </w:r>
      <w:r w:rsidRPr="0019229B">
        <w:rPr>
          <w:rFonts w:ascii="Times New Roman" w:hAnsi="Times New Roman"/>
          <w:i/>
          <w:iCs/>
          <w:sz w:val="20"/>
          <w:szCs w:val="20"/>
          <w:shd w:val="clear" w:color="auto" w:fill="FFFFFF"/>
        </w:rPr>
        <w:t xml:space="preserve">Reviews of Environmental Contamination and Toxicology, </w:t>
      </w:r>
      <w:r w:rsidRPr="0019229B">
        <w:rPr>
          <w:rFonts w:ascii="Times New Roman" w:hAnsi="Times New Roman"/>
          <w:sz w:val="20"/>
          <w:szCs w:val="20"/>
          <w:shd w:val="clear" w:color="auto" w:fill="FFFFFF"/>
        </w:rPr>
        <w:t>213</w:t>
      </w:r>
      <w:r w:rsidRPr="0019229B">
        <w:rPr>
          <w:rFonts w:ascii="Times New Roman" w:hAnsi="Times New Roman"/>
          <w:i/>
          <w:iCs/>
          <w:sz w:val="20"/>
          <w:szCs w:val="20"/>
          <w:shd w:val="clear" w:color="auto" w:fill="FFFFFF"/>
        </w:rPr>
        <w:t>:</w:t>
      </w:r>
      <w:r w:rsidRPr="0019229B">
        <w:rPr>
          <w:rFonts w:ascii="Times New Roman" w:hAnsi="Times New Roman"/>
          <w:sz w:val="20"/>
          <w:szCs w:val="20"/>
          <w:shd w:val="clear" w:color="auto" w:fill="FFFFFF"/>
        </w:rPr>
        <w:t>113-136</w:t>
      </w:r>
      <w:r w:rsidRPr="0019229B">
        <w:rPr>
          <w:rFonts w:ascii="Times New Roman" w:hAnsi="Times New Roman"/>
          <w:i/>
          <w:iCs/>
          <w:sz w:val="20"/>
          <w:szCs w:val="20"/>
          <w:shd w:val="clear" w:color="auto" w:fill="FFFFFF"/>
        </w:rPr>
        <w:t xml:space="preserve">. </w:t>
      </w:r>
    </w:p>
    <w:p w14:paraId="6B53AEFC"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Centers for Disease Control and Prevention (2020). CDC - immediately dangerous to life or health concentrations (IDLH): Lead compounds (as Pb) - NIOSH publications and products. Access from https://www.cdc.gov/</w:t>
      </w:r>
      <w:r>
        <w:rPr>
          <w:rFonts w:ascii="Times New Roman" w:hAnsi="Times New Roman"/>
          <w:sz w:val="20"/>
          <w:szCs w:val="20"/>
          <w:shd w:val="clear" w:color="auto" w:fill="FFFFFF"/>
        </w:rPr>
        <w:t xml:space="preserve"> </w:t>
      </w:r>
      <w:r w:rsidRPr="0019229B">
        <w:rPr>
          <w:rFonts w:ascii="Times New Roman" w:hAnsi="Times New Roman"/>
          <w:sz w:val="20"/>
          <w:szCs w:val="20"/>
          <w:shd w:val="clear" w:color="auto" w:fill="FFFFFF"/>
        </w:rPr>
        <w:t xml:space="preserve">niosh/idlh/7439921.html. [Accessed online 16 July 2020]. </w:t>
      </w:r>
    </w:p>
    <w:p w14:paraId="046CF495"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Sharma, P. and Dubey, R. S. (2005). Lead toxicity in plants. </w:t>
      </w:r>
      <w:r w:rsidRPr="0019229B">
        <w:rPr>
          <w:rFonts w:ascii="Times New Roman" w:hAnsi="Times New Roman"/>
          <w:i/>
          <w:iCs/>
          <w:sz w:val="20"/>
          <w:szCs w:val="20"/>
          <w:shd w:val="clear" w:color="auto" w:fill="FFFFFF"/>
        </w:rPr>
        <w:t xml:space="preserve">Brazilian Journal of Plant Physiology, </w:t>
      </w:r>
      <w:r w:rsidRPr="0019229B">
        <w:rPr>
          <w:rFonts w:ascii="Times New Roman" w:hAnsi="Times New Roman"/>
          <w:sz w:val="20"/>
          <w:szCs w:val="20"/>
          <w:shd w:val="clear" w:color="auto" w:fill="FFFFFF"/>
        </w:rPr>
        <w:t>17(1): 35-52.</w:t>
      </w:r>
    </w:p>
    <w:p w14:paraId="62EFB57E"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Zhou, L., Zhao, Y., Wang, S., Han, S. and Liu, J. (2015). Lead in the soil–mulberry (</w:t>
      </w:r>
      <w:r w:rsidRPr="0019229B">
        <w:rPr>
          <w:rFonts w:ascii="Times New Roman" w:hAnsi="Times New Roman"/>
          <w:i/>
          <w:iCs/>
          <w:sz w:val="20"/>
          <w:szCs w:val="20"/>
          <w:shd w:val="clear" w:color="auto" w:fill="FFFFFF"/>
        </w:rPr>
        <w:t>Morus alba</w:t>
      </w:r>
      <w:r w:rsidRPr="0019229B">
        <w:rPr>
          <w:rFonts w:ascii="Times New Roman" w:hAnsi="Times New Roman"/>
          <w:sz w:val="20"/>
          <w:szCs w:val="20"/>
          <w:shd w:val="clear" w:color="auto" w:fill="FFFFFF"/>
        </w:rPr>
        <w:t xml:space="preserve"> L.)–silkworm (</w:t>
      </w:r>
      <w:r w:rsidRPr="0019229B">
        <w:rPr>
          <w:rFonts w:ascii="Times New Roman" w:hAnsi="Times New Roman"/>
          <w:i/>
          <w:iCs/>
          <w:sz w:val="20"/>
          <w:szCs w:val="20"/>
          <w:shd w:val="clear" w:color="auto" w:fill="FFFFFF"/>
        </w:rPr>
        <w:t>Bombyx mori</w:t>
      </w:r>
      <w:r w:rsidRPr="0019229B">
        <w:rPr>
          <w:rFonts w:ascii="Times New Roman" w:hAnsi="Times New Roman"/>
          <w:sz w:val="20"/>
          <w:szCs w:val="20"/>
          <w:shd w:val="clear" w:color="auto" w:fill="FFFFFF"/>
        </w:rPr>
        <w:t xml:space="preserve">) food chain: Translocation and detoxification. </w:t>
      </w:r>
      <w:r w:rsidRPr="0019229B">
        <w:rPr>
          <w:rFonts w:ascii="Times New Roman" w:hAnsi="Times New Roman"/>
          <w:i/>
          <w:iCs/>
          <w:sz w:val="20"/>
          <w:szCs w:val="20"/>
          <w:shd w:val="clear" w:color="auto" w:fill="FFFFFF"/>
        </w:rPr>
        <w:t xml:space="preserve">Chemosphere, </w:t>
      </w:r>
      <w:r w:rsidRPr="0019229B">
        <w:rPr>
          <w:rFonts w:ascii="Times New Roman" w:hAnsi="Times New Roman"/>
          <w:sz w:val="20"/>
          <w:szCs w:val="20"/>
          <w:shd w:val="clear" w:color="auto" w:fill="FFFFFF"/>
        </w:rPr>
        <w:t xml:space="preserve">128: 171-177. </w:t>
      </w:r>
    </w:p>
    <w:p w14:paraId="211299E9" w14:textId="77777777" w:rsidR="00065601" w:rsidRPr="0019229B"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19229B">
        <w:rPr>
          <w:rFonts w:ascii="Times New Roman" w:hAnsi="Times New Roman"/>
          <w:sz w:val="20"/>
          <w:szCs w:val="20"/>
          <w:shd w:val="clear" w:color="auto" w:fill="FFFFFF"/>
        </w:rPr>
        <w:t>Micić, R., Dimitrijević, D., Kostić, D., Stojanović, G., Mitić, S. and Mitić, M. (2013). Content of heavy metals in mulberry fruits and their extracts-correlation analysis. </w:t>
      </w:r>
      <w:r>
        <w:rPr>
          <w:rFonts w:ascii="Times New Roman" w:hAnsi="Times New Roman"/>
          <w:sz w:val="20"/>
          <w:szCs w:val="20"/>
          <w:shd w:val="clear" w:color="auto" w:fill="FFFFFF"/>
        </w:rPr>
        <w:t xml:space="preserve"> </w:t>
      </w:r>
      <w:r w:rsidRPr="0019229B">
        <w:rPr>
          <w:rFonts w:ascii="Times New Roman" w:hAnsi="Times New Roman"/>
          <w:i/>
          <w:iCs/>
          <w:sz w:val="20"/>
          <w:szCs w:val="20"/>
          <w:shd w:val="clear" w:color="auto" w:fill="FFFFFF"/>
        </w:rPr>
        <w:t>American Journal of Analytical Chemistry</w:t>
      </w:r>
      <w:r w:rsidRPr="0019229B">
        <w:rPr>
          <w:rFonts w:ascii="Times New Roman" w:hAnsi="Times New Roman"/>
          <w:sz w:val="20"/>
          <w:szCs w:val="20"/>
          <w:shd w:val="clear" w:color="auto" w:fill="FFFFFF"/>
        </w:rPr>
        <w:t xml:space="preserve">, 4(11): 674-682. </w:t>
      </w:r>
    </w:p>
    <w:p w14:paraId="61A75224"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Benavides, M. P., Gallego, S. M. and Tomaro, M. L. (2005). Cadmium toxicity in plants. </w:t>
      </w:r>
      <w:r w:rsidRPr="0019229B">
        <w:rPr>
          <w:rFonts w:ascii="Times New Roman" w:hAnsi="Times New Roman"/>
          <w:i/>
          <w:iCs/>
          <w:sz w:val="20"/>
          <w:szCs w:val="20"/>
          <w:shd w:val="clear" w:color="auto" w:fill="FFFFFF"/>
        </w:rPr>
        <w:t xml:space="preserve">Brazilian Journal of Plant Physiology, </w:t>
      </w:r>
      <w:r w:rsidRPr="0019229B">
        <w:rPr>
          <w:rFonts w:ascii="Times New Roman" w:hAnsi="Times New Roman"/>
          <w:sz w:val="20"/>
          <w:szCs w:val="20"/>
          <w:shd w:val="clear" w:color="auto" w:fill="FFFFFF"/>
        </w:rPr>
        <w:t xml:space="preserve">17(1): 21-34. </w:t>
      </w:r>
    </w:p>
    <w:p w14:paraId="6B070864" w14:textId="77777777" w:rsidR="00065601" w:rsidRPr="0019229B"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 xml:space="preserve">Bull, S. (2010). Cadmium toxicological overview. Access from </w:t>
      </w:r>
      <w:r w:rsidRPr="006A2F4C">
        <w:rPr>
          <w:rFonts w:ascii="Times New Roman" w:hAnsi="Times New Roman"/>
          <w:sz w:val="20"/>
          <w:szCs w:val="20"/>
        </w:rPr>
        <w:t>https://assets.publishing.service</w:t>
      </w:r>
      <w:r w:rsidRPr="0019229B">
        <w:rPr>
          <w:rFonts w:ascii="Times New Roman" w:hAnsi="Times New Roman"/>
          <w:sz w:val="20"/>
          <w:szCs w:val="20"/>
        </w:rPr>
        <w:t>.</w:t>
      </w:r>
      <w:r>
        <w:rPr>
          <w:rFonts w:ascii="Times New Roman" w:hAnsi="Times New Roman"/>
          <w:sz w:val="20"/>
          <w:szCs w:val="20"/>
        </w:rPr>
        <w:t xml:space="preserve"> </w:t>
      </w:r>
      <w:r w:rsidRPr="0019229B">
        <w:rPr>
          <w:rFonts w:ascii="Times New Roman" w:hAnsi="Times New Roman"/>
          <w:sz w:val="20"/>
          <w:szCs w:val="20"/>
        </w:rPr>
        <w:t>gov.uk/</w:t>
      </w:r>
      <w:r>
        <w:rPr>
          <w:rFonts w:ascii="Times New Roman" w:hAnsi="Times New Roman"/>
          <w:sz w:val="20"/>
          <w:szCs w:val="20"/>
        </w:rPr>
        <w:t xml:space="preserve"> </w:t>
      </w:r>
      <w:r w:rsidRPr="0019229B">
        <w:rPr>
          <w:rFonts w:ascii="Times New Roman" w:hAnsi="Times New Roman"/>
          <w:sz w:val="20"/>
          <w:szCs w:val="20"/>
        </w:rPr>
        <w:t>government/uploads/system/uploads/attachment_data/file/337542/hpa_cadmium_toxicological_overview_v3.pdf</w:t>
      </w:r>
      <w:r w:rsidRPr="0019229B">
        <w:rPr>
          <w:rStyle w:val="Hyperlink"/>
          <w:rFonts w:ascii="Times New Roman" w:hAnsi="Times New Roman"/>
          <w:sz w:val="20"/>
          <w:szCs w:val="20"/>
        </w:rPr>
        <w:t xml:space="preserve"> </w:t>
      </w:r>
      <w:r w:rsidRPr="0019229B">
        <w:rPr>
          <w:rFonts w:ascii="Times New Roman" w:hAnsi="Times New Roman"/>
          <w:sz w:val="20"/>
          <w:szCs w:val="20"/>
          <w:shd w:val="clear" w:color="auto" w:fill="FFFFFF"/>
        </w:rPr>
        <w:t>[Accessed online 16 July 2020].</w:t>
      </w:r>
    </w:p>
    <w:p w14:paraId="07D9D1F4" w14:textId="77777777" w:rsidR="00065601" w:rsidRPr="007E57D3" w:rsidRDefault="00065601" w:rsidP="00065601">
      <w:pPr>
        <w:pStyle w:val="ListParagraph"/>
        <w:numPr>
          <w:ilvl w:val="0"/>
          <w:numId w:val="9"/>
        </w:numPr>
        <w:spacing w:after="0"/>
        <w:contextualSpacing w:val="0"/>
        <w:jc w:val="both"/>
        <w:rPr>
          <w:rStyle w:val="Hyperlink"/>
          <w:rFonts w:ascii="Times New Roman" w:hAnsi="Times New Roman"/>
          <w:sz w:val="20"/>
          <w:szCs w:val="20"/>
          <w:shd w:val="clear" w:color="auto" w:fill="FFFFFF"/>
        </w:rPr>
      </w:pPr>
      <w:r w:rsidRPr="007E57D3">
        <w:rPr>
          <w:rStyle w:val="Hyperlink"/>
          <w:rFonts w:ascii="Times New Roman" w:hAnsi="Times New Roman"/>
          <w:sz w:val="20"/>
          <w:szCs w:val="20"/>
          <w:shd w:val="clear" w:color="auto" w:fill="FFFFFF"/>
        </w:rPr>
        <w:t>Baruah, K. K. and Bharali, A. (2015). Physiological basis of iron toxicity and its management in crops. In: Amrit L.S. Recent advances in crop physiology</w:t>
      </w:r>
      <w:r w:rsidRPr="007E57D3">
        <w:rPr>
          <w:rStyle w:val="Hyperlink"/>
          <w:rFonts w:ascii="Times New Roman" w:hAnsi="Times New Roman"/>
          <w:i/>
          <w:iCs/>
          <w:sz w:val="20"/>
          <w:szCs w:val="20"/>
          <w:shd w:val="clear" w:color="auto" w:fill="FFFFFF"/>
        </w:rPr>
        <w:t xml:space="preserve">. </w:t>
      </w:r>
      <w:r w:rsidRPr="007E57D3">
        <w:rPr>
          <w:rStyle w:val="Hyperlink"/>
          <w:rFonts w:ascii="Times New Roman" w:hAnsi="Times New Roman"/>
          <w:sz w:val="20"/>
          <w:szCs w:val="20"/>
          <w:shd w:val="clear" w:color="auto" w:fill="FFFFFF"/>
        </w:rPr>
        <w:t>Daya Publishing House®, New Delhi, India</w:t>
      </w:r>
    </w:p>
    <w:p w14:paraId="4A58273A" w14:textId="77777777" w:rsidR="00065601" w:rsidRPr="007E57D3" w:rsidRDefault="00065601" w:rsidP="00065601">
      <w:pPr>
        <w:pStyle w:val="ListParagraph"/>
        <w:numPr>
          <w:ilvl w:val="0"/>
          <w:numId w:val="9"/>
        </w:numPr>
        <w:spacing w:after="0"/>
        <w:contextualSpacing w:val="0"/>
        <w:jc w:val="both"/>
        <w:rPr>
          <w:rFonts w:ascii="Times New Roman" w:hAnsi="Times New Roman"/>
          <w:sz w:val="20"/>
          <w:szCs w:val="20"/>
          <w:shd w:val="clear" w:color="auto" w:fill="FFFFFF"/>
        </w:rPr>
      </w:pPr>
      <w:r w:rsidRPr="0019229B">
        <w:rPr>
          <w:rFonts w:ascii="Times New Roman" w:hAnsi="Times New Roman"/>
          <w:sz w:val="20"/>
          <w:szCs w:val="20"/>
          <w:shd w:val="clear" w:color="auto" w:fill="FFFFFF"/>
        </w:rPr>
        <w:t>Abhilash, K., Arul, J. and Bala, D. (2013). Fatal overdose of iron tablets in adults. </w:t>
      </w:r>
      <w:r w:rsidRPr="0019229B">
        <w:rPr>
          <w:rFonts w:ascii="Times New Roman" w:hAnsi="Times New Roman"/>
          <w:i/>
          <w:iCs/>
          <w:sz w:val="20"/>
          <w:szCs w:val="20"/>
          <w:shd w:val="clear" w:color="auto" w:fill="FFFFFF"/>
        </w:rPr>
        <w:t>Indian Journal of Critical Care Medicine</w:t>
      </w:r>
      <w:r w:rsidRPr="0019229B">
        <w:rPr>
          <w:rFonts w:ascii="Times New Roman" w:hAnsi="Times New Roman"/>
          <w:sz w:val="20"/>
          <w:szCs w:val="20"/>
          <w:shd w:val="clear" w:color="auto" w:fill="FFFFFF"/>
        </w:rPr>
        <w:t xml:space="preserve">, 17(5): 311-313. </w:t>
      </w:r>
    </w:p>
    <w:p w14:paraId="28AF9B97" w14:textId="32E5AEA4" w:rsidR="009C3305" w:rsidRDefault="00065601" w:rsidP="00065601">
      <w:pPr>
        <w:tabs>
          <w:tab w:val="left" w:pos="5059"/>
        </w:tabs>
        <w:spacing w:after="0"/>
        <w:ind w:left="1260" w:hanging="1260"/>
        <w:jc w:val="both"/>
        <w:rPr>
          <w:rFonts w:ascii="Times New Roman" w:hAnsi="Times New Roman"/>
          <w:noProof/>
          <w:sz w:val="20"/>
          <w:szCs w:val="20"/>
        </w:rPr>
        <w:sectPr w:rsidR="009C3305" w:rsidSect="00065601">
          <w:footerReference w:type="even" r:id="rId16"/>
          <w:footerReference w:type="default" r:id="rId17"/>
          <w:type w:val="continuous"/>
          <w:pgSz w:w="12240" w:h="15840" w:code="1"/>
          <w:pgMar w:top="1800" w:right="1469" w:bottom="1699" w:left="1440" w:header="706" w:footer="706" w:gutter="0"/>
          <w:pgNumType w:start="1"/>
          <w:cols w:space="403"/>
          <w:docGrid w:linePitch="360"/>
        </w:sectPr>
      </w:pPr>
      <w:r w:rsidRPr="0019229B">
        <w:rPr>
          <w:rFonts w:ascii="Times New Roman" w:hAnsi="Times New Roman"/>
          <w:sz w:val="20"/>
          <w:szCs w:val="20"/>
          <w:shd w:val="clear" w:color="auto" w:fill="FFFFFF"/>
        </w:rPr>
        <w:t>Shanker, A., Cervantes, C., Lozatavera, H. and Avudainayagam, S. (2005). Chromium toxicity in plants. </w:t>
      </w:r>
      <w:r w:rsidRPr="0019229B">
        <w:rPr>
          <w:rFonts w:ascii="Times New Roman" w:hAnsi="Times New Roman"/>
          <w:i/>
          <w:iCs/>
          <w:sz w:val="20"/>
          <w:szCs w:val="20"/>
          <w:shd w:val="clear" w:color="auto" w:fill="FFFFFF"/>
        </w:rPr>
        <w:t>Environment International</w:t>
      </w:r>
      <w:r w:rsidRPr="0019229B">
        <w:rPr>
          <w:rFonts w:ascii="Times New Roman" w:hAnsi="Times New Roman"/>
          <w:sz w:val="20"/>
          <w:szCs w:val="20"/>
          <w:shd w:val="clear" w:color="auto" w:fill="FFFFFF"/>
        </w:rPr>
        <w:t>, 31(5): 739-753.</w:t>
      </w: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8"/>
      <w:headerReference w:type="default" r:id="rId19"/>
      <w:footerReference w:type="even" r:id="rId20"/>
      <w:headerReference w:type="first" r:id="rId2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A9DD" w14:textId="77777777" w:rsidR="00065601" w:rsidRDefault="0006560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6D7B" w14:textId="77777777" w:rsidR="00065601" w:rsidRPr="004B43FF" w:rsidRDefault="00065601">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1FCA" w14:textId="77777777" w:rsidR="00065601" w:rsidRDefault="0006560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338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7AFA" w14:textId="77777777" w:rsidR="00065601" w:rsidRPr="004B43FF" w:rsidRDefault="00065601">
    <w:pPr>
      <w:pStyle w:val="Footer"/>
      <w:rPr>
        <w:rFonts w:ascii="Times New Roman" w:hAnsi="Times New Roman"/>
        <w:lang w:val="en-US"/>
      </w:rPr>
    </w:pPr>
    <w:r>
      <w:rPr>
        <w:rFonts w:ascii="Times New Roman" w:hAnsi="Times New Roman"/>
        <w:noProof/>
        <w:lang w:val="en-US"/>
      </w:rPr>
      <w:t>339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0554" w14:textId="77777777" w:rsidR="00065601" w:rsidRDefault="0006560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656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65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85E"/>
    <w:multiLevelType w:val="hybridMultilevel"/>
    <w:tmpl w:val="1892FC3A"/>
    <w:lvl w:ilvl="0" w:tplc="F6A0FC70">
      <w:start w:val="1"/>
      <w:numFmt w:val="decimal"/>
      <w:lvlText w:val="%1."/>
      <w:lvlJc w:val="left"/>
      <w:pPr>
        <w:ind w:left="36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65601"/>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75E1A"/>
    <w:rsid w:val="009A4A79"/>
    <w:rsid w:val="009A5A4D"/>
    <w:rsid w:val="009C3305"/>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styleId="NormalWeb">
    <w:name w:val="Normal (Web)"/>
    <w:basedOn w:val="Normal"/>
    <w:uiPriority w:val="99"/>
    <w:unhideWhenUsed/>
    <w:rsid w:val="00065601"/>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doi.org/10.1016/j.jclepro.2017.01.125" TargetMode="Externa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2</cp:revision>
  <cp:lastPrinted>2020-04-01T04:48:00Z</cp:lastPrinted>
  <dcterms:created xsi:type="dcterms:W3CDTF">2021-04-17T10:43:00Z</dcterms:created>
  <dcterms:modified xsi:type="dcterms:W3CDTF">2021-04-17T10:43:00Z</dcterms:modified>
</cp:coreProperties>
</file>