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A9DEE84"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BE5F5F" w:rsidRPr="001E55BE">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9C3305">
        <w:rPr>
          <w:rFonts w:ascii="Times New Roman" w:hAnsi="Times New Roman" w:cs="Times New Roman"/>
          <w:b/>
          <w:i/>
          <w:sz w:val="24"/>
          <w:szCs w:val="24"/>
        </w:rPr>
        <w:t>311</w:t>
      </w:r>
      <w:r w:rsidR="001E55BE" w:rsidRPr="001E55BE">
        <w:rPr>
          <w:rFonts w:ascii="Times New Roman" w:hAnsi="Times New Roman" w:cs="Times New Roman"/>
          <w:b/>
          <w:i/>
          <w:sz w:val="24"/>
          <w:szCs w:val="24"/>
        </w:rPr>
        <w:t xml:space="preserve"> - </w:t>
      </w:r>
      <w:r w:rsidR="009C3305">
        <w:rPr>
          <w:rFonts w:ascii="Times New Roman" w:hAnsi="Times New Roman" w:cs="Times New Roman"/>
          <w:b/>
          <w:i/>
          <w:sz w:val="24"/>
          <w:szCs w:val="24"/>
        </w:rPr>
        <w:t>323</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47D425F4" w14:textId="6A48F19B" w:rsidR="009C3305" w:rsidRPr="003C3001" w:rsidRDefault="009C3305" w:rsidP="009C3305">
      <w:pPr>
        <w:spacing w:after="0"/>
        <w:jc w:val="center"/>
        <w:outlineLvl w:val="0"/>
        <w:rPr>
          <w:rFonts w:ascii="Times New Roman" w:hAnsi="Times New Roman"/>
          <w:bCs/>
          <w:sz w:val="28"/>
        </w:rPr>
      </w:pPr>
      <w:r w:rsidRPr="003C3001">
        <w:rPr>
          <w:rFonts w:ascii="Times New Roman" w:hAnsi="Times New Roman"/>
          <w:bCs/>
          <w:sz w:val="28"/>
        </w:rPr>
        <w:t>INFLUENCE OF MINERALS ON CONTROL MEASUREMENT OF</w:t>
      </w:r>
      <w:r w:rsidR="00D52597">
        <w:rPr>
          <w:rFonts w:ascii="Times New Roman" w:hAnsi="Times New Roman"/>
          <w:bCs/>
          <w:sz w:val="28"/>
        </w:rPr>
        <w:t xml:space="preserve"> </w:t>
      </w:r>
      <w:r w:rsidRPr="003C3001">
        <w:rPr>
          <w:rFonts w:ascii="Times New Roman" w:hAnsi="Times New Roman"/>
          <w:bCs/>
          <w:sz w:val="28"/>
        </w:rPr>
        <w:t xml:space="preserve">AMMONIUM, NITRITE, NITRATE AND PHOSPHATE USING </w:t>
      </w:r>
    </w:p>
    <w:p w14:paraId="30C0DFFA" w14:textId="77777777" w:rsidR="009C3305" w:rsidRPr="003C3001" w:rsidRDefault="009C3305" w:rsidP="009C3305">
      <w:pPr>
        <w:spacing w:after="0"/>
        <w:jc w:val="center"/>
        <w:outlineLvl w:val="0"/>
        <w:rPr>
          <w:rFonts w:ascii="Times New Roman" w:hAnsi="Times New Roman"/>
          <w:bCs/>
          <w:sz w:val="28"/>
        </w:rPr>
      </w:pPr>
      <w:r w:rsidRPr="003C3001">
        <w:rPr>
          <w:rFonts w:ascii="Times New Roman" w:hAnsi="Times New Roman"/>
          <w:bCs/>
          <w:sz w:val="28"/>
        </w:rPr>
        <w:t>UV-SPECTROPHOTOMETER</w:t>
      </w:r>
    </w:p>
    <w:p w14:paraId="725D4798" w14:textId="77777777" w:rsidR="009C3305" w:rsidRPr="00247C45" w:rsidRDefault="009C3305" w:rsidP="009C3305">
      <w:pPr>
        <w:spacing w:after="0"/>
        <w:jc w:val="center"/>
        <w:outlineLvl w:val="0"/>
        <w:rPr>
          <w:rFonts w:ascii="Times New Roman" w:hAnsi="Times New Roman"/>
          <w:bCs/>
          <w:sz w:val="24"/>
          <w:szCs w:val="24"/>
        </w:rPr>
      </w:pPr>
    </w:p>
    <w:p w14:paraId="65AD693E" w14:textId="71B2306C" w:rsidR="009C3305" w:rsidRPr="00D52597" w:rsidRDefault="009C3305" w:rsidP="00D52597">
      <w:pPr>
        <w:spacing w:after="0"/>
        <w:jc w:val="center"/>
        <w:outlineLvl w:val="0"/>
        <w:rPr>
          <w:rFonts w:ascii="Times New Roman" w:hAnsi="Times New Roman"/>
          <w:bCs/>
          <w:sz w:val="24"/>
          <w:szCs w:val="24"/>
          <w:lang w:val="ms-MY"/>
        </w:rPr>
      </w:pPr>
      <w:r w:rsidRPr="00247C45">
        <w:rPr>
          <w:rFonts w:ascii="Times New Roman" w:hAnsi="Times New Roman"/>
          <w:bCs/>
          <w:sz w:val="24"/>
          <w:szCs w:val="24"/>
        </w:rPr>
        <w:t>(</w:t>
      </w:r>
      <w:r w:rsidRPr="00247C45">
        <w:rPr>
          <w:rFonts w:ascii="Times New Roman" w:hAnsi="Times New Roman"/>
          <w:bCs/>
          <w:sz w:val="24"/>
          <w:szCs w:val="24"/>
          <w:lang w:val="ms-MY"/>
        </w:rPr>
        <w:t>Pengaruh Mineral Terhadap Pengukuran Kawalan bagi Ammonium, Nitrit, Nitrat dan Fosfat Menggunakan Spektrofotometer UV</w:t>
      </w:r>
      <w:r w:rsidRPr="00247C45">
        <w:rPr>
          <w:rFonts w:ascii="Times New Roman" w:hAnsi="Times New Roman"/>
          <w:bCs/>
          <w:sz w:val="24"/>
          <w:szCs w:val="24"/>
        </w:rPr>
        <w:t>)</w:t>
      </w:r>
    </w:p>
    <w:p w14:paraId="48AB5533" w14:textId="77777777" w:rsidR="009C3305" w:rsidRPr="00247C45" w:rsidRDefault="009C3305" w:rsidP="009C3305">
      <w:pPr>
        <w:spacing w:after="0"/>
        <w:jc w:val="center"/>
        <w:outlineLvl w:val="0"/>
        <w:rPr>
          <w:rFonts w:ascii="Times New Roman" w:hAnsi="Times New Roman"/>
          <w:b/>
          <w:sz w:val="20"/>
          <w:szCs w:val="20"/>
        </w:rPr>
      </w:pPr>
    </w:p>
    <w:p w14:paraId="6FF07205" w14:textId="77777777" w:rsidR="009C3305" w:rsidRPr="00247C45" w:rsidRDefault="009C3305" w:rsidP="009C3305">
      <w:pPr>
        <w:spacing w:after="0"/>
        <w:jc w:val="center"/>
        <w:outlineLvl w:val="0"/>
        <w:rPr>
          <w:rFonts w:ascii="Times New Roman" w:hAnsi="Times New Roman"/>
          <w:noProof/>
          <w:sz w:val="20"/>
          <w:szCs w:val="20"/>
          <w:vertAlign w:val="superscript"/>
          <w:lang w:val="ms-MY"/>
        </w:rPr>
      </w:pPr>
      <w:r w:rsidRPr="00247C45">
        <w:rPr>
          <w:rFonts w:ascii="Times New Roman" w:hAnsi="Times New Roman"/>
          <w:noProof/>
          <w:sz w:val="20"/>
          <w:szCs w:val="20"/>
          <w:lang w:val="ms-MY"/>
        </w:rPr>
        <w:t xml:space="preserve">Md. Salatul Islam Mozumder*, Shehab Shahreyar, Saiful Islam, Md. Delowar Hossain </w:t>
      </w:r>
    </w:p>
    <w:p w14:paraId="76532A9D" w14:textId="77777777" w:rsidR="009C3305" w:rsidRPr="009C3305" w:rsidRDefault="009C3305" w:rsidP="009C3305">
      <w:pPr>
        <w:spacing w:after="0"/>
        <w:jc w:val="center"/>
        <w:outlineLvl w:val="0"/>
        <w:rPr>
          <w:rFonts w:ascii="Times New Roman" w:hAnsi="Times New Roman"/>
          <w:b/>
          <w:noProof/>
          <w:sz w:val="20"/>
          <w:szCs w:val="20"/>
          <w:lang w:val="ms-MY"/>
        </w:rPr>
      </w:pPr>
    </w:p>
    <w:p w14:paraId="6F96D287" w14:textId="77777777" w:rsidR="009C3305" w:rsidRPr="009C3305" w:rsidRDefault="009C3305" w:rsidP="009C3305">
      <w:pPr>
        <w:spacing w:after="0"/>
        <w:jc w:val="center"/>
        <w:outlineLvl w:val="0"/>
        <w:rPr>
          <w:rFonts w:ascii="Times New Roman" w:hAnsi="Times New Roman"/>
          <w:i/>
          <w:sz w:val="20"/>
          <w:szCs w:val="20"/>
        </w:rPr>
      </w:pPr>
      <w:r w:rsidRPr="009C3305">
        <w:rPr>
          <w:rFonts w:ascii="Times New Roman" w:hAnsi="Times New Roman"/>
          <w:i/>
          <w:sz w:val="20"/>
          <w:szCs w:val="20"/>
        </w:rPr>
        <w:t xml:space="preserve">Department of Chemical Engineering and Polymer Science, </w:t>
      </w:r>
    </w:p>
    <w:p w14:paraId="08176AE0" w14:textId="77777777" w:rsidR="009C3305" w:rsidRPr="009C3305" w:rsidRDefault="009C3305" w:rsidP="009C3305">
      <w:pPr>
        <w:spacing w:after="0"/>
        <w:jc w:val="center"/>
        <w:outlineLvl w:val="0"/>
        <w:rPr>
          <w:rFonts w:ascii="Times New Roman" w:hAnsi="Times New Roman"/>
          <w:i/>
          <w:sz w:val="20"/>
          <w:szCs w:val="20"/>
        </w:rPr>
      </w:pPr>
      <w:r w:rsidRPr="009C3305">
        <w:rPr>
          <w:rFonts w:ascii="Times New Roman" w:hAnsi="Times New Roman"/>
          <w:i/>
          <w:sz w:val="20"/>
          <w:szCs w:val="20"/>
        </w:rPr>
        <w:t>Shahjalal University of Science and Technology, Sylhet-3114, Bangladesh</w:t>
      </w:r>
    </w:p>
    <w:p w14:paraId="056BC129" w14:textId="77777777" w:rsidR="009C3305" w:rsidRPr="009C3305" w:rsidRDefault="009C3305" w:rsidP="009C3305">
      <w:pPr>
        <w:spacing w:after="0"/>
        <w:jc w:val="center"/>
        <w:outlineLvl w:val="0"/>
        <w:rPr>
          <w:rFonts w:ascii="Times New Roman" w:hAnsi="Times New Roman"/>
          <w:b/>
          <w:sz w:val="20"/>
          <w:szCs w:val="20"/>
        </w:rPr>
      </w:pPr>
    </w:p>
    <w:p w14:paraId="11DDF4B3" w14:textId="77777777" w:rsidR="009C3305" w:rsidRPr="009C3305" w:rsidRDefault="009C3305" w:rsidP="009C3305">
      <w:pPr>
        <w:spacing w:after="0"/>
        <w:jc w:val="center"/>
        <w:outlineLvl w:val="0"/>
        <w:rPr>
          <w:rFonts w:ascii="Times New Roman" w:hAnsi="Times New Roman"/>
          <w:i/>
          <w:sz w:val="20"/>
          <w:szCs w:val="20"/>
        </w:rPr>
      </w:pPr>
      <w:r w:rsidRPr="009C3305">
        <w:rPr>
          <w:rFonts w:ascii="Times New Roman" w:hAnsi="Times New Roman"/>
          <w:i/>
          <w:sz w:val="20"/>
          <w:szCs w:val="20"/>
        </w:rPr>
        <w:t>*Corresponding author:  salatul-cep@sust.edu</w:t>
      </w:r>
    </w:p>
    <w:p w14:paraId="0B01305A" w14:textId="77777777" w:rsidR="009C3305" w:rsidRPr="009C3305" w:rsidRDefault="009C3305" w:rsidP="009C3305">
      <w:pPr>
        <w:spacing w:after="0"/>
        <w:jc w:val="center"/>
        <w:rPr>
          <w:rFonts w:ascii="Times New Roman" w:hAnsi="Times New Roman"/>
          <w:noProof/>
          <w:sz w:val="20"/>
          <w:szCs w:val="20"/>
        </w:rPr>
      </w:pPr>
    </w:p>
    <w:p w14:paraId="47A89E73" w14:textId="77777777" w:rsidR="009C3305" w:rsidRPr="009C3305" w:rsidRDefault="009C3305" w:rsidP="009C3305">
      <w:pPr>
        <w:spacing w:after="0"/>
        <w:jc w:val="center"/>
        <w:rPr>
          <w:rFonts w:ascii="Times New Roman" w:hAnsi="Times New Roman"/>
          <w:noProof/>
          <w:sz w:val="20"/>
          <w:szCs w:val="20"/>
        </w:rPr>
      </w:pPr>
    </w:p>
    <w:p w14:paraId="2AD36CA2" w14:textId="77777777" w:rsidR="009C3305" w:rsidRPr="009C3305" w:rsidRDefault="009C3305" w:rsidP="009C3305">
      <w:pPr>
        <w:spacing w:after="0"/>
        <w:jc w:val="center"/>
        <w:rPr>
          <w:rFonts w:ascii="Times New Roman" w:hAnsi="Times New Roman"/>
          <w:noProof/>
          <w:sz w:val="20"/>
          <w:szCs w:val="20"/>
        </w:rPr>
      </w:pPr>
      <w:r w:rsidRPr="009C3305">
        <w:rPr>
          <w:rFonts w:ascii="Times New Roman" w:hAnsi="Times New Roman"/>
          <w:noProof/>
          <w:sz w:val="20"/>
          <w:szCs w:val="20"/>
        </w:rPr>
        <w:t>Received: 12 February 2021; Accepted: 30 March 2021; Published:  25 April 2021</w:t>
      </w:r>
    </w:p>
    <w:p w14:paraId="0BFB47F0" w14:textId="77777777" w:rsidR="009C3305" w:rsidRPr="009C3305" w:rsidRDefault="009C3305" w:rsidP="009C3305">
      <w:pPr>
        <w:spacing w:after="0"/>
        <w:jc w:val="center"/>
        <w:rPr>
          <w:rFonts w:ascii="Times New Roman" w:hAnsi="Times New Roman"/>
          <w:noProof/>
          <w:sz w:val="20"/>
          <w:szCs w:val="20"/>
        </w:rPr>
      </w:pPr>
    </w:p>
    <w:p w14:paraId="420387CC" w14:textId="77777777" w:rsidR="009C3305" w:rsidRPr="009C3305" w:rsidRDefault="009C3305" w:rsidP="009C3305">
      <w:pPr>
        <w:spacing w:after="0"/>
        <w:jc w:val="center"/>
        <w:rPr>
          <w:rFonts w:ascii="Times New Roman" w:hAnsi="Times New Roman"/>
          <w:noProof/>
          <w:sz w:val="20"/>
          <w:szCs w:val="20"/>
        </w:rPr>
      </w:pPr>
    </w:p>
    <w:p w14:paraId="1C7D6D23" w14:textId="77777777" w:rsidR="009C3305" w:rsidRPr="009C3305" w:rsidRDefault="009C3305" w:rsidP="009C3305">
      <w:pPr>
        <w:spacing w:after="0"/>
        <w:jc w:val="center"/>
        <w:rPr>
          <w:rFonts w:ascii="Times New Roman" w:hAnsi="Times New Roman"/>
          <w:b/>
          <w:noProof/>
          <w:sz w:val="20"/>
          <w:szCs w:val="20"/>
        </w:rPr>
      </w:pPr>
      <w:r w:rsidRPr="009C3305">
        <w:rPr>
          <w:rFonts w:ascii="Times New Roman" w:hAnsi="Times New Roman"/>
          <w:b/>
          <w:noProof/>
          <w:sz w:val="20"/>
          <w:szCs w:val="20"/>
        </w:rPr>
        <w:t>Abstract</w:t>
      </w:r>
    </w:p>
    <w:p w14:paraId="12D08AE5" w14:textId="77777777" w:rsidR="009C3305" w:rsidRPr="009C3305" w:rsidRDefault="009C3305" w:rsidP="009C3305">
      <w:pPr>
        <w:spacing w:after="0"/>
        <w:jc w:val="both"/>
        <w:outlineLvl w:val="0"/>
        <w:rPr>
          <w:rFonts w:ascii="Times New Roman" w:hAnsi="Times New Roman"/>
          <w:sz w:val="20"/>
          <w:szCs w:val="20"/>
        </w:rPr>
      </w:pPr>
      <w:r w:rsidRPr="009C3305">
        <w:rPr>
          <w:rFonts w:ascii="Times New Roman" w:hAnsi="Times New Roman"/>
          <w:sz w:val="20"/>
          <w:szCs w:val="20"/>
        </w:rPr>
        <w:t>Interference of different minerals on UV-spectrophotometric determination of ammonium nitrogen (NH</w:t>
      </w:r>
      <w:r w:rsidRPr="009C3305">
        <w:rPr>
          <w:rFonts w:ascii="Times New Roman" w:hAnsi="Times New Roman"/>
          <w:sz w:val="20"/>
          <w:szCs w:val="20"/>
          <w:vertAlign w:val="subscript"/>
        </w:rPr>
        <w:t>4</w:t>
      </w:r>
      <w:r w:rsidRPr="009C3305">
        <w:rPr>
          <w:rFonts w:ascii="Times New Roman" w:hAnsi="Times New Roman"/>
          <w:sz w:val="20"/>
          <w:szCs w:val="20"/>
          <w:vertAlign w:val="superscript"/>
        </w:rPr>
        <w:t>+</w:t>
      </w:r>
      <w:r w:rsidRPr="009C3305">
        <w:rPr>
          <w:rFonts w:ascii="Times New Roman" w:hAnsi="Times New Roman"/>
          <w:sz w:val="20"/>
          <w:szCs w:val="20"/>
        </w:rPr>
        <w:t>-N), nitrite-nitrogen (NO</w:t>
      </w:r>
      <w:r w:rsidRPr="009C3305">
        <w:rPr>
          <w:rFonts w:ascii="Times New Roman" w:hAnsi="Times New Roman"/>
          <w:sz w:val="20"/>
          <w:szCs w:val="20"/>
          <w:vertAlign w:val="subscript"/>
        </w:rPr>
        <w:t>2</w:t>
      </w:r>
      <w:r w:rsidRPr="009C3305">
        <w:rPr>
          <w:rFonts w:ascii="Times New Roman" w:hAnsi="Times New Roman"/>
          <w:sz w:val="20"/>
          <w:szCs w:val="20"/>
          <w:vertAlign w:val="superscript"/>
        </w:rPr>
        <w:t>−</w:t>
      </w:r>
      <w:r w:rsidRPr="009C3305">
        <w:rPr>
          <w:rFonts w:ascii="Times New Roman" w:hAnsi="Times New Roman"/>
          <w:sz w:val="20"/>
          <w:szCs w:val="20"/>
        </w:rPr>
        <w:t>-N), nitrate-nitrogen (NO</w:t>
      </w:r>
      <w:r w:rsidRPr="009C3305">
        <w:rPr>
          <w:rFonts w:ascii="Times New Roman" w:hAnsi="Times New Roman"/>
          <w:sz w:val="20"/>
          <w:szCs w:val="20"/>
          <w:vertAlign w:val="subscript"/>
        </w:rPr>
        <w:t>3</w:t>
      </w:r>
      <w:r w:rsidRPr="009C3305">
        <w:rPr>
          <w:rFonts w:ascii="Times New Roman" w:hAnsi="Times New Roman"/>
          <w:sz w:val="20"/>
          <w:szCs w:val="20"/>
          <w:vertAlign w:val="superscript"/>
        </w:rPr>
        <w:t>−</w:t>
      </w:r>
      <w:r w:rsidRPr="009C3305">
        <w:rPr>
          <w:rFonts w:ascii="Times New Roman" w:hAnsi="Times New Roman"/>
          <w:sz w:val="20"/>
          <w:szCs w:val="20"/>
        </w:rPr>
        <w:t>-N) and phosphate (PO</w:t>
      </w:r>
      <w:r w:rsidRPr="009C3305">
        <w:rPr>
          <w:rFonts w:ascii="Times New Roman" w:hAnsi="Times New Roman"/>
          <w:sz w:val="20"/>
          <w:szCs w:val="20"/>
          <w:vertAlign w:val="subscript"/>
        </w:rPr>
        <w:t>4</w:t>
      </w:r>
      <w:r w:rsidRPr="009C3305">
        <w:rPr>
          <w:rFonts w:ascii="Times New Roman" w:hAnsi="Times New Roman"/>
          <w:sz w:val="20"/>
          <w:szCs w:val="20"/>
          <w:vertAlign w:val="superscript"/>
        </w:rPr>
        <w:t>3-</w:t>
      </w:r>
      <w:r w:rsidRPr="009C3305">
        <w:rPr>
          <w:rFonts w:ascii="Times New Roman" w:hAnsi="Times New Roman"/>
          <w:sz w:val="20"/>
          <w:szCs w:val="20"/>
        </w:rPr>
        <w:t>) was investigated in this study. Iron, magnesium and sodium acetate had significant interference in Nesslerization of NH</w:t>
      </w:r>
      <w:r w:rsidRPr="009C3305">
        <w:rPr>
          <w:rFonts w:ascii="Times New Roman" w:hAnsi="Times New Roman"/>
          <w:sz w:val="20"/>
          <w:szCs w:val="20"/>
          <w:vertAlign w:val="subscript"/>
        </w:rPr>
        <w:t>4</w:t>
      </w:r>
      <w:r w:rsidRPr="009C3305">
        <w:rPr>
          <w:rFonts w:ascii="Times New Roman" w:hAnsi="Times New Roman"/>
          <w:sz w:val="20"/>
          <w:szCs w:val="20"/>
          <w:vertAlign w:val="superscript"/>
        </w:rPr>
        <w:t>+</w:t>
      </w:r>
      <w:r w:rsidRPr="009C3305">
        <w:rPr>
          <w:rFonts w:ascii="Times New Roman" w:hAnsi="Times New Roman"/>
          <w:sz w:val="20"/>
          <w:szCs w:val="20"/>
        </w:rPr>
        <w:t>-N which was needed to adopt standard protocol for the accurate determination of NH</w:t>
      </w:r>
      <w:r w:rsidRPr="009C3305">
        <w:rPr>
          <w:rFonts w:ascii="Times New Roman" w:hAnsi="Times New Roman"/>
          <w:sz w:val="20"/>
          <w:szCs w:val="20"/>
          <w:vertAlign w:val="subscript"/>
        </w:rPr>
        <w:t>4</w:t>
      </w:r>
      <w:r w:rsidRPr="009C3305">
        <w:rPr>
          <w:rFonts w:ascii="Times New Roman" w:hAnsi="Times New Roman"/>
          <w:sz w:val="20"/>
          <w:szCs w:val="20"/>
          <w:vertAlign w:val="superscript"/>
        </w:rPr>
        <w:t>+</w:t>
      </w:r>
      <w:r w:rsidRPr="009C3305">
        <w:rPr>
          <w:rFonts w:ascii="Times New Roman" w:hAnsi="Times New Roman"/>
          <w:sz w:val="20"/>
          <w:szCs w:val="20"/>
        </w:rPr>
        <w:t>-N. However, adding 5 times higher Nessler reagent compared to standard method was used to overcome the limitations due to interference of minerals. In determination of NO</w:t>
      </w:r>
      <w:r w:rsidRPr="009C3305">
        <w:rPr>
          <w:rFonts w:ascii="Times New Roman" w:hAnsi="Times New Roman"/>
          <w:sz w:val="20"/>
          <w:szCs w:val="20"/>
          <w:vertAlign w:val="subscript"/>
        </w:rPr>
        <w:t>2</w:t>
      </w:r>
      <w:r w:rsidRPr="009C3305">
        <w:rPr>
          <w:rFonts w:ascii="Times New Roman" w:hAnsi="Times New Roman"/>
          <w:sz w:val="20"/>
          <w:szCs w:val="20"/>
          <w:vertAlign w:val="superscript"/>
        </w:rPr>
        <w:t>−</w:t>
      </w:r>
      <w:r w:rsidRPr="009C3305">
        <w:rPr>
          <w:rFonts w:ascii="Times New Roman" w:hAnsi="Times New Roman"/>
          <w:sz w:val="20"/>
          <w:szCs w:val="20"/>
        </w:rPr>
        <w:t>-N through sulphanilmide method, magnesium and iron did not show any significant affect. Presence of 5 g/L sodium acetate reduced the slope of calibration curve of NO</w:t>
      </w:r>
      <w:r w:rsidRPr="009C3305">
        <w:rPr>
          <w:rFonts w:ascii="Times New Roman" w:hAnsi="Times New Roman"/>
          <w:sz w:val="20"/>
          <w:szCs w:val="20"/>
          <w:vertAlign w:val="subscript"/>
        </w:rPr>
        <w:t>2</w:t>
      </w:r>
      <w:r w:rsidRPr="009C3305">
        <w:rPr>
          <w:rFonts w:ascii="Times New Roman" w:hAnsi="Times New Roman"/>
          <w:sz w:val="20"/>
          <w:szCs w:val="20"/>
          <w:vertAlign w:val="superscript"/>
        </w:rPr>
        <w:t>−</w:t>
      </w:r>
      <w:r w:rsidRPr="009C3305">
        <w:rPr>
          <w:rFonts w:ascii="Times New Roman" w:hAnsi="Times New Roman"/>
          <w:sz w:val="20"/>
          <w:szCs w:val="20"/>
        </w:rPr>
        <w:t>-N from 0.603 to 0.224. Presence of sodium, either in form of sodium acetate or sodium chloride, reduced the absorbance of sulphanilmide method for NO</w:t>
      </w:r>
      <w:r w:rsidRPr="009C3305">
        <w:rPr>
          <w:rFonts w:ascii="Times New Roman" w:hAnsi="Times New Roman"/>
          <w:sz w:val="20"/>
          <w:szCs w:val="20"/>
          <w:vertAlign w:val="subscript"/>
        </w:rPr>
        <w:t>2</w:t>
      </w:r>
      <w:r w:rsidRPr="009C3305">
        <w:rPr>
          <w:rFonts w:ascii="Times New Roman" w:hAnsi="Times New Roman"/>
          <w:sz w:val="20"/>
          <w:szCs w:val="20"/>
          <w:vertAlign w:val="superscript"/>
        </w:rPr>
        <w:t>−</w:t>
      </w:r>
      <w:r w:rsidRPr="009C3305">
        <w:rPr>
          <w:rFonts w:ascii="Times New Roman" w:hAnsi="Times New Roman"/>
          <w:sz w:val="20"/>
          <w:szCs w:val="20"/>
        </w:rPr>
        <w:t>-N determination. Increasing sodium acetate concentration from 2 to 10 g/L, the absorbance of 4 mg/L NO</w:t>
      </w:r>
      <w:r w:rsidRPr="009C3305">
        <w:rPr>
          <w:rFonts w:ascii="Times New Roman" w:hAnsi="Times New Roman"/>
          <w:sz w:val="20"/>
          <w:szCs w:val="20"/>
          <w:vertAlign w:val="subscript"/>
        </w:rPr>
        <w:t>2</w:t>
      </w:r>
      <w:r w:rsidRPr="009C3305">
        <w:rPr>
          <w:rFonts w:ascii="Times New Roman" w:hAnsi="Times New Roman"/>
          <w:sz w:val="20"/>
          <w:szCs w:val="20"/>
          <w:vertAlign w:val="superscript"/>
        </w:rPr>
        <w:t>−</w:t>
      </w:r>
      <w:r w:rsidRPr="009C3305">
        <w:rPr>
          <w:rFonts w:ascii="Times New Roman" w:hAnsi="Times New Roman"/>
          <w:sz w:val="20"/>
          <w:szCs w:val="20"/>
        </w:rPr>
        <w:t>-N was reduced by 5 times: 1.50 to 0.34. Identical absorbance for 4 mg/L NO</w:t>
      </w:r>
      <w:r w:rsidRPr="009C3305">
        <w:rPr>
          <w:rFonts w:ascii="Times New Roman" w:hAnsi="Times New Roman"/>
          <w:sz w:val="20"/>
          <w:szCs w:val="20"/>
          <w:vertAlign w:val="subscript"/>
        </w:rPr>
        <w:t>2</w:t>
      </w:r>
      <w:r w:rsidRPr="009C3305">
        <w:rPr>
          <w:rFonts w:ascii="Times New Roman" w:hAnsi="Times New Roman"/>
          <w:sz w:val="20"/>
          <w:szCs w:val="20"/>
          <w:vertAlign w:val="superscript"/>
        </w:rPr>
        <w:t>−</w:t>
      </w:r>
      <w:r w:rsidRPr="009C3305">
        <w:rPr>
          <w:rFonts w:ascii="Times New Roman" w:hAnsi="Times New Roman"/>
          <w:sz w:val="20"/>
          <w:szCs w:val="20"/>
        </w:rPr>
        <w:t>-N was found in the presence of 0.84 g/L NaCl (≈ 0.33 g/L Na</w:t>
      </w:r>
      <w:r w:rsidRPr="009C3305">
        <w:rPr>
          <w:rFonts w:ascii="Times New Roman" w:hAnsi="Times New Roman"/>
          <w:sz w:val="20"/>
          <w:szCs w:val="20"/>
          <w:vertAlign w:val="superscript"/>
        </w:rPr>
        <w:t>+</w:t>
      </w:r>
      <w:r w:rsidRPr="009C3305">
        <w:rPr>
          <w:rFonts w:ascii="Times New Roman" w:hAnsi="Times New Roman"/>
          <w:sz w:val="20"/>
          <w:szCs w:val="20"/>
        </w:rPr>
        <w:t>) and 2 g/L Na-acetate (≈ 0.56 g/L Na</w:t>
      </w:r>
      <w:r w:rsidRPr="009C3305">
        <w:rPr>
          <w:rFonts w:ascii="Times New Roman" w:hAnsi="Times New Roman"/>
          <w:sz w:val="20"/>
          <w:szCs w:val="20"/>
          <w:vertAlign w:val="superscript"/>
        </w:rPr>
        <w:t>+</w:t>
      </w:r>
      <w:r w:rsidRPr="009C3305">
        <w:rPr>
          <w:rFonts w:ascii="Times New Roman" w:hAnsi="Times New Roman"/>
          <w:sz w:val="20"/>
          <w:szCs w:val="20"/>
        </w:rPr>
        <w:t>) which indicated that chlorine also had interference on NO</w:t>
      </w:r>
      <w:r w:rsidRPr="009C3305">
        <w:rPr>
          <w:rFonts w:ascii="Times New Roman" w:hAnsi="Times New Roman"/>
          <w:sz w:val="20"/>
          <w:szCs w:val="20"/>
          <w:vertAlign w:val="subscript"/>
        </w:rPr>
        <w:t>2</w:t>
      </w:r>
      <w:r w:rsidRPr="009C3305">
        <w:rPr>
          <w:rFonts w:ascii="Times New Roman" w:hAnsi="Times New Roman"/>
          <w:sz w:val="20"/>
          <w:szCs w:val="20"/>
          <w:vertAlign w:val="superscript"/>
        </w:rPr>
        <w:t>−</w:t>
      </w:r>
      <w:r w:rsidRPr="009C3305">
        <w:rPr>
          <w:rFonts w:ascii="Times New Roman" w:hAnsi="Times New Roman"/>
          <w:sz w:val="20"/>
          <w:szCs w:val="20"/>
        </w:rPr>
        <w:t>-N measurement. The complex formed by nitration of salicylic acid was not interfered by the presence of potassium, phosphate, sodium, magnesium, iron and sodium acetate; almost the same slope (0.0095) was observed for both with and without presence of minerals. In addition, Ammonium molybdate method for the determination of PO</w:t>
      </w:r>
      <w:r w:rsidRPr="009C3305">
        <w:rPr>
          <w:rFonts w:ascii="Times New Roman" w:hAnsi="Times New Roman"/>
          <w:sz w:val="20"/>
          <w:szCs w:val="20"/>
          <w:vertAlign w:val="subscript"/>
        </w:rPr>
        <w:t>4</w:t>
      </w:r>
      <w:r w:rsidRPr="009C3305">
        <w:rPr>
          <w:rFonts w:ascii="Times New Roman" w:hAnsi="Times New Roman"/>
          <w:sz w:val="20"/>
          <w:szCs w:val="20"/>
          <w:vertAlign w:val="superscript"/>
        </w:rPr>
        <w:t>3-</w:t>
      </w:r>
      <w:r w:rsidRPr="009C3305">
        <w:rPr>
          <w:rFonts w:ascii="Times New Roman" w:hAnsi="Times New Roman"/>
          <w:sz w:val="20"/>
          <w:szCs w:val="20"/>
        </w:rPr>
        <w:t xml:space="preserve"> was a robust method since the measurement was not affected in the presence of minerals. </w:t>
      </w:r>
    </w:p>
    <w:p w14:paraId="656D28FD" w14:textId="77777777" w:rsidR="009C3305" w:rsidRPr="009C3305" w:rsidRDefault="009C3305" w:rsidP="009C3305">
      <w:pPr>
        <w:spacing w:after="0"/>
        <w:jc w:val="both"/>
        <w:outlineLvl w:val="0"/>
        <w:rPr>
          <w:rFonts w:ascii="Times New Roman" w:hAnsi="Times New Roman"/>
          <w:sz w:val="20"/>
          <w:szCs w:val="20"/>
        </w:rPr>
      </w:pPr>
    </w:p>
    <w:p w14:paraId="27CA5BC9" w14:textId="68F40958" w:rsidR="009C3305" w:rsidRPr="009C3305" w:rsidRDefault="009C3305" w:rsidP="009C3305">
      <w:pPr>
        <w:spacing w:after="0"/>
        <w:ind w:left="1080" w:hanging="1080"/>
        <w:jc w:val="both"/>
        <w:outlineLvl w:val="0"/>
        <w:rPr>
          <w:rFonts w:ascii="Times New Roman" w:hAnsi="Times New Roman"/>
          <w:sz w:val="20"/>
          <w:szCs w:val="20"/>
        </w:rPr>
      </w:pPr>
      <w:r w:rsidRPr="009C3305">
        <w:rPr>
          <w:rFonts w:ascii="Times New Roman" w:hAnsi="Times New Roman"/>
          <w:b/>
          <w:sz w:val="20"/>
          <w:szCs w:val="20"/>
        </w:rPr>
        <w:t>Keywords</w:t>
      </w:r>
      <w:r w:rsidRPr="009C3305">
        <w:rPr>
          <w:rFonts w:ascii="Times New Roman" w:hAnsi="Times New Roman"/>
          <w:b/>
          <w:bCs/>
          <w:sz w:val="20"/>
          <w:szCs w:val="20"/>
        </w:rPr>
        <w:t xml:space="preserve">: </w:t>
      </w:r>
      <w:r>
        <w:rPr>
          <w:rFonts w:ascii="Times New Roman" w:hAnsi="Times New Roman"/>
          <w:b/>
          <w:bCs/>
          <w:sz w:val="20"/>
          <w:szCs w:val="20"/>
        </w:rPr>
        <w:tab/>
      </w:r>
      <w:r w:rsidRPr="009C3305">
        <w:rPr>
          <w:rFonts w:ascii="Times New Roman" w:hAnsi="Times New Roman"/>
          <w:sz w:val="20"/>
          <w:szCs w:val="20"/>
        </w:rPr>
        <w:t xml:space="preserve">UV-spectrophotometer, Nesslerization, sulphanilmide method, salicylic acid method, ammonium-molybdate method </w:t>
      </w:r>
    </w:p>
    <w:p w14:paraId="192FFAC0" w14:textId="77777777" w:rsidR="009C3305" w:rsidRPr="009C3305" w:rsidRDefault="009C3305" w:rsidP="009C3305">
      <w:pPr>
        <w:spacing w:after="0"/>
        <w:jc w:val="center"/>
        <w:outlineLvl w:val="0"/>
        <w:rPr>
          <w:rFonts w:ascii="Times New Roman" w:hAnsi="Times New Roman"/>
          <w:b/>
          <w:sz w:val="20"/>
          <w:szCs w:val="20"/>
        </w:rPr>
      </w:pPr>
    </w:p>
    <w:p w14:paraId="60B34B39" w14:textId="77777777" w:rsidR="009C3305" w:rsidRPr="009C3305" w:rsidRDefault="009C3305" w:rsidP="009C3305">
      <w:pPr>
        <w:spacing w:after="0"/>
        <w:jc w:val="center"/>
        <w:outlineLvl w:val="0"/>
        <w:rPr>
          <w:rFonts w:ascii="Times New Roman" w:hAnsi="Times New Roman"/>
          <w:b/>
          <w:noProof/>
          <w:sz w:val="20"/>
          <w:szCs w:val="20"/>
          <w:lang w:val="ms-MY"/>
        </w:rPr>
      </w:pPr>
      <w:r w:rsidRPr="009C3305">
        <w:rPr>
          <w:rFonts w:ascii="Times New Roman" w:hAnsi="Times New Roman"/>
          <w:b/>
          <w:noProof/>
          <w:sz w:val="20"/>
          <w:szCs w:val="20"/>
          <w:lang w:val="ms-MY"/>
        </w:rPr>
        <w:t>Abstrak</w:t>
      </w:r>
    </w:p>
    <w:p w14:paraId="5959C1BE" w14:textId="77777777" w:rsidR="009C3305" w:rsidRPr="009C3305" w:rsidRDefault="009C3305" w:rsidP="009C3305">
      <w:pPr>
        <w:spacing w:after="0"/>
        <w:jc w:val="both"/>
        <w:outlineLvl w:val="0"/>
        <w:rPr>
          <w:rFonts w:ascii="Times New Roman" w:hAnsi="Times New Roman"/>
          <w:noProof/>
          <w:sz w:val="20"/>
          <w:szCs w:val="20"/>
          <w:lang w:val="ms-MY"/>
        </w:rPr>
      </w:pPr>
      <w:r w:rsidRPr="009C3305">
        <w:rPr>
          <w:rFonts w:ascii="Times New Roman" w:hAnsi="Times New Roman"/>
          <w:noProof/>
          <w:sz w:val="20"/>
          <w:szCs w:val="20"/>
          <w:lang w:val="ms-MY"/>
        </w:rPr>
        <w:t>Gangguan mineral berbeza dalam penentuan ammonium nitrogen (NH</w:t>
      </w:r>
      <w:r w:rsidRPr="009C3305">
        <w:rPr>
          <w:rFonts w:ascii="Times New Roman" w:hAnsi="Times New Roman"/>
          <w:noProof/>
          <w:sz w:val="20"/>
          <w:szCs w:val="20"/>
          <w:vertAlign w:val="subscript"/>
          <w:lang w:val="ms-MY"/>
        </w:rPr>
        <w:t>4</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nitrit-nitrogen (NO</w:t>
      </w:r>
      <w:r w:rsidRPr="009C3305">
        <w:rPr>
          <w:rFonts w:ascii="Times New Roman" w:hAnsi="Times New Roman"/>
          <w:noProof/>
          <w:sz w:val="20"/>
          <w:szCs w:val="20"/>
          <w:vertAlign w:val="subscript"/>
          <w:lang w:val="ms-MY"/>
        </w:rPr>
        <w:t>2</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nitrat-nitrogen (NO</w:t>
      </w:r>
      <w:r w:rsidRPr="009C3305">
        <w:rPr>
          <w:rFonts w:ascii="Times New Roman" w:hAnsi="Times New Roman"/>
          <w:noProof/>
          <w:sz w:val="20"/>
          <w:szCs w:val="20"/>
          <w:vertAlign w:val="subscript"/>
          <w:lang w:val="ms-MY"/>
        </w:rPr>
        <w:t>3</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dan fosfat (PO</w:t>
      </w:r>
      <w:r w:rsidRPr="009C3305">
        <w:rPr>
          <w:rFonts w:ascii="Times New Roman" w:hAnsi="Times New Roman"/>
          <w:noProof/>
          <w:sz w:val="20"/>
          <w:szCs w:val="20"/>
          <w:vertAlign w:val="subscript"/>
          <w:lang w:val="ms-MY"/>
        </w:rPr>
        <w:t>4</w:t>
      </w:r>
      <w:r w:rsidRPr="009C3305">
        <w:rPr>
          <w:rFonts w:ascii="Times New Roman" w:hAnsi="Times New Roman"/>
          <w:noProof/>
          <w:sz w:val="20"/>
          <w:szCs w:val="20"/>
          <w:vertAlign w:val="superscript"/>
          <w:lang w:val="ms-MY"/>
        </w:rPr>
        <w:t>3-</w:t>
      </w:r>
      <w:r w:rsidRPr="009C3305">
        <w:rPr>
          <w:rFonts w:ascii="Times New Roman" w:hAnsi="Times New Roman"/>
          <w:noProof/>
          <w:sz w:val="20"/>
          <w:szCs w:val="20"/>
          <w:lang w:val="ms-MY"/>
        </w:rPr>
        <w:t>) melalui spektrofotometrik-UV telah disiasat dalam kajian ini. Ferum, magnesium dan natrium asetat menghasilkan gangguan yang signifikan tindak balas Nessler bagi NH</w:t>
      </w:r>
      <w:r w:rsidRPr="009C3305">
        <w:rPr>
          <w:rFonts w:ascii="Times New Roman" w:hAnsi="Times New Roman"/>
          <w:noProof/>
          <w:sz w:val="20"/>
          <w:szCs w:val="20"/>
          <w:vertAlign w:val="subscript"/>
          <w:lang w:val="ms-MY"/>
        </w:rPr>
        <w:t>4</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yang perlu di adaptasi dalam protokol piawai bagi penentuan tepat NH</w:t>
      </w:r>
      <w:r w:rsidRPr="009C3305">
        <w:rPr>
          <w:rFonts w:ascii="Times New Roman" w:hAnsi="Times New Roman"/>
          <w:noProof/>
          <w:sz w:val="20"/>
          <w:szCs w:val="20"/>
          <w:vertAlign w:val="subscript"/>
          <w:lang w:val="ms-MY"/>
        </w:rPr>
        <w:t>4</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Walau bagaimanapun, penambahan 5 kali ganda reagen Nessler berbanding kaedah piawai telah digunakan untuk mengatasi kelemahan iaitu gangguan dari mineral. Dalam penentuan NO</w:t>
      </w:r>
      <w:r w:rsidRPr="009C3305">
        <w:rPr>
          <w:rFonts w:ascii="Times New Roman" w:hAnsi="Times New Roman"/>
          <w:noProof/>
          <w:sz w:val="20"/>
          <w:szCs w:val="20"/>
          <w:vertAlign w:val="subscript"/>
          <w:lang w:val="ms-MY"/>
        </w:rPr>
        <w:t>2</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menggunakan kaedah sulfanilmida, magnesium dan ferum tidak menunjukkan kesan yang signifikan. Kehadiran 5 g/L natrium asetat mengurangkan cerun lengkung kalibrasi NO</w:t>
      </w:r>
      <w:r w:rsidRPr="009C3305">
        <w:rPr>
          <w:rFonts w:ascii="Times New Roman" w:hAnsi="Times New Roman"/>
          <w:noProof/>
          <w:sz w:val="20"/>
          <w:szCs w:val="20"/>
          <w:vertAlign w:val="subscript"/>
          <w:lang w:val="ms-MY"/>
        </w:rPr>
        <w:t>2</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dari julat 0.603 hingga 0.224. Kehadiran sodium, sama ada dalam bentuk natrium asetat atau natrium klorida, mengurangkan  serapan  bagi  kaedah sulfanilmida dalam penentuan NO</w:t>
      </w:r>
      <w:r w:rsidRPr="009C3305">
        <w:rPr>
          <w:rFonts w:ascii="Times New Roman" w:hAnsi="Times New Roman"/>
          <w:noProof/>
          <w:sz w:val="20"/>
          <w:szCs w:val="20"/>
          <w:vertAlign w:val="subscript"/>
          <w:lang w:val="ms-MY"/>
        </w:rPr>
        <w:t>2</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w:t>
      </w:r>
      <w:r w:rsidRPr="009C3305">
        <w:rPr>
          <w:rFonts w:ascii="Times New Roman" w:hAnsi="Times New Roman"/>
          <w:sz w:val="20"/>
          <w:szCs w:val="20"/>
        </w:rPr>
        <w:t xml:space="preserve">  </w:t>
      </w:r>
      <w:r w:rsidRPr="009C3305">
        <w:rPr>
          <w:rFonts w:ascii="Times New Roman" w:hAnsi="Times New Roman"/>
          <w:noProof/>
          <w:sz w:val="20"/>
          <w:szCs w:val="20"/>
          <w:lang w:val="ms-MY"/>
        </w:rPr>
        <w:t>Peningkatan  kepekatan  natrium  asetat  dari  julat 2 hingga 10 g/L, serapan 4 mg/L NO</w:t>
      </w:r>
      <w:r w:rsidRPr="009C3305">
        <w:rPr>
          <w:rFonts w:ascii="Times New Roman" w:hAnsi="Times New Roman"/>
          <w:noProof/>
          <w:sz w:val="20"/>
          <w:szCs w:val="20"/>
          <w:vertAlign w:val="subscript"/>
          <w:lang w:val="ms-MY"/>
        </w:rPr>
        <w:t>2</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menurun sebanyak 5 kali ganda: 1.50 hingga 0.34. Serapan sama bagi 4 mg/L NO</w:t>
      </w:r>
      <w:r w:rsidRPr="009C3305">
        <w:rPr>
          <w:rFonts w:ascii="Times New Roman" w:hAnsi="Times New Roman"/>
          <w:noProof/>
          <w:sz w:val="20"/>
          <w:szCs w:val="20"/>
          <w:vertAlign w:val="subscript"/>
          <w:lang w:val="ms-MY"/>
        </w:rPr>
        <w:t>2</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diperolehi dengan kehadiran 0.84 g/L NaCl (≈ 0.33 g/L Na</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 dan 2 g/L Na-asetat (≈ 0.56 g/L Na</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 telah menjelaskan klorin memberi gangguan kepada pengukuran NO</w:t>
      </w:r>
      <w:r w:rsidRPr="009C3305">
        <w:rPr>
          <w:rFonts w:ascii="Times New Roman" w:hAnsi="Times New Roman"/>
          <w:noProof/>
          <w:sz w:val="20"/>
          <w:szCs w:val="20"/>
          <w:vertAlign w:val="subscript"/>
          <w:lang w:val="ms-MY"/>
        </w:rPr>
        <w:t>2</w:t>
      </w:r>
      <w:r w:rsidRPr="009C3305">
        <w:rPr>
          <w:rFonts w:ascii="Times New Roman" w:hAnsi="Times New Roman"/>
          <w:noProof/>
          <w:sz w:val="20"/>
          <w:szCs w:val="20"/>
          <w:vertAlign w:val="superscript"/>
          <w:lang w:val="ms-MY"/>
        </w:rPr>
        <w:t>−</w:t>
      </w:r>
      <w:r w:rsidRPr="009C3305">
        <w:rPr>
          <w:rFonts w:ascii="Times New Roman" w:hAnsi="Times New Roman"/>
          <w:noProof/>
          <w:sz w:val="20"/>
          <w:szCs w:val="20"/>
          <w:lang w:val="ms-MY"/>
        </w:rPr>
        <w:t>-N. Kompleks yang terhasil melalui penitratan oleh asid salisilik tidak diganggu oleh kehadiran kalium, fosfat, natrium, magnesium, ferum dan natrium asetat, kecerunan yang sama (0.0095) telah diperhatikan bagi kehadiran mineral atau sebaliknya. Selanjutnyam kaedah ammonium molibidat bagi penentuan PO</w:t>
      </w:r>
      <w:r w:rsidRPr="009C3305">
        <w:rPr>
          <w:rFonts w:ascii="Times New Roman" w:hAnsi="Times New Roman"/>
          <w:noProof/>
          <w:sz w:val="20"/>
          <w:szCs w:val="20"/>
          <w:vertAlign w:val="subscript"/>
          <w:lang w:val="ms-MY"/>
        </w:rPr>
        <w:t>4</w:t>
      </w:r>
      <w:r w:rsidRPr="009C3305">
        <w:rPr>
          <w:rFonts w:ascii="Times New Roman" w:hAnsi="Times New Roman"/>
          <w:noProof/>
          <w:sz w:val="20"/>
          <w:szCs w:val="20"/>
          <w:vertAlign w:val="superscript"/>
          <w:lang w:val="ms-MY"/>
        </w:rPr>
        <w:t>3-</w:t>
      </w:r>
      <w:r w:rsidRPr="009C3305">
        <w:rPr>
          <w:rFonts w:ascii="Times New Roman" w:hAnsi="Times New Roman"/>
          <w:noProof/>
          <w:sz w:val="20"/>
          <w:szCs w:val="20"/>
          <w:lang w:val="ms-MY"/>
        </w:rPr>
        <w:t xml:space="preserve"> diketahui kaedah teguh kerana pengukuran tidak diganggu dengan kehadiran mineral. </w:t>
      </w:r>
    </w:p>
    <w:p w14:paraId="636A6F69" w14:textId="77777777" w:rsidR="009C3305" w:rsidRPr="009C3305" w:rsidRDefault="009C3305" w:rsidP="009C3305">
      <w:pPr>
        <w:spacing w:after="0"/>
        <w:jc w:val="both"/>
        <w:outlineLvl w:val="0"/>
        <w:rPr>
          <w:rFonts w:ascii="Times New Roman" w:hAnsi="Times New Roman"/>
          <w:noProof/>
          <w:sz w:val="20"/>
          <w:szCs w:val="20"/>
          <w:lang w:val="ms-MY"/>
        </w:rPr>
      </w:pPr>
    </w:p>
    <w:p w14:paraId="60497CDF" w14:textId="77777777" w:rsidR="001E55BE" w:rsidRDefault="009C3305" w:rsidP="009C3305">
      <w:pPr>
        <w:tabs>
          <w:tab w:val="left" w:pos="5059"/>
        </w:tabs>
        <w:spacing w:after="0"/>
        <w:ind w:left="1260" w:hanging="1260"/>
        <w:jc w:val="both"/>
        <w:rPr>
          <w:rFonts w:ascii="Times New Roman" w:hAnsi="Times New Roman"/>
          <w:noProof/>
          <w:sz w:val="20"/>
          <w:szCs w:val="20"/>
          <w:lang w:val="ms-MY"/>
        </w:rPr>
      </w:pPr>
      <w:r w:rsidRPr="009C3305">
        <w:rPr>
          <w:rFonts w:ascii="Times New Roman" w:hAnsi="Times New Roman"/>
          <w:b/>
          <w:noProof/>
          <w:sz w:val="20"/>
          <w:szCs w:val="20"/>
          <w:lang w:val="ms-MY"/>
        </w:rPr>
        <w:t>Kata kunci</w:t>
      </w:r>
      <w:r w:rsidRPr="009C3305">
        <w:rPr>
          <w:rFonts w:ascii="Times New Roman" w:hAnsi="Times New Roman"/>
          <w:b/>
          <w:bCs/>
          <w:noProof/>
          <w:sz w:val="20"/>
          <w:szCs w:val="20"/>
          <w:lang w:val="ms-MY"/>
        </w:rPr>
        <w:t xml:space="preserve">: </w:t>
      </w:r>
      <w:r>
        <w:rPr>
          <w:rFonts w:ascii="Times New Roman" w:hAnsi="Times New Roman"/>
          <w:b/>
          <w:bCs/>
          <w:noProof/>
          <w:sz w:val="20"/>
          <w:szCs w:val="20"/>
          <w:lang w:val="ms-MY"/>
        </w:rPr>
        <w:tab/>
      </w:r>
      <w:r w:rsidRPr="009C3305">
        <w:rPr>
          <w:rFonts w:ascii="Times New Roman" w:hAnsi="Times New Roman"/>
          <w:noProof/>
          <w:sz w:val="20"/>
          <w:szCs w:val="20"/>
          <w:lang w:val="ms-MY"/>
        </w:rPr>
        <w:t>spektrofotometer UV, tindak balas Nessler, kaedah sulfanilmida, kaedah asid salisilik, kaedah ammonium-molibdat</w:t>
      </w:r>
    </w:p>
    <w:p w14:paraId="3BBB034F" w14:textId="77777777" w:rsidR="009C3305" w:rsidRDefault="009C3305" w:rsidP="009C3305">
      <w:pPr>
        <w:tabs>
          <w:tab w:val="left" w:pos="5059"/>
        </w:tabs>
        <w:spacing w:after="0"/>
        <w:jc w:val="center"/>
        <w:rPr>
          <w:rFonts w:ascii="Times New Roman" w:hAnsi="Times New Roman"/>
          <w:noProof/>
          <w:sz w:val="20"/>
          <w:szCs w:val="20"/>
          <w:lang w:val="ms-MY"/>
        </w:rPr>
      </w:pPr>
    </w:p>
    <w:p w14:paraId="5B2FCD2C" w14:textId="77777777" w:rsidR="009C3305" w:rsidRPr="0052006E" w:rsidRDefault="009C3305" w:rsidP="009C3305">
      <w:pPr>
        <w:spacing w:after="0"/>
        <w:jc w:val="center"/>
        <w:outlineLvl w:val="0"/>
        <w:rPr>
          <w:rFonts w:ascii="Times New Roman" w:hAnsi="Times New Roman"/>
          <w:b/>
          <w:noProof/>
          <w:sz w:val="20"/>
          <w:szCs w:val="20"/>
        </w:rPr>
      </w:pPr>
      <w:r w:rsidRPr="0052006E">
        <w:rPr>
          <w:rFonts w:ascii="Times New Roman" w:hAnsi="Times New Roman"/>
          <w:b/>
          <w:noProof/>
          <w:sz w:val="20"/>
          <w:szCs w:val="20"/>
        </w:rPr>
        <w:t>References</w:t>
      </w:r>
    </w:p>
    <w:p w14:paraId="53DF07D2"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Rezende, D.,  Nishi, L.,  Coldebella, P. F.,  Silva, M. F.,  Vieira, M. F.,  Vieira, A. M. S.,  Bergamasco, R.  and Fagundes‐Klen, M. R. (2016). Groundwater nitrate contamination: assessment and treatment using moringa oleifera lam. Seed extract and activated carbon filtration. </w:t>
      </w:r>
      <w:r w:rsidRPr="0052006E">
        <w:rPr>
          <w:rFonts w:ascii="Times New Roman" w:hAnsi="Times New Roman"/>
          <w:i/>
          <w:iCs/>
          <w:sz w:val="20"/>
          <w:szCs w:val="20"/>
        </w:rPr>
        <w:t>The Canadian Journal of Chemical Engineering,</w:t>
      </w:r>
      <w:r w:rsidRPr="0052006E">
        <w:rPr>
          <w:rFonts w:ascii="Times New Roman" w:hAnsi="Times New Roman"/>
          <w:sz w:val="20"/>
          <w:szCs w:val="20"/>
        </w:rPr>
        <w:t xml:space="preserve"> 94: 725-732. </w:t>
      </w:r>
    </w:p>
    <w:p w14:paraId="2E3BE047"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Ramos, A. C., Regan, S., McGinn, P. J. and Champagne, P. (2019). Feasibility of a microalgal wastewater treatment for the removal of nutrients under non-sterile conditions and carbon limitation. </w:t>
      </w:r>
      <w:r w:rsidRPr="0052006E">
        <w:rPr>
          <w:rFonts w:ascii="Times New Roman" w:hAnsi="Times New Roman"/>
          <w:i/>
          <w:iCs/>
          <w:sz w:val="20"/>
          <w:szCs w:val="20"/>
        </w:rPr>
        <w:t>The Canadian Journal of Chemical Engineering</w:t>
      </w:r>
      <w:r w:rsidRPr="0052006E">
        <w:rPr>
          <w:rFonts w:ascii="Times New Roman" w:hAnsi="Times New Roman"/>
          <w:i/>
          <w:sz w:val="20"/>
          <w:szCs w:val="20"/>
        </w:rPr>
        <w:t>,</w:t>
      </w:r>
      <w:r w:rsidRPr="0052006E">
        <w:rPr>
          <w:rFonts w:ascii="Times New Roman" w:hAnsi="Times New Roman"/>
          <w:sz w:val="20"/>
          <w:szCs w:val="20"/>
        </w:rPr>
        <w:t xml:space="preserve"> </w:t>
      </w:r>
      <w:r w:rsidRPr="0052006E">
        <w:rPr>
          <w:rFonts w:ascii="Times New Roman" w:hAnsi="Times New Roman"/>
          <w:bCs/>
          <w:sz w:val="20"/>
          <w:szCs w:val="20"/>
        </w:rPr>
        <w:t>97</w:t>
      </w:r>
      <w:r w:rsidRPr="0052006E">
        <w:rPr>
          <w:rFonts w:ascii="Times New Roman" w:hAnsi="Times New Roman"/>
          <w:sz w:val="20"/>
          <w:szCs w:val="20"/>
        </w:rPr>
        <w:t xml:space="preserve">: 1289-1298. </w:t>
      </w:r>
    </w:p>
    <w:p w14:paraId="4A17C73A"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Foulon, E., Rousseau, A. N., Benoy, G. and North, R. L. (2020). A global scan of how the issue of nutrient loading and harmful algal blooms is being addressed by governments, non-governmental organizations, and volunteers. </w:t>
      </w:r>
      <w:r w:rsidRPr="0052006E">
        <w:rPr>
          <w:rFonts w:ascii="Times New Roman" w:hAnsi="Times New Roman"/>
          <w:i/>
          <w:iCs/>
          <w:sz w:val="20"/>
          <w:szCs w:val="20"/>
        </w:rPr>
        <w:t>Water Quality Research Journal,</w:t>
      </w:r>
      <w:r w:rsidRPr="0052006E">
        <w:rPr>
          <w:rFonts w:ascii="Times New Roman" w:hAnsi="Times New Roman"/>
          <w:sz w:val="20"/>
          <w:szCs w:val="20"/>
        </w:rPr>
        <w:t xml:space="preserve"> 55 (1): 1-23. </w:t>
      </w:r>
    </w:p>
    <w:p w14:paraId="0D42E832"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Yaqoop, M., Nabi, A. and Worsfold, P. J. (2004). Determination of nanomolar concentrations of phosphate in freshwaters using flow injection with luminol chemiluminescence detection. </w:t>
      </w:r>
      <w:r w:rsidRPr="0052006E">
        <w:rPr>
          <w:rFonts w:ascii="Times New Roman" w:hAnsi="Times New Roman"/>
          <w:i/>
          <w:iCs/>
          <w:sz w:val="20"/>
          <w:szCs w:val="20"/>
        </w:rPr>
        <w:t>Analytica Chimica Acta,</w:t>
      </w:r>
      <w:r w:rsidRPr="0052006E">
        <w:rPr>
          <w:rFonts w:ascii="Times New Roman" w:hAnsi="Times New Roman"/>
          <w:sz w:val="20"/>
          <w:szCs w:val="20"/>
        </w:rPr>
        <w:t xml:space="preserve"> 510: 213-218. </w:t>
      </w:r>
    </w:p>
    <w:p w14:paraId="5AD27DC2"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Gamon, F., Tomaszewski, M. and Ziembińska-Buczyńska, A. (2019). Ecotoxicological study of landfill leachate treated in the ANAMMOX process. </w:t>
      </w:r>
      <w:r w:rsidRPr="0052006E">
        <w:rPr>
          <w:rFonts w:ascii="Times New Roman" w:hAnsi="Times New Roman"/>
          <w:i/>
          <w:iCs/>
          <w:sz w:val="20"/>
          <w:szCs w:val="20"/>
        </w:rPr>
        <w:t>Water Quality Research Journal,</w:t>
      </w:r>
      <w:r w:rsidRPr="0052006E">
        <w:rPr>
          <w:rFonts w:ascii="Times New Roman" w:hAnsi="Times New Roman"/>
          <w:sz w:val="20"/>
          <w:szCs w:val="20"/>
        </w:rPr>
        <w:t xml:space="preserve"> 54 (3): 230-241. </w:t>
      </w:r>
    </w:p>
    <w:p w14:paraId="582F7323"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Brezinski, K., Gorczyca, B. and Sadrnourmohammadi, M. (2019). Ion-exchange for trihalomethane control in potable water treatment - a municipal water treatment case study in Rainy River, Ontario, Canada. </w:t>
      </w:r>
      <w:r w:rsidRPr="0052006E">
        <w:rPr>
          <w:rFonts w:ascii="Times New Roman" w:hAnsi="Times New Roman"/>
          <w:i/>
          <w:iCs/>
          <w:sz w:val="20"/>
          <w:szCs w:val="20"/>
        </w:rPr>
        <w:t>Water Quality Research Journal,</w:t>
      </w:r>
      <w:r w:rsidRPr="0052006E">
        <w:rPr>
          <w:rFonts w:ascii="Times New Roman" w:hAnsi="Times New Roman"/>
          <w:sz w:val="20"/>
          <w:szCs w:val="20"/>
        </w:rPr>
        <w:t xml:space="preserve"> 54(2): 142-160. </w:t>
      </w:r>
    </w:p>
    <w:p w14:paraId="2F60E2A1"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Moorcroft, M. J., Davis, J. and Compton, R. G. (2001). Detection and determination of nitrate and nitrite: a review. </w:t>
      </w:r>
      <w:r w:rsidRPr="0052006E">
        <w:rPr>
          <w:rFonts w:ascii="Times New Roman" w:hAnsi="Times New Roman"/>
          <w:i/>
          <w:iCs/>
          <w:sz w:val="20"/>
          <w:szCs w:val="20"/>
        </w:rPr>
        <w:t>Talanta,</w:t>
      </w:r>
      <w:r w:rsidRPr="0052006E">
        <w:rPr>
          <w:rFonts w:ascii="Times New Roman" w:hAnsi="Times New Roman"/>
          <w:sz w:val="20"/>
          <w:szCs w:val="20"/>
        </w:rPr>
        <w:t xml:space="preserve"> 54: 785-803. </w:t>
      </w:r>
    </w:p>
    <w:p w14:paraId="32E2F6F5"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Fukushi, K., Tada, K., Takeda, S., Wakida, S., Yamane, M., Higashi, K. and Hiiro, K. (1999). Simultaneous determination of nitrate and nitrite ions in seawater by capillary zone electrophoresis</w:t>
      </w:r>
      <w:r>
        <w:rPr>
          <w:rFonts w:ascii="Times New Roman" w:hAnsi="Times New Roman"/>
          <w:sz w:val="20"/>
          <w:szCs w:val="20"/>
        </w:rPr>
        <w:t xml:space="preserve"> </w:t>
      </w:r>
      <w:r w:rsidRPr="0052006E">
        <w:rPr>
          <w:rFonts w:ascii="Times New Roman" w:hAnsi="Times New Roman"/>
          <w:sz w:val="20"/>
          <w:szCs w:val="20"/>
        </w:rPr>
        <w:t xml:space="preserve">using artificial seawater as the carrier solution. </w:t>
      </w:r>
      <w:r w:rsidRPr="0052006E">
        <w:rPr>
          <w:rFonts w:ascii="Times New Roman" w:hAnsi="Times New Roman"/>
          <w:i/>
          <w:iCs/>
          <w:sz w:val="20"/>
          <w:szCs w:val="20"/>
        </w:rPr>
        <w:t>Journal of Chromatography A</w:t>
      </w:r>
      <w:r w:rsidRPr="0052006E">
        <w:rPr>
          <w:rFonts w:ascii="Times New Roman" w:hAnsi="Times New Roman"/>
          <w:sz w:val="20"/>
          <w:szCs w:val="20"/>
        </w:rPr>
        <w:t xml:space="preserve">, 838: 303-311. </w:t>
      </w:r>
    </w:p>
    <w:p w14:paraId="4828DEE2"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lastRenderedPageBreak/>
        <w:t xml:space="preserve">Okemgbo, A. A., Hill, H. H. and Siems, W. F. (1999). Reverse polarity capillary zone electrophoretic analysis of nitrate and nitrite in natural water samples. </w:t>
      </w:r>
      <w:r w:rsidRPr="0052006E">
        <w:rPr>
          <w:rFonts w:ascii="Times New Roman" w:hAnsi="Times New Roman"/>
          <w:i/>
          <w:iCs/>
          <w:sz w:val="20"/>
          <w:szCs w:val="20"/>
        </w:rPr>
        <w:t>Analytical Chemistry,</w:t>
      </w:r>
      <w:r w:rsidRPr="0052006E">
        <w:rPr>
          <w:rFonts w:ascii="Times New Roman" w:hAnsi="Times New Roman"/>
          <w:sz w:val="20"/>
          <w:szCs w:val="20"/>
        </w:rPr>
        <w:t xml:space="preserve"> 71: 2725-2731. </w:t>
      </w:r>
    </w:p>
    <w:p w14:paraId="62FB61AF"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American Public Health Association (2005). Standard methods for the examination of water and wastewater. Access from https://www. standardmethods.org/ </w:t>
      </w:r>
    </w:p>
    <w:p w14:paraId="60DF71C1" w14:textId="77777777" w:rsidR="009C3305" w:rsidRPr="0052006E" w:rsidRDefault="00D52597" w:rsidP="009C3305">
      <w:pPr>
        <w:pStyle w:val="ListParagraph"/>
        <w:numPr>
          <w:ilvl w:val="0"/>
          <w:numId w:val="8"/>
        </w:numPr>
        <w:spacing w:after="0"/>
        <w:ind w:left="360"/>
        <w:contextualSpacing w:val="0"/>
        <w:jc w:val="both"/>
        <w:rPr>
          <w:rFonts w:ascii="Times New Roman" w:hAnsi="Times New Roman"/>
          <w:sz w:val="20"/>
          <w:szCs w:val="20"/>
        </w:rPr>
      </w:pPr>
      <w:hyperlink r:id="rId12" w:history="1"/>
      <w:r w:rsidR="009C3305" w:rsidRPr="0052006E">
        <w:rPr>
          <w:rFonts w:ascii="Times New Roman" w:hAnsi="Times New Roman"/>
          <w:sz w:val="20"/>
          <w:szCs w:val="20"/>
        </w:rPr>
        <w:t xml:space="preserve">He, X., Sun, Q., Xu, T., Dai, M. and Wei, D. (2019). Removal of nitrogen by heterotrophic nitrification–aerobic denitrification of a novel halotolerant bacterium Pseudomonas mendocina TJPU04. </w:t>
      </w:r>
      <w:r w:rsidR="009C3305" w:rsidRPr="0052006E">
        <w:rPr>
          <w:rFonts w:ascii="Times New Roman" w:hAnsi="Times New Roman"/>
          <w:i/>
          <w:iCs/>
          <w:sz w:val="20"/>
          <w:szCs w:val="20"/>
        </w:rPr>
        <w:t>Bioprocess Biosystems Engineering,</w:t>
      </w:r>
      <w:r w:rsidR="009C3305" w:rsidRPr="0052006E">
        <w:rPr>
          <w:rFonts w:ascii="Times New Roman" w:hAnsi="Times New Roman"/>
          <w:sz w:val="20"/>
          <w:szCs w:val="20"/>
        </w:rPr>
        <w:t xml:space="preserve"> 42: 853-866.</w:t>
      </w:r>
    </w:p>
    <w:p w14:paraId="771BEAA0"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Mozumder, M. S. I., De Wever, H., Volcke, E. I. P. and Garcia-Gonzalez, L. (2014). A robust fed-batch feeding strategy independent of the carbon source for optimal polyhydroxybutyrate production. </w:t>
      </w:r>
      <w:r w:rsidRPr="0052006E">
        <w:rPr>
          <w:rFonts w:ascii="Times New Roman" w:hAnsi="Times New Roman"/>
          <w:i/>
          <w:iCs/>
          <w:sz w:val="20"/>
          <w:szCs w:val="20"/>
        </w:rPr>
        <w:t>Process Biochemistry,</w:t>
      </w:r>
      <w:r w:rsidRPr="0052006E">
        <w:rPr>
          <w:rFonts w:ascii="Times New Roman" w:hAnsi="Times New Roman"/>
          <w:sz w:val="20"/>
          <w:szCs w:val="20"/>
        </w:rPr>
        <w:t xml:space="preserve"> 49: 365-373.</w:t>
      </w:r>
    </w:p>
    <w:p w14:paraId="05050373"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Zhao, J., Wang, X., Li, X., Jia, S., Wang, Q. and Peng, Y. (2019). Improvement of partial nitrification endogenous denitrification and phosphorus removal system: balancing competition between phosphorus and glycogen accumulating organisms to enhance nitrogen removal without initiating phosphorus removal deterioration. </w:t>
      </w:r>
      <w:r w:rsidRPr="0052006E">
        <w:rPr>
          <w:rFonts w:ascii="Times New Roman" w:hAnsi="Times New Roman"/>
          <w:i/>
          <w:iCs/>
          <w:sz w:val="20"/>
          <w:szCs w:val="20"/>
        </w:rPr>
        <w:t>Bioresource Technology,</w:t>
      </w:r>
      <w:r w:rsidRPr="0052006E">
        <w:rPr>
          <w:rFonts w:ascii="Times New Roman" w:hAnsi="Times New Roman"/>
          <w:sz w:val="20"/>
          <w:szCs w:val="20"/>
        </w:rPr>
        <w:t xml:space="preserve"> 281: 382-391. </w:t>
      </w:r>
    </w:p>
    <w:p w14:paraId="2C62080E"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Crosby, N. T. (1968). Determination of ammonia by the Nessler method in waters containing hydrazine. </w:t>
      </w:r>
      <w:r w:rsidRPr="0052006E">
        <w:rPr>
          <w:rFonts w:ascii="Times New Roman" w:hAnsi="Times New Roman"/>
          <w:i/>
          <w:iCs/>
          <w:sz w:val="20"/>
          <w:szCs w:val="20"/>
        </w:rPr>
        <w:t xml:space="preserve">Analyst, </w:t>
      </w:r>
      <w:r w:rsidRPr="0052006E">
        <w:rPr>
          <w:rFonts w:ascii="Times New Roman" w:hAnsi="Times New Roman"/>
          <w:sz w:val="20"/>
          <w:szCs w:val="20"/>
        </w:rPr>
        <w:t xml:space="preserve">93: 406-408. </w:t>
      </w:r>
    </w:p>
    <w:p w14:paraId="47DBBA2E"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Cataldo, D. A., Haroon, M., Schrader, L. E. and Youngs, V. L. (1975). Rapid colorimetric determination of nitrate in plant-tissue by nitration of salicylic-acid. </w:t>
      </w:r>
      <w:r w:rsidRPr="0052006E">
        <w:rPr>
          <w:rFonts w:ascii="Times New Roman" w:hAnsi="Times New Roman"/>
          <w:i/>
          <w:iCs/>
          <w:sz w:val="20"/>
          <w:szCs w:val="20"/>
        </w:rPr>
        <w:t>Communications in Soil Science and Plant Analysis,</w:t>
      </w:r>
      <w:r w:rsidRPr="0052006E">
        <w:rPr>
          <w:rFonts w:ascii="Times New Roman" w:hAnsi="Times New Roman"/>
          <w:sz w:val="20"/>
          <w:szCs w:val="20"/>
        </w:rPr>
        <w:t xml:space="preserve"> 6(1): 71-80. </w:t>
      </w:r>
    </w:p>
    <w:p w14:paraId="53826049" w14:textId="77777777" w:rsidR="009C3305" w:rsidRPr="002818F2"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Jeong, H., Park, J. and Kim, H. (2013). Determination of NH</w:t>
      </w:r>
      <w:r w:rsidRPr="0052006E">
        <w:rPr>
          <w:rFonts w:ascii="Times New Roman" w:hAnsi="Times New Roman"/>
          <w:sz w:val="20"/>
          <w:szCs w:val="20"/>
          <w:vertAlign w:val="subscript"/>
        </w:rPr>
        <w:t>4</w:t>
      </w:r>
      <w:r w:rsidRPr="0052006E">
        <w:rPr>
          <w:rFonts w:ascii="Times New Roman" w:hAnsi="Times New Roman"/>
          <w:sz w:val="20"/>
          <w:szCs w:val="20"/>
          <w:vertAlign w:val="superscript"/>
        </w:rPr>
        <w:t>+</w:t>
      </w:r>
      <w:r w:rsidRPr="0052006E">
        <w:rPr>
          <w:rFonts w:ascii="Times New Roman" w:hAnsi="Times New Roman"/>
          <w:sz w:val="20"/>
          <w:szCs w:val="20"/>
        </w:rPr>
        <w:t xml:space="preserve"> in environmental water with interfering substances using the modified nessler method. </w:t>
      </w:r>
      <w:r w:rsidRPr="0052006E">
        <w:rPr>
          <w:rFonts w:ascii="Times New Roman" w:hAnsi="Times New Roman"/>
          <w:i/>
          <w:iCs/>
          <w:sz w:val="20"/>
          <w:szCs w:val="20"/>
        </w:rPr>
        <w:t>Journal of Chemistry,</w:t>
      </w:r>
      <w:r w:rsidRPr="0052006E">
        <w:rPr>
          <w:rFonts w:ascii="Times New Roman" w:hAnsi="Times New Roman"/>
          <w:sz w:val="20"/>
          <w:szCs w:val="20"/>
        </w:rPr>
        <w:t xml:space="preserve"> 2013: 1-9.</w:t>
      </w:r>
    </w:p>
    <w:p w14:paraId="4BB4A7BC"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Boopathy, R. (2003). Use of anaerobic soil slurry reactors for the removal of petroleum hydrocarbons in soil. </w:t>
      </w:r>
      <w:r w:rsidRPr="0052006E">
        <w:rPr>
          <w:rFonts w:ascii="Times New Roman" w:hAnsi="Times New Roman"/>
          <w:i/>
          <w:iCs/>
          <w:sz w:val="20"/>
          <w:szCs w:val="20"/>
        </w:rPr>
        <w:t>International Biodeterioration and Biodegradation,</w:t>
      </w:r>
      <w:r w:rsidRPr="0052006E">
        <w:rPr>
          <w:rFonts w:ascii="Times New Roman" w:hAnsi="Times New Roman"/>
          <w:sz w:val="20"/>
          <w:szCs w:val="20"/>
        </w:rPr>
        <w:t xml:space="preserve"> 52: 161-166. </w:t>
      </w:r>
    </w:p>
    <w:p w14:paraId="6C93C19E"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Hach, C. C., Brayton, S. V. and Kopelove, A. B. (1985). A powerful kjeldahl nitrogen method using peroxymonosulfuric acid. </w:t>
      </w:r>
      <w:r w:rsidRPr="0052006E">
        <w:rPr>
          <w:rFonts w:ascii="Times New Roman" w:hAnsi="Times New Roman"/>
          <w:i/>
          <w:iCs/>
          <w:sz w:val="20"/>
          <w:szCs w:val="20"/>
        </w:rPr>
        <w:t>Journal of Agricultural &amp; Food Chemistry,</w:t>
      </w:r>
      <w:r w:rsidRPr="0052006E">
        <w:rPr>
          <w:rFonts w:ascii="Times New Roman" w:hAnsi="Times New Roman"/>
          <w:sz w:val="20"/>
          <w:szCs w:val="20"/>
        </w:rPr>
        <w:t xml:space="preserve"> 33: 1117-1123.  </w:t>
      </w:r>
    </w:p>
    <w:p w14:paraId="7B77C0EF"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Gulsoy, G., Tayanc, M. and Erturk, F. (1999). Chemical analyses of the major ions in the precipitation of Istanbul, Turkey. </w:t>
      </w:r>
      <w:r w:rsidRPr="0052006E">
        <w:rPr>
          <w:rFonts w:ascii="Times New Roman" w:hAnsi="Times New Roman"/>
          <w:i/>
          <w:iCs/>
          <w:sz w:val="20"/>
          <w:szCs w:val="20"/>
        </w:rPr>
        <w:t xml:space="preserve">Environmental Pollution, </w:t>
      </w:r>
      <w:r w:rsidRPr="0052006E">
        <w:rPr>
          <w:rFonts w:ascii="Times New Roman" w:hAnsi="Times New Roman"/>
          <w:sz w:val="20"/>
          <w:szCs w:val="20"/>
        </w:rPr>
        <w:t xml:space="preserve">105: 273-280. </w:t>
      </w:r>
    </w:p>
    <w:p w14:paraId="3C317873"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Foyn, E. (1950). Ammonia determination in sea water. </w:t>
      </w:r>
      <w:r w:rsidRPr="0052006E">
        <w:rPr>
          <w:rFonts w:ascii="Times New Roman" w:hAnsi="Times New Roman"/>
          <w:i/>
          <w:iCs/>
          <w:sz w:val="20"/>
          <w:szCs w:val="20"/>
        </w:rPr>
        <w:t>ICES Journal of Marine Science,</w:t>
      </w:r>
      <w:r w:rsidRPr="0052006E">
        <w:rPr>
          <w:rFonts w:ascii="Times New Roman" w:hAnsi="Times New Roman"/>
          <w:sz w:val="20"/>
          <w:szCs w:val="20"/>
        </w:rPr>
        <w:t xml:space="preserve"> 16: 175-178. </w:t>
      </w:r>
    </w:p>
    <w:p w14:paraId="50E6B5B5"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Colman, B. P. (2010). Understanding and eliminating iron interference in colorimetric nitrate and nitrite analysis. </w:t>
      </w:r>
      <w:r w:rsidRPr="0052006E">
        <w:rPr>
          <w:rFonts w:ascii="Times New Roman" w:hAnsi="Times New Roman"/>
          <w:i/>
          <w:iCs/>
          <w:sz w:val="20"/>
          <w:szCs w:val="20"/>
        </w:rPr>
        <w:t>Environmental Monitoring and Assessment,</w:t>
      </w:r>
      <w:r w:rsidRPr="0052006E">
        <w:rPr>
          <w:rFonts w:ascii="Times New Roman" w:hAnsi="Times New Roman"/>
          <w:sz w:val="20"/>
          <w:szCs w:val="20"/>
        </w:rPr>
        <w:t xml:space="preserve"> 165: 633-641. </w:t>
      </w:r>
    </w:p>
    <w:p w14:paraId="3DD5CA1B"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Norwitz, G. and Keliher, P. N. (1985). Study of interferences in the spectrophotometric determination of nitrite using composite diazotisation - coupling reagents. </w:t>
      </w:r>
      <w:r w:rsidRPr="0052006E">
        <w:rPr>
          <w:rFonts w:ascii="Times New Roman" w:hAnsi="Times New Roman"/>
          <w:i/>
          <w:iCs/>
          <w:sz w:val="20"/>
          <w:szCs w:val="20"/>
        </w:rPr>
        <w:t>Analyst,</w:t>
      </w:r>
      <w:r w:rsidRPr="0052006E">
        <w:rPr>
          <w:rFonts w:ascii="Times New Roman" w:hAnsi="Times New Roman"/>
          <w:sz w:val="20"/>
          <w:szCs w:val="20"/>
        </w:rPr>
        <w:t xml:space="preserve"> 110: 689-694. </w:t>
      </w:r>
    </w:p>
    <w:p w14:paraId="4DB7301F"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Tarafder, P. K. and Rathore, D. P. S. (1988). Spectrophotometric determination of nitrite in water, </w:t>
      </w:r>
      <w:r w:rsidRPr="0052006E">
        <w:rPr>
          <w:rFonts w:ascii="Times New Roman" w:hAnsi="Times New Roman"/>
          <w:i/>
          <w:iCs/>
          <w:sz w:val="20"/>
          <w:szCs w:val="20"/>
        </w:rPr>
        <w:t>Analyst,</w:t>
      </w:r>
      <w:r w:rsidRPr="0052006E">
        <w:rPr>
          <w:rFonts w:ascii="Times New Roman" w:hAnsi="Times New Roman"/>
          <w:sz w:val="20"/>
          <w:szCs w:val="20"/>
        </w:rPr>
        <w:t xml:space="preserve"> 113: 1073-1076. </w:t>
      </w:r>
    </w:p>
    <w:p w14:paraId="07BDE597"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Cataldo, D. A., Maroon, M., Schrader, L. E. and Youngs, V. L. (1975). Rapid colorimetric determination of nitrate in plant tissue by nitration of salicylic acid. </w:t>
      </w:r>
      <w:r w:rsidRPr="0052006E">
        <w:rPr>
          <w:rFonts w:ascii="Times New Roman" w:hAnsi="Times New Roman"/>
          <w:i/>
          <w:iCs/>
          <w:sz w:val="20"/>
          <w:szCs w:val="20"/>
        </w:rPr>
        <w:t>Communications in Soil Science and Plant Analysis,</w:t>
      </w:r>
      <w:r w:rsidRPr="0052006E">
        <w:rPr>
          <w:rFonts w:ascii="Times New Roman" w:hAnsi="Times New Roman"/>
          <w:sz w:val="20"/>
          <w:szCs w:val="20"/>
        </w:rPr>
        <w:t xml:space="preserve"> 6(1): 71-80. </w:t>
      </w:r>
    </w:p>
    <w:p w14:paraId="1B1D7A8B" w14:textId="77777777"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Ganesh, S., Khan, F., Ahmed, M. K., Velavenda, P., Pandey, N. K. and Mudali, U. K. (2012). Spectrophotometric determination of trace amounts of phosphate in water and soil. </w:t>
      </w:r>
      <w:r w:rsidRPr="0052006E">
        <w:rPr>
          <w:rFonts w:ascii="Times New Roman" w:hAnsi="Times New Roman"/>
          <w:i/>
          <w:iCs/>
          <w:sz w:val="20"/>
          <w:szCs w:val="20"/>
        </w:rPr>
        <w:t>Water Science and Technology,</w:t>
      </w:r>
      <w:r w:rsidRPr="0052006E">
        <w:rPr>
          <w:rFonts w:ascii="Times New Roman" w:hAnsi="Times New Roman"/>
          <w:sz w:val="20"/>
          <w:szCs w:val="20"/>
        </w:rPr>
        <w:t xml:space="preserve"> 66(12): 2653-2658. </w:t>
      </w:r>
    </w:p>
    <w:p w14:paraId="54F2F22C" w14:textId="0B7F8FA4" w:rsidR="009C3305" w:rsidRPr="0052006E" w:rsidRDefault="009C3305" w:rsidP="009C3305">
      <w:pPr>
        <w:pStyle w:val="ListParagraph"/>
        <w:numPr>
          <w:ilvl w:val="0"/>
          <w:numId w:val="8"/>
        </w:numPr>
        <w:spacing w:after="0"/>
        <w:ind w:left="360"/>
        <w:contextualSpacing w:val="0"/>
        <w:jc w:val="both"/>
        <w:rPr>
          <w:rFonts w:ascii="Times New Roman" w:hAnsi="Times New Roman"/>
          <w:sz w:val="20"/>
          <w:szCs w:val="20"/>
        </w:rPr>
      </w:pPr>
      <w:r w:rsidRPr="0052006E">
        <w:rPr>
          <w:rFonts w:ascii="Times New Roman" w:hAnsi="Times New Roman"/>
          <w:sz w:val="20"/>
          <w:szCs w:val="20"/>
        </w:rPr>
        <w:t xml:space="preserve">Mahadevaiah, Kumar, M. S. Y., Galil, M. S. A., Suresha, M. S., Sathish, M. A. and Nagendrappaa, G. (2007). A simple </w:t>
      </w:r>
      <w:r w:rsidR="00B909A0">
        <w:rPr>
          <w:rFonts w:ascii="Times New Roman" w:hAnsi="Times New Roman"/>
          <w:sz w:val="20"/>
          <w:szCs w:val="20"/>
        </w:rPr>
        <w:t xml:space="preserve"> </w:t>
      </w:r>
      <w:r w:rsidRPr="0052006E">
        <w:rPr>
          <w:rFonts w:ascii="Times New Roman" w:hAnsi="Times New Roman"/>
          <w:sz w:val="20"/>
          <w:szCs w:val="20"/>
        </w:rPr>
        <w:t xml:space="preserve">spectrophotometric </w:t>
      </w:r>
      <w:r w:rsidR="00B909A0">
        <w:rPr>
          <w:rFonts w:ascii="Times New Roman" w:hAnsi="Times New Roman"/>
          <w:sz w:val="20"/>
          <w:szCs w:val="20"/>
        </w:rPr>
        <w:t xml:space="preserve"> </w:t>
      </w:r>
      <w:r w:rsidRPr="0052006E">
        <w:rPr>
          <w:rFonts w:ascii="Times New Roman" w:hAnsi="Times New Roman"/>
          <w:sz w:val="20"/>
          <w:szCs w:val="20"/>
        </w:rPr>
        <w:t xml:space="preserve">determination </w:t>
      </w:r>
      <w:r w:rsidR="00B909A0">
        <w:rPr>
          <w:rFonts w:ascii="Times New Roman" w:hAnsi="Times New Roman"/>
          <w:sz w:val="20"/>
          <w:szCs w:val="20"/>
        </w:rPr>
        <w:t xml:space="preserve"> </w:t>
      </w:r>
      <w:r w:rsidRPr="0052006E">
        <w:rPr>
          <w:rFonts w:ascii="Times New Roman" w:hAnsi="Times New Roman"/>
          <w:sz w:val="20"/>
          <w:szCs w:val="20"/>
        </w:rPr>
        <w:t xml:space="preserve">of </w:t>
      </w:r>
      <w:r w:rsidR="00B909A0">
        <w:rPr>
          <w:rFonts w:ascii="Times New Roman" w:hAnsi="Times New Roman"/>
          <w:sz w:val="20"/>
          <w:szCs w:val="20"/>
        </w:rPr>
        <w:t xml:space="preserve"> </w:t>
      </w:r>
      <w:r w:rsidRPr="0052006E">
        <w:rPr>
          <w:rFonts w:ascii="Times New Roman" w:hAnsi="Times New Roman"/>
          <w:sz w:val="20"/>
          <w:szCs w:val="20"/>
        </w:rPr>
        <w:t xml:space="preserve">phosphate </w:t>
      </w:r>
      <w:r w:rsidR="00B909A0">
        <w:rPr>
          <w:rFonts w:ascii="Times New Roman" w:hAnsi="Times New Roman"/>
          <w:sz w:val="20"/>
          <w:szCs w:val="20"/>
        </w:rPr>
        <w:t xml:space="preserve"> </w:t>
      </w:r>
      <w:r w:rsidRPr="0052006E">
        <w:rPr>
          <w:rFonts w:ascii="Times New Roman" w:hAnsi="Times New Roman"/>
          <w:sz w:val="20"/>
          <w:szCs w:val="20"/>
        </w:rPr>
        <w:t xml:space="preserve">in </w:t>
      </w:r>
      <w:r w:rsidR="00B909A0">
        <w:rPr>
          <w:rFonts w:ascii="Times New Roman" w:hAnsi="Times New Roman"/>
          <w:sz w:val="20"/>
          <w:szCs w:val="20"/>
        </w:rPr>
        <w:t xml:space="preserve"> </w:t>
      </w:r>
      <w:r w:rsidRPr="0052006E">
        <w:rPr>
          <w:rFonts w:ascii="Times New Roman" w:hAnsi="Times New Roman"/>
          <w:sz w:val="20"/>
          <w:szCs w:val="20"/>
        </w:rPr>
        <w:t xml:space="preserve">sugarcane </w:t>
      </w:r>
      <w:r w:rsidR="00B909A0">
        <w:rPr>
          <w:rFonts w:ascii="Times New Roman" w:hAnsi="Times New Roman"/>
          <w:sz w:val="20"/>
          <w:szCs w:val="20"/>
        </w:rPr>
        <w:t xml:space="preserve"> </w:t>
      </w:r>
      <w:r w:rsidRPr="0052006E">
        <w:rPr>
          <w:rFonts w:ascii="Times New Roman" w:hAnsi="Times New Roman"/>
          <w:sz w:val="20"/>
          <w:szCs w:val="20"/>
        </w:rPr>
        <w:t xml:space="preserve">juices, </w:t>
      </w:r>
      <w:r w:rsidR="00B909A0">
        <w:rPr>
          <w:rFonts w:ascii="Times New Roman" w:hAnsi="Times New Roman"/>
          <w:sz w:val="20"/>
          <w:szCs w:val="20"/>
        </w:rPr>
        <w:t xml:space="preserve"> </w:t>
      </w:r>
      <w:r w:rsidRPr="0052006E">
        <w:rPr>
          <w:rFonts w:ascii="Times New Roman" w:hAnsi="Times New Roman"/>
          <w:sz w:val="20"/>
          <w:szCs w:val="20"/>
        </w:rPr>
        <w:t xml:space="preserve">water </w:t>
      </w:r>
      <w:r w:rsidR="00B909A0">
        <w:rPr>
          <w:rFonts w:ascii="Times New Roman" w:hAnsi="Times New Roman"/>
          <w:sz w:val="20"/>
          <w:szCs w:val="20"/>
        </w:rPr>
        <w:t xml:space="preserve"> </w:t>
      </w:r>
      <w:r w:rsidRPr="0052006E">
        <w:rPr>
          <w:rFonts w:ascii="Times New Roman" w:hAnsi="Times New Roman"/>
          <w:sz w:val="20"/>
          <w:szCs w:val="20"/>
        </w:rPr>
        <w:t xml:space="preserve">and detergent samples.  </w:t>
      </w:r>
      <w:r w:rsidRPr="0052006E">
        <w:rPr>
          <w:rFonts w:ascii="Times New Roman" w:hAnsi="Times New Roman"/>
          <w:i/>
          <w:iCs/>
          <w:sz w:val="20"/>
          <w:szCs w:val="20"/>
        </w:rPr>
        <w:t>E-Journal of Chemistry,</w:t>
      </w:r>
      <w:r w:rsidRPr="0052006E">
        <w:rPr>
          <w:rFonts w:ascii="Times New Roman" w:hAnsi="Times New Roman"/>
          <w:sz w:val="20"/>
          <w:szCs w:val="20"/>
        </w:rPr>
        <w:t xml:space="preserve"> 4(4): 467-473.</w:t>
      </w:r>
    </w:p>
    <w:p w14:paraId="28AF9B97" w14:textId="3EA7858B" w:rsidR="009C3305" w:rsidRDefault="009C3305" w:rsidP="009C3305">
      <w:pPr>
        <w:tabs>
          <w:tab w:val="left" w:pos="5059"/>
        </w:tabs>
        <w:spacing w:after="0"/>
        <w:ind w:left="1260" w:hanging="1260"/>
        <w:jc w:val="both"/>
        <w:rPr>
          <w:rFonts w:ascii="Times New Roman" w:hAnsi="Times New Roman"/>
          <w:noProof/>
          <w:sz w:val="20"/>
          <w:szCs w:val="20"/>
        </w:rPr>
        <w:sectPr w:rsidR="009C3305" w:rsidSect="001E55BE">
          <w:footerReference w:type="even" r:id="rId13"/>
          <w:footerReference w:type="default" r:id="rId14"/>
          <w:type w:val="continuous"/>
          <w:pgSz w:w="12240" w:h="15840" w:code="1"/>
          <w:pgMar w:top="1800" w:right="1469" w:bottom="1699" w:left="1440" w:header="706" w:footer="706" w:gutter="0"/>
          <w:pgNumType w:start="1"/>
          <w:cols w:space="403"/>
          <w:docGrid w:linePitch="360"/>
        </w:sect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5"/>
      <w:headerReference w:type="default" r:id="rId16"/>
      <w:footerReference w:type="even" r:id="rId17"/>
      <w:headerReference w:type="first" r:id="rId18"/>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525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52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75E1A"/>
    <w:rsid w:val="009A4A79"/>
    <w:rsid w:val="009A5A4D"/>
    <w:rsid w:val="009C3305"/>
    <w:rsid w:val="00A23F0F"/>
    <w:rsid w:val="00AA706B"/>
    <w:rsid w:val="00AB4AE6"/>
    <w:rsid w:val="00AB5AEF"/>
    <w:rsid w:val="00AC72D0"/>
    <w:rsid w:val="00AD4549"/>
    <w:rsid w:val="00B40E61"/>
    <w:rsid w:val="00B9022C"/>
    <w:rsid w:val="00B909A0"/>
    <w:rsid w:val="00BE5F5F"/>
    <w:rsid w:val="00C71438"/>
    <w:rsid w:val="00C72F3E"/>
    <w:rsid w:val="00C73A4A"/>
    <w:rsid w:val="00CE6DF3"/>
    <w:rsid w:val="00D04BC8"/>
    <w:rsid w:val="00D0718B"/>
    <w:rsid w:val="00D40B1F"/>
    <w:rsid w:val="00D414B9"/>
    <w:rsid w:val="00D52597"/>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tandardmethods.org/"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3</cp:revision>
  <cp:lastPrinted>2020-04-01T04:48:00Z</cp:lastPrinted>
  <dcterms:created xsi:type="dcterms:W3CDTF">2021-04-17T09:06:00Z</dcterms:created>
  <dcterms:modified xsi:type="dcterms:W3CDTF">2021-04-17T09:17:00Z</dcterms:modified>
</cp:coreProperties>
</file>