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A826B14"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865A70">
        <w:rPr>
          <w:rFonts w:ascii="Times New Roman" w:hAnsi="Times New Roman" w:cs="Times New Roman"/>
          <w:b/>
          <w:i/>
          <w:sz w:val="24"/>
          <w:szCs w:val="24"/>
        </w:rPr>
        <w:t>71 - 80</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56B40C5C" w14:textId="77777777" w:rsidR="00865A70" w:rsidRPr="001D508F" w:rsidRDefault="00865A70" w:rsidP="00865A70">
      <w:pPr>
        <w:spacing w:after="0"/>
        <w:jc w:val="center"/>
        <w:outlineLvl w:val="0"/>
        <w:rPr>
          <w:rFonts w:ascii="Times New Roman" w:hAnsi="Times New Roman"/>
          <w:noProof/>
          <w:sz w:val="28"/>
        </w:rPr>
      </w:pPr>
      <w:r w:rsidRPr="001D508F">
        <w:rPr>
          <w:rFonts w:ascii="Times New Roman" w:hAnsi="Times New Roman"/>
          <w:noProof/>
          <w:sz w:val="28"/>
          <w:szCs w:val="28"/>
        </w:rPr>
        <w:t>MEFENAMIC ACID DETERMINATION IN TABLET FORMULATIONS USING A SELECTIVE AND ACCURATE SPECTROPHOTOMETRIC METHOD BASED ON PRUSSIAN BLUE FORMATION</w:t>
      </w:r>
      <w:r w:rsidRPr="001D508F">
        <w:rPr>
          <w:rFonts w:ascii="Times New Roman" w:hAnsi="Times New Roman"/>
          <w:noProof/>
          <w:sz w:val="28"/>
        </w:rPr>
        <w:t xml:space="preserve"> </w:t>
      </w:r>
    </w:p>
    <w:p w14:paraId="544B1810" w14:textId="77777777" w:rsidR="00865A70" w:rsidRPr="007F63BC" w:rsidRDefault="00865A70" w:rsidP="00865A70">
      <w:pPr>
        <w:spacing w:after="0"/>
        <w:jc w:val="center"/>
        <w:outlineLvl w:val="0"/>
        <w:rPr>
          <w:rFonts w:ascii="Times New Roman" w:hAnsi="Times New Roman"/>
          <w:b/>
          <w:noProof/>
          <w:color w:val="548DD4" w:themeColor="text2" w:themeTint="99"/>
          <w:sz w:val="24"/>
          <w:szCs w:val="24"/>
        </w:rPr>
      </w:pPr>
    </w:p>
    <w:p w14:paraId="5FE6F434" w14:textId="77777777" w:rsidR="00865A70" w:rsidRPr="007F63BC" w:rsidRDefault="00865A70" w:rsidP="00865A70">
      <w:pPr>
        <w:spacing w:after="0"/>
        <w:jc w:val="center"/>
        <w:outlineLvl w:val="0"/>
        <w:rPr>
          <w:rFonts w:ascii="Times New Roman" w:hAnsi="Times New Roman"/>
          <w:noProof/>
          <w:sz w:val="24"/>
          <w:szCs w:val="24"/>
        </w:rPr>
      </w:pPr>
      <w:r w:rsidRPr="007F63BC">
        <w:rPr>
          <w:rFonts w:ascii="Times New Roman" w:hAnsi="Times New Roman"/>
          <w:noProof/>
          <w:sz w:val="24"/>
          <w:szCs w:val="24"/>
        </w:rPr>
        <w:t>(Penentuan Asid Mefenamik dalam Formulasi Tablet Menggunakan Kaedah Spektrofotometri yang Selektif dan Tepat Berdasarkan Pembentukan Biru Prusian)</w:t>
      </w:r>
    </w:p>
    <w:p w14:paraId="3A33594A" w14:textId="77777777" w:rsidR="00865A70" w:rsidRPr="007F63BC" w:rsidRDefault="00865A70" w:rsidP="00865A70">
      <w:pPr>
        <w:spacing w:after="0"/>
        <w:jc w:val="center"/>
        <w:outlineLvl w:val="0"/>
        <w:rPr>
          <w:rFonts w:ascii="Times New Roman" w:hAnsi="Times New Roman"/>
          <w:b/>
          <w:noProof/>
          <w:color w:val="548DD4" w:themeColor="text2" w:themeTint="99"/>
          <w:sz w:val="20"/>
          <w:szCs w:val="20"/>
        </w:rPr>
      </w:pPr>
    </w:p>
    <w:p w14:paraId="5EF54306" w14:textId="77777777" w:rsidR="00865A70" w:rsidRPr="007F63BC" w:rsidRDefault="00865A70" w:rsidP="00865A70">
      <w:pPr>
        <w:spacing w:after="0"/>
        <w:jc w:val="center"/>
        <w:outlineLvl w:val="0"/>
        <w:rPr>
          <w:rFonts w:ascii="Times New Roman" w:hAnsi="Times New Roman"/>
          <w:noProof/>
          <w:sz w:val="20"/>
          <w:szCs w:val="20"/>
          <w:vertAlign w:val="superscript"/>
        </w:rPr>
      </w:pPr>
      <w:r w:rsidRPr="007F63BC">
        <w:rPr>
          <w:rFonts w:ascii="Times New Roman" w:hAnsi="Times New Roman"/>
          <w:noProof/>
          <w:sz w:val="20"/>
          <w:szCs w:val="20"/>
        </w:rPr>
        <w:t>Hendri Wasito</w:t>
      </w:r>
      <w:r w:rsidRPr="007F63BC">
        <w:rPr>
          <w:rFonts w:ascii="Times New Roman" w:hAnsi="Times New Roman"/>
          <w:noProof/>
          <w:sz w:val="20"/>
          <w:szCs w:val="20"/>
          <w:vertAlign w:val="superscript"/>
        </w:rPr>
        <w:t>1,2</w:t>
      </w:r>
      <w:r w:rsidRPr="007F63BC">
        <w:rPr>
          <w:rFonts w:ascii="Times New Roman" w:hAnsi="Times New Roman"/>
          <w:noProof/>
          <w:sz w:val="20"/>
          <w:szCs w:val="20"/>
        </w:rPr>
        <w:t>*, Desi Purnamasari</w:t>
      </w:r>
      <w:r w:rsidRPr="007F63BC">
        <w:rPr>
          <w:rFonts w:ascii="Times New Roman" w:hAnsi="Times New Roman"/>
          <w:noProof/>
          <w:sz w:val="20"/>
          <w:szCs w:val="20"/>
          <w:vertAlign w:val="superscript"/>
        </w:rPr>
        <w:t>2</w:t>
      </w:r>
      <w:r w:rsidRPr="007F63BC">
        <w:rPr>
          <w:rFonts w:ascii="Times New Roman" w:hAnsi="Times New Roman"/>
          <w:noProof/>
          <w:sz w:val="20"/>
          <w:szCs w:val="20"/>
        </w:rPr>
        <w:t>, Muhamad Salman Fareza</w:t>
      </w:r>
      <w:r w:rsidRPr="007F63BC">
        <w:rPr>
          <w:rFonts w:ascii="Times New Roman" w:hAnsi="Times New Roman"/>
          <w:noProof/>
          <w:sz w:val="20"/>
          <w:szCs w:val="20"/>
          <w:vertAlign w:val="superscript"/>
        </w:rPr>
        <w:t>1</w:t>
      </w:r>
    </w:p>
    <w:p w14:paraId="0219208A" w14:textId="77777777" w:rsidR="00865A70" w:rsidRPr="00865A70" w:rsidRDefault="00865A70" w:rsidP="00865A70">
      <w:pPr>
        <w:spacing w:after="0"/>
        <w:jc w:val="center"/>
        <w:outlineLvl w:val="0"/>
        <w:rPr>
          <w:rFonts w:ascii="Times New Roman" w:hAnsi="Times New Roman"/>
          <w:b/>
          <w:noProof/>
          <w:color w:val="FF0000"/>
          <w:sz w:val="20"/>
          <w:szCs w:val="20"/>
        </w:rPr>
      </w:pPr>
    </w:p>
    <w:p w14:paraId="1901FC11" w14:textId="77777777" w:rsidR="00865A70" w:rsidRPr="00865A70" w:rsidRDefault="00865A70" w:rsidP="00865A70">
      <w:pPr>
        <w:spacing w:after="0"/>
        <w:jc w:val="center"/>
        <w:outlineLvl w:val="0"/>
        <w:rPr>
          <w:rFonts w:ascii="Times New Roman" w:hAnsi="Times New Roman"/>
          <w:i/>
          <w:noProof/>
          <w:sz w:val="20"/>
          <w:szCs w:val="20"/>
        </w:rPr>
      </w:pPr>
      <w:r w:rsidRPr="00865A70">
        <w:rPr>
          <w:rFonts w:ascii="Times New Roman" w:hAnsi="Times New Roman"/>
          <w:i/>
          <w:noProof/>
          <w:sz w:val="20"/>
          <w:szCs w:val="20"/>
          <w:vertAlign w:val="superscript"/>
        </w:rPr>
        <w:t>1</w:t>
      </w:r>
      <w:r w:rsidRPr="00865A70">
        <w:rPr>
          <w:rFonts w:ascii="Times New Roman" w:hAnsi="Times New Roman"/>
          <w:i/>
          <w:noProof/>
          <w:sz w:val="20"/>
          <w:szCs w:val="20"/>
        </w:rPr>
        <w:t xml:space="preserve">Department of Pharmacy, </w:t>
      </w:r>
    </w:p>
    <w:p w14:paraId="7C2FD8EA" w14:textId="77777777" w:rsidR="00865A70" w:rsidRPr="00865A70" w:rsidRDefault="00865A70" w:rsidP="00865A70">
      <w:pPr>
        <w:spacing w:after="0"/>
        <w:jc w:val="center"/>
        <w:outlineLvl w:val="0"/>
        <w:rPr>
          <w:rFonts w:ascii="Times New Roman" w:hAnsi="Times New Roman"/>
          <w:i/>
          <w:noProof/>
          <w:sz w:val="20"/>
          <w:szCs w:val="20"/>
        </w:rPr>
      </w:pPr>
      <w:r w:rsidRPr="00865A70">
        <w:rPr>
          <w:rFonts w:ascii="Times New Roman" w:hAnsi="Times New Roman"/>
          <w:i/>
          <w:noProof/>
          <w:sz w:val="20"/>
          <w:szCs w:val="20"/>
        </w:rPr>
        <w:t xml:space="preserve">Faculty of Health Sciences, Jenderal Soedirman University, Purwokerto 53123, Indonesia </w:t>
      </w:r>
    </w:p>
    <w:p w14:paraId="52A17774" w14:textId="77777777" w:rsidR="00865A70" w:rsidRPr="00865A70" w:rsidRDefault="00865A70" w:rsidP="00865A70">
      <w:pPr>
        <w:spacing w:after="0"/>
        <w:jc w:val="center"/>
        <w:outlineLvl w:val="0"/>
        <w:rPr>
          <w:rFonts w:ascii="Times New Roman" w:hAnsi="Times New Roman"/>
          <w:i/>
          <w:noProof/>
          <w:sz w:val="20"/>
          <w:szCs w:val="20"/>
        </w:rPr>
      </w:pPr>
      <w:r w:rsidRPr="00865A70">
        <w:rPr>
          <w:rFonts w:ascii="Times New Roman" w:hAnsi="Times New Roman"/>
          <w:i/>
          <w:noProof/>
          <w:sz w:val="20"/>
          <w:szCs w:val="20"/>
          <w:vertAlign w:val="superscript"/>
        </w:rPr>
        <w:t>2</w:t>
      </w:r>
      <w:r w:rsidRPr="00865A70">
        <w:rPr>
          <w:rFonts w:ascii="Times New Roman" w:hAnsi="Times New Roman"/>
          <w:i/>
          <w:noProof/>
          <w:sz w:val="20"/>
          <w:szCs w:val="20"/>
        </w:rPr>
        <w:t xml:space="preserve">Analytical Chemistry for Pharmaceutical and Health Research Group, Department of Pharmacy, Faculty of Health Sciences, </w:t>
      </w:r>
    </w:p>
    <w:p w14:paraId="17706D18" w14:textId="77777777" w:rsidR="00865A70" w:rsidRPr="00865A70" w:rsidRDefault="00865A70" w:rsidP="00865A70">
      <w:pPr>
        <w:spacing w:after="0"/>
        <w:jc w:val="center"/>
        <w:outlineLvl w:val="0"/>
        <w:rPr>
          <w:rFonts w:ascii="Times New Roman" w:hAnsi="Times New Roman"/>
          <w:i/>
          <w:noProof/>
          <w:sz w:val="20"/>
          <w:szCs w:val="20"/>
        </w:rPr>
      </w:pPr>
      <w:r w:rsidRPr="00865A70">
        <w:rPr>
          <w:rFonts w:ascii="Times New Roman" w:hAnsi="Times New Roman"/>
          <w:i/>
          <w:noProof/>
          <w:sz w:val="20"/>
          <w:szCs w:val="20"/>
        </w:rPr>
        <w:t xml:space="preserve">Jenderal Soedirman University, Purwokerto 53123, Indonesia </w:t>
      </w:r>
    </w:p>
    <w:p w14:paraId="4F15DDED" w14:textId="77777777" w:rsidR="00865A70" w:rsidRPr="00865A70" w:rsidRDefault="00865A70" w:rsidP="00865A70">
      <w:pPr>
        <w:spacing w:after="0"/>
        <w:jc w:val="center"/>
        <w:outlineLvl w:val="0"/>
        <w:rPr>
          <w:rFonts w:ascii="Times New Roman" w:hAnsi="Times New Roman"/>
          <w:b/>
          <w:noProof/>
          <w:color w:val="548DD4" w:themeColor="text2" w:themeTint="99"/>
          <w:sz w:val="20"/>
          <w:szCs w:val="20"/>
        </w:rPr>
      </w:pPr>
    </w:p>
    <w:p w14:paraId="14EFAD62" w14:textId="77777777" w:rsidR="00865A70" w:rsidRPr="00865A70" w:rsidRDefault="00865A70" w:rsidP="00865A70">
      <w:pPr>
        <w:spacing w:after="0"/>
        <w:jc w:val="center"/>
        <w:outlineLvl w:val="0"/>
        <w:rPr>
          <w:rFonts w:ascii="Times New Roman" w:hAnsi="Times New Roman"/>
          <w:i/>
          <w:noProof/>
          <w:color w:val="548DD4" w:themeColor="text2" w:themeTint="99"/>
          <w:sz w:val="20"/>
          <w:szCs w:val="20"/>
        </w:rPr>
      </w:pPr>
      <w:r w:rsidRPr="00865A70">
        <w:rPr>
          <w:rFonts w:ascii="Times New Roman" w:hAnsi="Times New Roman"/>
          <w:i/>
          <w:noProof/>
          <w:sz w:val="20"/>
          <w:szCs w:val="20"/>
          <w:vertAlign w:val="superscript"/>
        </w:rPr>
        <w:t>*</w:t>
      </w:r>
      <w:r w:rsidRPr="00865A70">
        <w:rPr>
          <w:rFonts w:ascii="Times New Roman" w:hAnsi="Times New Roman"/>
          <w:i/>
          <w:noProof/>
          <w:sz w:val="20"/>
          <w:szCs w:val="20"/>
        </w:rPr>
        <w:t>Corresponding author:  hendri.wasito@unsoed.ac.id</w:t>
      </w:r>
    </w:p>
    <w:p w14:paraId="49DB4BBD" w14:textId="77777777" w:rsidR="00865A70" w:rsidRPr="00865A70" w:rsidRDefault="00865A70" w:rsidP="00865A70">
      <w:pPr>
        <w:spacing w:after="0"/>
        <w:jc w:val="center"/>
        <w:rPr>
          <w:rFonts w:ascii="Times New Roman" w:hAnsi="Times New Roman"/>
          <w:noProof/>
          <w:sz w:val="20"/>
          <w:szCs w:val="20"/>
        </w:rPr>
      </w:pPr>
    </w:p>
    <w:p w14:paraId="7CF561E8" w14:textId="77777777" w:rsidR="00865A70" w:rsidRPr="00865A70" w:rsidRDefault="00865A70" w:rsidP="00865A70">
      <w:pPr>
        <w:spacing w:after="0"/>
        <w:jc w:val="center"/>
        <w:rPr>
          <w:rFonts w:ascii="Times New Roman" w:hAnsi="Times New Roman"/>
          <w:noProof/>
          <w:sz w:val="20"/>
          <w:szCs w:val="20"/>
        </w:rPr>
      </w:pPr>
    </w:p>
    <w:p w14:paraId="6CB9EFB9" w14:textId="77777777" w:rsidR="00865A70" w:rsidRPr="00865A70" w:rsidRDefault="00865A70" w:rsidP="00865A70">
      <w:pPr>
        <w:spacing w:after="0"/>
        <w:jc w:val="center"/>
        <w:rPr>
          <w:rFonts w:ascii="Times New Roman" w:hAnsi="Times New Roman"/>
          <w:noProof/>
          <w:sz w:val="20"/>
          <w:szCs w:val="20"/>
        </w:rPr>
      </w:pPr>
      <w:r w:rsidRPr="00865A70">
        <w:rPr>
          <w:rFonts w:ascii="Times New Roman" w:hAnsi="Times New Roman"/>
          <w:noProof/>
          <w:sz w:val="20"/>
          <w:szCs w:val="20"/>
        </w:rPr>
        <w:t>Received: 10 November 2020; Accepted: 6 January 2021; Published:  xx February 2021</w:t>
      </w:r>
    </w:p>
    <w:p w14:paraId="342E8285" w14:textId="77777777" w:rsidR="00865A70" w:rsidRPr="00865A70" w:rsidRDefault="00865A70" w:rsidP="00865A70">
      <w:pPr>
        <w:spacing w:after="0"/>
        <w:jc w:val="center"/>
        <w:rPr>
          <w:rFonts w:ascii="Times New Roman" w:hAnsi="Times New Roman"/>
          <w:noProof/>
          <w:sz w:val="20"/>
          <w:szCs w:val="20"/>
        </w:rPr>
      </w:pPr>
    </w:p>
    <w:p w14:paraId="7751FAF6" w14:textId="77777777" w:rsidR="00865A70" w:rsidRPr="00865A70" w:rsidRDefault="00865A70" w:rsidP="00865A70">
      <w:pPr>
        <w:spacing w:after="0"/>
        <w:jc w:val="center"/>
        <w:rPr>
          <w:rFonts w:ascii="Times New Roman" w:hAnsi="Times New Roman"/>
          <w:noProof/>
          <w:sz w:val="20"/>
          <w:szCs w:val="20"/>
        </w:rPr>
      </w:pPr>
    </w:p>
    <w:p w14:paraId="1F15969F" w14:textId="77777777" w:rsidR="00865A70" w:rsidRPr="00865A70" w:rsidRDefault="00865A70" w:rsidP="00865A70">
      <w:pPr>
        <w:spacing w:after="0"/>
        <w:jc w:val="center"/>
        <w:rPr>
          <w:rFonts w:ascii="Times New Roman" w:hAnsi="Times New Roman"/>
          <w:b/>
          <w:noProof/>
          <w:sz w:val="20"/>
          <w:szCs w:val="20"/>
        </w:rPr>
      </w:pPr>
      <w:r w:rsidRPr="00865A70">
        <w:rPr>
          <w:rFonts w:ascii="Times New Roman" w:hAnsi="Times New Roman"/>
          <w:b/>
          <w:noProof/>
          <w:sz w:val="20"/>
          <w:szCs w:val="20"/>
        </w:rPr>
        <w:t>Abstract</w:t>
      </w:r>
    </w:p>
    <w:p w14:paraId="1A4010EE" w14:textId="77777777" w:rsidR="00865A70" w:rsidRPr="00865A70" w:rsidRDefault="00865A70" w:rsidP="00865A70">
      <w:pPr>
        <w:spacing w:after="0"/>
        <w:jc w:val="both"/>
        <w:outlineLvl w:val="0"/>
        <w:rPr>
          <w:rFonts w:ascii="Times New Roman" w:hAnsi="Times New Roman"/>
          <w:noProof/>
          <w:sz w:val="20"/>
          <w:szCs w:val="20"/>
        </w:rPr>
      </w:pPr>
      <w:r w:rsidRPr="00865A70">
        <w:rPr>
          <w:rFonts w:ascii="Times New Roman" w:hAnsi="Times New Roman"/>
          <w:noProof/>
          <w:sz w:val="20"/>
          <w:szCs w:val="20"/>
        </w:rPr>
        <w:t>Selective and accurate visible spectrophotometric methods based on Prussian blue formation were successfully developed for the quantitative analysis of mefenamic acid in a tablet. The proposed method showed that visible spectrophotometric measurement at 715 nm under the optimized condition of 15 mmol/L potassium ferricyanide and 2.5 mmol/L ferric chlorides in 0.5 mol/L acetic acids after 15 minutes incubation time. The analytical performance demonstrated good linearity with the squares of correlation coefficient (</w:t>
      </w:r>
      <w:r w:rsidRPr="00865A70">
        <w:rPr>
          <w:rFonts w:ascii="Times New Roman" w:hAnsi="Times New Roman"/>
          <w:i/>
          <w:noProof/>
          <w:sz w:val="20"/>
          <w:szCs w:val="20"/>
        </w:rPr>
        <w:t>r</w:t>
      </w:r>
      <w:r w:rsidRPr="00865A70">
        <w:rPr>
          <w:rFonts w:ascii="Times New Roman" w:hAnsi="Times New Roman"/>
          <w:i/>
          <w:noProof/>
          <w:sz w:val="20"/>
          <w:szCs w:val="20"/>
          <w:vertAlign w:val="superscript"/>
        </w:rPr>
        <w:t>2</w:t>
      </w:r>
      <w:r w:rsidRPr="00865A70">
        <w:rPr>
          <w:rFonts w:ascii="Times New Roman" w:hAnsi="Times New Roman"/>
          <w:noProof/>
          <w:sz w:val="20"/>
          <w:szCs w:val="20"/>
        </w:rPr>
        <w:t xml:space="preserve">) more than 0.99 in the concentration ranges of 3.0-14.0 mg/L with a limit of detection and quantification (LOD and LOQ) were found to be 0.31 mg/L and 1.04 mg/L, respectively. The method also seemed to be selective that proven by small interference with various excipients added. The developed and validated method was suitable for routine analysis of mefenamic acid in real samples of the tablet. </w:t>
      </w:r>
    </w:p>
    <w:p w14:paraId="26D632A9" w14:textId="77777777" w:rsidR="00865A70" w:rsidRPr="00865A70" w:rsidRDefault="00865A70" w:rsidP="00865A70">
      <w:pPr>
        <w:spacing w:after="0"/>
        <w:jc w:val="both"/>
        <w:outlineLvl w:val="0"/>
        <w:rPr>
          <w:rFonts w:ascii="Times New Roman" w:hAnsi="Times New Roman"/>
          <w:noProof/>
          <w:sz w:val="20"/>
          <w:szCs w:val="20"/>
        </w:rPr>
      </w:pPr>
    </w:p>
    <w:p w14:paraId="026239B7" w14:textId="77777777" w:rsidR="00865A70" w:rsidRPr="00865A70" w:rsidRDefault="00865A70" w:rsidP="00865A70">
      <w:pPr>
        <w:spacing w:after="0"/>
        <w:jc w:val="both"/>
        <w:outlineLvl w:val="0"/>
        <w:rPr>
          <w:rFonts w:ascii="Times New Roman" w:hAnsi="Times New Roman"/>
          <w:noProof/>
          <w:color w:val="548DD4" w:themeColor="text2" w:themeTint="99"/>
          <w:sz w:val="20"/>
          <w:szCs w:val="20"/>
        </w:rPr>
      </w:pPr>
      <w:r w:rsidRPr="00865A70">
        <w:rPr>
          <w:rFonts w:ascii="Times New Roman" w:hAnsi="Times New Roman"/>
          <w:b/>
          <w:noProof/>
          <w:sz w:val="20"/>
          <w:szCs w:val="20"/>
        </w:rPr>
        <w:t>Keywords</w:t>
      </w:r>
      <w:r w:rsidRPr="00865A70">
        <w:rPr>
          <w:rFonts w:ascii="Times New Roman" w:hAnsi="Times New Roman"/>
          <w:b/>
          <w:bCs/>
          <w:noProof/>
          <w:sz w:val="20"/>
          <w:szCs w:val="20"/>
        </w:rPr>
        <w:t>:</w:t>
      </w:r>
      <w:r w:rsidRPr="00865A70">
        <w:rPr>
          <w:noProof/>
          <w:sz w:val="20"/>
          <w:szCs w:val="20"/>
        </w:rPr>
        <w:t xml:space="preserve">  </w:t>
      </w:r>
      <w:r w:rsidRPr="00865A70">
        <w:rPr>
          <w:rFonts w:ascii="Times New Roman" w:hAnsi="Times New Roman"/>
          <w:noProof/>
          <w:sz w:val="20"/>
          <w:szCs w:val="20"/>
        </w:rPr>
        <w:t>quantification, mefenamic acid, spectrophotometry, validation</w:t>
      </w:r>
    </w:p>
    <w:p w14:paraId="0D4CDD6D" w14:textId="77777777" w:rsidR="00865A70" w:rsidRPr="00865A70" w:rsidRDefault="00865A70" w:rsidP="00865A70">
      <w:pPr>
        <w:spacing w:after="0"/>
        <w:jc w:val="center"/>
        <w:outlineLvl w:val="0"/>
        <w:rPr>
          <w:rFonts w:ascii="Times New Roman" w:hAnsi="Times New Roman"/>
          <w:b/>
          <w:noProof/>
          <w:color w:val="548DD4" w:themeColor="text2" w:themeTint="99"/>
          <w:sz w:val="20"/>
          <w:szCs w:val="20"/>
        </w:rPr>
      </w:pPr>
    </w:p>
    <w:p w14:paraId="58D75E10" w14:textId="77777777" w:rsidR="00865A70" w:rsidRPr="00865A70" w:rsidRDefault="00865A70" w:rsidP="00865A70">
      <w:pPr>
        <w:spacing w:after="0"/>
        <w:jc w:val="center"/>
        <w:outlineLvl w:val="0"/>
        <w:rPr>
          <w:rFonts w:ascii="Times New Roman" w:hAnsi="Times New Roman"/>
          <w:b/>
          <w:noProof/>
          <w:sz w:val="20"/>
          <w:szCs w:val="20"/>
        </w:rPr>
      </w:pPr>
      <w:r w:rsidRPr="00865A70">
        <w:rPr>
          <w:rFonts w:ascii="Times New Roman" w:hAnsi="Times New Roman"/>
          <w:b/>
          <w:noProof/>
          <w:sz w:val="20"/>
          <w:szCs w:val="20"/>
        </w:rPr>
        <w:t>Abstrak</w:t>
      </w:r>
    </w:p>
    <w:p w14:paraId="594076E0" w14:textId="77777777" w:rsidR="00865A70" w:rsidRPr="00865A70" w:rsidRDefault="00865A70" w:rsidP="00865A70">
      <w:pPr>
        <w:spacing w:after="0"/>
        <w:jc w:val="both"/>
        <w:outlineLvl w:val="0"/>
        <w:rPr>
          <w:rFonts w:ascii="Times New Roman" w:hAnsi="Times New Roman"/>
          <w:noProof/>
          <w:sz w:val="20"/>
          <w:szCs w:val="20"/>
        </w:rPr>
      </w:pPr>
      <w:r w:rsidRPr="00865A70">
        <w:rPr>
          <w:rFonts w:ascii="Times New Roman" w:hAnsi="Times New Roman"/>
          <w:noProof/>
          <w:sz w:val="20"/>
          <w:szCs w:val="20"/>
        </w:rPr>
        <w:t xml:space="preserve">Kaedah spektrofotometri kelihatan selektif dan tepat berdasarkan pembentukan biru Prusian berjaya dibangunkan untuk analisis kuantitatif asid mefenamik dalam penyediaan tablet. Kaedah yang dicadangkan menunjukkan bahawa </w:t>
      </w:r>
      <w:r w:rsidRPr="00865A70">
        <w:rPr>
          <w:rFonts w:ascii="Times New Roman" w:hAnsi="Times New Roman"/>
          <w:noProof/>
          <w:sz w:val="20"/>
          <w:szCs w:val="20"/>
        </w:rPr>
        <w:lastRenderedPageBreak/>
        <w:t>pengukuran optimum spektrofotometri yang dapat dilihat pada 715 nm di bawah keadaan 15 mmol/L kalium feriksianida dan 2.5 mmol/L ferik klorida dalam 0.5 mol/L asid asetik setelah 15 minit masa inkubasi. Prestasi analitikal menunjukkan kelinearan yang baik dengan pekali korelasi (</w:t>
      </w:r>
      <w:r w:rsidRPr="00865A70">
        <w:rPr>
          <w:rFonts w:ascii="Times New Roman" w:hAnsi="Times New Roman"/>
          <w:i/>
          <w:noProof/>
          <w:sz w:val="20"/>
          <w:szCs w:val="20"/>
        </w:rPr>
        <w:t>r</w:t>
      </w:r>
      <w:r w:rsidRPr="00865A70">
        <w:rPr>
          <w:rFonts w:ascii="Times New Roman" w:hAnsi="Times New Roman"/>
          <w:i/>
          <w:noProof/>
          <w:sz w:val="20"/>
          <w:szCs w:val="20"/>
          <w:vertAlign w:val="superscript"/>
        </w:rPr>
        <w:t>2</w:t>
      </w:r>
      <w:r w:rsidRPr="00865A70">
        <w:rPr>
          <w:rFonts w:ascii="Times New Roman" w:hAnsi="Times New Roman"/>
          <w:noProof/>
          <w:sz w:val="20"/>
          <w:szCs w:val="20"/>
        </w:rPr>
        <w:t>) lebih besar daripada 0.99 dalam julat kepekatan 3.0-14.0 mg/L dengan had pengesanan dan kuantifikasi (LOD dan LOQ) masing-masing didapati 0.31 mg/L dan 1.04 mg/L. Kaedah ini juga nampaknya selektif yang terbukti dengan campur tangan kecil dengan pelbagai eksipien yang ditambahkan. Kaedah yang dibangunkan dan disahkan sesuai untuk analisis rutin asid mefenamik pada sampel sebenar tablet.</w:t>
      </w:r>
    </w:p>
    <w:p w14:paraId="191D4F96" w14:textId="77777777" w:rsidR="00865A70" w:rsidRPr="00865A70" w:rsidRDefault="00865A70" w:rsidP="00865A70">
      <w:pPr>
        <w:spacing w:after="0"/>
        <w:jc w:val="both"/>
        <w:outlineLvl w:val="0"/>
        <w:rPr>
          <w:rFonts w:ascii="Times New Roman" w:hAnsi="Times New Roman"/>
          <w:noProof/>
          <w:sz w:val="20"/>
          <w:szCs w:val="20"/>
        </w:rPr>
      </w:pPr>
    </w:p>
    <w:p w14:paraId="1482E9AA" w14:textId="77777777" w:rsidR="00865A70" w:rsidRPr="00865A70" w:rsidRDefault="00865A70" w:rsidP="00865A70">
      <w:pPr>
        <w:spacing w:after="0"/>
        <w:jc w:val="both"/>
        <w:outlineLvl w:val="0"/>
        <w:rPr>
          <w:rFonts w:ascii="Times New Roman" w:hAnsi="Times New Roman"/>
          <w:b/>
          <w:noProof/>
          <w:color w:val="548DD4" w:themeColor="text2" w:themeTint="99"/>
          <w:sz w:val="20"/>
          <w:szCs w:val="20"/>
        </w:rPr>
      </w:pPr>
      <w:r w:rsidRPr="00865A70">
        <w:rPr>
          <w:rFonts w:ascii="Times New Roman" w:hAnsi="Times New Roman"/>
          <w:b/>
          <w:noProof/>
          <w:sz w:val="20"/>
          <w:szCs w:val="20"/>
        </w:rPr>
        <w:t>Kata kunci:</w:t>
      </w:r>
      <w:r w:rsidRPr="00865A70">
        <w:rPr>
          <w:noProof/>
          <w:sz w:val="20"/>
          <w:szCs w:val="20"/>
        </w:rPr>
        <w:t xml:space="preserve">  </w:t>
      </w:r>
      <w:r w:rsidRPr="00865A70">
        <w:rPr>
          <w:rFonts w:ascii="Times New Roman" w:hAnsi="Times New Roman"/>
          <w:noProof/>
          <w:sz w:val="20"/>
          <w:szCs w:val="20"/>
        </w:rPr>
        <w:t>kuantifikasi, asid mefenamik, spektrofotometri, pengesahan</w:t>
      </w:r>
    </w:p>
    <w:p w14:paraId="3EEED512" w14:textId="77777777" w:rsidR="00865A70" w:rsidRDefault="00865A70" w:rsidP="00EC5D90">
      <w:pPr>
        <w:spacing w:after="0"/>
        <w:jc w:val="both"/>
        <w:rPr>
          <w:rFonts w:ascii="Times New Roman" w:hAnsi="Times New Roman"/>
          <w:sz w:val="20"/>
          <w:szCs w:val="20"/>
        </w:rPr>
      </w:pPr>
    </w:p>
    <w:p w14:paraId="602E26F9" w14:textId="77777777" w:rsidR="00260FC4" w:rsidRPr="00F447A7" w:rsidRDefault="00260FC4" w:rsidP="00260FC4">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659A0CE6"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1D508F">
        <w:rPr>
          <w:b/>
          <w:noProof/>
          <w:color w:val="548DD4" w:themeColor="text2" w:themeTint="99"/>
        </w:rPr>
        <w:fldChar w:fldCharType="begin"/>
      </w:r>
      <w:r w:rsidRPr="0070500E">
        <w:rPr>
          <w:b/>
          <w:noProof/>
          <w:color w:val="548DD4" w:themeColor="text2" w:themeTint="99"/>
        </w:rPr>
        <w:instrText xml:space="preserve"> ADDIN ZOTERO_BIBL {"uncited":[],"omitted":[],"custom":[]} CSL_BIBLIOGRAPHY </w:instrText>
      </w:r>
      <w:r w:rsidRPr="001D508F">
        <w:rPr>
          <w:b/>
          <w:noProof/>
          <w:color w:val="548DD4" w:themeColor="text2" w:themeTint="99"/>
        </w:rPr>
        <w:fldChar w:fldCharType="separate"/>
      </w:r>
      <w:r w:rsidRPr="0070500E">
        <w:rPr>
          <w:rFonts w:ascii="Times New Roman" w:hAnsi="Times New Roman"/>
          <w:noProof/>
          <w:sz w:val="20"/>
          <w:szCs w:val="20"/>
        </w:rPr>
        <w:t xml:space="preserve">Sweetman, S. C. (2009). </w:t>
      </w:r>
      <w:r w:rsidRPr="0070500E">
        <w:rPr>
          <w:rFonts w:ascii="Times New Roman" w:hAnsi="Times New Roman"/>
          <w:iCs/>
          <w:noProof/>
          <w:sz w:val="20"/>
          <w:szCs w:val="20"/>
        </w:rPr>
        <w:t>Martindale The complete drug reference</w:t>
      </w:r>
      <w:r w:rsidRPr="0070500E">
        <w:rPr>
          <w:rFonts w:ascii="Times New Roman" w:hAnsi="Times New Roman"/>
          <w:noProof/>
          <w:sz w:val="20"/>
          <w:szCs w:val="20"/>
        </w:rPr>
        <w:t>, Pharmaceutical Press, London: pp. 80.</w:t>
      </w:r>
    </w:p>
    <w:p w14:paraId="61EDC9B7"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Council of Experts and Its Expert Committees (2014). United States Pharmacopeia 37, United States Pharmacopoeial Convention, Rockville: pp. 3672-3673.</w:t>
      </w:r>
    </w:p>
    <w:p w14:paraId="7A605C7A"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Ibrahim, H., Boyer, A., Bouajila, J., Couderc, F. and Nepveu, F. (2007). Determination of non-steroidal anti-inflammatory drugs in pharmaceuticals and human serum by dual-mode gradient HPLC and fluorescence detection. </w:t>
      </w:r>
      <w:r w:rsidRPr="0070500E">
        <w:rPr>
          <w:rFonts w:ascii="Times New Roman" w:hAnsi="Times New Roman"/>
          <w:i/>
          <w:iCs/>
          <w:noProof/>
          <w:sz w:val="20"/>
          <w:szCs w:val="20"/>
        </w:rPr>
        <w:t>Journal of Chromatography B</w:t>
      </w:r>
      <w:r w:rsidRPr="0070500E">
        <w:rPr>
          <w:rFonts w:ascii="Times New Roman" w:hAnsi="Times New Roman"/>
          <w:noProof/>
          <w:sz w:val="20"/>
          <w:szCs w:val="20"/>
        </w:rPr>
        <w:t xml:space="preserve">, </w:t>
      </w:r>
      <w:r w:rsidRPr="0070500E">
        <w:rPr>
          <w:rFonts w:ascii="Times New Roman" w:hAnsi="Times New Roman"/>
          <w:iCs/>
          <w:noProof/>
          <w:sz w:val="20"/>
          <w:szCs w:val="20"/>
        </w:rPr>
        <w:t>857</w:t>
      </w:r>
      <w:r w:rsidRPr="0070500E">
        <w:rPr>
          <w:rFonts w:ascii="Times New Roman" w:hAnsi="Times New Roman"/>
          <w:noProof/>
          <w:sz w:val="20"/>
          <w:szCs w:val="20"/>
        </w:rPr>
        <w:t xml:space="preserve">(1): 59-66. </w:t>
      </w:r>
    </w:p>
    <w:p w14:paraId="5DC89CD8"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Kormosh, Z. and Matviychuk, O. (2013). Potentiometric determination of mefenamic acid in pharmaceutical formulation by membrane sensor based on ion-pair with basic dye. </w:t>
      </w:r>
      <w:r w:rsidRPr="0070500E">
        <w:rPr>
          <w:rFonts w:ascii="Times New Roman" w:hAnsi="Times New Roman"/>
          <w:i/>
          <w:iCs/>
          <w:noProof/>
          <w:sz w:val="20"/>
          <w:szCs w:val="20"/>
        </w:rPr>
        <w:t>Chinese Chemical Letters</w:t>
      </w:r>
      <w:r w:rsidRPr="0070500E">
        <w:rPr>
          <w:rFonts w:ascii="Times New Roman" w:hAnsi="Times New Roman"/>
          <w:noProof/>
          <w:sz w:val="20"/>
          <w:szCs w:val="20"/>
        </w:rPr>
        <w:t xml:space="preserve">, </w:t>
      </w:r>
      <w:r w:rsidRPr="0070500E">
        <w:rPr>
          <w:rFonts w:ascii="Times New Roman" w:hAnsi="Times New Roman"/>
          <w:iCs/>
          <w:noProof/>
          <w:sz w:val="20"/>
          <w:szCs w:val="20"/>
        </w:rPr>
        <w:t>24</w:t>
      </w:r>
      <w:r w:rsidRPr="0070500E">
        <w:rPr>
          <w:rFonts w:ascii="Times New Roman" w:hAnsi="Times New Roman"/>
          <w:noProof/>
          <w:sz w:val="20"/>
          <w:szCs w:val="20"/>
        </w:rPr>
        <w:t xml:space="preserve">(4): 315-317. </w:t>
      </w:r>
    </w:p>
    <w:p w14:paraId="7435F34A"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Malode, S. J., Shetti, N. P. and Kulkarni, R. M. (2019). Voltammetric detection and determination of mefenamic acid at silver-doped TiO</w:t>
      </w:r>
      <w:r w:rsidRPr="0070500E">
        <w:rPr>
          <w:rFonts w:ascii="Times New Roman" w:hAnsi="Times New Roman"/>
          <w:noProof/>
          <w:sz w:val="20"/>
          <w:szCs w:val="20"/>
          <w:vertAlign w:val="subscript"/>
        </w:rPr>
        <w:t>2</w:t>
      </w:r>
      <w:r w:rsidRPr="0070500E">
        <w:rPr>
          <w:rFonts w:ascii="Times New Roman" w:hAnsi="Times New Roman"/>
          <w:noProof/>
          <w:sz w:val="20"/>
          <w:szCs w:val="20"/>
        </w:rPr>
        <w:t xml:space="preserve"> nanoparticles modified electrode. </w:t>
      </w:r>
      <w:r w:rsidRPr="0070500E">
        <w:rPr>
          <w:rFonts w:ascii="Times New Roman" w:hAnsi="Times New Roman"/>
          <w:i/>
          <w:iCs/>
          <w:noProof/>
          <w:sz w:val="20"/>
          <w:szCs w:val="20"/>
        </w:rPr>
        <w:t>Materials Today: Proceedings</w:t>
      </w:r>
      <w:r w:rsidRPr="0070500E">
        <w:rPr>
          <w:rFonts w:ascii="Times New Roman" w:hAnsi="Times New Roman"/>
          <w:noProof/>
          <w:sz w:val="20"/>
          <w:szCs w:val="20"/>
        </w:rPr>
        <w:t xml:space="preserve">, </w:t>
      </w:r>
      <w:r w:rsidRPr="0070500E">
        <w:rPr>
          <w:rFonts w:ascii="Times New Roman" w:hAnsi="Times New Roman"/>
          <w:iCs/>
          <w:noProof/>
          <w:sz w:val="20"/>
          <w:szCs w:val="20"/>
        </w:rPr>
        <w:t>18</w:t>
      </w:r>
      <w:r w:rsidRPr="0070500E">
        <w:rPr>
          <w:rFonts w:ascii="Times New Roman" w:hAnsi="Times New Roman"/>
          <w:noProof/>
          <w:sz w:val="20"/>
          <w:szCs w:val="20"/>
        </w:rPr>
        <w:t xml:space="preserve">: 671-678. </w:t>
      </w:r>
    </w:p>
    <w:p w14:paraId="54C36281"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Poerwono, H., Widyowati, R., Kubo, H., Higashiyama, K. and Indrayanto, G. (2005). Mefenamic acid: analytical profile, </w:t>
      </w:r>
      <w:r w:rsidRPr="0070500E">
        <w:rPr>
          <w:rFonts w:ascii="Times New Roman" w:hAnsi="Times New Roman"/>
          <w:iCs/>
          <w:noProof/>
          <w:sz w:val="20"/>
          <w:szCs w:val="20"/>
        </w:rPr>
        <w:t>profiles of drug substances, excipients and related methodology</w:t>
      </w:r>
      <w:r w:rsidRPr="0070500E">
        <w:rPr>
          <w:rFonts w:ascii="Times New Roman" w:hAnsi="Times New Roman"/>
          <w:noProof/>
          <w:sz w:val="20"/>
          <w:szCs w:val="20"/>
        </w:rPr>
        <w:t>, Academic Press, Brittain: pp. 281-336.</w:t>
      </w:r>
    </w:p>
    <w:p w14:paraId="66A6DC2E"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Dinç, E., Yücesoy, C. and Onur, F. (2002). Simultaneous spectrophotometric determination of mefenamic acid and paracetamol in a pharmaceutical preparation using ratio spectra derivative spectrophotometry and chemometric methods. </w:t>
      </w:r>
      <w:r w:rsidRPr="0070500E">
        <w:rPr>
          <w:rFonts w:ascii="Times New Roman" w:hAnsi="Times New Roman"/>
          <w:i/>
          <w:iCs/>
          <w:noProof/>
          <w:sz w:val="20"/>
          <w:szCs w:val="20"/>
        </w:rPr>
        <w:t>Journal of Pharmaceutical and Biomedical Analysis</w:t>
      </w:r>
      <w:r w:rsidRPr="0070500E">
        <w:rPr>
          <w:rFonts w:ascii="Times New Roman" w:hAnsi="Times New Roman"/>
          <w:noProof/>
          <w:sz w:val="20"/>
          <w:szCs w:val="20"/>
        </w:rPr>
        <w:t xml:space="preserve">, </w:t>
      </w:r>
      <w:r w:rsidRPr="0070500E">
        <w:rPr>
          <w:rFonts w:ascii="Times New Roman" w:hAnsi="Times New Roman"/>
          <w:iCs/>
          <w:noProof/>
          <w:sz w:val="20"/>
          <w:szCs w:val="20"/>
        </w:rPr>
        <w:t>28</w:t>
      </w:r>
      <w:r w:rsidRPr="0070500E">
        <w:rPr>
          <w:rFonts w:ascii="Times New Roman" w:hAnsi="Times New Roman"/>
          <w:noProof/>
          <w:sz w:val="20"/>
          <w:szCs w:val="20"/>
        </w:rPr>
        <w:t xml:space="preserve">(6): 1091-1100. </w:t>
      </w:r>
    </w:p>
    <w:p w14:paraId="2A59D170"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Al-mufty, M. Z. and Ahmed, N. R. (2009). Indirect spectrophotometric method for the determination of mefenamic acid in pharmaceutical formulations. </w:t>
      </w:r>
      <w:r w:rsidRPr="0070500E">
        <w:rPr>
          <w:rFonts w:ascii="Times New Roman" w:hAnsi="Times New Roman"/>
          <w:i/>
          <w:iCs/>
          <w:noProof/>
          <w:sz w:val="20"/>
          <w:szCs w:val="20"/>
        </w:rPr>
        <w:t>Rafidain Journal of Science</w:t>
      </w:r>
      <w:r w:rsidRPr="0070500E">
        <w:rPr>
          <w:rFonts w:ascii="Times New Roman" w:hAnsi="Times New Roman"/>
          <w:noProof/>
          <w:sz w:val="20"/>
          <w:szCs w:val="20"/>
        </w:rPr>
        <w:t xml:space="preserve">, </w:t>
      </w:r>
      <w:r w:rsidRPr="0070500E">
        <w:rPr>
          <w:rFonts w:ascii="Times New Roman" w:hAnsi="Times New Roman"/>
          <w:iCs/>
          <w:noProof/>
          <w:sz w:val="20"/>
          <w:szCs w:val="20"/>
        </w:rPr>
        <w:t>20</w:t>
      </w:r>
      <w:r w:rsidRPr="0070500E">
        <w:rPr>
          <w:rFonts w:ascii="Times New Roman" w:hAnsi="Times New Roman"/>
          <w:noProof/>
          <w:sz w:val="20"/>
          <w:szCs w:val="20"/>
        </w:rPr>
        <w:t xml:space="preserve">(6): 39-47. </w:t>
      </w:r>
    </w:p>
    <w:p w14:paraId="52C491C6"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Raza, A. (2008). Spectrophotometric determination of mefenamic acid in pharmaceutical preparations. </w:t>
      </w:r>
      <w:r w:rsidRPr="0070500E">
        <w:rPr>
          <w:rFonts w:ascii="Times New Roman" w:hAnsi="Times New Roman"/>
          <w:i/>
          <w:iCs/>
          <w:noProof/>
          <w:sz w:val="20"/>
          <w:szCs w:val="20"/>
        </w:rPr>
        <w:t>Journal of Analytical Chemistry</w:t>
      </w:r>
      <w:r w:rsidRPr="0070500E">
        <w:rPr>
          <w:rFonts w:ascii="Times New Roman" w:hAnsi="Times New Roman"/>
          <w:noProof/>
          <w:sz w:val="20"/>
          <w:szCs w:val="20"/>
        </w:rPr>
        <w:t xml:space="preserve">, </w:t>
      </w:r>
      <w:r w:rsidRPr="0070500E">
        <w:rPr>
          <w:rFonts w:ascii="Times New Roman" w:hAnsi="Times New Roman"/>
          <w:iCs/>
          <w:noProof/>
          <w:sz w:val="20"/>
          <w:szCs w:val="20"/>
        </w:rPr>
        <w:t>63</w:t>
      </w:r>
      <w:r w:rsidRPr="0070500E">
        <w:rPr>
          <w:rFonts w:ascii="Times New Roman" w:hAnsi="Times New Roman"/>
          <w:noProof/>
          <w:sz w:val="20"/>
          <w:szCs w:val="20"/>
        </w:rPr>
        <w:t xml:space="preserve">(3): 244-247. </w:t>
      </w:r>
    </w:p>
    <w:p w14:paraId="5A193BD5"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Zisimopoulos, E. G., Tsogas, G. Z., Giokas, D. L., Kapakoglou, N. I. and Vlessidis, A. G. (2009). Indirect chemiluminescence-based detection of mefenamic acid in pharmaceutical formulations by flow injection analysis and effect of gold nanocatalysts. </w:t>
      </w:r>
      <w:r w:rsidRPr="0070500E">
        <w:rPr>
          <w:rFonts w:ascii="Times New Roman" w:hAnsi="Times New Roman"/>
          <w:i/>
          <w:iCs/>
          <w:noProof/>
          <w:sz w:val="20"/>
          <w:szCs w:val="20"/>
        </w:rPr>
        <w:t>Talanta</w:t>
      </w:r>
      <w:r w:rsidRPr="0070500E">
        <w:rPr>
          <w:rFonts w:ascii="Times New Roman" w:hAnsi="Times New Roman"/>
          <w:noProof/>
          <w:sz w:val="20"/>
          <w:szCs w:val="20"/>
        </w:rPr>
        <w:t xml:space="preserve">, </w:t>
      </w:r>
      <w:r w:rsidRPr="0070500E">
        <w:rPr>
          <w:rFonts w:ascii="Times New Roman" w:hAnsi="Times New Roman"/>
          <w:iCs/>
          <w:noProof/>
          <w:sz w:val="20"/>
          <w:szCs w:val="20"/>
        </w:rPr>
        <w:t>79</w:t>
      </w:r>
      <w:r w:rsidRPr="0070500E">
        <w:rPr>
          <w:rFonts w:ascii="Times New Roman" w:hAnsi="Times New Roman"/>
          <w:noProof/>
          <w:sz w:val="20"/>
          <w:szCs w:val="20"/>
        </w:rPr>
        <w:t xml:space="preserve">(3): 893-899. </w:t>
      </w:r>
    </w:p>
    <w:p w14:paraId="15195198"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Mofavvaz, S., Sohrabi, M. R. and Heydari, A. (2020). Application of UV/vis spectrophotometry based on using least squares support vector machine and continuous wavelet transform methods for the simultaneous analysis of antibiotics drugs in tablet formulation: Comparison with HPLC method. </w:t>
      </w:r>
      <w:r w:rsidRPr="0070500E">
        <w:rPr>
          <w:rFonts w:ascii="Times New Roman" w:hAnsi="Times New Roman"/>
          <w:i/>
          <w:iCs/>
          <w:noProof/>
          <w:sz w:val="20"/>
          <w:szCs w:val="20"/>
        </w:rPr>
        <w:t>Optik</w:t>
      </w:r>
      <w:r w:rsidRPr="0070500E">
        <w:rPr>
          <w:rFonts w:ascii="Times New Roman" w:hAnsi="Times New Roman"/>
          <w:noProof/>
          <w:sz w:val="20"/>
          <w:szCs w:val="20"/>
        </w:rPr>
        <w:t xml:space="preserve">, </w:t>
      </w:r>
      <w:r w:rsidRPr="0070500E">
        <w:rPr>
          <w:rFonts w:ascii="Times New Roman" w:hAnsi="Times New Roman"/>
          <w:iCs/>
          <w:noProof/>
          <w:sz w:val="20"/>
          <w:szCs w:val="20"/>
        </w:rPr>
        <w:t>220</w:t>
      </w:r>
      <w:r w:rsidRPr="0070500E">
        <w:rPr>
          <w:rFonts w:ascii="Times New Roman" w:hAnsi="Times New Roman"/>
          <w:noProof/>
          <w:sz w:val="20"/>
          <w:szCs w:val="20"/>
        </w:rPr>
        <w:t xml:space="preserve">: 165246. </w:t>
      </w:r>
    </w:p>
    <w:p w14:paraId="075BE753"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Darbandi, A., Sohrabi, M. R. and Bahmaei, M. (2020). Development of a chemometric-assisted spectrophotometric method for quantitative simultaneous determination of Amlodipine and Valsartan in commercial tablet. </w:t>
      </w:r>
      <w:r w:rsidRPr="0070500E">
        <w:rPr>
          <w:rFonts w:ascii="Times New Roman" w:hAnsi="Times New Roman"/>
          <w:i/>
          <w:iCs/>
          <w:noProof/>
          <w:sz w:val="20"/>
          <w:szCs w:val="20"/>
        </w:rPr>
        <w:t>Optik</w:t>
      </w:r>
      <w:r w:rsidRPr="0070500E">
        <w:rPr>
          <w:rFonts w:ascii="Times New Roman" w:hAnsi="Times New Roman"/>
          <w:noProof/>
          <w:sz w:val="20"/>
          <w:szCs w:val="20"/>
        </w:rPr>
        <w:t xml:space="preserve">, </w:t>
      </w:r>
      <w:r w:rsidRPr="0070500E">
        <w:rPr>
          <w:rFonts w:ascii="Times New Roman" w:hAnsi="Times New Roman"/>
          <w:iCs/>
          <w:noProof/>
          <w:sz w:val="20"/>
          <w:szCs w:val="20"/>
        </w:rPr>
        <w:t>218</w:t>
      </w:r>
      <w:r w:rsidRPr="0070500E">
        <w:rPr>
          <w:rFonts w:ascii="Times New Roman" w:hAnsi="Times New Roman"/>
          <w:noProof/>
          <w:sz w:val="20"/>
          <w:szCs w:val="20"/>
        </w:rPr>
        <w:t xml:space="preserve">: 165110. </w:t>
      </w:r>
    </w:p>
    <w:p w14:paraId="6BC609FB"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Pavanelli, S. P., Bispo, G. L., Nascentes, C. C. and Augusti, R. (2011). Degradation of food dyes by zero-valent metals exposed to ultrasonic irradiation in water medium: Optimization and electrospray ionization mass spectrometry monitoring. </w:t>
      </w:r>
      <w:r w:rsidRPr="0070500E">
        <w:rPr>
          <w:rFonts w:ascii="Times New Roman" w:hAnsi="Times New Roman"/>
          <w:i/>
          <w:iCs/>
          <w:noProof/>
          <w:sz w:val="20"/>
          <w:szCs w:val="20"/>
        </w:rPr>
        <w:t>Journal of the Brazilian Chemical Society</w:t>
      </w:r>
      <w:r w:rsidRPr="0070500E">
        <w:rPr>
          <w:rFonts w:ascii="Times New Roman" w:hAnsi="Times New Roman"/>
          <w:noProof/>
          <w:sz w:val="20"/>
          <w:szCs w:val="20"/>
        </w:rPr>
        <w:t xml:space="preserve">, </w:t>
      </w:r>
      <w:r w:rsidRPr="0070500E">
        <w:rPr>
          <w:rFonts w:ascii="Times New Roman" w:hAnsi="Times New Roman"/>
          <w:iCs/>
          <w:noProof/>
          <w:sz w:val="20"/>
          <w:szCs w:val="20"/>
        </w:rPr>
        <w:t>22</w:t>
      </w:r>
      <w:r w:rsidRPr="0070500E">
        <w:rPr>
          <w:rFonts w:ascii="Times New Roman" w:hAnsi="Times New Roman"/>
          <w:noProof/>
          <w:sz w:val="20"/>
          <w:szCs w:val="20"/>
        </w:rPr>
        <w:t xml:space="preserve">(1): 111-119. </w:t>
      </w:r>
    </w:p>
    <w:p w14:paraId="2779D02E"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Othman, N. S. and Awades, L. S. (2008). Spectrophotometric determination of mefenamic acid via oxidative coupling reaction with 4-amminoantipyrine in presence of N-chlorosuccinimide. </w:t>
      </w:r>
      <w:r w:rsidRPr="0070500E">
        <w:rPr>
          <w:rFonts w:ascii="Times New Roman" w:hAnsi="Times New Roman"/>
          <w:i/>
          <w:iCs/>
          <w:noProof/>
          <w:sz w:val="20"/>
          <w:szCs w:val="20"/>
        </w:rPr>
        <w:t xml:space="preserve">Pakistan Journal Analytical Environmental Chemistry, </w:t>
      </w:r>
      <w:r w:rsidRPr="0070500E">
        <w:rPr>
          <w:rFonts w:ascii="Times New Roman" w:hAnsi="Times New Roman"/>
          <w:iCs/>
          <w:noProof/>
          <w:sz w:val="20"/>
          <w:szCs w:val="20"/>
        </w:rPr>
        <w:t>9</w:t>
      </w:r>
      <w:r w:rsidRPr="0070500E">
        <w:rPr>
          <w:rFonts w:ascii="Times New Roman" w:hAnsi="Times New Roman"/>
          <w:noProof/>
          <w:sz w:val="20"/>
          <w:szCs w:val="20"/>
        </w:rPr>
        <w:t>(2): 64-68.</w:t>
      </w:r>
    </w:p>
    <w:p w14:paraId="07344111"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lastRenderedPageBreak/>
        <w:t xml:space="preserve">Teepoo, S., Chumsaeng, P., Jongjinakool, S., Chantu, K. and Nolykad, W. (2012). A new simple and rapid colorimetric screening test for semi-qualitative analysis of vitamin C in fruit juices based on Prussian blue. </w:t>
      </w:r>
      <w:r w:rsidRPr="0070500E">
        <w:rPr>
          <w:rFonts w:ascii="Times New Roman" w:hAnsi="Times New Roman"/>
          <w:i/>
          <w:iCs/>
          <w:noProof/>
          <w:sz w:val="20"/>
          <w:szCs w:val="20"/>
        </w:rPr>
        <w:t>Journal of Applied Sciences</w:t>
      </w:r>
      <w:r w:rsidRPr="0070500E">
        <w:rPr>
          <w:rFonts w:ascii="Times New Roman" w:hAnsi="Times New Roman"/>
          <w:noProof/>
          <w:sz w:val="20"/>
          <w:szCs w:val="20"/>
        </w:rPr>
        <w:t xml:space="preserve">, </w:t>
      </w:r>
      <w:r w:rsidRPr="0070500E">
        <w:rPr>
          <w:rFonts w:ascii="Times New Roman" w:hAnsi="Times New Roman"/>
          <w:iCs/>
          <w:noProof/>
          <w:sz w:val="20"/>
          <w:szCs w:val="20"/>
        </w:rPr>
        <w:t>12</w:t>
      </w:r>
      <w:r w:rsidRPr="0070500E">
        <w:rPr>
          <w:rFonts w:ascii="Times New Roman" w:hAnsi="Times New Roman"/>
          <w:noProof/>
          <w:sz w:val="20"/>
          <w:szCs w:val="20"/>
        </w:rPr>
        <w:t>(6): 568-574.</w:t>
      </w:r>
    </w:p>
    <w:p w14:paraId="7AB0E02B"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Wasito, H., Fatoni, A., Hermawan, D. and Susilowati, S. S. (2019). Immobilized bacterial biosensor for rapid and effective monitoring of acute toxicity in water. </w:t>
      </w:r>
      <w:r w:rsidRPr="0070500E">
        <w:rPr>
          <w:rFonts w:ascii="Times New Roman" w:hAnsi="Times New Roman"/>
          <w:i/>
          <w:iCs/>
          <w:noProof/>
          <w:sz w:val="20"/>
          <w:szCs w:val="20"/>
        </w:rPr>
        <w:t>Ecotoxicology and Environmental Safety</w:t>
      </w:r>
      <w:r w:rsidRPr="0070500E">
        <w:rPr>
          <w:rFonts w:ascii="Times New Roman" w:hAnsi="Times New Roman"/>
          <w:noProof/>
          <w:sz w:val="20"/>
          <w:szCs w:val="20"/>
        </w:rPr>
        <w:t xml:space="preserve">, </w:t>
      </w:r>
      <w:r w:rsidRPr="0070500E">
        <w:rPr>
          <w:rFonts w:ascii="Times New Roman" w:hAnsi="Times New Roman"/>
          <w:iCs/>
          <w:noProof/>
          <w:sz w:val="20"/>
          <w:szCs w:val="20"/>
        </w:rPr>
        <w:t>170:</w:t>
      </w:r>
      <w:r w:rsidRPr="0070500E">
        <w:rPr>
          <w:rFonts w:ascii="Times New Roman" w:hAnsi="Times New Roman"/>
          <w:noProof/>
          <w:sz w:val="20"/>
          <w:szCs w:val="20"/>
        </w:rPr>
        <w:t xml:space="preserve"> 205-209. </w:t>
      </w:r>
    </w:p>
    <w:p w14:paraId="6E94DE42"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Borman, P. and Elder, D. (2017).  Q2 (R1) validation of analytical procedures. </w:t>
      </w:r>
      <w:r w:rsidRPr="0070500E">
        <w:rPr>
          <w:rFonts w:ascii="Times New Roman" w:hAnsi="Times New Roman"/>
          <w:i/>
          <w:iCs/>
          <w:noProof/>
          <w:sz w:val="20"/>
          <w:szCs w:val="20"/>
        </w:rPr>
        <w:t>ICH Quality Guidelines</w:t>
      </w:r>
      <w:r w:rsidRPr="0070500E">
        <w:rPr>
          <w:rFonts w:ascii="Times New Roman" w:hAnsi="Times New Roman"/>
          <w:noProof/>
          <w:sz w:val="20"/>
          <w:szCs w:val="20"/>
        </w:rPr>
        <w:t>, 5: 127-166.</w:t>
      </w:r>
    </w:p>
    <w:p w14:paraId="601F87EE"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Jayanthi, P. and Lalitha, P. (2011). Reducing power of the solvent extracts of Eichhornia crassipes (Mart.) Solms. </w:t>
      </w:r>
      <w:r w:rsidRPr="0070500E">
        <w:rPr>
          <w:rFonts w:ascii="Times New Roman" w:hAnsi="Times New Roman"/>
          <w:i/>
          <w:iCs/>
          <w:noProof/>
          <w:sz w:val="20"/>
          <w:szCs w:val="20"/>
        </w:rPr>
        <w:t>International Journal of Pharmacy and Pharmaceutical Sciences</w:t>
      </w:r>
      <w:r w:rsidRPr="0070500E">
        <w:rPr>
          <w:rFonts w:ascii="Times New Roman" w:hAnsi="Times New Roman"/>
          <w:noProof/>
          <w:sz w:val="20"/>
          <w:szCs w:val="20"/>
        </w:rPr>
        <w:t xml:space="preserve">, </w:t>
      </w:r>
      <w:r w:rsidRPr="0070500E">
        <w:rPr>
          <w:rFonts w:ascii="Times New Roman" w:hAnsi="Times New Roman"/>
          <w:iCs/>
          <w:noProof/>
          <w:sz w:val="20"/>
          <w:szCs w:val="20"/>
        </w:rPr>
        <w:t>3</w:t>
      </w:r>
      <w:r w:rsidRPr="0070500E">
        <w:rPr>
          <w:rFonts w:ascii="Times New Roman" w:hAnsi="Times New Roman"/>
          <w:noProof/>
          <w:sz w:val="20"/>
          <w:szCs w:val="20"/>
        </w:rPr>
        <w:t>(3): 126-128.</w:t>
      </w:r>
    </w:p>
    <w:p w14:paraId="34AE9C57"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Grandjean, F., Samain, L. and Long, G. J. (2016). Characterization and utilization of Prussian blue and its pigments. </w:t>
      </w:r>
      <w:r w:rsidRPr="0070500E">
        <w:rPr>
          <w:rFonts w:ascii="Times New Roman" w:hAnsi="Times New Roman"/>
          <w:i/>
          <w:iCs/>
          <w:noProof/>
          <w:sz w:val="20"/>
          <w:szCs w:val="20"/>
        </w:rPr>
        <w:t>Dalton Transactions</w:t>
      </w:r>
      <w:r w:rsidRPr="0070500E">
        <w:rPr>
          <w:rFonts w:ascii="Times New Roman" w:hAnsi="Times New Roman"/>
          <w:noProof/>
          <w:sz w:val="20"/>
          <w:szCs w:val="20"/>
        </w:rPr>
        <w:t xml:space="preserve">, </w:t>
      </w:r>
      <w:r w:rsidRPr="0070500E">
        <w:rPr>
          <w:rFonts w:ascii="Times New Roman" w:hAnsi="Times New Roman"/>
          <w:iCs/>
          <w:noProof/>
          <w:sz w:val="20"/>
          <w:szCs w:val="20"/>
        </w:rPr>
        <w:t>45</w:t>
      </w:r>
      <w:r w:rsidRPr="0070500E">
        <w:rPr>
          <w:rFonts w:ascii="Times New Roman" w:hAnsi="Times New Roman"/>
          <w:noProof/>
          <w:sz w:val="20"/>
          <w:szCs w:val="20"/>
        </w:rPr>
        <w:t xml:space="preserve">(45): 18018-18044. </w:t>
      </w:r>
    </w:p>
    <w:p w14:paraId="29B07825"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Malacara, D. (2011). </w:t>
      </w:r>
      <w:r w:rsidRPr="0070500E">
        <w:rPr>
          <w:rFonts w:ascii="Times New Roman" w:hAnsi="Times New Roman"/>
          <w:iCs/>
          <w:noProof/>
          <w:sz w:val="20"/>
          <w:szCs w:val="20"/>
        </w:rPr>
        <w:t>Color vision and colorimetry: Theory and applications</w:t>
      </w:r>
      <w:r w:rsidRPr="0070500E">
        <w:rPr>
          <w:rFonts w:ascii="Times New Roman" w:hAnsi="Times New Roman"/>
          <w:noProof/>
          <w:sz w:val="20"/>
          <w:szCs w:val="20"/>
        </w:rPr>
        <w:t>. SPIE Press, Bellingham: pp. 1-20.</w:t>
      </w:r>
    </w:p>
    <w:p w14:paraId="71FDE24E"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Giovannetti, R. (2012). The use of spectrophotometry UV-Vis for the study of porphyrins </w:t>
      </w:r>
      <w:r w:rsidRPr="0070500E">
        <w:rPr>
          <w:rFonts w:ascii="Times New Roman" w:hAnsi="Times New Roman"/>
          <w:iCs/>
          <w:noProof/>
          <w:sz w:val="20"/>
          <w:szCs w:val="20"/>
        </w:rPr>
        <w:t>macro to nano spectroscopy</w:t>
      </w:r>
      <w:r w:rsidRPr="0070500E">
        <w:rPr>
          <w:rFonts w:ascii="Times New Roman" w:hAnsi="Times New Roman"/>
          <w:noProof/>
          <w:sz w:val="20"/>
          <w:szCs w:val="20"/>
        </w:rPr>
        <w:t>. InTech, China: pp. 87-108.</w:t>
      </w:r>
    </w:p>
    <w:p w14:paraId="33DFB363"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Rao, G. G. and Rao, V. N. (1955). Ascorbic acid as a reducing agent in quantitative analysis. </w:t>
      </w:r>
      <w:r w:rsidRPr="0070500E">
        <w:rPr>
          <w:rFonts w:ascii="Times New Roman" w:hAnsi="Times New Roman"/>
          <w:i/>
          <w:iCs/>
          <w:noProof/>
          <w:sz w:val="20"/>
          <w:szCs w:val="20"/>
        </w:rPr>
        <w:t>Fresenius’ Zeitschrift Für Analytische Chemie</w:t>
      </w:r>
      <w:r w:rsidRPr="0070500E">
        <w:rPr>
          <w:rFonts w:ascii="Times New Roman" w:hAnsi="Times New Roman"/>
          <w:noProof/>
          <w:sz w:val="20"/>
          <w:szCs w:val="20"/>
        </w:rPr>
        <w:t xml:space="preserve">, </w:t>
      </w:r>
      <w:r w:rsidRPr="0070500E">
        <w:rPr>
          <w:rFonts w:ascii="Times New Roman" w:hAnsi="Times New Roman"/>
          <w:iCs/>
          <w:noProof/>
          <w:sz w:val="20"/>
          <w:szCs w:val="20"/>
        </w:rPr>
        <w:t>147</w:t>
      </w:r>
      <w:r w:rsidRPr="0070500E">
        <w:rPr>
          <w:rFonts w:ascii="Times New Roman" w:hAnsi="Times New Roman"/>
          <w:noProof/>
          <w:sz w:val="20"/>
          <w:szCs w:val="20"/>
        </w:rPr>
        <w:t xml:space="preserve">(5): 338-347. </w:t>
      </w:r>
    </w:p>
    <w:p w14:paraId="27F1A9EB"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Samain, L., Grandjean, F., Long, G. J., Martinetto, P., Bordet, P. and Strivay, D. (2013). Relationship between the synthesis of Prussian Blue pigments, their color, physical properties, and their behavior in paint layers. </w:t>
      </w:r>
      <w:r w:rsidRPr="0070500E">
        <w:rPr>
          <w:rFonts w:ascii="Times New Roman" w:hAnsi="Times New Roman"/>
          <w:i/>
          <w:iCs/>
          <w:noProof/>
          <w:sz w:val="20"/>
          <w:szCs w:val="20"/>
        </w:rPr>
        <w:t>The Journal of Physical Chemistry C</w:t>
      </w:r>
      <w:r w:rsidRPr="0070500E">
        <w:rPr>
          <w:rFonts w:ascii="Times New Roman" w:hAnsi="Times New Roman"/>
          <w:noProof/>
          <w:sz w:val="20"/>
          <w:szCs w:val="20"/>
        </w:rPr>
        <w:t xml:space="preserve">, </w:t>
      </w:r>
      <w:r w:rsidRPr="0070500E">
        <w:rPr>
          <w:rFonts w:ascii="Times New Roman" w:hAnsi="Times New Roman"/>
          <w:iCs/>
          <w:noProof/>
          <w:sz w:val="20"/>
          <w:szCs w:val="20"/>
        </w:rPr>
        <w:t>117</w:t>
      </w:r>
      <w:r w:rsidRPr="0070500E">
        <w:rPr>
          <w:rFonts w:ascii="Times New Roman" w:hAnsi="Times New Roman"/>
          <w:noProof/>
          <w:sz w:val="20"/>
          <w:szCs w:val="20"/>
        </w:rPr>
        <w:t xml:space="preserve">(19): 9693-9712. </w:t>
      </w:r>
    </w:p>
    <w:p w14:paraId="7D1064C0"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Adhikamsetty, R. and Jonnalagadda, S. (2009). Kinetics and mechanism of prussian blue formation. </w:t>
      </w:r>
      <w:r w:rsidRPr="0070500E">
        <w:rPr>
          <w:rFonts w:ascii="Times New Roman" w:hAnsi="Times New Roman"/>
          <w:i/>
          <w:iCs/>
          <w:noProof/>
          <w:sz w:val="20"/>
          <w:szCs w:val="20"/>
        </w:rPr>
        <w:t>Bulletin of the Chemical Society of Ethiopia</w:t>
      </w:r>
      <w:r w:rsidRPr="0070500E">
        <w:rPr>
          <w:rFonts w:ascii="Times New Roman" w:hAnsi="Times New Roman"/>
          <w:noProof/>
          <w:sz w:val="20"/>
          <w:szCs w:val="20"/>
        </w:rPr>
        <w:t xml:space="preserve">, </w:t>
      </w:r>
      <w:r w:rsidRPr="0070500E">
        <w:rPr>
          <w:rFonts w:ascii="Times New Roman" w:hAnsi="Times New Roman"/>
          <w:iCs/>
          <w:noProof/>
          <w:sz w:val="20"/>
          <w:szCs w:val="20"/>
        </w:rPr>
        <w:t>23</w:t>
      </w:r>
      <w:r w:rsidRPr="0070500E">
        <w:rPr>
          <w:rFonts w:ascii="Times New Roman" w:hAnsi="Times New Roman"/>
          <w:noProof/>
          <w:sz w:val="20"/>
          <w:szCs w:val="20"/>
        </w:rPr>
        <w:t>(1): 47-54.</w:t>
      </w:r>
    </w:p>
    <w:p w14:paraId="78F6056B"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El-Didamony, A. M., Saad, M. Z. and Saleem, N. O. (2013). Kinetic spectrophotometry method for the determination of morphine, nalbuphine and naltrexone drugs in bilk and pharmaceutical formulation. </w:t>
      </w:r>
      <w:r w:rsidRPr="0070500E">
        <w:rPr>
          <w:rFonts w:ascii="Times New Roman" w:hAnsi="Times New Roman"/>
          <w:i/>
          <w:iCs/>
          <w:noProof/>
          <w:sz w:val="20"/>
          <w:szCs w:val="20"/>
        </w:rPr>
        <w:t>Journal of the Chilean Chemical Society</w:t>
      </w:r>
      <w:r w:rsidRPr="0070500E">
        <w:rPr>
          <w:rFonts w:ascii="Times New Roman" w:hAnsi="Times New Roman"/>
          <w:noProof/>
          <w:sz w:val="20"/>
          <w:szCs w:val="20"/>
        </w:rPr>
        <w:t xml:space="preserve">, </w:t>
      </w:r>
      <w:r w:rsidRPr="0070500E">
        <w:rPr>
          <w:rFonts w:ascii="Times New Roman" w:hAnsi="Times New Roman"/>
          <w:iCs/>
          <w:noProof/>
          <w:sz w:val="20"/>
          <w:szCs w:val="20"/>
        </w:rPr>
        <w:t>58</w:t>
      </w:r>
      <w:r w:rsidRPr="0070500E">
        <w:rPr>
          <w:rFonts w:ascii="Times New Roman" w:hAnsi="Times New Roman"/>
          <w:noProof/>
          <w:sz w:val="20"/>
          <w:szCs w:val="20"/>
        </w:rPr>
        <w:t xml:space="preserve">(3): 1907-1913. </w:t>
      </w:r>
    </w:p>
    <w:p w14:paraId="113ADAD3"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Hu, W.-H., Zhai, Q.-Z. and Zhang, X.-M. (2014). Determination of trace amount of IO</w:t>
      </w:r>
      <w:r w:rsidRPr="0070500E">
        <w:rPr>
          <w:rFonts w:ascii="Times New Roman" w:hAnsi="Times New Roman"/>
          <w:noProof/>
          <w:sz w:val="20"/>
          <w:szCs w:val="20"/>
          <w:vertAlign w:val="subscript"/>
        </w:rPr>
        <w:t>3</w:t>
      </w:r>
      <w:r w:rsidRPr="0070500E">
        <w:rPr>
          <w:rFonts w:ascii="Times New Roman" w:hAnsi="Times New Roman"/>
          <w:noProof/>
          <w:sz w:val="20"/>
          <w:szCs w:val="20"/>
        </w:rPr>
        <w:t>−with KIO</w:t>
      </w:r>
      <w:r w:rsidRPr="0070500E">
        <w:rPr>
          <w:rFonts w:ascii="Times New Roman" w:hAnsi="Times New Roman"/>
          <w:noProof/>
          <w:sz w:val="20"/>
          <w:szCs w:val="20"/>
          <w:vertAlign w:val="subscript"/>
        </w:rPr>
        <w:t>3</w:t>
      </w:r>
      <w:r w:rsidRPr="0070500E">
        <w:rPr>
          <w:rFonts w:ascii="Times New Roman" w:hAnsi="Times New Roman"/>
          <w:noProof/>
          <w:sz w:val="20"/>
          <w:szCs w:val="20"/>
        </w:rPr>
        <w:t xml:space="preserve">-KBr-(DBS-arsenazo) system by spectrophotometry. </w:t>
      </w:r>
      <w:r w:rsidRPr="0070500E">
        <w:rPr>
          <w:rFonts w:ascii="Times New Roman" w:hAnsi="Times New Roman"/>
          <w:i/>
          <w:iCs/>
          <w:noProof/>
          <w:sz w:val="20"/>
          <w:szCs w:val="20"/>
        </w:rPr>
        <w:t>Journal of Analytical Chemistry</w:t>
      </w:r>
      <w:r w:rsidRPr="0070500E">
        <w:rPr>
          <w:rFonts w:ascii="Times New Roman" w:hAnsi="Times New Roman"/>
          <w:noProof/>
          <w:sz w:val="20"/>
          <w:szCs w:val="20"/>
        </w:rPr>
        <w:t xml:space="preserve">, </w:t>
      </w:r>
      <w:r w:rsidRPr="0070500E">
        <w:rPr>
          <w:rFonts w:ascii="Times New Roman" w:hAnsi="Times New Roman"/>
          <w:iCs/>
          <w:noProof/>
          <w:sz w:val="20"/>
          <w:szCs w:val="20"/>
        </w:rPr>
        <w:t>69</w:t>
      </w:r>
      <w:r w:rsidRPr="0070500E">
        <w:rPr>
          <w:rFonts w:ascii="Times New Roman" w:hAnsi="Times New Roman"/>
          <w:noProof/>
          <w:sz w:val="20"/>
          <w:szCs w:val="20"/>
        </w:rPr>
        <w:t xml:space="preserve">(5): 438-441. </w:t>
      </w:r>
    </w:p>
    <w:p w14:paraId="19E99B5C" w14:textId="77777777" w:rsidR="00260FC4" w:rsidRDefault="00260FC4" w:rsidP="00260FC4">
      <w:pPr>
        <w:pStyle w:val="ListParagraph"/>
        <w:numPr>
          <w:ilvl w:val="0"/>
          <w:numId w:val="7"/>
        </w:numPr>
        <w:spacing w:after="0"/>
        <w:ind w:left="360"/>
        <w:contextualSpacing w:val="0"/>
        <w:jc w:val="both"/>
        <w:rPr>
          <w:rFonts w:ascii="Times New Roman" w:hAnsi="Times New Roman"/>
          <w:noProof/>
          <w:sz w:val="20"/>
          <w:szCs w:val="20"/>
        </w:rPr>
      </w:pPr>
      <w:r w:rsidRPr="0070500E">
        <w:rPr>
          <w:rFonts w:ascii="Times New Roman" w:hAnsi="Times New Roman"/>
          <w:noProof/>
          <w:sz w:val="20"/>
          <w:szCs w:val="20"/>
        </w:rPr>
        <w:t xml:space="preserve">Alarfaj, N., Altamimi, S. and Almarshady, L. (2009). Spectrophotometric determination of mefenamic acid in pharmaceutical preparations. </w:t>
      </w:r>
      <w:r w:rsidRPr="0070500E">
        <w:rPr>
          <w:rFonts w:ascii="Times New Roman" w:hAnsi="Times New Roman"/>
          <w:i/>
          <w:iCs/>
          <w:noProof/>
          <w:sz w:val="20"/>
          <w:szCs w:val="20"/>
        </w:rPr>
        <w:t>Asian Journal of Chemistry</w:t>
      </w:r>
      <w:r w:rsidRPr="0070500E">
        <w:rPr>
          <w:rFonts w:ascii="Times New Roman" w:hAnsi="Times New Roman"/>
          <w:noProof/>
          <w:sz w:val="20"/>
          <w:szCs w:val="20"/>
        </w:rPr>
        <w:t xml:space="preserve">, </w:t>
      </w:r>
      <w:r w:rsidRPr="0070500E">
        <w:rPr>
          <w:rFonts w:ascii="Times New Roman" w:hAnsi="Times New Roman"/>
          <w:iCs/>
          <w:noProof/>
          <w:sz w:val="20"/>
          <w:szCs w:val="20"/>
        </w:rPr>
        <w:t>21</w:t>
      </w:r>
      <w:r w:rsidRPr="0070500E">
        <w:rPr>
          <w:rFonts w:ascii="Times New Roman" w:hAnsi="Times New Roman"/>
          <w:noProof/>
          <w:sz w:val="20"/>
          <w:szCs w:val="20"/>
        </w:rPr>
        <w:t>(1): 217-226.</w:t>
      </w:r>
    </w:p>
    <w:p w14:paraId="31F9CF92" w14:textId="77777777" w:rsidR="00260FC4"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Panitia Farmakope Indonesia, R. (1995). Farmakope Indonesia Edisi Keempat, Depkes, </w:t>
      </w:r>
      <w:r w:rsidRPr="0070500E">
        <w:rPr>
          <w:rFonts w:ascii="Times New Roman" w:hAnsi="Times New Roman"/>
          <w:iCs/>
          <w:noProof/>
          <w:sz w:val="20"/>
          <w:szCs w:val="20"/>
        </w:rPr>
        <w:t>Jakarta: pp</w:t>
      </w:r>
      <w:r w:rsidRPr="0070500E">
        <w:rPr>
          <w:rFonts w:ascii="Times New Roman" w:hAnsi="Times New Roman"/>
          <w:noProof/>
          <w:sz w:val="20"/>
          <w:szCs w:val="20"/>
        </w:rPr>
        <w:t>. 1107-1110.</w:t>
      </w:r>
    </w:p>
    <w:p w14:paraId="579CE1E3" w14:textId="77777777" w:rsidR="00260FC4" w:rsidRPr="0070500E" w:rsidRDefault="00260FC4" w:rsidP="00260FC4">
      <w:pPr>
        <w:pStyle w:val="ListParagraph"/>
        <w:numPr>
          <w:ilvl w:val="0"/>
          <w:numId w:val="7"/>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British Pharmacopoeia Commission Office (2009). British Pharmacopoeia, Volume I &amp; </w:t>
      </w:r>
      <w:r w:rsidRPr="001D508F">
        <w:rPr>
          <w:noProof/>
        </w:rPr>
        <w:t xml:space="preserve">II, </w:t>
      </w:r>
      <w:r w:rsidRPr="0070500E">
        <w:rPr>
          <w:iCs/>
          <w:noProof/>
        </w:rPr>
        <w:t>Medicines and Healthcare Products</w:t>
      </w:r>
      <w:r w:rsidRPr="0070500E">
        <w:rPr>
          <w:i/>
          <w:iCs/>
          <w:noProof/>
        </w:rPr>
        <w:t xml:space="preserve"> </w:t>
      </w:r>
      <w:r w:rsidRPr="0070500E">
        <w:rPr>
          <w:iCs/>
          <w:noProof/>
        </w:rPr>
        <w:t>Regulatory Agency (MHRA)</w:t>
      </w:r>
      <w:r w:rsidRPr="001D508F">
        <w:rPr>
          <w:noProof/>
        </w:rPr>
        <w:t>, London: pp. 4788.</w:t>
      </w:r>
    </w:p>
    <w:p w14:paraId="299D3E74" w14:textId="3892B71A" w:rsidR="00865A70" w:rsidRPr="00385369" w:rsidRDefault="00260FC4" w:rsidP="00260FC4">
      <w:pPr>
        <w:spacing w:after="0"/>
        <w:jc w:val="both"/>
        <w:rPr>
          <w:rFonts w:ascii="Times New Roman" w:hAnsi="Times New Roman"/>
          <w:sz w:val="20"/>
          <w:szCs w:val="20"/>
        </w:rPr>
        <w:sectPr w:rsidR="00865A70" w:rsidRPr="00385369" w:rsidSect="00385369">
          <w:type w:val="continuous"/>
          <w:pgSz w:w="12240" w:h="15840" w:code="1"/>
          <w:pgMar w:top="1800" w:right="1469" w:bottom="1699" w:left="1440" w:header="706" w:footer="706" w:gutter="0"/>
          <w:pgNumType w:start="1"/>
          <w:cols w:space="403"/>
          <w:docGrid w:linePitch="360"/>
        </w:sectPr>
      </w:pPr>
      <w:r w:rsidRPr="001D508F">
        <w:rPr>
          <w:rFonts w:ascii="Times New Roman" w:hAnsi="Times New Roman"/>
          <w:b/>
          <w:noProof/>
          <w:color w:val="548DD4" w:themeColor="text2" w:themeTint="99"/>
          <w:szCs w:val="20"/>
        </w:rPr>
        <w:fldChar w:fldCharType="end"/>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9968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996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3251D"/>
    <w:multiLevelType w:val="hybridMultilevel"/>
    <w:tmpl w:val="F09065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60FC4"/>
    <w:rsid w:val="002B425B"/>
    <w:rsid w:val="002F626B"/>
    <w:rsid w:val="00385369"/>
    <w:rsid w:val="003A1F80"/>
    <w:rsid w:val="0044292C"/>
    <w:rsid w:val="00460C95"/>
    <w:rsid w:val="00473CD4"/>
    <w:rsid w:val="00487993"/>
    <w:rsid w:val="005644C8"/>
    <w:rsid w:val="005F401D"/>
    <w:rsid w:val="006E79D9"/>
    <w:rsid w:val="007D0E7F"/>
    <w:rsid w:val="007F7EB3"/>
    <w:rsid w:val="00832F59"/>
    <w:rsid w:val="00834CDE"/>
    <w:rsid w:val="00865A70"/>
    <w:rsid w:val="00900BAC"/>
    <w:rsid w:val="00975E1A"/>
    <w:rsid w:val="00996874"/>
    <w:rsid w:val="009A4A79"/>
    <w:rsid w:val="009A5A4D"/>
    <w:rsid w:val="00A23F0F"/>
    <w:rsid w:val="00AA706B"/>
    <w:rsid w:val="00AB4AE6"/>
    <w:rsid w:val="00AB5AEF"/>
    <w:rsid w:val="00AC419C"/>
    <w:rsid w:val="00AC72D0"/>
    <w:rsid w:val="00AD4549"/>
    <w:rsid w:val="00B40E61"/>
    <w:rsid w:val="00B9022C"/>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5</cp:revision>
  <cp:lastPrinted>2020-04-01T04:48:00Z</cp:lastPrinted>
  <dcterms:created xsi:type="dcterms:W3CDTF">2021-02-01T07:49:00Z</dcterms:created>
  <dcterms:modified xsi:type="dcterms:W3CDTF">2021-02-06T09:18:00Z</dcterms:modified>
</cp:coreProperties>
</file>