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A36447E"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DE20A8">
        <w:rPr>
          <w:rFonts w:ascii="Times New Roman" w:hAnsi="Times New Roman" w:cs="Times New Roman"/>
          <w:b/>
          <w:i/>
          <w:sz w:val="24"/>
          <w:szCs w:val="24"/>
        </w:rPr>
        <w:t>1</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EB378E">
        <w:rPr>
          <w:rFonts w:ascii="Times New Roman" w:hAnsi="Times New Roman" w:cs="Times New Roman"/>
          <w:b/>
          <w:i/>
          <w:sz w:val="24"/>
          <w:szCs w:val="24"/>
        </w:rPr>
        <w:t>40 - 52</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6EEE8D48" w14:textId="77777777" w:rsidR="00EB378E" w:rsidRPr="008E67A5" w:rsidRDefault="00EB378E" w:rsidP="00EB378E">
      <w:pPr>
        <w:spacing w:after="0"/>
        <w:jc w:val="center"/>
        <w:rPr>
          <w:rFonts w:ascii="Times New Roman" w:eastAsia="Calibri" w:hAnsi="Times New Roman"/>
          <w:sz w:val="28"/>
          <w:szCs w:val="28"/>
          <w:lang w:eastAsia="en-MY"/>
        </w:rPr>
      </w:pPr>
      <w:r w:rsidRPr="008E67A5">
        <w:rPr>
          <w:rFonts w:ascii="Times New Roman" w:eastAsia="Calibri" w:hAnsi="Times New Roman"/>
          <w:sz w:val="28"/>
          <w:szCs w:val="28"/>
          <w:lang w:eastAsia="en-MY"/>
        </w:rPr>
        <w:t>STUDIES ON THE PROPERTIES OF NATURAL RUBBER/POLY-3-HYDROXYBUTYRATE BLENDS PREPARED BY SOLVENT CASTING</w:t>
      </w:r>
    </w:p>
    <w:p w14:paraId="50AEF87E" w14:textId="77777777" w:rsidR="00EB378E" w:rsidRPr="008E67A5" w:rsidRDefault="00EB378E" w:rsidP="00EB378E">
      <w:pPr>
        <w:spacing w:after="0"/>
        <w:jc w:val="center"/>
        <w:rPr>
          <w:rFonts w:ascii="Times New Roman" w:eastAsia="Calibri" w:hAnsi="Times New Roman"/>
          <w:sz w:val="24"/>
          <w:szCs w:val="24"/>
          <w:lang w:eastAsia="en-MY"/>
        </w:rPr>
      </w:pPr>
    </w:p>
    <w:p w14:paraId="637FE4FE" w14:textId="77777777" w:rsidR="00EB378E" w:rsidRPr="008E67A5" w:rsidRDefault="00EB378E" w:rsidP="00EB378E">
      <w:pPr>
        <w:spacing w:after="0"/>
        <w:jc w:val="center"/>
        <w:rPr>
          <w:rFonts w:ascii="Times New Roman" w:eastAsia="Calibri" w:hAnsi="Times New Roman"/>
          <w:noProof/>
          <w:sz w:val="24"/>
          <w:szCs w:val="24"/>
          <w:lang w:val="ms-MY" w:eastAsia="en-MY"/>
        </w:rPr>
      </w:pPr>
      <w:r w:rsidRPr="008E67A5">
        <w:rPr>
          <w:rFonts w:ascii="Times New Roman" w:eastAsia="Calibri" w:hAnsi="Times New Roman"/>
          <w:sz w:val="24"/>
          <w:szCs w:val="24"/>
          <w:lang w:eastAsia="en-MY"/>
        </w:rPr>
        <w:t>(</w:t>
      </w:r>
      <w:r w:rsidRPr="008E67A5">
        <w:rPr>
          <w:rFonts w:ascii="Times New Roman" w:eastAsia="Calibri" w:hAnsi="Times New Roman"/>
          <w:noProof/>
          <w:sz w:val="24"/>
          <w:szCs w:val="24"/>
          <w:lang w:val="ms-MY" w:eastAsia="en-MY"/>
        </w:rPr>
        <w:t>Kajian Mengenai Sifat Campuran Getah Asli/Poli-3-Hidroksibutirat yang Disediakan Melalui Kaedah Acuan Pelarut</w:t>
      </w:r>
      <w:r w:rsidRPr="008E67A5">
        <w:rPr>
          <w:rFonts w:ascii="Times New Roman" w:eastAsia="Calibri" w:hAnsi="Times New Roman"/>
          <w:sz w:val="24"/>
          <w:szCs w:val="24"/>
          <w:lang w:eastAsia="en-MY"/>
        </w:rPr>
        <w:t>)</w:t>
      </w:r>
    </w:p>
    <w:p w14:paraId="3C80E1B4" w14:textId="77777777" w:rsidR="00EB378E" w:rsidRPr="008E67A5" w:rsidRDefault="00EB378E" w:rsidP="00EB378E">
      <w:pPr>
        <w:spacing w:after="0"/>
        <w:jc w:val="center"/>
        <w:rPr>
          <w:rFonts w:ascii="Times New Roman" w:eastAsia="Calibri" w:hAnsi="Times New Roman"/>
          <w:sz w:val="24"/>
          <w:szCs w:val="24"/>
          <w:lang w:eastAsia="en-MY"/>
        </w:rPr>
      </w:pPr>
    </w:p>
    <w:p w14:paraId="375F92C7" w14:textId="46F85F18" w:rsidR="00EB378E" w:rsidRPr="008E67A5" w:rsidRDefault="00EB378E" w:rsidP="00EB378E">
      <w:pPr>
        <w:tabs>
          <w:tab w:val="left" w:pos="8310"/>
        </w:tabs>
        <w:spacing w:after="0"/>
        <w:jc w:val="center"/>
        <w:rPr>
          <w:rFonts w:ascii="Times New Roman" w:eastAsia="Calibri" w:hAnsi="Times New Roman"/>
          <w:sz w:val="20"/>
          <w:szCs w:val="20"/>
          <w:lang w:eastAsia="en-MY"/>
        </w:rPr>
      </w:pPr>
      <w:r w:rsidRPr="008E67A5">
        <w:rPr>
          <w:rFonts w:ascii="Times New Roman" w:eastAsia="Calibri" w:hAnsi="Times New Roman"/>
          <w:sz w:val="20"/>
          <w:szCs w:val="20"/>
          <w:lang w:eastAsia="en-MY"/>
        </w:rPr>
        <w:t>Asmaa’</w:t>
      </w:r>
      <w:r w:rsidR="007E2549">
        <w:rPr>
          <w:rFonts w:ascii="Times New Roman" w:eastAsia="Calibri" w:hAnsi="Times New Roman"/>
          <w:sz w:val="20"/>
          <w:szCs w:val="20"/>
          <w:lang w:eastAsia="en-MY"/>
        </w:rPr>
        <w:t xml:space="preserve"> </w:t>
      </w:r>
      <w:r w:rsidRPr="008E67A5">
        <w:rPr>
          <w:rFonts w:ascii="Times New Roman" w:eastAsia="Calibri" w:hAnsi="Times New Roman"/>
          <w:sz w:val="20"/>
          <w:szCs w:val="20"/>
          <w:lang w:eastAsia="en-MY"/>
        </w:rPr>
        <w:t>Zainal Abidin, Noor Hana Hanif Abu Bakar*, Mohamad Abu Bakar</w:t>
      </w:r>
    </w:p>
    <w:p w14:paraId="688EB4B5" w14:textId="77777777" w:rsidR="00EB378E" w:rsidRPr="00EB378E" w:rsidRDefault="00EB378E" w:rsidP="00EB378E">
      <w:pPr>
        <w:tabs>
          <w:tab w:val="left" w:pos="8310"/>
        </w:tabs>
        <w:spacing w:after="0"/>
        <w:jc w:val="center"/>
        <w:rPr>
          <w:rFonts w:ascii="Times New Roman" w:eastAsia="Calibri" w:hAnsi="Times New Roman"/>
          <w:sz w:val="20"/>
          <w:szCs w:val="20"/>
          <w:lang w:eastAsia="en-MY"/>
        </w:rPr>
      </w:pPr>
    </w:p>
    <w:p w14:paraId="45B76A7B" w14:textId="77777777" w:rsidR="00EB378E" w:rsidRPr="00EB378E" w:rsidRDefault="00EB378E" w:rsidP="00EB378E">
      <w:pPr>
        <w:spacing w:after="0"/>
        <w:jc w:val="center"/>
        <w:rPr>
          <w:rFonts w:ascii="Times New Roman" w:eastAsia="Calibri" w:hAnsi="Times New Roman"/>
          <w:i/>
          <w:iCs/>
          <w:sz w:val="20"/>
          <w:szCs w:val="20"/>
          <w:lang w:eastAsia="en-MY"/>
        </w:rPr>
      </w:pPr>
      <w:r w:rsidRPr="00EB378E">
        <w:rPr>
          <w:rFonts w:ascii="Times New Roman" w:eastAsia="Calibri" w:hAnsi="Times New Roman"/>
          <w:i/>
          <w:iCs/>
          <w:sz w:val="20"/>
          <w:szCs w:val="20"/>
          <w:lang w:eastAsia="en-MY"/>
        </w:rPr>
        <w:t xml:space="preserve">Nanoscience Research Laboratory, School of Chemical Sciences, </w:t>
      </w:r>
    </w:p>
    <w:p w14:paraId="287CCBA6" w14:textId="77777777" w:rsidR="00EB378E" w:rsidRPr="00EB378E" w:rsidRDefault="00EB378E" w:rsidP="00EB378E">
      <w:pPr>
        <w:spacing w:after="0"/>
        <w:jc w:val="center"/>
        <w:rPr>
          <w:rFonts w:ascii="Times New Roman" w:eastAsia="Calibri" w:hAnsi="Times New Roman"/>
          <w:i/>
          <w:iCs/>
          <w:sz w:val="20"/>
          <w:szCs w:val="20"/>
          <w:lang w:eastAsia="en-MY"/>
        </w:rPr>
      </w:pPr>
      <w:r w:rsidRPr="00EB378E">
        <w:rPr>
          <w:rFonts w:ascii="Times New Roman" w:eastAsia="Calibri" w:hAnsi="Times New Roman"/>
          <w:i/>
          <w:iCs/>
          <w:sz w:val="20"/>
          <w:szCs w:val="20"/>
          <w:lang w:eastAsia="en-MY"/>
        </w:rPr>
        <w:t>Universiti Sains Malaysia, 11800 USM Penang, Malaysia</w:t>
      </w:r>
    </w:p>
    <w:p w14:paraId="569D6669" w14:textId="77777777" w:rsidR="00EB378E" w:rsidRPr="00EB378E" w:rsidRDefault="00EB378E" w:rsidP="00EB378E">
      <w:pPr>
        <w:spacing w:after="0"/>
        <w:jc w:val="center"/>
        <w:rPr>
          <w:rFonts w:ascii="Times New Roman" w:eastAsia="Calibri" w:hAnsi="Times New Roman"/>
          <w:i/>
          <w:iCs/>
          <w:sz w:val="20"/>
          <w:szCs w:val="20"/>
          <w:lang w:eastAsia="en-MY"/>
        </w:rPr>
      </w:pPr>
    </w:p>
    <w:p w14:paraId="6F6EB271" w14:textId="77777777" w:rsidR="00EB378E" w:rsidRPr="00EB378E" w:rsidRDefault="00EB378E" w:rsidP="00EB378E">
      <w:pPr>
        <w:spacing w:after="0"/>
        <w:jc w:val="center"/>
        <w:rPr>
          <w:rFonts w:ascii="Times New Roman" w:eastAsia="Calibri" w:hAnsi="Times New Roman"/>
          <w:sz w:val="20"/>
          <w:szCs w:val="20"/>
          <w:lang w:eastAsia="en-MY"/>
        </w:rPr>
      </w:pPr>
      <w:r w:rsidRPr="00EB378E">
        <w:rPr>
          <w:rFonts w:ascii="Times New Roman" w:hAnsi="Times New Roman"/>
          <w:i/>
          <w:iCs/>
          <w:sz w:val="20"/>
          <w:szCs w:val="20"/>
        </w:rPr>
        <w:t>*Corresponding author:  hana_hanif@usm.my</w:t>
      </w:r>
      <w:r w:rsidRPr="00EB378E">
        <w:rPr>
          <w:rFonts w:ascii="Times New Roman" w:eastAsia="Calibri" w:hAnsi="Times New Roman"/>
          <w:sz w:val="20"/>
          <w:szCs w:val="20"/>
          <w:lang w:eastAsia="en-MY"/>
        </w:rPr>
        <w:t xml:space="preserve"> </w:t>
      </w:r>
    </w:p>
    <w:p w14:paraId="04C09343" w14:textId="77777777" w:rsidR="00EB378E" w:rsidRPr="00EB378E" w:rsidRDefault="00EB378E" w:rsidP="00EB378E">
      <w:pPr>
        <w:spacing w:after="0"/>
        <w:jc w:val="center"/>
        <w:rPr>
          <w:rFonts w:ascii="Times New Roman" w:hAnsi="Times New Roman"/>
          <w:noProof/>
          <w:sz w:val="20"/>
          <w:szCs w:val="20"/>
        </w:rPr>
      </w:pPr>
    </w:p>
    <w:p w14:paraId="6ADE2EB4" w14:textId="77777777" w:rsidR="00EB378E" w:rsidRPr="00EB378E" w:rsidRDefault="00EB378E" w:rsidP="00EB378E">
      <w:pPr>
        <w:spacing w:after="0"/>
        <w:jc w:val="center"/>
        <w:rPr>
          <w:rFonts w:ascii="Times New Roman" w:hAnsi="Times New Roman"/>
          <w:noProof/>
          <w:sz w:val="20"/>
          <w:szCs w:val="20"/>
        </w:rPr>
      </w:pPr>
    </w:p>
    <w:p w14:paraId="68B2A686" w14:textId="76FBB953" w:rsidR="00EB378E" w:rsidRPr="00EB378E" w:rsidRDefault="00EB378E" w:rsidP="00EB378E">
      <w:pPr>
        <w:spacing w:after="0"/>
        <w:jc w:val="center"/>
        <w:rPr>
          <w:rFonts w:ascii="Times New Roman" w:hAnsi="Times New Roman"/>
          <w:noProof/>
          <w:sz w:val="20"/>
          <w:szCs w:val="20"/>
        </w:rPr>
      </w:pPr>
      <w:r w:rsidRPr="00EB378E">
        <w:rPr>
          <w:rFonts w:ascii="Times New Roman" w:hAnsi="Times New Roman"/>
          <w:noProof/>
          <w:sz w:val="20"/>
          <w:szCs w:val="20"/>
        </w:rPr>
        <w:t xml:space="preserve">Received: 18 September 2020; Accepted: 28 November 2020; Published: </w:t>
      </w:r>
      <w:r w:rsidR="00121516">
        <w:rPr>
          <w:rFonts w:ascii="Times New Roman" w:hAnsi="Times New Roman"/>
          <w:noProof/>
          <w:sz w:val="20"/>
          <w:szCs w:val="20"/>
        </w:rPr>
        <w:t>20</w:t>
      </w:r>
      <w:r w:rsidR="005530C1">
        <w:rPr>
          <w:rFonts w:ascii="Times New Roman" w:hAnsi="Times New Roman"/>
          <w:noProof/>
          <w:sz w:val="20"/>
          <w:szCs w:val="20"/>
        </w:rPr>
        <w:t xml:space="preserve"> </w:t>
      </w:r>
      <w:r w:rsidRPr="00EB378E">
        <w:rPr>
          <w:rFonts w:ascii="Times New Roman" w:hAnsi="Times New Roman"/>
          <w:noProof/>
          <w:sz w:val="20"/>
          <w:szCs w:val="20"/>
        </w:rPr>
        <w:t>February 2021</w:t>
      </w:r>
    </w:p>
    <w:p w14:paraId="28AB5BB1" w14:textId="77777777" w:rsidR="00EB378E" w:rsidRPr="00EB378E" w:rsidRDefault="00EB378E" w:rsidP="00EB378E">
      <w:pPr>
        <w:spacing w:after="0"/>
        <w:jc w:val="center"/>
        <w:rPr>
          <w:rFonts w:ascii="Times New Roman" w:hAnsi="Times New Roman"/>
          <w:noProof/>
          <w:sz w:val="20"/>
          <w:szCs w:val="20"/>
        </w:rPr>
      </w:pPr>
    </w:p>
    <w:p w14:paraId="50E95630" w14:textId="77777777" w:rsidR="00EB378E" w:rsidRPr="00EB378E" w:rsidRDefault="00EB378E" w:rsidP="00EB378E">
      <w:pPr>
        <w:spacing w:after="0"/>
        <w:jc w:val="center"/>
        <w:rPr>
          <w:rFonts w:ascii="Times New Roman" w:hAnsi="Times New Roman"/>
          <w:noProof/>
          <w:sz w:val="20"/>
          <w:szCs w:val="20"/>
        </w:rPr>
      </w:pPr>
    </w:p>
    <w:p w14:paraId="229C54D1" w14:textId="77777777" w:rsidR="00EB378E" w:rsidRPr="00EB378E" w:rsidRDefault="00EB378E" w:rsidP="00EB378E">
      <w:pPr>
        <w:spacing w:after="0"/>
        <w:jc w:val="center"/>
        <w:rPr>
          <w:rFonts w:ascii="Times New Roman" w:hAnsi="Times New Roman"/>
          <w:b/>
          <w:noProof/>
          <w:sz w:val="20"/>
          <w:szCs w:val="20"/>
        </w:rPr>
      </w:pPr>
      <w:r w:rsidRPr="00EB378E">
        <w:rPr>
          <w:rFonts w:ascii="Times New Roman" w:hAnsi="Times New Roman"/>
          <w:b/>
          <w:noProof/>
          <w:sz w:val="20"/>
          <w:szCs w:val="20"/>
        </w:rPr>
        <w:t>Abstract</w:t>
      </w:r>
    </w:p>
    <w:p w14:paraId="626EA68C" w14:textId="77777777" w:rsidR="00EB378E" w:rsidRPr="00EB378E" w:rsidRDefault="00EB378E" w:rsidP="00EB378E">
      <w:pPr>
        <w:spacing w:after="0"/>
        <w:jc w:val="both"/>
        <w:rPr>
          <w:rFonts w:ascii="Times New Roman" w:eastAsia="Calibri" w:hAnsi="Times New Roman"/>
          <w:b/>
          <w:bCs/>
          <w:sz w:val="20"/>
          <w:szCs w:val="20"/>
          <w:lang w:eastAsia="en-MY"/>
        </w:rPr>
      </w:pPr>
      <w:r w:rsidRPr="00EB378E">
        <w:rPr>
          <w:rFonts w:ascii="Times New Roman" w:eastAsia="Calibri" w:hAnsi="Times New Roman"/>
          <w:sz w:val="20"/>
          <w:szCs w:val="20"/>
          <w:lang w:eastAsia="en-MY"/>
        </w:rPr>
        <w:t xml:space="preserve">Bio-based polymer blends constituting of poly(3-hydroxybutyrate) (PHB) and natural rubber (NR), prepared </w:t>
      </w:r>
      <w:r w:rsidRPr="00EB378E">
        <w:rPr>
          <w:rFonts w:ascii="Times New Roman" w:eastAsia="Calibri" w:hAnsi="Times New Roman"/>
          <w:i/>
          <w:iCs/>
          <w:sz w:val="20"/>
          <w:szCs w:val="20"/>
          <w:lang w:eastAsia="en-MY"/>
        </w:rPr>
        <w:t>via</w:t>
      </w:r>
      <w:r w:rsidRPr="00EB378E">
        <w:rPr>
          <w:rFonts w:ascii="Times New Roman" w:eastAsia="Calibri" w:hAnsi="Times New Roman"/>
          <w:sz w:val="20"/>
          <w:szCs w:val="20"/>
          <w:lang w:eastAsia="en-MY"/>
        </w:rPr>
        <w:t xml:space="preserve"> solvent casting technique have been studied. Various ratios of 80:20, 60:40, 40:60 and 20:80 (wt./wt.) of NR/PHB were investigated. The IR spectra of the blend samples did not show any chemical interaction between the components. X-ray diffraction (XRD) confirmed that the crystallinity of the samples increased as the ratio of PHB is increased in the blend. Thermal stability and thermal transition of the blend system were characterized by thermogravimetric analysis (TG and DTG) and differential scanning calorimetry (DSC). Thermal stability of the blend samples showed similar characteristics as the original polymers. Meanwhile, two separate glass transition temperatures were observed for the blends, indicating that NR and PHB are immiscible. Polarized optical microscopy (POM) revealed inconsistent growth of PHB spherulite in the blends after subjected to annealing. The results indicated that NR obstructs the regular arrangement of the ring banded spherulite.</w:t>
      </w:r>
    </w:p>
    <w:p w14:paraId="49F833C8" w14:textId="77777777" w:rsidR="00EB378E" w:rsidRPr="00EB378E" w:rsidRDefault="00EB378E" w:rsidP="00EB378E">
      <w:pPr>
        <w:spacing w:after="0"/>
        <w:jc w:val="both"/>
        <w:rPr>
          <w:rFonts w:ascii="Times New Roman" w:eastAsia="Calibri" w:hAnsi="Times New Roman"/>
          <w:b/>
          <w:bCs/>
          <w:sz w:val="20"/>
          <w:szCs w:val="20"/>
          <w:lang w:eastAsia="en-MY"/>
        </w:rPr>
      </w:pPr>
    </w:p>
    <w:p w14:paraId="51E76136" w14:textId="77777777" w:rsidR="00EB378E" w:rsidRPr="00EB378E" w:rsidRDefault="00EB378E" w:rsidP="00EB378E">
      <w:pPr>
        <w:spacing w:after="0"/>
        <w:jc w:val="both"/>
        <w:rPr>
          <w:rFonts w:ascii="Times New Roman" w:eastAsia="Calibri" w:hAnsi="Times New Roman"/>
          <w:b/>
          <w:bCs/>
          <w:sz w:val="20"/>
          <w:szCs w:val="20"/>
          <w:lang w:eastAsia="en-MY"/>
        </w:rPr>
      </w:pPr>
      <w:r w:rsidRPr="00EB378E">
        <w:rPr>
          <w:rFonts w:ascii="Times New Roman" w:eastAsia="Calibri" w:hAnsi="Times New Roman"/>
          <w:b/>
          <w:bCs/>
          <w:sz w:val="20"/>
          <w:szCs w:val="20"/>
          <w:lang w:eastAsia="en-MY"/>
        </w:rPr>
        <w:t>Keywords:</w:t>
      </w:r>
      <w:r w:rsidRPr="00EB378E">
        <w:rPr>
          <w:rFonts w:ascii="Times New Roman" w:eastAsia="Calibri" w:hAnsi="Times New Roman"/>
          <w:sz w:val="20"/>
          <w:szCs w:val="20"/>
          <w:lang w:eastAsia="en-MY"/>
        </w:rPr>
        <w:t xml:space="preserve">  natural rubber, poly-3-hydroxybutyrate, blending, solvent casting, miscibility</w:t>
      </w:r>
    </w:p>
    <w:p w14:paraId="3489417D" w14:textId="77777777" w:rsidR="00EB378E" w:rsidRPr="00EB378E" w:rsidRDefault="00EB378E" w:rsidP="00EB378E">
      <w:pPr>
        <w:spacing w:after="0"/>
        <w:jc w:val="center"/>
        <w:rPr>
          <w:rFonts w:ascii="Times New Roman" w:eastAsia="Calibri" w:hAnsi="Times New Roman"/>
          <w:b/>
          <w:bCs/>
          <w:sz w:val="20"/>
          <w:szCs w:val="20"/>
          <w:lang w:eastAsia="en-MY"/>
        </w:rPr>
      </w:pPr>
    </w:p>
    <w:p w14:paraId="10A22F55" w14:textId="77777777" w:rsidR="00EB378E" w:rsidRPr="00EB378E" w:rsidRDefault="00EB378E" w:rsidP="00EB378E">
      <w:pPr>
        <w:spacing w:after="0"/>
        <w:jc w:val="center"/>
        <w:rPr>
          <w:rFonts w:ascii="Times New Roman" w:eastAsia="Calibri" w:hAnsi="Times New Roman"/>
          <w:b/>
          <w:bCs/>
          <w:noProof/>
          <w:sz w:val="20"/>
          <w:szCs w:val="20"/>
          <w:lang w:val="ms-MY" w:eastAsia="en-MY"/>
        </w:rPr>
      </w:pPr>
      <w:r w:rsidRPr="00EB378E">
        <w:rPr>
          <w:rFonts w:ascii="Times New Roman" w:eastAsia="Calibri" w:hAnsi="Times New Roman"/>
          <w:b/>
          <w:bCs/>
          <w:noProof/>
          <w:sz w:val="20"/>
          <w:szCs w:val="20"/>
          <w:lang w:val="ms-MY" w:eastAsia="en-MY"/>
        </w:rPr>
        <w:t>Abstrak</w:t>
      </w:r>
    </w:p>
    <w:p w14:paraId="38FE77F7" w14:textId="77777777" w:rsidR="00EB378E" w:rsidRPr="00EB378E" w:rsidRDefault="00EB378E" w:rsidP="00EB378E">
      <w:pPr>
        <w:spacing w:after="0"/>
        <w:jc w:val="both"/>
        <w:rPr>
          <w:rFonts w:ascii="Times New Roman" w:eastAsia="Calibri" w:hAnsi="Times New Roman"/>
          <w:b/>
          <w:bCs/>
          <w:noProof/>
          <w:sz w:val="20"/>
          <w:szCs w:val="20"/>
          <w:lang w:val="ms-MY" w:eastAsia="en-MY"/>
        </w:rPr>
      </w:pPr>
      <w:r w:rsidRPr="00EB378E">
        <w:rPr>
          <w:rFonts w:ascii="Times New Roman" w:eastAsia="Calibri" w:hAnsi="Times New Roman"/>
          <w:noProof/>
          <w:sz w:val="20"/>
          <w:szCs w:val="20"/>
          <w:lang w:val="ms-MY" w:eastAsia="en-MY"/>
        </w:rPr>
        <w:t xml:space="preserve">Campuran biopolimer yang terdiri daripada poli-3-hidroksibutirat (PHB) dan getah asli (NR), telah dikaji dan disintesis melalui teknik acuan pelarut. Pelbagai nisbah 80:20, 60:40, 40:60 dan 20:80 (wt./wt.) NR/PHB telah dikaji. Spektrum IR bagi sampel campuran tidak menunjukkan interaksi kimia antara komponen. Pembelauan sinar-X (XRD) mengesahkan bahawa kristaliniti sampel meningkat apabila nisbah PHB meningkat dalam campuran. Kestabilan terma dan peralihan terma bagi sistem campuran telah dianalisis menggunakan termogravimetri (TG dan DTG) dan </w:t>
      </w:r>
      <w:r w:rsidRPr="00EB378E">
        <w:rPr>
          <w:rFonts w:ascii="Times New Roman" w:eastAsia="Calibri" w:hAnsi="Times New Roman"/>
          <w:noProof/>
          <w:sz w:val="20"/>
          <w:szCs w:val="20"/>
          <w:lang w:val="ms-MY" w:eastAsia="en-MY"/>
        </w:rPr>
        <w:lastRenderedPageBreak/>
        <w:t>perbezaan pengimbasan kalorimetri (DSC). Kestabilan terma untuk sampel campuran menunjukkan ciri yang serupa dengan polimer asal. Sementara itu, terdapat dua suhu peralihan kaca untuk campuran yang menunjukkan bahawa NR dan PHB tidak dapat dicampur. Mikroskop optik polarisasi (POM) menunjukkan pertumbuhan sferulit PHB yang tidak konsisten dalam campuran setelah mengalami penyepuhlindapan. Hasil kajian menunjukkan bahawa NR menghalang susunan biasa sferulit berikat cincin.</w:t>
      </w:r>
    </w:p>
    <w:p w14:paraId="154D1F64" w14:textId="77777777" w:rsidR="00EB378E" w:rsidRPr="00EB378E" w:rsidRDefault="00EB378E" w:rsidP="00EB378E">
      <w:pPr>
        <w:spacing w:after="0"/>
        <w:jc w:val="both"/>
        <w:rPr>
          <w:rFonts w:ascii="Times New Roman" w:eastAsia="Calibri" w:hAnsi="Times New Roman"/>
          <w:b/>
          <w:bCs/>
          <w:noProof/>
          <w:sz w:val="20"/>
          <w:szCs w:val="20"/>
          <w:lang w:val="ms-MY" w:eastAsia="en-MY"/>
        </w:rPr>
      </w:pPr>
    </w:p>
    <w:p w14:paraId="484B3860" w14:textId="77777777" w:rsidR="00EB378E" w:rsidRDefault="00EB378E" w:rsidP="00EB378E">
      <w:pPr>
        <w:spacing w:after="0"/>
        <w:jc w:val="both"/>
        <w:rPr>
          <w:rFonts w:ascii="Times New Roman" w:eastAsia="Calibri" w:hAnsi="Times New Roman"/>
          <w:noProof/>
          <w:sz w:val="20"/>
          <w:szCs w:val="20"/>
          <w:lang w:val="ms-MY" w:eastAsia="en-MY"/>
        </w:rPr>
      </w:pPr>
      <w:r w:rsidRPr="00EB378E">
        <w:rPr>
          <w:rFonts w:ascii="Times New Roman" w:eastAsia="Calibri" w:hAnsi="Times New Roman"/>
          <w:b/>
          <w:bCs/>
          <w:noProof/>
          <w:sz w:val="20"/>
          <w:szCs w:val="20"/>
          <w:lang w:val="ms-MY" w:eastAsia="en-MY"/>
        </w:rPr>
        <w:t>Kata kunci:</w:t>
      </w:r>
      <w:r w:rsidRPr="00EB378E">
        <w:rPr>
          <w:rFonts w:ascii="Times New Roman" w:eastAsia="Calibri" w:hAnsi="Times New Roman"/>
          <w:noProof/>
          <w:sz w:val="20"/>
          <w:szCs w:val="20"/>
          <w:lang w:val="ms-MY" w:eastAsia="en-MY"/>
        </w:rPr>
        <w:t xml:space="preserve">  getah asli, poli-3-hidroksibutirat, campuran, acuan pelarut, keterlarutcampura</w:t>
      </w:r>
    </w:p>
    <w:p w14:paraId="14502BA7" w14:textId="77777777" w:rsidR="00EB378E" w:rsidRDefault="00EB378E" w:rsidP="00EB378E">
      <w:pPr>
        <w:spacing w:after="0"/>
        <w:jc w:val="both"/>
        <w:rPr>
          <w:rFonts w:ascii="Times New Roman" w:eastAsia="Calibri" w:hAnsi="Times New Roman"/>
          <w:noProof/>
          <w:sz w:val="20"/>
          <w:szCs w:val="20"/>
          <w:lang w:val="ms-MY" w:eastAsia="en-MY"/>
        </w:rPr>
      </w:pPr>
    </w:p>
    <w:p w14:paraId="4AC89E75" w14:textId="77777777" w:rsidR="00EB378E" w:rsidRDefault="00EB378E" w:rsidP="00EB378E">
      <w:pPr>
        <w:spacing w:after="0"/>
        <w:jc w:val="both"/>
        <w:rPr>
          <w:rFonts w:ascii="Times New Roman" w:eastAsia="Calibri" w:hAnsi="Times New Roman"/>
          <w:noProof/>
          <w:sz w:val="20"/>
          <w:szCs w:val="20"/>
          <w:lang w:val="ms-MY" w:eastAsia="en-MY"/>
        </w:rPr>
      </w:pPr>
    </w:p>
    <w:p w14:paraId="2A93C323" w14:textId="77777777" w:rsidR="00EB378E" w:rsidRPr="00510BA6" w:rsidRDefault="00EB378E" w:rsidP="00EB378E">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01B1E9CA"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eastAsia="Calibri" w:hAnsi="Times New Roman"/>
          <w:sz w:val="20"/>
          <w:szCs w:val="20"/>
          <w:lang w:eastAsia="en-MY"/>
        </w:rPr>
        <w:fldChar w:fldCharType="begin" w:fldLock="1"/>
      </w:r>
      <w:r w:rsidRPr="00EB58B3">
        <w:rPr>
          <w:rFonts w:ascii="Times New Roman" w:eastAsia="Calibri" w:hAnsi="Times New Roman"/>
          <w:sz w:val="20"/>
          <w:szCs w:val="20"/>
          <w:lang w:eastAsia="en-MY"/>
        </w:rPr>
        <w:instrText xml:space="preserve">ADDIN Mendeley Bibliography CSL_BIBLIOGRAPHY </w:instrText>
      </w:r>
      <w:r w:rsidRPr="00EB58B3">
        <w:rPr>
          <w:rFonts w:ascii="Times New Roman" w:eastAsia="Calibri" w:hAnsi="Times New Roman"/>
          <w:sz w:val="20"/>
          <w:szCs w:val="20"/>
          <w:lang w:eastAsia="en-MY"/>
        </w:rPr>
        <w:fldChar w:fldCharType="separate"/>
      </w:r>
      <w:r w:rsidRPr="00EB58B3">
        <w:rPr>
          <w:rFonts w:ascii="Times New Roman" w:hAnsi="Times New Roman"/>
          <w:noProof/>
          <w:sz w:val="20"/>
          <w:szCs w:val="20"/>
        </w:rPr>
        <w:t xml:space="preserve">Notario, B., Pinto, J., Rodriguez-Perez, M. A. (2016). Nanoporous polymeric materials: A new class of materials with enhanced properties. </w:t>
      </w:r>
      <w:r w:rsidRPr="00EB58B3">
        <w:rPr>
          <w:rFonts w:ascii="Times New Roman" w:hAnsi="Times New Roman"/>
          <w:i/>
          <w:iCs/>
          <w:noProof/>
          <w:sz w:val="20"/>
          <w:szCs w:val="20"/>
        </w:rPr>
        <w:t xml:space="preserve">Progress in Materials Science, </w:t>
      </w:r>
      <w:r w:rsidRPr="00EB58B3">
        <w:rPr>
          <w:rFonts w:ascii="Times New Roman" w:hAnsi="Times New Roman"/>
          <w:noProof/>
          <w:sz w:val="20"/>
          <w:szCs w:val="20"/>
        </w:rPr>
        <w:t>78-79: 93-139.</w:t>
      </w:r>
    </w:p>
    <w:p w14:paraId="21629638"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Cavalcante, M. P., Toledo, A. L. M. M., Rodrigues, E. J. R., Neto, R. P. C. and Tavares, M. I. B. (2017). Correlation between traditional techniques and TD-NMR to determine the morphology of PHB/PCL blends. </w:t>
      </w:r>
      <w:r w:rsidRPr="00EB58B3">
        <w:rPr>
          <w:rFonts w:ascii="Times New Roman" w:hAnsi="Times New Roman"/>
          <w:i/>
          <w:iCs/>
          <w:noProof/>
          <w:sz w:val="20"/>
          <w:szCs w:val="20"/>
        </w:rPr>
        <w:t xml:space="preserve">Polymer Testing, </w:t>
      </w:r>
      <w:r w:rsidRPr="00EB58B3">
        <w:rPr>
          <w:rFonts w:ascii="Times New Roman" w:hAnsi="Times New Roman"/>
          <w:noProof/>
          <w:sz w:val="20"/>
          <w:szCs w:val="20"/>
        </w:rPr>
        <w:t>58:159-165.</w:t>
      </w:r>
    </w:p>
    <w:p w14:paraId="5E299FC9"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Golshaei, P. and Güven, O. (2017). Chemical modification of PET surface and subsequent graft copolymerization with poly(N-isopropylacryl</w:t>
      </w:r>
      <w:r>
        <w:rPr>
          <w:rFonts w:ascii="Times New Roman" w:hAnsi="Times New Roman"/>
          <w:noProof/>
          <w:sz w:val="20"/>
          <w:szCs w:val="20"/>
        </w:rPr>
        <w:t xml:space="preserve"> </w:t>
      </w:r>
      <w:r w:rsidRPr="00EB58B3">
        <w:rPr>
          <w:rFonts w:ascii="Times New Roman" w:hAnsi="Times New Roman"/>
          <w:noProof/>
          <w:sz w:val="20"/>
          <w:szCs w:val="20"/>
        </w:rPr>
        <w:t xml:space="preserve">amide). </w:t>
      </w:r>
      <w:r w:rsidRPr="00EB58B3">
        <w:rPr>
          <w:rFonts w:ascii="Times New Roman" w:hAnsi="Times New Roman"/>
          <w:i/>
          <w:iCs/>
          <w:noProof/>
          <w:sz w:val="20"/>
          <w:szCs w:val="20"/>
        </w:rPr>
        <w:t xml:space="preserve">Reactive Functional Polymer, </w:t>
      </w:r>
      <w:r w:rsidRPr="00EB58B3">
        <w:rPr>
          <w:rFonts w:ascii="Times New Roman" w:hAnsi="Times New Roman"/>
          <w:noProof/>
          <w:sz w:val="20"/>
          <w:szCs w:val="20"/>
        </w:rPr>
        <w:t>118: 26-34.</w:t>
      </w:r>
    </w:p>
    <w:p w14:paraId="7DE3D0C3"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Mazzocchetti, L., Scandola, M. and Jiang, Z. (2012). Random copolymerization with a large lactone enhances aliphatic polycarbonate crystallinity.</w:t>
      </w:r>
      <w:r w:rsidRPr="00EB58B3">
        <w:rPr>
          <w:rFonts w:ascii="Times New Roman" w:hAnsi="Times New Roman"/>
          <w:i/>
          <w:iCs/>
          <w:noProof/>
          <w:sz w:val="20"/>
          <w:szCs w:val="20"/>
        </w:rPr>
        <w:t xml:space="preserve"> European Polymer Journal,</w:t>
      </w:r>
      <w:r w:rsidRPr="00EB58B3">
        <w:rPr>
          <w:rFonts w:ascii="Times New Roman" w:hAnsi="Times New Roman"/>
          <w:noProof/>
          <w:sz w:val="20"/>
          <w:szCs w:val="20"/>
        </w:rPr>
        <w:t xml:space="preserve"> 48:1883-1891.</w:t>
      </w:r>
    </w:p>
    <w:p w14:paraId="27CCB483"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Ganji, F. and Abdekhodaie, M. J. (2010). The effects of reaction conditions on block copolymerization of chitosan and poly(ethylene glycol). </w:t>
      </w:r>
      <w:r w:rsidRPr="00EB58B3">
        <w:rPr>
          <w:rFonts w:ascii="Times New Roman" w:hAnsi="Times New Roman"/>
          <w:i/>
          <w:iCs/>
          <w:noProof/>
          <w:sz w:val="20"/>
          <w:szCs w:val="20"/>
        </w:rPr>
        <w:t>Carbohydrate Polymer,</w:t>
      </w:r>
      <w:r w:rsidRPr="00EB58B3">
        <w:rPr>
          <w:rFonts w:ascii="Times New Roman" w:hAnsi="Times New Roman"/>
          <w:noProof/>
          <w:sz w:val="20"/>
          <w:szCs w:val="20"/>
        </w:rPr>
        <w:t xml:space="preserve"> 81: 799-804.</w:t>
      </w:r>
    </w:p>
    <w:p w14:paraId="7335E02D"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Murugan, P., Han, L., Gan, C. Y., Maurer, F. H. J. and Sudesh, K. (2016). A new biological recovery approach for PHA using mealworm, </w:t>
      </w:r>
      <w:r w:rsidRPr="00EB58B3">
        <w:rPr>
          <w:rFonts w:ascii="Times New Roman" w:hAnsi="Times New Roman"/>
          <w:i/>
          <w:iCs/>
          <w:noProof/>
          <w:sz w:val="20"/>
          <w:szCs w:val="20"/>
        </w:rPr>
        <w:t>Tenebrio molitor</w:t>
      </w:r>
      <w:r w:rsidRPr="00EB58B3">
        <w:rPr>
          <w:rFonts w:ascii="Times New Roman" w:hAnsi="Times New Roman"/>
          <w:noProof/>
          <w:sz w:val="20"/>
          <w:szCs w:val="20"/>
        </w:rPr>
        <w:t xml:space="preserve">. </w:t>
      </w:r>
      <w:r w:rsidRPr="00EB58B3">
        <w:rPr>
          <w:rFonts w:ascii="Times New Roman" w:hAnsi="Times New Roman"/>
          <w:i/>
          <w:iCs/>
          <w:noProof/>
          <w:sz w:val="20"/>
          <w:szCs w:val="20"/>
        </w:rPr>
        <w:t xml:space="preserve">Journal of Biotechnology, </w:t>
      </w:r>
      <w:r w:rsidRPr="00EB58B3">
        <w:rPr>
          <w:rFonts w:ascii="Times New Roman" w:hAnsi="Times New Roman"/>
          <w:noProof/>
          <w:sz w:val="20"/>
          <w:szCs w:val="20"/>
        </w:rPr>
        <w:t>239: 98-105.</w:t>
      </w:r>
    </w:p>
    <w:p w14:paraId="74E60F56"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Arrieta, M. P., López, J., López, D., Kenny, J. M. and Peponi, L. (2016). Biodegradable electrospun bionanocomposite fibers based on plasticized PLA–PHB blends reinforced with cellulose nanocrystals. </w:t>
      </w:r>
      <w:r w:rsidRPr="00EB58B3">
        <w:rPr>
          <w:rFonts w:ascii="Times New Roman" w:hAnsi="Times New Roman"/>
          <w:i/>
          <w:iCs/>
          <w:noProof/>
          <w:sz w:val="20"/>
          <w:szCs w:val="20"/>
        </w:rPr>
        <w:t>Industrial Crops Products,</w:t>
      </w:r>
      <w:r w:rsidRPr="00EB58B3">
        <w:rPr>
          <w:rFonts w:ascii="Times New Roman" w:hAnsi="Times New Roman"/>
          <w:noProof/>
          <w:sz w:val="20"/>
          <w:szCs w:val="20"/>
        </w:rPr>
        <w:t xml:space="preserve"> 93: 290-230.</w:t>
      </w:r>
    </w:p>
    <w:p w14:paraId="38E75326"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Tognana, S., Salgueiro, W. and Silva, L. (2016). Spherulitic growth and crystallization kinetics in PHB/DGEBA blends. </w:t>
      </w:r>
      <w:r w:rsidRPr="00EB58B3">
        <w:rPr>
          <w:rFonts w:ascii="Times New Roman" w:hAnsi="Times New Roman"/>
          <w:i/>
          <w:iCs/>
          <w:noProof/>
          <w:sz w:val="20"/>
          <w:szCs w:val="20"/>
        </w:rPr>
        <w:t>Thermochimica Acta,</w:t>
      </w:r>
      <w:r w:rsidRPr="00EB58B3">
        <w:rPr>
          <w:rFonts w:ascii="Times New Roman" w:hAnsi="Times New Roman"/>
          <w:noProof/>
          <w:sz w:val="20"/>
          <w:szCs w:val="20"/>
        </w:rPr>
        <w:t xml:space="preserve"> 623:1-8.</w:t>
      </w:r>
    </w:p>
    <w:p w14:paraId="1D6DAADB"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Cavalheiro, J. M. B.T., Raposo, R. S., de Almeida, M. C. M. D., Teresa Cesário, M., Sevrin, C., Grandfils, C. and da Fonseca, M. M. R. (2012). Effect of cultivation parameters on the production of poly(3-hydroxybutyrate-co-4-hydroxybutyrate) and poly(3-hydroxybutyrate-4-hydroxybutyrate-3-hydroxy valerate) by </w:t>
      </w:r>
      <w:r w:rsidRPr="00EB58B3">
        <w:rPr>
          <w:rFonts w:ascii="Times New Roman" w:hAnsi="Times New Roman"/>
          <w:i/>
          <w:iCs/>
          <w:noProof/>
          <w:sz w:val="20"/>
          <w:szCs w:val="20"/>
        </w:rPr>
        <w:t>Cupriavidus necator</w:t>
      </w:r>
      <w:r w:rsidRPr="00EB58B3">
        <w:rPr>
          <w:rFonts w:ascii="Times New Roman" w:hAnsi="Times New Roman"/>
          <w:noProof/>
          <w:sz w:val="20"/>
          <w:szCs w:val="20"/>
        </w:rPr>
        <w:t xml:space="preserve"> using waste glycerol. </w:t>
      </w:r>
      <w:r w:rsidRPr="00EB58B3">
        <w:rPr>
          <w:rFonts w:ascii="Times New Roman" w:hAnsi="Times New Roman"/>
          <w:i/>
          <w:iCs/>
          <w:noProof/>
          <w:sz w:val="20"/>
          <w:szCs w:val="20"/>
        </w:rPr>
        <w:t>Bioresource Technology,</w:t>
      </w:r>
      <w:r w:rsidRPr="00EB58B3">
        <w:rPr>
          <w:rFonts w:ascii="Times New Roman" w:hAnsi="Times New Roman"/>
          <w:noProof/>
          <w:sz w:val="20"/>
          <w:szCs w:val="20"/>
        </w:rPr>
        <w:t xml:space="preserve"> 111: 391-397.</w:t>
      </w:r>
    </w:p>
    <w:p w14:paraId="13404311"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Hinüber, C., Häussler, L., Vogel, R., Brünig, H., Heinrich, G. and Werner, C. (2011). Hollow fibers made from a poly(3-hydroxybutyrate)/poly-ε-caprolactone blend. </w:t>
      </w:r>
      <w:r w:rsidRPr="00EB58B3">
        <w:rPr>
          <w:rFonts w:ascii="Times New Roman" w:hAnsi="Times New Roman"/>
          <w:i/>
          <w:iCs/>
          <w:noProof/>
          <w:sz w:val="20"/>
          <w:szCs w:val="20"/>
        </w:rPr>
        <w:t>Express Polymer Letter,</w:t>
      </w:r>
      <w:r w:rsidRPr="00EB58B3">
        <w:rPr>
          <w:rFonts w:ascii="Times New Roman" w:hAnsi="Times New Roman"/>
          <w:noProof/>
          <w:sz w:val="20"/>
          <w:szCs w:val="20"/>
        </w:rPr>
        <w:t xml:space="preserve"> 5: 643-652.</w:t>
      </w:r>
    </w:p>
    <w:p w14:paraId="23599CCC"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Garcia-Garcia, D., Ferri, J. M., Boronat, T., Lopez-Martinez, J., Balart, R. (2016). Processing and characterization of binary poly(hydroxybutyrate) (PHB) and poly(caprolactone) (PCL) blends with improved impact properties. </w:t>
      </w:r>
      <w:r w:rsidRPr="00EB58B3">
        <w:rPr>
          <w:rFonts w:ascii="Times New Roman" w:hAnsi="Times New Roman"/>
          <w:i/>
          <w:iCs/>
          <w:noProof/>
          <w:sz w:val="20"/>
          <w:szCs w:val="20"/>
        </w:rPr>
        <w:t>Polymer Bulletin,</w:t>
      </w:r>
      <w:r w:rsidRPr="00EB58B3">
        <w:rPr>
          <w:rFonts w:ascii="Times New Roman" w:hAnsi="Times New Roman"/>
          <w:noProof/>
          <w:sz w:val="20"/>
          <w:szCs w:val="20"/>
        </w:rPr>
        <w:t xml:space="preserve"> 73: 3333-3350.</w:t>
      </w:r>
    </w:p>
    <w:p w14:paraId="3FE10BBC" w14:textId="77777777" w:rsidR="00EB378E" w:rsidRPr="0023356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Goonoo, N., Bhaw-Luximon, A., Passanha, P., Esteves, S., Schönherr, H. and Jhurry, D. (2017). Biomineralization potential and cellular response of PHB and PHBV blends with natural anionic polysaccharides. </w:t>
      </w:r>
      <w:r w:rsidRPr="00EB58B3">
        <w:rPr>
          <w:rFonts w:ascii="Times New Roman" w:hAnsi="Times New Roman"/>
          <w:i/>
          <w:iCs/>
          <w:noProof/>
          <w:sz w:val="20"/>
          <w:szCs w:val="20"/>
        </w:rPr>
        <w:t>Materials Science Engineering C,</w:t>
      </w:r>
      <w:r w:rsidRPr="00EB58B3">
        <w:rPr>
          <w:rFonts w:ascii="Times New Roman" w:hAnsi="Times New Roman"/>
          <w:noProof/>
          <w:sz w:val="20"/>
          <w:szCs w:val="20"/>
        </w:rPr>
        <w:t xml:space="preserve"> 76:13-24.</w:t>
      </w:r>
    </w:p>
    <w:p w14:paraId="77FA7A4B" w14:textId="6A251E0B" w:rsidR="00EB378E" w:rsidRP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Arrieta, M. P., López, J., Rayón, E. and Jiménez, A. (2014). Disintegrability under composting conditions of plasticized PLA–PHB blends. </w:t>
      </w:r>
      <w:r w:rsidRPr="00EB58B3">
        <w:rPr>
          <w:rFonts w:ascii="Times New Roman" w:hAnsi="Times New Roman"/>
          <w:i/>
          <w:iCs/>
          <w:noProof/>
          <w:sz w:val="20"/>
          <w:szCs w:val="20"/>
        </w:rPr>
        <w:t>Polymer Degradation and Stability,</w:t>
      </w:r>
      <w:r w:rsidRPr="00EB58B3">
        <w:rPr>
          <w:rFonts w:ascii="Times New Roman" w:hAnsi="Times New Roman"/>
          <w:noProof/>
          <w:sz w:val="20"/>
          <w:szCs w:val="20"/>
        </w:rPr>
        <w:t xml:space="preserve"> 108: 307-318.</w:t>
      </w:r>
    </w:p>
    <w:p w14:paraId="5F327FF0"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EB58B3">
        <w:rPr>
          <w:rFonts w:ascii="Times New Roman" w:hAnsi="Times New Roman"/>
          <w:noProof/>
          <w:sz w:val="20"/>
          <w:szCs w:val="20"/>
        </w:rPr>
        <w:t xml:space="preserve">Mousavioun, P., Halley, P. J. and Doherty, W. O. S. (2013). Thermophysical properties and rheology of PHB/lignin blends. </w:t>
      </w:r>
      <w:r w:rsidRPr="00EB58B3">
        <w:rPr>
          <w:rFonts w:ascii="Times New Roman" w:hAnsi="Times New Roman"/>
          <w:i/>
          <w:iCs/>
          <w:noProof/>
          <w:sz w:val="20"/>
          <w:szCs w:val="20"/>
        </w:rPr>
        <w:t xml:space="preserve">Industrial Crops Products, </w:t>
      </w:r>
      <w:r w:rsidRPr="00EB58B3">
        <w:rPr>
          <w:rFonts w:ascii="Times New Roman" w:hAnsi="Times New Roman"/>
          <w:noProof/>
          <w:sz w:val="20"/>
          <w:szCs w:val="20"/>
        </w:rPr>
        <w:t>50: 270-275.</w:t>
      </w:r>
    </w:p>
    <w:p w14:paraId="2F62FB39"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Pongsathit, S. and Pattamaprom, C. (2018). Irradiation grafting of natural rubber latex with maleic anhydride and its compatibilization of poly(lactic acid)/natural rubber blends. </w:t>
      </w:r>
      <w:r w:rsidRPr="00441085">
        <w:rPr>
          <w:rFonts w:ascii="Times New Roman" w:hAnsi="Times New Roman"/>
          <w:i/>
          <w:iCs/>
          <w:noProof/>
          <w:sz w:val="20"/>
          <w:szCs w:val="20"/>
        </w:rPr>
        <w:t>Radiation Physics and Chemistry</w:t>
      </w:r>
      <w:r w:rsidRPr="00441085">
        <w:rPr>
          <w:rFonts w:ascii="Times New Roman" w:hAnsi="Times New Roman"/>
          <w:noProof/>
          <w:sz w:val="20"/>
          <w:szCs w:val="20"/>
        </w:rPr>
        <w:t xml:space="preserve"> 144: 13-20.</w:t>
      </w:r>
    </w:p>
    <w:p w14:paraId="034C75CE"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lastRenderedPageBreak/>
        <w:t xml:space="preserve">Bhatt, R., Shah, D., Patel, K. C. and Trivedi, U. (2008) PHA-rubber blends: Synthesis, characterization and biodegradation. </w:t>
      </w:r>
      <w:r w:rsidRPr="00441085">
        <w:rPr>
          <w:rFonts w:ascii="Times New Roman" w:hAnsi="Times New Roman"/>
          <w:i/>
          <w:iCs/>
          <w:noProof/>
          <w:sz w:val="20"/>
          <w:szCs w:val="20"/>
        </w:rPr>
        <w:t>Bioresource Technology,</w:t>
      </w:r>
      <w:r w:rsidRPr="00441085">
        <w:rPr>
          <w:rFonts w:ascii="Times New Roman" w:hAnsi="Times New Roman"/>
          <w:noProof/>
          <w:sz w:val="20"/>
          <w:szCs w:val="20"/>
        </w:rPr>
        <w:t xml:space="preserve"> 99: 4615-4620.</w:t>
      </w:r>
    </w:p>
    <w:p w14:paraId="275006E0"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Ramsay, B. A., Langlade, V., Carreau, P. J. and Juliana, A. (1993). Biodegradability and mechanical properties of poly-(f3-hydroxybutyrate-co-3-hydroxyvalerate)-starch blends. </w:t>
      </w:r>
      <w:r w:rsidRPr="00441085">
        <w:rPr>
          <w:rFonts w:ascii="Times New Roman" w:hAnsi="Times New Roman"/>
          <w:i/>
          <w:iCs/>
          <w:noProof/>
          <w:sz w:val="20"/>
          <w:szCs w:val="20"/>
        </w:rPr>
        <w:t>Applied and Environmental Microbiology,</w:t>
      </w:r>
      <w:r w:rsidRPr="00441085">
        <w:rPr>
          <w:rFonts w:ascii="Times New Roman" w:hAnsi="Times New Roman"/>
          <w:noProof/>
          <w:sz w:val="20"/>
          <w:szCs w:val="20"/>
        </w:rPr>
        <w:t xml:space="preserve"> 59:1242-1246.</w:t>
      </w:r>
    </w:p>
    <w:p w14:paraId="44248B34"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Abdelwahab, M. A., Flynn, A., Chiou, B. S., Imam, S., Orts, W. and Chiellini, E. (2012). Thermal, mechanical and morphological characterization of plasticized PLA-PHB blends. </w:t>
      </w:r>
      <w:r w:rsidRPr="00441085">
        <w:rPr>
          <w:rFonts w:ascii="Times New Roman" w:hAnsi="Times New Roman"/>
          <w:i/>
          <w:iCs/>
          <w:noProof/>
          <w:sz w:val="20"/>
          <w:szCs w:val="20"/>
        </w:rPr>
        <w:t>Polymer Degradation and Stability</w:t>
      </w:r>
      <w:r w:rsidRPr="00441085">
        <w:rPr>
          <w:rFonts w:ascii="Times New Roman" w:hAnsi="Times New Roman"/>
          <w:noProof/>
          <w:sz w:val="20"/>
          <w:szCs w:val="20"/>
        </w:rPr>
        <w:t xml:space="preserve"> 97: 1822-1828.</w:t>
      </w:r>
    </w:p>
    <w:p w14:paraId="48FD33D7"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Rolere, S., Liengprayoon, S., Vaysse, L., Sainte-Beuve, J. and Bonfils, F. (2015). Investigating natural rubber composition with Fourier transform infrared (FT-IR) spectroscopy: A rapid and non-destructive method to determine both protein and lipid contents simultaneously. </w:t>
      </w:r>
      <w:r w:rsidRPr="00441085">
        <w:rPr>
          <w:rFonts w:ascii="Times New Roman" w:hAnsi="Times New Roman"/>
          <w:i/>
          <w:iCs/>
          <w:noProof/>
          <w:sz w:val="20"/>
          <w:szCs w:val="20"/>
        </w:rPr>
        <w:t>Polymer Testing,</w:t>
      </w:r>
      <w:r w:rsidRPr="00441085">
        <w:rPr>
          <w:rFonts w:ascii="Times New Roman" w:hAnsi="Times New Roman"/>
          <w:noProof/>
          <w:sz w:val="20"/>
          <w:szCs w:val="20"/>
        </w:rPr>
        <w:t xml:space="preserve"> 43:83-93.</w:t>
      </w:r>
    </w:p>
    <w:p w14:paraId="34BA92CD"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Li, C., Feng, C., Peng, Z., Gong, W. and Kong, L. (2013) Ammonium-assisted green fabrication of graphene/ natural rubber latex composite. </w:t>
      </w:r>
      <w:r w:rsidRPr="00441085">
        <w:rPr>
          <w:rFonts w:ascii="Times New Roman" w:hAnsi="Times New Roman"/>
          <w:i/>
          <w:iCs/>
          <w:noProof/>
          <w:sz w:val="20"/>
          <w:szCs w:val="20"/>
        </w:rPr>
        <w:t>Polymer Composite,</w:t>
      </w:r>
      <w:r w:rsidRPr="00441085">
        <w:rPr>
          <w:rFonts w:ascii="Times New Roman" w:hAnsi="Times New Roman"/>
          <w:noProof/>
          <w:sz w:val="20"/>
          <w:szCs w:val="20"/>
        </w:rPr>
        <w:t xml:space="preserve"> 34: 88-95.</w:t>
      </w:r>
    </w:p>
    <w:p w14:paraId="749E9830"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Zhijiang, C., Yi, X., Haizheng, Y., Jia, J. and Liu, Y. (2016). Poly(hydroxybutyrate)/cellulose acetate blend nanofiber scaffolds: Preparation, characterization and cytocompatibility. </w:t>
      </w:r>
      <w:r w:rsidRPr="00441085">
        <w:rPr>
          <w:rFonts w:ascii="Times New Roman" w:hAnsi="Times New Roman"/>
          <w:i/>
          <w:iCs/>
          <w:noProof/>
          <w:sz w:val="20"/>
          <w:szCs w:val="20"/>
        </w:rPr>
        <w:t>Materials Science Engineering C,</w:t>
      </w:r>
      <w:r w:rsidRPr="00441085">
        <w:rPr>
          <w:rFonts w:ascii="Times New Roman" w:hAnsi="Times New Roman"/>
          <w:noProof/>
          <w:sz w:val="20"/>
          <w:szCs w:val="20"/>
        </w:rPr>
        <w:t xml:space="preserve"> 58: 757-767.</w:t>
      </w:r>
    </w:p>
    <w:p w14:paraId="034161DA"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Abraham, E., Elbi, P. A., Deepa, B., Jyotishkumar, P., Pothen, L. A., Narine, S. S. and Thomas, S. (2012). X-ray diffraction and biodegradation analysis of green composites of natural rubber/nanocellulose. </w:t>
      </w:r>
      <w:r w:rsidRPr="00441085">
        <w:rPr>
          <w:rFonts w:ascii="Times New Roman" w:hAnsi="Times New Roman"/>
          <w:i/>
          <w:iCs/>
          <w:noProof/>
          <w:sz w:val="20"/>
          <w:szCs w:val="20"/>
        </w:rPr>
        <w:t>Polymer Degradation and Stability,</w:t>
      </w:r>
      <w:r w:rsidRPr="00441085">
        <w:rPr>
          <w:rFonts w:ascii="Times New Roman" w:hAnsi="Times New Roman"/>
          <w:noProof/>
          <w:sz w:val="20"/>
          <w:szCs w:val="20"/>
        </w:rPr>
        <w:t xml:space="preserve"> 97: 2378-2387.</w:t>
      </w:r>
    </w:p>
    <w:p w14:paraId="7E5397C5"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Pazhooh, H. N., Bagheri, R. and Adloo, A. (2017). Fabrication of semi-conductive natural rubber nanocomposites with low copper nanoparticle contents. </w:t>
      </w:r>
      <w:r w:rsidRPr="00441085">
        <w:rPr>
          <w:rFonts w:ascii="Times New Roman" w:hAnsi="Times New Roman"/>
          <w:i/>
          <w:iCs/>
          <w:noProof/>
          <w:sz w:val="20"/>
          <w:szCs w:val="20"/>
        </w:rPr>
        <w:t>Polymer,</w:t>
      </w:r>
      <w:r w:rsidRPr="00441085">
        <w:rPr>
          <w:rFonts w:ascii="Times New Roman" w:hAnsi="Times New Roman"/>
          <w:noProof/>
          <w:sz w:val="20"/>
          <w:szCs w:val="20"/>
        </w:rPr>
        <w:t xml:space="preserve"> 108:135-145.</w:t>
      </w:r>
    </w:p>
    <w:p w14:paraId="67F26DE2"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Zhang, S., Sun, X., Ren, Z., Li, H. and Yan, S. (2015) The development of a bilayer structure of poly(propylene carbonate)/poly(3-hydroxybutyrate) blends from the demixed melt. </w:t>
      </w:r>
      <w:r w:rsidRPr="00441085">
        <w:rPr>
          <w:rFonts w:ascii="Times New Roman" w:hAnsi="Times New Roman"/>
          <w:i/>
          <w:iCs/>
          <w:noProof/>
          <w:sz w:val="20"/>
          <w:szCs w:val="20"/>
        </w:rPr>
        <w:t>Physical Chemistry,</w:t>
      </w:r>
      <w:r w:rsidRPr="00441085">
        <w:rPr>
          <w:rFonts w:ascii="Times New Roman" w:hAnsi="Times New Roman"/>
          <w:noProof/>
          <w:sz w:val="20"/>
          <w:szCs w:val="20"/>
        </w:rPr>
        <w:t xml:space="preserve"> 17: 32225-32231.</w:t>
      </w:r>
    </w:p>
    <w:p w14:paraId="5A6E57AF"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Tan, W. L., Yaakob, N. N., Zainal Abidin, A., Abu Bakar, M. and Abu Bakar, N. H. H. (2016). Metal chloride induced formation of porous polyhydroxybutyrate (PHB) films: Morphology, Thermal properties and crystallinity. </w:t>
      </w:r>
      <w:r w:rsidRPr="00441085">
        <w:rPr>
          <w:rFonts w:ascii="Times New Roman" w:hAnsi="Times New Roman"/>
          <w:i/>
          <w:iCs/>
          <w:noProof/>
          <w:sz w:val="20"/>
          <w:szCs w:val="20"/>
        </w:rPr>
        <w:t>IOP Conference Series Materials Science Engineering,</w:t>
      </w:r>
      <w:r w:rsidRPr="00441085">
        <w:rPr>
          <w:rFonts w:ascii="Times New Roman" w:hAnsi="Times New Roman"/>
          <w:noProof/>
          <w:sz w:val="20"/>
          <w:szCs w:val="20"/>
        </w:rPr>
        <w:t>133: 1-11.</w:t>
      </w:r>
    </w:p>
    <w:p w14:paraId="5626B395" w14:textId="77777777" w:rsidR="00EB378E"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Ma, P., Cai, X., Chen, M., Dong, W. and Lemstra, P. J. (2014). Partially bio-based thermoplastic elastomers by physical blending of poly(hydroxyalkanoate)s and poly(ethylene-co-vinyl acetate). </w:t>
      </w:r>
      <w:r w:rsidRPr="00441085">
        <w:rPr>
          <w:rFonts w:ascii="Times New Roman" w:hAnsi="Times New Roman"/>
          <w:i/>
          <w:iCs/>
          <w:noProof/>
          <w:sz w:val="20"/>
          <w:szCs w:val="20"/>
        </w:rPr>
        <w:t>Express Polymer Letter,</w:t>
      </w:r>
      <w:r w:rsidRPr="00441085">
        <w:rPr>
          <w:rFonts w:ascii="Times New Roman" w:hAnsi="Times New Roman"/>
          <w:noProof/>
          <w:sz w:val="20"/>
          <w:szCs w:val="20"/>
        </w:rPr>
        <w:t xml:space="preserve"> 8: 517-527.</w:t>
      </w:r>
    </w:p>
    <w:p w14:paraId="25C44142" w14:textId="77777777" w:rsidR="00EB378E" w:rsidRPr="00441085" w:rsidRDefault="00EB378E" w:rsidP="00EB378E">
      <w:pPr>
        <w:pStyle w:val="ListParagraph"/>
        <w:numPr>
          <w:ilvl w:val="0"/>
          <w:numId w:val="7"/>
        </w:numPr>
        <w:spacing w:after="0"/>
        <w:ind w:left="360"/>
        <w:contextualSpacing w:val="0"/>
        <w:jc w:val="both"/>
        <w:rPr>
          <w:rFonts w:ascii="Times New Roman" w:hAnsi="Times New Roman"/>
          <w:noProof/>
          <w:sz w:val="20"/>
          <w:szCs w:val="20"/>
        </w:rPr>
      </w:pPr>
      <w:r w:rsidRPr="00441085">
        <w:rPr>
          <w:rFonts w:ascii="Times New Roman" w:hAnsi="Times New Roman"/>
          <w:noProof/>
          <w:sz w:val="20"/>
          <w:szCs w:val="20"/>
        </w:rPr>
        <w:t xml:space="preserve">Pachekoski, W. M., Agnelli, J. A. M. and Belem, L. P. (2009). Thermal, mechanical and morphological properties of poly (hydroxybutyrate) and polypropylene blends after processing. </w:t>
      </w:r>
      <w:r w:rsidRPr="00441085">
        <w:rPr>
          <w:rFonts w:ascii="Times New Roman" w:hAnsi="Times New Roman"/>
          <w:i/>
          <w:iCs/>
          <w:noProof/>
          <w:sz w:val="20"/>
          <w:szCs w:val="20"/>
        </w:rPr>
        <w:t>Materials Resource,</w:t>
      </w:r>
      <w:r w:rsidRPr="00441085">
        <w:rPr>
          <w:rFonts w:ascii="Times New Roman" w:hAnsi="Times New Roman"/>
          <w:noProof/>
          <w:sz w:val="20"/>
          <w:szCs w:val="20"/>
        </w:rPr>
        <w:t xml:space="preserve"> 12: 159-164.</w:t>
      </w:r>
    </w:p>
    <w:p w14:paraId="4AB9FEF1" w14:textId="75084A8E" w:rsidR="00EB378E" w:rsidRDefault="00EB378E" w:rsidP="00EB378E">
      <w:pPr>
        <w:spacing w:after="0"/>
        <w:jc w:val="both"/>
        <w:rPr>
          <w:rFonts w:ascii="Times New Roman" w:eastAsia="Calibri" w:hAnsi="Times New Roman"/>
          <w:noProof/>
          <w:sz w:val="18"/>
          <w:szCs w:val="18"/>
          <w:lang w:val="ms-MY" w:eastAsia="en-MY"/>
        </w:rPr>
        <w:sectPr w:rsidR="00EB378E" w:rsidSect="00EB378E">
          <w:headerReference w:type="even" r:id="rId12"/>
          <w:headerReference w:type="default" r:id="rId13"/>
          <w:footerReference w:type="even" r:id="rId14"/>
          <w:footerReference w:type="default" r:id="rId15"/>
          <w:type w:val="continuous"/>
          <w:pgSz w:w="12240" w:h="15840" w:code="1"/>
          <w:pgMar w:top="1800" w:right="1469" w:bottom="1699" w:left="1440" w:header="706" w:footer="706" w:gutter="0"/>
          <w:pgNumType w:start="0"/>
          <w:cols w:space="708"/>
          <w:docGrid w:linePitch="360"/>
        </w:sectPr>
      </w:pPr>
      <w:r w:rsidRPr="00EB58B3">
        <w:rPr>
          <w:rFonts w:ascii="Times New Roman" w:eastAsia="Calibri" w:hAnsi="Times New Roman"/>
          <w:sz w:val="20"/>
          <w:szCs w:val="20"/>
          <w:lang w:eastAsia="en-MY"/>
        </w:rPr>
        <w:fldChar w:fldCharType="end"/>
      </w:r>
    </w:p>
    <w:p w14:paraId="299D3E74" w14:textId="7495118F" w:rsidR="00EC5D90" w:rsidRPr="00385369" w:rsidRDefault="00EC5D90" w:rsidP="00EC5D90">
      <w:pPr>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081BD" w14:textId="77777777" w:rsidR="00EB378E" w:rsidRDefault="00EB378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6FA6" w14:textId="77777777" w:rsidR="00EB378E" w:rsidRPr="004B43FF" w:rsidRDefault="00EB378E">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6458E" w14:textId="77777777" w:rsidR="00EB378E" w:rsidRDefault="00EB378E"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40 - 52</w:t>
    </w:r>
  </w:p>
  <w:p w14:paraId="405748E7" w14:textId="77777777" w:rsidR="00EB378E" w:rsidRDefault="00EB37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B5CA2" w14:textId="77777777" w:rsidR="00EB378E" w:rsidRPr="00B75BF6" w:rsidRDefault="00EB378E" w:rsidP="008E6968">
    <w:pPr>
      <w:pStyle w:val="Header"/>
      <w:rPr>
        <w:rFonts w:ascii="Times New Roman" w:hAnsi="Times New Roman"/>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1215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121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418FF"/>
    <w:multiLevelType w:val="hybridMultilevel"/>
    <w:tmpl w:val="3CE8F7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21516"/>
    <w:rsid w:val="001573E3"/>
    <w:rsid w:val="00226372"/>
    <w:rsid w:val="002B425B"/>
    <w:rsid w:val="002E284B"/>
    <w:rsid w:val="002F626B"/>
    <w:rsid w:val="00385369"/>
    <w:rsid w:val="003A1F80"/>
    <w:rsid w:val="0044292C"/>
    <w:rsid w:val="00460C95"/>
    <w:rsid w:val="00473CD4"/>
    <w:rsid w:val="00487993"/>
    <w:rsid w:val="005530C1"/>
    <w:rsid w:val="005644C8"/>
    <w:rsid w:val="005F401D"/>
    <w:rsid w:val="006E79D9"/>
    <w:rsid w:val="007D0E08"/>
    <w:rsid w:val="007D0E7F"/>
    <w:rsid w:val="007E2549"/>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DE20A8"/>
    <w:rsid w:val="00E67FF6"/>
    <w:rsid w:val="00EA6DE5"/>
    <w:rsid w:val="00EB378E"/>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7</cp:revision>
  <cp:lastPrinted>2020-04-01T04:48:00Z</cp:lastPrinted>
  <dcterms:created xsi:type="dcterms:W3CDTF">2021-01-31T15:37:00Z</dcterms:created>
  <dcterms:modified xsi:type="dcterms:W3CDTF">2021-02-19T12:32:00Z</dcterms:modified>
</cp:coreProperties>
</file>