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6588F97A" w14:textId="77777777" w:rsidR="007F63BC" w:rsidRPr="001D508F" w:rsidRDefault="007F63BC" w:rsidP="007F63BC">
      <w:pPr>
        <w:spacing w:after="0"/>
        <w:jc w:val="center"/>
        <w:outlineLvl w:val="0"/>
        <w:rPr>
          <w:rFonts w:ascii="Times New Roman" w:hAnsi="Times New Roman"/>
          <w:noProof/>
          <w:sz w:val="28"/>
        </w:rPr>
      </w:pPr>
      <w:r w:rsidRPr="001D508F">
        <w:rPr>
          <w:rFonts w:ascii="Times New Roman" w:hAnsi="Times New Roman"/>
          <w:noProof/>
          <w:sz w:val="28"/>
          <w:szCs w:val="28"/>
        </w:rPr>
        <w:t>MEFENAMIC ACID DETERMINATION IN TABLET FORMULATIONS USING A SELECTIVE AND ACCURATE SPECTROPHOTOMETRIC METHOD BASED ON PRUSSIAN BLUE FORMATION</w:t>
      </w:r>
      <w:r w:rsidRPr="001D508F">
        <w:rPr>
          <w:rFonts w:ascii="Times New Roman" w:hAnsi="Times New Roman"/>
          <w:noProof/>
          <w:sz w:val="28"/>
        </w:rPr>
        <w:t xml:space="preserve"> </w:t>
      </w:r>
    </w:p>
    <w:p w14:paraId="52D7A23F" w14:textId="77777777" w:rsidR="007F63BC" w:rsidRPr="007F63BC" w:rsidRDefault="007F63BC" w:rsidP="007F63BC">
      <w:pPr>
        <w:spacing w:after="0"/>
        <w:jc w:val="center"/>
        <w:outlineLvl w:val="0"/>
        <w:rPr>
          <w:rFonts w:ascii="Times New Roman" w:hAnsi="Times New Roman"/>
          <w:b/>
          <w:noProof/>
          <w:color w:val="548DD4" w:themeColor="text2" w:themeTint="99"/>
          <w:sz w:val="24"/>
          <w:szCs w:val="24"/>
        </w:rPr>
      </w:pPr>
    </w:p>
    <w:p w14:paraId="60FFB8E2" w14:textId="4E432403" w:rsidR="007F63BC" w:rsidRPr="007F63BC" w:rsidRDefault="007F63BC" w:rsidP="007F63BC">
      <w:pPr>
        <w:spacing w:after="0"/>
        <w:jc w:val="center"/>
        <w:outlineLvl w:val="0"/>
        <w:rPr>
          <w:rFonts w:ascii="Times New Roman" w:hAnsi="Times New Roman"/>
          <w:noProof/>
          <w:sz w:val="24"/>
          <w:szCs w:val="24"/>
        </w:rPr>
      </w:pPr>
      <w:r w:rsidRPr="007F63BC">
        <w:rPr>
          <w:rFonts w:ascii="Times New Roman" w:hAnsi="Times New Roman"/>
          <w:noProof/>
          <w:sz w:val="24"/>
          <w:szCs w:val="24"/>
        </w:rPr>
        <w:t>(Penentuan Asid Mefenamik dalam Formulasi Tablet Menggunakan Kaedah Spektrofotometri yang Selektif dan Tepat Berdasarkan Pembentukan Biru Prusian)</w:t>
      </w:r>
    </w:p>
    <w:p w14:paraId="4D649569" w14:textId="77777777" w:rsidR="007F63BC" w:rsidRPr="007F63BC" w:rsidRDefault="007F63BC" w:rsidP="007F63BC">
      <w:pPr>
        <w:spacing w:after="0"/>
        <w:jc w:val="center"/>
        <w:outlineLvl w:val="0"/>
        <w:rPr>
          <w:rFonts w:ascii="Times New Roman" w:hAnsi="Times New Roman"/>
          <w:b/>
          <w:noProof/>
          <w:color w:val="548DD4" w:themeColor="text2" w:themeTint="99"/>
          <w:sz w:val="20"/>
          <w:szCs w:val="20"/>
        </w:rPr>
      </w:pPr>
    </w:p>
    <w:p w14:paraId="26C4B8C9" w14:textId="77777777" w:rsidR="007F63BC" w:rsidRPr="007F63BC" w:rsidRDefault="007F63BC" w:rsidP="007F63BC">
      <w:pPr>
        <w:spacing w:after="0"/>
        <w:jc w:val="center"/>
        <w:outlineLvl w:val="0"/>
        <w:rPr>
          <w:rFonts w:ascii="Times New Roman" w:hAnsi="Times New Roman"/>
          <w:noProof/>
          <w:sz w:val="20"/>
          <w:szCs w:val="20"/>
          <w:vertAlign w:val="superscript"/>
        </w:rPr>
      </w:pPr>
      <w:r w:rsidRPr="007F63BC">
        <w:rPr>
          <w:rFonts w:ascii="Times New Roman" w:hAnsi="Times New Roman"/>
          <w:noProof/>
          <w:sz w:val="20"/>
          <w:szCs w:val="20"/>
        </w:rPr>
        <w:t>Hendri Wasito</w:t>
      </w:r>
      <w:r w:rsidRPr="007F63BC">
        <w:rPr>
          <w:rFonts w:ascii="Times New Roman" w:hAnsi="Times New Roman"/>
          <w:noProof/>
          <w:sz w:val="20"/>
          <w:szCs w:val="20"/>
          <w:vertAlign w:val="superscript"/>
        </w:rPr>
        <w:t>1,2</w:t>
      </w:r>
      <w:r w:rsidRPr="007F63BC">
        <w:rPr>
          <w:rFonts w:ascii="Times New Roman" w:hAnsi="Times New Roman"/>
          <w:noProof/>
          <w:sz w:val="20"/>
          <w:szCs w:val="20"/>
        </w:rPr>
        <w:t>*, Desi Purnamasari</w:t>
      </w:r>
      <w:r w:rsidRPr="007F63BC">
        <w:rPr>
          <w:rFonts w:ascii="Times New Roman" w:hAnsi="Times New Roman"/>
          <w:noProof/>
          <w:sz w:val="20"/>
          <w:szCs w:val="20"/>
          <w:vertAlign w:val="superscript"/>
        </w:rPr>
        <w:t>2</w:t>
      </w:r>
      <w:r w:rsidRPr="007F63BC">
        <w:rPr>
          <w:rFonts w:ascii="Times New Roman" w:hAnsi="Times New Roman"/>
          <w:noProof/>
          <w:sz w:val="20"/>
          <w:szCs w:val="20"/>
        </w:rPr>
        <w:t>, Muhamad Salman Fareza</w:t>
      </w:r>
      <w:r w:rsidRPr="007F63BC">
        <w:rPr>
          <w:rFonts w:ascii="Times New Roman" w:hAnsi="Times New Roman"/>
          <w:noProof/>
          <w:sz w:val="20"/>
          <w:szCs w:val="20"/>
          <w:vertAlign w:val="superscript"/>
        </w:rPr>
        <w:t>1</w:t>
      </w:r>
    </w:p>
    <w:p w14:paraId="63F1B01D" w14:textId="77777777" w:rsidR="007F63BC" w:rsidRPr="001D508F" w:rsidRDefault="007F63BC" w:rsidP="007F63BC">
      <w:pPr>
        <w:spacing w:after="0"/>
        <w:jc w:val="center"/>
        <w:outlineLvl w:val="0"/>
        <w:rPr>
          <w:rFonts w:ascii="Times New Roman" w:hAnsi="Times New Roman"/>
          <w:b/>
          <w:noProof/>
          <w:color w:val="FF0000"/>
          <w:sz w:val="18"/>
          <w:szCs w:val="18"/>
        </w:rPr>
      </w:pPr>
    </w:p>
    <w:p w14:paraId="49FE321C" w14:textId="77777777" w:rsidR="007F63BC" w:rsidRDefault="007F63BC" w:rsidP="007F63BC">
      <w:pPr>
        <w:spacing w:after="0"/>
        <w:jc w:val="center"/>
        <w:outlineLvl w:val="0"/>
        <w:rPr>
          <w:rFonts w:ascii="Times New Roman" w:hAnsi="Times New Roman"/>
          <w:i/>
          <w:noProof/>
          <w:sz w:val="18"/>
          <w:szCs w:val="18"/>
        </w:rPr>
      </w:pPr>
      <w:r w:rsidRPr="001D508F">
        <w:rPr>
          <w:rFonts w:ascii="Times New Roman" w:hAnsi="Times New Roman"/>
          <w:i/>
          <w:noProof/>
          <w:sz w:val="18"/>
          <w:szCs w:val="18"/>
          <w:vertAlign w:val="superscript"/>
        </w:rPr>
        <w:t>1</w:t>
      </w:r>
      <w:r w:rsidRPr="001D508F">
        <w:rPr>
          <w:rFonts w:ascii="Times New Roman" w:hAnsi="Times New Roman"/>
          <w:i/>
          <w:noProof/>
          <w:sz w:val="18"/>
          <w:szCs w:val="18"/>
        </w:rPr>
        <w:t xml:space="preserve">Department of Pharmacy, </w:t>
      </w:r>
    </w:p>
    <w:p w14:paraId="37D53364" w14:textId="77777777" w:rsidR="007F63BC" w:rsidRPr="001D508F" w:rsidRDefault="007F63BC" w:rsidP="007F63BC">
      <w:pPr>
        <w:spacing w:after="0"/>
        <w:jc w:val="center"/>
        <w:outlineLvl w:val="0"/>
        <w:rPr>
          <w:rFonts w:ascii="Times New Roman" w:hAnsi="Times New Roman"/>
          <w:i/>
          <w:noProof/>
          <w:sz w:val="18"/>
          <w:szCs w:val="18"/>
        </w:rPr>
      </w:pPr>
      <w:r w:rsidRPr="001D508F">
        <w:rPr>
          <w:rFonts w:ascii="Times New Roman" w:hAnsi="Times New Roman"/>
          <w:i/>
          <w:noProof/>
          <w:sz w:val="18"/>
          <w:szCs w:val="18"/>
        </w:rPr>
        <w:t xml:space="preserve">Faculty of Health Sciences, Jenderal Soedirman University, Purwokerto 53123, Indonesia </w:t>
      </w:r>
    </w:p>
    <w:p w14:paraId="5CB8B20E" w14:textId="00C968CD" w:rsidR="007F63BC" w:rsidRDefault="007F63BC" w:rsidP="007F63BC">
      <w:pPr>
        <w:spacing w:after="0"/>
        <w:jc w:val="center"/>
        <w:outlineLvl w:val="0"/>
        <w:rPr>
          <w:rFonts w:ascii="Times New Roman" w:hAnsi="Times New Roman"/>
          <w:i/>
          <w:noProof/>
          <w:sz w:val="18"/>
          <w:szCs w:val="18"/>
        </w:rPr>
      </w:pPr>
      <w:r w:rsidRPr="001D508F">
        <w:rPr>
          <w:rFonts w:ascii="Times New Roman" w:hAnsi="Times New Roman"/>
          <w:i/>
          <w:noProof/>
          <w:sz w:val="18"/>
          <w:szCs w:val="18"/>
          <w:vertAlign w:val="superscript"/>
        </w:rPr>
        <w:t>2</w:t>
      </w:r>
      <w:r w:rsidRPr="001D508F">
        <w:rPr>
          <w:rFonts w:ascii="Times New Roman" w:hAnsi="Times New Roman"/>
          <w:i/>
          <w:noProof/>
          <w:sz w:val="18"/>
          <w:szCs w:val="18"/>
        </w:rPr>
        <w:t xml:space="preserve">Analytical Chemistry for Pharmaceutical and Health Research Group, Department of Pharmacy, Faculty of Health Sciences, </w:t>
      </w:r>
    </w:p>
    <w:p w14:paraId="3493AA90" w14:textId="77777777" w:rsidR="007F63BC" w:rsidRPr="001D508F" w:rsidRDefault="007F63BC" w:rsidP="007F63BC">
      <w:pPr>
        <w:spacing w:after="0"/>
        <w:jc w:val="center"/>
        <w:outlineLvl w:val="0"/>
        <w:rPr>
          <w:rFonts w:ascii="Times New Roman" w:hAnsi="Times New Roman"/>
          <w:i/>
          <w:noProof/>
          <w:sz w:val="18"/>
          <w:szCs w:val="18"/>
        </w:rPr>
      </w:pPr>
      <w:r w:rsidRPr="001D508F">
        <w:rPr>
          <w:rFonts w:ascii="Times New Roman" w:hAnsi="Times New Roman"/>
          <w:i/>
          <w:noProof/>
          <w:sz w:val="18"/>
          <w:szCs w:val="18"/>
        </w:rPr>
        <w:t xml:space="preserve">Jenderal Soedirman University, Purwokerto 53123, Indonesia </w:t>
      </w:r>
    </w:p>
    <w:p w14:paraId="20032A3C" w14:textId="77777777" w:rsidR="007F63BC" w:rsidRPr="001D508F" w:rsidRDefault="007F63BC" w:rsidP="007F63BC">
      <w:pPr>
        <w:spacing w:after="0"/>
        <w:jc w:val="center"/>
        <w:outlineLvl w:val="0"/>
        <w:rPr>
          <w:rFonts w:ascii="Times New Roman" w:hAnsi="Times New Roman"/>
          <w:b/>
          <w:noProof/>
          <w:color w:val="548DD4" w:themeColor="text2" w:themeTint="99"/>
          <w:sz w:val="18"/>
          <w:szCs w:val="18"/>
        </w:rPr>
      </w:pPr>
    </w:p>
    <w:p w14:paraId="3478040F" w14:textId="49C62E8E" w:rsidR="007F63BC" w:rsidRPr="001D508F" w:rsidRDefault="007F63BC" w:rsidP="007F63BC">
      <w:pPr>
        <w:spacing w:after="0"/>
        <w:jc w:val="center"/>
        <w:outlineLvl w:val="0"/>
        <w:rPr>
          <w:rFonts w:ascii="Times New Roman" w:hAnsi="Times New Roman"/>
          <w:i/>
          <w:noProof/>
          <w:color w:val="548DD4" w:themeColor="text2" w:themeTint="99"/>
          <w:sz w:val="18"/>
        </w:rPr>
      </w:pPr>
      <w:r w:rsidRPr="001D508F">
        <w:rPr>
          <w:rFonts w:ascii="Times New Roman" w:hAnsi="Times New Roman"/>
          <w:i/>
          <w:noProof/>
          <w:sz w:val="18"/>
          <w:vertAlign w:val="superscript"/>
        </w:rPr>
        <w:t>*</w:t>
      </w:r>
      <w:r w:rsidRPr="001D508F">
        <w:rPr>
          <w:rFonts w:ascii="Times New Roman" w:hAnsi="Times New Roman"/>
          <w:i/>
          <w:noProof/>
          <w:sz w:val="18"/>
        </w:rPr>
        <w:t xml:space="preserve">Corresponding author: </w:t>
      </w:r>
      <w:r>
        <w:rPr>
          <w:rFonts w:ascii="Times New Roman" w:hAnsi="Times New Roman"/>
          <w:i/>
          <w:noProof/>
          <w:sz w:val="18"/>
        </w:rPr>
        <w:t xml:space="preserve"> </w:t>
      </w:r>
      <w:r w:rsidRPr="001D508F">
        <w:rPr>
          <w:rFonts w:ascii="Times New Roman" w:hAnsi="Times New Roman"/>
          <w:i/>
          <w:noProof/>
          <w:sz w:val="18"/>
        </w:rPr>
        <w:t>hendri.wasito@unsoed.ac.id</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12808288"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54165">
        <w:rPr>
          <w:rFonts w:ascii="Times New Roman" w:hAnsi="Times New Roman"/>
          <w:noProof/>
          <w:sz w:val="18"/>
          <w:szCs w:val="18"/>
          <w:lang w:bidi="ar-SA"/>
        </w:rPr>
        <w:t>10 November 2020</w:t>
      </w:r>
      <w:r>
        <w:rPr>
          <w:rFonts w:ascii="Times New Roman" w:hAnsi="Times New Roman"/>
          <w:noProof/>
          <w:sz w:val="18"/>
          <w:szCs w:val="18"/>
          <w:lang w:bidi="ar-SA"/>
        </w:rPr>
        <w:t xml:space="preserve">; Accepted: </w:t>
      </w:r>
      <w:r w:rsidR="00054165">
        <w:rPr>
          <w:rFonts w:ascii="Times New Roman" w:hAnsi="Times New Roman"/>
          <w:noProof/>
          <w:sz w:val="18"/>
          <w:szCs w:val="18"/>
          <w:lang w:bidi="ar-SA"/>
        </w:rPr>
        <w:t>6 January 2021</w:t>
      </w:r>
      <w:r w:rsidR="00F82059">
        <w:rPr>
          <w:rFonts w:ascii="Times New Roman" w:hAnsi="Times New Roman"/>
          <w:noProof/>
          <w:sz w:val="18"/>
          <w:szCs w:val="18"/>
          <w:lang w:bidi="ar-SA"/>
        </w:rPr>
        <w:t xml:space="preserve">; Published:  </w:t>
      </w:r>
      <w:r w:rsidR="00054165">
        <w:rPr>
          <w:rFonts w:ascii="Times New Roman" w:hAnsi="Times New Roman"/>
          <w:noProof/>
          <w:sz w:val="18"/>
          <w:szCs w:val="18"/>
          <w:lang w:bidi="ar-SA"/>
        </w:rPr>
        <w:t>xx February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91E6814" w14:textId="77777777" w:rsidR="007F63BC" w:rsidRPr="001D508F" w:rsidRDefault="007F63BC" w:rsidP="007F63BC">
      <w:pPr>
        <w:spacing w:after="0"/>
        <w:jc w:val="both"/>
        <w:outlineLvl w:val="0"/>
        <w:rPr>
          <w:rFonts w:ascii="Times New Roman" w:hAnsi="Times New Roman"/>
          <w:noProof/>
          <w:sz w:val="18"/>
          <w:szCs w:val="18"/>
        </w:rPr>
      </w:pPr>
      <w:r w:rsidRPr="001D508F">
        <w:rPr>
          <w:rFonts w:ascii="Times New Roman" w:hAnsi="Times New Roman"/>
          <w:noProof/>
          <w:sz w:val="18"/>
          <w:szCs w:val="18"/>
        </w:rPr>
        <w:t>Selective and accurate visible spectrophotometric methods based on Prussian blue formation were successfully developed for the quantitative analysis of mefenamic acid in a tablet. The proposed method showed that visible spectrophotometric measurement at 715 nm under the optimized condition of 15 mmol/L potassium ferricyanide and 2.5 mmol/L ferric chlorides in 0.5 mol/L acetic acids after 15 min</w:t>
      </w:r>
      <w:r>
        <w:rPr>
          <w:rFonts w:ascii="Times New Roman" w:hAnsi="Times New Roman"/>
          <w:noProof/>
          <w:sz w:val="18"/>
          <w:szCs w:val="18"/>
        </w:rPr>
        <w:t>utes</w:t>
      </w:r>
      <w:r w:rsidRPr="001D508F">
        <w:rPr>
          <w:rFonts w:ascii="Times New Roman" w:hAnsi="Times New Roman"/>
          <w:noProof/>
          <w:sz w:val="18"/>
          <w:szCs w:val="18"/>
        </w:rPr>
        <w:t xml:space="preserve"> incubation time. The analytical performance demonstrated good linearity with the squares of correlation coefficient (</w:t>
      </w:r>
      <w:r w:rsidRPr="001D508F">
        <w:rPr>
          <w:rFonts w:ascii="Times New Roman" w:hAnsi="Times New Roman"/>
          <w:i/>
          <w:noProof/>
          <w:sz w:val="18"/>
          <w:szCs w:val="18"/>
        </w:rPr>
        <w:t>r</w:t>
      </w:r>
      <w:r w:rsidRPr="001D508F">
        <w:rPr>
          <w:rFonts w:ascii="Times New Roman" w:hAnsi="Times New Roman"/>
          <w:i/>
          <w:noProof/>
          <w:sz w:val="18"/>
          <w:szCs w:val="18"/>
          <w:vertAlign w:val="superscript"/>
        </w:rPr>
        <w:t>2</w:t>
      </w:r>
      <w:r w:rsidRPr="001D508F">
        <w:rPr>
          <w:rFonts w:ascii="Times New Roman" w:hAnsi="Times New Roman"/>
          <w:noProof/>
          <w:sz w:val="18"/>
          <w:szCs w:val="18"/>
        </w:rPr>
        <w:t xml:space="preserve">) more than 0.99 in the concentration ranges of 3.0-14.0 mg/L with a limit of detection and quantification (LOD and LOQ) were found to be 0.31 mg/L and 1.04 mg/L, respectively. The method also seemed to be selective that proven by small interference with various excipients added. The developed and validated method was suitable for routine analysis of mefenamic acid in real samples of the tablet. </w:t>
      </w:r>
    </w:p>
    <w:p w14:paraId="7E8BA36D" w14:textId="77777777" w:rsidR="007F63BC" w:rsidRPr="001D508F" w:rsidRDefault="007F63BC" w:rsidP="007F63BC">
      <w:pPr>
        <w:spacing w:after="0"/>
        <w:jc w:val="both"/>
        <w:outlineLvl w:val="0"/>
        <w:rPr>
          <w:rFonts w:ascii="Times New Roman" w:hAnsi="Times New Roman"/>
          <w:noProof/>
          <w:sz w:val="18"/>
          <w:szCs w:val="18"/>
        </w:rPr>
      </w:pPr>
    </w:p>
    <w:p w14:paraId="4E097679" w14:textId="0554C472" w:rsidR="007F63BC" w:rsidRPr="001D508F" w:rsidRDefault="007F63BC" w:rsidP="007F63BC">
      <w:pPr>
        <w:spacing w:after="0"/>
        <w:jc w:val="both"/>
        <w:outlineLvl w:val="0"/>
        <w:rPr>
          <w:rFonts w:ascii="Times New Roman" w:hAnsi="Times New Roman"/>
          <w:noProof/>
          <w:color w:val="548DD4" w:themeColor="text2" w:themeTint="99"/>
        </w:rPr>
      </w:pPr>
      <w:r w:rsidRPr="001D508F">
        <w:rPr>
          <w:rFonts w:ascii="Times New Roman" w:hAnsi="Times New Roman"/>
          <w:b/>
          <w:noProof/>
          <w:sz w:val="18"/>
          <w:szCs w:val="18"/>
        </w:rPr>
        <w:t>Keywords</w:t>
      </w:r>
      <w:r w:rsidRPr="001D508F">
        <w:rPr>
          <w:rFonts w:ascii="Times New Roman" w:hAnsi="Times New Roman"/>
          <w:b/>
          <w:bCs/>
          <w:noProof/>
          <w:sz w:val="18"/>
          <w:szCs w:val="18"/>
        </w:rPr>
        <w:t>:</w:t>
      </w:r>
      <w:r w:rsidRPr="001D508F">
        <w:rPr>
          <w:noProof/>
        </w:rPr>
        <w:t xml:space="preserve"> </w:t>
      </w:r>
      <w:r>
        <w:rPr>
          <w:noProof/>
        </w:rPr>
        <w:t xml:space="preserve"> </w:t>
      </w:r>
      <w:r>
        <w:rPr>
          <w:rFonts w:ascii="Times New Roman" w:hAnsi="Times New Roman"/>
          <w:noProof/>
          <w:sz w:val="18"/>
          <w:szCs w:val="18"/>
        </w:rPr>
        <w:t>q</w:t>
      </w:r>
      <w:r w:rsidRPr="001D508F">
        <w:rPr>
          <w:rFonts w:ascii="Times New Roman" w:hAnsi="Times New Roman"/>
          <w:noProof/>
          <w:sz w:val="18"/>
          <w:szCs w:val="18"/>
        </w:rPr>
        <w:t>uantification, mefenamic acid, spectrophotometry, validation</w:t>
      </w:r>
    </w:p>
    <w:p w14:paraId="5C12CCC2" w14:textId="77777777" w:rsidR="007F63BC" w:rsidRPr="001D508F" w:rsidRDefault="007F63BC" w:rsidP="007F63BC">
      <w:pPr>
        <w:spacing w:after="0"/>
        <w:jc w:val="center"/>
        <w:outlineLvl w:val="0"/>
        <w:rPr>
          <w:rFonts w:ascii="Times New Roman" w:hAnsi="Times New Roman"/>
          <w:b/>
          <w:noProof/>
          <w:color w:val="548DD4" w:themeColor="text2" w:themeTint="99"/>
          <w:sz w:val="18"/>
          <w:szCs w:val="18"/>
        </w:rPr>
      </w:pPr>
    </w:p>
    <w:p w14:paraId="58460F48" w14:textId="77777777" w:rsidR="007F63BC" w:rsidRPr="001D508F" w:rsidRDefault="007F63BC" w:rsidP="007F63BC">
      <w:pPr>
        <w:spacing w:after="0"/>
        <w:jc w:val="center"/>
        <w:outlineLvl w:val="0"/>
        <w:rPr>
          <w:rFonts w:ascii="Times New Roman" w:hAnsi="Times New Roman"/>
          <w:b/>
          <w:noProof/>
          <w:sz w:val="18"/>
          <w:szCs w:val="18"/>
        </w:rPr>
      </w:pPr>
      <w:r w:rsidRPr="001D508F">
        <w:rPr>
          <w:rFonts w:ascii="Times New Roman" w:hAnsi="Times New Roman"/>
          <w:b/>
          <w:noProof/>
          <w:sz w:val="18"/>
          <w:szCs w:val="18"/>
        </w:rPr>
        <w:t>Abstrak</w:t>
      </w:r>
    </w:p>
    <w:p w14:paraId="12C53113" w14:textId="77777777" w:rsidR="007F63BC" w:rsidRPr="001D508F" w:rsidRDefault="007F63BC" w:rsidP="007F63BC">
      <w:pPr>
        <w:spacing w:after="0"/>
        <w:jc w:val="both"/>
        <w:outlineLvl w:val="0"/>
        <w:rPr>
          <w:rFonts w:ascii="Times New Roman" w:hAnsi="Times New Roman"/>
          <w:noProof/>
          <w:sz w:val="18"/>
          <w:szCs w:val="18"/>
        </w:rPr>
      </w:pPr>
      <w:r w:rsidRPr="001D508F">
        <w:rPr>
          <w:rFonts w:ascii="Times New Roman" w:hAnsi="Times New Roman"/>
          <w:noProof/>
          <w:sz w:val="18"/>
          <w:szCs w:val="18"/>
        </w:rPr>
        <w:t>Kaedah spektrofotometri kelihatan selektif dan tepat berdasarkan pembentukan biru Prusian berjaya dibangunkan untuk analisis kuantitatif asid mefenami</w:t>
      </w:r>
      <w:r>
        <w:rPr>
          <w:rFonts w:ascii="Times New Roman" w:hAnsi="Times New Roman"/>
          <w:noProof/>
          <w:sz w:val="18"/>
          <w:szCs w:val="18"/>
        </w:rPr>
        <w:t>k</w:t>
      </w:r>
      <w:r w:rsidRPr="001D508F">
        <w:rPr>
          <w:rFonts w:ascii="Times New Roman" w:hAnsi="Times New Roman"/>
          <w:noProof/>
          <w:sz w:val="18"/>
          <w:szCs w:val="18"/>
        </w:rPr>
        <w:t xml:space="preserve"> dalam penyediaan tablet. Kaedah yang dicadangkan menunjukkan bahawa pengukuran optimum spektrofotometri yang dapat dilihat pada 715 nm di bawah keadaan 15 mmol/L kalium feriksianida dan 2.5 mmol/L ferik klorida dalam 0.5 mol/L asid asetik setelah 15 minit masa inkubasi. Prestasi analitikal menunjukkan kelinearan yang baik dengan pekali korelasi (</w:t>
      </w:r>
      <w:r w:rsidRPr="001D508F">
        <w:rPr>
          <w:rFonts w:ascii="Times New Roman" w:hAnsi="Times New Roman"/>
          <w:i/>
          <w:noProof/>
          <w:sz w:val="18"/>
          <w:szCs w:val="18"/>
        </w:rPr>
        <w:t>r</w:t>
      </w:r>
      <w:r w:rsidRPr="001D508F">
        <w:rPr>
          <w:rFonts w:ascii="Times New Roman" w:hAnsi="Times New Roman"/>
          <w:i/>
          <w:noProof/>
          <w:sz w:val="18"/>
          <w:szCs w:val="18"/>
          <w:vertAlign w:val="superscript"/>
        </w:rPr>
        <w:t>2</w:t>
      </w:r>
      <w:r w:rsidRPr="001D508F">
        <w:rPr>
          <w:rFonts w:ascii="Times New Roman" w:hAnsi="Times New Roman"/>
          <w:noProof/>
          <w:sz w:val="18"/>
          <w:szCs w:val="18"/>
        </w:rPr>
        <w:t>) lebih besar daripada 0.99 dalam julat kepekatan 3.0-14.0 mg/L dengan had pengesanan dan kuantifikasi (LOD dan LOQ) masing-masing didapati 0.31 mg/L dan 1.04 mg/L. Kaedah ini juga nampaknya selektif yang terbukti dengan campur tangan kecil dengan pelbagai eksipien yang ditambahkan. Kaedah yang dibangunkan dan disahkan sesuai untuk analisis rutin asid mefenami</w:t>
      </w:r>
      <w:r>
        <w:rPr>
          <w:rFonts w:ascii="Times New Roman" w:hAnsi="Times New Roman"/>
          <w:noProof/>
          <w:sz w:val="18"/>
          <w:szCs w:val="18"/>
        </w:rPr>
        <w:t>k</w:t>
      </w:r>
      <w:r w:rsidRPr="001D508F">
        <w:rPr>
          <w:rFonts w:ascii="Times New Roman" w:hAnsi="Times New Roman"/>
          <w:noProof/>
          <w:sz w:val="18"/>
          <w:szCs w:val="18"/>
        </w:rPr>
        <w:t xml:space="preserve"> pada sampel sebenar tablet.</w:t>
      </w:r>
    </w:p>
    <w:p w14:paraId="31F8594E" w14:textId="77777777" w:rsidR="007F63BC" w:rsidRPr="001D508F" w:rsidRDefault="007F63BC" w:rsidP="007F63BC">
      <w:pPr>
        <w:spacing w:after="0"/>
        <w:jc w:val="both"/>
        <w:outlineLvl w:val="0"/>
        <w:rPr>
          <w:rFonts w:ascii="Times New Roman" w:hAnsi="Times New Roman"/>
          <w:noProof/>
          <w:sz w:val="18"/>
          <w:szCs w:val="18"/>
        </w:rPr>
      </w:pPr>
    </w:p>
    <w:p w14:paraId="15FFFF64" w14:textId="0F814778" w:rsidR="006768E9" w:rsidRPr="007F63BC" w:rsidRDefault="007F63BC" w:rsidP="007F63BC">
      <w:pPr>
        <w:spacing w:after="0"/>
        <w:jc w:val="both"/>
        <w:outlineLvl w:val="0"/>
        <w:rPr>
          <w:rFonts w:ascii="Times New Roman" w:hAnsi="Times New Roman"/>
          <w:b/>
          <w:noProof/>
          <w:color w:val="548DD4" w:themeColor="text2" w:themeTint="99"/>
          <w:szCs w:val="20"/>
        </w:rPr>
      </w:pPr>
      <w:r w:rsidRPr="001D508F">
        <w:rPr>
          <w:rFonts w:ascii="Times New Roman" w:hAnsi="Times New Roman"/>
          <w:b/>
          <w:noProof/>
          <w:sz w:val="18"/>
          <w:szCs w:val="18"/>
        </w:rPr>
        <w:t>Kata kunci:</w:t>
      </w:r>
      <w:r w:rsidRPr="001D508F">
        <w:rPr>
          <w:noProof/>
        </w:rPr>
        <w:t xml:space="preserve"> </w:t>
      </w:r>
      <w:r>
        <w:rPr>
          <w:noProof/>
        </w:rPr>
        <w:t xml:space="preserve"> </w:t>
      </w:r>
      <w:r>
        <w:rPr>
          <w:rFonts w:ascii="Times New Roman" w:hAnsi="Times New Roman"/>
          <w:noProof/>
          <w:sz w:val="18"/>
          <w:szCs w:val="18"/>
        </w:rPr>
        <w:t>k</w:t>
      </w:r>
      <w:r w:rsidRPr="001D508F">
        <w:rPr>
          <w:rFonts w:ascii="Times New Roman" w:hAnsi="Times New Roman"/>
          <w:noProof/>
          <w:sz w:val="18"/>
          <w:szCs w:val="18"/>
        </w:rPr>
        <w:t>uantifikasi, asid mefenam</w:t>
      </w:r>
      <w:r>
        <w:rPr>
          <w:rFonts w:ascii="Times New Roman" w:hAnsi="Times New Roman"/>
          <w:noProof/>
          <w:sz w:val="18"/>
          <w:szCs w:val="18"/>
        </w:rPr>
        <w:t>ik</w:t>
      </w:r>
      <w:r w:rsidRPr="001D508F">
        <w:rPr>
          <w:rFonts w:ascii="Times New Roman" w:hAnsi="Times New Roman"/>
          <w:noProof/>
          <w:sz w:val="18"/>
          <w:szCs w:val="18"/>
        </w:rPr>
        <w:t>, spektrofotometri, pengesahan</w:t>
      </w: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3CB56009" w14:textId="77777777" w:rsidR="0088108D" w:rsidRDefault="0088108D" w:rsidP="002B412F">
      <w:pPr>
        <w:spacing w:after="0"/>
        <w:jc w:val="center"/>
        <w:rPr>
          <w:rFonts w:ascii="Times New Roman" w:hAnsi="Times New Roman"/>
          <w:b/>
          <w:noProof/>
          <w:sz w:val="20"/>
          <w:szCs w:val="20"/>
          <w:lang w:bidi="ar-SA"/>
        </w:rPr>
        <w:sectPr w:rsidR="0088108D"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0DF64B59"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8AECCC8" w14:textId="6D9F7AF7"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Mefenamic acid (Figure 1) is a non-steroidal anti-inflammatory drug (NSAID) that is pharmaceutically used to reduce mild and moderate pain such as headaches, tooth pain, pain after surgery, dysmenorrhea, osteoarthritis, and rheumatoid arthritis. In higher doses, this compound decreases inflammation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{"citationID":"7zTLznxf","properties":{"formattedCitation":"\\super [1]\\nosupersub{}","plainCitation":"[1]","noteIndex":0},"citationItems":[{"id":278,"uris":["http://zotero.org/users/local/r3dkgwH4/items/MGGU7382"],"uri":["http://zotero.org/users/local/r3dkgwH4/items/MGGU7382"],"itemData":{"id":278,"type":"book","publisher":"Pharmaceutical press London","title":"Martindale: the complete drug reference","volume":"3709","author":[{"family":"Sweetman","given":"Sean C"}],"issued":{"date-parts":[["2009"]]}}}],"schema":"https://github.com/citation-style-language/schema/raw/master/csl-citation.json"}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On the other hand, mefenamic acid is formulated in a tablet dosage form for oral administration. Quality control and determination of active substances in pharmaceutical dosage forms must be met the requirement to ensure the quality of drug formulations and support the achievement of expected therapeutic effects. One of the quality requirements is the active compound concentration in the pharmaceutical dosage form that must meet the requirements, as stated in the pharmacopeia or other compendia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{"citationID":"BGzNwPqa","properties":{"formattedCitation":"\\super [2]\\nosupersub{}","plainCitation":"[2]","noteIndex":0},"citationItems":[{"id":279,"uris":["http://zotero.org/users/local/r3dkgwH4/items/ZDSIF77A"],"uri":["http://zotero.org/users/local/r3dkgwH4/items/ZDSIF77A"],"itemData":{"id":279,"type":"paper-conference","event":"United States Pharmacopoeia Convention, Inc., Rockville, MD","page":"342á","title":"Official Monographs","author":[{"family":"XXII","given":"US Pharmacopeia"}],"issued":{"date-parts":[["1990"]]}}}],"schema":"https://github.com/citation-style-language/schema/raw/master/csl-citation.json"}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[2]</w:t>
      </w:r>
      <w:r w:rsidRPr="007F63BC">
        <w:rPr>
          <w:rFonts w:ascii="Times New Roman" w:hAnsi="Times New Roman"/>
          <w:noProof/>
          <w:sz w:val="20"/>
          <w:szCs w:val="20"/>
        </w:rPr>
        <w:fldChar w:fldCharType="end"/>
      </w:r>
      <w:r w:rsidRPr="007F63BC">
        <w:rPr>
          <w:rFonts w:ascii="Times New Roman" w:hAnsi="Times New Roman"/>
          <w:noProof/>
          <w:sz w:val="20"/>
          <w:szCs w:val="20"/>
        </w:rPr>
        <w:t>.</w:t>
      </w:r>
    </w:p>
    <w:p w14:paraId="1A3D54A9" w14:textId="77777777" w:rsidR="007F63BC" w:rsidRPr="007F63BC" w:rsidRDefault="007F63BC" w:rsidP="007F63BC">
      <w:pPr>
        <w:spacing w:after="0"/>
        <w:jc w:val="both"/>
        <w:outlineLvl w:val="0"/>
        <w:rPr>
          <w:rFonts w:ascii="Times New Roman" w:hAnsi="Times New Roman"/>
          <w:noProof/>
          <w:sz w:val="20"/>
          <w:szCs w:val="20"/>
        </w:rPr>
      </w:pPr>
    </w:p>
    <w:p w14:paraId="63A6FB96" w14:textId="2288F171" w:rsidR="007F63BC" w:rsidRP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Numerous analytical methods were performed to determine mefenamic acid in pharmaceutical dosage forms, such as high-performance liquid chromatography (HPLC), titration method, voltammetry, and potentiometry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{"citationID":"yo1FsuPQ","properties":{"formattedCitation":"\\super [3\\uc0\\u8211{}6]\\nosupersub{}","plainCitation":"[3–6]","noteIndex":0},"citationItems":[{"id":280,"uris":["http://zotero.org/users/local/r3dkgwH4/items/2T9CARKL"],"uri":["http://zotero.org/users/local/r3dkgwH4/items/2T9CARKL"],"itemData":{"id":280,"type":"article-journal","abstract":"Non-steroidal anti-inflammatory drugs (NSAIDs) such as piroxicam and mefenamic acid are commonly prescribed to treat inflammation, pain and fever. Similarly acetylsalicylic acid is used to prevent strokes and heart attacks. A rapid and selective method was developed for the simultaneous assay of three NSAIDs and salicylic acid via HPLC with fluorescence detection. The separation was performed using a “dual-mode” gradient (acetonitrile–0.1% aqueous orthophosphoric acid) and the analysis was completed within 7min using an ACE® column C18, 5μm, 150mm×4.6mm. Naproxen was used as internal standard. The proposed method is simple, selective as well as with a good sensitivity reaching LOD lower than 2pmol (0.05μM) and was applied for quantitative analysis in pharmaceuticals and in human serum samples. The mean recovery was more than 95% and the within-day and between-days precisions were found to be satisfactory having RSD within the acceptable limits (&lt;10%).","container-title":"Journal of Chromatography B","DOI":"10.1016/j.jchromb.2007.07.008","ISSN":"1570-0232","issue":"1","journalAbbreviation":"Journal of Chromatography B","language":"en","page":"59-66","source":"ScienceDirect","title":"Determination of non-steroidal anti-inflammatory drugs in pharmaceuticals and human serum by dual-mode gradient HPLC and fluorescence detection","volume":"857","author":[{"family":"Ibrahim","given":"Hany"},{"family":"Boyer","given":"Alexandre"},{"family":"Bouajila","given":"Jalloul"},{"family":"Couderc","given":"François"},{"family":"Nepveu","given":"Françoise"}],"issued":{"date-parts":[["2007",9,15]]}},"label":"page"},{"id":286,"uris":["http://zotero.org/users/local/r3dkgwH4/items/M5Y9PTH3"],"uri":["http://zotero.org/users/local/r3dkgwH4/items/M5Y9PTH3"],"itemData":{"id":286,"type":"article-journal","abstract":"The characteristics, performance and application of membrane sensors based on ion-pair Brilliant Green mefenamate are described. The sensor's response to the mefenamate ion has the sensitivity of (86.0±2.0) mV/pC over the range of 9×10−5–1×10−2mol/L and the detection limit of 4.5×10−5mol/L at pH 8.5–12. The sensor is easily assembled at a relatively low cost and has fast response time (5–10s). The proposed sensor displayed good selectivity for mefenamate ion in the presence of different substances. It was used to determine mefenamic acid in pharmaceuticals.","container-title":"Chinese Chemical Letters","DOI":"10.1016/j.cclet.2013.03.001","ISSN":"1001-8417","issue":"4","journalAbbreviation":"Chinese Chemical Letters","language":"en","page":"315-317","source":"ScienceDirect","title":"Potentiometric determination of mefenamic acid in pharmaceutical formulation by membrane sensor based on ion-pair with basic dye","volume":"24","author":[{"family":"Kormosh","given":"Zholt"},{"family":"Matviychuk","given":"Oksana"}],"issued":{"date-parts":[["2013",4,1]]}},"label":"page"},{"id":284,"uris":["http://zotero.org/users/local/r3dkgwH4/items/ZKIH2BNU"],"uri":["http://zotero.org/users/local/r3dkgwH4/items/ZKIH2BNU"],"itemData":{"id":284,"type":"article-journal","abstract":"A simple sensitive voltammetric method to detect and to determine a nano level anthranilic acid derivative, mefenamic acid has been developed using different voltammetric techniques in pH 5.0 phosphate buffer solutions with ionic strength 0.2M. An enhancement of oxidation peak current for an analyte on the modified paste was observed followed by characterization with atomic mass spectroscopy analysis. The control of various parameters on the drug oxidation current like accumulation time, amount of modifier, pH, scan rate, and concentration was also evaluated. The analytical applications were studied by square wave voltammetry technique. A suitable electro-oxidation mechanism for mefenamic acid at nanoparticles silver-doped titanium dioxide modified carbon paste electrode was proposed. The oxidation peak currents of mefenamic acid concentration was studied using square wave voltammetry technique in the range 1.0 x 10-8 to 3.0 x 10-6 M with a lower detection limit 1.94 nM compared to earlier reported practice. The modified sensor showed an excellent physiological feature, large surface area, remarkable stability, reproducibility by simple preparation process. The proposed method was successfully employed for the determination of mefenamic acid in pharmaceutical and biological samples with good recovery values.","collection-title":"International Conference on Nanotechnology: Ideas, Innovations &amp; Initiatives-2017 (ICN:3i-2017), 6th – 8th December, 2017","container-title":"Materials Today: Proceedings","DOI":"10.1016/j.matpr.2019.06.464","ISSN":"2214-7853","journalAbbreviation":"Materials Today: Proceedings","language":"en","page":"671-678","source":"ScienceDirect","title":"Voltammetric detection and determination of mefenamic acid at silver-doped TiO2 nanoparticles modified electrode","volume":"18","author":[{"family":"Malode","given":"Shweta J."},{"family":"Shetti","given":"Nagaraj P."},{"family":"Kulkarni","given":"Raviraj M."}],"issued":{"date-parts":[["2019",1,1]]}},"label":"page"},{"id":282,"uris":["http://zotero.org/users/local/r3dkgwH4/items/YYAVYWFN"],"uri":["http://zotero.org/users/local/r3dkgwH4/items/YYAVYWFN"],"itemData":{"id":282,"type":"chapter","abstract":"This chapter presents the several methods for the analysis of mefenamic acid. These include titrimetric methods of analysis, electrochemical methods of analysis, spectroscopic methods of analysis, and chromatographic methods of analysis. The titrimetric methods of analysis include non-aqueous titration methods and potentiometric titration methods. Simple photometric method in the visible region is described for the determination of mefenamic acid in its pharmaceutical dosage forms. Various metal ions for the volumetric determination of mefenamic acid are used in the chapter. A potentiometric titration method in nonaqueous media for the determination of some commonly used anti-inflammatory agents. The electrochemical methods of analysis include polarography and conductimetry. The chapter discusses chromatographic methods of analysis some of them are thin-layer chromatography, column chromatography, and gas chromatography. The mefenamic acid can be determined in the body fluids and tissues using two methods, such as spectroscopic methods and chromatographic methods. The chapter reveals that the high-performance liquid chromatography is the most applied procedure for the determination of mefenamic acid in biological fluids.","container-title":"Profiles of Drug Substances, Excipients and Related Methodology","language":"en","note":"DOI: 10.1016/S0099-5428(04)31008-7","page":"281-336","publisher":"Academic Press","source":"ScienceDirect","title":"Mefenamic Acid: Analytical Profile","title-short":"Mefenamic Acid","URL":"http://www.sciencedirect.com/science/article/pii/S0099542804310087","volume":"31","author":[{"family":"Poerwono","given":"Hadi"},{"family":"Widyowati","given":"Retno"},{"family":"Kubo","given":"Hajime"},{"family":"Higashiyama","given":"Kimio"},{"family":"Indrayanto","given":"Gunawan"}],"editor":[{"family":"Brittain","given":"Harry G."}],"accessed":{"date-parts":[["2020",8,4]]},"issued":{"date-parts":[["2005",1,1]]}},"label":"page"}],"schema":"https://github.com/citation-style-language/schema/raw/master/csl-citation.json"}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[3-6]</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Spectrophotometric methods were also developed in UV and visible measurements, as well as derivative and flow injection analysis strategies. This spectrophotometric method was proven to be inexpensive, accurate, and fast in determining active compounds in pharmaceutical products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{"citationID":"7yGhdpmu","properties":{"formattedCitation":"\\super [7\\uc0\\u8211{}12]\\nosupersub{}","plainCitation":"[7–12]","noteIndex":0},"citationItems":[{"id":288,"uris":["http://zotero.org/users/local/r3dkgwH4/items/INVTVU9A"],"uri":["http://zotero.org/users/local/r3dkgwH4/items/INVTVU9A"],"itemData":{"id":288,"type":"article-journal","abstract":"Four new methods are described for the simultaneous determination of mefenamic acid (MEF) and paracetamol (PAR) in their combination. In the first method, ratio spectra derivative method, analytical signals were measured at the wavelengths corresponding to either maximums or minimums for both drugs in the first derivative spectra of the ratio spectra obtained by dividing the standard spectrum of one of two drugs in 0.1 M NaOH:methanol (1:9). In the chemometric techniques, classical least-squares, inverse least-squares and principal component regression (PCR), the training was randomly prepared by using the different mixture compositions containing two drugs in 0.1 M NaOH:methanol (1:9). The absorbance data was obtained by the measurements at 13 points in the wavelength range 235–355 nm in the absorption spectra. Chemometric calibrations were constructed by the absorbance data and training set for the prediction of the amount of MEF and PAR in samples. In the third chemometric method, PCR, the covariance matrix corresponding to the absorbance data was calculated for the basis vectors and matrix containing the new coordinates. The obtained calibration was used to determine the title drugs in their mixture. Linearity range in all the methods was found to be 2–10 μg/ml of MEF and 4–20 μg/ml of PAR. Mean recoveries were found satisfactory (&gt;99%). The procedures do not require any separation step. These methods were successfully applied to a pharmaceutical formulation, tablet, and the results were compared with each other.","container-title":"Journal of Pharmaceutical and Biomedical Analysis","DOI":"10.1016/S0731-7085(02)00031-6","ISSN":"0731-7085","issue":"6","journalAbbreviation":"Journal of Pharmaceutical and Biomedical Analysis","language":"en","page":"1091-1100","source":"ScienceDirect","title":"Simultaneous spectrophotometric determination of mefenamic acid and paracetamol in a pharmaceutical preparation using ratio spectra derivative spectrophotometry and chemometric methods","volume":"28","author":[{"family":"Dinç","given":"Erdal"},{"family":"Yücesoy","given":"Cem"},{"family":"Onur","given":"Feyyaz"}],"issued":{"date-parts":[["2002",6,15]]}},"label":"page"},{"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label":"page"},{"id":290,"uris":["http://zotero.org/users/local/r3dkgwH4/items/K4Y3QMJK"],"uri":["http://zotero.org/users/local/r3dkgwH4/items/K4Y3QMJK"],"itemData":{"id":290,"type":"article-journal","abstract":"The present paper describes an effective and low-cost spectrophotometric method for the determination of mefenamic acid in its pure form and pharmaceutical preparations. The method is based on the charge-transfer complexation between mefenamic acid as an n-electron donor and chloranil as a π-acceptor to form a violet chromogen measured at 540 nm. Under the optimum conditions, a linear relationship with a good correlation coefficient (0.9996) was found between the absorbance and concentration of the studied drug in the range of 10–60 μg/mL. The optimal reaction conditions such as reagent concentration, heating time, and stability of the reaction product were determined. The limit of detection (LOD) was 2.16 μg/mL and the limit of quantifycation (LOQ) was 7.15 μg/mL. The method was successfully applied to the determination of mefenamic acid in pharmaceutical preparations without any interference from common excipients.","container-title":"Journal of Analytical Chemistry","DOI":"10.1134/S106193480803009X","ISSN":"1608-3199","issue":"3","journalAbbreviation":"J Anal Chem","language":"en","page":"244-247","source":"Springer Link","title":"Spectrophotometric determination of mefenamic acid in pharmaceutical preparations","volume":"63","author":[{"family":"Raza","given":"A."}],"issued":{"date-parts":[["2008",3,1]]}},"label":"page"},{"id":291,"uris":["http://zotero.org/users/local/r3dkgwH4/items/PHJ2TXDQ"],"uri":["http://zotero.org/users/local/r3dkgwH4/items/PHJ2TXDQ"],"itemData":{"id":291,"type":"article-journal","abstract":"A highly sensitive flow injection-chemiluminescence detection (FI-CL) method based on periodate oxidation of two popular luminescent compounds for the determination of mefenamic acid (MFA) is presented. The method is an indirect CL detection method based on the CL emission generated during the oxidation of Pyrogallol (Pg) or Luminol (Lu) with the excess of periodate that remains after oxidation of MFA within the time period of 15min. The MFA calibration curves obtained with either luminescent compounds were linear over a wide concentration range, depending on the system employed, offering detection limits in the range of low to ultra-low μgL−1 levels. Gold nanoparticles (Au-NPs) were also assessed as means for enhancing the CL signal. Pg-periodate was not affected by the presence of gold nanocatalysts as opposed to Lu-periodate CL signal which exhibited a significant increase in the presence of citrate synthesized Au-NPs. The reproducibility of the method, expressed by the relative standard deviation (R.S.D.), was very satisfactory and always below 5% as evidenced by repeated measurements (n≥10) of standard solutions at two concentration levels (2 and 20μgL−1).","container-title":"Talanta","DOI":"10.1016/j.talanta.2009.05.024","ISSN":"0039-9140","issue":"3","journalAbbreviation":"Talanta","language":"en","page":"893-899","source":"ScienceDirect","title":"Indirect chemiluminescence-based detection of mefenamic acid in pharmaceutical formulations by flow injection analysis and effect of gold nanocatalysts","volume":"79","author":[{"family":"Zisimopoulos","given":"Evangelos G."},{"family":"Tsogas","given":"George Z."},{"family":"Giokas","given":"Dimosthenis L."},{"family":"Kapakoglou","given":"Nikolaos I."},{"family":"Vlessidis","given":"Athanasios G."}],"issued":{"date-parts":[["2009",8,15]]}},"label":"page"},{"id":304,"uris":["http://zotero.org/users/local/r3dkgwH4/items/3ATW8W47"],"uri":["http://zotero.org/users/local/r3dkgwH4/items/3ATW8W47"],"itemData":{"id":304,"type":"article-journal","abstract":"In this study, chemotremic methods with the spectrophotometric method was used for simultaneous determination of Trimethoprim (TMP) and Sulfamethoxazole (SMZ) in Co-trimoxazole tablet without the need separation steps. The proposed methods included the least squares support vector machine (LS-SVM) and continuous wavelet transform (CWT). Modeling of suggested methods was tested by synthetic mixtures containing different concentrations of TMP and SMZ. Root mean square error (RMSE) of the LS-SVM model was 0.471 and 0.147 for TMP and SMZ, respectively. On the other hand, in the CWT method, different families of wavelets were studied. The Daubechies (Db2) and Biortogonal (rbio2.2) wavelet families were selected to analyze TMP and SMZ, respectively. In this method, the mean recovery values related to the synthetic mixtures were 99.69 % and 98.15 % for TMP and SMZ, respectively. The obtained results from analyzing the real sample (Co-trimoxazole) by the proposed methods were compared to the high-performance liquid chromatography (HPLC) as a reference method. One-way ANOVA test at the 95 % confidence level was applied to the results. The data showed that there were no significant differences between the proposed and the reference methods.","container-title":"Optik","DOI":"10.1016/j.ijleo.2020.165246","ISSN":"0030-4026","journalAbbreviation":"Optik","language":"en","page":"165246","source":"ScienceDirect","title":"Application of UV/vis spectrophotometry based on using least squares support vector machine and continuous wavelet transform methods for the simultaneous analysis of antibiotics drugs in tablet formulation: Comparison with HPLC method","title-short":"Application of UV/vis spectrophotometry based on using least squares support vector machine and continuous wavelet transform methods for the simultaneous analysis of antibiotics drugs in tablet formulation","volume":"220","author":[{"family":"Mofavvaz","given":"Shirin"},{"family":"Sohrabi","given":"Mahmoud Reza"},{"family":"Heydari","given":"Afsaneh"}],"issued":{"date-parts":[["2020",10,1]]}},"label":"page"},{"id":306,"uris":["http://zotero.org/users/local/r3dkgwH4/items/IUK4D22W"],"uri":["http://zotero.org/users/local/r3dkgwH4/items/IUK4D22W"],"itemData":{"id":306,"type":"article-journal","abstract":"In this study, two drugs named Amlodipine (AML) and Valsartan (VAL) related to the high blood pressure were simultaneously determined in synthetic mixtures and Valzomix tablet. For this purpose, the chemometric-assisted spectrophotometric method was developed without any pre-preparation. Artificial intelligence techniques, including artificial neural network (ANN) and least squares support vector machine (LS-SVM) as chemometrics procedures were proposed. Feed-forward back-propagation neural network (FFBP-NN) with two different algorithms, containing Levenberg–Marquardt (LM) and gradient descent with momentum and adaptive learning rate backpropagation (GDX) was applied. To select the best model, several layers and neurons were investigated. The results revealed that layer = 5 with 6 neurons and layer = 2 with 10 neurons had lower mean square error (MSE) (1.41 × 10−24, 1.16 × 10-23) for AML and VAL, respectively. In the LS-SVM method, gamma (γ) and sigma (σ) parameters were optimized. γ and σ were obtained 50, 30 and 40, 40 with the root mean square error (RMSE) of 0.4290 and 0.5598 for AML and VAL, respectively. Analysis of the pharmaceutical formulation was evaluated through the chemometrics methods and high-performance liquid chromatography (HPLC) as a reference technique. The obtained results were statistically compared with each other using the one-way analysis of variance (ANOVA) test. There were no significant differences between them and the proposed method was satisfactory for estimating the components of the Valzomix tablet.","container-title":"Optik","DOI":"10.1016/j.ijleo.2020.165110","ISSN":"0030-4026","journalAbbreviation":"Optik","language":"en","page":"165110","source":"ScienceDirect","title":"Development of a chemometric-assisted spectrophotometric method for quantitative simultaneous determination of Amlodipine and Valsartan in commercial tablet","volume":"218","author":[{"family":"Darbandi","given":"Atiyeh"},{"family":"Sohrabi","given":"Mahmoud Reza"},{"family":"Bahmaei","given":"Manouchehr"}],"issued":{"date-parts":[["2020",9,1]]}},"label":"page"}],"schema":"https://github.com/citation-style-language/schema/raw/master/csl-citation.json"}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[7-12]</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w:t>
      </w:r>
    </w:p>
    <w:p w14:paraId="180E9338" w14:textId="77777777" w:rsidR="007F63BC" w:rsidRPr="007F63BC" w:rsidRDefault="007F63BC" w:rsidP="007F63BC">
      <w:pPr>
        <w:spacing w:after="0"/>
        <w:jc w:val="both"/>
        <w:outlineLvl w:val="0"/>
        <w:rPr>
          <w:rFonts w:ascii="Times New Roman" w:hAnsi="Times New Roman"/>
          <w:noProof/>
          <w:sz w:val="20"/>
          <w:szCs w:val="20"/>
        </w:rPr>
      </w:pPr>
    </w:p>
    <w:p w14:paraId="02328A23" w14:textId="77777777" w:rsidR="007F63BC" w:rsidRPr="007F63BC" w:rsidRDefault="007F63BC" w:rsidP="007F63BC">
      <w:pPr>
        <w:spacing w:after="120"/>
        <w:jc w:val="center"/>
        <w:outlineLvl w:val="0"/>
        <w:rPr>
          <w:rFonts w:ascii="Times New Roman" w:hAnsi="Times New Roman"/>
          <w:noProof/>
          <w:sz w:val="20"/>
          <w:szCs w:val="20"/>
        </w:rPr>
      </w:pPr>
      <w:r w:rsidRPr="007F63BC">
        <w:rPr>
          <w:rFonts w:ascii="Times New Roman" w:hAnsi="Times New Roman"/>
          <w:noProof/>
          <w:sz w:val="20"/>
          <w:szCs w:val="20"/>
        </w:rPr>
        <w:drawing>
          <wp:inline distT="0" distB="0" distL="0" distR="0" wp14:anchorId="3BEEAD80" wp14:editId="4E82EB14">
            <wp:extent cx="2654300" cy="1486745"/>
            <wp:effectExtent l="0" t="0" r="0" b="0"/>
            <wp:docPr id="1" name="Picture 1" descr="D:\Menulis Jurnal\Jurnal MJAS 2020\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nulis Jurnal\Jurnal MJAS 2020\Figure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5392" cy="1504160"/>
                    </a:xfrm>
                    <a:prstGeom prst="rect">
                      <a:avLst/>
                    </a:prstGeom>
                    <a:noFill/>
                    <a:ln>
                      <a:noFill/>
                    </a:ln>
                  </pic:spPr>
                </pic:pic>
              </a:graphicData>
            </a:graphic>
          </wp:inline>
        </w:drawing>
      </w:r>
    </w:p>
    <w:p w14:paraId="67EA1C6E" w14:textId="09294499" w:rsidR="007F63BC" w:rsidRPr="007F63BC" w:rsidRDefault="007F63BC" w:rsidP="007F63BC">
      <w:pPr>
        <w:spacing w:after="0"/>
        <w:jc w:val="center"/>
        <w:outlineLvl w:val="0"/>
        <w:rPr>
          <w:rFonts w:ascii="Times New Roman" w:hAnsi="Times New Roman"/>
          <w:noProof/>
          <w:sz w:val="20"/>
          <w:szCs w:val="20"/>
        </w:rPr>
      </w:pPr>
      <w:r w:rsidRPr="007F63BC">
        <w:rPr>
          <w:rFonts w:ascii="Times New Roman" w:hAnsi="Times New Roman"/>
          <w:noProof/>
          <w:sz w:val="20"/>
          <w:szCs w:val="20"/>
        </w:rPr>
        <w:t xml:space="preserve">Figure 1. </w:t>
      </w:r>
      <w:r>
        <w:rPr>
          <w:rFonts w:ascii="Times New Roman" w:hAnsi="Times New Roman"/>
          <w:noProof/>
          <w:sz w:val="20"/>
          <w:szCs w:val="20"/>
        </w:rPr>
        <w:t xml:space="preserve"> </w:t>
      </w:r>
      <w:r w:rsidRPr="007F63BC">
        <w:rPr>
          <w:rFonts w:ascii="Times New Roman" w:hAnsi="Times New Roman"/>
          <w:noProof/>
          <w:sz w:val="20"/>
          <w:szCs w:val="20"/>
        </w:rPr>
        <w:t>Chemical structure of mefenamic acid</w:t>
      </w:r>
    </w:p>
    <w:p w14:paraId="1709BA18" w14:textId="77777777" w:rsidR="007F63BC" w:rsidRPr="007F63BC" w:rsidRDefault="007F63BC" w:rsidP="007F63BC">
      <w:pPr>
        <w:spacing w:after="0"/>
        <w:jc w:val="both"/>
        <w:outlineLvl w:val="0"/>
        <w:rPr>
          <w:rFonts w:ascii="Times New Roman" w:hAnsi="Times New Roman"/>
          <w:noProof/>
          <w:sz w:val="20"/>
          <w:szCs w:val="20"/>
        </w:rPr>
      </w:pPr>
    </w:p>
    <w:p w14:paraId="25572B53" w14:textId="51FDB6F2" w:rsidR="007F63BC" w:rsidRP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Spectrophotometry is a simple analytical method for the determination of mefenamic acid in pharmaceutical dosage forms. Determination of active ingredient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compounds in tablet formulation that contains other excipients that can absorb energy in ultraviolet (UV) </w:t>
      </w:r>
      <w:r w:rsidRPr="007F63BC">
        <w:rPr>
          <w:rFonts w:ascii="Times New Roman" w:hAnsi="Times New Roman"/>
          <w:noProof/>
          <w:sz w:val="20"/>
          <w:szCs w:val="20"/>
        </w:rPr>
        <w:t xml:space="preserve">became challenging. For instance, sunset yellow dyes can be detected in both UV and visible areas. In the UV region, this excipient gives absorption at wavelengths of 230 nm and 315 nm. At the same time, absorption at wavelengths of 480 nm in the visible area is observed </w:t>
      </w:r>
      <w:r w:rsidRPr="007F63BC">
        <w:rPr>
          <w:rFonts w:ascii="Times New Roman" w:hAnsi="Times New Roman"/>
          <w:noProof/>
          <w:sz w:val="20"/>
          <w:szCs w:val="20"/>
          <w:lang w:eastAsia="id-ID"/>
        </w:rPr>
        <w:fldChar w:fldCharType="begin"/>
      </w:r>
      <w:r w:rsidRPr="007F63BC">
        <w:rPr>
          <w:rFonts w:ascii="Times New Roman" w:hAnsi="Times New Roman"/>
          <w:noProof/>
          <w:sz w:val="20"/>
          <w:szCs w:val="20"/>
          <w:lang w:eastAsia="id-ID"/>
        </w:rPr>
        <w:instrText xml:space="preserve"> ADDIN ZOTERO_ITEM CSL_CITATION {"citationID":"fjJYRORM","properties":{"formattedCitation":"\\super [13]\\nosupersub{}","plainCitation":"[13]","noteIndex":0},"citationItems":[{"id":296,"uris":["http://zotero.org/users/local/r3dkgwH4/items/QYQME8LG"],"uri":["http://zotero.org/users/local/r3dkgwH4/items/QYQME8LG"],"itemData":{"id":296,"type":"article-journal","container-title":"Journal of the Brazilian Chemical Society","DOI":"10.1590/S0103-50532011000100015","ISSN":"0103-5053","issue":"1","language":"en","note":"publisher: Brazilian Chemical Society","page":"111-119","source":"SciELO","title":"Degradation of food dyes by zero-valent metals exposed to ultrasonic irradiation in water medium: optimization and electrospray ionization mass spectrometry monitoring","title-short":"Degradation of food dyes by zero-valent metals exposed to ultrasonic irradiation in water medium","volume":"22","author":[{"family":"Pavanelli","given":"Sérgio P."},{"family":"Bispo","given":"Glayson Leonardo"},{"family":"Nascentes","given":"Clésia Cristina"},{"family":"Augusti","given":"Rodinei"}],"issued":{"date-parts":[["2011",1]]}}}],"schema":"https://github.com/citation-style-language/schema/raw/master/csl-citation.json"} </w:instrText>
      </w:r>
      <w:r w:rsidRPr="007F63BC">
        <w:rPr>
          <w:rFonts w:ascii="Times New Roman" w:hAnsi="Times New Roman"/>
          <w:noProof/>
          <w:sz w:val="20"/>
          <w:szCs w:val="20"/>
          <w:lang w:eastAsia="id-ID"/>
        </w:rPr>
        <w:fldChar w:fldCharType="separate"/>
      </w:r>
      <w:r w:rsidRPr="007F63BC">
        <w:rPr>
          <w:rFonts w:ascii="Times New Roman" w:hAnsi="Times New Roman"/>
          <w:noProof/>
          <w:sz w:val="20"/>
          <w:szCs w:val="20"/>
        </w:rPr>
        <w:t>[13]</w:t>
      </w:r>
      <w:r w:rsidRPr="007F63BC">
        <w:rPr>
          <w:rFonts w:ascii="Times New Roman" w:hAnsi="Times New Roman"/>
          <w:noProof/>
          <w:sz w:val="20"/>
          <w:szCs w:val="20"/>
          <w:lang w:eastAsia="id-ID"/>
        </w:rPr>
        <w:fldChar w:fldCharType="end"/>
      </w:r>
      <w:r w:rsidRPr="007F63BC">
        <w:rPr>
          <w:rFonts w:ascii="Times New Roman" w:hAnsi="Times New Roman"/>
          <w:noProof/>
          <w:sz w:val="20"/>
          <w:szCs w:val="20"/>
        </w:rPr>
        <w:t>. Therefore, a selective spectrophotometric method is needed to overcome this problem by measuring the absorption in a visible area that not interfering with other excipients.</w:t>
      </w:r>
    </w:p>
    <w:p w14:paraId="689E5A6B" w14:textId="77777777" w:rsidR="007F63BC" w:rsidRDefault="007F63BC" w:rsidP="007F63BC">
      <w:pPr>
        <w:spacing w:after="0"/>
        <w:jc w:val="both"/>
        <w:outlineLvl w:val="0"/>
        <w:rPr>
          <w:rFonts w:ascii="Times New Roman" w:hAnsi="Times New Roman"/>
          <w:noProof/>
          <w:sz w:val="20"/>
          <w:szCs w:val="20"/>
        </w:rPr>
      </w:pPr>
    </w:p>
    <w:p w14:paraId="1C25D729" w14:textId="6B34EE14" w:rsidR="007F63BC" w:rsidRP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Selective strategies that can be developed for determining active compounds in complex matrix samples using spectrophotometric methods are based on the formation of colors that can be analyzed in visible regions. Visible spectrophotometric methods based on the formation of red complexes through the reduction of ferric (Fe</w:t>
      </w:r>
      <w:r w:rsidRPr="007F63BC">
        <w:rPr>
          <w:rFonts w:ascii="Times New Roman" w:hAnsi="Times New Roman"/>
          <w:noProof/>
          <w:sz w:val="20"/>
          <w:szCs w:val="20"/>
          <w:vertAlign w:val="superscript"/>
        </w:rPr>
        <w:t>3+</w:t>
      </w:r>
      <w:r w:rsidRPr="007F63BC">
        <w:rPr>
          <w:rFonts w:ascii="Times New Roman" w:hAnsi="Times New Roman"/>
          <w:noProof/>
          <w:sz w:val="20"/>
          <w:szCs w:val="20"/>
        </w:rPr>
        <w:t>) ions to ferrous (Fe</w:t>
      </w:r>
      <w:r w:rsidRPr="007F63BC">
        <w:rPr>
          <w:rFonts w:ascii="Times New Roman" w:hAnsi="Times New Roman"/>
          <w:noProof/>
          <w:sz w:val="20"/>
          <w:szCs w:val="20"/>
          <w:vertAlign w:val="superscript"/>
        </w:rPr>
        <w:t>2+</w:t>
      </w:r>
      <w:r w:rsidRPr="007F63BC">
        <w:rPr>
          <w:rFonts w:ascii="Times New Roman" w:hAnsi="Times New Roman"/>
          <w:noProof/>
          <w:sz w:val="20"/>
          <w:szCs w:val="20"/>
        </w:rPr>
        <w:t xml:space="preserve">) ions by mefenamic acid followed by complex formation with o-phenanthroline was developed for quantification in pharmaceutical products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{"citationID":"gR2SD84u","properties":{"formattedCitation":"\\super [8]\\nosupersub{}","plainCitation":"[8]","noteIndex":0},"citationItems":[{"id":293,"uris":["http://zotero.org/users/local/r3dkgwH4/items/4I6HZZ2M"],"uri":["http://zotero.org/users/local/r3dkgwH4/items/4I6HZZ2M"],"itemData":{"id":293,"type":"article-journal","abstract":"A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[8]</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Another method for mefenamic acid analysis was based on the formation of N-chlorosuccinimide color through the oxidative coupling reaction of mefenamic acid and 4-amminoantipyrine in the acidic medium </w:t>
      </w:r>
      <w:r w:rsidRPr="007F63BC">
        <w:rPr>
          <w:rFonts w:ascii="Times New Roman" w:hAnsi="Times New Roman"/>
          <w:noProof/>
          <w:sz w:val="20"/>
          <w:szCs w:val="20"/>
          <w:lang w:eastAsia="id-ID"/>
        </w:rPr>
        <w:fldChar w:fldCharType="begin"/>
      </w:r>
      <w:r w:rsidRPr="007F63BC">
        <w:rPr>
          <w:rFonts w:ascii="Times New Roman" w:hAnsi="Times New Roman"/>
          <w:noProof/>
          <w:sz w:val="20"/>
          <w:szCs w:val="20"/>
          <w:lang w:eastAsia="id-ID"/>
        </w:rPr>
        <w:instrText xml:space="preserve"> ADDIN ZOTERO_ITEM CSL_CITATION {"citationID":"IPiZwgG0","properties":{"formattedCitation":"\\super [14]\\nosupersub{}","plainCitation":"[14]","noteIndex":0},"citationItems":[{"id":299,"uris":["http://zotero.org/users/local/r3dkgwH4/items/9TKX6ZX9"],"uri":["http://zotero.org/users/local/r3dkgwH4/items/9TKX6ZX9"],"itemData":{"id":299,"type":"article-journal","container-title":"Pak. J. Anal. Environ. Chem. Vol","issue":"2","journalAbbreviation":"Pak. J. Anal. Environ. Chem. Vol","page":"64-68","title":"Spectrophotometric determination of mefenamic acid via oxidative coupling reaction with 4-amminoantipyrine in presence of N-chlorosuccinimide","volume":"9","author":[{"family":"Othman","given":"Nabeel Sabeh"},{"family":"Awades","given":"Lena Sameer"}],"issued":{"date-parts":[["2008"]]}}}],"schema":"https://github.com/citation-style-language/schema/raw/master/csl-citation.json"} </w:instrText>
      </w:r>
      <w:r w:rsidRPr="007F63BC">
        <w:rPr>
          <w:rFonts w:ascii="Times New Roman" w:hAnsi="Times New Roman"/>
          <w:noProof/>
          <w:sz w:val="20"/>
          <w:szCs w:val="20"/>
          <w:lang w:eastAsia="id-ID"/>
        </w:rPr>
        <w:fldChar w:fldCharType="separate"/>
      </w:r>
      <w:r w:rsidRPr="007F63BC">
        <w:rPr>
          <w:rFonts w:ascii="Times New Roman" w:hAnsi="Times New Roman"/>
          <w:noProof/>
          <w:sz w:val="20"/>
          <w:szCs w:val="20"/>
        </w:rPr>
        <w:t>[14]</w:t>
      </w:r>
      <w:r w:rsidRPr="007F63BC">
        <w:rPr>
          <w:rFonts w:ascii="Times New Roman" w:hAnsi="Times New Roman"/>
          <w:noProof/>
          <w:sz w:val="20"/>
          <w:szCs w:val="20"/>
          <w:lang w:eastAsia="id-ID"/>
        </w:rPr>
        <w:fldChar w:fldCharType="end"/>
      </w:r>
      <w:r w:rsidRPr="007F63BC">
        <w:rPr>
          <w:rFonts w:ascii="Times New Roman" w:hAnsi="Times New Roman"/>
          <w:noProof/>
          <w:sz w:val="20"/>
          <w:szCs w:val="20"/>
        </w:rPr>
        <w:t>. However, visible spectrophotometry methods based on Prussian blue formation have not to be reported previously. This approach is not performed yet because other studies use other chemicals to form colored complex compounds and make it more promising to be developed and investigated.</w:t>
      </w:r>
    </w:p>
    <w:p w14:paraId="723ACD4D" w14:textId="77777777" w:rsidR="007F63BC" w:rsidRDefault="007F63BC" w:rsidP="007F63BC">
      <w:pPr>
        <w:spacing w:after="0"/>
        <w:jc w:val="both"/>
        <w:outlineLvl w:val="0"/>
        <w:rPr>
          <w:rFonts w:ascii="Times New Roman" w:hAnsi="Times New Roman"/>
          <w:noProof/>
          <w:sz w:val="20"/>
          <w:szCs w:val="20"/>
        </w:rPr>
      </w:pPr>
    </w:p>
    <w:p w14:paraId="72BC08B9" w14:textId="0D604460" w:rsidR="007F63BC" w:rsidRP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The development of an analytical method for mefenamic acid determination in tablets based on Prussian blue formation is significantly promising because mefenamic acid has the ability to reduce Fe</w:t>
      </w:r>
      <w:r w:rsidRPr="007F63BC">
        <w:rPr>
          <w:rFonts w:ascii="Times New Roman" w:hAnsi="Times New Roman"/>
          <w:noProof/>
          <w:sz w:val="20"/>
          <w:szCs w:val="20"/>
          <w:vertAlign w:val="superscript"/>
        </w:rPr>
        <w:t>3+</w:t>
      </w:r>
      <w:r w:rsidRPr="007F63BC">
        <w:rPr>
          <w:rFonts w:ascii="Times New Roman" w:hAnsi="Times New Roman"/>
          <w:noProof/>
          <w:sz w:val="20"/>
          <w:szCs w:val="20"/>
        </w:rPr>
        <w:t xml:space="preserve"> to Fe</w:t>
      </w:r>
      <w:r w:rsidRPr="007F63BC">
        <w:rPr>
          <w:rFonts w:ascii="Times New Roman" w:hAnsi="Times New Roman"/>
          <w:noProof/>
          <w:sz w:val="20"/>
          <w:szCs w:val="20"/>
          <w:vertAlign w:val="superscript"/>
        </w:rPr>
        <w:t>2+</w:t>
      </w:r>
      <w:r w:rsidRPr="007F63BC">
        <w:rPr>
          <w:rFonts w:ascii="Times New Roman" w:hAnsi="Times New Roman"/>
          <w:noProof/>
          <w:sz w:val="20"/>
          <w:szCs w:val="20"/>
        </w:rPr>
        <w:t xml:space="preserve"> ions </w:t>
      </w:r>
      <w:r w:rsidRPr="007F63BC">
        <w:rPr>
          <w:rFonts w:ascii="Times New Roman" w:hAnsi="Times New Roman"/>
          <w:noProof/>
          <w:sz w:val="20"/>
          <w:szCs w:val="20"/>
          <w:lang w:eastAsia="id-ID"/>
        </w:rPr>
        <w:fldChar w:fldCharType="begin"/>
      </w:r>
      <w:r w:rsidRPr="007F63BC">
        <w:rPr>
          <w:rFonts w:ascii="Times New Roman" w:hAnsi="Times New Roman"/>
          <w:noProof/>
          <w:sz w:val="20"/>
          <w:szCs w:val="20"/>
          <w:lang w:eastAsia="id-ID"/>
        </w:rPr>
        <w:instrText xml:space="preserve"> ADDIN ZOTERO_ITEM CSL_CITATION {"citationID":"cKhMX7fI","properties":{"formattedCitation":"\\super [8]\\nosupersub{}","plainCitation":"[8]","noteIndex":0},"citationItems":[{"id":293,"uris":["http://zotero.org/users/local/r3dkgwH4/items/4I6HZZ2M"],"uri":["http://zotero.org/users/local/r3dkgwH4/items/4I6HZZ2M"],"itemData":{"id":293,"type":"article-journal","abstract":"A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Ahmed","given":"Nief"}],"issued":{"date-parts":[["2009",9,1]]}}}],"schema":"https://github.com/citation-style-language/schema/raw/master/csl-citation.json"} </w:instrText>
      </w:r>
      <w:r w:rsidRPr="007F63BC">
        <w:rPr>
          <w:rFonts w:ascii="Times New Roman" w:hAnsi="Times New Roman"/>
          <w:noProof/>
          <w:sz w:val="20"/>
          <w:szCs w:val="20"/>
          <w:lang w:eastAsia="id-ID"/>
        </w:rPr>
        <w:fldChar w:fldCharType="separate"/>
      </w:r>
      <w:r w:rsidRPr="007F63BC">
        <w:rPr>
          <w:rFonts w:ascii="Times New Roman" w:hAnsi="Times New Roman"/>
          <w:noProof/>
          <w:sz w:val="20"/>
          <w:szCs w:val="20"/>
        </w:rPr>
        <w:t>[8]</w:t>
      </w:r>
      <w:r w:rsidRPr="007F63BC">
        <w:rPr>
          <w:rFonts w:ascii="Times New Roman" w:hAnsi="Times New Roman"/>
          <w:noProof/>
          <w:sz w:val="20"/>
          <w:szCs w:val="20"/>
          <w:lang w:eastAsia="id-ID"/>
        </w:rPr>
        <w:fldChar w:fldCharType="end"/>
      </w:r>
      <w:r w:rsidRPr="007F63BC">
        <w:rPr>
          <w:rFonts w:ascii="Times New Roman" w:hAnsi="Times New Roman"/>
          <w:noProof/>
          <w:sz w:val="20"/>
          <w:szCs w:val="20"/>
        </w:rPr>
        <w:t>. The presence of Fe</w:t>
      </w:r>
      <w:r w:rsidRPr="007F63BC">
        <w:rPr>
          <w:rFonts w:ascii="Times New Roman" w:hAnsi="Times New Roman"/>
          <w:noProof/>
          <w:sz w:val="20"/>
          <w:szCs w:val="20"/>
          <w:vertAlign w:val="superscript"/>
        </w:rPr>
        <w:t>2+</w:t>
      </w:r>
      <w:r w:rsidRPr="007F63BC">
        <w:rPr>
          <w:rFonts w:ascii="Times New Roman" w:hAnsi="Times New Roman"/>
          <w:noProof/>
          <w:sz w:val="20"/>
          <w:szCs w:val="20"/>
        </w:rPr>
        <w:t xml:space="preserve"> ions can be used to form Prussian blue complexes with potassium ferricyanide. The intense blue colored complex afterward analyzed by visible spectrophotometry method at a visible wavelength </w:t>
      </w:r>
      <w:r w:rsidRPr="007F63BC">
        <w:rPr>
          <w:rFonts w:ascii="Times New Roman" w:hAnsi="Times New Roman"/>
          <w:noProof/>
          <w:sz w:val="20"/>
          <w:szCs w:val="20"/>
          <w:lang w:eastAsia="id-ID"/>
        </w:rPr>
        <w:fldChar w:fldCharType="begin"/>
      </w:r>
      <w:r w:rsidRPr="007F63BC">
        <w:rPr>
          <w:rFonts w:ascii="Times New Roman" w:hAnsi="Times New Roman"/>
          <w:noProof/>
          <w:sz w:val="20"/>
          <w:szCs w:val="20"/>
          <w:lang w:eastAsia="id-ID"/>
        </w:rPr>
        <w:instrText xml:space="preserve"> ADDIN ZOTERO_ITEM CSL_CITATION {"citationID":"QvlxIssg","properties":{"formattedCitation":"\\super [15,16]\\nosupersub{}","plainCitation":"[15,16]","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label":"page"},{"id":301,"uris":["http://zotero.org/users/local/r3dkgwH4/items/9K3RP3RN"],"uri":["http://zotero.org/users/local/r3dkgwH4/items/9K3RP3RN"],"itemData":{"id":301,"type":"article-journal","abstract":"The use of biosensors by using microorganisms such as bacteria have short life cycles and provide other advantages. One colorimetric biosensor technique that has been developed is the use of a biosensor utilizing the incorporation of Prussian blue formation reactions mediated by E. coli bioreactors with ferricyanide. Immobilization is a method that allows the bacteria can be used for long-term without reducing its ability as bioreceptor. This study aimed to develop a novel and rapid immobilized bacterial biosensor for the detection of toxic compound in water and to evaluate their analytical performances. Immobilization of E. coli performed by trapping method using alginate material support. The bacterial suspension was mixed with sodium alginate (1:1 v/v), and the mixture was continuously dropped in CaCl2 solution to be a form of beads. The beads were used as bioreceptor to detect toxicants regarding cadmium, arsenic, mercury, chromium and lead solutions with Prussian blue as a colorimetric indicator. The linearity and sensitivity of detection of beads to the toxicants were tested, the stability of repeated use and storage were evaluated as well. The results showed that E. coli could be immobilized using alginate with response value was correlated with toxic concentration. The developed biosensor was more stable when used repeatedly and could be stored in a long time. The immobilization of E. coli in calcium alginate bead was successfully performed as a biosensor system for monitoring acute toxicity in water.","container-title":"Ecotoxicology and Environmental Safety","DOI":"10.1016/j.ecoenv.2018.11.141","ISSN":"0147-6513","journalAbbreviation":"Ecotoxicology and Environmental Safety","language":"en","page":"205-209","source":"ScienceDirect","title":"Immobilized bacterial biosensor for rapid and effective monitoring of acute toxicity in water","volume":"170","author":[{"family":"Wasito","given":"Hendri"},{"family":"Fatoni","given":"Amin"},{"family":"Hermawan","given":"Dadan"},{"family":"Susilowati","given":"Sri Sutji"}],"issued":{"date-parts":[["2019",4,15]]}},"label":"page"}],"schema":"https://github.com/citation-style-language/schema/raw/master/csl-citation.json"} </w:instrText>
      </w:r>
      <w:r w:rsidRPr="007F63BC">
        <w:rPr>
          <w:rFonts w:ascii="Times New Roman" w:hAnsi="Times New Roman"/>
          <w:noProof/>
          <w:sz w:val="20"/>
          <w:szCs w:val="20"/>
          <w:lang w:eastAsia="id-ID"/>
        </w:rPr>
        <w:fldChar w:fldCharType="separate"/>
      </w:r>
      <w:r w:rsidRPr="007F63BC">
        <w:rPr>
          <w:rFonts w:ascii="Times New Roman" w:hAnsi="Times New Roman"/>
          <w:noProof/>
          <w:sz w:val="20"/>
          <w:szCs w:val="20"/>
        </w:rPr>
        <w:t>[15, 16]</w:t>
      </w:r>
      <w:r w:rsidRPr="007F63BC">
        <w:rPr>
          <w:rFonts w:ascii="Times New Roman" w:hAnsi="Times New Roman"/>
          <w:noProof/>
          <w:sz w:val="20"/>
          <w:szCs w:val="20"/>
          <w:lang w:eastAsia="id-ID"/>
        </w:rPr>
        <w:fldChar w:fldCharType="end"/>
      </w:r>
      <w:r w:rsidRPr="007F63BC">
        <w:rPr>
          <w:rFonts w:ascii="Times New Roman" w:hAnsi="Times New Roman"/>
          <w:noProof/>
          <w:sz w:val="20"/>
          <w:szCs w:val="20"/>
        </w:rPr>
        <w:t xml:space="preserve">. This study aimed to develop and validate a visible spectrophotometric method for mefenamic acid determination in tablet formulations based on Prussian blue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formation.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Optimization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of various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parameters in terms of reaction conditions and other spectrophotometric parameters was observed. </w:t>
      </w:r>
      <w:r w:rsidRPr="007F63BC">
        <w:rPr>
          <w:rFonts w:ascii="Times New Roman" w:hAnsi="Times New Roman"/>
          <w:noProof/>
          <w:sz w:val="20"/>
          <w:szCs w:val="20"/>
        </w:rPr>
        <w:lastRenderedPageBreak/>
        <w:t xml:space="preserve">Comprehensive analytical performances were evaluated based on the guideline for the validation of analytical procedures </w:t>
      </w:r>
      <w:r w:rsidRPr="007F63BC">
        <w:rPr>
          <w:rFonts w:ascii="Times New Roman" w:hAnsi="Times New Roman"/>
          <w:noProof/>
          <w:sz w:val="20"/>
          <w:szCs w:val="20"/>
          <w:lang w:eastAsia="id-ID"/>
        </w:rPr>
        <w:fldChar w:fldCharType="begin"/>
      </w:r>
      <w:r w:rsidRPr="007F63BC">
        <w:rPr>
          <w:rFonts w:ascii="Times New Roman" w:hAnsi="Times New Roman"/>
          <w:noProof/>
          <w:sz w:val="20"/>
          <w:szCs w:val="20"/>
          <w:lang w:eastAsia="id-ID"/>
        </w:rPr>
        <w:instrText xml:space="preserve"> ADDIN ZOTERO_ITEM CSL_CITATION {"citationID":"1oGnxKqg","properties":{"formattedCitation":"\\super [17]\\nosupersub{}","plainCitation":"[17]","noteIndex":0},"citationItems":[{"id":303,"uris":["http://zotero.org/users/local/r3dkgwH4/items/AFE3JZNW"],"uri":["http://zotero.org/users/local/r3dkgwH4/items/AFE3JZNW"],"itemData":{"id":303,"type":"article-journal","container-title":"ICH Quality Guidelines","journalAbbreviation":"ICH Quality Guidelines","note":"publisher: Wiley Online Library","page":"127-166","title":"Q2 (R1) validation of analytical procedures","author":[{"family":"Borman","given":"Phillip"},{"family":"Elder","given":"David"}]}}],"schema":"https://github.com/citation-style-language/schema/raw/master/csl-citation.json"} </w:instrText>
      </w:r>
      <w:r w:rsidRPr="007F63BC">
        <w:rPr>
          <w:rFonts w:ascii="Times New Roman" w:hAnsi="Times New Roman"/>
          <w:noProof/>
          <w:sz w:val="20"/>
          <w:szCs w:val="20"/>
          <w:lang w:eastAsia="id-ID"/>
        </w:rPr>
        <w:fldChar w:fldCharType="separate"/>
      </w:r>
      <w:r w:rsidRPr="007F63BC">
        <w:rPr>
          <w:rFonts w:ascii="Times New Roman" w:hAnsi="Times New Roman"/>
          <w:noProof/>
          <w:sz w:val="20"/>
          <w:szCs w:val="20"/>
        </w:rPr>
        <w:t>[17]</w:t>
      </w:r>
      <w:r w:rsidRPr="007F63BC">
        <w:rPr>
          <w:rFonts w:ascii="Times New Roman" w:hAnsi="Times New Roman"/>
          <w:noProof/>
          <w:sz w:val="20"/>
          <w:szCs w:val="20"/>
          <w:lang w:eastAsia="id-ID"/>
        </w:rPr>
        <w:fldChar w:fldCharType="end"/>
      </w:r>
      <w:r w:rsidRPr="007F63BC">
        <w:rPr>
          <w:rFonts w:ascii="Times New Roman" w:hAnsi="Times New Roman"/>
          <w:noProof/>
          <w:sz w:val="20"/>
          <w:szCs w:val="20"/>
        </w:rPr>
        <w:t>. Additionally, the proposed method was implemented for the quantitative analysis of mefenamic acid in the real samples. The proposed method was easy to handle due to using simple chemicals and instruments and a fast reaction time of 35 minutes. On the other hand, selectivity for other compounds contributing to the redox reaction may be more challenging. However, the application for the determination of mefenamic acid in tablets showed minor interference. The interference of some excipients that were commonly used in the tablet was evaluated in this study.</w:t>
      </w:r>
    </w:p>
    <w:p w14:paraId="32A79054" w14:textId="77777777" w:rsidR="007F63BC" w:rsidRPr="007F63BC" w:rsidRDefault="007F63BC" w:rsidP="007F63BC">
      <w:pPr>
        <w:spacing w:after="0"/>
        <w:jc w:val="center"/>
        <w:outlineLvl w:val="0"/>
        <w:rPr>
          <w:rFonts w:ascii="Times New Roman" w:hAnsi="Times New Roman"/>
          <w:noProof/>
          <w:sz w:val="20"/>
          <w:szCs w:val="20"/>
        </w:rPr>
      </w:pPr>
    </w:p>
    <w:p w14:paraId="6158A860" w14:textId="77777777" w:rsidR="007F63BC" w:rsidRPr="007F63BC" w:rsidRDefault="007F63BC" w:rsidP="007F63BC">
      <w:pPr>
        <w:spacing w:after="0"/>
        <w:jc w:val="center"/>
        <w:outlineLvl w:val="0"/>
        <w:rPr>
          <w:rFonts w:ascii="Times New Roman" w:hAnsi="Times New Roman"/>
          <w:b/>
          <w:noProof/>
          <w:sz w:val="20"/>
          <w:szCs w:val="20"/>
        </w:rPr>
      </w:pPr>
      <w:r w:rsidRPr="007F63BC">
        <w:rPr>
          <w:rFonts w:ascii="Times New Roman" w:hAnsi="Times New Roman"/>
          <w:b/>
          <w:noProof/>
          <w:sz w:val="20"/>
          <w:szCs w:val="20"/>
        </w:rPr>
        <w:t>Materials and Methods</w:t>
      </w:r>
    </w:p>
    <w:p w14:paraId="21405E1E" w14:textId="77777777" w:rsidR="007F63BC" w:rsidRPr="007F63BC" w:rsidRDefault="007F63BC" w:rsidP="007F63BC">
      <w:pPr>
        <w:spacing w:after="0"/>
        <w:jc w:val="both"/>
        <w:outlineLvl w:val="0"/>
        <w:rPr>
          <w:rFonts w:ascii="Times New Roman" w:hAnsi="Times New Roman"/>
          <w:b/>
          <w:noProof/>
          <w:color w:val="548DD4" w:themeColor="text2" w:themeTint="99"/>
          <w:sz w:val="20"/>
          <w:szCs w:val="20"/>
        </w:rPr>
      </w:pPr>
      <w:r w:rsidRPr="007F63BC">
        <w:rPr>
          <w:rFonts w:ascii="Times New Roman" w:hAnsi="Times New Roman"/>
          <w:b/>
          <w:noProof/>
          <w:sz w:val="20"/>
          <w:szCs w:val="20"/>
        </w:rPr>
        <w:t xml:space="preserve">Chemicals </w:t>
      </w:r>
    </w:p>
    <w:p w14:paraId="3D676650" w14:textId="54E30187"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The analytical grade of mefenamic acid standards (purity ≥ 98.5%), ferric chloride (FeCl</w:t>
      </w:r>
      <w:r w:rsidRPr="007F63BC">
        <w:rPr>
          <w:rFonts w:ascii="Times New Roman" w:hAnsi="Times New Roman"/>
          <w:noProof/>
          <w:sz w:val="20"/>
          <w:szCs w:val="20"/>
          <w:vertAlign w:val="subscript"/>
        </w:rPr>
        <w:t>3</w:t>
      </w:r>
      <w:r w:rsidRPr="007F63BC">
        <w:rPr>
          <w:rFonts w:ascii="Times New Roman" w:hAnsi="Times New Roman"/>
          <w:noProof/>
          <w:sz w:val="20"/>
          <w:szCs w:val="20"/>
        </w:rPr>
        <w:t>) (purity 99.0%-102.0%), potassium ferricyanide (K</w:t>
      </w:r>
      <w:r w:rsidRPr="007F63BC">
        <w:rPr>
          <w:rFonts w:ascii="Times New Roman" w:hAnsi="Times New Roman"/>
          <w:noProof/>
          <w:sz w:val="20"/>
          <w:szCs w:val="20"/>
          <w:vertAlign w:val="subscript"/>
        </w:rPr>
        <w:t>3</w:t>
      </w:r>
      <w:r w:rsidRPr="007F63BC">
        <w:rPr>
          <w:rFonts w:ascii="Times New Roman" w:hAnsi="Times New Roman"/>
          <w:noProof/>
          <w:sz w:val="20"/>
          <w:szCs w:val="20"/>
        </w:rPr>
        <w:t>(FeCN6)) (purity ≥ 99.0%), acetic acid (purity ≥ 96.0%), and ethanol (purity ≥ 99.5%) were purchased from Merck (Darmstadt, Germany). The technical grade of distilled water and some excipients, such as talc, starch, and polyvinyl pyrrolidone (PVP), were purchased from Bratachem (Purwokerto, Indonesia). All other chemicals were of analytical grade. Mefenamic acid tablet samples were obtained from the pharmacies in the Purwokerto area.</w:t>
      </w:r>
    </w:p>
    <w:p w14:paraId="23BE69F1" w14:textId="77777777" w:rsidR="007F63BC" w:rsidRPr="007F63BC" w:rsidRDefault="007F63BC" w:rsidP="007F63BC">
      <w:pPr>
        <w:spacing w:after="0"/>
        <w:jc w:val="both"/>
        <w:outlineLvl w:val="0"/>
        <w:rPr>
          <w:rFonts w:ascii="Times New Roman" w:hAnsi="Times New Roman"/>
          <w:noProof/>
          <w:sz w:val="20"/>
          <w:szCs w:val="20"/>
        </w:rPr>
      </w:pPr>
    </w:p>
    <w:p w14:paraId="42CCD47E" w14:textId="77777777" w:rsidR="007F63BC" w:rsidRPr="007F63BC" w:rsidRDefault="007F63BC" w:rsidP="007F63BC">
      <w:pPr>
        <w:spacing w:after="0"/>
        <w:jc w:val="both"/>
        <w:outlineLvl w:val="0"/>
        <w:rPr>
          <w:rFonts w:ascii="Times New Roman" w:hAnsi="Times New Roman"/>
          <w:b/>
          <w:noProof/>
          <w:color w:val="548DD4" w:themeColor="text2" w:themeTint="99"/>
          <w:sz w:val="20"/>
          <w:szCs w:val="20"/>
        </w:rPr>
      </w:pPr>
      <w:r w:rsidRPr="007F63BC">
        <w:rPr>
          <w:rFonts w:ascii="Times New Roman" w:hAnsi="Times New Roman"/>
          <w:b/>
          <w:noProof/>
          <w:sz w:val="20"/>
          <w:szCs w:val="20"/>
        </w:rPr>
        <w:t xml:space="preserve">Instruments </w:t>
      </w:r>
    </w:p>
    <w:p w14:paraId="4700BFE9" w14:textId="5AF30A7B"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UV-Vis 3000 single-beam spectrophotometer (Cecil CE 3021, Cambridge, England) was used for measurements. Analytical balance, shaker incubator Memmert EN 60529 (Schwabach, Germany), pH meter, and micropipette (Socorex, Switzerland) were used for sample preparations.</w:t>
      </w:r>
    </w:p>
    <w:p w14:paraId="38E5F8E9" w14:textId="77777777" w:rsidR="007F63BC" w:rsidRPr="007F63BC" w:rsidRDefault="007F63BC" w:rsidP="007F63BC">
      <w:pPr>
        <w:spacing w:after="0"/>
        <w:jc w:val="both"/>
        <w:outlineLvl w:val="0"/>
        <w:rPr>
          <w:rFonts w:ascii="Times New Roman" w:hAnsi="Times New Roman"/>
          <w:noProof/>
          <w:sz w:val="20"/>
          <w:szCs w:val="20"/>
        </w:rPr>
      </w:pPr>
    </w:p>
    <w:p w14:paraId="02CF3B32" w14:textId="77777777" w:rsidR="007F63BC" w:rsidRPr="007F63BC" w:rsidRDefault="007F63BC" w:rsidP="007F63BC">
      <w:pPr>
        <w:spacing w:after="0"/>
        <w:jc w:val="both"/>
        <w:outlineLvl w:val="0"/>
        <w:rPr>
          <w:rFonts w:ascii="Times New Roman" w:hAnsi="Times New Roman"/>
          <w:b/>
          <w:noProof/>
          <w:color w:val="548DD4" w:themeColor="text2" w:themeTint="99"/>
          <w:sz w:val="20"/>
          <w:szCs w:val="20"/>
        </w:rPr>
      </w:pPr>
      <w:r w:rsidRPr="007F63BC">
        <w:rPr>
          <w:rFonts w:ascii="Times New Roman" w:hAnsi="Times New Roman"/>
          <w:b/>
          <w:noProof/>
          <w:sz w:val="20"/>
          <w:szCs w:val="20"/>
        </w:rPr>
        <w:t>Spectrophotometric determination</w:t>
      </w:r>
    </w:p>
    <w:p w14:paraId="631E8FB4" w14:textId="462185D6"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Mefenamic acid standard solutions and potassium ferricyanide solutions were prepared by accurately weighing each compound, dissolving, and serial dilution into ethanol to obtain appropriate concentration. For instance, 50.0 mg mefenamic acid was dissolved in 50 mL ethanol in a volumetric flask, and then serial dilution was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carried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out by transferring 1.0 mL solutions into 25 mL volumetric flask, and ethanol was added to obtain 40.0 mg/L mefenamic acid standard solutions. The </w:t>
      </w:r>
      <w:r w:rsidRPr="007F63BC">
        <w:rPr>
          <w:rFonts w:ascii="Times New Roman" w:hAnsi="Times New Roman"/>
          <w:noProof/>
          <w:sz w:val="20"/>
          <w:szCs w:val="20"/>
        </w:rPr>
        <w:t>optimized conditions were performed for measuring mefenamic acid concentration using a spectrophotometer based on Prussian blue formation. In brief, 2.0 mL of mefenamic acid solution was reacted with two mL of 15 mmol/L potassium ferricyanide and two mL of 2.5 mmol/L ferric chlorides in 0.5 mol/L acetic acids in a 10.0 mL volumetric flask. Afterward, 50% ethanol was added to make up the mark. The maximum wavelength was determined using a solution without mefenamic acid to confirm other chemicals and solvents' interference in the measurement. The absorbance of the mixture solution was measured using a spectrophotometer after 35 min incubation at room temperature. The wavelength of 715 nm was used for measuring the absorbance against a reagent blank that contained distilled water.</w:t>
      </w:r>
    </w:p>
    <w:p w14:paraId="0D480918" w14:textId="77777777" w:rsidR="007F63BC" w:rsidRPr="007F63BC" w:rsidRDefault="007F63BC" w:rsidP="007F63BC">
      <w:pPr>
        <w:spacing w:after="0"/>
        <w:jc w:val="both"/>
        <w:outlineLvl w:val="0"/>
        <w:rPr>
          <w:rFonts w:ascii="Times New Roman" w:hAnsi="Times New Roman"/>
          <w:noProof/>
          <w:sz w:val="20"/>
          <w:szCs w:val="20"/>
        </w:rPr>
      </w:pPr>
    </w:p>
    <w:p w14:paraId="267BE27B" w14:textId="77777777" w:rsidR="007F63BC" w:rsidRPr="007F63BC" w:rsidRDefault="007F63BC" w:rsidP="007F63BC">
      <w:pPr>
        <w:spacing w:after="0"/>
        <w:jc w:val="both"/>
        <w:outlineLvl w:val="0"/>
        <w:rPr>
          <w:rFonts w:ascii="Times New Roman" w:hAnsi="Times New Roman"/>
          <w:b/>
          <w:noProof/>
          <w:sz w:val="20"/>
          <w:szCs w:val="20"/>
        </w:rPr>
      </w:pPr>
      <w:r w:rsidRPr="007F63BC">
        <w:rPr>
          <w:rFonts w:ascii="Times New Roman" w:hAnsi="Times New Roman"/>
          <w:b/>
          <w:noProof/>
          <w:sz w:val="20"/>
          <w:szCs w:val="20"/>
        </w:rPr>
        <w:t>Analytical method validation</w:t>
      </w:r>
    </w:p>
    <w:p w14:paraId="79AC5D59" w14:textId="1F91A727"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Analytical parameters in terms of linearity, detection limits, quantification limits, accuracy, precision, and selectivity were evaluated for method validation, according to ICH (Q2) R1 guideline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{"citationID":"N0AS9B1q","properties":{"formattedCitation":"\\super [17]\\nosupersub{}","plainCitation":"[17]","noteIndex":0},"citationItems":[{"id":303,"uris":["http://zotero.org/users/local/r3dkgwH4/items/AFE3JZNW"],"uri":["http://zotero.org/users/local/r3dkgwH4/items/AFE3JZNW"],"itemData":{"id":303,"type":"article-journal","container-title":"ICH Quality Guidelines","journalAbbreviation":"ICH Quality Guidelines","note":"publisher: Wiley Online Library","page":"127-166","title":"Q2 (R1) validation of analytical procedures","author":[{"family":"Borman","given":"Phillip"},{"family":"Elder","given":"David"}]}}],"schema":"https://github.com/citation-style-language/schema/raw/master/csl-citation.json"}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[17]</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Linearity study was carried out using five series concentrations of mefenamic acid standard solutions in the range of 3.0 mg/L to 14.0 mg/L. Each concentration was prepared in three replicated and then reacted with ferric chloride in acetic acid solution and potassium ferricyanide under optimized conditions. The absorbance was measured with a spectrophotometer at 715 nm. Subsequently, the calibration curve was prepared based on mefenamic acid concentration and their absorbance value.  Detection and quantitation limits were calculated based on the residual standard deviation value and the calibration curve slope. </w:t>
      </w:r>
    </w:p>
    <w:p w14:paraId="31C636F2" w14:textId="77777777" w:rsidR="007F63BC" w:rsidRPr="007F63BC" w:rsidRDefault="007F63BC" w:rsidP="007F63BC">
      <w:pPr>
        <w:spacing w:after="0"/>
        <w:jc w:val="both"/>
        <w:outlineLvl w:val="0"/>
        <w:rPr>
          <w:rFonts w:ascii="Times New Roman" w:hAnsi="Times New Roman"/>
          <w:noProof/>
          <w:sz w:val="20"/>
          <w:szCs w:val="20"/>
        </w:rPr>
      </w:pPr>
    </w:p>
    <w:p w14:paraId="64862946" w14:textId="0F1835B1"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The standard addition method was carried out for accuracy and precision assessments in three concentration levels replicate. Three concentration levels of spiked samples, namely 75%, 100%, and 125%, were processed using 6.0 mg/L, 8.0 mg/L, and 10.0 mg/L of a mefenamic acid standard added to 0.11 mL of the mefenamic acid tablet sample solution, respectively. These levels were selected to cover lower and higher concentrations from the defined concentration. Preparation of the mefenamic acid tablet sample solution was carried out by grinding 20 mefenamic acid tablets, followed by weighed accurately </w:t>
      </w:r>
      <w:r w:rsidRPr="007F63BC">
        <w:rPr>
          <w:rFonts w:ascii="Times New Roman" w:hAnsi="Times New Roman"/>
          <w:noProof/>
          <w:sz w:val="20"/>
          <w:szCs w:val="20"/>
        </w:rPr>
        <w:lastRenderedPageBreak/>
        <w:t xml:space="preserve">50.0 mg of homogenized powder and transferred it into a 50 mL volumetric flask. To made up the mark, 50% ethanol was added and mixing until homogeneous, then filtered. An unspiked sample solution that contained only the mefenamic acid tablet sample was prepared with 50% ethanol. </w:t>
      </w:r>
    </w:p>
    <w:p w14:paraId="2ED07DB3" w14:textId="77777777" w:rsidR="0088108D" w:rsidRPr="007F63BC" w:rsidRDefault="0088108D" w:rsidP="007F63BC">
      <w:pPr>
        <w:spacing w:after="0"/>
        <w:jc w:val="both"/>
        <w:outlineLvl w:val="0"/>
        <w:rPr>
          <w:rFonts w:ascii="Times New Roman" w:hAnsi="Times New Roman"/>
          <w:noProof/>
          <w:sz w:val="20"/>
          <w:szCs w:val="20"/>
        </w:rPr>
      </w:pPr>
    </w:p>
    <w:p w14:paraId="09EA4BB5" w14:textId="1C36A919"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The absorbance values were measured using a visible spectrophotometer after reaction with ferric chloride in acetic acid solution and potassium ferricyanide under optimized conditions. Repeatability (intra-day) and intermediate (inter-day) precision were evaluated from three measurements on the same day and three different days, respectively. Selectivity performance was done by adding separately 8.0 mg/L mefenamic acid standard solutions into common excipients that might be added during formulations, such as talc, starch, and PVP with a concentration of 1000 mg/L for each solution. The absorbance then measured using a spectrophotometer at 715 nm in the optimized condition.</w:t>
      </w:r>
    </w:p>
    <w:p w14:paraId="7801ECFC" w14:textId="77777777" w:rsidR="007F63BC" w:rsidRPr="007F63BC" w:rsidRDefault="007F63BC" w:rsidP="007F63BC">
      <w:pPr>
        <w:spacing w:after="0"/>
        <w:jc w:val="both"/>
        <w:outlineLvl w:val="0"/>
        <w:rPr>
          <w:rFonts w:ascii="Times New Roman" w:hAnsi="Times New Roman"/>
          <w:noProof/>
          <w:sz w:val="20"/>
          <w:szCs w:val="20"/>
        </w:rPr>
      </w:pPr>
    </w:p>
    <w:p w14:paraId="7C671A18" w14:textId="77777777" w:rsidR="007F63BC" w:rsidRPr="007F63BC" w:rsidRDefault="007F63BC" w:rsidP="007F63BC">
      <w:pPr>
        <w:spacing w:after="0"/>
        <w:jc w:val="both"/>
        <w:outlineLvl w:val="0"/>
        <w:rPr>
          <w:rFonts w:ascii="Times New Roman" w:hAnsi="Times New Roman"/>
          <w:b/>
          <w:noProof/>
          <w:sz w:val="20"/>
          <w:szCs w:val="20"/>
        </w:rPr>
      </w:pPr>
      <w:r w:rsidRPr="007F63BC">
        <w:rPr>
          <w:rFonts w:ascii="Times New Roman" w:hAnsi="Times New Roman"/>
          <w:b/>
          <w:noProof/>
          <w:sz w:val="20"/>
          <w:szCs w:val="20"/>
        </w:rPr>
        <w:t xml:space="preserve">Mefenamic acid determination in tablet </w:t>
      </w:r>
    </w:p>
    <w:p w14:paraId="1A610587" w14:textId="7CED75A1"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Quantitative determination of mefenamic acid concentrations in the tablet was carried out using three different mefenamic acid tablet brands. First, 20 tablets were pulverized and accurately weighed 50.0 mg of homogenized powder and then dissolved in 25 mL ethanol in a volumetric flask. Following this, the sample solutions were filtered, and afterward, an appropriate sample was transferred into a 25 mL volumetric flask and added 50% ethanol to make the mark. Then, 2.0 mL samples were mixed with ferric chloride in acetic acid solution and potassium ferricyanide under optimized conditions. Finally, the absorbance values were measured using a spectrophotometer at 715 nm.</w:t>
      </w:r>
    </w:p>
    <w:p w14:paraId="3CC6ABE2" w14:textId="77777777" w:rsidR="007F63BC" w:rsidRPr="007F63BC" w:rsidRDefault="007F63BC" w:rsidP="007F63BC">
      <w:pPr>
        <w:spacing w:after="0"/>
        <w:jc w:val="both"/>
        <w:outlineLvl w:val="0"/>
        <w:rPr>
          <w:rFonts w:ascii="Times New Roman" w:hAnsi="Times New Roman"/>
          <w:noProof/>
          <w:sz w:val="20"/>
          <w:szCs w:val="20"/>
        </w:rPr>
      </w:pPr>
    </w:p>
    <w:p w14:paraId="171DDACC" w14:textId="77777777" w:rsidR="007F63BC" w:rsidRPr="007F63BC" w:rsidRDefault="007F63BC" w:rsidP="007F63BC">
      <w:pPr>
        <w:spacing w:after="0"/>
        <w:jc w:val="both"/>
        <w:outlineLvl w:val="0"/>
        <w:rPr>
          <w:rFonts w:ascii="Times New Roman" w:hAnsi="Times New Roman"/>
          <w:b/>
          <w:noProof/>
          <w:sz w:val="20"/>
          <w:szCs w:val="20"/>
        </w:rPr>
      </w:pPr>
      <w:r w:rsidRPr="007F63BC">
        <w:rPr>
          <w:rFonts w:ascii="Times New Roman" w:hAnsi="Times New Roman"/>
          <w:b/>
          <w:noProof/>
          <w:sz w:val="20"/>
          <w:szCs w:val="20"/>
        </w:rPr>
        <w:t>Data analysis</w:t>
      </w:r>
    </w:p>
    <w:p w14:paraId="51C32C99" w14:textId="2CBCC376" w:rsidR="006768E9" w:rsidRDefault="007F63BC" w:rsidP="007F63BC">
      <w:pPr>
        <w:spacing w:after="0"/>
        <w:jc w:val="both"/>
        <w:rPr>
          <w:rFonts w:ascii="Times New Roman" w:hAnsi="Times New Roman"/>
          <w:noProof/>
          <w:sz w:val="20"/>
          <w:szCs w:val="20"/>
        </w:rPr>
      </w:pPr>
      <w:r w:rsidRPr="007F63BC">
        <w:rPr>
          <w:rFonts w:ascii="Times New Roman" w:hAnsi="Times New Roman"/>
          <w:noProof/>
          <w:sz w:val="20"/>
          <w:szCs w:val="20"/>
        </w:rPr>
        <w:t>The concentration of mefenamic acid samples was calculated by interpolating the absorbance value with the mefenamic acid standard calibration curve. The analytical method's linearity was given in the square of the correlation coefficient (</w:t>
      </w:r>
      <w:r w:rsidRPr="007F63BC">
        <w:rPr>
          <w:rFonts w:ascii="Times New Roman" w:hAnsi="Times New Roman"/>
          <w:i/>
          <w:noProof/>
          <w:sz w:val="20"/>
          <w:szCs w:val="20"/>
        </w:rPr>
        <w:t>r</w:t>
      </w:r>
      <w:r w:rsidRPr="007F63BC">
        <w:rPr>
          <w:rFonts w:ascii="Times New Roman" w:hAnsi="Times New Roman"/>
          <w:i/>
          <w:noProof/>
          <w:sz w:val="20"/>
          <w:szCs w:val="20"/>
          <w:vertAlign w:val="superscript"/>
        </w:rPr>
        <w:t>2</w:t>
      </w:r>
      <w:r w:rsidRPr="007F63BC">
        <w:rPr>
          <w:rFonts w:ascii="Times New Roman" w:hAnsi="Times New Roman"/>
          <w:noProof/>
          <w:sz w:val="20"/>
          <w:szCs w:val="20"/>
        </w:rPr>
        <w:t xml:space="preserve">), indicating the relationship between the mefenamic acid concentration and their absorbance values. The detection limit and the quantification limit were expressed as the concentration level (mg/L) calculated from three times and ten times </w:t>
      </w:r>
      <w:r w:rsidRPr="007F63BC">
        <w:rPr>
          <w:rFonts w:ascii="Times New Roman" w:hAnsi="Times New Roman"/>
          <w:noProof/>
          <w:sz w:val="20"/>
          <w:szCs w:val="20"/>
        </w:rPr>
        <w:t>the standard residual deviation in the method, respectively. The accuracy was evaluated from the recovery percentage, and the precision was observed from the relative standard deviation (% RSD) of measurements. Also, selectivity assessment was recognized from the percentage of mefenamic acid concentration recovery after adding some excipients tablet samples. Regarding the determination of the real sample tablet, the data were presented descriptively in the form of the percentage of the claimed label for each identified tablet brand.</w:t>
      </w:r>
    </w:p>
    <w:p w14:paraId="72F17BEF" w14:textId="77777777" w:rsidR="0088108D" w:rsidRDefault="0088108D" w:rsidP="0088108D">
      <w:pPr>
        <w:spacing w:after="0"/>
        <w:rPr>
          <w:rFonts w:ascii="Times New Roman" w:hAnsi="Times New Roman"/>
          <w:noProof/>
          <w:sz w:val="20"/>
          <w:szCs w:val="20"/>
          <w:lang w:bidi="ar-SA"/>
        </w:rPr>
      </w:pPr>
    </w:p>
    <w:p w14:paraId="4515E5B1" w14:textId="77777777" w:rsidR="0088108D" w:rsidRPr="00F447A7" w:rsidRDefault="0088108D" w:rsidP="0088108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4199662" w14:textId="77777777" w:rsidR="0088108D" w:rsidRPr="007F63BC" w:rsidRDefault="0088108D" w:rsidP="0088108D">
      <w:pPr>
        <w:spacing w:after="0"/>
        <w:jc w:val="both"/>
        <w:outlineLvl w:val="0"/>
        <w:rPr>
          <w:rFonts w:ascii="Times New Roman" w:hAnsi="Times New Roman"/>
          <w:b/>
          <w:noProof/>
          <w:color w:val="548DD4" w:themeColor="text2" w:themeTint="99"/>
          <w:sz w:val="20"/>
          <w:szCs w:val="20"/>
        </w:rPr>
      </w:pPr>
      <w:r w:rsidRPr="007F63BC">
        <w:rPr>
          <w:rFonts w:ascii="Times New Roman" w:hAnsi="Times New Roman"/>
          <w:b/>
          <w:noProof/>
          <w:sz w:val="20"/>
          <w:szCs w:val="20"/>
        </w:rPr>
        <w:t xml:space="preserve">Method development for mefenamic acid determination using visible spectrophotometry </w:t>
      </w:r>
    </w:p>
    <w:p w14:paraId="14AB1AB3" w14:textId="77777777" w:rsidR="0088108D" w:rsidRDefault="0088108D" w:rsidP="0088108D">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Determination of the spectrophotometric detection wavelength was carried out by measuring the absorption of Prussian blue solutions formed from the reaction of mefenamic acid with ferric chloride in acetic acid solution and potassium ferricyanide in the region wavelength between 500 nm to 800 nm. Figure 2 illustrated the findings of optimized wavelength at 715 nm that shown the higher concentration of mefenamic acid as a reducing agent, the higher intensity of Prussian blue formed. These findings suggested that the reduced agent's increased capacity contributed to the increasing Prussian blue formed, and afterward, the absorbance level gradually increases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{"citationID":"DAWOaBHj","properties":{"formattedCitation":"\\super [18]\\nosupersub{}","plainCitation":"[18]","noteIndex":0},"citationItems":[{"id":308,"uris":["http://zotero.org/users/local/r3dkgwH4/items/JV6N2KWB"],"uri":["http://zotero.org/users/local/r3dkgwH4/items/JV6N2KWB"],"itemData":{"id":308,"type":"article-journal","container-title":"International Journal of Pharmacy and Pharmaceutical Sciences","issue":"3","journalAbbreviation":"International Journal of Pharmacy and Pharmaceutical Sciences","page":"126-128","title":"Reducing power of the solvent extracts of Eichhornia crassipes (Mart.) Solms","volume":"3","author":[{"family":"Jayanthi","given":"P"},{"family":"Lalitha","given":"P"}],"issued":{"date-parts":[["2011"]]}}}],"schema":"https://github.com/citation-style-language/schema/raw/master/csl-citation.json"}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[18]</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The optimized wavelength measurement was obtained at 715 nm. This wavelength region corresponded to the wavelength for a bluish-green color solution in the range of 610 nm to 750 nm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{"citationID":"nPD3gv2A","properties":{"formattedCitation":"\\super [20]\\nosupersub{}","plainCitation":"[20]","noteIndex":0},"citationItems":[{"id":311,"uris":["http://zotero.org/users/local/r3dkgwH4/items/IC6VKHPJ"],"uri":["http://zotero.org/users/local/r3dkgwH4/items/IC6VKHPJ"],"itemData":{"id":311,"type":"paper-conference","ISBN":"0-8194-8398-2","publisher":"Spie Washington","title":"Color vision and colorimetry: theory and applications","author":[{"family":"Malacara","given":"Daniel"}],"issued":{"date-parts":[["2011"]]}}}],"schema":"https://github.com/citation-style-language/schema/raw/master/csl-citation.json"}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[20]</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On the other hand, according to Teepoo et al.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{"citationID":"dtHtCAq9","properties":{"formattedCitation":"\\super [15]\\nosupersub{}","plainCitation":"[15]","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[15]</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the Prussian blue wavelength was 700 nm. Another study reported that the slight difference of the optimized wavelength was obtained probably due to the different conditions of the Prussian blue formation such as temperature, pH, differences in solvents, and differences in reaction conditions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{"citationID":"PlY2U5d9","properties":{"formattedCitation":"\\super [21]\\nosupersub{}","plainCitation":"[21]","noteIndex":0},"citationItems":[{"id":312,"uris":["http://zotero.org/users/local/r3dkgwH4/items/VK37KMY7"],"uri":["http://zotero.org/users/local/r3dkgwH4/items/VK37KMY7"],"itemData":{"id":312,"type":"article-journal","abstract":"Open access peer-reviewed chapter","container-title":"Macro To Nano Spectroscopy","DOI":"10.5772/38797","language":"en","note":"publisher: IntechOpen","source":"www.intechopen.com","title":"The Use of Spectrophotometry UV-Vis for the Study of Porphyrins","URL":"https://www.intechopen.com/books/macro-to-nano-spectroscopy/the-use-of-spectrophotometry-uv-vis-for-the-study-of-porphyrins","author":[{"family":"Giovannetti","given":"Rita"}],"accessed":{"date-parts":[["2020",8,4]]},"issued":{"date-parts":[["2012",6,29]]}}}],"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[21]</w:t>
      </w:r>
      <w:r w:rsidRPr="007F63BC">
        <w:rPr>
          <w:rFonts w:ascii="Times New Roman" w:hAnsi="Times New Roman"/>
          <w:noProof/>
          <w:sz w:val="20"/>
          <w:szCs w:val="20"/>
        </w:rPr>
        <w:fldChar w:fldCharType="end"/>
      </w:r>
      <w:r w:rsidRPr="007F63BC">
        <w:rPr>
          <w:rFonts w:ascii="Times New Roman" w:hAnsi="Times New Roman"/>
          <w:noProof/>
          <w:sz w:val="20"/>
          <w:szCs w:val="20"/>
        </w:rPr>
        <w:t>.</w:t>
      </w:r>
    </w:p>
    <w:p w14:paraId="4B9B1F7F" w14:textId="77777777" w:rsidR="0088108D" w:rsidRDefault="0088108D" w:rsidP="0088108D">
      <w:pPr>
        <w:spacing w:after="0"/>
        <w:rPr>
          <w:rFonts w:ascii="Times New Roman" w:hAnsi="Times New Roman"/>
          <w:noProof/>
          <w:sz w:val="20"/>
          <w:szCs w:val="20"/>
          <w:lang w:bidi="ar-SA"/>
        </w:rPr>
      </w:pPr>
    </w:p>
    <w:p w14:paraId="7F53A34C" w14:textId="63DCC0A2" w:rsidR="0060785D" w:rsidRDefault="0088108D" w:rsidP="0088108D">
      <w:pPr>
        <w:spacing w:after="0"/>
        <w:jc w:val="both"/>
        <w:outlineLvl w:val="0"/>
        <w:rPr>
          <w:rFonts w:ascii="Times New Roman" w:hAnsi="Times New Roman"/>
          <w:noProof/>
          <w:sz w:val="20"/>
          <w:szCs w:val="20"/>
        </w:rPr>
        <w:sectPr w:rsidR="0060785D" w:rsidSect="0088108D">
          <w:footerReference w:type="even" r:id="rId14"/>
          <w:footerReference w:type="default" r:id="rId15"/>
          <w:type w:val="continuous"/>
          <w:pgSz w:w="12240" w:h="15840" w:code="1"/>
          <w:pgMar w:top="1800" w:right="1469" w:bottom="1699" w:left="1440" w:header="706" w:footer="706" w:gutter="0"/>
          <w:pgNumType w:start="1"/>
          <w:cols w:num="2" w:space="403"/>
          <w:docGrid w:linePitch="360"/>
        </w:sectPr>
      </w:pPr>
      <w:r w:rsidRPr="007F63BC">
        <w:rPr>
          <w:rFonts w:ascii="Times New Roman" w:hAnsi="Times New Roman"/>
          <w:noProof/>
          <w:sz w:val="20"/>
          <w:szCs w:val="20"/>
        </w:rPr>
        <w:t xml:space="preserve">To optimize the measurement and reaction conditions for Prussian blue formation, various parameters in terms of operating time measurement and concentration of potassium ferricyanide, ferric chloride, and acetic acid solutions were investigated using a spectrophotometer at 715 nm. The stable measurement time for Prussian blue formation was observed over 75 </w:t>
      </w:r>
      <w:r w:rsidR="009B2F30">
        <w:rPr>
          <w:rFonts w:ascii="Times New Roman" w:hAnsi="Times New Roman"/>
          <w:noProof/>
          <w:sz w:val="20"/>
          <w:szCs w:val="20"/>
        </w:rPr>
        <w:t xml:space="preserve"> </w:t>
      </w:r>
      <w:r w:rsidRPr="007F63BC">
        <w:rPr>
          <w:rFonts w:ascii="Times New Roman" w:hAnsi="Times New Roman"/>
          <w:noProof/>
          <w:sz w:val="20"/>
          <w:szCs w:val="20"/>
        </w:rPr>
        <w:t xml:space="preserve">minutes after </w:t>
      </w:r>
      <w:r w:rsidR="009B2F30">
        <w:rPr>
          <w:rFonts w:ascii="Times New Roman" w:hAnsi="Times New Roman"/>
          <w:noProof/>
          <w:sz w:val="20"/>
          <w:szCs w:val="20"/>
        </w:rPr>
        <w:t xml:space="preserve"> </w:t>
      </w:r>
      <w:r w:rsidRPr="007F63BC">
        <w:rPr>
          <w:rFonts w:ascii="Times New Roman" w:hAnsi="Times New Roman"/>
          <w:noProof/>
          <w:sz w:val="20"/>
          <w:szCs w:val="20"/>
        </w:rPr>
        <w:t>reaction</w:t>
      </w:r>
    </w:p>
    <w:p w14:paraId="5E8D7669" w14:textId="41AC0549" w:rsidR="0088108D" w:rsidRDefault="0088108D" w:rsidP="0088108D">
      <w:pPr>
        <w:spacing w:after="0"/>
        <w:jc w:val="both"/>
        <w:outlineLvl w:val="0"/>
        <w:rPr>
          <w:rFonts w:ascii="Times New Roman" w:hAnsi="Times New Roman"/>
          <w:noProof/>
          <w:sz w:val="20"/>
          <w:szCs w:val="20"/>
        </w:rPr>
      </w:pPr>
      <w:r w:rsidRPr="007F63BC">
        <w:rPr>
          <w:rFonts w:ascii="Times New Roman" w:hAnsi="Times New Roman"/>
          <w:noProof/>
          <w:sz w:val="20"/>
          <w:szCs w:val="20"/>
        </w:rPr>
        <w:lastRenderedPageBreak/>
        <w:t xml:space="preserve"> to mefenamic acid with ferric chloride and potassium ferricyanide solutions. The suitable time for measurement was obtained at 35 minutes (Figure 3a) under the conditions of 40.0 mg/L mefenamic acid, 15.0 mmol/L potassium ferricyanide, and 0.5 mmol/L ferric chlorides in 0.5 mol/L acetic acids after 35 min incubation. This finding seemed different from the other research, which reported the operating time for Prussian blue formation derived from reducing Fe</w:t>
      </w:r>
      <w:r w:rsidRPr="007F63BC">
        <w:rPr>
          <w:rFonts w:ascii="Times New Roman" w:hAnsi="Times New Roman"/>
          <w:noProof/>
          <w:sz w:val="20"/>
          <w:szCs w:val="20"/>
          <w:vertAlign w:val="superscript"/>
        </w:rPr>
        <w:t>3+</w:t>
      </w:r>
      <w:r w:rsidRPr="007F63BC">
        <w:rPr>
          <w:rFonts w:ascii="Times New Roman" w:hAnsi="Times New Roman"/>
          <w:noProof/>
          <w:sz w:val="20"/>
          <w:szCs w:val="20"/>
        </w:rPr>
        <w:t xml:space="preserve"> to Fe</w:t>
      </w:r>
      <w:r w:rsidRPr="007F63BC">
        <w:rPr>
          <w:rFonts w:ascii="Times New Roman" w:hAnsi="Times New Roman"/>
          <w:noProof/>
          <w:sz w:val="20"/>
          <w:szCs w:val="20"/>
          <w:vertAlign w:val="superscript"/>
        </w:rPr>
        <w:t>2+</w:t>
      </w:r>
      <w:r w:rsidRPr="007F63BC">
        <w:rPr>
          <w:rFonts w:ascii="Times New Roman" w:hAnsi="Times New Roman"/>
          <w:noProof/>
          <w:sz w:val="20"/>
          <w:szCs w:val="20"/>
        </w:rPr>
        <w:t xml:space="preserve"> ions using ascorbic acid as a reducing agent followed by reaction with potassium ferricyanide was 10 minutes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{"citationID":"b8cTl2ux","properties":{"formattedCitation":"\\super [15]\\nosupersub{}","plainCitation":"[15]","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[15]</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It is reasonable because ascorbic acid is a strong reducing agent that the reaction time needed for the reduction process occurs faster due to the formation of Prussian blue only needs in less time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{"citationID":"Zv8UIZ96","properties":{"formattedCitation":"\\super [22]\\nosupersub{}","plainCitation":"[22]","noteIndex":0},"citationItems":[{"id":315,"uris":["http://zotero.org/users/local/r3dkgwH4/items/DTRGWHK7"],"uri":["http://zotero.org/users/local/r3dkgwH4/items/DTRGWHK7"],"itemData":{"id":315,"type":"article-journal","container-title":"Fresenius' Zeitschrift für analytische Chemie","DOI":"10.1007/BF00432902","ISSN":"1618-2650","issue":"5","journalAbbreviation":"Z. Anal. Chem.","language":"en","page":"338-347","source":"Springer Link","title":"Ascorbic acid as a reducing agent in quantitative analysis","volume":"147","author":[{"family":"Rao","given":"G. Gopala"},{"family":"Rao","given":"V. Narayana"}],"issued":{"date-parts":[["1955",9,1]]}}}],"schema":"https://github.com/citation-style-language/schema/raw/master/csl-citation.json"}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[22]</w:t>
      </w:r>
      <w:r w:rsidRPr="007F63BC">
        <w:rPr>
          <w:rFonts w:ascii="Times New Roman" w:hAnsi="Times New Roman"/>
          <w:noProof/>
          <w:sz w:val="20"/>
          <w:szCs w:val="20"/>
        </w:rPr>
        <w:fldChar w:fldCharType="end"/>
      </w:r>
      <w:r w:rsidRPr="007F63BC">
        <w:rPr>
          <w:rFonts w:ascii="Times New Roman" w:hAnsi="Times New Roman"/>
          <w:noProof/>
          <w:sz w:val="20"/>
          <w:szCs w:val="20"/>
        </w:rPr>
        <w:t>.</w:t>
      </w:r>
    </w:p>
    <w:p w14:paraId="74047029" w14:textId="77777777" w:rsidR="0088108D" w:rsidRPr="007F63BC" w:rsidRDefault="0088108D" w:rsidP="0088108D">
      <w:pPr>
        <w:spacing w:after="0"/>
        <w:jc w:val="both"/>
        <w:outlineLvl w:val="0"/>
        <w:rPr>
          <w:rFonts w:ascii="Times New Roman" w:hAnsi="Times New Roman"/>
          <w:noProof/>
          <w:sz w:val="20"/>
          <w:szCs w:val="20"/>
        </w:rPr>
      </w:pPr>
    </w:p>
    <w:p w14:paraId="694FC2D0" w14:textId="77777777" w:rsidR="0088108D" w:rsidRDefault="0088108D" w:rsidP="0088108D">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Various concentration solutions to form optimum Prussian blue was observed using potassium ferricyanide, ferric chloride, and acetic acid. The investigated results obtained that the higher potassium ferricyanide concentration influenced the higher intensity absorbance to 15 mmol/L and became remained constant (Figure 3b). This finding shows that 15 mmol/L potassium ferricyanide was a suitable condition for optimum concentration to form Prussian blue. The measurement was performed using 40.0 mg/L mefenamic acid and 0.5 mmol/L ferric chloride in 0.5 mol/L acetic acids after 35 minutes incubation. This </w:t>
      </w:r>
      <w:r w:rsidRPr="007F63BC">
        <w:rPr>
          <w:rFonts w:ascii="Times New Roman" w:hAnsi="Times New Roman"/>
          <w:noProof/>
          <w:sz w:val="20"/>
          <w:szCs w:val="20"/>
        </w:rPr>
        <w:t xml:space="preserve">finding was in accordance with the other studies that the addition of potassium ferricyanide in higher concentration increased the absorbance of Prussian blue formed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{"citationID":"Scuivfd3","properties":{"formattedCitation":"\\super [15,23]\\nosupersub{}","plainCitation":"[15,23]","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label":"page"},{"id":316,"uris":["http://zotero.org/users/local/r3dkgwH4/items/VHEKZ9KZ"],"uri":["http://zotero.org/users/local/r3dkgwH4/items/VHEKZ9KZ"],"itemData":{"id":316,"type":"article-journal","abstract":"Prussian blue pigments, highly insoluble mixed-valence iron(III) hexacyanoferrate(II) complexes of typical stoichiometry Fe4III[FeII(CN)6]3·xH2O or KFeIII[FeII(CN)6]·xH2O, have been used as pigments in oil paintings and watercolors for 300 years. For poorly understood reasons, these pigments often fade with time. Although the preparation methods have been recognized since the mid-eighteenth century as a contributory factor in the fading of the pigment, the spectral and physical properties of Prussian blue that vary with the type of synthesis were not precisely identified. Several Prussian blue pigments have been prepared by different methods and characterized by thermogravimetric analyses, high-energy powder X-ray diffraction, atomic absorption and flame emission, UV–visible, iron-57 Mössbauer, iron K-edge X-ray absorption, and Raman spectroscopy. The type of synthesis influences the hue, tinting strength, and hiding power properties of the Prussian blue pigments. Two major features appear to be strongly dependent on the preparative methods, the particle size and the local disorder. Both a nitrogen atmosphere and an intermediate aging step of the Berlin white, Fe2II[FeII(CN)6], during the synthesis are required to obtain a highly colored pigment through the optimization of particle size, minimization in the perturbations to the FeII–CN–FeIII intervalence electron transfer pathway, and the minimization of disordered vacancies. The potassium containing Prussian blue structure has been revisited. It can be described with the Pm3m space group, where approximately one-quarter of the [FeII(CN)6]4– sites are vacant and where the potassium cation is located at a zeolitic-like position inside the lattice cavities. The degree of ordering of the [FeII(CN)6]4– vacancies in all Prussian blues was quantified using atomic pair distribution analysis, an ordering that is consistent with the iron K-edge X-ray absorption spectra. The presence of strain in the crystals is observed by both powder X-ray diffraction and Mössbauer spectroscopy. The structural similarity between the alkali-free, improperly referred to as “insoluble”, and the alkali containing, “soluble”, Prussian blues may explain why the two varieties are almost undistinguishable by spectroscopic techniques.","container-title":"The Journal of Physical Chemistry C","DOI":"10.1021/jp3111327","ISSN":"1932-7447","issue":"19","journalAbbreviation":"J. Phys. Chem. C","note":"publisher: American Chemical Society","page":"9693-9712","source":"ACS Publications","title":"Relationship between the Synthesis of Prussian Blue Pigments, Their Color, Physical Properties, and Their Behavior in Paint Layers","volume":"117","author":[{"family":"Samain","given":"Louise"},{"family":"Grandjean","given":"Fernande"},{"family":"Long","given":"Gary J."},{"family":"Martinetto","given":"Pauline"},{"family":"Bordet","given":"Pierre"},{"family":"Strivay","given":"David"}],"issued":{"date-parts":[["2013",5,16]]}},"label":"page"}],"schema":"https://github.com/citation-style-language/schema/raw/master/csl-citation.json"}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[15, 23]</w:t>
      </w:r>
      <w:r w:rsidRPr="007F63BC">
        <w:rPr>
          <w:rFonts w:ascii="Times New Roman" w:hAnsi="Times New Roman"/>
          <w:noProof/>
          <w:sz w:val="20"/>
          <w:szCs w:val="20"/>
        </w:rPr>
        <w:fldChar w:fldCharType="end"/>
      </w:r>
      <w:r w:rsidRPr="007F63BC">
        <w:rPr>
          <w:rFonts w:ascii="Times New Roman" w:hAnsi="Times New Roman"/>
          <w:noProof/>
          <w:sz w:val="20"/>
          <w:szCs w:val="20"/>
        </w:rPr>
        <w:t>. Evaluation from ferric chloride concentration also gave the same trend. An increase of ferric chloride concentration was gradually followed by increasing the absorbance at 715 nm (Figure 3c). The absorbance remained stable after a concentration value of 2.5 mmol/L, indicated that the optimum concentration of ferric chloride for this measurement was carried out using 0.5 mol/L acetic acid, 40.0 mg/L mefenamic acids, and 15.0 mmol/L potassium ferricyanide, with incubation time 35 minutes.</w:t>
      </w:r>
    </w:p>
    <w:p w14:paraId="5563450D" w14:textId="77777777" w:rsidR="0088108D" w:rsidRDefault="0088108D" w:rsidP="0088108D">
      <w:pPr>
        <w:spacing w:after="0"/>
        <w:rPr>
          <w:rFonts w:ascii="Times New Roman" w:hAnsi="Times New Roman"/>
          <w:noProof/>
          <w:sz w:val="20"/>
          <w:szCs w:val="20"/>
          <w:lang w:bidi="ar-SA"/>
        </w:rPr>
      </w:pPr>
    </w:p>
    <w:p w14:paraId="72DD6146" w14:textId="77777777" w:rsidR="0088108D" w:rsidRDefault="0088108D" w:rsidP="0088108D">
      <w:pPr>
        <w:spacing w:after="0"/>
        <w:jc w:val="both"/>
        <w:outlineLvl w:val="0"/>
        <w:rPr>
          <w:rFonts w:ascii="Times New Roman" w:hAnsi="Times New Roman"/>
          <w:noProof/>
          <w:sz w:val="20"/>
          <w:szCs w:val="20"/>
        </w:rPr>
      </w:pPr>
      <w:r w:rsidRPr="007F63BC">
        <w:rPr>
          <w:rFonts w:ascii="Times New Roman" w:hAnsi="Times New Roman"/>
          <w:noProof/>
          <w:sz w:val="20"/>
          <w:szCs w:val="20"/>
        </w:rPr>
        <w:t>On the other hand, the optimum concentration of acetic acid was 0.5 mol/L (Figure 3d). Acetic acid was used for dissolving ferric chloride. Increasing acetic acid concentration causes an increase in Prussian blue, which was formed due to acidic conditions that can increase Prussian blue's solubility. In addition, Prussian blue was unstable under alkaline conditions where Prussian blue will form deposits of iron oxide (Fe(OH)</w:t>
      </w:r>
      <w:r w:rsidRPr="007F63BC">
        <w:rPr>
          <w:rFonts w:ascii="Times New Roman" w:hAnsi="Times New Roman"/>
          <w:noProof/>
          <w:sz w:val="20"/>
          <w:szCs w:val="20"/>
          <w:vertAlign w:val="subscript"/>
        </w:rPr>
        <w:t>3</w:t>
      </w:r>
      <w:r w:rsidRPr="007F63BC">
        <w:rPr>
          <w:rFonts w:ascii="Times New Roman" w:hAnsi="Times New Roman"/>
          <w:noProof/>
          <w:sz w:val="20"/>
          <w:szCs w:val="20"/>
        </w:rPr>
        <w:t xml:space="preserve">)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{"citationID":"HL5T1LR4","properties":{"formattedCitation":"\\super [24]\\nosupersub{}","plainCitation":"[24]","noteIndex":0},"citationItems":[{"id":317,"uris":["http://zotero.org/users/local/r3dkgwH4/items/CE6ZFDIU"],"uri":["http://zotero.org/users/local/r3dkgwH4/items/CE6ZFDIU"],"itemData":{"id":317,"type":"article-journal","container-title":"Bulletin of the Chemical Society of Ethiopia","ISSN":"1726-801X","issue":"1","journalAbbreviation":"Bulletin of the Chemical Society of Ethiopia","page":"47-54","title":"Kinetics and mechanism of prussian blue formation","volume":"23","author":[{"family":"Adhikamsetty","given":"RK"},{"family":"Jonnalagadda","given":"SB"}],"issued":{"date-parts":[["2009"]]}}}],"schema":"https://github.com/citation-style-language/schema/raw/master/csl-citation.json"}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[24]</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In summarize, these results showed that optimum Prussian blue formed using 40 mg/L mefenamic acids under the condition of 15 mmol/L potassium ferricyanide and 2.5 mmol/L ferric chlorides in 0.5 mol/L acetic acids. </w:t>
      </w:r>
    </w:p>
    <w:p w14:paraId="6C5F44FA" w14:textId="77777777" w:rsidR="0088108D" w:rsidRDefault="0088108D" w:rsidP="0088108D">
      <w:pPr>
        <w:spacing w:after="0"/>
        <w:rPr>
          <w:rFonts w:ascii="Times New Roman" w:hAnsi="Times New Roman"/>
          <w:noProof/>
          <w:sz w:val="20"/>
          <w:szCs w:val="20"/>
          <w:lang w:bidi="ar-SA"/>
        </w:rPr>
      </w:pPr>
    </w:p>
    <w:p w14:paraId="3DA0C482" w14:textId="31E9AB59" w:rsidR="0088108D" w:rsidRDefault="0088108D" w:rsidP="0088108D">
      <w:pPr>
        <w:spacing w:after="0"/>
        <w:rPr>
          <w:rFonts w:ascii="Times New Roman" w:hAnsi="Times New Roman"/>
          <w:noProof/>
          <w:sz w:val="20"/>
          <w:szCs w:val="20"/>
          <w:lang w:bidi="ar-SA"/>
        </w:rPr>
        <w:sectPr w:rsidR="0088108D" w:rsidSect="0060785D">
          <w:footerReference w:type="default" r:id="rId16"/>
          <w:type w:val="oddPage"/>
          <w:pgSz w:w="12240" w:h="15840" w:code="1"/>
          <w:pgMar w:top="1800" w:right="1469" w:bottom="1699" w:left="1440" w:header="706" w:footer="706" w:gutter="0"/>
          <w:pgNumType w:start="1"/>
          <w:cols w:num="2" w:space="403"/>
          <w:docGrid w:linePitch="360"/>
        </w:sectPr>
      </w:pPr>
    </w:p>
    <w:p w14:paraId="535C781D" w14:textId="77777777" w:rsidR="007F63BC" w:rsidRPr="007F63BC" w:rsidRDefault="007F63BC" w:rsidP="007F63BC">
      <w:pPr>
        <w:spacing w:after="0"/>
        <w:jc w:val="both"/>
        <w:outlineLvl w:val="0"/>
        <w:rPr>
          <w:rFonts w:ascii="Times New Roman" w:hAnsi="Times New Roman"/>
          <w:noProof/>
          <w:sz w:val="20"/>
          <w:szCs w:val="20"/>
        </w:rPr>
      </w:pPr>
    </w:p>
    <w:p w14:paraId="65990F37" w14:textId="77777777" w:rsidR="0088108D" w:rsidRDefault="007F63BC" w:rsidP="0088108D">
      <w:pPr>
        <w:spacing w:after="120"/>
        <w:jc w:val="center"/>
        <w:outlineLvl w:val="0"/>
        <w:rPr>
          <w:rFonts w:ascii="Times New Roman" w:hAnsi="Times New Roman"/>
          <w:noProof/>
          <w:sz w:val="20"/>
          <w:szCs w:val="20"/>
        </w:rPr>
      </w:pPr>
      <w:r w:rsidRPr="007F63BC">
        <w:rPr>
          <w:rFonts w:ascii="Times New Roman" w:hAnsi="Times New Roman"/>
          <w:noProof/>
          <w:sz w:val="20"/>
          <w:szCs w:val="20"/>
        </w:rPr>
        <w:drawing>
          <wp:inline distT="0" distB="0" distL="0" distR="0" wp14:anchorId="63E7CE0C" wp14:editId="4ED89EE4">
            <wp:extent cx="3628016" cy="2328479"/>
            <wp:effectExtent l="19050" t="19050" r="10795" b="15240"/>
            <wp:docPr id="2" name="Picture 2" descr="D:\Menulis Jurnal\Jurnal MJAS 2020\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enulis Jurnal\Jurnal MJAS 2020\Figure 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29987" cy="2329744"/>
                    </a:xfrm>
                    <a:prstGeom prst="rect">
                      <a:avLst/>
                    </a:prstGeom>
                    <a:noFill/>
                    <a:ln w="3175">
                      <a:solidFill>
                        <a:schemeClr val="tx1"/>
                      </a:solidFill>
                    </a:ln>
                  </pic:spPr>
                </pic:pic>
              </a:graphicData>
            </a:graphic>
          </wp:inline>
        </w:drawing>
      </w:r>
    </w:p>
    <w:p w14:paraId="1E85ED0B" w14:textId="7AA34B9F" w:rsidR="007F63BC" w:rsidRPr="007F63BC" w:rsidRDefault="007F63BC" w:rsidP="0088108D">
      <w:pPr>
        <w:spacing w:after="0"/>
        <w:ind w:left="990" w:hanging="990"/>
        <w:jc w:val="both"/>
        <w:outlineLvl w:val="0"/>
        <w:rPr>
          <w:rFonts w:ascii="Times New Roman" w:hAnsi="Times New Roman"/>
          <w:noProof/>
          <w:sz w:val="20"/>
          <w:szCs w:val="20"/>
        </w:rPr>
      </w:pPr>
      <w:r w:rsidRPr="007F63BC">
        <w:rPr>
          <w:rFonts w:ascii="Times New Roman" w:hAnsi="Times New Roman"/>
          <w:noProof/>
          <w:sz w:val="20"/>
          <w:szCs w:val="20"/>
        </w:rPr>
        <w:t xml:space="preserve">Figure 2. </w:t>
      </w:r>
      <w:r>
        <w:rPr>
          <w:rFonts w:ascii="Times New Roman" w:hAnsi="Times New Roman"/>
          <w:noProof/>
          <w:sz w:val="20"/>
          <w:szCs w:val="20"/>
        </w:rPr>
        <w:tab/>
      </w:r>
      <w:r w:rsidRPr="007F63BC">
        <w:rPr>
          <w:rFonts w:ascii="Times New Roman" w:hAnsi="Times New Roman"/>
          <w:noProof/>
          <w:sz w:val="20"/>
          <w:szCs w:val="20"/>
        </w:rPr>
        <w:t>Absorption spectra of soluble Prussian blue formation. Condition: 3.0 mmol/L potassium ferricyanide and 0.5 mmol/L ferric chloride in 0.5 mol/L acetic acid with (a) 40.0 mg/L, (b) 24.0 mg/L, (c) 6.0 mg/L, and (d) 0.0 mg/L mefenamic acid</w:t>
      </w:r>
    </w:p>
    <w:p w14:paraId="3CB2D607" w14:textId="77777777" w:rsidR="007F63BC" w:rsidRPr="007F63BC" w:rsidRDefault="007F63BC" w:rsidP="007F63BC">
      <w:pPr>
        <w:spacing w:after="0"/>
        <w:jc w:val="both"/>
        <w:outlineLvl w:val="0"/>
        <w:rPr>
          <w:rFonts w:ascii="Times New Roman" w:hAnsi="Times New Roman"/>
          <w:noProof/>
          <w:sz w:val="20"/>
          <w:szCs w:val="20"/>
        </w:rPr>
      </w:pPr>
    </w:p>
    <w:p w14:paraId="4D225F47" w14:textId="77777777" w:rsidR="007F63BC" w:rsidRPr="007F63BC" w:rsidRDefault="007F63BC" w:rsidP="007F63BC">
      <w:pPr>
        <w:spacing w:after="0"/>
        <w:jc w:val="both"/>
        <w:outlineLvl w:val="0"/>
        <w:rPr>
          <w:rFonts w:ascii="Times New Roman" w:hAnsi="Times New Roman"/>
          <w:noProof/>
          <w:sz w:val="20"/>
          <w:szCs w:val="20"/>
        </w:rPr>
      </w:pPr>
    </w:p>
    <w:p w14:paraId="40EDB1EE" w14:textId="33C99253" w:rsidR="007F63BC" w:rsidRPr="007F63BC" w:rsidRDefault="007F63BC" w:rsidP="007F63BC">
      <w:pPr>
        <w:spacing w:after="120"/>
        <w:jc w:val="center"/>
        <w:outlineLvl w:val="0"/>
        <w:rPr>
          <w:rFonts w:ascii="Times New Roman" w:hAnsi="Times New Roman"/>
          <w:noProof/>
          <w:sz w:val="20"/>
          <w:szCs w:val="20"/>
        </w:rPr>
      </w:pPr>
      <w:r w:rsidRPr="007F63BC">
        <w:rPr>
          <w:rFonts w:ascii="Times New Roman" w:hAnsi="Times New Roman"/>
          <w:noProof/>
          <w:sz w:val="20"/>
          <w:szCs w:val="20"/>
        </w:rPr>
        <w:drawing>
          <wp:inline distT="0" distB="0" distL="0" distR="0" wp14:anchorId="67546652" wp14:editId="2BE63B4C">
            <wp:extent cx="5043790" cy="3199467"/>
            <wp:effectExtent l="19050" t="19050" r="24130" b="20320"/>
            <wp:docPr id="6" name="Picture 6" descr="D:\Menulis Jurnal\Jurnal MJAS 2020\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enulis Jurnal\Jurnal MJAS 2020\Figure 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51296" cy="3204228"/>
                    </a:xfrm>
                    <a:prstGeom prst="rect">
                      <a:avLst/>
                    </a:prstGeom>
                    <a:noFill/>
                    <a:ln w="3175">
                      <a:solidFill>
                        <a:schemeClr val="tx1"/>
                      </a:solidFill>
                    </a:ln>
                  </pic:spPr>
                </pic:pic>
              </a:graphicData>
            </a:graphic>
          </wp:inline>
        </w:drawing>
      </w:r>
    </w:p>
    <w:p w14:paraId="79CFBE7D" w14:textId="69F98689" w:rsidR="007F63BC" w:rsidRPr="007F63BC" w:rsidRDefault="007F63BC" w:rsidP="007F63BC">
      <w:pPr>
        <w:spacing w:after="0"/>
        <w:ind w:left="851" w:hanging="851"/>
        <w:jc w:val="both"/>
        <w:outlineLvl w:val="0"/>
        <w:rPr>
          <w:rFonts w:ascii="Times New Roman" w:hAnsi="Times New Roman"/>
          <w:noProof/>
          <w:sz w:val="20"/>
          <w:szCs w:val="20"/>
        </w:rPr>
      </w:pPr>
      <w:r w:rsidRPr="007F63BC">
        <w:rPr>
          <w:rFonts w:ascii="Times New Roman" w:hAnsi="Times New Roman"/>
          <w:noProof/>
          <w:sz w:val="20"/>
          <w:szCs w:val="20"/>
        </w:rPr>
        <w:t xml:space="preserve">Figure 3. </w:t>
      </w:r>
      <w:r w:rsidR="002D7255">
        <w:rPr>
          <w:rFonts w:ascii="Times New Roman" w:hAnsi="Times New Roman"/>
          <w:noProof/>
          <w:sz w:val="20"/>
          <w:szCs w:val="20"/>
        </w:rPr>
        <w:tab/>
      </w:r>
      <w:r w:rsidRPr="007F63BC">
        <w:rPr>
          <w:rFonts w:ascii="Times New Roman" w:hAnsi="Times New Roman"/>
          <w:noProof/>
          <w:sz w:val="20"/>
          <w:szCs w:val="20"/>
        </w:rPr>
        <w:t>Optimization of Prussian blue color formation measured using spectrophotometry at 715 nm. The effect of (a) incubation time, (b) potassium ferricyanide, (c) ferric chloride, and (d) acetic acid concentrations on color development</w:t>
      </w:r>
    </w:p>
    <w:p w14:paraId="31CBC91B" w14:textId="24AB274A" w:rsidR="007F63BC" w:rsidRDefault="007F63BC" w:rsidP="007F63BC">
      <w:pPr>
        <w:spacing w:after="0"/>
        <w:jc w:val="both"/>
        <w:outlineLvl w:val="0"/>
        <w:rPr>
          <w:rFonts w:ascii="Times New Roman" w:hAnsi="Times New Roman"/>
          <w:noProof/>
          <w:sz w:val="20"/>
          <w:szCs w:val="20"/>
        </w:rPr>
      </w:pPr>
    </w:p>
    <w:p w14:paraId="550EFC7A" w14:textId="77777777" w:rsidR="002D7255" w:rsidRPr="007F63BC" w:rsidRDefault="002D7255" w:rsidP="007F63BC">
      <w:pPr>
        <w:spacing w:after="0"/>
        <w:jc w:val="both"/>
        <w:outlineLvl w:val="0"/>
        <w:rPr>
          <w:rFonts w:ascii="Times New Roman" w:hAnsi="Times New Roman"/>
          <w:noProof/>
          <w:sz w:val="20"/>
          <w:szCs w:val="20"/>
        </w:rPr>
      </w:pPr>
    </w:p>
    <w:p w14:paraId="1A28C984" w14:textId="77777777" w:rsidR="0088108D" w:rsidRDefault="0088108D" w:rsidP="007F63BC">
      <w:pPr>
        <w:spacing w:after="0"/>
        <w:jc w:val="both"/>
        <w:outlineLvl w:val="0"/>
        <w:rPr>
          <w:rFonts w:ascii="Times New Roman" w:hAnsi="Times New Roman"/>
          <w:b/>
          <w:noProof/>
          <w:sz w:val="20"/>
          <w:szCs w:val="20"/>
        </w:rPr>
      </w:pPr>
    </w:p>
    <w:p w14:paraId="0C10B614" w14:textId="2C176FCD" w:rsidR="000637B8" w:rsidRDefault="000637B8" w:rsidP="007F63BC">
      <w:pPr>
        <w:spacing w:after="0"/>
        <w:jc w:val="both"/>
        <w:outlineLvl w:val="0"/>
        <w:rPr>
          <w:rFonts w:ascii="Times New Roman" w:hAnsi="Times New Roman"/>
          <w:b/>
          <w:noProof/>
          <w:sz w:val="20"/>
          <w:szCs w:val="20"/>
        </w:rPr>
        <w:sectPr w:rsidR="000637B8" w:rsidSect="0088108D">
          <w:footerReference w:type="even" r:id="rId19"/>
          <w:type w:val="continuous"/>
          <w:pgSz w:w="12240" w:h="15840" w:code="1"/>
          <w:pgMar w:top="1800" w:right="1469" w:bottom="1699" w:left="1440" w:header="706" w:footer="706" w:gutter="0"/>
          <w:pgNumType w:start="1"/>
          <w:cols w:space="708"/>
          <w:docGrid w:linePitch="360"/>
        </w:sectPr>
      </w:pPr>
    </w:p>
    <w:p w14:paraId="71EEE8D9" w14:textId="5F63A07D" w:rsidR="007F63BC" w:rsidRPr="007F63BC" w:rsidRDefault="007F63BC" w:rsidP="007F63BC">
      <w:pPr>
        <w:spacing w:after="0"/>
        <w:jc w:val="both"/>
        <w:outlineLvl w:val="0"/>
        <w:rPr>
          <w:rFonts w:ascii="Times New Roman" w:hAnsi="Times New Roman"/>
          <w:b/>
          <w:noProof/>
          <w:color w:val="548DD4" w:themeColor="text2" w:themeTint="99"/>
          <w:sz w:val="20"/>
          <w:szCs w:val="20"/>
        </w:rPr>
      </w:pPr>
      <w:r w:rsidRPr="007F63BC">
        <w:rPr>
          <w:rFonts w:ascii="Times New Roman" w:hAnsi="Times New Roman"/>
          <w:b/>
          <w:noProof/>
          <w:sz w:val="20"/>
          <w:szCs w:val="20"/>
        </w:rPr>
        <w:t>Method validation performance</w:t>
      </w:r>
    </w:p>
    <w:p w14:paraId="7567B714" w14:textId="3AF8AFCF"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Linearity measurement was performed using five different mefenamic acid concentrations, which gave absorbance in the range of between 0.2 and 0.8 absorbance units with three replicates. The measurement results are presented in Figure 4. It can be seen that the value of the square correlation coefficient (</w:t>
      </w:r>
      <w:r w:rsidRPr="007F63BC">
        <w:rPr>
          <w:rFonts w:ascii="Times New Roman" w:hAnsi="Times New Roman"/>
          <w:i/>
          <w:noProof/>
          <w:sz w:val="20"/>
          <w:szCs w:val="20"/>
        </w:rPr>
        <w:t>r</w:t>
      </w:r>
      <w:r w:rsidRPr="007F63BC">
        <w:rPr>
          <w:rFonts w:ascii="Times New Roman" w:hAnsi="Times New Roman"/>
          <w:i/>
          <w:noProof/>
          <w:sz w:val="20"/>
          <w:szCs w:val="20"/>
          <w:vertAlign w:val="superscript"/>
        </w:rPr>
        <w:t>2</w:t>
      </w:r>
      <w:r w:rsidRPr="007F63BC">
        <w:rPr>
          <w:rFonts w:ascii="Times New Roman" w:hAnsi="Times New Roman"/>
          <w:noProof/>
          <w:sz w:val="20"/>
          <w:szCs w:val="20"/>
        </w:rPr>
        <w:t xml:space="preserve">) obtained was 0.9954 in the concentration range of 3.0 mg/L to 14.0 mg/L, which means that there was a good correlation between the concentration and the absorbance measurement. In addition, the high degree of correlation coefficient value of the regression equation showed good linearity following Lambert Beer's law </w:t>
      </w:r>
      <w:r w:rsidRPr="007F63BC">
        <w:rPr>
          <w:rFonts w:ascii="Times New Roman" w:hAnsi="Times New Roman"/>
          <w:bCs/>
          <w:noProof/>
          <w:sz w:val="20"/>
          <w:szCs w:val="20"/>
        </w:rPr>
        <w:fldChar w:fldCharType="begin"/>
      </w:r>
      <w:r w:rsidRPr="007F63BC">
        <w:rPr>
          <w:rFonts w:ascii="Times New Roman" w:hAnsi="Times New Roman"/>
          <w:bCs/>
          <w:noProof/>
          <w:sz w:val="20"/>
          <w:szCs w:val="20"/>
        </w:rPr>
        <w:instrText xml:space="preserve"> ADDIN ZOTERO_ITEM CSL_CITATION {"citationID":"jzECG6vk","properties":{"formattedCitation":"\\super [25,26]\\nosupersub{}","plainCitation":"[25,26]","noteIndex":0},"citationItems":[{"id":318,"uris":["http://zotero.org/users/local/r3dkgwH4/items/J3BKZ9UZ"],"uri":["http://zotero.org/users/local/r3dkgwH4/items/J3BKZ9UZ"],"itemData":{"id":318,"type":"article-journal","container-title":"Journal of the Chilean Chemical Society","DOI":"10.4067/S0717-97072013000300025","ISSN":"0717-9707","issue":"3","note":"publisher: Sociedad Chilena de Química","page":"1907-1913","source":"SciELO","title":"Kinetic Spectrophotometry Method for The Determination of Morphine, Nalbuphine and Naltrexone Drugs in Bilk and Pharmaceutical Formulation","volume":"58","author":[{"family":"El-Didamony","given":"Akram M."},{"family":"Saad","given":"Monir Z."},{"family":"Saleem","given":"Nora O."}],"issued":{"date-parts":[["2013",9]]}},"label":"page"},{"id":327,"uris":["http://zotero.org/users/local/r3dkgwH4/items/RDDV7YHZ"],"uri":["http://zotero.org/users/local/r3dkgwH4/items/RDDV7YHZ"],"itemData":{"id":327,"type":"article-journal","abstract":"In the medium of 0.45 M nitric acid IO3−oxidizes KBr to produce Br2, which oxidizes DBS-arsenazo (DBS-ASA) to decolour. Based on this principle, a new method for the determination of iodate has been developed. The KIO3-KBr-(DBS-ASA) system presents a maximum absorption at 530 nm. At that wavelength, Beer’s law is obeyed over the range of 0.050–0.60 μg/mL of IO3−presenting a linear relationship. The apparent molar absorptivity is 1.75 × 105 L/mol cm and the detection limit is 0.048 μg/mL. This method has been successfully applied to the determination of IO3−content in the iodized table salt sample with good results.","container-title":"Journal of Analytical Chemistry","DOI":"10.1134/S1061934814050104","ISSN":"1608-3199","issue":"5","journalAbbreviation":"J Anal Chem","language":"en","page":"438-441","source":"Springer Link","title":"Determination of trace amount of IO3−with KIO3-KBr-(DBS-arsenazo) system by spectrophotometry","volume":"69","author":[{"family":"Hu","given":"Wei-Hua"},{"family":"Zhai","given":"Qing-Zhou"},{"family":"Zhang","given":"Xue-Ming"}],"issued":{"date-parts":[["2014",5,1]]}},"label":"page"}],"schema":"https://github.com/citation-style-language/schema/raw/master/csl-citation.json"} </w:instrText>
      </w:r>
      <w:r w:rsidRPr="007F63BC">
        <w:rPr>
          <w:rFonts w:ascii="Times New Roman" w:hAnsi="Times New Roman"/>
          <w:bCs/>
          <w:noProof/>
          <w:sz w:val="20"/>
          <w:szCs w:val="20"/>
        </w:rPr>
        <w:fldChar w:fldCharType="separate"/>
      </w:r>
      <w:r w:rsidRPr="007F63BC">
        <w:rPr>
          <w:rFonts w:ascii="Times New Roman" w:hAnsi="Times New Roman"/>
          <w:noProof/>
          <w:sz w:val="20"/>
          <w:szCs w:val="20"/>
        </w:rPr>
        <w:t>[25, 26]</w:t>
      </w:r>
      <w:r w:rsidRPr="007F63BC">
        <w:rPr>
          <w:rFonts w:ascii="Times New Roman" w:hAnsi="Times New Roman"/>
          <w:bCs/>
          <w:noProof/>
          <w:sz w:val="20"/>
          <w:szCs w:val="20"/>
        </w:rPr>
        <w:fldChar w:fldCharType="end"/>
      </w:r>
      <w:r w:rsidRPr="007F63BC">
        <w:rPr>
          <w:rFonts w:ascii="Times New Roman" w:hAnsi="Times New Roman"/>
          <w:noProof/>
          <w:sz w:val="20"/>
          <w:szCs w:val="20"/>
        </w:rPr>
        <w:t>. In other studies, Ahmed and Mufty, who developed an analytical method for determining the concentration of mefenamic acid through oxidation of mefenamic acid by Fe</w:t>
      </w:r>
      <w:r w:rsidRPr="007F63BC">
        <w:rPr>
          <w:rFonts w:ascii="Times New Roman" w:hAnsi="Times New Roman"/>
          <w:noProof/>
          <w:sz w:val="20"/>
          <w:szCs w:val="20"/>
          <w:vertAlign w:val="superscript"/>
        </w:rPr>
        <w:t>3+</w:t>
      </w:r>
      <w:r w:rsidRPr="007F63BC">
        <w:rPr>
          <w:rFonts w:ascii="Times New Roman" w:hAnsi="Times New Roman"/>
          <w:noProof/>
          <w:sz w:val="20"/>
          <w:szCs w:val="20"/>
        </w:rPr>
        <w:t xml:space="preserve"> and reacted with phenanthroline, gave the degree of correlation </w:t>
      </w:r>
      <w:r w:rsidRPr="007F63BC">
        <w:rPr>
          <w:rFonts w:ascii="Times New Roman" w:hAnsi="Times New Roman"/>
          <w:noProof/>
          <w:sz w:val="20"/>
          <w:szCs w:val="20"/>
        </w:rPr>
        <w:t xml:space="preserve">coefficient was 0.9993 </w:t>
      </w:r>
      <w:r w:rsidRPr="007F63BC">
        <w:rPr>
          <w:rFonts w:ascii="Times New Roman" w:hAnsi="Times New Roman"/>
          <w:bCs/>
          <w:noProof/>
          <w:sz w:val="20"/>
          <w:szCs w:val="20"/>
        </w:rPr>
        <w:fldChar w:fldCharType="begin"/>
      </w:r>
      <w:r w:rsidRPr="007F63BC">
        <w:rPr>
          <w:rFonts w:ascii="Times New Roman" w:hAnsi="Times New Roman"/>
          <w:bCs/>
          <w:noProof/>
          <w:sz w:val="20"/>
          <w:szCs w:val="20"/>
        </w:rPr>
        <w:instrText xml:space="preserve"> ADDIN ZOTERO_ITEM CSL_CITATION {"citationID":"t0KVsrpk","properties":{"formattedCitation":"\\super [8]\\nosupersub{}","plainCitation":"[8]","noteIndex":0},"citationItems":[{"id":293,"uris":["http://zotero.org/users/local/r3dkgwH4/items/4I6HZZ2M"],"uri":["http://zotero.org/users/local/r3dkgwH4/items/4I6HZZ2M"],"itemData":{"id":293,"type":"article-journal","abstract":"A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Ahmed","given":"Nief"}],"issued":{"date-parts":[["2009",9,1]]}}}],"schema":"https://github.com/citation-style-language/schema/raw/master/csl-citation.json"} </w:instrText>
      </w:r>
      <w:r w:rsidRPr="007F63BC">
        <w:rPr>
          <w:rFonts w:ascii="Times New Roman" w:hAnsi="Times New Roman"/>
          <w:bCs/>
          <w:noProof/>
          <w:sz w:val="20"/>
          <w:szCs w:val="20"/>
        </w:rPr>
        <w:fldChar w:fldCharType="separate"/>
      </w:r>
      <w:r w:rsidRPr="007F63BC">
        <w:rPr>
          <w:rFonts w:ascii="Times New Roman" w:hAnsi="Times New Roman"/>
          <w:noProof/>
          <w:sz w:val="20"/>
          <w:szCs w:val="20"/>
        </w:rPr>
        <w:t>[8]</w:t>
      </w:r>
      <w:r w:rsidRPr="007F63BC">
        <w:rPr>
          <w:rFonts w:ascii="Times New Roman" w:hAnsi="Times New Roman"/>
          <w:bCs/>
          <w:noProof/>
          <w:sz w:val="20"/>
          <w:szCs w:val="20"/>
        </w:rPr>
        <w:fldChar w:fldCharType="end"/>
      </w:r>
      <w:r w:rsidRPr="007F63BC">
        <w:rPr>
          <w:rFonts w:ascii="Times New Roman" w:hAnsi="Times New Roman"/>
          <w:noProof/>
          <w:sz w:val="20"/>
          <w:szCs w:val="20"/>
        </w:rPr>
        <w:t xml:space="preserve">. Whereas in the research of Raza et al., who developed the method of determining mefenamic acid through the reaction of mefenamic acid with chloranil, which produced violet color, the degree of correlation coefficient was 0.9996 </w:t>
      </w:r>
      <w:r w:rsidRPr="007F63BC">
        <w:rPr>
          <w:rFonts w:ascii="Times New Roman" w:hAnsi="Times New Roman"/>
          <w:bCs/>
          <w:noProof/>
          <w:sz w:val="20"/>
          <w:szCs w:val="20"/>
        </w:rPr>
        <w:fldChar w:fldCharType="begin"/>
      </w:r>
      <w:r w:rsidRPr="007F63BC">
        <w:rPr>
          <w:rFonts w:ascii="Times New Roman" w:hAnsi="Times New Roman"/>
          <w:bCs/>
          <w:noProof/>
          <w:sz w:val="20"/>
          <w:szCs w:val="20"/>
        </w:rPr>
        <w:instrText xml:space="preserve"> ADDIN ZOTERO_ITEM CSL_CITATION {"citationID":"SqGVeXqM","properties":{"formattedCitation":"\\super [9]\\nosupersub{}","plainCitation":"[9]","noteIndex":0},"citationItems":[{"id":290,"uris":["http://zotero.org/users/local/r3dkgwH4/items/K4Y3QMJK"],"uri":["http://zotero.org/users/local/r3dkgwH4/items/K4Y3QMJK"],"itemData":{"id":290,"type":"article-journal","abstract":"The present paper describes an effective and low-cost spectrophotometric method for the determination of mefenamic acid in its pure form and pharmaceutical preparations. The method is based on the charge-transfer complexation between mefenamic acid as an n-electron donor and chloranil as a π-acceptor to form a violet chromogen measured at 540 nm. Under the optimum conditions, a linear relationship with a good correlation coefficient (0.9996) was found between the absorbance and concentration of the studied drug in the range of 10–60 μg/mL. The optimal reaction conditions such as reagent concentration, heating time, and stability of the reaction product were determined. The limit of detection (LOD) was 2.16 μg/mL and the limit of quantifycation (LOQ) was 7.15 μg/mL. The method was successfully applied to the determination of mefenamic acid in pharmaceutical preparations without any interference from common excipients.","container-title":"Journal of Analytical Chemistry","DOI":"10.1134/S106193480803009X","ISSN":"1608-3199","issue":"3","journalAbbreviation":"J Anal Chem","language":"en","page":"244-247","source":"Springer Link","title":"Spectrophotometric determination of mefenamic acid in pharmaceutical preparations","volume":"63","author":[{"family":"Raza","given":"A."}],"issued":{"date-parts":[["2008",3,1]]}}}],"schema":"https://github.com/citation-style-language/schema/raw/master/csl-citation.json"} </w:instrText>
      </w:r>
      <w:r w:rsidRPr="007F63BC">
        <w:rPr>
          <w:rFonts w:ascii="Times New Roman" w:hAnsi="Times New Roman"/>
          <w:bCs/>
          <w:noProof/>
          <w:sz w:val="20"/>
          <w:szCs w:val="20"/>
        </w:rPr>
        <w:fldChar w:fldCharType="separate"/>
      </w:r>
      <w:r w:rsidRPr="007F63BC">
        <w:rPr>
          <w:rFonts w:ascii="Times New Roman" w:hAnsi="Times New Roman"/>
          <w:noProof/>
          <w:sz w:val="20"/>
          <w:szCs w:val="20"/>
        </w:rPr>
        <w:t>[9]</w:t>
      </w:r>
      <w:r w:rsidRPr="007F63BC">
        <w:rPr>
          <w:rFonts w:ascii="Times New Roman" w:hAnsi="Times New Roman"/>
          <w:bCs/>
          <w:noProof/>
          <w:sz w:val="20"/>
          <w:szCs w:val="20"/>
        </w:rPr>
        <w:fldChar w:fldCharType="end"/>
      </w:r>
      <w:r w:rsidRPr="007F63BC">
        <w:rPr>
          <w:rFonts w:ascii="Times New Roman" w:hAnsi="Times New Roman"/>
          <w:noProof/>
          <w:sz w:val="20"/>
          <w:szCs w:val="20"/>
        </w:rPr>
        <w:t>.</w:t>
      </w:r>
    </w:p>
    <w:p w14:paraId="492958DB" w14:textId="77777777" w:rsidR="0088108D" w:rsidRDefault="0088108D" w:rsidP="007F63BC">
      <w:pPr>
        <w:spacing w:after="0"/>
        <w:jc w:val="both"/>
        <w:outlineLvl w:val="0"/>
        <w:rPr>
          <w:rFonts w:ascii="Times New Roman" w:hAnsi="Times New Roman"/>
          <w:noProof/>
          <w:sz w:val="20"/>
          <w:szCs w:val="20"/>
        </w:rPr>
      </w:pPr>
    </w:p>
    <w:p w14:paraId="6482CF32" w14:textId="77777777" w:rsidR="000637B8" w:rsidRDefault="000637B8" w:rsidP="000637B8">
      <w:pPr>
        <w:spacing w:after="0"/>
        <w:jc w:val="both"/>
        <w:rPr>
          <w:rFonts w:ascii="Times New Roman" w:hAnsi="Times New Roman"/>
          <w:noProof/>
          <w:sz w:val="20"/>
          <w:szCs w:val="20"/>
        </w:rPr>
      </w:pPr>
      <w:r w:rsidRPr="007F63BC">
        <w:rPr>
          <w:rFonts w:ascii="Times New Roman" w:hAnsi="Times New Roman"/>
          <w:noProof/>
          <w:sz w:val="20"/>
          <w:szCs w:val="20"/>
        </w:rPr>
        <w:t xml:space="preserve">On the other hand, measuring mefenamic acid based on N-bromosuccinimide's oxidation reaction produced a yellow color with a linear degree of correlation coefficient of 0.9999 </w:t>
      </w:r>
      <w:r w:rsidRPr="007F63BC">
        <w:rPr>
          <w:rFonts w:ascii="Times New Roman" w:hAnsi="Times New Roman"/>
          <w:bCs/>
          <w:noProof/>
          <w:sz w:val="20"/>
          <w:szCs w:val="20"/>
        </w:rPr>
        <w:fldChar w:fldCharType="begin"/>
      </w:r>
      <w:r w:rsidRPr="007F63BC">
        <w:rPr>
          <w:rFonts w:ascii="Times New Roman" w:hAnsi="Times New Roman"/>
          <w:bCs/>
          <w:noProof/>
          <w:sz w:val="20"/>
          <w:szCs w:val="20"/>
        </w:rPr>
        <w:instrText xml:space="preserve"> ADDIN ZOTERO_ITEM CSL_CITATION {"citationID":"0LzutnoD","properties":{"formattedCitation":"\\super [27]\\nosupersub{}","plainCitation":"[27]","noteIndex":0},"citationItems":[{"id":321,"uris":["http://zotero.org/users/local/r3dkgwH4/items/YJDKL42P"],"uri":["http://zotero.org/users/local/r3dkgwH4/items/YJDKL42P"],"itemData":{"id":321,"type":"article-journal","container-title":"Asian Journal of Chemistry","ISSN":"0970-7077","issue":"1","journalAbbreviation":"Asian Journal of Chemistry","note":"publisher: Citeseer","page":"217","title":"Spectrophotometric determination of mefenamic acid in pharmaceutical preparations","volume":"21","author":[{"family":"Alarfaj","given":"NA"},{"family":"Altamimi","given":"SA"},{"family":"Almarshady","given":"LZ"}],"issued":{"date-parts":[["2009"]]}}}],"schema":"https://github.com/citation-style-language/schema/raw/master/csl-citation.json"} </w:instrText>
      </w:r>
      <w:r w:rsidRPr="007F63BC">
        <w:rPr>
          <w:rFonts w:ascii="Times New Roman" w:hAnsi="Times New Roman"/>
          <w:bCs/>
          <w:noProof/>
          <w:sz w:val="20"/>
          <w:szCs w:val="20"/>
        </w:rPr>
        <w:fldChar w:fldCharType="separate"/>
      </w:r>
      <w:r w:rsidRPr="007F63BC">
        <w:rPr>
          <w:rFonts w:ascii="Times New Roman" w:hAnsi="Times New Roman"/>
          <w:noProof/>
          <w:sz w:val="20"/>
          <w:szCs w:val="20"/>
        </w:rPr>
        <w:t>[27]</w:t>
      </w:r>
      <w:r w:rsidRPr="007F63BC">
        <w:rPr>
          <w:rFonts w:ascii="Times New Roman" w:hAnsi="Times New Roman"/>
          <w:bCs/>
          <w:noProof/>
          <w:sz w:val="20"/>
          <w:szCs w:val="20"/>
        </w:rPr>
        <w:fldChar w:fldCharType="end"/>
      </w:r>
      <w:r w:rsidRPr="007F63BC">
        <w:rPr>
          <w:rFonts w:ascii="Times New Roman" w:hAnsi="Times New Roman"/>
          <w:noProof/>
          <w:sz w:val="20"/>
          <w:szCs w:val="20"/>
        </w:rPr>
        <w:t xml:space="preserve">. Additionally, the LOD and LOQ calculated based on mefenamic acid standard calibration curves were 0.31 mg/L and 1.04 mg/L, respectively. This result seemed to be better than another report from Raza et al. that obtained the value of 2.16 mg/L for LOD and 7.5 mg/L for LOQ </w:t>
      </w:r>
      <w:r w:rsidRPr="007F63BC">
        <w:rPr>
          <w:rFonts w:ascii="Times New Roman" w:hAnsi="Times New Roman"/>
          <w:bCs/>
          <w:noProof/>
          <w:sz w:val="20"/>
          <w:szCs w:val="20"/>
        </w:rPr>
        <w:fldChar w:fldCharType="begin"/>
      </w:r>
      <w:r w:rsidRPr="007F63BC">
        <w:rPr>
          <w:rFonts w:ascii="Times New Roman" w:hAnsi="Times New Roman"/>
          <w:bCs/>
          <w:noProof/>
          <w:sz w:val="20"/>
          <w:szCs w:val="20"/>
        </w:rPr>
        <w:instrText xml:space="preserve"> ADDIN ZOTERO_ITEM CSL_CITATION {"citationID":"vLWz5qiJ","properties":{"formattedCitation":"\\super [9]\\nosupersub{}","plainCitation":"[9]","noteIndex":0},"citationItems":[{"id":290,"uris":["http://zotero.org/users/local/r3dkgwH4/items/K4Y3QMJK"],"uri":["http://zotero.org/users/local/r3dkgwH4/items/K4Y3QMJK"],"itemData":{"id":290,"type":"article-journal","abstract":"The present paper describes an effective and low-cost spectrophotometric method for the determination of mefenamic acid in its pure form and pharmaceutical preparations. The method is based on the charge-transfer complexation between mefenamic acid as an n-electron donor and chloranil as a π-acceptor to form a violet chromogen measured at 540 nm. Under the optimum conditions, a linear relationship with a good correlation coefficient (0.9996) was found between the absorbance and concentration of the studied drug in the range of 10–60 μg/mL. The optimal reaction conditions such as reagent concentration, heating time, and stability of the reaction product were determined. The limit of detection (LOD) was 2.16 μg/mL and the limit of quantifycation (LOQ) was 7.15 μg/mL. The method was successfully applied to the determination of mefenamic acid in pharmaceutical preparations without any interference from common excipients.","container-title":"Journal of Analytical Chemistry","DOI":"10.1134/S106193480803009X","ISSN":"1608-3199","issue":"3","journalAbbreviation":"J Anal Chem","language":"en","page":"244-247","source":"Springer Link","title":"Spectrophotometric determination of mefenamic acid in pharmaceutical preparations","volume":"63","author":[{"family":"Raza","given":"A."}],"issued":{"date-parts":[["2008",3,1]]}}}],"schema":"https://github.com/citation-style-language/schema/raw/master/csl-citation.json"} </w:instrText>
      </w:r>
      <w:r w:rsidRPr="007F63BC">
        <w:rPr>
          <w:rFonts w:ascii="Times New Roman" w:hAnsi="Times New Roman"/>
          <w:bCs/>
          <w:noProof/>
          <w:sz w:val="20"/>
          <w:szCs w:val="20"/>
        </w:rPr>
        <w:fldChar w:fldCharType="separate"/>
      </w:r>
      <w:r w:rsidRPr="007F63BC">
        <w:rPr>
          <w:rFonts w:ascii="Times New Roman" w:hAnsi="Times New Roman"/>
          <w:noProof/>
          <w:sz w:val="20"/>
          <w:szCs w:val="20"/>
        </w:rPr>
        <w:t>[9]</w:t>
      </w:r>
      <w:r w:rsidRPr="007F63BC">
        <w:rPr>
          <w:rFonts w:ascii="Times New Roman" w:hAnsi="Times New Roman"/>
          <w:bCs/>
          <w:noProof/>
          <w:sz w:val="20"/>
          <w:szCs w:val="20"/>
        </w:rPr>
        <w:fldChar w:fldCharType="end"/>
      </w:r>
      <w:r w:rsidRPr="007F63BC">
        <w:rPr>
          <w:rFonts w:ascii="Times New Roman" w:hAnsi="Times New Roman"/>
          <w:noProof/>
          <w:sz w:val="20"/>
          <w:szCs w:val="20"/>
        </w:rPr>
        <w:t>.</w:t>
      </w:r>
    </w:p>
    <w:p w14:paraId="66CBC2BB" w14:textId="77777777" w:rsidR="000637B8" w:rsidRDefault="000637B8" w:rsidP="007F63BC">
      <w:pPr>
        <w:spacing w:after="0"/>
        <w:jc w:val="both"/>
        <w:outlineLvl w:val="0"/>
        <w:rPr>
          <w:rFonts w:ascii="Times New Roman" w:hAnsi="Times New Roman"/>
          <w:noProof/>
          <w:sz w:val="20"/>
          <w:szCs w:val="20"/>
        </w:rPr>
      </w:pPr>
    </w:p>
    <w:p w14:paraId="6D07EA74" w14:textId="77777777" w:rsidR="000637B8" w:rsidRDefault="000637B8" w:rsidP="000637B8">
      <w:pPr>
        <w:spacing w:after="0"/>
        <w:jc w:val="both"/>
        <w:outlineLvl w:val="0"/>
        <w:rPr>
          <w:rFonts w:ascii="Times New Roman" w:hAnsi="Times New Roman"/>
          <w:noProof/>
          <w:sz w:val="20"/>
          <w:szCs w:val="20"/>
        </w:rPr>
      </w:pPr>
      <w:r w:rsidRPr="00B703AF">
        <w:rPr>
          <w:rFonts w:ascii="Times New Roman" w:hAnsi="Times New Roman"/>
          <w:noProof/>
          <w:sz w:val="20"/>
          <w:szCs w:val="20"/>
        </w:rPr>
        <w:t xml:space="preserve">Accuracy and precision evaluation were done using the standard addition method using three standard </w:t>
      </w:r>
      <w:r w:rsidRPr="00B703AF">
        <w:rPr>
          <w:rFonts w:ascii="Times New Roman" w:hAnsi="Times New Roman"/>
          <w:noProof/>
          <w:sz w:val="20"/>
          <w:szCs w:val="20"/>
        </w:rPr>
        <w:lastRenderedPageBreak/>
        <w:t>concentration levels with three replicate measurements (Table 1). Accuracy performance was obtained from the recovery value of the mefenamic acid added into the sample. The results of the average recovery for each level of concentration was between 90.00% and 93.79%. On the other hand, this method's precision was less than 1.60% and 3.03% for intra-day and inter-day measurements, respectively. Finally, selectivity performance was obtained by adding 1000 mg/L of talk, starch, and PVP solution to the standard solution of mefenamic acid with a concentration of 8.0 mg/L. The selectivity value was observed from the recovery value. The recovery value obtained was between 99.94% and 102.76% (Table 2). This result indicated an appropriate selectivity of the proposed method in the presence of excipient in the matrix sample commonly used in the tablet dosage form.</w:t>
      </w:r>
    </w:p>
    <w:p w14:paraId="7C2D693D" w14:textId="1429539F" w:rsidR="000637B8" w:rsidRDefault="000637B8" w:rsidP="007F63BC">
      <w:pPr>
        <w:spacing w:after="0"/>
        <w:jc w:val="both"/>
        <w:outlineLvl w:val="0"/>
        <w:rPr>
          <w:rFonts w:ascii="Times New Roman" w:hAnsi="Times New Roman"/>
          <w:noProof/>
          <w:sz w:val="20"/>
          <w:szCs w:val="20"/>
        </w:rPr>
      </w:pPr>
    </w:p>
    <w:p w14:paraId="1079A52D" w14:textId="25C25B7B" w:rsidR="000637B8" w:rsidRDefault="000637B8" w:rsidP="007F63BC">
      <w:pPr>
        <w:spacing w:after="0"/>
        <w:jc w:val="both"/>
        <w:outlineLvl w:val="0"/>
        <w:rPr>
          <w:rFonts w:ascii="Times New Roman" w:hAnsi="Times New Roman"/>
          <w:noProof/>
          <w:sz w:val="20"/>
          <w:szCs w:val="20"/>
        </w:rPr>
      </w:pPr>
    </w:p>
    <w:p w14:paraId="2C3C5700" w14:textId="21E26242" w:rsidR="000637B8" w:rsidRDefault="000637B8" w:rsidP="007F63BC">
      <w:pPr>
        <w:spacing w:after="0"/>
        <w:jc w:val="both"/>
        <w:outlineLvl w:val="0"/>
        <w:rPr>
          <w:rFonts w:ascii="Times New Roman" w:hAnsi="Times New Roman"/>
          <w:noProof/>
          <w:sz w:val="20"/>
          <w:szCs w:val="20"/>
        </w:rPr>
      </w:pPr>
    </w:p>
    <w:p w14:paraId="2C35B621" w14:textId="77777777" w:rsidR="000637B8" w:rsidRPr="00B703AF" w:rsidRDefault="000637B8" w:rsidP="000637B8">
      <w:pPr>
        <w:spacing w:after="0"/>
        <w:jc w:val="both"/>
        <w:outlineLvl w:val="0"/>
        <w:rPr>
          <w:rFonts w:ascii="Times New Roman" w:hAnsi="Times New Roman"/>
          <w:b/>
          <w:noProof/>
          <w:color w:val="548DD4" w:themeColor="text2" w:themeTint="99"/>
          <w:sz w:val="20"/>
          <w:szCs w:val="20"/>
        </w:rPr>
      </w:pPr>
      <w:r w:rsidRPr="00B703AF">
        <w:rPr>
          <w:rFonts w:ascii="Times New Roman" w:hAnsi="Times New Roman"/>
          <w:b/>
          <w:noProof/>
          <w:sz w:val="20"/>
          <w:szCs w:val="20"/>
        </w:rPr>
        <w:t xml:space="preserve">Application of mefenamic acid level measurement in tablet </w:t>
      </w:r>
    </w:p>
    <w:p w14:paraId="2398E675" w14:textId="77777777" w:rsidR="000637B8" w:rsidRDefault="000637B8" w:rsidP="000637B8">
      <w:pPr>
        <w:spacing w:after="0"/>
        <w:jc w:val="both"/>
        <w:outlineLvl w:val="0"/>
        <w:rPr>
          <w:rFonts w:ascii="Times New Roman" w:hAnsi="Times New Roman"/>
          <w:noProof/>
          <w:sz w:val="20"/>
          <w:szCs w:val="20"/>
        </w:rPr>
      </w:pPr>
      <w:r w:rsidRPr="00B703AF">
        <w:rPr>
          <w:rFonts w:ascii="Times New Roman" w:hAnsi="Times New Roman"/>
          <w:noProof/>
          <w:sz w:val="20"/>
          <w:szCs w:val="20"/>
        </w:rPr>
        <w:t xml:space="preserve">The proposed visible spectrophotometric method was used to determine the concentration of mefenamic acid in the pharmaceutical tablet. Three different samples of commercially mefenamic acid tablets, namely PNT, GMA, and MFL, with the same batch number were determined. The mefenamic acid concentration in the sample was determined by measuring absorbance at 715 nm using external calibration approaches. Relative average concentration comparing with claim labeled measurement for mefenamic acid tablet labels were between 99% and 103% (Table 3). These results suggested that each sample measured using the proposed method was under the requirements. The Indonesian Pharmacopoeia and British Pharmacopeia stated that mefenamic acid tablets should contain mefenamic acid in the range of 95.0% to 105.0% of the amount stated on the label </w:t>
      </w:r>
      <w:r w:rsidRPr="00B703AF">
        <w:rPr>
          <w:rFonts w:ascii="Times New Roman" w:hAnsi="Times New Roman"/>
          <w:b/>
          <w:noProof/>
          <w:sz w:val="20"/>
          <w:szCs w:val="20"/>
        </w:rPr>
        <w:fldChar w:fldCharType="begin"/>
      </w:r>
      <w:r w:rsidRPr="00B703AF">
        <w:rPr>
          <w:rFonts w:ascii="Times New Roman" w:hAnsi="Times New Roman"/>
          <w:noProof/>
          <w:sz w:val="20"/>
          <w:szCs w:val="20"/>
        </w:rPr>
        <w:instrText xml:space="preserve"> ADDIN ZOTERO_ITEM CSL_CITATION {"citationID":"pJ47SKCz","properties":{"formattedCitation":"\\super [28,29]\\nosupersub{}","plainCitation":"[28,29]","noteIndex":0},"citationItems":[{"id":322,"uris":["http://zotero.org/users/local/r3dkgwH4/items/I9SZI6NP"],"uri":["http://zotero.org/users/local/r3dkgwH4/items/I9SZI6NP"],"itemData":{"id":322,"type":"article-journal","container-title":"Jakarta: Depkes RI","journalAbbreviation":"Jakarta: Depkes RI","title":"Farmakope Indonesia Edisi Keempat","author":[{"family":"Depkes","given":"RI"}],"issued":{"date-parts":[["1995"]]}},"label":"page"},{"id":323,"uris":["http://zotero.org/users/local/r3dkgwH4/items/RHAABHIC"],"uri":["http://zotero.org/users/local/r3dkgwH4/items/RHAABHIC"],"itemData":{"id":323,"type":"article-journal","container-title":"London: Medicines and Healthcare Products Regulatory Agency (MHRA)","journalAbbreviation":"London: Medicines and Healthcare Products Regulatory Agency (MHRA)","page":"4788","title":"British Pharmacopoeia, Volume I &amp; II","author":[{"family":"Pharmacopoeia","given":"British"}],"issued":{"date-parts":[["2009"]]}},"label":"page"}],"schema":"https://github.com/citation-style-language/schema/raw/master/csl-citation.json"} </w:instrText>
      </w:r>
      <w:r w:rsidRPr="00B703AF">
        <w:rPr>
          <w:rFonts w:ascii="Times New Roman" w:hAnsi="Times New Roman"/>
          <w:b/>
          <w:noProof/>
          <w:sz w:val="20"/>
          <w:szCs w:val="20"/>
        </w:rPr>
        <w:fldChar w:fldCharType="separate"/>
      </w:r>
      <w:r w:rsidRPr="00B703AF">
        <w:rPr>
          <w:rFonts w:ascii="Times New Roman" w:hAnsi="Times New Roman"/>
          <w:noProof/>
          <w:sz w:val="20"/>
          <w:szCs w:val="20"/>
        </w:rPr>
        <w:t>[28, 29]</w:t>
      </w:r>
      <w:r w:rsidRPr="00B703AF">
        <w:rPr>
          <w:rFonts w:ascii="Times New Roman" w:hAnsi="Times New Roman"/>
          <w:b/>
          <w:noProof/>
          <w:sz w:val="20"/>
          <w:szCs w:val="20"/>
        </w:rPr>
        <w:fldChar w:fldCharType="end"/>
      </w:r>
      <w:r w:rsidRPr="00B703AF">
        <w:rPr>
          <w:rFonts w:ascii="Times New Roman" w:hAnsi="Times New Roman"/>
          <w:noProof/>
          <w:sz w:val="20"/>
          <w:szCs w:val="20"/>
        </w:rPr>
        <w:t>.</w:t>
      </w:r>
    </w:p>
    <w:p w14:paraId="5C89A8EB" w14:textId="3BCDE182" w:rsidR="000637B8" w:rsidRDefault="000637B8" w:rsidP="007F63BC">
      <w:pPr>
        <w:spacing w:after="0"/>
        <w:jc w:val="both"/>
        <w:outlineLvl w:val="0"/>
        <w:rPr>
          <w:rFonts w:ascii="Times New Roman" w:hAnsi="Times New Roman"/>
          <w:noProof/>
          <w:sz w:val="20"/>
          <w:szCs w:val="20"/>
        </w:rPr>
        <w:sectPr w:rsidR="000637B8" w:rsidSect="0088108D">
          <w:footerReference w:type="default" r:id="rId20"/>
          <w:type w:val="continuous"/>
          <w:pgSz w:w="12240" w:h="15840" w:code="1"/>
          <w:pgMar w:top="1800" w:right="1469" w:bottom="1699" w:left="1440" w:header="706" w:footer="706" w:gutter="0"/>
          <w:pgNumType w:start="1"/>
          <w:cols w:num="2" w:space="403"/>
          <w:docGrid w:linePitch="360"/>
        </w:sectPr>
      </w:pPr>
    </w:p>
    <w:p w14:paraId="717D69B8" w14:textId="7825C87F" w:rsidR="002D7255" w:rsidRDefault="002D7255" w:rsidP="007F63BC">
      <w:pPr>
        <w:spacing w:after="0"/>
        <w:jc w:val="both"/>
        <w:outlineLvl w:val="0"/>
        <w:rPr>
          <w:rFonts w:ascii="Times New Roman" w:hAnsi="Times New Roman"/>
          <w:noProof/>
          <w:sz w:val="20"/>
          <w:szCs w:val="20"/>
        </w:rPr>
      </w:pPr>
    </w:p>
    <w:p w14:paraId="05728EF1" w14:textId="77777777" w:rsidR="002D7255" w:rsidRPr="007F63BC" w:rsidRDefault="002D7255" w:rsidP="007F63BC">
      <w:pPr>
        <w:spacing w:after="0"/>
        <w:jc w:val="both"/>
        <w:outlineLvl w:val="0"/>
        <w:rPr>
          <w:rFonts w:ascii="Times New Roman" w:hAnsi="Times New Roman"/>
          <w:noProof/>
          <w:sz w:val="20"/>
          <w:szCs w:val="20"/>
        </w:rPr>
      </w:pPr>
    </w:p>
    <w:p w14:paraId="16D9BBCC" w14:textId="16E25F3D" w:rsidR="007F63BC" w:rsidRPr="007F63BC" w:rsidRDefault="007F63BC" w:rsidP="002D7255">
      <w:pPr>
        <w:spacing w:after="120"/>
        <w:jc w:val="center"/>
        <w:outlineLvl w:val="0"/>
        <w:rPr>
          <w:rFonts w:ascii="Times New Roman" w:hAnsi="Times New Roman"/>
          <w:noProof/>
          <w:sz w:val="20"/>
          <w:szCs w:val="20"/>
        </w:rPr>
      </w:pPr>
      <w:r w:rsidRPr="007F63BC">
        <w:rPr>
          <w:rFonts w:ascii="Times New Roman" w:hAnsi="Times New Roman"/>
          <w:noProof/>
          <w:sz w:val="20"/>
          <w:szCs w:val="20"/>
        </w:rPr>
        <w:drawing>
          <wp:inline distT="0" distB="0" distL="0" distR="0" wp14:anchorId="3A7D8E7A" wp14:editId="7DCFBD2D">
            <wp:extent cx="3466021" cy="2239364"/>
            <wp:effectExtent l="19050" t="19050" r="20320" b="27940"/>
            <wp:docPr id="3" name="Picture 3" descr="D:\Menulis Jurnal\Jurnal MJAS 2020\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enulis Jurnal\Jurnal MJAS 2020\Figure 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93602" cy="2257184"/>
                    </a:xfrm>
                    <a:prstGeom prst="rect">
                      <a:avLst/>
                    </a:prstGeom>
                    <a:noFill/>
                    <a:ln>
                      <a:solidFill>
                        <a:schemeClr val="tx1"/>
                      </a:solidFill>
                    </a:ln>
                  </pic:spPr>
                </pic:pic>
              </a:graphicData>
            </a:graphic>
          </wp:inline>
        </w:drawing>
      </w:r>
    </w:p>
    <w:p w14:paraId="3A062D05" w14:textId="34D54C37" w:rsidR="007F63BC" w:rsidRPr="007F63BC" w:rsidRDefault="007F63BC" w:rsidP="007F63BC">
      <w:pPr>
        <w:spacing w:after="0"/>
        <w:ind w:left="851" w:hanging="851"/>
        <w:jc w:val="both"/>
        <w:outlineLvl w:val="0"/>
        <w:rPr>
          <w:rFonts w:ascii="Times New Roman" w:hAnsi="Times New Roman"/>
          <w:noProof/>
          <w:sz w:val="20"/>
          <w:szCs w:val="20"/>
        </w:rPr>
      </w:pPr>
      <w:r w:rsidRPr="007F63BC">
        <w:rPr>
          <w:rFonts w:ascii="Times New Roman" w:hAnsi="Times New Roman"/>
          <w:noProof/>
          <w:sz w:val="20"/>
          <w:szCs w:val="20"/>
        </w:rPr>
        <w:t xml:space="preserve">Figure 4. </w:t>
      </w:r>
      <w:r w:rsidR="002D7255">
        <w:rPr>
          <w:rFonts w:ascii="Times New Roman" w:hAnsi="Times New Roman"/>
          <w:noProof/>
          <w:sz w:val="20"/>
          <w:szCs w:val="20"/>
        </w:rPr>
        <w:tab/>
      </w:r>
      <w:r w:rsidRPr="007F63BC">
        <w:rPr>
          <w:rFonts w:ascii="Times New Roman" w:hAnsi="Times New Roman"/>
          <w:noProof/>
          <w:sz w:val="20"/>
          <w:szCs w:val="20"/>
        </w:rPr>
        <w:t>Linear regression calibration curve for mefenamic acid's standard solution in the concentration range of 3.0 mg/L to 14.0 mg/L (n = 3)</w:t>
      </w:r>
    </w:p>
    <w:p w14:paraId="19F9DD3B" w14:textId="75D9B7DD" w:rsidR="007F63BC" w:rsidRDefault="007F63BC" w:rsidP="007F63BC">
      <w:pPr>
        <w:spacing w:after="0"/>
        <w:jc w:val="both"/>
        <w:outlineLvl w:val="0"/>
        <w:rPr>
          <w:rFonts w:ascii="Times New Roman" w:hAnsi="Times New Roman"/>
          <w:noProof/>
          <w:sz w:val="20"/>
          <w:szCs w:val="20"/>
        </w:rPr>
      </w:pPr>
    </w:p>
    <w:p w14:paraId="3C6F89FA" w14:textId="77777777" w:rsidR="002D7255" w:rsidRPr="007F63BC" w:rsidRDefault="002D7255" w:rsidP="007F63BC">
      <w:pPr>
        <w:spacing w:after="0"/>
        <w:jc w:val="both"/>
        <w:outlineLvl w:val="0"/>
        <w:rPr>
          <w:rFonts w:ascii="Times New Roman" w:hAnsi="Times New Roman"/>
          <w:noProof/>
          <w:sz w:val="20"/>
          <w:szCs w:val="20"/>
        </w:rPr>
      </w:pPr>
    </w:p>
    <w:p w14:paraId="7818B9A6" w14:textId="67970911" w:rsidR="002D7255" w:rsidRDefault="002D7255" w:rsidP="002D7255">
      <w:pPr>
        <w:spacing w:after="0"/>
        <w:jc w:val="both"/>
        <w:rPr>
          <w:rFonts w:ascii="Times New Roman" w:hAnsi="Times New Roman"/>
          <w:noProof/>
          <w:sz w:val="20"/>
          <w:szCs w:val="20"/>
        </w:rPr>
      </w:pPr>
    </w:p>
    <w:p w14:paraId="2843C371" w14:textId="2AB778F8" w:rsidR="002D7255" w:rsidRDefault="002D7255" w:rsidP="002D7255">
      <w:pPr>
        <w:spacing w:after="0"/>
        <w:jc w:val="both"/>
        <w:rPr>
          <w:rFonts w:ascii="Times New Roman" w:hAnsi="Times New Roman"/>
          <w:noProof/>
          <w:sz w:val="20"/>
          <w:szCs w:val="20"/>
        </w:rPr>
      </w:pPr>
    </w:p>
    <w:p w14:paraId="5BA890D8" w14:textId="6CC984A2" w:rsidR="00B703AF" w:rsidRDefault="00B703AF" w:rsidP="002D7255">
      <w:pPr>
        <w:spacing w:after="0"/>
        <w:jc w:val="both"/>
        <w:rPr>
          <w:rFonts w:ascii="Times New Roman" w:hAnsi="Times New Roman"/>
          <w:noProof/>
          <w:sz w:val="20"/>
          <w:szCs w:val="20"/>
        </w:rPr>
      </w:pPr>
    </w:p>
    <w:p w14:paraId="09F236B6" w14:textId="2C29A156" w:rsidR="00B703AF" w:rsidRDefault="00B703AF" w:rsidP="002D7255">
      <w:pPr>
        <w:spacing w:after="0"/>
        <w:jc w:val="both"/>
        <w:rPr>
          <w:rFonts w:ascii="Times New Roman" w:hAnsi="Times New Roman"/>
          <w:noProof/>
          <w:sz w:val="20"/>
          <w:szCs w:val="20"/>
        </w:rPr>
      </w:pPr>
    </w:p>
    <w:p w14:paraId="4AFC5C99" w14:textId="4E7923C3" w:rsidR="00B703AF" w:rsidRDefault="00B703AF" w:rsidP="002D7255">
      <w:pPr>
        <w:spacing w:after="0"/>
        <w:jc w:val="both"/>
        <w:rPr>
          <w:rFonts w:ascii="Times New Roman" w:hAnsi="Times New Roman"/>
          <w:noProof/>
          <w:sz w:val="20"/>
          <w:szCs w:val="20"/>
        </w:rPr>
      </w:pPr>
    </w:p>
    <w:p w14:paraId="185DC2F0" w14:textId="77777777" w:rsidR="00B703AF" w:rsidRDefault="00B703AF" w:rsidP="002D7255">
      <w:pPr>
        <w:spacing w:after="0"/>
        <w:jc w:val="both"/>
        <w:rPr>
          <w:rFonts w:ascii="Times New Roman" w:hAnsi="Times New Roman"/>
          <w:noProof/>
          <w:sz w:val="20"/>
          <w:szCs w:val="20"/>
        </w:rPr>
      </w:pPr>
    </w:p>
    <w:p w14:paraId="7D61C4F8" w14:textId="77777777" w:rsidR="002D7255" w:rsidRDefault="002D7255" w:rsidP="002D7255">
      <w:pPr>
        <w:pStyle w:val="HTMLPreformatted"/>
        <w:spacing w:line="276" w:lineRule="auto"/>
        <w:ind w:left="706" w:hanging="706"/>
        <w:jc w:val="center"/>
        <w:rPr>
          <w:rFonts w:ascii="Times New Roman" w:hAnsi="Times New Roman" w:cs="Times New Roman"/>
          <w:noProof/>
        </w:rPr>
      </w:pPr>
      <w:r w:rsidRPr="002D7255">
        <w:rPr>
          <w:rFonts w:ascii="Times New Roman" w:hAnsi="Times New Roman" w:cs="Times New Roman"/>
          <w:noProof/>
        </w:rPr>
        <w:lastRenderedPageBreak/>
        <w:t xml:space="preserve">Table 1. </w:t>
      </w:r>
      <w:r>
        <w:rPr>
          <w:rFonts w:ascii="Times New Roman" w:hAnsi="Times New Roman" w:cs="Times New Roman"/>
          <w:noProof/>
        </w:rPr>
        <w:t xml:space="preserve"> </w:t>
      </w:r>
      <w:r w:rsidRPr="002D7255">
        <w:rPr>
          <w:rFonts w:ascii="Times New Roman" w:hAnsi="Times New Roman" w:cs="Times New Roman"/>
          <w:noProof/>
        </w:rPr>
        <w:t xml:space="preserve">Accuracy and precision of mefenamic acid spectrophotometric measurement using </w:t>
      </w:r>
    </w:p>
    <w:p w14:paraId="5066FFC2" w14:textId="2CD83479" w:rsidR="002D7255" w:rsidRPr="002D7255" w:rsidRDefault="002D7255" w:rsidP="002D7255">
      <w:pPr>
        <w:pStyle w:val="HTMLPreformatted"/>
        <w:spacing w:after="120" w:line="276" w:lineRule="auto"/>
        <w:ind w:left="706" w:hanging="706"/>
        <w:jc w:val="center"/>
        <w:rPr>
          <w:rFonts w:ascii="Times New Roman" w:hAnsi="Times New Roman" w:cs="Times New Roman"/>
          <w:noProof/>
        </w:rPr>
      </w:pPr>
      <w:r w:rsidRPr="002D7255">
        <w:rPr>
          <w:rFonts w:ascii="Times New Roman" w:eastAsiaTheme="minorHAnsi" w:hAnsi="Times New Roman" w:cs="Times New Roman"/>
          <w:noProof/>
          <w:color w:val="242021"/>
        </w:rPr>
        <w:t>standard addition method</w:t>
      </w:r>
      <w:r w:rsidRPr="002D7255">
        <w:rPr>
          <w:rFonts w:ascii="Times New Roman" w:eastAsiaTheme="minorHAnsi" w:hAnsi="Times New Roman" w:cs="Times New Roman"/>
          <w:noProof/>
        </w:rPr>
        <w:t xml:space="preserve"> </w:t>
      </w:r>
      <w:r w:rsidRPr="002D7255">
        <w:rPr>
          <w:rFonts w:ascii="Times New Roman" w:hAnsi="Times New Roman" w:cs="Times New Roman"/>
          <w:noProof/>
        </w:rPr>
        <w:t>(n = 3)</w:t>
      </w:r>
    </w:p>
    <w:tbl>
      <w:tblPr>
        <w:tblW w:w="4855" w:type="pct"/>
        <w:jc w:val="center"/>
        <w:tblCellMar>
          <w:top w:w="28" w:type="dxa"/>
          <w:left w:w="28" w:type="dxa"/>
          <w:bottom w:w="28" w:type="dxa"/>
          <w:right w:w="28" w:type="dxa"/>
        </w:tblCellMar>
        <w:tblLook w:val="04A0" w:firstRow="1" w:lastRow="0" w:firstColumn="1" w:lastColumn="0" w:noHBand="0" w:noVBand="1"/>
      </w:tblPr>
      <w:tblGrid>
        <w:gridCol w:w="1114"/>
        <w:gridCol w:w="866"/>
        <w:gridCol w:w="1788"/>
        <w:gridCol w:w="1451"/>
        <w:gridCol w:w="1196"/>
        <w:gridCol w:w="1451"/>
        <w:gridCol w:w="1194"/>
      </w:tblGrid>
      <w:tr w:rsidR="002D7255" w:rsidRPr="002D7255" w14:paraId="55AA0515" w14:textId="77777777" w:rsidTr="002D7255">
        <w:trPr>
          <w:trHeight w:val="20"/>
          <w:jc w:val="center"/>
        </w:trPr>
        <w:tc>
          <w:tcPr>
            <w:tcW w:w="614" w:type="pct"/>
            <w:vMerge w:val="restart"/>
            <w:tcBorders>
              <w:top w:val="single" w:sz="4" w:space="0" w:color="auto"/>
            </w:tcBorders>
            <w:vAlign w:val="center"/>
            <w:hideMark/>
          </w:tcPr>
          <w:p w14:paraId="1A6E868D" w14:textId="77777777" w:rsidR="002D7255" w:rsidRPr="002D7255" w:rsidRDefault="002D7255" w:rsidP="002D7255">
            <w:pPr>
              <w:spacing w:after="0"/>
              <w:rPr>
                <w:rFonts w:ascii="Times New Roman" w:hAnsi="Times New Roman"/>
                <w:b/>
                <w:bCs/>
                <w:noProof/>
                <w:w w:val="99"/>
                <w:sz w:val="20"/>
                <w:szCs w:val="20"/>
              </w:rPr>
            </w:pPr>
            <w:r w:rsidRPr="002D7255">
              <w:rPr>
                <w:rFonts w:ascii="Times New Roman" w:hAnsi="Times New Roman"/>
                <w:b/>
                <w:bCs/>
                <w:noProof/>
                <w:w w:val="99"/>
                <w:sz w:val="20"/>
                <w:szCs w:val="20"/>
              </w:rPr>
              <w:t>Level</w:t>
            </w:r>
          </w:p>
          <w:p w14:paraId="1D2C973B" w14:textId="77777777" w:rsidR="002D7255" w:rsidRPr="002D7255" w:rsidRDefault="002D7255" w:rsidP="002D7255">
            <w:pPr>
              <w:spacing w:after="0"/>
              <w:rPr>
                <w:rFonts w:ascii="Times New Roman" w:hAnsi="Times New Roman"/>
                <w:b/>
                <w:bCs/>
                <w:noProof/>
                <w:w w:val="99"/>
                <w:sz w:val="20"/>
                <w:szCs w:val="20"/>
              </w:rPr>
            </w:pPr>
            <w:r w:rsidRPr="002D7255">
              <w:rPr>
                <w:rFonts w:ascii="Times New Roman" w:hAnsi="Times New Roman"/>
                <w:b/>
                <w:bCs/>
                <w:noProof/>
                <w:w w:val="99"/>
                <w:sz w:val="20"/>
                <w:szCs w:val="20"/>
              </w:rPr>
              <w:t>(%)</w:t>
            </w:r>
          </w:p>
        </w:tc>
        <w:tc>
          <w:tcPr>
            <w:tcW w:w="478" w:type="pct"/>
            <w:vMerge w:val="restart"/>
            <w:tcBorders>
              <w:top w:val="single" w:sz="4" w:space="0" w:color="auto"/>
            </w:tcBorders>
            <w:vAlign w:val="center"/>
            <w:hideMark/>
          </w:tcPr>
          <w:p w14:paraId="52B27B43" w14:textId="77777777" w:rsidR="002D7255" w:rsidRPr="002D7255" w:rsidRDefault="002D7255" w:rsidP="002D7255">
            <w:pPr>
              <w:spacing w:after="0"/>
              <w:rPr>
                <w:rFonts w:ascii="Times New Roman" w:hAnsi="Times New Roman"/>
                <w:b/>
                <w:bCs/>
                <w:noProof/>
                <w:w w:val="99"/>
                <w:sz w:val="20"/>
                <w:szCs w:val="20"/>
              </w:rPr>
            </w:pPr>
            <w:r w:rsidRPr="002D7255">
              <w:rPr>
                <w:rFonts w:ascii="Times New Roman" w:hAnsi="Times New Roman"/>
                <w:b/>
                <w:bCs/>
                <w:noProof/>
                <w:w w:val="99"/>
                <w:sz w:val="20"/>
                <w:szCs w:val="20"/>
              </w:rPr>
              <w:t>Sample</w:t>
            </w:r>
          </w:p>
        </w:tc>
        <w:tc>
          <w:tcPr>
            <w:tcW w:w="987" w:type="pct"/>
            <w:vMerge w:val="restart"/>
            <w:tcBorders>
              <w:top w:val="single" w:sz="4" w:space="0" w:color="auto"/>
            </w:tcBorders>
            <w:vAlign w:val="center"/>
            <w:hideMark/>
          </w:tcPr>
          <w:p w14:paraId="242FA876" w14:textId="77777777" w:rsidR="002D7255" w:rsidRPr="002D7255" w:rsidRDefault="002D7255" w:rsidP="002D7255">
            <w:pPr>
              <w:spacing w:after="0"/>
              <w:jc w:val="center"/>
              <w:rPr>
                <w:rFonts w:ascii="Times New Roman" w:hAnsi="Times New Roman"/>
                <w:b/>
                <w:bCs/>
                <w:noProof/>
                <w:w w:val="99"/>
                <w:sz w:val="20"/>
                <w:szCs w:val="20"/>
              </w:rPr>
            </w:pPr>
            <w:r w:rsidRPr="002D7255">
              <w:rPr>
                <w:rFonts w:ascii="Times New Roman" w:hAnsi="Times New Roman"/>
                <w:b/>
                <w:bCs/>
                <w:noProof/>
                <w:w w:val="99"/>
                <w:sz w:val="20"/>
                <w:szCs w:val="20"/>
              </w:rPr>
              <w:t>Mefenamic acid added</w:t>
            </w:r>
          </w:p>
        </w:tc>
        <w:tc>
          <w:tcPr>
            <w:tcW w:w="1461" w:type="pct"/>
            <w:gridSpan w:val="2"/>
            <w:tcBorders>
              <w:top w:val="single" w:sz="4" w:space="0" w:color="auto"/>
              <w:bottom w:val="single" w:sz="4" w:space="0" w:color="auto"/>
            </w:tcBorders>
            <w:vAlign w:val="center"/>
            <w:hideMark/>
          </w:tcPr>
          <w:p w14:paraId="535E78A7" w14:textId="77777777" w:rsidR="002D7255" w:rsidRPr="002D7255" w:rsidRDefault="002D7255" w:rsidP="002D7255">
            <w:pPr>
              <w:spacing w:before="60" w:after="0"/>
              <w:ind w:right="43"/>
              <w:jc w:val="center"/>
              <w:rPr>
                <w:rFonts w:ascii="Times New Roman" w:hAnsi="Times New Roman"/>
                <w:b/>
                <w:bCs/>
                <w:iCs/>
                <w:noProof/>
                <w:sz w:val="20"/>
                <w:szCs w:val="20"/>
              </w:rPr>
            </w:pPr>
            <w:r w:rsidRPr="002D7255">
              <w:rPr>
                <w:rFonts w:ascii="Times New Roman" w:hAnsi="Times New Roman"/>
                <w:b/>
                <w:bCs/>
                <w:iCs/>
                <w:noProof/>
                <w:sz w:val="20"/>
                <w:szCs w:val="20"/>
              </w:rPr>
              <w:t>Intra-day</w:t>
            </w:r>
          </w:p>
        </w:tc>
        <w:tc>
          <w:tcPr>
            <w:tcW w:w="1460" w:type="pct"/>
            <w:gridSpan w:val="2"/>
            <w:tcBorders>
              <w:top w:val="single" w:sz="4" w:space="0" w:color="auto"/>
              <w:bottom w:val="single" w:sz="4" w:space="0" w:color="auto"/>
            </w:tcBorders>
            <w:vAlign w:val="center"/>
            <w:hideMark/>
          </w:tcPr>
          <w:p w14:paraId="6A478AF0" w14:textId="77777777" w:rsidR="002D7255" w:rsidRPr="002D7255" w:rsidRDefault="002D7255" w:rsidP="002D7255">
            <w:pPr>
              <w:spacing w:before="60" w:after="0"/>
              <w:ind w:right="43"/>
              <w:jc w:val="center"/>
              <w:rPr>
                <w:rFonts w:ascii="Times New Roman" w:hAnsi="Times New Roman"/>
                <w:b/>
                <w:bCs/>
                <w:iCs/>
                <w:noProof/>
                <w:sz w:val="20"/>
                <w:szCs w:val="20"/>
              </w:rPr>
            </w:pPr>
            <w:r w:rsidRPr="002D7255">
              <w:rPr>
                <w:rFonts w:ascii="Times New Roman" w:hAnsi="Times New Roman"/>
                <w:b/>
                <w:bCs/>
                <w:iCs/>
                <w:noProof/>
                <w:sz w:val="20"/>
                <w:szCs w:val="20"/>
              </w:rPr>
              <w:t>Inter-day</w:t>
            </w:r>
          </w:p>
        </w:tc>
      </w:tr>
      <w:tr w:rsidR="002D7255" w:rsidRPr="002D7255" w14:paraId="09AA5EEB" w14:textId="77777777" w:rsidTr="002D7255">
        <w:trPr>
          <w:trHeight w:val="20"/>
          <w:jc w:val="center"/>
        </w:trPr>
        <w:tc>
          <w:tcPr>
            <w:tcW w:w="614" w:type="pct"/>
            <w:vMerge/>
            <w:vAlign w:val="center"/>
            <w:hideMark/>
          </w:tcPr>
          <w:p w14:paraId="7691E60B" w14:textId="77777777" w:rsidR="002D7255" w:rsidRPr="002D7255" w:rsidRDefault="002D7255" w:rsidP="002D7255">
            <w:pPr>
              <w:spacing w:after="0"/>
              <w:rPr>
                <w:rFonts w:ascii="Times New Roman" w:hAnsi="Times New Roman"/>
                <w:b/>
                <w:bCs/>
                <w:noProof/>
                <w:w w:val="99"/>
                <w:sz w:val="20"/>
                <w:szCs w:val="20"/>
              </w:rPr>
            </w:pPr>
          </w:p>
        </w:tc>
        <w:tc>
          <w:tcPr>
            <w:tcW w:w="478" w:type="pct"/>
            <w:vMerge/>
            <w:vAlign w:val="center"/>
            <w:hideMark/>
          </w:tcPr>
          <w:p w14:paraId="56333805" w14:textId="77777777" w:rsidR="002D7255" w:rsidRPr="002D7255" w:rsidRDefault="002D7255" w:rsidP="002D7255">
            <w:pPr>
              <w:spacing w:after="0"/>
              <w:rPr>
                <w:rFonts w:ascii="Times New Roman" w:hAnsi="Times New Roman"/>
                <w:b/>
                <w:bCs/>
                <w:noProof/>
                <w:w w:val="99"/>
                <w:sz w:val="20"/>
                <w:szCs w:val="20"/>
              </w:rPr>
            </w:pPr>
          </w:p>
        </w:tc>
        <w:tc>
          <w:tcPr>
            <w:tcW w:w="987" w:type="pct"/>
            <w:vMerge/>
            <w:vAlign w:val="center"/>
            <w:hideMark/>
          </w:tcPr>
          <w:p w14:paraId="05F8F3C2" w14:textId="77777777" w:rsidR="002D7255" w:rsidRPr="002D7255" w:rsidRDefault="002D7255" w:rsidP="002D7255">
            <w:pPr>
              <w:spacing w:after="0"/>
              <w:jc w:val="center"/>
              <w:rPr>
                <w:rFonts w:ascii="Times New Roman" w:hAnsi="Times New Roman"/>
                <w:b/>
                <w:bCs/>
                <w:noProof/>
                <w:w w:val="99"/>
                <w:sz w:val="20"/>
                <w:szCs w:val="20"/>
              </w:rPr>
            </w:pPr>
          </w:p>
        </w:tc>
        <w:tc>
          <w:tcPr>
            <w:tcW w:w="801" w:type="pct"/>
            <w:tcBorders>
              <w:top w:val="single" w:sz="4" w:space="0" w:color="auto"/>
            </w:tcBorders>
            <w:vAlign w:val="center"/>
            <w:hideMark/>
          </w:tcPr>
          <w:p w14:paraId="3AAC0815" w14:textId="77777777" w:rsidR="002D7255" w:rsidRPr="002D7255" w:rsidRDefault="002D7255" w:rsidP="002D7255">
            <w:pPr>
              <w:spacing w:after="0"/>
              <w:ind w:right="21"/>
              <w:jc w:val="center"/>
              <w:rPr>
                <w:rFonts w:ascii="Times New Roman" w:hAnsi="Times New Roman"/>
                <w:b/>
                <w:noProof/>
                <w:sz w:val="20"/>
                <w:szCs w:val="20"/>
              </w:rPr>
            </w:pPr>
            <w:r w:rsidRPr="002D7255">
              <w:rPr>
                <w:rFonts w:ascii="Times New Roman" w:hAnsi="Times New Roman"/>
                <w:b/>
                <w:bCs/>
                <w:noProof/>
                <w:sz w:val="20"/>
                <w:szCs w:val="20"/>
              </w:rPr>
              <w:t>Mefenamic acid found</w:t>
            </w:r>
          </w:p>
        </w:tc>
        <w:tc>
          <w:tcPr>
            <w:tcW w:w="660" w:type="pct"/>
            <w:tcBorders>
              <w:top w:val="single" w:sz="4" w:space="0" w:color="auto"/>
            </w:tcBorders>
            <w:vAlign w:val="center"/>
            <w:hideMark/>
          </w:tcPr>
          <w:p w14:paraId="74BEE6B7" w14:textId="77777777" w:rsidR="002D7255" w:rsidRPr="002D7255" w:rsidRDefault="002D7255" w:rsidP="002D7255">
            <w:pPr>
              <w:spacing w:after="0"/>
              <w:ind w:right="40"/>
              <w:jc w:val="center"/>
              <w:rPr>
                <w:rFonts w:ascii="Times New Roman" w:hAnsi="Times New Roman"/>
                <w:b/>
                <w:noProof/>
                <w:sz w:val="20"/>
                <w:szCs w:val="20"/>
              </w:rPr>
            </w:pPr>
            <w:r w:rsidRPr="002D7255">
              <w:rPr>
                <w:rFonts w:ascii="Times New Roman" w:hAnsi="Times New Roman"/>
                <w:b/>
                <w:bCs/>
                <w:iCs/>
                <w:noProof/>
                <w:sz w:val="20"/>
                <w:szCs w:val="20"/>
              </w:rPr>
              <w:t>Recovery</w:t>
            </w:r>
          </w:p>
        </w:tc>
        <w:tc>
          <w:tcPr>
            <w:tcW w:w="801" w:type="pct"/>
            <w:tcBorders>
              <w:top w:val="single" w:sz="4" w:space="0" w:color="auto"/>
            </w:tcBorders>
            <w:vAlign w:val="center"/>
            <w:hideMark/>
          </w:tcPr>
          <w:p w14:paraId="5AA5F98F" w14:textId="77777777" w:rsidR="002D7255" w:rsidRPr="002D7255" w:rsidRDefault="002D7255" w:rsidP="002D7255">
            <w:pPr>
              <w:spacing w:after="0"/>
              <w:ind w:right="21"/>
              <w:jc w:val="center"/>
              <w:rPr>
                <w:rFonts w:ascii="Times New Roman" w:hAnsi="Times New Roman"/>
                <w:b/>
                <w:noProof/>
                <w:sz w:val="20"/>
                <w:szCs w:val="20"/>
              </w:rPr>
            </w:pPr>
            <w:r w:rsidRPr="002D7255">
              <w:rPr>
                <w:rFonts w:ascii="Times New Roman" w:hAnsi="Times New Roman"/>
                <w:b/>
                <w:bCs/>
                <w:noProof/>
                <w:w w:val="97"/>
                <w:sz w:val="20"/>
                <w:szCs w:val="20"/>
              </w:rPr>
              <w:t>Mefenamic acid found</w:t>
            </w:r>
          </w:p>
        </w:tc>
        <w:tc>
          <w:tcPr>
            <w:tcW w:w="659" w:type="pct"/>
            <w:tcBorders>
              <w:top w:val="single" w:sz="4" w:space="0" w:color="auto"/>
            </w:tcBorders>
            <w:vAlign w:val="center"/>
            <w:hideMark/>
          </w:tcPr>
          <w:p w14:paraId="2C63BF30" w14:textId="77777777" w:rsidR="002D7255" w:rsidRPr="002D7255" w:rsidRDefault="002D7255" w:rsidP="002D7255">
            <w:pPr>
              <w:spacing w:after="0"/>
              <w:ind w:right="40"/>
              <w:jc w:val="center"/>
              <w:rPr>
                <w:rFonts w:ascii="Times New Roman" w:hAnsi="Times New Roman"/>
                <w:b/>
                <w:noProof/>
                <w:sz w:val="20"/>
                <w:szCs w:val="20"/>
              </w:rPr>
            </w:pPr>
            <w:r w:rsidRPr="002D7255">
              <w:rPr>
                <w:rFonts w:ascii="Times New Roman" w:hAnsi="Times New Roman"/>
                <w:b/>
                <w:bCs/>
                <w:iCs/>
                <w:noProof/>
                <w:sz w:val="20"/>
                <w:szCs w:val="20"/>
              </w:rPr>
              <w:t>Recovery</w:t>
            </w:r>
          </w:p>
        </w:tc>
      </w:tr>
      <w:tr w:rsidR="002D7255" w:rsidRPr="002D7255" w14:paraId="3C910286" w14:textId="77777777" w:rsidTr="002D7255">
        <w:trPr>
          <w:trHeight w:val="20"/>
          <w:jc w:val="center"/>
        </w:trPr>
        <w:tc>
          <w:tcPr>
            <w:tcW w:w="614" w:type="pct"/>
            <w:vMerge/>
            <w:tcBorders>
              <w:bottom w:val="single" w:sz="4" w:space="0" w:color="auto"/>
            </w:tcBorders>
            <w:vAlign w:val="center"/>
            <w:hideMark/>
          </w:tcPr>
          <w:p w14:paraId="680825F9" w14:textId="77777777" w:rsidR="002D7255" w:rsidRPr="002D7255" w:rsidRDefault="002D7255" w:rsidP="002D7255">
            <w:pPr>
              <w:spacing w:after="0"/>
              <w:rPr>
                <w:rFonts w:ascii="Times New Roman" w:hAnsi="Times New Roman"/>
                <w:b/>
                <w:bCs/>
                <w:noProof/>
                <w:w w:val="99"/>
                <w:sz w:val="20"/>
                <w:szCs w:val="20"/>
              </w:rPr>
            </w:pPr>
          </w:p>
        </w:tc>
        <w:tc>
          <w:tcPr>
            <w:tcW w:w="478" w:type="pct"/>
            <w:vMerge/>
            <w:tcBorders>
              <w:bottom w:val="single" w:sz="4" w:space="0" w:color="auto"/>
            </w:tcBorders>
            <w:vAlign w:val="center"/>
            <w:hideMark/>
          </w:tcPr>
          <w:p w14:paraId="1BA5C209" w14:textId="77777777" w:rsidR="002D7255" w:rsidRPr="002D7255" w:rsidRDefault="002D7255" w:rsidP="002D7255">
            <w:pPr>
              <w:spacing w:after="0"/>
              <w:rPr>
                <w:rFonts w:ascii="Times New Roman" w:hAnsi="Times New Roman"/>
                <w:b/>
                <w:bCs/>
                <w:noProof/>
                <w:w w:val="99"/>
                <w:sz w:val="20"/>
                <w:szCs w:val="20"/>
              </w:rPr>
            </w:pPr>
          </w:p>
        </w:tc>
        <w:tc>
          <w:tcPr>
            <w:tcW w:w="987" w:type="pct"/>
            <w:tcBorders>
              <w:bottom w:val="single" w:sz="4" w:space="0" w:color="auto"/>
            </w:tcBorders>
            <w:vAlign w:val="center"/>
            <w:hideMark/>
          </w:tcPr>
          <w:p w14:paraId="4111A16C" w14:textId="77777777" w:rsidR="002D7255" w:rsidRPr="002D7255" w:rsidRDefault="002D7255" w:rsidP="002D7255">
            <w:pPr>
              <w:spacing w:after="0"/>
              <w:jc w:val="center"/>
              <w:rPr>
                <w:rFonts w:ascii="Times New Roman" w:hAnsi="Times New Roman"/>
                <w:b/>
                <w:noProof/>
                <w:sz w:val="20"/>
                <w:szCs w:val="20"/>
              </w:rPr>
            </w:pPr>
            <w:r w:rsidRPr="002D7255">
              <w:rPr>
                <w:rFonts w:ascii="Times New Roman" w:hAnsi="Times New Roman"/>
                <w:b/>
                <w:bCs/>
                <w:noProof/>
                <w:sz w:val="20"/>
                <w:szCs w:val="20"/>
              </w:rPr>
              <w:t>(mg/L)</w:t>
            </w:r>
          </w:p>
        </w:tc>
        <w:tc>
          <w:tcPr>
            <w:tcW w:w="801" w:type="pct"/>
            <w:tcBorders>
              <w:bottom w:val="single" w:sz="4" w:space="0" w:color="auto"/>
            </w:tcBorders>
            <w:vAlign w:val="center"/>
            <w:hideMark/>
          </w:tcPr>
          <w:p w14:paraId="5C6A7104" w14:textId="77777777" w:rsidR="002D7255" w:rsidRPr="002D7255" w:rsidRDefault="002D7255" w:rsidP="002D7255">
            <w:pPr>
              <w:spacing w:after="0"/>
              <w:ind w:right="21"/>
              <w:jc w:val="center"/>
              <w:rPr>
                <w:rFonts w:ascii="Times New Roman" w:hAnsi="Times New Roman"/>
                <w:b/>
                <w:noProof/>
                <w:sz w:val="20"/>
                <w:szCs w:val="20"/>
              </w:rPr>
            </w:pPr>
            <w:r w:rsidRPr="002D7255">
              <w:rPr>
                <w:rFonts w:ascii="Times New Roman" w:hAnsi="Times New Roman"/>
                <w:b/>
                <w:bCs/>
                <w:noProof/>
                <w:sz w:val="20"/>
                <w:szCs w:val="20"/>
              </w:rPr>
              <w:t>(mg/L)</w:t>
            </w:r>
          </w:p>
        </w:tc>
        <w:tc>
          <w:tcPr>
            <w:tcW w:w="660" w:type="pct"/>
            <w:tcBorders>
              <w:bottom w:val="single" w:sz="4" w:space="0" w:color="auto"/>
            </w:tcBorders>
            <w:vAlign w:val="center"/>
            <w:hideMark/>
          </w:tcPr>
          <w:p w14:paraId="7A7E9CE9" w14:textId="77777777" w:rsidR="002D7255" w:rsidRPr="002D7255" w:rsidRDefault="002D7255" w:rsidP="002D7255">
            <w:pPr>
              <w:spacing w:after="0"/>
              <w:jc w:val="center"/>
              <w:rPr>
                <w:rFonts w:ascii="Times New Roman" w:hAnsi="Times New Roman"/>
                <w:b/>
                <w:noProof/>
                <w:sz w:val="20"/>
                <w:szCs w:val="20"/>
              </w:rPr>
            </w:pPr>
            <w:r w:rsidRPr="002D7255">
              <w:rPr>
                <w:rFonts w:ascii="Times New Roman" w:hAnsi="Times New Roman"/>
                <w:b/>
                <w:noProof/>
                <w:sz w:val="20"/>
                <w:szCs w:val="20"/>
              </w:rPr>
              <w:t>(%)</w:t>
            </w:r>
          </w:p>
        </w:tc>
        <w:tc>
          <w:tcPr>
            <w:tcW w:w="801" w:type="pct"/>
            <w:tcBorders>
              <w:bottom w:val="single" w:sz="4" w:space="0" w:color="auto"/>
            </w:tcBorders>
            <w:vAlign w:val="center"/>
            <w:hideMark/>
          </w:tcPr>
          <w:p w14:paraId="66569D83" w14:textId="77777777" w:rsidR="002D7255" w:rsidRPr="002D7255" w:rsidRDefault="002D7255" w:rsidP="002D7255">
            <w:pPr>
              <w:spacing w:after="0"/>
              <w:ind w:right="21"/>
              <w:jc w:val="center"/>
              <w:rPr>
                <w:rFonts w:ascii="Times New Roman" w:hAnsi="Times New Roman"/>
                <w:b/>
                <w:noProof/>
                <w:sz w:val="20"/>
                <w:szCs w:val="20"/>
              </w:rPr>
            </w:pPr>
            <w:r w:rsidRPr="002D7255">
              <w:rPr>
                <w:rFonts w:ascii="Times New Roman" w:hAnsi="Times New Roman"/>
                <w:b/>
                <w:bCs/>
                <w:noProof/>
                <w:sz w:val="20"/>
                <w:szCs w:val="20"/>
              </w:rPr>
              <w:t>(mg/L)</w:t>
            </w:r>
          </w:p>
        </w:tc>
        <w:tc>
          <w:tcPr>
            <w:tcW w:w="659" w:type="pct"/>
            <w:tcBorders>
              <w:bottom w:val="single" w:sz="4" w:space="0" w:color="auto"/>
            </w:tcBorders>
            <w:vAlign w:val="center"/>
            <w:hideMark/>
          </w:tcPr>
          <w:p w14:paraId="23E5A8FF" w14:textId="77777777" w:rsidR="002D7255" w:rsidRPr="002D7255" w:rsidRDefault="002D7255" w:rsidP="002D7255">
            <w:pPr>
              <w:spacing w:after="60"/>
              <w:jc w:val="center"/>
              <w:rPr>
                <w:rFonts w:ascii="Times New Roman" w:hAnsi="Times New Roman"/>
                <w:b/>
                <w:noProof/>
                <w:sz w:val="20"/>
                <w:szCs w:val="20"/>
              </w:rPr>
            </w:pPr>
            <w:r w:rsidRPr="002D7255">
              <w:rPr>
                <w:rFonts w:ascii="Times New Roman" w:hAnsi="Times New Roman"/>
                <w:b/>
                <w:noProof/>
                <w:sz w:val="20"/>
                <w:szCs w:val="20"/>
              </w:rPr>
              <w:t>(%)</w:t>
            </w:r>
          </w:p>
        </w:tc>
      </w:tr>
      <w:tr w:rsidR="002D7255" w:rsidRPr="002D7255" w14:paraId="3EB6AB19" w14:textId="77777777" w:rsidTr="002D7255">
        <w:trPr>
          <w:trHeight w:val="20"/>
          <w:jc w:val="center"/>
        </w:trPr>
        <w:tc>
          <w:tcPr>
            <w:tcW w:w="614" w:type="pct"/>
            <w:vMerge w:val="restart"/>
            <w:tcBorders>
              <w:top w:val="single" w:sz="4" w:space="0" w:color="auto"/>
            </w:tcBorders>
            <w:vAlign w:val="center"/>
          </w:tcPr>
          <w:p w14:paraId="7141A4B2" w14:textId="0C4E5247" w:rsidR="002D7255" w:rsidRPr="002D7255" w:rsidRDefault="002D7255" w:rsidP="002D7255">
            <w:pPr>
              <w:spacing w:before="60" w:after="0"/>
              <w:rPr>
                <w:rFonts w:ascii="Times New Roman" w:hAnsi="Times New Roman"/>
                <w:noProof/>
                <w:w w:val="99"/>
                <w:sz w:val="20"/>
                <w:szCs w:val="20"/>
              </w:rPr>
            </w:pPr>
            <w:r w:rsidRPr="002D7255">
              <w:rPr>
                <w:rFonts w:ascii="Times New Roman" w:hAnsi="Times New Roman"/>
                <w:noProof/>
                <w:w w:val="99"/>
                <w:sz w:val="20"/>
                <w:szCs w:val="20"/>
              </w:rPr>
              <w:t>75</w:t>
            </w:r>
          </w:p>
        </w:tc>
        <w:tc>
          <w:tcPr>
            <w:tcW w:w="478" w:type="pct"/>
            <w:tcBorders>
              <w:top w:val="single" w:sz="4" w:space="0" w:color="auto"/>
            </w:tcBorders>
            <w:hideMark/>
          </w:tcPr>
          <w:p w14:paraId="7E583A92" w14:textId="77777777" w:rsidR="002D7255" w:rsidRPr="002D7255" w:rsidRDefault="002D7255" w:rsidP="002D7255">
            <w:pPr>
              <w:spacing w:before="60" w:after="0"/>
              <w:rPr>
                <w:rFonts w:ascii="Times New Roman" w:hAnsi="Times New Roman"/>
                <w:noProof/>
                <w:sz w:val="20"/>
                <w:szCs w:val="20"/>
              </w:rPr>
            </w:pPr>
            <w:r w:rsidRPr="002D7255">
              <w:rPr>
                <w:rFonts w:ascii="Times New Roman" w:hAnsi="Times New Roman"/>
                <w:noProof/>
                <w:w w:val="99"/>
                <w:sz w:val="20"/>
                <w:szCs w:val="20"/>
              </w:rPr>
              <w:t>1</w:t>
            </w:r>
          </w:p>
        </w:tc>
        <w:tc>
          <w:tcPr>
            <w:tcW w:w="987" w:type="pct"/>
            <w:tcBorders>
              <w:top w:val="single" w:sz="4" w:space="0" w:color="auto"/>
            </w:tcBorders>
            <w:hideMark/>
          </w:tcPr>
          <w:p w14:paraId="19CBE143" w14:textId="77777777" w:rsidR="002D7255" w:rsidRPr="002D7255" w:rsidRDefault="002D7255" w:rsidP="002D7255">
            <w:pPr>
              <w:spacing w:before="60" w:after="0"/>
              <w:jc w:val="center"/>
              <w:rPr>
                <w:rFonts w:ascii="Times New Roman" w:hAnsi="Times New Roman"/>
                <w:noProof/>
                <w:sz w:val="20"/>
                <w:szCs w:val="20"/>
              </w:rPr>
            </w:pPr>
            <w:r w:rsidRPr="002D7255">
              <w:rPr>
                <w:rFonts w:ascii="Times New Roman" w:hAnsi="Times New Roman"/>
                <w:noProof/>
                <w:w w:val="99"/>
                <w:sz w:val="20"/>
                <w:szCs w:val="20"/>
              </w:rPr>
              <w:t>6.00</w:t>
            </w:r>
          </w:p>
        </w:tc>
        <w:tc>
          <w:tcPr>
            <w:tcW w:w="801" w:type="pct"/>
            <w:tcBorders>
              <w:top w:val="single" w:sz="4" w:space="0" w:color="auto"/>
            </w:tcBorders>
            <w:vAlign w:val="center"/>
            <w:hideMark/>
          </w:tcPr>
          <w:p w14:paraId="3D8D824F" w14:textId="77777777" w:rsidR="002D7255" w:rsidRPr="002D7255" w:rsidRDefault="002D7255" w:rsidP="002D7255">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5.63</w:t>
            </w:r>
          </w:p>
        </w:tc>
        <w:tc>
          <w:tcPr>
            <w:tcW w:w="660" w:type="pct"/>
            <w:tcBorders>
              <w:top w:val="single" w:sz="4" w:space="0" w:color="auto"/>
            </w:tcBorders>
            <w:vAlign w:val="center"/>
            <w:hideMark/>
          </w:tcPr>
          <w:p w14:paraId="78CCE8A9" w14:textId="77777777" w:rsidR="002D7255" w:rsidRPr="002D7255" w:rsidRDefault="002D7255" w:rsidP="002D7255">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93.83</w:t>
            </w:r>
          </w:p>
        </w:tc>
        <w:tc>
          <w:tcPr>
            <w:tcW w:w="801" w:type="pct"/>
            <w:tcBorders>
              <w:top w:val="single" w:sz="4" w:space="0" w:color="auto"/>
            </w:tcBorders>
            <w:vAlign w:val="center"/>
            <w:hideMark/>
          </w:tcPr>
          <w:p w14:paraId="6806A509" w14:textId="77777777" w:rsidR="002D7255" w:rsidRPr="002D7255" w:rsidRDefault="002D7255" w:rsidP="002D7255">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5.41</w:t>
            </w:r>
          </w:p>
        </w:tc>
        <w:tc>
          <w:tcPr>
            <w:tcW w:w="659" w:type="pct"/>
            <w:tcBorders>
              <w:top w:val="single" w:sz="4" w:space="0" w:color="auto"/>
            </w:tcBorders>
            <w:vAlign w:val="center"/>
            <w:hideMark/>
          </w:tcPr>
          <w:p w14:paraId="61F63E08" w14:textId="77777777" w:rsidR="002D7255" w:rsidRPr="002D7255" w:rsidRDefault="002D7255" w:rsidP="002D7255">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90.17</w:t>
            </w:r>
          </w:p>
        </w:tc>
      </w:tr>
      <w:tr w:rsidR="002D7255" w:rsidRPr="002D7255" w14:paraId="35CFEDE1" w14:textId="77777777" w:rsidTr="002D7255">
        <w:trPr>
          <w:trHeight w:val="20"/>
          <w:jc w:val="center"/>
        </w:trPr>
        <w:tc>
          <w:tcPr>
            <w:tcW w:w="614" w:type="pct"/>
            <w:vMerge/>
            <w:vAlign w:val="center"/>
            <w:hideMark/>
          </w:tcPr>
          <w:p w14:paraId="00CEB108" w14:textId="77777777" w:rsidR="002D7255" w:rsidRPr="002D7255" w:rsidRDefault="002D7255" w:rsidP="002D7255">
            <w:pPr>
              <w:spacing w:after="0"/>
              <w:rPr>
                <w:rFonts w:ascii="Times New Roman" w:hAnsi="Times New Roman"/>
                <w:noProof/>
                <w:sz w:val="20"/>
                <w:szCs w:val="20"/>
              </w:rPr>
            </w:pPr>
          </w:p>
        </w:tc>
        <w:tc>
          <w:tcPr>
            <w:tcW w:w="478" w:type="pct"/>
            <w:hideMark/>
          </w:tcPr>
          <w:p w14:paraId="146A364F"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2</w:t>
            </w:r>
          </w:p>
        </w:tc>
        <w:tc>
          <w:tcPr>
            <w:tcW w:w="987" w:type="pct"/>
            <w:hideMark/>
          </w:tcPr>
          <w:p w14:paraId="49B2233B"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6.00</w:t>
            </w:r>
          </w:p>
        </w:tc>
        <w:tc>
          <w:tcPr>
            <w:tcW w:w="801" w:type="pct"/>
            <w:vAlign w:val="center"/>
            <w:hideMark/>
          </w:tcPr>
          <w:p w14:paraId="51FE6C0E"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5.59</w:t>
            </w:r>
          </w:p>
        </w:tc>
        <w:tc>
          <w:tcPr>
            <w:tcW w:w="660" w:type="pct"/>
            <w:vAlign w:val="center"/>
            <w:hideMark/>
          </w:tcPr>
          <w:p w14:paraId="28844089"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93.17</w:t>
            </w:r>
          </w:p>
        </w:tc>
        <w:tc>
          <w:tcPr>
            <w:tcW w:w="801" w:type="pct"/>
            <w:vAlign w:val="center"/>
            <w:hideMark/>
          </w:tcPr>
          <w:p w14:paraId="74AC8D60"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5.33</w:t>
            </w:r>
          </w:p>
        </w:tc>
        <w:tc>
          <w:tcPr>
            <w:tcW w:w="659" w:type="pct"/>
            <w:vAlign w:val="center"/>
            <w:hideMark/>
          </w:tcPr>
          <w:p w14:paraId="1AB89244"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88.83</w:t>
            </w:r>
          </w:p>
        </w:tc>
      </w:tr>
      <w:tr w:rsidR="002D7255" w:rsidRPr="002D7255" w14:paraId="3550C82A" w14:textId="77777777" w:rsidTr="002D7255">
        <w:trPr>
          <w:trHeight w:val="20"/>
          <w:jc w:val="center"/>
        </w:trPr>
        <w:tc>
          <w:tcPr>
            <w:tcW w:w="614" w:type="pct"/>
            <w:vMerge/>
            <w:vAlign w:val="center"/>
            <w:hideMark/>
          </w:tcPr>
          <w:p w14:paraId="04E5ACE7" w14:textId="77777777" w:rsidR="002D7255" w:rsidRPr="002D7255" w:rsidRDefault="002D7255" w:rsidP="002D7255">
            <w:pPr>
              <w:spacing w:after="0"/>
              <w:rPr>
                <w:rFonts w:ascii="Times New Roman" w:hAnsi="Times New Roman"/>
                <w:noProof/>
                <w:sz w:val="20"/>
                <w:szCs w:val="20"/>
              </w:rPr>
            </w:pPr>
          </w:p>
        </w:tc>
        <w:tc>
          <w:tcPr>
            <w:tcW w:w="478" w:type="pct"/>
            <w:hideMark/>
          </w:tcPr>
          <w:p w14:paraId="7A26DD6D"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3</w:t>
            </w:r>
          </w:p>
        </w:tc>
        <w:tc>
          <w:tcPr>
            <w:tcW w:w="987" w:type="pct"/>
            <w:hideMark/>
          </w:tcPr>
          <w:p w14:paraId="400991B0"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6.00</w:t>
            </w:r>
          </w:p>
        </w:tc>
        <w:tc>
          <w:tcPr>
            <w:tcW w:w="801" w:type="pct"/>
            <w:vAlign w:val="center"/>
            <w:hideMark/>
          </w:tcPr>
          <w:p w14:paraId="4A26E6C7"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5.46</w:t>
            </w:r>
          </w:p>
        </w:tc>
        <w:tc>
          <w:tcPr>
            <w:tcW w:w="660" w:type="pct"/>
            <w:vAlign w:val="center"/>
            <w:hideMark/>
          </w:tcPr>
          <w:p w14:paraId="517031F7"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91.00</w:t>
            </w:r>
          </w:p>
        </w:tc>
        <w:tc>
          <w:tcPr>
            <w:tcW w:w="801" w:type="pct"/>
            <w:vAlign w:val="center"/>
            <w:hideMark/>
          </w:tcPr>
          <w:p w14:paraId="5839AA1E"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5.46</w:t>
            </w:r>
          </w:p>
        </w:tc>
        <w:tc>
          <w:tcPr>
            <w:tcW w:w="659" w:type="pct"/>
            <w:vAlign w:val="center"/>
            <w:hideMark/>
          </w:tcPr>
          <w:p w14:paraId="3740357D"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91.00</w:t>
            </w:r>
          </w:p>
        </w:tc>
      </w:tr>
      <w:tr w:rsidR="002D7255" w:rsidRPr="002D7255" w14:paraId="51B5DB1B" w14:textId="77777777" w:rsidTr="002D7255">
        <w:trPr>
          <w:trHeight w:val="20"/>
          <w:jc w:val="center"/>
        </w:trPr>
        <w:tc>
          <w:tcPr>
            <w:tcW w:w="614" w:type="pct"/>
            <w:vMerge/>
            <w:vAlign w:val="center"/>
            <w:hideMark/>
          </w:tcPr>
          <w:p w14:paraId="771BBF3B" w14:textId="77777777" w:rsidR="002D7255" w:rsidRPr="002D7255" w:rsidRDefault="002D7255" w:rsidP="002D7255">
            <w:pPr>
              <w:spacing w:after="0"/>
              <w:rPr>
                <w:rFonts w:ascii="Times New Roman" w:hAnsi="Times New Roman"/>
                <w:noProof/>
                <w:sz w:val="20"/>
                <w:szCs w:val="20"/>
              </w:rPr>
            </w:pPr>
          </w:p>
        </w:tc>
        <w:tc>
          <w:tcPr>
            <w:tcW w:w="478" w:type="pct"/>
            <w:hideMark/>
          </w:tcPr>
          <w:p w14:paraId="7E8441AD"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sz w:val="20"/>
                <w:szCs w:val="20"/>
              </w:rPr>
              <w:t>Average</w:t>
            </w:r>
          </w:p>
        </w:tc>
        <w:tc>
          <w:tcPr>
            <w:tcW w:w="987" w:type="pct"/>
          </w:tcPr>
          <w:p w14:paraId="32D884CE" w14:textId="77777777" w:rsidR="002D7255" w:rsidRPr="002D7255" w:rsidRDefault="002D7255" w:rsidP="00B703AF">
            <w:pPr>
              <w:spacing w:before="60" w:after="0"/>
              <w:jc w:val="center"/>
              <w:rPr>
                <w:rFonts w:ascii="Times New Roman" w:hAnsi="Times New Roman"/>
                <w:noProof/>
                <w:sz w:val="20"/>
                <w:szCs w:val="20"/>
              </w:rPr>
            </w:pPr>
          </w:p>
        </w:tc>
        <w:tc>
          <w:tcPr>
            <w:tcW w:w="801" w:type="pct"/>
            <w:vAlign w:val="center"/>
          </w:tcPr>
          <w:p w14:paraId="376BAF86" w14:textId="77777777" w:rsidR="002D7255" w:rsidRPr="002D7255" w:rsidRDefault="002D7255" w:rsidP="00B703AF">
            <w:pPr>
              <w:spacing w:before="60" w:after="0"/>
              <w:jc w:val="center"/>
              <w:rPr>
                <w:rFonts w:ascii="Times New Roman" w:hAnsi="Times New Roman"/>
                <w:noProof/>
                <w:sz w:val="20"/>
                <w:szCs w:val="20"/>
              </w:rPr>
            </w:pPr>
          </w:p>
        </w:tc>
        <w:tc>
          <w:tcPr>
            <w:tcW w:w="660" w:type="pct"/>
            <w:vAlign w:val="center"/>
            <w:hideMark/>
          </w:tcPr>
          <w:p w14:paraId="3939759B"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92.67</w:t>
            </w:r>
          </w:p>
        </w:tc>
        <w:tc>
          <w:tcPr>
            <w:tcW w:w="801" w:type="pct"/>
            <w:vAlign w:val="center"/>
          </w:tcPr>
          <w:p w14:paraId="6C61918C" w14:textId="77777777" w:rsidR="002D7255" w:rsidRPr="002D7255" w:rsidRDefault="002D7255" w:rsidP="00B703AF">
            <w:pPr>
              <w:spacing w:before="60" w:after="0"/>
              <w:jc w:val="center"/>
              <w:rPr>
                <w:rFonts w:ascii="Times New Roman" w:hAnsi="Times New Roman"/>
                <w:noProof/>
                <w:sz w:val="20"/>
                <w:szCs w:val="20"/>
              </w:rPr>
            </w:pPr>
          </w:p>
        </w:tc>
        <w:tc>
          <w:tcPr>
            <w:tcW w:w="659" w:type="pct"/>
            <w:vAlign w:val="center"/>
            <w:hideMark/>
          </w:tcPr>
          <w:p w14:paraId="7619AAAE"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90.00</w:t>
            </w:r>
          </w:p>
        </w:tc>
      </w:tr>
      <w:tr w:rsidR="002D7255" w:rsidRPr="002D7255" w14:paraId="4BF551A5" w14:textId="77777777" w:rsidTr="002D7255">
        <w:trPr>
          <w:trHeight w:val="20"/>
          <w:jc w:val="center"/>
        </w:trPr>
        <w:tc>
          <w:tcPr>
            <w:tcW w:w="614" w:type="pct"/>
            <w:vMerge/>
            <w:tcBorders>
              <w:bottom w:val="single" w:sz="4" w:space="0" w:color="auto"/>
            </w:tcBorders>
            <w:vAlign w:val="center"/>
            <w:hideMark/>
          </w:tcPr>
          <w:p w14:paraId="48A38B6D" w14:textId="77777777" w:rsidR="002D7255" w:rsidRPr="002D7255" w:rsidRDefault="002D7255" w:rsidP="002D7255">
            <w:pPr>
              <w:spacing w:after="0"/>
              <w:rPr>
                <w:rFonts w:ascii="Times New Roman" w:hAnsi="Times New Roman"/>
                <w:noProof/>
                <w:sz w:val="20"/>
                <w:szCs w:val="20"/>
              </w:rPr>
            </w:pPr>
          </w:p>
        </w:tc>
        <w:tc>
          <w:tcPr>
            <w:tcW w:w="478" w:type="pct"/>
            <w:tcBorders>
              <w:bottom w:val="single" w:sz="4" w:space="0" w:color="auto"/>
            </w:tcBorders>
            <w:hideMark/>
          </w:tcPr>
          <w:p w14:paraId="4528AEA9"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sz w:val="20"/>
                <w:szCs w:val="20"/>
              </w:rPr>
              <w:t>% RSD</w:t>
            </w:r>
          </w:p>
        </w:tc>
        <w:tc>
          <w:tcPr>
            <w:tcW w:w="987" w:type="pct"/>
            <w:tcBorders>
              <w:bottom w:val="single" w:sz="4" w:space="0" w:color="auto"/>
            </w:tcBorders>
          </w:tcPr>
          <w:p w14:paraId="44C16FF9" w14:textId="77777777" w:rsidR="002D7255" w:rsidRPr="002D7255" w:rsidRDefault="002D7255" w:rsidP="00B703AF">
            <w:pPr>
              <w:spacing w:before="60" w:after="0"/>
              <w:jc w:val="center"/>
              <w:rPr>
                <w:rFonts w:ascii="Times New Roman" w:hAnsi="Times New Roman"/>
                <w:noProof/>
                <w:sz w:val="20"/>
                <w:szCs w:val="20"/>
              </w:rPr>
            </w:pPr>
          </w:p>
        </w:tc>
        <w:tc>
          <w:tcPr>
            <w:tcW w:w="801" w:type="pct"/>
            <w:tcBorders>
              <w:bottom w:val="single" w:sz="4" w:space="0" w:color="auto"/>
            </w:tcBorders>
            <w:vAlign w:val="center"/>
          </w:tcPr>
          <w:p w14:paraId="4BF1707C" w14:textId="77777777" w:rsidR="002D7255" w:rsidRPr="002D7255" w:rsidRDefault="002D7255" w:rsidP="00B703AF">
            <w:pPr>
              <w:spacing w:before="60" w:after="0"/>
              <w:jc w:val="center"/>
              <w:rPr>
                <w:rFonts w:ascii="Times New Roman" w:hAnsi="Times New Roman"/>
                <w:noProof/>
                <w:sz w:val="20"/>
                <w:szCs w:val="20"/>
              </w:rPr>
            </w:pPr>
          </w:p>
        </w:tc>
        <w:tc>
          <w:tcPr>
            <w:tcW w:w="660" w:type="pct"/>
            <w:tcBorders>
              <w:bottom w:val="single" w:sz="4" w:space="0" w:color="auto"/>
            </w:tcBorders>
            <w:vAlign w:val="center"/>
            <w:hideMark/>
          </w:tcPr>
          <w:p w14:paraId="08751466"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b/>
                <w:bCs/>
                <w:noProof/>
                <w:color w:val="000000"/>
                <w:sz w:val="20"/>
                <w:szCs w:val="20"/>
              </w:rPr>
              <w:t>1.60</w:t>
            </w:r>
          </w:p>
        </w:tc>
        <w:tc>
          <w:tcPr>
            <w:tcW w:w="801" w:type="pct"/>
            <w:tcBorders>
              <w:bottom w:val="single" w:sz="4" w:space="0" w:color="auto"/>
            </w:tcBorders>
          </w:tcPr>
          <w:p w14:paraId="0E9C4E3F" w14:textId="77777777" w:rsidR="002D7255" w:rsidRPr="002D7255" w:rsidRDefault="002D7255" w:rsidP="00B703AF">
            <w:pPr>
              <w:spacing w:before="60" w:after="0"/>
              <w:jc w:val="center"/>
              <w:rPr>
                <w:rFonts w:ascii="Times New Roman" w:hAnsi="Times New Roman"/>
                <w:noProof/>
                <w:sz w:val="20"/>
                <w:szCs w:val="20"/>
              </w:rPr>
            </w:pPr>
          </w:p>
        </w:tc>
        <w:tc>
          <w:tcPr>
            <w:tcW w:w="659" w:type="pct"/>
            <w:tcBorders>
              <w:bottom w:val="single" w:sz="4" w:space="0" w:color="auto"/>
            </w:tcBorders>
            <w:hideMark/>
          </w:tcPr>
          <w:p w14:paraId="1D727B6A" w14:textId="77777777" w:rsidR="002D7255" w:rsidRPr="002D7255" w:rsidRDefault="002D7255" w:rsidP="00B703AF">
            <w:pPr>
              <w:spacing w:before="60" w:after="0"/>
              <w:ind w:right="20"/>
              <w:jc w:val="center"/>
              <w:rPr>
                <w:rFonts w:ascii="Times New Roman" w:hAnsi="Times New Roman"/>
                <w:noProof/>
                <w:sz w:val="20"/>
                <w:szCs w:val="20"/>
              </w:rPr>
            </w:pPr>
            <w:r w:rsidRPr="002D7255">
              <w:rPr>
                <w:rFonts w:ascii="Times New Roman" w:hAnsi="Times New Roman"/>
                <w:b/>
                <w:bCs/>
                <w:noProof/>
                <w:color w:val="000000"/>
                <w:sz w:val="20"/>
                <w:szCs w:val="20"/>
              </w:rPr>
              <w:t>1.22</w:t>
            </w:r>
          </w:p>
        </w:tc>
      </w:tr>
      <w:tr w:rsidR="002D7255" w:rsidRPr="002D7255" w14:paraId="28B8C481" w14:textId="77777777" w:rsidTr="002D7255">
        <w:trPr>
          <w:trHeight w:val="20"/>
          <w:jc w:val="center"/>
        </w:trPr>
        <w:tc>
          <w:tcPr>
            <w:tcW w:w="614" w:type="pct"/>
            <w:vMerge w:val="restart"/>
            <w:tcBorders>
              <w:top w:val="single" w:sz="4" w:space="0" w:color="auto"/>
            </w:tcBorders>
            <w:vAlign w:val="center"/>
            <w:hideMark/>
          </w:tcPr>
          <w:p w14:paraId="1D4A135D"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100</w:t>
            </w:r>
          </w:p>
        </w:tc>
        <w:tc>
          <w:tcPr>
            <w:tcW w:w="478" w:type="pct"/>
            <w:tcBorders>
              <w:top w:val="single" w:sz="4" w:space="0" w:color="auto"/>
            </w:tcBorders>
            <w:hideMark/>
          </w:tcPr>
          <w:p w14:paraId="3DD5AA41"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1</w:t>
            </w:r>
          </w:p>
        </w:tc>
        <w:tc>
          <w:tcPr>
            <w:tcW w:w="987" w:type="pct"/>
            <w:tcBorders>
              <w:top w:val="single" w:sz="4" w:space="0" w:color="auto"/>
            </w:tcBorders>
            <w:hideMark/>
          </w:tcPr>
          <w:p w14:paraId="48F166CA"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8.00</w:t>
            </w:r>
          </w:p>
        </w:tc>
        <w:tc>
          <w:tcPr>
            <w:tcW w:w="801" w:type="pct"/>
            <w:tcBorders>
              <w:top w:val="single" w:sz="4" w:space="0" w:color="auto"/>
            </w:tcBorders>
            <w:vAlign w:val="center"/>
            <w:hideMark/>
          </w:tcPr>
          <w:p w14:paraId="700131CA"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7.44</w:t>
            </w:r>
          </w:p>
        </w:tc>
        <w:tc>
          <w:tcPr>
            <w:tcW w:w="660" w:type="pct"/>
            <w:tcBorders>
              <w:top w:val="single" w:sz="4" w:space="0" w:color="auto"/>
            </w:tcBorders>
            <w:vAlign w:val="center"/>
            <w:hideMark/>
          </w:tcPr>
          <w:p w14:paraId="78E00D7D"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93.00</w:t>
            </w:r>
          </w:p>
        </w:tc>
        <w:tc>
          <w:tcPr>
            <w:tcW w:w="801" w:type="pct"/>
            <w:tcBorders>
              <w:top w:val="single" w:sz="4" w:space="0" w:color="auto"/>
            </w:tcBorders>
            <w:vAlign w:val="center"/>
            <w:hideMark/>
          </w:tcPr>
          <w:p w14:paraId="46725F08"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7.16</w:t>
            </w:r>
          </w:p>
        </w:tc>
        <w:tc>
          <w:tcPr>
            <w:tcW w:w="659" w:type="pct"/>
            <w:tcBorders>
              <w:top w:val="single" w:sz="4" w:space="0" w:color="auto"/>
            </w:tcBorders>
            <w:vAlign w:val="center"/>
            <w:hideMark/>
          </w:tcPr>
          <w:p w14:paraId="2CB4A207"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89.50</w:t>
            </w:r>
          </w:p>
        </w:tc>
      </w:tr>
      <w:tr w:rsidR="002D7255" w:rsidRPr="002D7255" w14:paraId="6895D0EF" w14:textId="77777777" w:rsidTr="002D7255">
        <w:trPr>
          <w:trHeight w:val="20"/>
          <w:jc w:val="center"/>
        </w:trPr>
        <w:tc>
          <w:tcPr>
            <w:tcW w:w="614" w:type="pct"/>
            <w:vMerge/>
            <w:vAlign w:val="center"/>
            <w:hideMark/>
          </w:tcPr>
          <w:p w14:paraId="53575A29"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592AB3CE"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2</w:t>
            </w:r>
          </w:p>
        </w:tc>
        <w:tc>
          <w:tcPr>
            <w:tcW w:w="987" w:type="pct"/>
            <w:hideMark/>
          </w:tcPr>
          <w:p w14:paraId="5640C8AA"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8.00</w:t>
            </w:r>
          </w:p>
        </w:tc>
        <w:tc>
          <w:tcPr>
            <w:tcW w:w="801" w:type="pct"/>
            <w:vAlign w:val="center"/>
            <w:hideMark/>
          </w:tcPr>
          <w:p w14:paraId="0E5F1201"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7.50</w:t>
            </w:r>
          </w:p>
        </w:tc>
        <w:tc>
          <w:tcPr>
            <w:tcW w:w="660" w:type="pct"/>
            <w:vAlign w:val="center"/>
            <w:hideMark/>
          </w:tcPr>
          <w:p w14:paraId="70426795"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93.75</w:t>
            </w:r>
          </w:p>
        </w:tc>
        <w:tc>
          <w:tcPr>
            <w:tcW w:w="801" w:type="pct"/>
            <w:vAlign w:val="bottom"/>
            <w:hideMark/>
          </w:tcPr>
          <w:p w14:paraId="3E8CBA50"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7.15</w:t>
            </w:r>
          </w:p>
        </w:tc>
        <w:tc>
          <w:tcPr>
            <w:tcW w:w="659" w:type="pct"/>
            <w:vAlign w:val="bottom"/>
            <w:hideMark/>
          </w:tcPr>
          <w:p w14:paraId="37D45A37"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89.34</w:t>
            </w:r>
          </w:p>
        </w:tc>
      </w:tr>
      <w:tr w:rsidR="002D7255" w:rsidRPr="002D7255" w14:paraId="3903285D" w14:textId="77777777" w:rsidTr="002D7255">
        <w:trPr>
          <w:trHeight w:val="20"/>
          <w:jc w:val="center"/>
        </w:trPr>
        <w:tc>
          <w:tcPr>
            <w:tcW w:w="614" w:type="pct"/>
            <w:vMerge/>
            <w:vAlign w:val="center"/>
            <w:hideMark/>
          </w:tcPr>
          <w:p w14:paraId="567D62AD"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233F585F"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3</w:t>
            </w:r>
          </w:p>
        </w:tc>
        <w:tc>
          <w:tcPr>
            <w:tcW w:w="987" w:type="pct"/>
            <w:hideMark/>
          </w:tcPr>
          <w:p w14:paraId="502DFFF7"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8.00</w:t>
            </w:r>
          </w:p>
        </w:tc>
        <w:tc>
          <w:tcPr>
            <w:tcW w:w="801" w:type="pct"/>
            <w:vAlign w:val="center"/>
            <w:hideMark/>
          </w:tcPr>
          <w:p w14:paraId="0FC17D33"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7.57</w:t>
            </w:r>
          </w:p>
        </w:tc>
        <w:tc>
          <w:tcPr>
            <w:tcW w:w="660" w:type="pct"/>
            <w:vAlign w:val="center"/>
            <w:hideMark/>
          </w:tcPr>
          <w:p w14:paraId="0CECD889"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94.63</w:t>
            </w:r>
          </w:p>
        </w:tc>
        <w:tc>
          <w:tcPr>
            <w:tcW w:w="801" w:type="pct"/>
            <w:vAlign w:val="bottom"/>
            <w:hideMark/>
          </w:tcPr>
          <w:p w14:paraId="753BAC6D"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7.44</w:t>
            </w:r>
          </w:p>
        </w:tc>
        <w:tc>
          <w:tcPr>
            <w:tcW w:w="659" w:type="pct"/>
            <w:vAlign w:val="bottom"/>
            <w:hideMark/>
          </w:tcPr>
          <w:p w14:paraId="0D52B555"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93.00</w:t>
            </w:r>
          </w:p>
        </w:tc>
      </w:tr>
      <w:tr w:rsidR="002D7255" w:rsidRPr="002D7255" w14:paraId="3CC8DEEA" w14:textId="77777777" w:rsidTr="002D7255">
        <w:trPr>
          <w:trHeight w:val="20"/>
          <w:jc w:val="center"/>
        </w:trPr>
        <w:tc>
          <w:tcPr>
            <w:tcW w:w="614" w:type="pct"/>
            <w:vMerge/>
            <w:vAlign w:val="center"/>
            <w:hideMark/>
          </w:tcPr>
          <w:p w14:paraId="49305140"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5DA9D971"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sz w:val="20"/>
                <w:szCs w:val="20"/>
              </w:rPr>
              <w:t>Average</w:t>
            </w:r>
          </w:p>
        </w:tc>
        <w:tc>
          <w:tcPr>
            <w:tcW w:w="987" w:type="pct"/>
          </w:tcPr>
          <w:p w14:paraId="5807B20B" w14:textId="77777777" w:rsidR="002D7255" w:rsidRPr="002D7255" w:rsidRDefault="002D7255" w:rsidP="00B703AF">
            <w:pPr>
              <w:spacing w:before="60" w:after="0"/>
              <w:jc w:val="center"/>
              <w:rPr>
                <w:rFonts w:ascii="Times New Roman" w:hAnsi="Times New Roman"/>
                <w:noProof/>
                <w:sz w:val="20"/>
                <w:szCs w:val="20"/>
              </w:rPr>
            </w:pPr>
          </w:p>
        </w:tc>
        <w:tc>
          <w:tcPr>
            <w:tcW w:w="801" w:type="pct"/>
            <w:vAlign w:val="bottom"/>
          </w:tcPr>
          <w:p w14:paraId="3A4642B6" w14:textId="77777777" w:rsidR="002D7255" w:rsidRPr="002D7255" w:rsidRDefault="002D7255" w:rsidP="00B703AF">
            <w:pPr>
              <w:spacing w:before="60" w:after="0"/>
              <w:jc w:val="center"/>
              <w:rPr>
                <w:rFonts w:ascii="Times New Roman" w:hAnsi="Times New Roman"/>
                <w:noProof/>
                <w:sz w:val="20"/>
                <w:szCs w:val="20"/>
              </w:rPr>
            </w:pPr>
          </w:p>
        </w:tc>
        <w:tc>
          <w:tcPr>
            <w:tcW w:w="660" w:type="pct"/>
            <w:vAlign w:val="center"/>
            <w:hideMark/>
          </w:tcPr>
          <w:p w14:paraId="347A1D7B"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93.79</w:t>
            </w:r>
          </w:p>
        </w:tc>
        <w:tc>
          <w:tcPr>
            <w:tcW w:w="801" w:type="pct"/>
            <w:vAlign w:val="bottom"/>
          </w:tcPr>
          <w:p w14:paraId="4BC9B799" w14:textId="77777777" w:rsidR="002D7255" w:rsidRPr="002D7255" w:rsidRDefault="002D7255" w:rsidP="00B703AF">
            <w:pPr>
              <w:spacing w:before="60" w:after="0"/>
              <w:jc w:val="center"/>
              <w:rPr>
                <w:rFonts w:ascii="Times New Roman" w:hAnsi="Times New Roman"/>
                <w:noProof/>
                <w:sz w:val="20"/>
                <w:szCs w:val="20"/>
              </w:rPr>
            </w:pPr>
          </w:p>
        </w:tc>
        <w:tc>
          <w:tcPr>
            <w:tcW w:w="659" w:type="pct"/>
            <w:vAlign w:val="bottom"/>
            <w:hideMark/>
          </w:tcPr>
          <w:p w14:paraId="1495401A"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90.61</w:t>
            </w:r>
          </w:p>
        </w:tc>
      </w:tr>
      <w:tr w:rsidR="002D7255" w:rsidRPr="002D7255" w14:paraId="3096D834" w14:textId="77777777" w:rsidTr="002D7255">
        <w:trPr>
          <w:trHeight w:val="20"/>
          <w:jc w:val="center"/>
        </w:trPr>
        <w:tc>
          <w:tcPr>
            <w:tcW w:w="614" w:type="pct"/>
            <w:vMerge/>
            <w:tcBorders>
              <w:bottom w:val="single" w:sz="4" w:space="0" w:color="auto"/>
            </w:tcBorders>
            <w:vAlign w:val="center"/>
            <w:hideMark/>
          </w:tcPr>
          <w:p w14:paraId="011C9D10" w14:textId="77777777" w:rsidR="002D7255" w:rsidRPr="002D7255" w:rsidRDefault="002D7255" w:rsidP="00B703AF">
            <w:pPr>
              <w:spacing w:before="60" w:after="0"/>
              <w:rPr>
                <w:rFonts w:ascii="Times New Roman" w:hAnsi="Times New Roman"/>
                <w:noProof/>
                <w:sz w:val="20"/>
                <w:szCs w:val="20"/>
              </w:rPr>
            </w:pPr>
          </w:p>
        </w:tc>
        <w:tc>
          <w:tcPr>
            <w:tcW w:w="478" w:type="pct"/>
            <w:tcBorders>
              <w:bottom w:val="single" w:sz="4" w:space="0" w:color="auto"/>
            </w:tcBorders>
            <w:hideMark/>
          </w:tcPr>
          <w:p w14:paraId="41C2316D"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8"/>
                <w:sz w:val="20"/>
                <w:szCs w:val="20"/>
              </w:rPr>
              <w:t>%RSD</w:t>
            </w:r>
          </w:p>
        </w:tc>
        <w:tc>
          <w:tcPr>
            <w:tcW w:w="987" w:type="pct"/>
            <w:tcBorders>
              <w:bottom w:val="single" w:sz="4" w:space="0" w:color="auto"/>
            </w:tcBorders>
          </w:tcPr>
          <w:p w14:paraId="51EEE86E" w14:textId="77777777" w:rsidR="002D7255" w:rsidRPr="002D7255" w:rsidRDefault="002D7255" w:rsidP="00B703AF">
            <w:pPr>
              <w:spacing w:before="60" w:after="0"/>
              <w:jc w:val="center"/>
              <w:rPr>
                <w:rFonts w:ascii="Times New Roman" w:hAnsi="Times New Roman"/>
                <w:noProof/>
                <w:sz w:val="20"/>
                <w:szCs w:val="20"/>
              </w:rPr>
            </w:pPr>
          </w:p>
        </w:tc>
        <w:tc>
          <w:tcPr>
            <w:tcW w:w="801" w:type="pct"/>
            <w:tcBorders>
              <w:bottom w:val="single" w:sz="4" w:space="0" w:color="auto"/>
            </w:tcBorders>
            <w:vAlign w:val="bottom"/>
          </w:tcPr>
          <w:p w14:paraId="5557B45A" w14:textId="77777777" w:rsidR="002D7255" w:rsidRPr="002D7255" w:rsidRDefault="002D7255" w:rsidP="00B703AF">
            <w:pPr>
              <w:spacing w:before="60" w:after="0"/>
              <w:jc w:val="center"/>
              <w:rPr>
                <w:rFonts w:ascii="Times New Roman" w:hAnsi="Times New Roman"/>
                <w:noProof/>
                <w:sz w:val="20"/>
                <w:szCs w:val="20"/>
              </w:rPr>
            </w:pPr>
          </w:p>
        </w:tc>
        <w:tc>
          <w:tcPr>
            <w:tcW w:w="660" w:type="pct"/>
            <w:tcBorders>
              <w:bottom w:val="single" w:sz="4" w:space="0" w:color="auto"/>
            </w:tcBorders>
            <w:vAlign w:val="center"/>
            <w:hideMark/>
          </w:tcPr>
          <w:p w14:paraId="20AECC38"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0.87</w:t>
            </w:r>
          </w:p>
        </w:tc>
        <w:tc>
          <w:tcPr>
            <w:tcW w:w="801" w:type="pct"/>
            <w:tcBorders>
              <w:bottom w:val="single" w:sz="4" w:space="0" w:color="auto"/>
            </w:tcBorders>
          </w:tcPr>
          <w:p w14:paraId="6CDD4CEB" w14:textId="77777777" w:rsidR="002D7255" w:rsidRPr="002D7255" w:rsidRDefault="002D7255" w:rsidP="00B703AF">
            <w:pPr>
              <w:spacing w:before="60" w:after="0"/>
              <w:jc w:val="center"/>
              <w:rPr>
                <w:rFonts w:ascii="Times New Roman" w:hAnsi="Times New Roman"/>
                <w:noProof/>
                <w:sz w:val="20"/>
                <w:szCs w:val="20"/>
              </w:rPr>
            </w:pPr>
          </w:p>
        </w:tc>
        <w:tc>
          <w:tcPr>
            <w:tcW w:w="659" w:type="pct"/>
            <w:tcBorders>
              <w:bottom w:val="single" w:sz="4" w:space="0" w:color="auto"/>
            </w:tcBorders>
            <w:hideMark/>
          </w:tcPr>
          <w:p w14:paraId="00DCC5A4" w14:textId="77777777" w:rsidR="002D7255" w:rsidRPr="002D7255" w:rsidRDefault="002D7255" w:rsidP="00B703AF">
            <w:pPr>
              <w:spacing w:before="60" w:after="0"/>
              <w:ind w:right="20"/>
              <w:jc w:val="center"/>
              <w:rPr>
                <w:rFonts w:ascii="Times New Roman" w:hAnsi="Times New Roman"/>
                <w:noProof/>
                <w:sz w:val="20"/>
                <w:szCs w:val="20"/>
              </w:rPr>
            </w:pPr>
            <w:r w:rsidRPr="002D7255">
              <w:rPr>
                <w:rFonts w:ascii="Times New Roman" w:hAnsi="Times New Roman"/>
                <w:b/>
                <w:bCs/>
                <w:noProof/>
                <w:color w:val="000000"/>
                <w:sz w:val="20"/>
                <w:szCs w:val="20"/>
              </w:rPr>
              <w:t>2.28</w:t>
            </w:r>
          </w:p>
        </w:tc>
      </w:tr>
      <w:tr w:rsidR="002D7255" w:rsidRPr="002D7255" w14:paraId="531B6CD9" w14:textId="77777777" w:rsidTr="002D7255">
        <w:trPr>
          <w:trHeight w:val="20"/>
          <w:jc w:val="center"/>
        </w:trPr>
        <w:tc>
          <w:tcPr>
            <w:tcW w:w="614" w:type="pct"/>
            <w:vMerge w:val="restart"/>
            <w:tcBorders>
              <w:top w:val="single" w:sz="4" w:space="0" w:color="auto"/>
              <w:bottom w:val="single" w:sz="4" w:space="0" w:color="auto"/>
            </w:tcBorders>
            <w:vAlign w:val="center"/>
            <w:hideMark/>
          </w:tcPr>
          <w:p w14:paraId="25F12281"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125</w:t>
            </w:r>
          </w:p>
        </w:tc>
        <w:tc>
          <w:tcPr>
            <w:tcW w:w="478" w:type="pct"/>
            <w:tcBorders>
              <w:top w:val="single" w:sz="4" w:space="0" w:color="auto"/>
            </w:tcBorders>
            <w:hideMark/>
          </w:tcPr>
          <w:p w14:paraId="2EC56526"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1</w:t>
            </w:r>
          </w:p>
        </w:tc>
        <w:tc>
          <w:tcPr>
            <w:tcW w:w="987" w:type="pct"/>
            <w:tcBorders>
              <w:top w:val="single" w:sz="4" w:space="0" w:color="auto"/>
            </w:tcBorders>
            <w:hideMark/>
          </w:tcPr>
          <w:p w14:paraId="65C6406D"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10.00</w:t>
            </w:r>
          </w:p>
        </w:tc>
        <w:tc>
          <w:tcPr>
            <w:tcW w:w="801" w:type="pct"/>
            <w:tcBorders>
              <w:top w:val="single" w:sz="4" w:space="0" w:color="auto"/>
            </w:tcBorders>
            <w:vAlign w:val="center"/>
            <w:hideMark/>
          </w:tcPr>
          <w:p w14:paraId="01A28116"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9.25</w:t>
            </w:r>
          </w:p>
        </w:tc>
        <w:tc>
          <w:tcPr>
            <w:tcW w:w="660" w:type="pct"/>
            <w:tcBorders>
              <w:top w:val="single" w:sz="4" w:space="0" w:color="auto"/>
            </w:tcBorders>
            <w:vAlign w:val="center"/>
            <w:hideMark/>
          </w:tcPr>
          <w:p w14:paraId="523EDEF1"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92.50</w:t>
            </w:r>
          </w:p>
        </w:tc>
        <w:tc>
          <w:tcPr>
            <w:tcW w:w="801" w:type="pct"/>
            <w:tcBorders>
              <w:top w:val="single" w:sz="4" w:space="0" w:color="auto"/>
            </w:tcBorders>
            <w:vAlign w:val="bottom"/>
            <w:hideMark/>
          </w:tcPr>
          <w:p w14:paraId="50FB9500"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8.79</w:t>
            </w:r>
          </w:p>
        </w:tc>
        <w:tc>
          <w:tcPr>
            <w:tcW w:w="659" w:type="pct"/>
            <w:tcBorders>
              <w:top w:val="single" w:sz="4" w:space="0" w:color="auto"/>
            </w:tcBorders>
            <w:vAlign w:val="bottom"/>
            <w:hideMark/>
          </w:tcPr>
          <w:p w14:paraId="5E8FF0F2"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87.90</w:t>
            </w:r>
          </w:p>
        </w:tc>
      </w:tr>
      <w:tr w:rsidR="002D7255" w:rsidRPr="002D7255" w14:paraId="218308E7" w14:textId="77777777" w:rsidTr="002D7255">
        <w:trPr>
          <w:trHeight w:val="20"/>
          <w:jc w:val="center"/>
        </w:trPr>
        <w:tc>
          <w:tcPr>
            <w:tcW w:w="614" w:type="pct"/>
            <w:vMerge/>
            <w:tcBorders>
              <w:bottom w:val="single" w:sz="4" w:space="0" w:color="auto"/>
            </w:tcBorders>
            <w:vAlign w:val="center"/>
            <w:hideMark/>
          </w:tcPr>
          <w:p w14:paraId="5E2BA11D"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4AD0BF09"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2</w:t>
            </w:r>
          </w:p>
        </w:tc>
        <w:tc>
          <w:tcPr>
            <w:tcW w:w="987" w:type="pct"/>
            <w:hideMark/>
          </w:tcPr>
          <w:p w14:paraId="453D8C85"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10.00</w:t>
            </w:r>
          </w:p>
        </w:tc>
        <w:tc>
          <w:tcPr>
            <w:tcW w:w="801" w:type="pct"/>
            <w:vAlign w:val="center"/>
            <w:hideMark/>
          </w:tcPr>
          <w:p w14:paraId="65449265"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9.46</w:t>
            </w:r>
          </w:p>
        </w:tc>
        <w:tc>
          <w:tcPr>
            <w:tcW w:w="660" w:type="pct"/>
            <w:vAlign w:val="center"/>
            <w:hideMark/>
          </w:tcPr>
          <w:p w14:paraId="12B122DB"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94.60</w:t>
            </w:r>
          </w:p>
        </w:tc>
        <w:tc>
          <w:tcPr>
            <w:tcW w:w="801" w:type="pct"/>
            <w:vAlign w:val="bottom"/>
            <w:hideMark/>
          </w:tcPr>
          <w:p w14:paraId="3092F032"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9.31</w:t>
            </w:r>
          </w:p>
        </w:tc>
        <w:tc>
          <w:tcPr>
            <w:tcW w:w="659" w:type="pct"/>
            <w:vAlign w:val="bottom"/>
            <w:hideMark/>
          </w:tcPr>
          <w:p w14:paraId="10157054"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93.10</w:t>
            </w:r>
          </w:p>
        </w:tc>
      </w:tr>
      <w:tr w:rsidR="002D7255" w:rsidRPr="002D7255" w14:paraId="1FDCEEF0" w14:textId="77777777" w:rsidTr="002D7255">
        <w:trPr>
          <w:trHeight w:val="20"/>
          <w:jc w:val="center"/>
        </w:trPr>
        <w:tc>
          <w:tcPr>
            <w:tcW w:w="614" w:type="pct"/>
            <w:vMerge/>
            <w:tcBorders>
              <w:bottom w:val="single" w:sz="4" w:space="0" w:color="auto"/>
            </w:tcBorders>
            <w:vAlign w:val="center"/>
            <w:hideMark/>
          </w:tcPr>
          <w:p w14:paraId="3AF95D36"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0B79AB8D"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3</w:t>
            </w:r>
          </w:p>
        </w:tc>
        <w:tc>
          <w:tcPr>
            <w:tcW w:w="987" w:type="pct"/>
            <w:hideMark/>
          </w:tcPr>
          <w:p w14:paraId="55B6E5E9"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10.00</w:t>
            </w:r>
          </w:p>
        </w:tc>
        <w:tc>
          <w:tcPr>
            <w:tcW w:w="801" w:type="pct"/>
            <w:vAlign w:val="center"/>
            <w:hideMark/>
          </w:tcPr>
          <w:p w14:paraId="649F037E"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9.21</w:t>
            </w:r>
          </w:p>
        </w:tc>
        <w:tc>
          <w:tcPr>
            <w:tcW w:w="660" w:type="pct"/>
            <w:vAlign w:val="center"/>
            <w:hideMark/>
          </w:tcPr>
          <w:p w14:paraId="4355EF89"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92.10</w:t>
            </w:r>
          </w:p>
        </w:tc>
        <w:tc>
          <w:tcPr>
            <w:tcW w:w="801" w:type="pct"/>
            <w:vAlign w:val="bottom"/>
            <w:hideMark/>
          </w:tcPr>
          <w:p w14:paraId="52D330C9"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9.21</w:t>
            </w:r>
          </w:p>
        </w:tc>
        <w:tc>
          <w:tcPr>
            <w:tcW w:w="659" w:type="pct"/>
            <w:vAlign w:val="bottom"/>
            <w:hideMark/>
          </w:tcPr>
          <w:p w14:paraId="0B037CF1"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92.10</w:t>
            </w:r>
          </w:p>
        </w:tc>
      </w:tr>
      <w:tr w:rsidR="002D7255" w:rsidRPr="002D7255" w14:paraId="2FDFA166" w14:textId="77777777" w:rsidTr="002D7255">
        <w:trPr>
          <w:trHeight w:val="20"/>
          <w:jc w:val="center"/>
        </w:trPr>
        <w:tc>
          <w:tcPr>
            <w:tcW w:w="614" w:type="pct"/>
            <w:vMerge/>
            <w:tcBorders>
              <w:bottom w:val="single" w:sz="4" w:space="0" w:color="auto"/>
            </w:tcBorders>
            <w:vAlign w:val="center"/>
            <w:hideMark/>
          </w:tcPr>
          <w:p w14:paraId="79C7284D"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68621E3C"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sz w:val="20"/>
                <w:szCs w:val="20"/>
              </w:rPr>
              <w:t>Average</w:t>
            </w:r>
          </w:p>
        </w:tc>
        <w:tc>
          <w:tcPr>
            <w:tcW w:w="987" w:type="pct"/>
          </w:tcPr>
          <w:p w14:paraId="172EE533" w14:textId="77777777" w:rsidR="002D7255" w:rsidRPr="002D7255" w:rsidRDefault="002D7255" w:rsidP="00B703AF">
            <w:pPr>
              <w:spacing w:before="60" w:after="0"/>
              <w:jc w:val="center"/>
              <w:rPr>
                <w:rFonts w:ascii="Times New Roman" w:hAnsi="Times New Roman"/>
                <w:noProof/>
                <w:sz w:val="20"/>
                <w:szCs w:val="20"/>
              </w:rPr>
            </w:pPr>
          </w:p>
        </w:tc>
        <w:tc>
          <w:tcPr>
            <w:tcW w:w="801" w:type="pct"/>
            <w:vAlign w:val="bottom"/>
          </w:tcPr>
          <w:p w14:paraId="7D1BA399" w14:textId="77777777" w:rsidR="002D7255" w:rsidRPr="002D7255" w:rsidRDefault="002D7255" w:rsidP="00B703AF">
            <w:pPr>
              <w:spacing w:before="60" w:after="0"/>
              <w:jc w:val="center"/>
              <w:rPr>
                <w:rFonts w:ascii="Times New Roman" w:hAnsi="Times New Roman"/>
                <w:noProof/>
                <w:sz w:val="20"/>
                <w:szCs w:val="20"/>
              </w:rPr>
            </w:pPr>
          </w:p>
        </w:tc>
        <w:tc>
          <w:tcPr>
            <w:tcW w:w="660" w:type="pct"/>
            <w:vAlign w:val="center"/>
            <w:hideMark/>
          </w:tcPr>
          <w:p w14:paraId="28602F20"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93.07</w:t>
            </w:r>
          </w:p>
        </w:tc>
        <w:tc>
          <w:tcPr>
            <w:tcW w:w="801" w:type="pct"/>
            <w:vAlign w:val="bottom"/>
          </w:tcPr>
          <w:p w14:paraId="0CFCB2EC" w14:textId="77777777" w:rsidR="002D7255" w:rsidRPr="002D7255" w:rsidRDefault="002D7255" w:rsidP="00B703AF">
            <w:pPr>
              <w:spacing w:before="60" w:after="0"/>
              <w:jc w:val="center"/>
              <w:rPr>
                <w:rFonts w:ascii="Times New Roman" w:hAnsi="Times New Roman"/>
                <w:noProof/>
                <w:sz w:val="20"/>
                <w:szCs w:val="20"/>
              </w:rPr>
            </w:pPr>
          </w:p>
        </w:tc>
        <w:tc>
          <w:tcPr>
            <w:tcW w:w="659" w:type="pct"/>
            <w:vAlign w:val="bottom"/>
            <w:hideMark/>
          </w:tcPr>
          <w:p w14:paraId="5568C879"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91.03</w:t>
            </w:r>
          </w:p>
        </w:tc>
      </w:tr>
      <w:tr w:rsidR="002D7255" w:rsidRPr="002D7255" w14:paraId="56370E0F" w14:textId="77777777" w:rsidTr="002D7255">
        <w:trPr>
          <w:trHeight w:val="20"/>
          <w:jc w:val="center"/>
        </w:trPr>
        <w:tc>
          <w:tcPr>
            <w:tcW w:w="614" w:type="pct"/>
            <w:vMerge/>
            <w:tcBorders>
              <w:bottom w:val="single" w:sz="4" w:space="0" w:color="auto"/>
            </w:tcBorders>
            <w:vAlign w:val="center"/>
            <w:hideMark/>
          </w:tcPr>
          <w:p w14:paraId="313F9EEC" w14:textId="77777777" w:rsidR="002D7255" w:rsidRPr="002D7255" w:rsidRDefault="002D7255" w:rsidP="00B703AF">
            <w:pPr>
              <w:spacing w:before="60" w:after="0"/>
              <w:rPr>
                <w:rFonts w:ascii="Times New Roman" w:hAnsi="Times New Roman"/>
                <w:noProof/>
                <w:sz w:val="20"/>
                <w:szCs w:val="20"/>
              </w:rPr>
            </w:pPr>
          </w:p>
        </w:tc>
        <w:tc>
          <w:tcPr>
            <w:tcW w:w="478" w:type="pct"/>
            <w:tcBorders>
              <w:bottom w:val="single" w:sz="4" w:space="0" w:color="auto"/>
            </w:tcBorders>
            <w:hideMark/>
          </w:tcPr>
          <w:p w14:paraId="70C0878B"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sz w:val="20"/>
                <w:szCs w:val="20"/>
              </w:rPr>
              <w:t>% RSD</w:t>
            </w:r>
          </w:p>
        </w:tc>
        <w:tc>
          <w:tcPr>
            <w:tcW w:w="987" w:type="pct"/>
            <w:tcBorders>
              <w:bottom w:val="single" w:sz="4" w:space="0" w:color="auto"/>
            </w:tcBorders>
          </w:tcPr>
          <w:p w14:paraId="251CC819" w14:textId="77777777" w:rsidR="002D7255" w:rsidRPr="002D7255" w:rsidRDefault="002D7255" w:rsidP="00B703AF">
            <w:pPr>
              <w:spacing w:before="60" w:after="0"/>
              <w:jc w:val="center"/>
              <w:rPr>
                <w:rFonts w:ascii="Times New Roman" w:hAnsi="Times New Roman"/>
                <w:noProof/>
                <w:sz w:val="20"/>
                <w:szCs w:val="20"/>
              </w:rPr>
            </w:pPr>
          </w:p>
        </w:tc>
        <w:tc>
          <w:tcPr>
            <w:tcW w:w="801" w:type="pct"/>
            <w:tcBorders>
              <w:bottom w:val="single" w:sz="4" w:space="0" w:color="auto"/>
            </w:tcBorders>
            <w:vAlign w:val="bottom"/>
          </w:tcPr>
          <w:p w14:paraId="5C35306F" w14:textId="77777777" w:rsidR="002D7255" w:rsidRPr="002D7255" w:rsidRDefault="002D7255" w:rsidP="00B703AF">
            <w:pPr>
              <w:spacing w:before="60" w:after="0"/>
              <w:jc w:val="center"/>
              <w:rPr>
                <w:rFonts w:ascii="Times New Roman" w:hAnsi="Times New Roman"/>
                <w:noProof/>
                <w:sz w:val="20"/>
                <w:szCs w:val="20"/>
              </w:rPr>
            </w:pPr>
          </w:p>
        </w:tc>
        <w:tc>
          <w:tcPr>
            <w:tcW w:w="660" w:type="pct"/>
            <w:tcBorders>
              <w:bottom w:val="single" w:sz="4" w:space="0" w:color="auto"/>
            </w:tcBorders>
            <w:vAlign w:val="center"/>
            <w:hideMark/>
          </w:tcPr>
          <w:p w14:paraId="7F900BDB"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1.44</w:t>
            </w:r>
          </w:p>
        </w:tc>
        <w:tc>
          <w:tcPr>
            <w:tcW w:w="801" w:type="pct"/>
            <w:tcBorders>
              <w:bottom w:val="single" w:sz="4" w:space="0" w:color="auto"/>
            </w:tcBorders>
          </w:tcPr>
          <w:p w14:paraId="5423C239" w14:textId="77777777" w:rsidR="002D7255" w:rsidRPr="002D7255" w:rsidRDefault="002D7255" w:rsidP="00B703AF">
            <w:pPr>
              <w:spacing w:before="60" w:after="0"/>
              <w:jc w:val="center"/>
              <w:rPr>
                <w:rFonts w:ascii="Times New Roman" w:hAnsi="Times New Roman"/>
                <w:noProof/>
                <w:sz w:val="20"/>
                <w:szCs w:val="20"/>
              </w:rPr>
            </w:pPr>
          </w:p>
        </w:tc>
        <w:tc>
          <w:tcPr>
            <w:tcW w:w="659" w:type="pct"/>
            <w:tcBorders>
              <w:bottom w:val="single" w:sz="4" w:space="0" w:color="auto"/>
            </w:tcBorders>
            <w:hideMark/>
          </w:tcPr>
          <w:p w14:paraId="7ADEF3AC" w14:textId="77777777" w:rsidR="002D7255" w:rsidRPr="002D7255" w:rsidRDefault="002D7255" w:rsidP="00B703AF">
            <w:pPr>
              <w:spacing w:before="60" w:after="0"/>
              <w:ind w:right="20"/>
              <w:jc w:val="center"/>
              <w:rPr>
                <w:rFonts w:ascii="Times New Roman" w:hAnsi="Times New Roman"/>
                <w:noProof/>
                <w:sz w:val="20"/>
                <w:szCs w:val="20"/>
              </w:rPr>
            </w:pPr>
            <w:r w:rsidRPr="002D7255">
              <w:rPr>
                <w:rFonts w:ascii="Times New Roman" w:hAnsi="Times New Roman"/>
                <w:b/>
                <w:bCs/>
                <w:noProof/>
                <w:color w:val="000000"/>
                <w:sz w:val="20"/>
                <w:szCs w:val="20"/>
              </w:rPr>
              <w:t>3.03</w:t>
            </w:r>
          </w:p>
        </w:tc>
      </w:tr>
    </w:tbl>
    <w:p w14:paraId="3A755E0E" w14:textId="43A609CA" w:rsidR="00B703AF" w:rsidRDefault="00B703AF" w:rsidP="00B703AF">
      <w:pPr>
        <w:spacing w:after="0"/>
        <w:jc w:val="both"/>
        <w:outlineLvl w:val="0"/>
        <w:rPr>
          <w:rFonts w:ascii="Times New Roman" w:hAnsi="Times New Roman"/>
          <w:noProof/>
          <w:sz w:val="20"/>
          <w:szCs w:val="20"/>
        </w:rPr>
      </w:pPr>
    </w:p>
    <w:p w14:paraId="53D267E4" w14:textId="77777777" w:rsidR="00B703AF" w:rsidRDefault="00B703AF" w:rsidP="00B703AF">
      <w:pPr>
        <w:spacing w:after="0"/>
        <w:jc w:val="both"/>
        <w:outlineLvl w:val="0"/>
        <w:rPr>
          <w:rFonts w:ascii="Times New Roman" w:hAnsi="Times New Roman"/>
          <w:noProof/>
          <w:sz w:val="20"/>
          <w:szCs w:val="20"/>
        </w:rPr>
      </w:pPr>
    </w:p>
    <w:p w14:paraId="3A539A33" w14:textId="67EAF70D" w:rsidR="00B703AF" w:rsidRPr="00B703AF" w:rsidRDefault="00B703AF" w:rsidP="00B703AF">
      <w:pPr>
        <w:pStyle w:val="HTMLPreformatted"/>
        <w:spacing w:after="120" w:line="276" w:lineRule="auto"/>
        <w:jc w:val="center"/>
        <w:rPr>
          <w:rFonts w:ascii="Times New Roman" w:hAnsi="Times New Roman" w:cs="Times New Roman"/>
          <w:noProof/>
        </w:rPr>
      </w:pPr>
      <w:r w:rsidRPr="00B703AF">
        <w:rPr>
          <w:rFonts w:ascii="Times New Roman" w:hAnsi="Times New Roman" w:cs="Times New Roman"/>
          <w:noProof/>
        </w:rPr>
        <w:t xml:space="preserve">Table 2. </w:t>
      </w:r>
      <w:r>
        <w:rPr>
          <w:rFonts w:ascii="Times New Roman" w:hAnsi="Times New Roman" w:cs="Times New Roman"/>
          <w:noProof/>
        </w:rPr>
        <w:t xml:space="preserve"> </w:t>
      </w:r>
      <w:r w:rsidRPr="00B703AF">
        <w:rPr>
          <w:rFonts w:ascii="Times New Roman" w:hAnsi="Times New Roman" w:cs="Times New Roman"/>
          <w:noProof/>
        </w:rPr>
        <w:t>Method selectivity evaluation in the presence of various excipients in tablet formulations (n = 3)</w:t>
      </w:r>
    </w:p>
    <w:tbl>
      <w:tblPr>
        <w:tblpPr w:leftFromText="180" w:rightFromText="180" w:vertAnchor="text" w:horzAnchor="margin" w:tblpXSpec="center" w:tblpY="70"/>
        <w:tblW w:w="0" w:type="auto"/>
        <w:tblLook w:val="04A0" w:firstRow="1" w:lastRow="0" w:firstColumn="1" w:lastColumn="0" w:noHBand="0" w:noVBand="1"/>
      </w:tblPr>
      <w:tblGrid>
        <w:gridCol w:w="1375"/>
        <w:gridCol w:w="1511"/>
        <w:gridCol w:w="2238"/>
        <w:gridCol w:w="1266"/>
        <w:gridCol w:w="617"/>
      </w:tblGrid>
      <w:tr w:rsidR="00B703AF" w:rsidRPr="00B703AF" w14:paraId="5867F4E2" w14:textId="77777777" w:rsidTr="00B703AF">
        <w:trPr>
          <w:trHeight w:val="623"/>
        </w:trPr>
        <w:tc>
          <w:tcPr>
            <w:tcW w:w="1375" w:type="dxa"/>
            <w:tcBorders>
              <w:top w:val="single" w:sz="4" w:space="0" w:color="auto"/>
              <w:bottom w:val="single" w:sz="4" w:space="0" w:color="auto"/>
            </w:tcBorders>
            <w:vAlign w:val="center"/>
            <w:hideMark/>
          </w:tcPr>
          <w:p w14:paraId="344F6ABF" w14:textId="77777777" w:rsidR="00B703AF" w:rsidRPr="00B703AF" w:rsidRDefault="00B703AF" w:rsidP="00B703AF">
            <w:pPr>
              <w:spacing w:after="0"/>
              <w:rPr>
                <w:rFonts w:ascii="Times New Roman" w:hAnsi="Times New Roman"/>
                <w:b/>
                <w:bCs/>
                <w:noProof/>
                <w:sz w:val="20"/>
                <w:szCs w:val="20"/>
              </w:rPr>
            </w:pPr>
            <w:r w:rsidRPr="00B703AF">
              <w:rPr>
                <w:rStyle w:val="fontstyle01"/>
                <w:rFonts w:ascii="Times New Roman" w:hAnsi="Times New Roman"/>
                <w:b/>
                <w:bCs/>
                <w:noProof/>
                <w:sz w:val="20"/>
                <w:szCs w:val="20"/>
              </w:rPr>
              <w:t>Excipients</w:t>
            </w:r>
          </w:p>
          <w:p w14:paraId="65BF0185" w14:textId="77777777" w:rsidR="00B703AF" w:rsidRPr="00B703AF" w:rsidRDefault="00B703AF" w:rsidP="00B703AF">
            <w:pPr>
              <w:spacing w:after="0"/>
              <w:rPr>
                <w:rFonts w:ascii="Times New Roman" w:hAnsi="Times New Roman"/>
                <w:b/>
                <w:noProof/>
                <w:color w:val="000000"/>
                <w:sz w:val="20"/>
                <w:szCs w:val="20"/>
              </w:rPr>
            </w:pPr>
          </w:p>
        </w:tc>
        <w:tc>
          <w:tcPr>
            <w:tcW w:w="0" w:type="auto"/>
            <w:tcBorders>
              <w:top w:val="single" w:sz="4" w:space="0" w:color="auto"/>
              <w:bottom w:val="single" w:sz="4" w:space="0" w:color="auto"/>
            </w:tcBorders>
            <w:vAlign w:val="center"/>
            <w:hideMark/>
          </w:tcPr>
          <w:p w14:paraId="6BAA26E0"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Amount Taken</w:t>
            </w:r>
          </w:p>
          <w:p w14:paraId="79A25E3A"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(mg/L)</w:t>
            </w:r>
          </w:p>
        </w:tc>
        <w:tc>
          <w:tcPr>
            <w:tcW w:w="0" w:type="auto"/>
            <w:tcBorders>
              <w:top w:val="single" w:sz="4" w:space="0" w:color="auto"/>
              <w:bottom w:val="single" w:sz="4" w:space="0" w:color="auto"/>
            </w:tcBorders>
            <w:vAlign w:val="center"/>
            <w:hideMark/>
          </w:tcPr>
          <w:p w14:paraId="6505C4D7"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Mefenamic Acid Added</w:t>
            </w:r>
          </w:p>
          <w:p w14:paraId="295D49FE"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(mg/L)</w:t>
            </w:r>
          </w:p>
        </w:tc>
        <w:tc>
          <w:tcPr>
            <w:tcW w:w="1266" w:type="dxa"/>
            <w:tcBorders>
              <w:top w:val="single" w:sz="4" w:space="0" w:color="auto"/>
              <w:bottom w:val="single" w:sz="4" w:space="0" w:color="auto"/>
            </w:tcBorders>
            <w:vAlign w:val="center"/>
            <w:hideMark/>
          </w:tcPr>
          <w:p w14:paraId="7AEC5F99"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Recovery</w:t>
            </w:r>
          </w:p>
          <w:p w14:paraId="591C77FA"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w:t>
            </w:r>
          </w:p>
        </w:tc>
        <w:tc>
          <w:tcPr>
            <w:tcW w:w="367" w:type="dxa"/>
            <w:tcBorders>
              <w:top w:val="single" w:sz="4" w:space="0" w:color="auto"/>
              <w:bottom w:val="single" w:sz="4" w:space="0" w:color="auto"/>
            </w:tcBorders>
            <w:vAlign w:val="center"/>
            <w:hideMark/>
          </w:tcPr>
          <w:p w14:paraId="3433945A" w14:textId="77777777" w:rsidR="00B703AF" w:rsidRPr="00B703AF" w:rsidRDefault="00B703AF" w:rsidP="00B703AF">
            <w:pPr>
              <w:spacing w:before="60"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RSD</w:t>
            </w:r>
          </w:p>
          <w:p w14:paraId="39CF1511" w14:textId="77777777" w:rsidR="00B703AF" w:rsidRPr="00B703AF" w:rsidRDefault="00B703AF" w:rsidP="00B703AF">
            <w:pPr>
              <w:spacing w:after="60"/>
              <w:jc w:val="center"/>
              <w:rPr>
                <w:rFonts w:ascii="Times New Roman" w:hAnsi="Times New Roman"/>
                <w:b/>
                <w:noProof/>
                <w:color w:val="000000"/>
                <w:sz w:val="20"/>
                <w:szCs w:val="20"/>
              </w:rPr>
            </w:pPr>
            <w:r w:rsidRPr="00B703AF">
              <w:rPr>
                <w:rFonts w:ascii="Times New Roman" w:hAnsi="Times New Roman"/>
                <w:b/>
                <w:noProof/>
                <w:color w:val="000000"/>
                <w:sz w:val="20"/>
                <w:szCs w:val="20"/>
              </w:rPr>
              <w:t>(%)</w:t>
            </w:r>
          </w:p>
        </w:tc>
      </w:tr>
      <w:tr w:rsidR="00B703AF" w:rsidRPr="00B703AF" w14:paraId="4F255242" w14:textId="77777777" w:rsidTr="00B703AF">
        <w:trPr>
          <w:trHeight w:val="20"/>
        </w:trPr>
        <w:tc>
          <w:tcPr>
            <w:tcW w:w="1375" w:type="dxa"/>
            <w:tcBorders>
              <w:top w:val="single" w:sz="4" w:space="0" w:color="auto"/>
            </w:tcBorders>
            <w:vAlign w:val="center"/>
          </w:tcPr>
          <w:p w14:paraId="272A556C" w14:textId="77777777" w:rsidR="00B703AF" w:rsidRPr="00B703AF" w:rsidRDefault="00B703AF" w:rsidP="00B703AF">
            <w:pPr>
              <w:spacing w:before="60" w:after="0"/>
              <w:rPr>
                <w:rFonts w:ascii="Times New Roman" w:hAnsi="Times New Roman"/>
                <w:bCs/>
                <w:noProof/>
                <w:color w:val="000000"/>
                <w:sz w:val="20"/>
                <w:szCs w:val="20"/>
              </w:rPr>
            </w:pPr>
            <w:r w:rsidRPr="00B703AF">
              <w:rPr>
                <w:rFonts w:ascii="Times New Roman" w:hAnsi="Times New Roman"/>
                <w:bCs/>
                <w:noProof/>
                <w:color w:val="000000"/>
                <w:sz w:val="20"/>
                <w:szCs w:val="20"/>
              </w:rPr>
              <w:t>PVP</w:t>
            </w:r>
          </w:p>
        </w:tc>
        <w:tc>
          <w:tcPr>
            <w:tcW w:w="0" w:type="auto"/>
            <w:tcBorders>
              <w:top w:val="single" w:sz="4" w:space="0" w:color="auto"/>
            </w:tcBorders>
            <w:vAlign w:val="center"/>
          </w:tcPr>
          <w:p w14:paraId="1E1BE97A"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1000</w:t>
            </w:r>
          </w:p>
        </w:tc>
        <w:tc>
          <w:tcPr>
            <w:tcW w:w="0" w:type="auto"/>
            <w:tcBorders>
              <w:top w:val="single" w:sz="4" w:space="0" w:color="auto"/>
            </w:tcBorders>
            <w:vAlign w:val="center"/>
          </w:tcPr>
          <w:p w14:paraId="2FD8AD9C"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8.00</w:t>
            </w:r>
          </w:p>
        </w:tc>
        <w:tc>
          <w:tcPr>
            <w:tcW w:w="1266" w:type="dxa"/>
            <w:tcBorders>
              <w:top w:val="single" w:sz="4" w:space="0" w:color="auto"/>
            </w:tcBorders>
            <w:vAlign w:val="center"/>
          </w:tcPr>
          <w:p w14:paraId="26890DAB"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98.38</w:t>
            </w:r>
          </w:p>
        </w:tc>
        <w:tc>
          <w:tcPr>
            <w:tcW w:w="367" w:type="dxa"/>
            <w:tcBorders>
              <w:top w:val="single" w:sz="4" w:space="0" w:color="auto"/>
            </w:tcBorders>
            <w:vAlign w:val="center"/>
          </w:tcPr>
          <w:p w14:paraId="72DE2459" w14:textId="77777777" w:rsidR="00B703AF" w:rsidRPr="00B703AF" w:rsidRDefault="00B703AF" w:rsidP="00B703AF">
            <w:pPr>
              <w:spacing w:before="60" w:after="0"/>
              <w:jc w:val="center"/>
              <w:rPr>
                <w:rFonts w:ascii="Times New Roman" w:hAnsi="Times New Roman"/>
                <w:bCs/>
                <w:noProof/>
                <w:color w:val="000000"/>
                <w:sz w:val="20"/>
                <w:szCs w:val="20"/>
              </w:rPr>
            </w:pPr>
            <w:r w:rsidRPr="00B703AF">
              <w:rPr>
                <w:rFonts w:ascii="Times New Roman" w:hAnsi="Times New Roman"/>
                <w:bCs/>
                <w:noProof/>
                <w:color w:val="000000"/>
                <w:sz w:val="20"/>
                <w:szCs w:val="20"/>
              </w:rPr>
              <w:t>2.33</w:t>
            </w:r>
          </w:p>
        </w:tc>
      </w:tr>
      <w:tr w:rsidR="00B703AF" w:rsidRPr="00B703AF" w14:paraId="5459D07C" w14:textId="77777777" w:rsidTr="00B703AF">
        <w:trPr>
          <w:trHeight w:val="20"/>
        </w:trPr>
        <w:tc>
          <w:tcPr>
            <w:tcW w:w="1375" w:type="dxa"/>
            <w:vAlign w:val="center"/>
          </w:tcPr>
          <w:p w14:paraId="65D1856A" w14:textId="77777777" w:rsidR="00B703AF" w:rsidRPr="00B703AF" w:rsidRDefault="00B703AF" w:rsidP="00B703AF">
            <w:pPr>
              <w:spacing w:before="60" w:after="0"/>
              <w:rPr>
                <w:rFonts w:ascii="Times New Roman" w:hAnsi="Times New Roman"/>
                <w:bCs/>
                <w:noProof/>
                <w:color w:val="000000"/>
                <w:sz w:val="20"/>
                <w:szCs w:val="20"/>
              </w:rPr>
            </w:pPr>
            <w:r w:rsidRPr="00B703AF">
              <w:rPr>
                <w:rFonts w:ascii="Times New Roman" w:hAnsi="Times New Roman"/>
                <w:bCs/>
                <w:noProof/>
                <w:color w:val="000000"/>
                <w:sz w:val="20"/>
                <w:szCs w:val="20"/>
              </w:rPr>
              <w:t>Talc</w:t>
            </w:r>
          </w:p>
        </w:tc>
        <w:tc>
          <w:tcPr>
            <w:tcW w:w="0" w:type="auto"/>
            <w:vAlign w:val="center"/>
          </w:tcPr>
          <w:p w14:paraId="31F832BD"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1000</w:t>
            </w:r>
          </w:p>
        </w:tc>
        <w:tc>
          <w:tcPr>
            <w:tcW w:w="0" w:type="auto"/>
            <w:vAlign w:val="center"/>
          </w:tcPr>
          <w:p w14:paraId="19BF4079"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8.00</w:t>
            </w:r>
          </w:p>
        </w:tc>
        <w:tc>
          <w:tcPr>
            <w:tcW w:w="1266" w:type="dxa"/>
            <w:vAlign w:val="center"/>
          </w:tcPr>
          <w:p w14:paraId="59192431"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108.12</w:t>
            </w:r>
          </w:p>
        </w:tc>
        <w:tc>
          <w:tcPr>
            <w:tcW w:w="367" w:type="dxa"/>
          </w:tcPr>
          <w:p w14:paraId="348E5B85"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3.15</w:t>
            </w:r>
          </w:p>
        </w:tc>
      </w:tr>
      <w:tr w:rsidR="00B703AF" w:rsidRPr="00B703AF" w14:paraId="44FABD68" w14:textId="77777777" w:rsidTr="00B703AF">
        <w:trPr>
          <w:trHeight w:val="20"/>
        </w:trPr>
        <w:tc>
          <w:tcPr>
            <w:tcW w:w="1375" w:type="dxa"/>
            <w:tcBorders>
              <w:bottom w:val="single" w:sz="4" w:space="0" w:color="auto"/>
            </w:tcBorders>
            <w:vAlign w:val="center"/>
          </w:tcPr>
          <w:p w14:paraId="14A016B7" w14:textId="77777777" w:rsidR="00B703AF" w:rsidRPr="00B703AF" w:rsidRDefault="00B703AF" w:rsidP="00B703AF">
            <w:pPr>
              <w:spacing w:before="60" w:after="60"/>
              <w:rPr>
                <w:rFonts w:ascii="Times New Roman" w:hAnsi="Times New Roman"/>
                <w:bCs/>
                <w:noProof/>
                <w:color w:val="000000"/>
                <w:sz w:val="20"/>
                <w:szCs w:val="20"/>
              </w:rPr>
            </w:pPr>
            <w:r w:rsidRPr="00B703AF">
              <w:rPr>
                <w:rFonts w:ascii="Times New Roman" w:hAnsi="Times New Roman"/>
                <w:bCs/>
                <w:noProof/>
                <w:color w:val="000000"/>
                <w:sz w:val="20"/>
                <w:szCs w:val="20"/>
              </w:rPr>
              <w:t>Starch</w:t>
            </w:r>
          </w:p>
        </w:tc>
        <w:tc>
          <w:tcPr>
            <w:tcW w:w="0" w:type="auto"/>
            <w:tcBorders>
              <w:bottom w:val="single" w:sz="4" w:space="0" w:color="auto"/>
            </w:tcBorders>
            <w:vAlign w:val="center"/>
          </w:tcPr>
          <w:p w14:paraId="5C943302" w14:textId="77777777" w:rsidR="00B703AF" w:rsidRPr="00B703AF" w:rsidRDefault="00B703AF" w:rsidP="00B703AF">
            <w:pPr>
              <w:spacing w:before="60" w:after="60"/>
              <w:jc w:val="center"/>
              <w:rPr>
                <w:rFonts w:ascii="Times New Roman" w:hAnsi="Times New Roman"/>
                <w:noProof/>
                <w:color w:val="000000"/>
                <w:sz w:val="20"/>
                <w:szCs w:val="20"/>
              </w:rPr>
            </w:pPr>
            <w:r w:rsidRPr="00B703AF">
              <w:rPr>
                <w:rFonts w:ascii="Times New Roman" w:hAnsi="Times New Roman"/>
                <w:noProof/>
                <w:color w:val="000000"/>
                <w:sz w:val="20"/>
                <w:szCs w:val="20"/>
              </w:rPr>
              <w:t>1000</w:t>
            </w:r>
          </w:p>
        </w:tc>
        <w:tc>
          <w:tcPr>
            <w:tcW w:w="0" w:type="auto"/>
            <w:tcBorders>
              <w:bottom w:val="single" w:sz="4" w:space="0" w:color="auto"/>
            </w:tcBorders>
            <w:vAlign w:val="center"/>
          </w:tcPr>
          <w:p w14:paraId="3C75CD56" w14:textId="77777777" w:rsidR="00B703AF" w:rsidRPr="00B703AF" w:rsidRDefault="00B703AF" w:rsidP="00B703AF">
            <w:pPr>
              <w:spacing w:before="60" w:after="60"/>
              <w:jc w:val="center"/>
              <w:rPr>
                <w:rFonts w:ascii="Times New Roman" w:hAnsi="Times New Roman"/>
                <w:noProof/>
                <w:color w:val="000000"/>
                <w:sz w:val="20"/>
                <w:szCs w:val="20"/>
              </w:rPr>
            </w:pPr>
            <w:r w:rsidRPr="00B703AF">
              <w:rPr>
                <w:rFonts w:ascii="Times New Roman" w:hAnsi="Times New Roman"/>
                <w:noProof/>
                <w:color w:val="000000"/>
                <w:sz w:val="20"/>
                <w:szCs w:val="20"/>
              </w:rPr>
              <w:t>8.00</w:t>
            </w:r>
          </w:p>
        </w:tc>
        <w:tc>
          <w:tcPr>
            <w:tcW w:w="1266" w:type="dxa"/>
            <w:tcBorders>
              <w:bottom w:val="single" w:sz="4" w:space="0" w:color="auto"/>
            </w:tcBorders>
            <w:vAlign w:val="center"/>
          </w:tcPr>
          <w:p w14:paraId="0E532E84" w14:textId="77777777" w:rsidR="00B703AF" w:rsidRPr="00B703AF" w:rsidRDefault="00B703AF" w:rsidP="00B703AF">
            <w:pPr>
              <w:spacing w:before="60" w:after="60"/>
              <w:jc w:val="center"/>
              <w:rPr>
                <w:rFonts w:ascii="Times New Roman" w:hAnsi="Times New Roman"/>
                <w:noProof/>
                <w:color w:val="000000"/>
                <w:sz w:val="20"/>
                <w:szCs w:val="20"/>
              </w:rPr>
            </w:pPr>
            <w:r w:rsidRPr="00B703AF">
              <w:rPr>
                <w:rFonts w:ascii="Times New Roman" w:hAnsi="Times New Roman"/>
                <w:noProof/>
                <w:color w:val="000000"/>
                <w:sz w:val="20"/>
                <w:szCs w:val="20"/>
              </w:rPr>
              <w:t>104.20</w:t>
            </w:r>
          </w:p>
        </w:tc>
        <w:tc>
          <w:tcPr>
            <w:tcW w:w="367" w:type="dxa"/>
            <w:tcBorders>
              <w:bottom w:val="single" w:sz="4" w:space="0" w:color="auto"/>
            </w:tcBorders>
          </w:tcPr>
          <w:p w14:paraId="282C425D" w14:textId="77777777" w:rsidR="00B703AF" w:rsidRPr="00B703AF" w:rsidRDefault="00B703AF" w:rsidP="00B703AF">
            <w:pPr>
              <w:spacing w:before="60" w:after="60"/>
              <w:jc w:val="center"/>
              <w:rPr>
                <w:rFonts w:ascii="Times New Roman" w:hAnsi="Times New Roman"/>
                <w:noProof/>
                <w:sz w:val="20"/>
                <w:szCs w:val="20"/>
              </w:rPr>
            </w:pPr>
            <w:r w:rsidRPr="00B703AF">
              <w:rPr>
                <w:rFonts w:ascii="Times New Roman" w:hAnsi="Times New Roman"/>
                <w:noProof/>
                <w:sz w:val="20"/>
                <w:szCs w:val="20"/>
              </w:rPr>
              <w:t>1.38</w:t>
            </w:r>
          </w:p>
        </w:tc>
      </w:tr>
    </w:tbl>
    <w:p w14:paraId="62410D87" w14:textId="77777777" w:rsidR="00B703AF" w:rsidRPr="00B703AF" w:rsidRDefault="00B703AF" w:rsidP="00B703AF">
      <w:pPr>
        <w:spacing w:after="0"/>
        <w:outlineLvl w:val="0"/>
        <w:rPr>
          <w:rFonts w:ascii="Times New Roman" w:hAnsi="Times New Roman"/>
          <w:noProof/>
          <w:sz w:val="20"/>
          <w:szCs w:val="20"/>
        </w:rPr>
      </w:pPr>
    </w:p>
    <w:p w14:paraId="74B0F092" w14:textId="77777777" w:rsidR="00B703AF" w:rsidRPr="00B703AF" w:rsidRDefault="00B703AF" w:rsidP="00B703AF">
      <w:pPr>
        <w:spacing w:after="0"/>
        <w:outlineLvl w:val="0"/>
        <w:rPr>
          <w:rFonts w:ascii="Times New Roman" w:hAnsi="Times New Roman"/>
          <w:b/>
          <w:noProof/>
          <w:sz w:val="20"/>
          <w:szCs w:val="20"/>
        </w:rPr>
      </w:pPr>
    </w:p>
    <w:p w14:paraId="430A0CE5" w14:textId="77777777" w:rsidR="00B703AF" w:rsidRPr="00B703AF" w:rsidRDefault="00B703AF" w:rsidP="00B703AF">
      <w:pPr>
        <w:spacing w:after="0"/>
        <w:outlineLvl w:val="0"/>
        <w:rPr>
          <w:rFonts w:ascii="Times New Roman" w:hAnsi="Times New Roman"/>
          <w:b/>
          <w:noProof/>
          <w:sz w:val="20"/>
          <w:szCs w:val="20"/>
        </w:rPr>
      </w:pPr>
    </w:p>
    <w:p w14:paraId="739D90C5" w14:textId="77777777" w:rsidR="00B703AF" w:rsidRPr="00B703AF" w:rsidRDefault="00B703AF" w:rsidP="00B703AF">
      <w:pPr>
        <w:spacing w:after="0"/>
        <w:outlineLvl w:val="0"/>
        <w:rPr>
          <w:rFonts w:ascii="Times New Roman" w:hAnsi="Times New Roman"/>
          <w:b/>
          <w:noProof/>
          <w:sz w:val="20"/>
          <w:szCs w:val="20"/>
        </w:rPr>
      </w:pPr>
    </w:p>
    <w:p w14:paraId="7EC7BEC3" w14:textId="77777777" w:rsidR="00B703AF" w:rsidRPr="00B703AF" w:rsidRDefault="00B703AF" w:rsidP="00B703AF">
      <w:pPr>
        <w:spacing w:after="0"/>
        <w:outlineLvl w:val="0"/>
        <w:rPr>
          <w:rFonts w:ascii="Times New Roman" w:hAnsi="Times New Roman"/>
          <w:b/>
          <w:noProof/>
          <w:sz w:val="20"/>
          <w:szCs w:val="20"/>
        </w:rPr>
      </w:pPr>
    </w:p>
    <w:p w14:paraId="4FEE3FF1" w14:textId="77777777" w:rsidR="00B703AF" w:rsidRPr="00B703AF" w:rsidRDefault="00B703AF" w:rsidP="00B703AF">
      <w:pPr>
        <w:spacing w:after="0"/>
        <w:outlineLvl w:val="0"/>
        <w:rPr>
          <w:rFonts w:ascii="Times New Roman" w:hAnsi="Times New Roman"/>
          <w:b/>
          <w:noProof/>
          <w:sz w:val="20"/>
          <w:szCs w:val="20"/>
        </w:rPr>
      </w:pPr>
    </w:p>
    <w:p w14:paraId="0217D932" w14:textId="77777777" w:rsidR="00B703AF" w:rsidRPr="00B703AF" w:rsidRDefault="00B703AF" w:rsidP="00B703AF">
      <w:pPr>
        <w:spacing w:after="0"/>
        <w:outlineLvl w:val="0"/>
        <w:rPr>
          <w:rFonts w:ascii="Times New Roman" w:hAnsi="Times New Roman"/>
          <w:b/>
          <w:noProof/>
          <w:sz w:val="20"/>
          <w:szCs w:val="20"/>
        </w:rPr>
      </w:pPr>
    </w:p>
    <w:p w14:paraId="60B56A7D" w14:textId="29C78FB7" w:rsidR="00B703AF" w:rsidRDefault="00B703AF" w:rsidP="00B703AF">
      <w:pPr>
        <w:spacing w:after="0"/>
        <w:jc w:val="both"/>
        <w:outlineLvl w:val="0"/>
        <w:rPr>
          <w:rFonts w:ascii="Times New Roman" w:hAnsi="Times New Roman"/>
          <w:bCs/>
          <w:noProof/>
          <w:sz w:val="20"/>
          <w:szCs w:val="20"/>
        </w:rPr>
      </w:pPr>
    </w:p>
    <w:p w14:paraId="67E13340" w14:textId="4577FAF0" w:rsidR="000637B8" w:rsidRDefault="000637B8" w:rsidP="00B703AF">
      <w:pPr>
        <w:spacing w:after="0"/>
        <w:jc w:val="both"/>
        <w:outlineLvl w:val="0"/>
        <w:rPr>
          <w:rFonts w:ascii="Times New Roman" w:hAnsi="Times New Roman"/>
          <w:bCs/>
          <w:noProof/>
          <w:sz w:val="20"/>
          <w:szCs w:val="20"/>
        </w:rPr>
      </w:pPr>
    </w:p>
    <w:p w14:paraId="26E2971D" w14:textId="5DCC09C7" w:rsidR="000637B8" w:rsidRDefault="000637B8" w:rsidP="00B703AF">
      <w:pPr>
        <w:spacing w:after="0"/>
        <w:jc w:val="both"/>
        <w:outlineLvl w:val="0"/>
        <w:rPr>
          <w:rFonts w:ascii="Times New Roman" w:hAnsi="Times New Roman"/>
          <w:bCs/>
          <w:noProof/>
          <w:sz w:val="20"/>
          <w:szCs w:val="20"/>
        </w:rPr>
      </w:pPr>
    </w:p>
    <w:p w14:paraId="779FF3C0" w14:textId="4E57127F" w:rsidR="000637B8" w:rsidRDefault="000637B8" w:rsidP="00B703AF">
      <w:pPr>
        <w:spacing w:after="0"/>
        <w:jc w:val="both"/>
        <w:outlineLvl w:val="0"/>
        <w:rPr>
          <w:rFonts w:ascii="Times New Roman" w:hAnsi="Times New Roman"/>
          <w:bCs/>
          <w:noProof/>
          <w:sz w:val="20"/>
          <w:szCs w:val="20"/>
        </w:rPr>
      </w:pPr>
    </w:p>
    <w:p w14:paraId="7D6D74D0" w14:textId="6B27583B" w:rsidR="000637B8" w:rsidRDefault="000637B8" w:rsidP="00B703AF">
      <w:pPr>
        <w:spacing w:after="0"/>
        <w:jc w:val="both"/>
        <w:outlineLvl w:val="0"/>
        <w:rPr>
          <w:rFonts w:ascii="Times New Roman" w:hAnsi="Times New Roman"/>
          <w:bCs/>
          <w:noProof/>
          <w:sz w:val="20"/>
          <w:szCs w:val="20"/>
        </w:rPr>
      </w:pPr>
    </w:p>
    <w:p w14:paraId="5F70B542" w14:textId="77777777" w:rsidR="000637B8" w:rsidRPr="00B703AF" w:rsidRDefault="000637B8" w:rsidP="00B703AF">
      <w:pPr>
        <w:spacing w:after="0"/>
        <w:jc w:val="both"/>
        <w:outlineLvl w:val="0"/>
        <w:rPr>
          <w:rFonts w:ascii="Times New Roman" w:hAnsi="Times New Roman"/>
          <w:noProof/>
          <w:sz w:val="20"/>
          <w:szCs w:val="20"/>
        </w:rPr>
      </w:pPr>
    </w:p>
    <w:p w14:paraId="2ADCC4BF" w14:textId="77777777" w:rsidR="00B703AF" w:rsidRDefault="00B703AF" w:rsidP="00B703AF">
      <w:pPr>
        <w:pStyle w:val="HTMLPreformatted"/>
        <w:spacing w:line="276" w:lineRule="auto"/>
        <w:ind w:left="709" w:hanging="709"/>
        <w:jc w:val="center"/>
        <w:rPr>
          <w:rFonts w:ascii="Times New Roman" w:hAnsi="Times New Roman" w:cs="Times New Roman"/>
          <w:noProof/>
        </w:rPr>
      </w:pPr>
      <w:r w:rsidRPr="00B703AF">
        <w:rPr>
          <w:rFonts w:ascii="Times New Roman" w:hAnsi="Times New Roman" w:cs="Times New Roman"/>
          <w:noProof/>
        </w:rPr>
        <w:lastRenderedPageBreak/>
        <w:t>Table 3</w:t>
      </w:r>
      <w:r w:rsidRPr="00B703AF">
        <w:rPr>
          <w:rFonts w:ascii="Times New Roman" w:hAnsi="Times New Roman" w:cs="Times New Roman"/>
          <w:bCs/>
          <w:noProof/>
        </w:rPr>
        <w:t>.</w:t>
      </w:r>
      <w:r w:rsidRPr="00B703AF">
        <w:rPr>
          <w:rFonts w:ascii="Times New Roman" w:hAnsi="Times New Roman" w:cs="Times New Roman"/>
          <w:noProof/>
        </w:rPr>
        <w:t xml:space="preserve"> </w:t>
      </w:r>
      <w:r>
        <w:rPr>
          <w:rFonts w:ascii="Times New Roman" w:hAnsi="Times New Roman" w:cs="Times New Roman"/>
          <w:noProof/>
        </w:rPr>
        <w:t xml:space="preserve"> </w:t>
      </w:r>
      <w:r w:rsidRPr="00B703AF">
        <w:rPr>
          <w:rFonts w:ascii="Times New Roman" w:hAnsi="Times New Roman" w:cs="Times New Roman"/>
          <w:noProof/>
        </w:rPr>
        <w:t xml:space="preserve">Application of the proposed method for analysis of commercial mefenamic acid formulations </w:t>
      </w:r>
    </w:p>
    <w:p w14:paraId="6690D8BB" w14:textId="72749A0B" w:rsidR="00B703AF" w:rsidRPr="00B703AF" w:rsidRDefault="00B703AF" w:rsidP="00B703AF">
      <w:pPr>
        <w:pStyle w:val="HTMLPreformatted"/>
        <w:spacing w:after="120" w:line="276" w:lineRule="auto"/>
        <w:ind w:left="706" w:hanging="706"/>
        <w:jc w:val="center"/>
        <w:rPr>
          <w:rFonts w:ascii="Times New Roman" w:hAnsi="Times New Roman" w:cs="Times New Roman"/>
          <w:noProof/>
        </w:rPr>
      </w:pPr>
      <w:r w:rsidRPr="00B703AF">
        <w:rPr>
          <w:rFonts w:ascii="Times New Roman" w:hAnsi="Times New Roman" w:cs="Times New Roman"/>
          <w:noProof/>
        </w:rPr>
        <w:t>in tablet dosage form (n =3)</w:t>
      </w:r>
    </w:p>
    <w:tbl>
      <w:tblPr>
        <w:tblW w:w="5000" w:type="pct"/>
        <w:tblLook w:val="04A0" w:firstRow="1" w:lastRow="0" w:firstColumn="1" w:lastColumn="0" w:noHBand="0" w:noVBand="1"/>
      </w:tblPr>
      <w:tblGrid>
        <w:gridCol w:w="858"/>
        <w:gridCol w:w="1540"/>
        <w:gridCol w:w="1717"/>
        <w:gridCol w:w="1577"/>
        <w:gridCol w:w="1573"/>
        <w:gridCol w:w="2066"/>
      </w:tblGrid>
      <w:tr w:rsidR="00B703AF" w:rsidRPr="00B703AF" w14:paraId="638CC2D8" w14:textId="77777777" w:rsidTr="00B703AF">
        <w:tc>
          <w:tcPr>
            <w:tcW w:w="460" w:type="pct"/>
            <w:tcBorders>
              <w:top w:val="single" w:sz="4" w:space="0" w:color="auto"/>
              <w:bottom w:val="single" w:sz="4" w:space="0" w:color="auto"/>
            </w:tcBorders>
            <w:vAlign w:val="center"/>
            <w:hideMark/>
          </w:tcPr>
          <w:p w14:paraId="5DD761A9" w14:textId="77777777" w:rsidR="00B703AF" w:rsidRPr="00B703AF" w:rsidRDefault="00B703AF" w:rsidP="00B703AF">
            <w:pPr>
              <w:spacing w:after="0"/>
              <w:rPr>
                <w:rFonts w:ascii="Times New Roman" w:hAnsi="Times New Roman"/>
                <w:b/>
                <w:bCs/>
                <w:noProof/>
                <w:sz w:val="20"/>
                <w:szCs w:val="20"/>
              </w:rPr>
            </w:pPr>
            <w:r w:rsidRPr="00B703AF">
              <w:rPr>
                <w:rFonts w:ascii="Times New Roman" w:hAnsi="Times New Roman"/>
                <w:b/>
                <w:bCs/>
                <w:noProof/>
                <w:sz w:val="20"/>
                <w:szCs w:val="20"/>
              </w:rPr>
              <w:t>Sample</w:t>
            </w:r>
          </w:p>
        </w:tc>
        <w:tc>
          <w:tcPr>
            <w:tcW w:w="825" w:type="pct"/>
            <w:tcBorders>
              <w:top w:val="single" w:sz="4" w:space="0" w:color="auto"/>
              <w:bottom w:val="single" w:sz="4" w:space="0" w:color="auto"/>
            </w:tcBorders>
            <w:vAlign w:val="center"/>
            <w:hideMark/>
          </w:tcPr>
          <w:p w14:paraId="2ACA8788"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Label Claimed in Each Tablet</w:t>
            </w:r>
          </w:p>
          <w:p w14:paraId="36BE3EE7"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 xml:space="preserve"> (mg)</w:t>
            </w:r>
          </w:p>
        </w:tc>
        <w:tc>
          <w:tcPr>
            <w:tcW w:w="920" w:type="pct"/>
            <w:tcBorders>
              <w:top w:val="single" w:sz="4" w:space="0" w:color="auto"/>
              <w:bottom w:val="single" w:sz="4" w:space="0" w:color="auto"/>
            </w:tcBorders>
            <w:vAlign w:val="center"/>
          </w:tcPr>
          <w:p w14:paraId="3B7FFD3C"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Weight of Sample for Each Tablet</w:t>
            </w:r>
          </w:p>
          <w:p w14:paraId="3822AE0E"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(Mg)</w:t>
            </w:r>
          </w:p>
        </w:tc>
        <w:tc>
          <w:tcPr>
            <w:tcW w:w="845" w:type="pct"/>
            <w:tcBorders>
              <w:top w:val="single" w:sz="4" w:space="0" w:color="auto"/>
              <w:bottom w:val="single" w:sz="4" w:space="0" w:color="auto"/>
            </w:tcBorders>
            <w:vAlign w:val="center"/>
            <w:hideMark/>
          </w:tcPr>
          <w:p w14:paraId="257C1EF6"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Mefenamic Acid Found in Each Tablet</w:t>
            </w:r>
          </w:p>
          <w:p w14:paraId="25BC8EF9"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 xml:space="preserve">( </w:t>
            </w:r>
            <w:r w:rsidRPr="00B703AF">
              <w:rPr>
                <w:rFonts w:ascii="Times New Roman" w:hAnsi="Times New Roman"/>
                <w:b/>
                <w:bCs/>
                <w:noProof/>
                <w:sz w:val="20"/>
                <w:szCs w:val="20"/>
              </w:rPr>
              <w:fldChar w:fldCharType="begin"/>
            </w:r>
            <w:r w:rsidRPr="00B703AF">
              <w:rPr>
                <w:rFonts w:ascii="Times New Roman" w:hAnsi="Times New Roman"/>
                <w:b/>
                <w:bCs/>
                <w:noProof/>
                <w:sz w:val="20"/>
                <w:szCs w:val="20"/>
              </w:rPr>
              <w:instrText xml:space="preserve"> QUOTE </w:instrText>
            </w:r>
            <w:r w:rsidR="003D4E65">
              <w:rPr>
                <w:rFonts w:ascii="Times New Roman" w:hAnsi="Times New Roman"/>
                <w:noProof/>
                <w:position w:val="-8"/>
                <w:sz w:val="20"/>
                <w:szCs w:val="20"/>
              </w:rPr>
              <w:pict w14:anchorId="64EF5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15pt" equationxml="&lt;">
                  <v:imagedata r:id="rId22" o:title="" chromakey="white"/>
                </v:shape>
              </w:pict>
            </w:r>
            <w:r w:rsidRPr="00B703AF">
              <w:rPr>
                <w:rFonts w:ascii="Times New Roman" w:hAnsi="Times New Roman"/>
                <w:b/>
                <w:bCs/>
                <w:noProof/>
                <w:sz w:val="20"/>
                <w:szCs w:val="20"/>
              </w:rPr>
              <w:instrText xml:space="preserve"> </w:instrText>
            </w:r>
            <w:r w:rsidRPr="00B703AF">
              <w:rPr>
                <w:rFonts w:ascii="Times New Roman" w:hAnsi="Times New Roman"/>
                <w:b/>
                <w:bCs/>
                <w:noProof/>
                <w:sz w:val="20"/>
                <w:szCs w:val="20"/>
              </w:rPr>
              <w:fldChar w:fldCharType="separate"/>
            </w:r>
            <w:r w:rsidR="003D4E65">
              <w:rPr>
                <w:rFonts w:ascii="Times New Roman" w:hAnsi="Times New Roman"/>
                <w:noProof/>
                <w:position w:val="-8"/>
                <w:sz w:val="20"/>
                <w:szCs w:val="20"/>
              </w:rPr>
              <w:pict w14:anchorId="4D7C1463">
                <v:shape id="_x0000_i1026" type="#_x0000_t75" style="width:7.2pt;height:15pt" equationxml="&lt;">
                  <v:imagedata r:id="rId22" o:title="" chromakey="white"/>
                </v:shape>
              </w:pict>
            </w:r>
            <w:r w:rsidRPr="00B703AF">
              <w:rPr>
                <w:rFonts w:ascii="Times New Roman" w:hAnsi="Times New Roman"/>
                <w:b/>
                <w:bCs/>
                <w:noProof/>
                <w:sz w:val="20"/>
                <w:szCs w:val="20"/>
              </w:rPr>
              <w:fldChar w:fldCharType="end"/>
            </w:r>
            <w:r w:rsidRPr="00B703AF">
              <w:rPr>
                <w:rFonts w:ascii="Times New Roman" w:hAnsi="Times New Roman"/>
                <w:b/>
                <w:bCs/>
                <w:noProof/>
                <w:sz w:val="20"/>
                <w:szCs w:val="20"/>
              </w:rPr>
              <w:t xml:space="preserve"> ± SD Mg)</w:t>
            </w:r>
          </w:p>
        </w:tc>
        <w:tc>
          <w:tcPr>
            <w:tcW w:w="843" w:type="pct"/>
            <w:tcBorders>
              <w:top w:val="single" w:sz="4" w:space="0" w:color="auto"/>
              <w:bottom w:val="single" w:sz="4" w:space="0" w:color="auto"/>
            </w:tcBorders>
          </w:tcPr>
          <w:p w14:paraId="4DC5A47F" w14:textId="77777777" w:rsidR="00B703AF" w:rsidRPr="00B703AF" w:rsidRDefault="00B703AF" w:rsidP="00B703AF">
            <w:pPr>
              <w:spacing w:before="60" w:after="0"/>
              <w:jc w:val="center"/>
              <w:rPr>
                <w:rFonts w:ascii="Times New Roman" w:hAnsi="Times New Roman"/>
                <w:b/>
                <w:bCs/>
                <w:noProof/>
                <w:sz w:val="20"/>
                <w:szCs w:val="20"/>
              </w:rPr>
            </w:pPr>
            <w:r w:rsidRPr="00B703AF">
              <w:rPr>
                <w:rFonts w:ascii="Times New Roman" w:hAnsi="Times New Roman"/>
                <w:b/>
                <w:bCs/>
                <w:noProof/>
                <w:sz w:val="20"/>
                <w:szCs w:val="20"/>
              </w:rPr>
              <w:t>Mefenamic Acid Found in Each Tablet</w:t>
            </w:r>
          </w:p>
          <w:p w14:paraId="32448543"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 xml:space="preserve">( </w:t>
            </w:r>
            <w:r w:rsidRPr="00B703AF">
              <w:rPr>
                <w:rFonts w:ascii="Times New Roman" w:hAnsi="Times New Roman"/>
                <w:b/>
                <w:bCs/>
                <w:noProof/>
                <w:sz w:val="20"/>
                <w:szCs w:val="20"/>
              </w:rPr>
              <w:fldChar w:fldCharType="begin"/>
            </w:r>
            <w:r w:rsidRPr="00B703AF">
              <w:rPr>
                <w:rFonts w:ascii="Times New Roman" w:hAnsi="Times New Roman"/>
                <w:b/>
                <w:bCs/>
                <w:noProof/>
                <w:sz w:val="20"/>
                <w:szCs w:val="20"/>
              </w:rPr>
              <w:instrText xml:space="preserve"> QUOTE </w:instrText>
            </w:r>
            <w:r w:rsidR="003D4E65">
              <w:rPr>
                <w:rFonts w:ascii="Times New Roman" w:hAnsi="Times New Roman"/>
                <w:noProof/>
                <w:position w:val="-8"/>
                <w:sz w:val="20"/>
                <w:szCs w:val="20"/>
              </w:rPr>
              <w:pict w14:anchorId="2C26FB99">
                <v:shape id="_x0000_i1027" type="#_x0000_t75" style="width:7.2pt;height:15pt" equationxml="&lt;">
                  <v:imagedata r:id="rId22" o:title="" chromakey="white"/>
                </v:shape>
              </w:pict>
            </w:r>
            <w:r w:rsidRPr="00B703AF">
              <w:rPr>
                <w:rFonts w:ascii="Times New Roman" w:hAnsi="Times New Roman"/>
                <w:b/>
                <w:bCs/>
                <w:noProof/>
                <w:sz w:val="20"/>
                <w:szCs w:val="20"/>
              </w:rPr>
              <w:instrText xml:space="preserve"> </w:instrText>
            </w:r>
            <w:r w:rsidRPr="00B703AF">
              <w:rPr>
                <w:rFonts w:ascii="Times New Roman" w:hAnsi="Times New Roman"/>
                <w:b/>
                <w:bCs/>
                <w:noProof/>
                <w:sz w:val="20"/>
                <w:szCs w:val="20"/>
              </w:rPr>
              <w:fldChar w:fldCharType="separate"/>
            </w:r>
            <w:r w:rsidR="003D4E65">
              <w:rPr>
                <w:rFonts w:ascii="Times New Roman" w:hAnsi="Times New Roman"/>
                <w:noProof/>
                <w:position w:val="-8"/>
                <w:sz w:val="20"/>
                <w:szCs w:val="20"/>
              </w:rPr>
              <w:pict w14:anchorId="6E8EEA0E">
                <v:shape id="_x0000_i1028" type="#_x0000_t75" style="width:7.2pt;height:15pt" equationxml="&lt;">
                  <v:imagedata r:id="rId22" o:title="" chromakey="white"/>
                </v:shape>
              </w:pict>
            </w:r>
            <w:r w:rsidRPr="00B703AF">
              <w:rPr>
                <w:rFonts w:ascii="Times New Roman" w:hAnsi="Times New Roman"/>
                <w:b/>
                <w:bCs/>
                <w:noProof/>
                <w:sz w:val="20"/>
                <w:szCs w:val="20"/>
              </w:rPr>
              <w:fldChar w:fldCharType="end"/>
            </w:r>
            <w:r w:rsidRPr="00B703AF">
              <w:rPr>
                <w:rFonts w:ascii="Times New Roman" w:hAnsi="Times New Roman"/>
                <w:b/>
                <w:bCs/>
                <w:noProof/>
                <w:sz w:val="20"/>
                <w:szCs w:val="20"/>
              </w:rPr>
              <w:t xml:space="preserve"> ± SD%)</w:t>
            </w:r>
          </w:p>
        </w:tc>
        <w:tc>
          <w:tcPr>
            <w:tcW w:w="1107" w:type="pct"/>
            <w:tcBorders>
              <w:top w:val="single" w:sz="4" w:space="0" w:color="auto"/>
              <w:bottom w:val="single" w:sz="4" w:space="0" w:color="auto"/>
            </w:tcBorders>
            <w:vAlign w:val="center"/>
            <w:hideMark/>
          </w:tcPr>
          <w:p w14:paraId="09B92F1D" w14:textId="77777777" w:rsidR="00B703AF" w:rsidRPr="00B703AF" w:rsidRDefault="00B703AF" w:rsidP="00B703AF">
            <w:pPr>
              <w:spacing w:before="60" w:after="0"/>
              <w:jc w:val="center"/>
              <w:rPr>
                <w:rFonts w:ascii="Times New Roman" w:hAnsi="Times New Roman"/>
                <w:b/>
                <w:bCs/>
                <w:noProof/>
                <w:sz w:val="20"/>
                <w:szCs w:val="20"/>
              </w:rPr>
            </w:pPr>
            <w:r w:rsidRPr="00B703AF">
              <w:rPr>
                <w:rFonts w:ascii="Times New Roman" w:hAnsi="Times New Roman"/>
                <w:b/>
                <w:bCs/>
                <w:noProof/>
                <w:sz w:val="20"/>
                <w:szCs w:val="20"/>
              </w:rPr>
              <w:t>Percentage of Label Claimed Found in Each Tablet</w:t>
            </w:r>
          </w:p>
          <w:p w14:paraId="205121DC" w14:textId="77777777" w:rsidR="00B703AF" w:rsidRPr="00B703AF" w:rsidRDefault="00B703AF" w:rsidP="00B703AF">
            <w:pPr>
              <w:spacing w:after="60"/>
              <w:jc w:val="center"/>
              <w:rPr>
                <w:rFonts w:ascii="Times New Roman" w:hAnsi="Times New Roman"/>
                <w:b/>
                <w:bCs/>
                <w:noProof/>
                <w:sz w:val="20"/>
                <w:szCs w:val="20"/>
              </w:rPr>
            </w:pPr>
            <w:r w:rsidRPr="00B703AF">
              <w:rPr>
                <w:rFonts w:ascii="Times New Roman" w:hAnsi="Times New Roman"/>
                <w:b/>
                <w:bCs/>
                <w:noProof/>
                <w:sz w:val="20"/>
                <w:szCs w:val="20"/>
              </w:rPr>
              <w:t xml:space="preserve">( </w:t>
            </w:r>
            <w:r w:rsidRPr="00B703AF">
              <w:rPr>
                <w:rFonts w:ascii="Times New Roman" w:hAnsi="Times New Roman"/>
                <w:b/>
                <w:bCs/>
                <w:noProof/>
                <w:sz w:val="20"/>
                <w:szCs w:val="20"/>
              </w:rPr>
              <w:fldChar w:fldCharType="begin"/>
            </w:r>
            <w:r w:rsidRPr="00B703AF">
              <w:rPr>
                <w:rFonts w:ascii="Times New Roman" w:hAnsi="Times New Roman"/>
                <w:b/>
                <w:bCs/>
                <w:noProof/>
                <w:sz w:val="20"/>
                <w:szCs w:val="20"/>
              </w:rPr>
              <w:instrText xml:space="preserve"> QUOTE </w:instrText>
            </w:r>
            <w:r w:rsidR="003D4E65">
              <w:rPr>
                <w:rFonts w:ascii="Times New Roman" w:hAnsi="Times New Roman"/>
                <w:noProof/>
                <w:position w:val="-8"/>
                <w:sz w:val="20"/>
                <w:szCs w:val="20"/>
              </w:rPr>
              <w:pict w14:anchorId="7BB6143E">
                <v:shape id="_x0000_i1029" type="#_x0000_t75" style="width:7.2pt;height:15pt" equationxml="&lt;">
                  <v:imagedata r:id="rId22" o:title="" chromakey="white"/>
                </v:shape>
              </w:pict>
            </w:r>
            <w:r w:rsidRPr="00B703AF">
              <w:rPr>
                <w:rFonts w:ascii="Times New Roman" w:hAnsi="Times New Roman"/>
                <w:b/>
                <w:bCs/>
                <w:noProof/>
                <w:sz w:val="20"/>
                <w:szCs w:val="20"/>
              </w:rPr>
              <w:instrText xml:space="preserve"> </w:instrText>
            </w:r>
            <w:r w:rsidRPr="00B703AF">
              <w:rPr>
                <w:rFonts w:ascii="Times New Roman" w:hAnsi="Times New Roman"/>
                <w:b/>
                <w:bCs/>
                <w:noProof/>
                <w:sz w:val="20"/>
                <w:szCs w:val="20"/>
              </w:rPr>
              <w:fldChar w:fldCharType="separate"/>
            </w:r>
            <w:r w:rsidR="003D4E65">
              <w:rPr>
                <w:rFonts w:ascii="Times New Roman" w:hAnsi="Times New Roman"/>
                <w:noProof/>
                <w:position w:val="-8"/>
                <w:sz w:val="20"/>
                <w:szCs w:val="20"/>
              </w:rPr>
              <w:pict w14:anchorId="133383CA">
                <v:shape id="_x0000_i1030" type="#_x0000_t75" style="width:7.2pt;height:15pt" equationxml="&lt;">
                  <v:imagedata r:id="rId22" o:title="" chromakey="white"/>
                </v:shape>
              </w:pict>
            </w:r>
            <w:r w:rsidRPr="00B703AF">
              <w:rPr>
                <w:rFonts w:ascii="Times New Roman" w:hAnsi="Times New Roman"/>
                <w:b/>
                <w:bCs/>
                <w:noProof/>
                <w:sz w:val="20"/>
                <w:szCs w:val="20"/>
              </w:rPr>
              <w:fldChar w:fldCharType="end"/>
            </w:r>
            <w:r w:rsidRPr="00B703AF">
              <w:rPr>
                <w:rFonts w:ascii="Times New Roman" w:hAnsi="Times New Roman"/>
                <w:b/>
                <w:bCs/>
                <w:noProof/>
                <w:sz w:val="20"/>
                <w:szCs w:val="20"/>
              </w:rPr>
              <w:t xml:space="preserve"> ± SD %)</w:t>
            </w:r>
          </w:p>
        </w:tc>
      </w:tr>
      <w:tr w:rsidR="00B703AF" w:rsidRPr="00B703AF" w14:paraId="7611C980" w14:textId="77777777" w:rsidTr="00B703AF">
        <w:tc>
          <w:tcPr>
            <w:tcW w:w="460" w:type="pct"/>
            <w:tcBorders>
              <w:top w:val="single" w:sz="4" w:space="0" w:color="auto"/>
            </w:tcBorders>
            <w:vAlign w:val="center"/>
          </w:tcPr>
          <w:p w14:paraId="2A1BD513" w14:textId="77777777" w:rsidR="00B703AF" w:rsidRPr="00B703AF" w:rsidRDefault="00B703AF" w:rsidP="00734B81">
            <w:pPr>
              <w:spacing w:before="60" w:after="0"/>
              <w:rPr>
                <w:rFonts w:ascii="Times New Roman" w:hAnsi="Times New Roman"/>
                <w:noProof/>
                <w:sz w:val="20"/>
                <w:szCs w:val="20"/>
              </w:rPr>
            </w:pPr>
            <w:r w:rsidRPr="00B703AF">
              <w:rPr>
                <w:rFonts w:ascii="Times New Roman" w:hAnsi="Times New Roman"/>
                <w:noProof/>
                <w:sz w:val="20"/>
                <w:szCs w:val="20"/>
              </w:rPr>
              <w:t>PNT</w:t>
            </w:r>
          </w:p>
        </w:tc>
        <w:tc>
          <w:tcPr>
            <w:tcW w:w="825" w:type="pct"/>
            <w:tcBorders>
              <w:top w:val="single" w:sz="4" w:space="0" w:color="auto"/>
            </w:tcBorders>
            <w:vAlign w:val="center"/>
          </w:tcPr>
          <w:p w14:paraId="08CA165E"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500</w:t>
            </w:r>
          </w:p>
        </w:tc>
        <w:tc>
          <w:tcPr>
            <w:tcW w:w="920" w:type="pct"/>
            <w:tcBorders>
              <w:top w:val="single" w:sz="4" w:space="0" w:color="auto"/>
            </w:tcBorders>
          </w:tcPr>
          <w:p w14:paraId="4BC8CD2B"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728</w:t>
            </w:r>
          </w:p>
        </w:tc>
        <w:tc>
          <w:tcPr>
            <w:tcW w:w="845" w:type="pct"/>
            <w:tcBorders>
              <w:top w:val="single" w:sz="4" w:space="0" w:color="auto"/>
            </w:tcBorders>
            <w:vAlign w:val="center"/>
          </w:tcPr>
          <w:p w14:paraId="7173CD39"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499.72 ± 1.15</w:t>
            </w:r>
          </w:p>
        </w:tc>
        <w:tc>
          <w:tcPr>
            <w:tcW w:w="843" w:type="pct"/>
            <w:tcBorders>
              <w:top w:val="single" w:sz="4" w:space="0" w:color="auto"/>
            </w:tcBorders>
          </w:tcPr>
          <w:p w14:paraId="02950569"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68.68 ± 0.16</w:t>
            </w:r>
          </w:p>
        </w:tc>
        <w:tc>
          <w:tcPr>
            <w:tcW w:w="1107" w:type="pct"/>
            <w:tcBorders>
              <w:top w:val="single" w:sz="4" w:space="0" w:color="auto"/>
            </w:tcBorders>
            <w:vAlign w:val="center"/>
          </w:tcPr>
          <w:p w14:paraId="29FD50CE" w14:textId="77777777" w:rsidR="00B703AF" w:rsidRPr="00B703AF" w:rsidRDefault="00B703AF" w:rsidP="00734B81">
            <w:pPr>
              <w:spacing w:before="60" w:after="0"/>
              <w:jc w:val="center"/>
              <w:rPr>
                <w:rFonts w:ascii="Times New Roman" w:hAnsi="Times New Roman"/>
                <w:bCs/>
                <w:noProof/>
                <w:sz w:val="20"/>
                <w:szCs w:val="20"/>
              </w:rPr>
            </w:pPr>
            <w:r w:rsidRPr="00B703AF">
              <w:rPr>
                <w:rFonts w:ascii="Times New Roman" w:hAnsi="Times New Roman"/>
                <w:noProof/>
                <w:sz w:val="20"/>
                <w:szCs w:val="20"/>
              </w:rPr>
              <w:t>99.94 ± 0.23</w:t>
            </w:r>
          </w:p>
        </w:tc>
      </w:tr>
      <w:tr w:rsidR="00B703AF" w:rsidRPr="00B703AF" w14:paraId="53A84E0F" w14:textId="77777777" w:rsidTr="00734B81">
        <w:tc>
          <w:tcPr>
            <w:tcW w:w="460" w:type="pct"/>
            <w:vAlign w:val="center"/>
          </w:tcPr>
          <w:p w14:paraId="236C1C1A" w14:textId="77777777" w:rsidR="00B703AF" w:rsidRPr="00B703AF" w:rsidRDefault="00B703AF" w:rsidP="00734B81">
            <w:pPr>
              <w:spacing w:before="60" w:after="0"/>
              <w:rPr>
                <w:rFonts w:ascii="Times New Roman" w:hAnsi="Times New Roman"/>
                <w:noProof/>
                <w:sz w:val="20"/>
                <w:szCs w:val="20"/>
              </w:rPr>
            </w:pPr>
            <w:r w:rsidRPr="00B703AF">
              <w:rPr>
                <w:rFonts w:ascii="Times New Roman" w:hAnsi="Times New Roman"/>
                <w:noProof/>
                <w:sz w:val="20"/>
                <w:szCs w:val="20"/>
              </w:rPr>
              <w:t>GMA</w:t>
            </w:r>
          </w:p>
        </w:tc>
        <w:tc>
          <w:tcPr>
            <w:tcW w:w="825" w:type="pct"/>
            <w:vAlign w:val="center"/>
          </w:tcPr>
          <w:p w14:paraId="057EDACE"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500</w:t>
            </w:r>
          </w:p>
        </w:tc>
        <w:tc>
          <w:tcPr>
            <w:tcW w:w="920" w:type="pct"/>
          </w:tcPr>
          <w:p w14:paraId="6E9CBDA4"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654</w:t>
            </w:r>
          </w:p>
        </w:tc>
        <w:tc>
          <w:tcPr>
            <w:tcW w:w="845" w:type="pct"/>
            <w:vAlign w:val="center"/>
          </w:tcPr>
          <w:p w14:paraId="0E242E3F"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513.78 ± 6.01</w:t>
            </w:r>
          </w:p>
        </w:tc>
        <w:tc>
          <w:tcPr>
            <w:tcW w:w="843" w:type="pct"/>
          </w:tcPr>
          <w:p w14:paraId="1D0EEF7F"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78.53 ± 0.92</w:t>
            </w:r>
          </w:p>
        </w:tc>
        <w:tc>
          <w:tcPr>
            <w:tcW w:w="1107" w:type="pct"/>
            <w:vAlign w:val="center"/>
          </w:tcPr>
          <w:p w14:paraId="61068EFC" w14:textId="77777777" w:rsidR="00B703AF" w:rsidRPr="00B703AF" w:rsidRDefault="00B703AF" w:rsidP="00734B81">
            <w:pPr>
              <w:spacing w:before="60" w:after="0"/>
              <w:jc w:val="center"/>
              <w:rPr>
                <w:rFonts w:ascii="Times New Roman" w:hAnsi="Times New Roman"/>
                <w:bCs/>
                <w:noProof/>
                <w:sz w:val="20"/>
                <w:szCs w:val="20"/>
              </w:rPr>
            </w:pPr>
            <w:r w:rsidRPr="00B703AF">
              <w:rPr>
                <w:rFonts w:ascii="Times New Roman" w:hAnsi="Times New Roman"/>
                <w:noProof/>
                <w:sz w:val="20"/>
                <w:szCs w:val="20"/>
              </w:rPr>
              <w:t>102.76 ± 1.20</w:t>
            </w:r>
          </w:p>
        </w:tc>
      </w:tr>
      <w:tr w:rsidR="00B703AF" w:rsidRPr="00B703AF" w14:paraId="13854187" w14:textId="77777777" w:rsidTr="00734B81">
        <w:tc>
          <w:tcPr>
            <w:tcW w:w="460" w:type="pct"/>
            <w:tcBorders>
              <w:bottom w:val="single" w:sz="4" w:space="0" w:color="auto"/>
            </w:tcBorders>
            <w:vAlign w:val="center"/>
          </w:tcPr>
          <w:p w14:paraId="7AC78098" w14:textId="77777777" w:rsidR="00B703AF" w:rsidRPr="00B703AF" w:rsidRDefault="00B703AF" w:rsidP="00734B81">
            <w:pPr>
              <w:spacing w:before="60" w:after="60"/>
              <w:rPr>
                <w:rFonts w:ascii="Times New Roman" w:hAnsi="Times New Roman"/>
                <w:noProof/>
                <w:sz w:val="20"/>
                <w:szCs w:val="20"/>
              </w:rPr>
            </w:pPr>
            <w:r w:rsidRPr="00B703AF">
              <w:rPr>
                <w:rFonts w:ascii="Times New Roman" w:hAnsi="Times New Roman"/>
                <w:noProof/>
                <w:sz w:val="20"/>
                <w:szCs w:val="20"/>
              </w:rPr>
              <w:t>MFL</w:t>
            </w:r>
          </w:p>
        </w:tc>
        <w:tc>
          <w:tcPr>
            <w:tcW w:w="825" w:type="pct"/>
            <w:tcBorders>
              <w:bottom w:val="single" w:sz="4" w:space="0" w:color="auto"/>
            </w:tcBorders>
            <w:vAlign w:val="center"/>
          </w:tcPr>
          <w:p w14:paraId="529D3DAE" w14:textId="77777777" w:rsidR="00B703AF" w:rsidRPr="00B703AF" w:rsidRDefault="00B703AF" w:rsidP="00734B81">
            <w:pPr>
              <w:spacing w:before="60" w:after="60"/>
              <w:jc w:val="center"/>
              <w:rPr>
                <w:rFonts w:ascii="Times New Roman" w:hAnsi="Times New Roman"/>
                <w:noProof/>
                <w:sz w:val="20"/>
                <w:szCs w:val="20"/>
              </w:rPr>
            </w:pPr>
            <w:r w:rsidRPr="00B703AF">
              <w:rPr>
                <w:rFonts w:ascii="Times New Roman" w:hAnsi="Times New Roman"/>
                <w:noProof/>
                <w:sz w:val="20"/>
                <w:szCs w:val="20"/>
              </w:rPr>
              <w:t>500</w:t>
            </w:r>
          </w:p>
        </w:tc>
        <w:tc>
          <w:tcPr>
            <w:tcW w:w="920" w:type="pct"/>
            <w:tcBorders>
              <w:bottom w:val="single" w:sz="4" w:space="0" w:color="auto"/>
            </w:tcBorders>
          </w:tcPr>
          <w:p w14:paraId="75541CCA" w14:textId="77777777" w:rsidR="00B703AF" w:rsidRPr="00B703AF" w:rsidRDefault="00B703AF" w:rsidP="00734B81">
            <w:pPr>
              <w:spacing w:before="60" w:after="60"/>
              <w:jc w:val="center"/>
              <w:rPr>
                <w:rFonts w:ascii="Times New Roman" w:hAnsi="Times New Roman"/>
                <w:bCs/>
                <w:noProof/>
                <w:sz w:val="20"/>
                <w:szCs w:val="20"/>
              </w:rPr>
            </w:pPr>
            <w:r w:rsidRPr="00B703AF">
              <w:rPr>
                <w:rFonts w:ascii="Times New Roman" w:hAnsi="Times New Roman"/>
                <w:bCs/>
                <w:noProof/>
                <w:sz w:val="20"/>
                <w:szCs w:val="20"/>
              </w:rPr>
              <w:t>910</w:t>
            </w:r>
          </w:p>
        </w:tc>
        <w:tc>
          <w:tcPr>
            <w:tcW w:w="845" w:type="pct"/>
            <w:tcBorders>
              <w:bottom w:val="single" w:sz="4" w:space="0" w:color="auto"/>
            </w:tcBorders>
            <w:vAlign w:val="center"/>
          </w:tcPr>
          <w:p w14:paraId="36E176C2" w14:textId="77777777" w:rsidR="00B703AF" w:rsidRPr="00B703AF" w:rsidRDefault="00B703AF" w:rsidP="00734B81">
            <w:pPr>
              <w:spacing w:before="60" w:after="60"/>
              <w:jc w:val="center"/>
              <w:rPr>
                <w:rFonts w:ascii="Times New Roman" w:hAnsi="Times New Roman"/>
                <w:bCs/>
                <w:noProof/>
                <w:sz w:val="20"/>
                <w:szCs w:val="20"/>
              </w:rPr>
            </w:pPr>
            <w:r w:rsidRPr="00B703AF">
              <w:rPr>
                <w:rFonts w:ascii="Times New Roman" w:hAnsi="Times New Roman"/>
                <w:bCs/>
                <w:noProof/>
                <w:sz w:val="20"/>
                <w:szCs w:val="20"/>
              </w:rPr>
              <w:t xml:space="preserve">507.83 </w:t>
            </w:r>
            <w:r w:rsidRPr="00B703AF">
              <w:rPr>
                <w:rFonts w:ascii="Times New Roman" w:hAnsi="Times New Roman"/>
                <w:noProof/>
                <w:sz w:val="20"/>
                <w:szCs w:val="20"/>
              </w:rPr>
              <w:t>± 9.99</w:t>
            </w:r>
          </w:p>
        </w:tc>
        <w:tc>
          <w:tcPr>
            <w:tcW w:w="843" w:type="pct"/>
            <w:tcBorders>
              <w:bottom w:val="single" w:sz="4" w:space="0" w:color="auto"/>
            </w:tcBorders>
          </w:tcPr>
          <w:p w14:paraId="0295B03F" w14:textId="77777777" w:rsidR="00B703AF" w:rsidRPr="00B703AF" w:rsidRDefault="00B703AF" w:rsidP="00734B81">
            <w:pPr>
              <w:spacing w:before="60" w:after="60"/>
              <w:jc w:val="center"/>
              <w:rPr>
                <w:rFonts w:ascii="Times New Roman" w:hAnsi="Times New Roman"/>
                <w:bCs/>
                <w:noProof/>
                <w:sz w:val="20"/>
                <w:szCs w:val="20"/>
              </w:rPr>
            </w:pPr>
            <w:r w:rsidRPr="00B703AF">
              <w:rPr>
                <w:rFonts w:ascii="Times New Roman" w:hAnsi="Times New Roman"/>
                <w:bCs/>
                <w:noProof/>
                <w:sz w:val="20"/>
                <w:szCs w:val="20"/>
              </w:rPr>
              <w:t>55.78 ± 6.13</w:t>
            </w:r>
          </w:p>
        </w:tc>
        <w:tc>
          <w:tcPr>
            <w:tcW w:w="1107" w:type="pct"/>
            <w:tcBorders>
              <w:bottom w:val="single" w:sz="4" w:space="0" w:color="auto"/>
            </w:tcBorders>
            <w:vAlign w:val="center"/>
          </w:tcPr>
          <w:p w14:paraId="4397041A" w14:textId="77777777" w:rsidR="00B703AF" w:rsidRPr="00B703AF" w:rsidRDefault="00B703AF" w:rsidP="00734B81">
            <w:pPr>
              <w:spacing w:before="60" w:after="60"/>
              <w:jc w:val="center"/>
              <w:rPr>
                <w:rFonts w:ascii="Times New Roman" w:hAnsi="Times New Roman"/>
                <w:bCs/>
                <w:noProof/>
                <w:sz w:val="20"/>
                <w:szCs w:val="20"/>
              </w:rPr>
            </w:pPr>
            <w:r w:rsidRPr="00B703AF">
              <w:rPr>
                <w:rFonts w:ascii="Times New Roman" w:hAnsi="Times New Roman"/>
                <w:bCs/>
                <w:noProof/>
                <w:sz w:val="20"/>
                <w:szCs w:val="20"/>
              </w:rPr>
              <w:t xml:space="preserve">101.57 </w:t>
            </w:r>
            <w:r w:rsidRPr="00B703AF">
              <w:rPr>
                <w:rFonts w:ascii="Times New Roman" w:hAnsi="Times New Roman"/>
                <w:noProof/>
                <w:sz w:val="20"/>
                <w:szCs w:val="20"/>
              </w:rPr>
              <w:t>± 2.00</w:t>
            </w:r>
          </w:p>
        </w:tc>
      </w:tr>
    </w:tbl>
    <w:p w14:paraId="5E55265C" w14:textId="03AD81F9" w:rsidR="002D7255" w:rsidRDefault="002D7255" w:rsidP="002D7255">
      <w:pPr>
        <w:spacing w:after="0"/>
        <w:jc w:val="both"/>
        <w:rPr>
          <w:rFonts w:ascii="Times New Roman" w:hAnsi="Times New Roman"/>
          <w:noProof/>
          <w:sz w:val="20"/>
          <w:szCs w:val="20"/>
        </w:rPr>
      </w:pPr>
    </w:p>
    <w:p w14:paraId="325FEC2C" w14:textId="77777777" w:rsidR="002D7255" w:rsidRPr="00F447A7" w:rsidRDefault="002D7255" w:rsidP="002D7255">
      <w:pPr>
        <w:spacing w:after="0"/>
        <w:jc w:val="both"/>
        <w:rPr>
          <w:rFonts w:ascii="Times New Roman" w:hAnsi="Times New Roman"/>
          <w:noProof/>
          <w:sz w:val="20"/>
          <w:szCs w:val="20"/>
          <w:lang w:bidi="ar-SA"/>
        </w:rPr>
      </w:pPr>
    </w:p>
    <w:p w14:paraId="2A9B89D1" w14:textId="77777777" w:rsidR="000637B8" w:rsidRDefault="000637B8" w:rsidP="002B412F">
      <w:pPr>
        <w:spacing w:after="0"/>
        <w:jc w:val="center"/>
        <w:rPr>
          <w:rFonts w:ascii="Times New Roman" w:hAnsi="Times New Roman"/>
          <w:b/>
          <w:noProof/>
          <w:sz w:val="20"/>
          <w:szCs w:val="20"/>
          <w:lang w:bidi="ar-SA"/>
        </w:rPr>
      </w:pPr>
    </w:p>
    <w:p w14:paraId="07813137" w14:textId="45F38754" w:rsidR="000637B8" w:rsidRDefault="000637B8" w:rsidP="002B412F">
      <w:pPr>
        <w:spacing w:after="0"/>
        <w:jc w:val="center"/>
        <w:rPr>
          <w:rFonts w:ascii="Times New Roman" w:hAnsi="Times New Roman"/>
          <w:b/>
          <w:noProof/>
          <w:sz w:val="20"/>
          <w:szCs w:val="20"/>
          <w:lang w:bidi="ar-SA"/>
        </w:rPr>
        <w:sectPr w:rsidR="000637B8" w:rsidSect="0088108D">
          <w:footerReference w:type="even" r:id="rId23"/>
          <w:footerReference w:type="default" r:id="rId24"/>
          <w:type w:val="continuous"/>
          <w:pgSz w:w="12240" w:h="15840" w:code="1"/>
          <w:pgMar w:top="1800" w:right="1469" w:bottom="1699" w:left="1440" w:header="706" w:footer="706" w:gutter="0"/>
          <w:pgNumType w:start="1"/>
          <w:cols w:space="708"/>
          <w:docGrid w:linePitch="360"/>
        </w:sectPr>
      </w:pPr>
    </w:p>
    <w:p w14:paraId="471ACF9F" w14:textId="01E69F7D"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595171C" w14:textId="77777777" w:rsidR="0070500E" w:rsidRPr="0070500E" w:rsidRDefault="0070500E" w:rsidP="0070500E">
      <w:pPr>
        <w:spacing w:after="0"/>
        <w:jc w:val="both"/>
        <w:outlineLvl w:val="0"/>
        <w:rPr>
          <w:rFonts w:ascii="Times New Roman" w:hAnsi="Times New Roman"/>
          <w:noProof/>
          <w:sz w:val="20"/>
          <w:szCs w:val="20"/>
        </w:rPr>
      </w:pPr>
      <w:r w:rsidRPr="0070500E">
        <w:rPr>
          <w:rFonts w:ascii="Times New Roman" w:hAnsi="Times New Roman"/>
          <w:noProof/>
          <w:sz w:val="20"/>
          <w:szCs w:val="20"/>
        </w:rPr>
        <w:t>A selective and accurate visible spectrophotometric method was successfully developed for mefenamic acid determination in the tablet formulations based on Prussian blue formation. The proposed method can be applied as an alternative method for the routine analysis of mefenamic acid in pharmaceutical raw and dosage forms with a good analytical performance.</w:t>
      </w:r>
    </w:p>
    <w:p w14:paraId="33A45D7F" w14:textId="77777777" w:rsidR="0070500E" w:rsidRPr="0070500E" w:rsidRDefault="0070500E" w:rsidP="0070500E">
      <w:pPr>
        <w:spacing w:after="0"/>
        <w:jc w:val="center"/>
        <w:outlineLvl w:val="0"/>
        <w:rPr>
          <w:rFonts w:ascii="Times New Roman" w:hAnsi="Times New Roman"/>
          <w:noProof/>
          <w:sz w:val="20"/>
          <w:szCs w:val="20"/>
        </w:rPr>
      </w:pPr>
    </w:p>
    <w:p w14:paraId="43A3A030" w14:textId="77777777" w:rsidR="0070500E" w:rsidRPr="0070500E" w:rsidRDefault="0070500E" w:rsidP="0070500E">
      <w:pPr>
        <w:spacing w:after="0"/>
        <w:jc w:val="center"/>
        <w:outlineLvl w:val="0"/>
        <w:rPr>
          <w:rFonts w:ascii="Times New Roman" w:hAnsi="Times New Roman"/>
          <w:b/>
          <w:noProof/>
          <w:sz w:val="20"/>
          <w:szCs w:val="20"/>
        </w:rPr>
      </w:pPr>
      <w:r w:rsidRPr="0070500E">
        <w:rPr>
          <w:rFonts w:ascii="Times New Roman" w:hAnsi="Times New Roman"/>
          <w:b/>
          <w:noProof/>
          <w:sz w:val="20"/>
          <w:szCs w:val="20"/>
        </w:rPr>
        <w:t>Acknowledgment</w:t>
      </w:r>
    </w:p>
    <w:p w14:paraId="3FCB933D" w14:textId="317ACCE9" w:rsidR="006768E9" w:rsidRPr="00F447A7" w:rsidRDefault="0070500E" w:rsidP="0070500E">
      <w:pPr>
        <w:spacing w:after="0"/>
        <w:jc w:val="both"/>
        <w:outlineLvl w:val="0"/>
        <w:rPr>
          <w:rFonts w:ascii="Times New Roman" w:hAnsi="Times New Roman"/>
          <w:noProof/>
          <w:sz w:val="20"/>
          <w:szCs w:val="20"/>
        </w:rPr>
      </w:pPr>
      <w:r w:rsidRPr="0070500E">
        <w:rPr>
          <w:rFonts w:ascii="Times New Roman" w:hAnsi="Times New Roman"/>
          <w:noProof/>
          <w:sz w:val="20"/>
          <w:szCs w:val="20"/>
        </w:rPr>
        <w:t>The authors would like to thank the Jenderal Soedirman University for financial support and the Department of Pharmacy, Faculty of Health Sciences, Jenderal Soedirman University for research facilities</w:t>
      </w:r>
      <w:r>
        <w:rPr>
          <w:rFonts w:ascii="Times New Roman" w:hAnsi="Times New Roman"/>
          <w:noProof/>
          <w:sz w:val="20"/>
          <w:szCs w:val="20"/>
        </w:rPr>
        <w:t>.</w:t>
      </w:r>
    </w:p>
    <w:p w14:paraId="39758B0E" w14:textId="77777777" w:rsidR="000637B8" w:rsidRDefault="000637B8" w:rsidP="000637B8">
      <w:pPr>
        <w:spacing w:after="0"/>
        <w:rPr>
          <w:rFonts w:ascii="Times New Roman" w:hAnsi="Times New Roman"/>
          <w:noProof/>
          <w:sz w:val="20"/>
          <w:szCs w:val="20"/>
          <w:lang w:bidi="ar-SA"/>
        </w:rPr>
      </w:pPr>
    </w:p>
    <w:p w14:paraId="3802F3AD" w14:textId="77777777" w:rsidR="000637B8" w:rsidRPr="00F447A7" w:rsidRDefault="000637B8" w:rsidP="000637B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44AFBDA"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1D508F">
        <w:rPr>
          <w:b/>
          <w:noProof/>
          <w:color w:val="548DD4" w:themeColor="text2" w:themeTint="99"/>
        </w:rPr>
        <w:fldChar w:fldCharType="begin"/>
      </w:r>
      <w:r w:rsidRPr="0070500E">
        <w:rPr>
          <w:b/>
          <w:noProof/>
          <w:color w:val="548DD4" w:themeColor="text2" w:themeTint="99"/>
        </w:rPr>
        <w:instrText xml:space="preserve"> ADDIN ZOTERO_BIBL {"uncited":[],"omitted":[],"custom":[]} CSL_BIBLIOGRAPHY </w:instrText>
      </w:r>
      <w:r w:rsidRPr="001D508F">
        <w:rPr>
          <w:b/>
          <w:noProof/>
          <w:color w:val="548DD4" w:themeColor="text2" w:themeTint="99"/>
        </w:rPr>
        <w:fldChar w:fldCharType="separate"/>
      </w:r>
      <w:r w:rsidRPr="003D4E65">
        <w:rPr>
          <w:rFonts w:ascii="Times New Roman" w:hAnsi="Times New Roman"/>
          <w:noProof/>
          <w:sz w:val="20"/>
          <w:szCs w:val="20"/>
        </w:rPr>
        <w:t xml:space="preserve">Sweetman, S. C. (2009). </w:t>
      </w:r>
      <w:r w:rsidRPr="003D4E65">
        <w:rPr>
          <w:rFonts w:ascii="Times New Roman" w:hAnsi="Times New Roman"/>
          <w:iCs/>
          <w:noProof/>
          <w:sz w:val="20"/>
          <w:szCs w:val="20"/>
        </w:rPr>
        <w:t>Martindale The complete drug reference</w:t>
      </w:r>
      <w:r w:rsidRPr="003D4E65">
        <w:rPr>
          <w:rFonts w:ascii="Times New Roman" w:hAnsi="Times New Roman"/>
          <w:noProof/>
          <w:sz w:val="20"/>
          <w:szCs w:val="20"/>
        </w:rPr>
        <w:t>, Pharmaceutical Press, London: pp. 80.</w:t>
      </w:r>
    </w:p>
    <w:p w14:paraId="2BACC964"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Council of Experts and Its Expert Committees (2014). United States Pharmacopeia 37, United States Pharmacopoeial Convention, Rockville: pp. 3672-3673.</w:t>
      </w:r>
    </w:p>
    <w:p w14:paraId="1EB6CA16"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Ibrahim, H., Boyer, A., Bouajila, J., Couderc, F. and Nepveu, F. (2007). Determination of non-steroidal anti-inflammatory drugs in pharmaceuticals and human serum by dual-mode gradient HPLC and fluorescence detection. </w:t>
      </w:r>
      <w:r w:rsidRPr="003D4E65">
        <w:rPr>
          <w:rFonts w:ascii="Times New Roman" w:hAnsi="Times New Roman"/>
          <w:i/>
          <w:iCs/>
          <w:noProof/>
          <w:sz w:val="20"/>
          <w:szCs w:val="20"/>
        </w:rPr>
        <w:t>Journal of Chromatography B</w:t>
      </w:r>
      <w:r w:rsidRPr="003D4E65">
        <w:rPr>
          <w:rFonts w:ascii="Times New Roman" w:hAnsi="Times New Roman"/>
          <w:noProof/>
          <w:sz w:val="20"/>
          <w:szCs w:val="20"/>
        </w:rPr>
        <w:t xml:space="preserve">, </w:t>
      </w:r>
      <w:r w:rsidRPr="003D4E65">
        <w:rPr>
          <w:rFonts w:ascii="Times New Roman" w:hAnsi="Times New Roman"/>
          <w:iCs/>
          <w:noProof/>
          <w:sz w:val="20"/>
          <w:szCs w:val="20"/>
        </w:rPr>
        <w:t>857</w:t>
      </w:r>
      <w:r w:rsidRPr="003D4E65">
        <w:rPr>
          <w:rFonts w:ascii="Times New Roman" w:hAnsi="Times New Roman"/>
          <w:noProof/>
          <w:sz w:val="20"/>
          <w:szCs w:val="20"/>
        </w:rPr>
        <w:t xml:space="preserve">(1): 59-66. </w:t>
      </w:r>
    </w:p>
    <w:p w14:paraId="65736FC7"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Kormosh, Z. and Matviychuk, O. (2013). Potentiometric determination of mefenamic acid in pharmaceutical formulation by membrane sensor </w:t>
      </w:r>
      <w:r w:rsidRPr="003D4E65">
        <w:rPr>
          <w:rFonts w:ascii="Times New Roman" w:hAnsi="Times New Roman"/>
          <w:noProof/>
          <w:sz w:val="20"/>
          <w:szCs w:val="20"/>
        </w:rPr>
        <w:t xml:space="preserve">based on ion-pair with basic dye. </w:t>
      </w:r>
      <w:r w:rsidRPr="003D4E65">
        <w:rPr>
          <w:rFonts w:ascii="Times New Roman" w:hAnsi="Times New Roman"/>
          <w:i/>
          <w:iCs/>
          <w:noProof/>
          <w:sz w:val="20"/>
          <w:szCs w:val="20"/>
        </w:rPr>
        <w:t>Chinese Chemical Letters</w:t>
      </w:r>
      <w:r w:rsidRPr="003D4E65">
        <w:rPr>
          <w:rFonts w:ascii="Times New Roman" w:hAnsi="Times New Roman"/>
          <w:noProof/>
          <w:sz w:val="20"/>
          <w:szCs w:val="20"/>
        </w:rPr>
        <w:t xml:space="preserve">, </w:t>
      </w:r>
      <w:r w:rsidRPr="003D4E65">
        <w:rPr>
          <w:rFonts w:ascii="Times New Roman" w:hAnsi="Times New Roman"/>
          <w:iCs/>
          <w:noProof/>
          <w:sz w:val="20"/>
          <w:szCs w:val="20"/>
        </w:rPr>
        <w:t>24</w:t>
      </w:r>
      <w:r w:rsidRPr="003D4E65">
        <w:rPr>
          <w:rFonts w:ascii="Times New Roman" w:hAnsi="Times New Roman"/>
          <w:noProof/>
          <w:sz w:val="20"/>
          <w:szCs w:val="20"/>
        </w:rPr>
        <w:t xml:space="preserve">(4): 315-317. </w:t>
      </w:r>
    </w:p>
    <w:p w14:paraId="18941191"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Malode, S. J., Shetti, N. P. and Kulkarni, R. M. (2019). Voltammetric detection and determination of mefenamic acid at silver-doped TiO</w:t>
      </w:r>
      <w:r w:rsidRPr="003D4E65">
        <w:rPr>
          <w:rFonts w:ascii="Times New Roman" w:hAnsi="Times New Roman"/>
          <w:noProof/>
          <w:sz w:val="20"/>
          <w:szCs w:val="20"/>
          <w:vertAlign w:val="subscript"/>
        </w:rPr>
        <w:t>2</w:t>
      </w:r>
      <w:r w:rsidRPr="003D4E65">
        <w:rPr>
          <w:rFonts w:ascii="Times New Roman" w:hAnsi="Times New Roman"/>
          <w:noProof/>
          <w:sz w:val="20"/>
          <w:szCs w:val="20"/>
        </w:rPr>
        <w:t xml:space="preserve"> nanoparticles modified electrode. </w:t>
      </w:r>
      <w:r w:rsidRPr="003D4E65">
        <w:rPr>
          <w:rFonts w:ascii="Times New Roman" w:hAnsi="Times New Roman"/>
          <w:i/>
          <w:iCs/>
          <w:noProof/>
          <w:sz w:val="20"/>
          <w:szCs w:val="20"/>
        </w:rPr>
        <w:t>Materials Today: Proceedings</w:t>
      </w:r>
      <w:r w:rsidRPr="003D4E65">
        <w:rPr>
          <w:rFonts w:ascii="Times New Roman" w:hAnsi="Times New Roman"/>
          <w:noProof/>
          <w:sz w:val="20"/>
          <w:szCs w:val="20"/>
        </w:rPr>
        <w:t xml:space="preserve">, </w:t>
      </w:r>
      <w:r w:rsidRPr="003D4E65">
        <w:rPr>
          <w:rFonts w:ascii="Times New Roman" w:hAnsi="Times New Roman"/>
          <w:iCs/>
          <w:noProof/>
          <w:sz w:val="20"/>
          <w:szCs w:val="20"/>
        </w:rPr>
        <w:t>18</w:t>
      </w:r>
      <w:r w:rsidRPr="003D4E65">
        <w:rPr>
          <w:rFonts w:ascii="Times New Roman" w:hAnsi="Times New Roman"/>
          <w:noProof/>
          <w:sz w:val="20"/>
          <w:szCs w:val="20"/>
        </w:rPr>
        <w:t xml:space="preserve">: 671-678. </w:t>
      </w:r>
    </w:p>
    <w:p w14:paraId="0372AD37"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Poerwono, H., Widyowati, R., Kubo, H., Higashiyama, K. and Indrayanto, G. (2005). Mefenamic acid: analytical profile, </w:t>
      </w:r>
      <w:r w:rsidRPr="003D4E65">
        <w:rPr>
          <w:rFonts w:ascii="Times New Roman" w:hAnsi="Times New Roman"/>
          <w:iCs/>
          <w:noProof/>
          <w:sz w:val="20"/>
          <w:szCs w:val="20"/>
        </w:rPr>
        <w:t>profiles of drug substances, excipients and related methodology</w:t>
      </w:r>
      <w:r w:rsidRPr="003D4E65">
        <w:rPr>
          <w:rFonts w:ascii="Times New Roman" w:hAnsi="Times New Roman"/>
          <w:noProof/>
          <w:sz w:val="20"/>
          <w:szCs w:val="20"/>
        </w:rPr>
        <w:t>, Academic Press, Brittain: pp. 281-336.</w:t>
      </w:r>
    </w:p>
    <w:p w14:paraId="616BB9AC"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Dinç, E., Yücesoy, C. and Onur, F. (2002). Simultaneous spectrophotometric determination of mefenamic acid and paracetamol in a pharmaceutical preparation using ratio spectra derivative spectrophotometry and chemometric methods. </w:t>
      </w:r>
      <w:r w:rsidRPr="003D4E65">
        <w:rPr>
          <w:rFonts w:ascii="Times New Roman" w:hAnsi="Times New Roman"/>
          <w:i/>
          <w:iCs/>
          <w:noProof/>
          <w:sz w:val="20"/>
          <w:szCs w:val="20"/>
        </w:rPr>
        <w:t>Journal of Pharmaceutical and Biomedical Analysis</w:t>
      </w:r>
      <w:r w:rsidRPr="003D4E65">
        <w:rPr>
          <w:rFonts w:ascii="Times New Roman" w:hAnsi="Times New Roman"/>
          <w:noProof/>
          <w:sz w:val="20"/>
          <w:szCs w:val="20"/>
        </w:rPr>
        <w:t xml:space="preserve">, </w:t>
      </w:r>
      <w:r w:rsidRPr="003D4E65">
        <w:rPr>
          <w:rFonts w:ascii="Times New Roman" w:hAnsi="Times New Roman"/>
          <w:iCs/>
          <w:noProof/>
          <w:sz w:val="20"/>
          <w:szCs w:val="20"/>
        </w:rPr>
        <w:t>28</w:t>
      </w:r>
      <w:r w:rsidRPr="003D4E65">
        <w:rPr>
          <w:rFonts w:ascii="Times New Roman" w:hAnsi="Times New Roman"/>
          <w:noProof/>
          <w:sz w:val="20"/>
          <w:szCs w:val="20"/>
        </w:rPr>
        <w:t xml:space="preserve">(6): 1091-1100. </w:t>
      </w:r>
    </w:p>
    <w:p w14:paraId="7CBED924"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Al-mufty, M. Z. and Ahmed, N. R. (2009). Indirect spectrophotometric method for the determination of mefenamic acid in pharmaceutical formulations. </w:t>
      </w:r>
      <w:r w:rsidRPr="003D4E65">
        <w:rPr>
          <w:rFonts w:ascii="Times New Roman" w:hAnsi="Times New Roman"/>
          <w:i/>
          <w:iCs/>
          <w:noProof/>
          <w:sz w:val="20"/>
          <w:szCs w:val="20"/>
        </w:rPr>
        <w:t>Rafidain Journal of Science</w:t>
      </w:r>
      <w:r w:rsidRPr="003D4E65">
        <w:rPr>
          <w:rFonts w:ascii="Times New Roman" w:hAnsi="Times New Roman"/>
          <w:noProof/>
          <w:sz w:val="20"/>
          <w:szCs w:val="20"/>
        </w:rPr>
        <w:t xml:space="preserve">, </w:t>
      </w:r>
      <w:r w:rsidRPr="003D4E65">
        <w:rPr>
          <w:rFonts w:ascii="Times New Roman" w:hAnsi="Times New Roman"/>
          <w:iCs/>
          <w:noProof/>
          <w:sz w:val="20"/>
          <w:szCs w:val="20"/>
        </w:rPr>
        <w:t>20</w:t>
      </w:r>
      <w:r w:rsidRPr="003D4E65">
        <w:rPr>
          <w:rFonts w:ascii="Times New Roman" w:hAnsi="Times New Roman"/>
          <w:noProof/>
          <w:sz w:val="20"/>
          <w:szCs w:val="20"/>
        </w:rPr>
        <w:t xml:space="preserve">(6): 39-47. </w:t>
      </w:r>
    </w:p>
    <w:p w14:paraId="409D3C3B"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Raza, A. (2008). Spectrophotometric determination of mefenamic acid in pharmaceutical preparations. </w:t>
      </w:r>
      <w:r w:rsidRPr="003D4E65">
        <w:rPr>
          <w:rFonts w:ascii="Times New Roman" w:hAnsi="Times New Roman"/>
          <w:i/>
          <w:iCs/>
          <w:noProof/>
          <w:sz w:val="20"/>
          <w:szCs w:val="20"/>
        </w:rPr>
        <w:t>Journal of Analytical Chemistry</w:t>
      </w:r>
      <w:r w:rsidRPr="003D4E65">
        <w:rPr>
          <w:rFonts w:ascii="Times New Roman" w:hAnsi="Times New Roman"/>
          <w:noProof/>
          <w:sz w:val="20"/>
          <w:szCs w:val="20"/>
        </w:rPr>
        <w:t xml:space="preserve">, </w:t>
      </w:r>
      <w:r w:rsidRPr="003D4E65">
        <w:rPr>
          <w:rFonts w:ascii="Times New Roman" w:hAnsi="Times New Roman"/>
          <w:iCs/>
          <w:noProof/>
          <w:sz w:val="20"/>
          <w:szCs w:val="20"/>
        </w:rPr>
        <w:t>63</w:t>
      </w:r>
      <w:r w:rsidRPr="003D4E65">
        <w:rPr>
          <w:rFonts w:ascii="Times New Roman" w:hAnsi="Times New Roman"/>
          <w:noProof/>
          <w:sz w:val="20"/>
          <w:szCs w:val="20"/>
        </w:rPr>
        <w:t xml:space="preserve">(3): 244-247. </w:t>
      </w:r>
    </w:p>
    <w:p w14:paraId="6B1C6A8A"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Zisimopoulos, E. G., Tsogas, G. Z., Giokas, D. L., Kapakoglou, N. I. and Vlessidis, A. G. (2009). Indirect chemiluminescence-based detection of mefenamic acid in pharmaceutical formulations by flow injection analysis and effect of gold nanocatalysts. </w:t>
      </w:r>
      <w:r w:rsidRPr="003D4E65">
        <w:rPr>
          <w:rFonts w:ascii="Times New Roman" w:hAnsi="Times New Roman"/>
          <w:i/>
          <w:iCs/>
          <w:noProof/>
          <w:sz w:val="20"/>
          <w:szCs w:val="20"/>
        </w:rPr>
        <w:t>Talanta</w:t>
      </w:r>
      <w:r w:rsidRPr="003D4E65">
        <w:rPr>
          <w:rFonts w:ascii="Times New Roman" w:hAnsi="Times New Roman"/>
          <w:noProof/>
          <w:sz w:val="20"/>
          <w:szCs w:val="20"/>
        </w:rPr>
        <w:t xml:space="preserve">, </w:t>
      </w:r>
      <w:r w:rsidRPr="003D4E65">
        <w:rPr>
          <w:rFonts w:ascii="Times New Roman" w:hAnsi="Times New Roman"/>
          <w:iCs/>
          <w:noProof/>
          <w:sz w:val="20"/>
          <w:szCs w:val="20"/>
        </w:rPr>
        <w:t>79</w:t>
      </w:r>
      <w:r w:rsidRPr="003D4E65">
        <w:rPr>
          <w:rFonts w:ascii="Times New Roman" w:hAnsi="Times New Roman"/>
          <w:noProof/>
          <w:sz w:val="20"/>
          <w:szCs w:val="20"/>
        </w:rPr>
        <w:t xml:space="preserve">(3): 893-899. </w:t>
      </w:r>
    </w:p>
    <w:p w14:paraId="3C30186F"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lastRenderedPageBreak/>
        <w:t xml:space="preserve">Mofavvaz, S., Sohrabi, M. R. and Heydari, A. (2020). Application of UV/vis spectrophotometry based on using least squares support vector machine and continuous wavelet transform methods for the simultaneous analysis of antibiotics drugs in tablet formulation: Comparison with HPLC method. </w:t>
      </w:r>
      <w:r w:rsidRPr="003D4E65">
        <w:rPr>
          <w:rFonts w:ascii="Times New Roman" w:hAnsi="Times New Roman"/>
          <w:i/>
          <w:iCs/>
          <w:noProof/>
          <w:sz w:val="20"/>
          <w:szCs w:val="20"/>
        </w:rPr>
        <w:t>Optik</w:t>
      </w:r>
      <w:r w:rsidRPr="003D4E65">
        <w:rPr>
          <w:rFonts w:ascii="Times New Roman" w:hAnsi="Times New Roman"/>
          <w:noProof/>
          <w:sz w:val="20"/>
          <w:szCs w:val="20"/>
        </w:rPr>
        <w:t xml:space="preserve">, </w:t>
      </w:r>
      <w:r w:rsidRPr="003D4E65">
        <w:rPr>
          <w:rFonts w:ascii="Times New Roman" w:hAnsi="Times New Roman"/>
          <w:iCs/>
          <w:noProof/>
          <w:sz w:val="20"/>
          <w:szCs w:val="20"/>
        </w:rPr>
        <w:t>220</w:t>
      </w:r>
      <w:r w:rsidRPr="003D4E65">
        <w:rPr>
          <w:rFonts w:ascii="Times New Roman" w:hAnsi="Times New Roman"/>
          <w:noProof/>
          <w:sz w:val="20"/>
          <w:szCs w:val="20"/>
        </w:rPr>
        <w:t xml:space="preserve">: 165246. </w:t>
      </w:r>
    </w:p>
    <w:p w14:paraId="1C262E2C"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Darbandi, A., Sohrabi, M. R. and Bahmaei, M. (2020). Development of a chemometric-assisted spectrophotometric method for quantitative simultaneous determination of Amlodipine and Valsartan in commercial tablet. </w:t>
      </w:r>
      <w:r w:rsidRPr="003D4E65">
        <w:rPr>
          <w:rFonts w:ascii="Times New Roman" w:hAnsi="Times New Roman"/>
          <w:i/>
          <w:iCs/>
          <w:noProof/>
          <w:sz w:val="20"/>
          <w:szCs w:val="20"/>
        </w:rPr>
        <w:t>Optik</w:t>
      </w:r>
      <w:r w:rsidRPr="003D4E65">
        <w:rPr>
          <w:rFonts w:ascii="Times New Roman" w:hAnsi="Times New Roman"/>
          <w:noProof/>
          <w:sz w:val="20"/>
          <w:szCs w:val="20"/>
        </w:rPr>
        <w:t xml:space="preserve">, </w:t>
      </w:r>
      <w:r w:rsidRPr="003D4E65">
        <w:rPr>
          <w:rFonts w:ascii="Times New Roman" w:hAnsi="Times New Roman"/>
          <w:iCs/>
          <w:noProof/>
          <w:sz w:val="20"/>
          <w:szCs w:val="20"/>
        </w:rPr>
        <w:t>218</w:t>
      </w:r>
      <w:r w:rsidRPr="003D4E65">
        <w:rPr>
          <w:rFonts w:ascii="Times New Roman" w:hAnsi="Times New Roman"/>
          <w:noProof/>
          <w:sz w:val="20"/>
          <w:szCs w:val="20"/>
        </w:rPr>
        <w:t xml:space="preserve">: 165110. </w:t>
      </w:r>
    </w:p>
    <w:p w14:paraId="7FC60B46"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Pavanelli, S. P., Bispo, G. L., Nascentes, C. C. and Augusti, R. (2011). Degradation of food dyes by zero-valent metals exposed to ultrasonic irradiation in water medium: Optimization and electrospray ionization mass spectrometry monitoring. </w:t>
      </w:r>
      <w:r w:rsidRPr="003D4E65">
        <w:rPr>
          <w:rFonts w:ascii="Times New Roman" w:hAnsi="Times New Roman"/>
          <w:i/>
          <w:iCs/>
          <w:noProof/>
          <w:sz w:val="20"/>
          <w:szCs w:val="20"/>
        </w:rPr>
        <w:t>Journal of the Brazilian Chemical Society</w:t>
      </w:r>
      <w:r w:rsidRPr="003D4E65">
        <w:rPr>
          <w:rFonts w:ascii="Times New Roman" w:hAnsi="Times New Roman"/>
          <w:noProof/>
          <w:sz w:val="20"/>
          <w:szCs w:val="20"/>
        </w:rPr>
        <w:t xml:space="preserve">, </w:t>
      </w:r>
      <w:r w:rsidRPr="003D4E65">
        <w:rPr>
          <w:rFonts w:ascii="Times New Roman" w:hAnsi="Times New Roman"/>
          <w:iCs/>
          <w:noProof/>
          <w:sz w:val="20"/>
          <w:szCs w:val="20"/>
        </w:rPr>
        <w:t>22</w:t>
      </w:r>
      <w:r w:rsidRPr="003D4E65">
        <w:rPr>
          <w:rFonts w:ascii="Times New Roman" w:hAnsi="Times New Roman"/>
          <w:noProof/>
          <w:sz w:val="20"/>
          <w:szCs w:val="20"/>
        </w:rPr>
        <w:t xml:space="preserve">(1): 111-119. </w:t>
      </w:r>
    </w:p>
    <w:p w14:paraId="6BAB6C98"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Othman, N. S. and Awades, L. S. (2008). Spectrophotometric determination of mefenamic acid via oxidative coupling reaction with 4-amminoantipyrine in presence of N-chlorosuccinimide. </w:t>
      </w:r>
      <w:r w:rsidRPr="003D4E65">
        <w:rPr>
          <w:rFonts w:ascii="Times New Roman" w:hAnsi="Times New Roman"/>
          <w:i/>
          <w:iCs/>
          <w:noProof/>
          <w:sz w:val="20"/>
          <w:szCs w:val="20"/>
        </w:rPr>
        <w:t xml:space="preserve">Pakistan Journal Analytical Environmental Chemistry, </w:t>
      </w:r>
      <w:r w:rsidRPr="003D4E65">
        <w:rPr>
          <w:rFonts w:ascii="Times New Roman" w:hAnsi="Times New Roman"/>
          <w:iCs/>
          <w:noProof/>
          <w:sz w:val="20"/>
          <w:szCs w:val="20"/>
        </w:rPr>
        <w:t>9</w:t>
      </w:r>
      <w:r w:rsidRPr="003D4E65">
        <w:rPr>
          <w:rFonts w:ascii="Times New Roman" w:hAnsi="Times New Roman"/>
          <w:noProof/>
          <w:sz w:val="20"/>
          <w:szCs w:val="20"/>
        </w:rPr>
        <w:t>(2): 64-68.</w:t>
      </w:r>
    </w:p>
    <w:p w14:paraId="2A720047"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Teepoo, S., Chumsaeng, P., Jongjinakool, S., Chantu, K. and Nolykad, W. (2012). A new simple and rapid colorimetric screening test for semi-qualitative analysis of vitamin C in fruit juices based on Prussian blue. </w:t>
      </w:r>
      <w:r w:rsidRPr="003D4E65">
        <w:rPr>
          <w:rFonts w:ascii="Times New Roman" w:hAnsi="Times New Roman"/>
          <w:i/>
          <w:iCs/>
          <w:noProof/>
          <w:sz w:val="20"/>
          <w:szCs w:val="20"/>
        </w:rPr>
        <w:t>Journal of Applied Sciences</w:t>
      </w:r>
      <w:r w:rsidRPr="003D4E65">
        <w:rPr>
          <w:rFonts w:ascii="Times New Roman" w:hAnsi="Times New Roman"/>
          <w:noProof/>
          <w:sz w:val="20"/>
          <w:szCs w:val="20"/>
        </w:rPr>
        <w:t xml:space="preserve">, </w:t>
      </w:r>
      <w:r w:rsidRPr="003D4E65">
        <w:rPr>
          <w:rFonts w:ascii="Times New Roman" w:hAnsi="Times New Roman"/>
          <w:iCs/>
          <w:noProof/>
          <w:sz w:val="20"/>
          <w:szCs w:val="20"/>
        </w:rPr>
        <w:t>12</w:t>
      </w:r>
      <w:r w:rsidRPr="003D4E65">
        <w:rPr>
          <w:rFonts w:ascii="Times New Roman" w:hAnsi="Times New Roman"/>
          <w:noProof/>
          <w:sz w:val="20"/>
          <w:szCs w:val="20"/>
        </w:rPr>
        <w:t>(6): 568-574.</w:t>
      </w:r>
    </w:p>
    <w:p w14:paraId="72815D69"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Wasito, H., Fatoni, A., Hermawan, D. and Susilowati, S. S. (2019). Immobilized bacterial biosensor for rapid and effective monitoring of acute toxicity in water. </w:t>
      </w:r>
      <w:r w:rsidRPr="003D4E65">
        <w:rPr>
          <w:rFonts w:ascii="Times New Roman" w:hAnsi="Times New Roman"/>
          <w:i/>
          <w:iCs/>
          <w:noProof/>
          <w:sz w:val="20"/>
          <w:szCs w:val="20"/>
        </w:rPr>
        <w:t>Ecotoxicology and Environmental Safety</w:t>
      </w:r>
      <w:r w:rsidRPr="003D4E65">
        <w:rPr>
          <w:rFonts w:ascii="Times New Roman" w:hAnsi="Times New Roman"/>
          <w:noProof/>
          <w:sz w:val="20"/>
          <w:szCs w:val="20"/>
        </w:rPr>
        <w:t xml:space="preserve">, </w:t>
      </w:r>
      <w:r w:rsidRPr="003D4E65">
        <w:rPr>
          <w:rFonts w:ascii="Times New Roman" w:hAnsi="Times New Roman"/>
          <w:iCs/>
          <w:noProof/>
          <w:sz w:val="20"/>
          <w:szCs w:val="20"/>
        </w:rPr>
        <w:t>170:</w:t>
      </w:r>
      <w:r w:rsidRPr="003D4E65">
        <w:rPr>
          <w:rFonts w:ascii="Times New Roman" w:hAnsi="Times New Roman"/>
          <w:noProof/>
          <w:sz w:val="20"/>
          <w:szCs w:val="20"/>
        </w:rPr>
        <w:t xml:space="preserve"> 205-209. </w:t>
      </w:r>
    </w:p>
    <w:p w14:paraId="67E97922"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Borman, P. and Elder, D. (2017).  Q2 (R1) validation of analytical procedures. </w:t>
      </w:r>
      <w:r w:rsidRPr="003D4E65">
        <w:rPr>
          <w:rFonts w:ascii="Times New Roman" w:hAnsi="Times New Roman"/>
          <w:i/>
          <w:iCs/>
          <w:noProof/>
          <w:sz w:val="20"/>
          <w:szCs w:val="20"/>
        </w:rPr>
        <w:t>ICH Quality Guidelines</w:t>
      </w:r>
      <w:r w:rsidRPr="003D4E65">
        <w:rPr>
          <w:rFonts w:ascii="Times New Roman" w:hAnsi="Times New Roman"/>
          <w:noProof/>
          <w:sz w:val="20"/>
          <w:szCs w:val="20"/>
        </w:rPr>
        <w:t>, 5: 127-166.</w:t>
      </w:r>
    </w:p>
    <w:p w14:paraId="02D8EE17"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Jayanthi, P. and Lalitha, P. (2011). Reducing power of the solvent extracts of Eichhornia crassipes (Mart.) Solms. </w:t>
      </w:r>
      <w:r w:rsidRPr="003D4E65">
        <w:rPr>
          <w:rFonts w:ascii="Times New Roman" w:hAnsi="Times New Roman"/>
          <w:i/>
          <w:iCs/>
          <w:noProof/>
          <w:sz w:val="20"/>
          <w:szCs w:val="20"/>
        </w:rPr>
        <w:t>International Journal of Pharmacy and Pharmaceutical Sciences</w:t>
      </w:r>
      <w:r w:rsidRPr="003D4E65">
        <w:rPr>
          <w:rFonts w:ascii="Times New Roman" w:hAnsi="Times New Roman"/>
          <w:noProof/>
          <w:sz w:val="20"/>
          <w:szCs w:val="20"/>
        </w:rPr>
        <w:t xml:space="preserve">, </w:t>
      </w:r>
      <w:r w:rsidRPr="003D4E65">
        <w:rPr>
          <w:rFonts w:ascii="Times New Roman" w:hAnsi="Times New Roman"/>
          <w:iCs/>
          <w:noProof/>
          <w:sz w:val="20"/>
          <w:szCs w:val="20"/>
        </w:rPr>
        <w:t>3</w:t>
      </w:r>
      <w:r w:rsidRPr="003D4E65">
        <w:rPr>
          <w:rFonts w:ascii="Times New Roman" w:hAnsi="Times New Roman"/>
          <w:noProof/>
          <w:sz w:val="20"/>
          <w:szCs w:val="20"/>
        </w:rPr>
        <w:t>(3): 126-128.</w:t>
      </w:r>
    </w:p>
    <w:p w14:paraId="57328893"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Grandjean, F., Samain, L. and Long, G. J. (2016). Characterization and utilization of Prussian blue </w:t>
      </w:r>
      <w:r w:rsidRPr="003D4E65">
        <w:rPr>
          <w:rFonts w:ascii="Times New Roman" w:hAnsi="Times New Roman"/>
          <w:noProof/>
          <w:sz w:val="20"/>
          <w:szCs w:val="20"/>
        </w:rPr>
        <w:t xml:space="preserve">and its pigments. </w:t>
      </w:r>
      <w:r w:rsidRPr="003D4E65">
        <w:rPr>
          <w:rFonts w:ascii="Times New Roman" w:hAnsi="Times New Roman"/>
          <w:i/>
          <w:iCs/>
          <w:noProof/>
          <w:sz w:val="20"/>
          <w:szCs w:val="20"/>
        </w:rPr>
        <w:t>Dalton Transactions</w:t>
      </w:r>
      <w:r w:rsidRPr="003D4E65">
        <w:rPr>
          <w:rFonts w:ascii="Times New Roman" w:hAnsi="Times New Roman"/>
          <w:noProof/>
          <w:sz w:val="20"/>
          <w:szCs w:val="20"/>
        </w:rPr>
        <w:t xml:space="preserve">, </w:t>
      </w:r>
      <w:r w:rsidRPr="003D4E65">
        <w:rPr>
          <w:rFonts w:ascii="Times New Roman" w:hAnsi="Times New Roman"/>
          <w:iCs/>
          <w:noProof/>
          <w:sz w:val="20"/>
          <w:szCs w:val="20"/>
        </w:rPr>
        <w:t>45</w:t>
      </w:r>
      <w:r w:rsidRPr="003D4E65">
        <w:rPr>
          <w:rFonts w:ascii="Times New Roman" w:hAnsi="Times New Roman"/>
          <w:noProof/>
          <w:sz w:val="20"/>
          <w:szCs w:val="20"/>
        </w:rPr>
        <w:t xml:space="preserve">(45): 18018-18044. </w:t>
      </w:r>
    </w:p>
    <w:p w14:paraId="48AE4D4A"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Malacara, D. (2011). </w:t>
      </w:r>
      <w:r w:rsidRPr="003D4E65">
        <w:rPr>
          <w:rFonts w:ascii="Times New Roman" w:hAnsi="Times New Roman"/>
          <w:iCs/>
          <w:noProof/>
          <w:sz w:val="20"/>
          <w:szCs w:val="20"/>
        </w:rPr>
        <w:t>Color vision and colorimetry: Theory and applications</w:t>
      </w:r>
      <w:r w:rsidRPr="003D4E65">
        <w:rPr>
          <w:rFonts w:ascii="Times New Roman" w:hAnsi="Times New Roman"/>
          <w:noProof/>
          <w:sz w:val="20"/>
          <w:szCs w:val="20"/>
        </w:rPr>
        <w:t>. SPIE Press, Bellingham: pp. 1-20.</w:t>
      </w:r>
    </w:p>
    <w:p w14:paraId="61D7F137"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Giovannetti, R. (2012). The use of spectrophotometry UV-Vis for the study of porphyrins </w:t>
      </w:r>
      <w:r w:rsidRPr="003D4E65">
        <w:rPr>
          <w:rFonts w:ascii="Times New Roman" w:hAnsi="Times New Roman"/>
          <w:iCs/>
          <w:noProof/>
          <w:sz w:val="20"/>
          <w:szCs w:val="20"/>
        </w:rPr>
        <w:t>macro to nano spectroscopy</w:t>
      </w:r>
      <w:r w:rsidRPr="003D4E65">
        <w:rPr>
          <w:rFonts w:ascii="Times New Roman" w:hAnsi="Times New Roman"/>
          <w:noProof/>
          <w:sz w:val="20"/>
          <w:szCs w:val="20"/>
        </w:rPr>
        <w:t>. InTech, China: pp. 87-108.</w:t>
      </w:r>
    </w:p>
    <w:p w14:paraId="344DA2F3"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Rao, G. G. and Rao, V. N. (1955). Ascorbic acid as a reducing agent in quantitative analysis. </w:t>
      </w:r>
      <w:r w:rsidRPr="003D4E65">
        <w:rPr>
          <w:rFonts w:ascii="Times New Roman" w:hAnsi="Times New Roman"/>
          <w:i/>
          <w:iCs/>
          <w:noProof/>
          <w:sz w:val="20"/>
          <w:szCs w:val="20"/>
        </w:rPr>
        <w:t>Fresenius’ Zeitschrift Für Analytische Chemie</w:t>
      </w:r>
      <w:r w:rsidRPr="003D4E65">
        <w:rPr>
          <w:rFonts w:ascii="Times New Roman" w:hAnsi="Times New Roman"/>
          <w:noProof/>
          <w:sz w:val="20"/>
          <w:szCs w:val="20"/>
        </w:rPr>
        <w:t xml:space="preserve">, </w:t>
      </w:r>
      <w:r w:rsidRPr="003D4E65">
        <w:rPr>
          <w:rFonts w:ascii="Times New Roman" w:hAnsi="Times New Roman"/>
          <w:iCs/>
          <w:noProof/>
          <w:sz w:val="20"/>
          <w:szCs w:val="20"/>
        </w:rPr>
        <w:t>147</w:t>
      </w:r>
      <w:r w:rsidRPr="003D4E65">
        <w:rPr>
          <w:rFonts w:ascii="Times New Roman" w:hAnsi="Times New Roman"/>
          <w:noProof/>
          <w:sz w:val="20"/>
          <w:szCs w:val="20"/>
        </w:rPr>
        <w:t xml:space="preserve">(5): 338-347. </w:t>
      </w:r>
    </w:p>
    <w:p w14:paraId="21710132"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Samain, L., Grandjean, F., Long, G. J., Martinetto, P., Bordet, P. and Strivay, D. (2013). Relationship between the synthesis of Prussian Blue pigments, their color, physical properties, and their behavior in paint layers. </w:t>
      </w:r>
      <w:r w:rsidRPr="003D4E65">
        <w:rPr>
          <w:rFonts w:ascii="Times New Roman" w:hAnsi="Times New Roman"/>
          <w:i/>
          <w:iCs/>
          <w:noProof/>
          <w:sz w:val="20"/>
          <w:szCs w:val="20"/>
        </w:rPr>
        <w:t>The Journal of Physical Chemistry C</w:t>
      </w:r>
      <w:r w:rsidRPr="003D4E65">
        <w:rPr>
          <w:rFonts w:ascii="Times New Roman" w:hAnsi="Times New Roman"/>
          <w:noProof/>
          <w:sz w:val="20"/>
          <w:szCs w:val="20"/>
        </w:rPr>
        <w:t xml:space="preserve">, </w:t>
      </w:r>
      <w:r w:rsidRPr="003D4E65">
        <w:rPr>
          <w:rFonts w:ascii="Times New Roman" w:hAnsi="Times New Roman"/>
          <w:iCs/>
          <w:noProof/>
          <w:sz w:val="20"/>
          <w:szCs w:val="20"/>
        </w:rPr>
        <w:t>117</w:t>
      </w:r>
      <w:r w:rsidRPr="003D4E65">
        <w:rPr>
          <w:rFonts w:ascii="Times New Roman" w:hAnsi="Times New Roman"/>
          <w:noProof/>
          <w:sz w:val="20"/>
          <w:szCs w:val="20"/>
        </w:rPr>
        <w:t xml:space="preserve">(19): 9693-9712. </w:t>
      </w:r>
    </w:p>
    <w:p w14:paraId="0747A87E"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Adhikamsetty, R. and Jonnalagadda, S. (2009). Kinetics and mechanism of prussian blue formation. </w:t>
      </w:r>
      <w:r w:rsidRPr="003D4E65">
        <w:rPr>
          <w:rFonts w:ascii="Times New Roman" w:hAnsi="Times New Roman"/>
          <w:i/>
          <w:iCs/>
          <w:noProof/>
          <w:sz w:val="20"/>
          <w:szCs w:val="20"/>
        </w:rPr>
        <w:t>Bulletin of the Chemical Society of Ethiopia</w:t>
      </w:r>
      <w:r w:rsidRPr="003D4E65">
        <w:rPr>
          <w:rFonts w:ascii="Times New Roman" w:hAnsi="Times New Roman"/>
          <w:noProof/>
          <w:sz w:val="20"/>
          <w:szCs w:val="20"/>
        </w:rPr>
        <w:t xml:space="preserve">, </w:t>
      </w:r>
      <w:r w:rsidRPr="003D4E65">
        <w:rPr>
          <w:rFonts w:ascii="Times New Roman" w:hAnsi="Times New Roman"/>
          <w:iCs/>
          <w:noProof/>
          <w:sz w:val="20"/>
          <w:szCs w:val="20"/>
        </w:rPr>
        <w:t>23</w:t>
      </w:r>
      <w:r w:rsidRPr="003D4E65">
        <w:rPr>
          <w:rFonts w:ascii="Times New Roman" w:hAnsi="Times New Roman"/>
          <w:noProof/>
          <w:sz w:val="20"/>
          <w:szCs w:val="20"/>
        </w:rPr>
        <w:t>(1): 47-54.</w:t>
      </w:r>
    </w:p>
    <w:p w14:paraId="6317AEA1"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El-Didamony, A. M., Saad, M. Z. and Saleem, N. O. (2013). Kinetic spectrophotometry method for the determination of morphine, nalbuphine and naltrexone drugs in bilk and pharmaceutical formulation. </w:t>
      </w:r>
      <w:r w:rsidRPr="003D4E65">
        <w:rPr>
          <w:rFonts w:ascii="Times New Roman" w:hAnsi="Times New Roman"/>
          <w:i/>
          <w:iCs/>
          <w:noProof/>
          <w:sz w:val="20"/>
          <w:szCs w:val="20"/>
        </w:rPr>
        <w:t>Journal of the Chilean Chemical Society</w:t>
      </w:r>
      <w:r w:rsidRPr="003D4E65">
        <w:rPr>
          <w:rFonts w:ascii="Times New Roman" w:hAnsi="Times New Roman"/>
          <w:noProof/>
          <w:sz w:val="20"/>
          <w:szCs w:val="20"/>
        </w:rPr>
        <w:t xml:space="preserve">, </w:t>
      </w:r>
      <w:r w:rsidRPr="003D4E65">
        <w:rPr>
          <w:rFonts w:ascii="Times New Roman" w:hAnsi="Times New Roman"/>
          <w:iCs/>
          <w:noProof/>
          <w:sz w:val="20"/>
          <w:szCs w:val="20"/>
        </w:rPr>
        <w:t>58</w:t>
      </w:r>
      <w:r w:rsidRPr="003D4E65">
        <w:rPr>
          <w:rFonts w:ascii="Times New Roman" w:hAnsi="Times New Roman"/>
          <w:noProof/>
          <w:sz w:val="20"/>
          <w:szCs w:val="20"/>
        </w:rPr>
        <w:t xml:space="preserve">(3): 1907-1913. </w:t>
      </w:r>
    </w:p>
    <w:p w14:paraId="1E9353EC"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Hu, W.-H., Zhai, Q.-Z. and Zhang, X.-M. (2014). Determination of trace amount of IO</w:t>
      </w:r>
      <w:r w:rsidRPr="003D4E65">
        <w:rPr>
          <w:rFonts w:ascii="Times New Roman" w:hAnsi="Times New Roman"/>
          <w:noProof/>
          <w:sz w:val="20"/>
          <w:szCs w:val="20"/>
          <w:vertAlign w:val="subscript"/>
        </w:rPr>
        <w:t>3</w:t>
      </w:r>
      <w:r w:rsidRPr="003D4E65">
        <w:rPr>
          <w:rFonts w:ascii="Times New Roman" w:hAnsi="Times New Roman"/>
          <w:noProof/>
          <w:sz w:val="20"/>
          <w:szCs w:val="20"/>
        </w:rPr>
        <w:t>−with KIO</w:t>
      </w:r>
      <w:r w:rsidRPr="003D4E65">
        <w:rPr>
          <w:rFonts w:ascii="Times New Roman" w:hAnsi="Times New Roman"/>
          <w:noProof/>
          <w:sz w:val="20"/>
          <w:szCs w:val="20"/>
          <w:vertAlign w:val="subscript"/>
        </w:rPr>
        <w:t>3</w:t>
      </w:r>
      <w:r w:rsidRPr="003D4E65">
        <w:rPr>
          <w:rFonts w:ascii="Times New Roman" w:hAnsi="Times New Roman"/>
          <w:noProof/>
          <w:sz w:val="20"/>
          <w:szCs w:val="20"/>
        </w:rPr>
        <w:t xml:space="preserve">-KBr-(DBS-arsenazo) system by spectrophotometry. </w:t>
      </w:r>
      <w:r w:rsidRPr="003D4E65">
        <w:rPr>
          <w:rFonts w:ascii="Times New Roman" w:hAnsi="Times New Roman"/>
          <w:i/>
          <w:iCs/>
          <w:noProof/>
          <w:sz w:val="20"/>
          <w:szCs w:val="20"/>
        </w:rPr>
        <w:t>Journal of Analytical Chemistry</w:t>
      </w:r>
      <w:r w:rsidRPr="003D4E65">
        <w:rPr>
          <w:rFonts w:ascii="Times New Roman" w:hAnsi="Times New Roman"/>
          <w:noProof/>
          <w:sz w:val="20"/>
          <w:szCs w:val="20"/>
        </w:rPr>
        <w:t xml:space="preserve">, </w:t>
      </w:r>
      <w:r w:rsidRPr="003D4E65">
        <w:rPr>
          <w:rFonts w:ascii="Times New Roman" w:hAnsi="Times New Roman"/>
          <w:iCs/>
          <w:noProof/>
          <w:sz w:val="20"/>
          <w:szCs w:val="20"/>
        </w:rPr>
        <w:t>69</w:t>
      </w:r>
      <w:r w:rsidRPr="003D4E65">
        <w:rPr>
          <w:rFonts w:ascii="Times New Roman" w:hAnsi="Times New Roman"/>
          <w:noProof/>
          <w:sz w:val="20"/>
          <w:szCs w:val="20"/>
        </w:rPr>
        <w:t xml:space="preserve">(5): 438-441. </w:t>
      </w:r>
    </w:p>
    <w:p w14:paraId="15073AC3" w14:textId="77777777" w:rsidR="000637B8" w:rsidRPr="003D4E65" w:rsidRDefault="000637B8" w:rsidP="000637B8">
      <w:pPr>
        <w:pStyle w:val="ListParagraph"/>
        <w:numPr>
          <w:ilvl w:val="0"/>
          <w:numId w:val="4"/>
        </w:numPr>
        <w:spacing w:after="0"/>
        <w:ind w:left="360"/>
        <w:contextualSpacing w:val="0"/>
        <w:jc w:val="both"/>
        <w:rPr>
          <w:rFonts w:ascii="Times New Roman" w:hAnsi="Times New Roman"/>
          <w:noProof/>
          <w:sz w:val="20"/>
          <w:szCs w:val="20"/>
        </w:rPr>
      </w:pPr>
      <w:r w:rsidRPr="003D4E65">
        <w:rPr>
          <w:rFonts w:ascii="Times New Roman" w:hAnsi="Times New Roman"/>
          <w:noProof/>
          <w:sz w:val="20"/>
          <w:szCs w:val="20"/>
        </w:rPr>
        <w:t xml:space="preserve">Alarfaj, N., Altamimi, S. and Almarshady, L. (2009). Spectrophotometric determination of mefenamic acid in pharmaceutical preparations. </w:t>
      </w:r>
      <w:r w:rsidRPr="003D4E65">
        <w:rPr>
          <w:rFonts w:ascii="Times New Roman" w:hAnsi="Times New Roman"/>
          <w:i/>
          <w:iCs/>
          <w:noProof/>
          <w:sz w:val="20"/>
          <w:szCs w:val="20"/>
        </w:rPr>
        <w:t>Asian Journal of Chemistry</w:t>
      </w:r>
      <w:r w:rsidRPr="003D4E65">
        <w:rPr>
          <w:rFonts w:ascii="Times New Roman" w:hAnsi="Times New Roman"/>
          <w:noProof/>
          <w:sz w:val="20"/>
          <w:szCs w:val="20"/>
        </w:rPr>
        <w:t xml:space="preserve">, </w:t>
      </w:r>
      <w:r w:rsidRPr="003D4E65">
        <w:rPr>
          <w:rFonts w:ascii="Times New Roman" w:hAnsi="Times New Roman"/>
          <w:iCs/>
          <w:noProof/>
          <w:sz w:val="20"/>
          <w:szCs w:val="20"/>
        </w:rPr>
        <w:t>21</w:t>
      </w:r>
      <w:r w:rsidRPr="003D4E65">
        <w:rPr>
          <w:rFonts w:ascii="Times New Roman" w:hAnsi="Times New Roman"/>
          <w:noProof/>
          <w:sz w:val="20"/>
          <w:szCs w:val="20"/>
        </w:rPr>
        <w:t>(1): 217-226.</w:t>
      </w:r>
    </w:p>
    <w:p w14:paraId="5165FCE4" w14:textId="77777777" w:rsidR="000637B8" w:rsidRPr="003D4E65" w:rsidRDefault="000637B8" w:rsidP="000637B8">
      <w:pPr>
        <w:pStyle w:val="ListParagraph"/>
        <w:numPr>
          <w:ilvl w:val="0"/>
          <w:numId w:val="4"/>
        </w:numPr>
        <w:spacing w:after="0"/>
        <w:ind w:left="360"/>
        <w:contextualSpacing w:val="0"/>
        <w:jc w:val="both"/>
        <w:rPr>
          <w:rFonts w:ascii="Times New Roman" w:hAnsi="Times New Roman"/>
          <w:noProof/>
          <w:sz w:val="20"/>
          <w:szCs w:val="20"/>
        </w:rPr>
      </w:pPr>
      <w:r w:rsidRPr="003D4E65">
        <w:rPr>
          <w:rFonts w:ascii="Times New Roman" w:hAnsi="Times New Roman"/>
          <w:noProof/>
          <w:sz w:val="20"/>
          <w:szCs w:val="20"/>
        </w:rPr>
        <w:t xml:space="preserve">Panitia Farmakope Indonesia, R. (1995). Farmakope Indonesia Edisi Keempat, Depkes, </w:t>
      </w:r>
      <w:r w:rsidRPr="003D4E65">
        <w:rPr>
          <w:rFonts w:ascii="Times New Roman" w:hAnsi="Times New Roman"/>
          <w:iCs/>
          <w:noProof/>
          <w:sz w:val="20"/>
          <w:szCs w:val="20"/>
        </w:rPr>
        <w:t>Jakarta: pp</w:t>
      </w:r>
      <w:r w:rsidRPr="003D4E65">
        <w:rPr>
          <w:rFonts w:ascii="Times New Roman" w:hAnsi="Times New Roman"/>
          <w:noProof/>
          <w:sz w:val="20"/>
          <w:szCs w:val="20"/>
        </w:rPr>
        <w:t>. 1107-1110.</w:t>
      </w:r>
    </w:p>
    <w:p w14:paraId="50A39D8E" w14:textId="77777777" w:rsidR="000637B8" w:rsidRPr="003D4E65" w:rsidRDefault="000637B8" w:rsidP="000637B8">
      <w:pPr>
        <w:pStyle w:val="ListParagraph"/>
        <w:numPr>
          <w:ilvl w:val="0"/>
          <w:numId w:val="4"/>
        </w:numPr>
        <w:spacing w:after="0"/>
        <w:ind w:left="360"/>
        <w:jc w:val="both"/>
        <w:rPr>
          <w:rFonts w:ascii="Times New Roman" w:hAnsi="Times New Roman"/>
          <w:noProof/>
          <w:sz w:val="20"/>
          <w:szCs w:val="20"/>
        </w:rPr>
      </w:pPr>
      <w:r w:rsidRPr="003D4E65">
        <w:rPr>
          <w:rFonts w:ascii="Times New Roman" w:hAnsi="Times New Roman"/>
          <w:noProof/>
          <w:sz w:val="20"/>
          <w:szCs w:val="20"/>
        </w:rPr>
        <w:t xml:space="preserve">British Pharmacopoeia Commission Office (2009). British Pharmacopoeia, Volume I &amp; II, </w:t>
      </w:r>
      <w:r w:rsidRPr="003D4E65">
        <w:rPr>
          <w:rFonts w:ascii="Times New Roman" w:hAnsi="Times New Roman"/>
          <w:iCs/>
          <w:noProof/>
          <w:sz w:val="20"/>
          <w:szCs w:val="20"/>
        </w:rPr>
        <w:t>Medicines and Healthcare Products</w:t>
      </w:r>
      <w:r w:rsidRPr="003D4E65">
        <w:rPr>
          <w:rFonts w:ascii="Times New Roman" w:hAnsi="Times New Roman"/>
          <w:i/>
          <w:iCs/>
          <w:noProof/>
          <w:sz w:val="20"/>
          <w:szCs w:val="20"/>
        </w:rPr>
        <w:t xml:space="preserve"> </w:t>
      </w:r>
      <w:r w:rsidRPr="003D4E65">
        <w:rPr>
          <w:rFonts w:ascii="Times New Roman" w:hAnsi="Times New Roman"/>
          <w:iCs/>
          <w:noProof/>
          <w:sz w:val="20"/>
          <w:szCs w:val="20"/>
        </w:rPr>
        <w:t>Regulatory Agency (MHRA)</w:t>
      </w:r>
      <w:r w:rsidRPr="003D4E65">
        <w:rPr>
          <w:rFonts w:ascii="Times New Roman" w:hAnsi="Times New Roman"/>
          <w:noProof/>
          <w:sz w:val="20"/>
          <w:szCs w:val="20"/>
        </w:rPr>
        <w:t>, London: pp. 4788.</w:t>
      </w:r>
    </w:p>
    <w:p w14:paraId="62FCAD15" w14:textId="2FE02B8D" w:rsidR="000637B8" w:rsidRDefault="000637B8" w:rsidP="000637B8">
      <w:pPr>
        <w:spacing w:after="0"/>
        <w:rPr>
          <w:rFonts w:ascii="Times New Roman" w:hAnsi="Times New Roman"/>
          <w:noProof/>
          <w:sz w:val="20"/>
          <w:szCs w:val="20"/>
          <w:lang w:bidi="ar-SA"/>
        </w:rPr>
        <w:sectPr w:rsidR="000637B8" w:rsidSect="000637B8">
          <w:footerReference w:type="even" r:id="rId25"/>
          <w:type w:val="continuous"/>
          <w:pgSz w:w="12240" w:h="15840" w:code="1"/>
          <w:pgMar w:top="1800" w:right="1469" w:bottom="1699" w:left="1440" w:header="706" w:footer="706" w:gutter="0"/>
          <w:pgNumType w:start="1"/>
          <w:cols w:num="2" w:space="403"/>
          <w:docGrid w:linePitch="360"/>
        </w:sectPr>
      </w:pPr>
      <w:r w:rsidRPr="001D508F">
        <w:rPr>
          <w:rFonts w:ascii="Times New Roman" w:hAnsi="Times New Roman"/>
          <w:b/>
          <w:noProof/>
          <w:color w:val="548DD4" w:themeColor="text2" w:themeTint="99"/>
          <w:szCs w:val="20"/>
        </w:rPr>
        <w:fldChar w:fldCharType="end"/>
      </w: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88108D">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32B8F640" w:rsidR="00A14DB9" w:rsidRDefault="00ED3267">
    <w:pPr>
      <w:pStyle w:val="Footer"/>
    </w:pPr>
    <w:r>
      <w:rPr>
        <w:rFonts w:ascii="Times New Roman" w:hAnsi="Times New Roman"/>
        <w:lang w:val="en-US"/>
      </w:rPr>
      <w:t>7</w:t>
    </w:r>
    <w:r w:rsidR="00CE203C">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4F8B" w14:textId="07520A23" w:rsidR="009B2F30" w:rsidRDefault="00ED3267">
    <w:pPr>
      <w:pStyle w:val="Footer"/>
    </w:pPr>
    <w:r>
      <w:rPr>
        <w:rFonts w:ascii="Times New Roman" w:hAnsi="Times New Roman"/>
        <w:lang w:val="en-US"/>
      </w:rPr>
      <w:t>8</w:t>
    </w:r>
    <w:r w:rsidR="009B2F30">
      <w:rPr>
        <w:rFonts w:ascii="Times New Roman" w:hAnsi="Times New Roman"/>
        <w:lang w:val="en-US"/>
      </w:rPr>
      <w:t>0</w:t>
    </w:r>
    <w:r w:rsidR="009B2F30" w:rsidRPr="002F1D31">
      <w:rPr>
        <w:rFonts w:ascii="Times New Roman" w:hAnsi="Times New Roman"/>
        <w:lang w:val="en-US"/>
      </w:rPr>
      <w:ptab w:relativeTo="margin" w:alignment="center" w:leader="none"/>
    </w:r>
    <w:r w:rsidR="009B2F30"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6B478B5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ED3267">
      <w:rPr>
        <w:lang w:val="en-US"/>
      </w:rPr>
      <w:t>7</w:t>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C07E0" w14:textId="34012C57" w:rsidR="0060785D" w:rsidRDefault="00ED3267">
    <w:pPr>
      <w:pStyle w:val="Footer"/>
    </w:pPr>
    <w:r>
      <w:rPr>
        <w:rFonts w:ascii="Times New Roman" w:hAnsi="Times New Roman"/>
        <w:lang w:val="en-US"/>
      </w:rPr>
      <w:t>7</w:t>
    </w:r>
    <w:r w:rsidR="0060785D">
      <w:rPr>
        <w:rFonts w:ascii="Times New Roman" w:hAnsi="Times New Roman"/>
        <w:lang w:val="en-US"/>
      </w:rPr>
      <w:t>4</w:t>
    </w:r>
    <w:r w:rsidR="0060785D" w:rsidRPr="002F1D31">
      <w:rPr>
        <w:rFonts w:ascii="Times New Roman" w:hAnsi="Times New Roman"/>
        <w:lang w:val="en-US"/>
      </w:rPr>
      <w:ptab w:relativeTo="margin" w:alignment="center" w:leader="none"/>
    </w:r>
    <w:r w:rsidR="0060785D"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E7FB5" w14:textId="7CCBBBE7" w:rsidR="0060785D" w:rsidRPr="007D4BAB" w:rsidRDefault="0060785D" w:rsidP="007D4BAB">
    <w:pPr>
      <w:pStyle w:val="Footer"/>
      <w:jc w:val="right"/>
    </w:pPr>
    <w:r w:rsidRPr="002F1D31">
      <w:rPr>
        <w:lang w:val="en-US"/>
      </w:rPr>
      <w:ptab w:relativeTo="margin" w:alignment="center" w:leader="none"/>
    </w:r>
    <w:r w:rsidRPr="002F1D31">
      <w:rPr>
        <w:lang w:val="en-US"/>
      </w:rPr>
      <w:ptab w:relativeTo="margin" w:alignment="right" w:leader="none"/>
    </w:r>
    <w:r w:rsidR="00ED3267">
      <w:rPr>
        <w:lang w:val="en-US"/>
      </w:rPr>
      <w:t>7</w:t>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88748" w14:textId="2C0EE717" w:rsidR="009B2F30" w:rsidRPr="007D4BAB" w:rsidRDefault="009B2F30" w:rsidP="007D4BAB">
    <w:pPr>
      <w:pStyle w:val="Footer"/>
      <w:jc w:val="right"/>
    </w:pPr>
    <w:r w:rsidRPr="002F1D31">
      <w:rPr>
        <w:lang w:val="en-US"/>
      </w:rPr>
      <w:ptab w:relativeTo="margin" w:alignment="center" w:leader="none"/>
    </w:r>
    <w:r w:rsidRPr="002F1D31">
      <w:rPr>
        <w:lang w:val="en-US"/>
      </w:rPr>
      <w:ptab w:relativeTo="margin" w:alignment="right" w:leader="none"/>
    </w:r>
    <w:r w:rsidR="00ED3267">
      <w:rPr>
        <w:lang w:val="en-US"/>
      </w:rPr>
      <w:t>7</w:t>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05F20" w14:textId="52C41CE5" w:rsidR="009B2F30" w:rsidRDefault="00ED3267">
    <w:pPr>
      <w:pStyle w:val="Footer"/>
    </w:pPr>
    <w:r>
      <w:rPr>
        <w:rFonts w:ascii="Times New Roman" w:hAnsi="Times New Roman"/>
        <w:lang w:val="en-US"/>
      </w:rPr>
      <w:t>7</w:t>
    </w:r>
    <w:r w:rsidR="009B2F30">
      <w:rPr>
        <w:rFonts w:ascii="Times New Roman" w:hAnsi="Times New Roman"/>
        <w:lang w:val="en-US"/>
      </w:rPr>
      <w:t>6</w:t>
    </w:r>
    <w:r w:rsidR="009B2F30" w:rsidRPr="002F1D31">
      <w:rPr>
        <w:rFonts w:ascii="Times New Roman" w:hAnsi="Times New Roman"/>
        <w:lang w:val="en-US"/>
      </w:rPr>
      <w:ptab w:relativeTo="margin" w:alignment="center" w:leader="none"/>
    </w:r>
    <w:r w:rsidR="009B2F30"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D487E" w14:textId="4895583B" w:rsidR="009B2F30" w:rsidRPr="007D4BAB" w:rsidRDefault="009B2F30" w:rsidP="007D4BAB">
    <w:pPr>
      <w:pStyle w:val="Footer"/>
      <w:jc w:val="right"/>
    </w:pPr>
    <w:r w:rsidRPr="002F1D31">
      <w:rPr>
        <w:lang w:val="en-US"/>
      </w:rPr>
      <w:ptab w:relativeTo="margin" w:alignment="center" w:leader="none"/>
    </w:r>
    <w:r w:rsidRPr="002F1D31">
      <w:rPr>
        <w:lang w:val="en-US"/>
      </w:rPr>
      <w:ptab w:relativeTo="margin" w:alignment="right" w:leader="none"/>
    </w:r>
    <w:r w:rsidR="00ED3267">
      <w:rPr>
        <w:lang w:val="en-US"/>
      </w:rPr>
      <w:t>7</w:t>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57567" w14:textId="24669D83" w:rsidR="009B2F30" w:rsidRDefault="00ED3267">
    <w:pPr>
      <w:pStyle w:val="Footer"/>
    </w:pPr>
    <w:r>
      <w:rPr>
        <w:rFonts w:ascii="Times New Roman" w:hAnsi="Times New Roman"/>
        <w:lang w:val="en-US"/>
      </w:rPr>
      <w:t>7</w:t>
    </w:r>
    <w:r w:rsidR="009B2F30">
      <w:rPr>
        <w:rFonts w:ascii="Times New Roman" w:hAnsi="Times New Roman"/>
        <w:lang w:val="en-US"/>
      </w:rPr>
      <w:t>8</w:t>
    </w:r>
    <w:r w:rsidR="009B2F30" w:rsidRPr="002F1D31">
      <w:rPr>
        <w:rFonts w:ascii="Times New Roman" w:hAnsi="Times New Roman"/>
        <w:lang w:val="en-US"/>
      </w:rPr>
      <w:ptab w:relativeTo="margin" w:alignment="center" w:leader="none"/>
    </w:r>
    <w:r w:rsidR="009B2F30"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C83ED" w14:textId="0FB56869" w:rsidR="009B2F30" w:rsidRPr="007D4BAB" w:rsidRDefault="009B2F30" w:rsidP="007D4BAB">
    <w:pPr>
      <w:pStyle w:val="Footer"/>
      <w:jc w:val="right"/>
    </w:pPr>
    <w:r w:rsidRPr="002F1D31">
      <w:rPr>
        <w:lang w:val="en-US"/>
      </w:rPr>
      <w:ptab w:relativeTo="margin" w:alignment="center" w:leader="none"/>
    </w:r>
    <w:r w:rsidRPr="002F1D31">
      <w:rPr>
        <w:lang w:val="en-US"/>
      </w:rPr>
      <w:ptab w:relativeTo="margin" w:alignment="right" w:leader="none"/>
    </w:r>
    <w:r w:rsidR="00ED3267">
      <w:rPr>
        <w:lang w:val="en-US"/>
      </w:rPr>
      <w:t>7</w:t>
    </w:r>
    <w:r>
      <w:rPr>
        <w:rFonts w:ascii="Times New Roman" w:hAnsi="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3ACDD" w14:textId="578896A9" w:rsidR="007F63BC" w:rsidRPr="007F63BC" w:rsidRDefault="007F63BC" w:rsidP="007F63BC">
    <w:pPr>
      <w:spacing w:after="0"/>
      <w:ind w:left="1170" w:hanging="1170"/>
      <w:outlineLvl w:val="0"/>
      <w:rPr>
        <w:rFonts w:ascii="Times New Roman" w:hAnsi="Times New Roman"/>
        <w:noProof/>
        <w:sz w:val="20"/>
        <w:szCs w:val="20"/>
      </w:rPr>
    </w:pPr>
    <w:r w:rsidRPr="007F63BC">
      <w:rPr>
        <w:rFonts w:ascii="Times New Roman" w:hAnsi="Times New Roman"/>
        <w:sz w:val="20"/>
        <w:szCs w:val="20"/>
      </w:rPr>
      <w:t>Wasito et al</w:t>
    </w:r>
    <w:r w:rsidR="006B72B0" w:rsidRPr="007F63BC">
      <w:rPr>
        <w:rFonts w:ascii="Times New Roman" w:hAnsi="Times New Roman"/>
        <w:sz w:val="20"/>
        <w:szCs w:val="20"/>
      </w:rPr>
      <w:t xml:space="preserve">: </w:t>
    </w:r>
    <w:r w:rsidR="009B0F4A" w:rsidRPr="007F63BC">
      <w:rPr>
        <w:rFonts w:ascii="Times New Roman" w:hAnsi="Times New Roman"/>
        <w:sz w:val="20"/>
        <w:szCs w:val="20"/>
      </w:rPr>
      <w:t xml:space="preserve"> </w:t>
    </w:r>
    <w:r>
      <w:rPr>
        <w:rFonts w:ascii="Times New Roman" w:hAnsi="Times New Roman"/>
        <w:sz w:val="20"/>
        <w:szCs w:val="20"/>
      </w:rPr>
      <w:tab/>
    </w:r>
    <w:r w:rsidRPr="007F63BC">
      <w:rPr>
        <w:rFonts w:ascii="Times New Roman" w:hAnsi="Times New Roman"/>
        <w:noProof/>
        <w:sz w:val="20"/>
        <w:szCs w:val="20"/>
      </w:rPr>
      <w:t xml:space="preserve">MEFENAMIC ACID DETERMINATION IN TABLET FORMULATIONS USING A SELECTIVE AND ACCURATE SPECTROPHOTOMETRIC METHOD BASED ON PRUSSIAN BLUE FORMATION </w:t>
    </w:r>
  </w:p>
  <w:p w14:paraId="06C94C52" w14:textId="248B624B"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4211C514"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56630A">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ED3267">
      <w:rPr>
        <w:rFonts w:ascii="Times New Roman" w:hAnsi="Times New Roman"/>
        <w:i/>
        <w:lang w:val="en-US"/>
      </w:rPr>
      <w:t>71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ED3267">
      <w:rPr>
        <w:rFonts w:ascii="Times New Roman" w:hAnsi="Times New Roman"/>
        <w:i/>
        <w:lang w:val="en-US"/>
      </w:rPr>
      <w:t>80</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3251D"/>
    <w:multiLevelType w:val="hybridMultilevel"/>
    <w:tmpl w:val="F09065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54165"/>
    <w:rsid w:val="000637B8"/>
    <w:rsid w:val="00084936"/>
    <w:rsid w:val="000C49FF"/>
    <w:rsid w:val="000D16A1"/>
    <w:rsid w:val="000D2B0C"/>
    <w:rsid w:val="000D3A96"/>
    <w:rsid w:val="000F77DA"/>
    <w:rsid w:val="001068E8"/>
    <w:rsid w:val="001106D8"/>
    <w:rsid w:val="00117BCD"/>
    <w:rsid w:val="00152CEC"/>
    <w:rsid w:val="001A3275"/>
    <w:rsid w:val="001D035A"/>
    <w:rsid w:val="001D3855"/>
    <w:rsid w:val="001D6F2C"/>
    <w:rsid w:val="001E2F3E"/>
    <w:rsid w:val="00233177"/>
    <w:rsid w:val="002627A2"/>
    <w:rsid w:val="00277498"/>
    <w:rsid w:val="002860B7"/>
    <w:rsid w:val="00290F4D"/>
    <w:rsid w:val="002A2FC0"/>
    <w:rsid w:val="002B188F"/>
    <w:rsid w:val="002B3BD8"/>
    <w:rsid w:val="002B412F"/>
    <w:rsid w:val="002D7255"/>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4E65"/>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C6768"/>
    <w:rsid w:val="005E4871"/>
    <w:rsid w:val="00601C8A"/>
    <w:rsid w:val="0060785D"/>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0500E"/>
    <w:rsid w:val="00725A6A"/>
    <w:rsid w:val="00734B81"/>
    <w:rsid w:val="007706A6"/>
    <w:rsid w:val="007943F3"/>
    <w:rsid w:val="007A0583"/>
    <w:rsid w:val="007A738C"/>
    <w:rsid w:val="007B1349"/>
    <w:rsid w:val="007D45AC"/>
    <w:rsid w:val="007D4BAB"/>
    <w:rsid w:val="007E25BD"/>
    <w:rsid w:val="007F63BC"/>
    <w:rsid w:val="00802C35"/>
    <w:rsid w:val="0082181A"/>
    <w:rsid w:val="0082457A"/>
    <w:rsid w:val="00825624"/>
    <w:rsid w:val="0083587A"/>
    <w:rsid w:val="0085245A"/>
    <w:rsid w:val="0088108D"/>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2F30"/>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03AF"/>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ED326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styleId="Bibliography">
    <w:name w:val="Bibliography"/>
    <w:basedOn w:val="Normal"/>
    <w:next w:val="Normal"/>
    <w:uiPriority w:val="37"/>
    <w:unhideWhenUsed/>
    <w:rsid w:val="00054165"/>
  </w:style>
  <w:style w:type="table" w:customStyle="1" w:styleId="LightShading1">
    <w:name w:val="Light Shading1"/>
    <w:basedOn w:val="TableNormal"/>
    <w:uiPriority w:val="60"/>
    <w:rsid w:val="00054165"/>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054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054165"/>
    <w:rPr>
      <w:rFonts w:ascii="Courier New" w:eastAsia="Times New Roman" w:hAnsi="Courier New" w:cs="Courier New"/>
      <w:lang w:val="en-US" w:eastAsia="en-US"/>
    </w:rPr>
  </w:style>
  <w:style w:type="character" w:customStyle="1" w:styleId="fontstyle01">
    <w:name w:val="fontstyle01"/>
    <w:basedOn w:val="DefaultParagraphFont"/>
    <w:rsid w:val="00054165"/>
    <w:rPr>
      <w:rFonts w:ascii="Times-Roman" w:hAnsi="Times-Roman"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12521</Words>
  <Characters>71375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83729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5</cp:revision>
  <cp:lastPrinted>2021-02-04T16:01:00Z</cp:lastPrinted>
  <dcterms:created xsi:type="dcterms:W3CDTF">2021-01-24T06:58:00Z</dcterms:created>
  <dcterms:modified xsi:type="dcterms:W3CDTF">2021-02-19T14:53:00Z</dcterms:modified>
</cp:coreProperties>
</file>